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2FB85B">
      <w:pPr>
        <w:spacing w:beforeLines="50" w:line="360" w:lineRule="auto"/>
        <w:jc w:val="center"/>
        <w:rPr>
          <w:rFonts w:ascii="宋体" w:hAnsi="宋体"/>
          <w:color w:val="auto"/>
          <w:sz w:val="52"/>
          <w:szCs w:val="52"/>
        </w:rPr>
      </w:pPr>
    </w:p>
    <w:p w14:paraId="15A9A2A8">
      <w:pPr>
        <w:spacing w:beforeLines="50" w:line="360" w:lineRule="auto"/>
        <w:jc w:val="center"/>
        <w:rPr>
          <w:rFonts w:ascii="仿宋_GB2312" w:hAnsi="宋体" w:eastAsia="仿宋_GB2312"/>
          <w:b/>
          <w:color w:val="auto"/>
          <w:sz w:val="48"/>
          <w:szCs w:val="48"/>
        </w:rPr>
      </w:pPr>
    </w:p>
    <w:p w14:paraId="623E171C">
      <w:pPr>
        <w:spacing w:beforeLines="50" w:line="360" w:lineRule="auto"/>
        <w:jc w:val="center"/>
        <w:rPr>
          <w:rFonts w:ascii="仿宋_GB2312" w:hAnsi="宋体" w:eastAsia="仿宋_GB2312"/>
          <w:b/>
          <w:color w:val="auto"/>
          <w:sz w:val="48"/>
          <w:szCs w:val="48"/>
        </w:rPr>
      </w:pPr>
    </w:p>
    <w:p w14:paraId="3FA9FAF2">
      <w:pPr>
        <w:snapToGrid w:val="0"/>
        <w:spacing w:beforeLines="50" w:line="360" w:lineRule="auto"/>
        <w:jc w:val="center"/>
        <w:rPr>
          <w:rFonts w:ascii="华文新魏" w:hAnsi="宋体" w:eastAsia="华文新魏"/>
          <w:color w:val="auto"/>
          <w:sz w:val="72"/>
          <w:szCs w:val="72"/>
        </w:rPr>
      </w:pPr>
      <w:r>
        <w:rPr>
          <w:rFonts w:hint="eastAsia" w:ascii="华文新魏" w:hAnsi="宋体" w:eastAsia="华文新魏"/>
          <w:color w:val="auto"/>
          <w:sz w:val="72"/>
          <w:szCs w:val="72"/>
        </w:rPr>
        <w:t>招 标 文 件</w:t>
      </w:r>
    </w:p>
    <w:p w14:paraId="2F9F507D">
      <w:pPr>
        <w:snapToGrid w:val="0"/>
        <w:spacing w:beforeLines="50" w:line="360" w:lineRule="auto"/>
        <w:jc w:val="center"/>
        <w:rPr>
          <w:rFonts w:ascii="仿宋_GB2312" w:hAnsi="宋体" w:eastAsia="仿宋_GB2312"/>
          <w:color w:val="auto"/>
          <w:sz w:val="30"/>
          <w:szCs w:val="72"/>
        </w:rPr>
      </w:pPr>
      <w:r>
        <w:rPr>
          <w:rFonts w:hint="eastAsia" w:ascii="仿宋_GB2312" w:hAnsi="宋体" w:eastAsia="仿宋_GB2312"/>
          <w:color w:val="auto"/>
          <w:sz w:val="30"/>
          <w:szCs w:val="72"/>
        </w:rPr>
        <w:t>（全流程电子化评标）</w:t>
      </w:r>
    </w:p>
    <w:p w14:paraId="1B377261">
      <w:pPr>
        <w:snapToGrid w:val="0"/>
        <w:spacing w:beforeLines="50" w:line="360" w:lineRule="auto"/>
        <w:rPr>
          <w:rFonts w:ascii="仿宋_GB2312" w:hAnsi="宋体" w:eastAsia="仿宋_GB2312"/>
          <w:color w:val="auto"/>
          <w:sz w:val="30"/>
          <w:szCs w:val="72"/>
        </w:rPr>
      </w:pPr>
    </w:p>
    <w:p w14:paraId="55520DA8">
      <w:pPr>
        <w:pStyle w:val="15"/>
        <w:snapToGrid w:val="0"/>
        <w:spacing w:line="360" w:lineRule="auto"/>
        <w:ind w:firstLine="1506" w:firstLineChars="500"/>
        <w:rPr>
          <w:rFonts w:ascii="仿宋" w:hAnsi="仿宋" w:eastAsia="仿宋" w:cs="仿宋"/>
          <w:b/>
          <w:bCs/>
          <w:color w:val="auto"/>
          <w:sz w:val="30"/>
          <w:szCs w:val="30"/>
        </w:rPr>
      </w:pPr>
    </w:p>
    <w:p w14:paraId="577EC999">
      <w:pPr>
        <w:pStyle w:val="15"/>
        <w:snapToGrid w:val="0"/>
        <w:spacing w:line="360" w:lineRule="auto"/>
        <w:ind w:firstLine="1506" w:firstLineChars="500"/>
        <w:rPr>
          <w:rFonts w:ascii="仿宋" w:hAnsi="仿宋" w:eastAsia="仿宋" w:cs="仿宋"/>
          <w:b/>
          <w:bCs/>
          <w:color w:val="auto"/>
          <w:sz w:val="30"/>
          <w:szCs w:val="30"/>
        </w:rPr>
      </w:pPr>
    </w:p>
    <w:p w14:paraId="388A6BC5">
      <w:pPr>
        <w:pStyle w:val="15"/>
        <w:snapToGrid w:val="0"/>
        <w:spacing w:line="360" w:lineRule="auto"/>
        <w:ind w:firstLine="1506" w:firstLineChars="500"/>
        <w:rPr>
          <w:rFonts w:ascii="仿宋" w:hAnsi="仿宋" w:eastAsia="仿宋" w:cs="仿宋"/>
          <w:b/>
          <w:bCs/>
          <w:color w:val="auto"/>
          <w:sz w:val="30"/>
          <w:szCs w:val="30"/>
        </w:rPr>
      </w:pPr>
    </w:p>
    <w:p w14:paraId="73570C71">
      <w:pPr>
        <w:pStyle w:val="15"/>
        <w:snapToGrid w:val="0"/>
        <w:spacing w:line="360" w:lineRule="auto"/>
        <w:ind w:left="3158" w:leftChars="800" w:right="1632" w:rightChars="777" w:hanging="1478"/>
        <w:jc w:val="left"/>
        <w:rPr>
          <w:rFonts w:hint="eastAsia" w:ascii="仿宋" w:hAnsi="仿宋" w:eastAsia="仿宋" w:cs="仿宋"/>
          <w:b/>
          <w:bCs/>
          <w:color w:val="auto"/>
          <w:sz w:val="30"/>
          <w:szCs w:val="30"/>
        </w:rPr>
      </w:pPr>
      <w:r>
        <w:rPr>
          <w:rFonts w:hint="eastAsia" w:ascii="仿宋" w:hAnsi="仿宋" w:eastAsia="仿宋" w:cs="仿宋"/>
          <w:b/>
          <w:bCs/>
          <w:color w:val="auto"/>
          <w:sz w:val="30"/>
          <w:szCs w:val="30"/>
        </w:rPr>
        <w:t>项目名称：南溪山医院医疗设备一批项目</w:t>
      </w:r>
    </w:p>
    <w:p w14:paraId="770F2069">
      <w:pPr>
        <w:pStyle w:val="15"/>
        <w:snapToGrid w:val="0"/>
        <w:spacing w:line="360" w:lineRule="auto"/>
        <w:ind w:left="0" w:leftChars="0" w:right="1632" w:rightChars="777" w:firstLine="2108" w:firstLineChars="700"/>
        <w:jc w:val="left"/>
        <w:rPr>
          <w:rFonts w:hint="eastAsia" w:ascii="仿宋" w:hAnsi="仿宋" w:eastAsia="仿宋" w:cs="仿宋"/>
          <w:b/>
          <w:bCs/>
          <w:color w:val="auto"/>
          <w:sz w:val="30"/>
          <w:szCs w:val="30"/>
          <w:lang w:eastAsia="zh-CN"/>
        </w:rPr>
      </w:pPr>
      <w:r>
        <w:rPr>
          <w:rFonts w:hint="eastAsia" w:ascii="仿宋" w:hAnsi="仿宋" w:eastAsia="仿宋" w:cs="仿宋"/>
          <w:b/>
          <w:bCs/>
          <w:color w:val="auto"/>
          <w:sz w:val="30"/>
          <w:szCs w:val="30"/>
        </w:rPr>
        <w:t>（十一）（彩色多普勒超声诊断仪、DR）</w:t>
      </w:r>
    </w:p>
    <w:p w14:paraId="257F750A">
      <w:pPr>
        <w:pStyle w:val="15"/>
        <w:snapToGrid w:val="0"/>
        <w:spacing w:line="360" w:lineRule="auto"/>
        <w:ind w:firstLine="1684" w:firstLineChars="559"/>
        <w:jc w:val="left"/>
        <w:rPr>
          <w:rFonts w:hint="eastAsia" w:ascii="仿宋" w:hAnsi="仿宋" w:eastAsia="仿宋" w:cs="仿宋"/>
          <w:b/>
          <w:bCs/>
          <w:color w:val="auto"/>
          <w:sz w:val="30"/>
          <w:szCs w:val="30"/>
          <w:highlight w:val="none"/>
          <w:lang w:eastAsia="zh-CN"/>
        </w:rPr>
      </w:pPr>
      <w:r>
        <w:rPr>
          <w:rFonts w:hint="eastAsia" w:ascii="仿宋" w:hAnsi="仿宋" w:eastAsia="仿宋" w:cs="仿宋"/>
          <w:b/>
          <w:bCs/>
          <w:color w:val="auto"/>
          <w:sz w:val="30"/>
          <w:szCs w:val="30"/>
        </w:rPr>
        <w:t>项目编号：</w:t>
      </w:r>
      <w:r>
        <w:rPr>
          <w:rFonts w:hint="eastAsia" w:ascii="仿宋" w:hAnsi="仿宋" w:eastAsia="仿宋" w:cs="仿宋"/>
          <w:b/>
          <w:bCs/>
          <w:color w:val="auto"/>
          <w:sz w:val="30"/>
          <w:szCs w:val="30"/>
          <w:highlight w:val="none"/>
          <w:lang w:eastAsia="zh-CN"/>
        </w:rPr>
        <w:t>GXZC2026-G1-002918-JYZX</w:t>
      </w:r>
    </w:p>
    <w:p w14:paraId="57AD3406">
      <w:pPr>
        <w:pStyle w:val="15"/>
        <w:snapToGrid w:val="0"/>
        <w:spacing w:line="360" w:lineRule="auto"/>
        <w:ind w:firstLine="1684" w:firstLineChars="559"/>
        <w:jc w:val="left"/>
        <w:rPr>
          <w:rFonts w:hint="eastAsia" w:ascii="仿宋" w:hAnsi="仿宋" w:eastAsia="仿宋" w:cs="仿宋"/>
          <w:b/>
          <w:bCs/>
          <w:color w:val="auto"/>
          <w:sz w:val="30"/>
          <w:szCs w:val="30"/>
          <w:lang w:eastAsia="zh-CN"/>
        </w:rPr>
      </w:pPr>
      <w:r>
        <w:rPr>
          <w:rFonts w:hint="eastAsia" w:ascii="仿宋" w:hAnsi="仿宋" w:eastAsia="仿宋" w:cs="仿宋"/>
          <w:b/>
          <w:bCs/>
          <w:color w:val="auto"/>
          <w:sz w:val="30"/>
          <w:szCs w:val="30"/>
        </w:rPr>
        <w:t>采 购 人：</w:t>
      </w:r>
      <w:r>
        <w:rPr>
          <w:rFonts w:hint="eastAsia" w:ascii="仿宋" w:hAnsi="仿宋" w:eastAsia="仿宋" w:cs="仿宋"/>
          <w:b/>
          <w:bCs/>
          <w:color w:val="auto"/>
          <w:sz w:val="30"/>
          <w:szCs w:val="30"/>
          <w:lang w:eastAsia="zh-CN"/>
        </w:rPr>
        <w:t>广西壮族自治区南溪山医院</w:t>
      </w:r>
    </w:p>
    <w:p w14:paraId="456DCA3D">
      <w:pPr>
        <w:pStyle w:val="15"/>
        <w:snapToGrid w:val="0"/>
        <w:spacing w:line="360" w:lineRule="auto"/>
        <w:ind w:firstLine="2888" w:firstLineChars="959"/>
        <w:jc w:val="left"/>
        <w:rPr>
          <w:rFonts w:hint="eastAsia" w:ascii="仿宋" w:hAnsi="仿宋" w:eastAsia="仿宋" w:cs="仿宋"/>
          <w:b/>
          <w:bCs/>
          <w:color w:val="auto"/>
          <w:sz w:val="30"/>
          <w:szCs w:val="30"/>
          <w:lang w:eastAsia="zh-CN"/>
        </w:rPr>
      </w:pPr>
      <w:r>
        <w:rPr>
          <w:rFonts w:hint="eastAsia" w:ascii="仿宋" w:hAnsi="仿宋" w:eastAsia="仿宋" w:cs="仿宋"/>
          <w:b/>
          <w:bCs/>
          <w:color w:val="auto"/>
          <w:sz w:val="30"/>
          <w:szCs w:val="30"/>
          <w:lang w:eastAsia="zh-CN"/>
        </w:rPr>
        <w:t>（广西壮族自治区第二人民医院）</w:t>
      </w:r>
    </w:p>
    <w:p w14:paraId="56504A4B">
      <w:pPr>
        <w:pStyle w:val="15"/>
        <w:snapToGrid w:val="0"/>
        <w:spacing w:line="360" w:lineRule="auto"/>
        <w:ind w:firstLine="1684" w:firstLineChars="559"/>
        <w:jc w:val="left"/>
        <w:rPr>
          <w:rFonts w:ascii="仿宋" w:hAnsi="仿宋" w:eastAsia="仿宋" w:cs="仿宋"/>
          <w:b/>
          <w:bCs/>
          <w:color w:val="auto"/>
          <w:sz w:val="30"/>
          <w:szCs w:val="30"/>
        </w:rPr>
      </w:pPr>
      <w:r>
        <w:rPr>
          <w:rFonts w:hint="eastAsia" w:ascii="仿宋" w:hAnsi="仿宋" w:eastAsia="仿宋" w:cs="仿宋"/>
          <w:b/>
          <w:bCs/>
          <w:color w:val="auto"/>
          <w:sz w:val="30"/>
          <w:szCs w:val="30"/>
        </w:rPr>
        <w:t>采购代理机构：建银工程咨询有限责任公司</w:t>
      </w:r>
    </w:p>
    <w:p w14:paraId="270CAE2B">
      <w:pPr>
        <w:pStyle w:val="15"/>
        <w:snapToGrid w:val="0"/>
        <w:spacing w:before="50" w:after="120" w:line="360" w:lineRule="auto"/>
        <w:jc w:val="center"/>
        <w:rPr>
          <w:rFonts w:ascii="仿宋" w:hAnsi="仿宋" w:eastAsia="仿宋" w:cs="仿宋"/>
          <w:b/>
          <w:bCs/>
          <w:color w:val="auto"/>
          <w:w w:val="95"/>
          <w:sz w:val="30"/>
          <w:szCs w:val="30"/>
        </w:rPr>
      </w:pPr>
    </w:p>
    <w:p w14:paraId="705D7BA7">
      <w:pPr>
        <w:pStyle w:val="15"/>
        <w:snapToGrid w:val="0"/>
        <w:spacing w:before="50" w:after="120" w:line="360" w:lineRule="auto"/>
        <w:jc w:val="center"/>
        <w:rPr>
          <w:rFonts w:ascii="仿宋" w:hAnsi="仿宋" w:eastAsia="仿宋" w:cs="仿宋"/>
          <w:b/>
          <w:bCs/>
          <w:color w:val="auto"/>
          <w:w w:val="95"/>
          <w:sz w:val="30"/>
          <w:szCs w:val="30"/>
        </w:rPr>
      </w:pPr>
    </w:p>
    <w:p w14:paraId="2FC4AFD5">
      <w:pPr>
        <w:pStyle w:val="15"/>
        <w:spacing w:before="120" w:after="120" w:line="360" w:lineRule="auto"/>
        <w:jc w:val="center"/>
        <w:rPr>
          <w:rFonts w:ascii="仿宋_GB2312" w:hAnsi="宋体" w:eastAsia="仿宋_GB2312"/>
          <w:color w:val="auto"/>
        </w:rPr>
      </w:pPr>
      <w:r>
        <w:rPr>
          <w:rFonts w:hint="eastAsia" w:ascii="仿宋" w:hAnsi="仿宋" w:eastAsia="仿宋" w:cs="仿宋"/>
          <w:b/>
          <w:bCs/>
          <w:color w:val="auto"/>
          <w:w w:val="95"/>
          <w:sz w:val="30"/>
          <w:szCs w:val="30"/>
        </w:rPr>
        <w:t>202</w:t>
      </w:r>
      <w:r>
        <w:rPr>
          <w:rFonts w:hint="eastAsia" w:ascii="仿宋" w:hAnsi="仿宋" w:eastAsia="仿宋" w:cs="仿宋"/>
          <w:b/>
          <w:bCs/>
          <w:color w:val="auto"/>
          <w:w w:val="95"/>
          <w:sz w:val="30"/>
          <w:szCs w:val="30"/>
          <w:lang w:val="en-US" w:eastAsia="zh-CN"/>
        </w:rPr>
        <w:t>6</w:t>
      </w:r>
      <w:r>
        <w:rPr>
          <w:rFonts w:hint="eastAsia" w:ascii="仿宋" w:hAnsi="仿宋" w:eastAsia="仿宋" w:cs="仿宋"/>
          <w:b/>
          <w:bCs/>
          <w:color w:val="auto"/>
          <w:w w:val="95"/>
          <w:sz w:val="30"/>
          <w:szCs w:val="30"/>
        </w:rPr>
        <w:t>年</w:t>
      </w:r>
      <w:r>
        <w:rPr>
          <w:rFonts w:hint="eastAsia" w:ascii="仿宋" w:hAnsi="仿宋" w:eastAsia="仿宋" w:cs="仿宋"/>
          <w:b/>
          <w:bCs/>
          <w:color w:val="auto"/>
          <w:w w:val="95"/>
          <w:sz w:val="30"/>
          <w:szCs w:val="30"/>
          <w:lang w:val="en-US" w:eastAsia="zh-CN"/>
        </w:rPr>
        <w:t>9</w:t>
      </w:r>
      <w:r>
        <w:rPr>
          <w:rFonts w:hint="eastAsia" w:ascii="仿宋" w:hAnsi="仿宋" w:eastAsia="仿宋" w:cs="仿宋"/>
          <w:b/>
          <w:bCs/>
          <w:color w:val="auto"/>
          <w:w w:val="95"/>
          <w:sz w:val="30"/>
          <w:szCs w:val="30"/>
        </w:rPr>
        <w:t>月</w:t>
      </w:r>
    </w:p>
    <w:p w14:paraId="4DE37C30">
      <w:pPr>
        <w:pStyle w:val="12"/>
        <w:kinsoku w:val="0"/>
        <w:overflowPunct w:val="0"/>
        <w:rPr>
          <w:color w:val="auto"/>
          <w:sz w:val="40"/>
        </w:rPr>
      </w:pPr>
    </w:p>
    <w:p w14:paraId="75DA8E95">
      <w:pPr>
        <w:pStyle w:val="15"/>
        <w:spacing w:before="120" w:after="120" w:line="360" w:lineRule="auto"/>
        <w:jc w:val="center"/>
        <w:rPr>
          <w:rFonts w:ascii="仿宋_GB2312" w:hAnsi="宋体" w:eastAsia="仿宋_GB2312"/>
          <w:color w:val="auto"/>
        </w:rPr>
        <w:sectPr>
          <w:headerReference r:id="rId5" w:type="first"/>
          <w:footerReference r:id="rId7" w:type="first"/>
          <w:headerReference r:id="rId3" w:type="default"/>
          <w:headerReference r:id="rId4" w:type="even"/>
          <w:footerReference r:id="rId6" w:type="even"/>
          <w:pgSz w:w="11906" w:h="16838"/>
          <w:pgMar w:top="1134" w:right="1247" w:bottom="1560" w:left="1247" w:header="851" w:footer="992" w:gutter="0"/>
          <w:pgNumType w:start="0"/>
          <w:cols w:space="720" w:num="1"/>
          <w:titlePg/>
          <w:docGrid w:linePitch="312" w:charSpace="0"/>
        </w:sectPr>
      </w:pPr>
    </w:p>
    <w:p w14:paraId="3D5C7D78">
      <w:pPr>
        <w:rPr>
          <w:color w:val="auto"/>
        </w:rPr>
      </w:pPr>
    </w:p>
    <w:p w14:paraId="36285CD3">
      <w:pPr>
        <w:pStyle w:val="15"/>
        <w:spacing w:before="120" w:after="120" w:line="360" w:lineRule="auto"/>
        <w:jc w:val="center"/>
        <w:rPr>
          <w:rFonts w:ascii="仿宋_GB2312" w:hAnsi="宋体" w:eastAsia="仿宋_GB2312"/>
          <w:color w:val="auto"/>
          <w:sz w:val="32"/>
          <w:szCs w:val="32"/>
        </w:rPr>
      </w:pPr>
      <w:r>
        <w:rPr>
          <w:rFonts w:hint="eastAsia" w:ascii="仿宋_GB2312" w:hAnsi="宋体" w:eastAsia="仿宋_GB2312"/>
          <w:color w:val="auto"/>
          <w:sz w:val="32"/>
          <w:szCs w:val="32"/>
        </w:rPr>
        <w:t>目    录</w:t>
      </w:r>
    </w:p>
    <w:p w14:paraId="7C0DC233">
      <w:pPr>
        <w:pStyle w:val="19"/>
        <w:tabs>
          <w:tab w:val="right" w:leader="dot" w:pos="9412"/>
          <w:tab w:val="clear" w:pos="8398"/>
        </w:tabs>
        <w:spacing w:line="480" w:lineRule="auto"/>
        <w:ind w:firstLine="0" w:firstLineChars="0"/>
        <w:rPr>
          <w:rFonts w:cs="宋体"/>
          <w:b w:val="0"/>
          <w:bCs w:val="0"/>
          <w:color w:val="auto"/>
        </w:rPr>
      </w:pPr>
      <w:r>
        <w:rPr>
          <w:rFonts w:ascii="仿宋_GB2312" w:eastAsia="仿宋_GB2312"/>
          <w:b w:val="0"/>
          <w:color w:val="auto"/>
        </w:rPr>
        <w:fldChar w:fldCharType="begin"/>
      </w:r>
      <w:r>
        <w:rPr>
          <w:rFonts w:hint="eastAsia" w:ascii="仿宋_GB2312" w:eastAsia="仿宋_GB2312"/>
          <w:b w:val="0"/>
          <w:color w:val="auto"/>
        </w:rPr>
        <w:instrText xml:space="preserve">TOC \o "1-2" \h \z \u</w:instrText>
      </w:r>
      <w:r>
        <w:rPr>
          <w:rFonts w:ascii="仿宋_GB2312" w:eastAsia="仿宋_GB2312"/>
          <w:b w:val="0"/>
          <w:color w:val="auto"/>
        </w:rPr>
        <w:fldChar w:fldCharType="separate"/>
      </w:r>
      <w:r>
        <w:rPr>
          <w:color w:val="auto"/>
        </w:rPr>
        <w:fldChar w:fldCharType="begin"/>
      </w:r>
      <w:r>
        <w:rPr>
          <w:color w:val="auto"/>
        </w:rPr>
        <w:instrText xml:space="preserve"> HYPERLINK \l "_Toc1489" </w:instrText>
      </w:r>
      <w:r>
        <w:rPr>
          <w:color w:val="auto"/>
        </w:rPr>
        <w:fldChar w:fldCharType="separate"/>
      </w:r>
      <w:r>
        <w:rPr>
          <w:rFonts w:hint="eastAsia" w:cs="宋体"/>
          <w:b w:val="0"/>
          <w:bCs w:val="0"/>
          <w:color w:val="auto"/>
          <w:kern w:val="0"/>
        </w:rPr>
        <w:t>第一章  招标公告</w:t>
      </w:r>
      <w:r>
        <w:rPr>
          <w:rFonts w:hint="eastAsia" w:cs="宋体"/>
          <w:b w:val="0"/>
          <w:bCs w:val="0"/>
          <w:color w:val="auto"/>
        </w:rPr>
        <w:tab/>
      </w:r>
      <w:r>
        <w:rPr>
          <w:rFonts w:hint="eastAsia" w:cs="宋体"/>
          <w:b w:val="0"/>
          <w:bCs w:val="0"/>
          <w:color w:val="auto"/>
        </w:rPr>
        <w:fldChar w:fldCharType="begin"/>
      </w:r>
      <w:r>
        <w:rPr>
          <w:rFonts w:hint="eastAsia" w:cs="宋体"/>
          <w:b w:val="0"/>
          <w:bCs w:val="0"/>
          <w:color w:val="auto"/>
        </w:rPr>
        <w:instrText xml:space="preserve"> PAGEREF _Toc1489 \h </w:instrText>
      </w:r>
      <w:r>
        <w:rPr>
          <w:rFonts w:hint="eastAsia" w:cs="宋体"/>
          <w:b w:val="0"/>
          <w:bCs w:val="0"/>
          <w:color w:val="auto"/>
        </w:rPr>
        <w:fldChar w:fldCharType="separate"/>
      </w:r>
      <w:r>
        <w:rPr>
          <w:rFonts w:hint="eastAsia" w:cs="宋体"/>
          <w:b w:val="0"/>
          <w:bCs w:val="0"/>
          <w:color w:val="auto"/>
        </w:rPr>
        <w:t>2</w:t>
      </w:r>
      <w:r>
        <w:rPr>
          <w:rFonts w:hint="eastAsia" w:cs="宋体"/>
          <w:b w:val="0"/>
          <w:bCs w:val="0"/>
          <w:color w:val="auto"/>
        </w:rPr>
        <w:fldChar w:fldCharType="end"/>
      </w:r>
      <w:r>
        <w:rPr>
          <w:rFonts w:hint="eastAsia" w:cs="宋体"/>
          <w:b w:val="0"/>
          <w:bCs w:val="0"/>
          <w:color w:val="auto"/>
        </w:rPr>
        <w:fldChar w:fldCharType="end"/>
      </w:r>
    </w:p>
    <w:p w14:paraId="66C23642">
      <w:pPr>
        <w:pStyle w:val="21"/>
        <w:tabs>
          <w:tab w:val="right" w:leader="dot" w:pos="9412"/>
        </w:tabs>
        <w:spacing w:line="480" w:lineRule="auto"/>
        <w:ind w:left="0" w:leftChars="0"/>
        <w:rPr>
          <w:rFonts w:ascii="宋体" w:hAnsi="宋体" w:cs="宋体"/>
          <w:color w:val="auto"/>
          <w:sz w:val="24"/>
        </w:rPr>
      </w:pPr>
      <w:r>
        <w:rPr>
          <w:color w:val="auto"/>
        </w:rPr>
        <w:fldChar w:fldCharType="begin"/>
      </w:r>
      <w:r>
        <w:rPr>
          <w:color w:val="auto"/>
        </w:rPr>
        <w:instrText xml:space="preserve"> HYPERLINK \l "_Toc828" </w:instrText>
      </w:r>
      <w:r>
        <w:rPr>
          <w:color w:val="auto"/>
        </w:rPr>
        <w:fldChar w:fldCharType="separate"/>
      </w:r>
      <w:r>
        <w:rPr>
          <w:rFonts w:hint="eastAsia" w:ascii="宋体" w:hAnsi="宋体" w:cs="宋体"/>
          <w:color w:val="auto"/>
          <w:sz w:val="24"/>
        </w:rPr>
        <w:t>第二章  采购需求</w:t>
      </w:r>
      <w:r>
        <w:rPr>
          <w:rFonts w:hint="eastAsia" w:ascii="宋体" w:hAnsi="宋体" w:cs="宋体"/>
          <w:color w:val="auto"/>
          <w:sz w:val="24"/>
        </w:rPr>
        <w:tab/>
      </w:r>
      <w:r>
        <w:rPr>
          <w:rFonts w:hint="eastAsia" w:ascii="宋体" w:hAnsi="宋体" w:cs="宋体"/>
          <w:color w:val="auto"/>
          <w:sz w:val="24"/>
        </w:rPr>
        <w:fldChar w:fldCharType="begin"/>
      </w:r>
      <w:r>
        <w:rPr>
          <w:rFonts w:hint="eastAsia" w:ascii="宋体" w:hAnsi="宋体" w:cs="宋体"/>
          <w:color w:val="auto"/>
          <w:sz w:val="24"/>
        </w:rPr>
        <w:instrText xml:space="preserve"> PAGEREF _Toc828 \h </w:instrText>
      </w:r>
      <w:r>
        <w:rPr>
          <w:rFonts w:hint="eastAsia" w:ascii="宋体" w:hAnsi="宋体" w:cs="宋体"/>
          <w:color w:val="auto"/>
          <w:sz w:val="24"/>
        </w:rPr>
        <w:fldChar w:fldCharType="separate"/>
      </w:r>
      <w:r>
        <w:rPr>
          <w:rFonts w:hint="eastAsia" w:ascii="宋体" w:hAnsi="宋体" w:cs="宋体"/>
          <w:color w:val="auto"/>
          <w:sz w:val="24"/>
        </w:rPr>
        <w:t>6</w:t>
      </w:r>
      <w:r>
        <w:rPr>
          <w:rFonts w:hint="eastAsia" w:ascii="宋体" w:hAnsi="宋体" w:cs="宋体"/>
          <w:color w:val="auto"/>
          <w:sz w:val="24"/>
        </w:rPr>
        <w:fldChar w:fldCharType="end"/>
      </w:r>
      <w:r>
        <w:rPr>
          <w:rFonts w:hint="eastAsia" w:ascii="宋体" w:hAnsi="宋体" w:cs="宋体"/>
          <w:color w:val="auto"/>
          <w:sz w:val="24"/>
        </w:rPr>
        <w:fldChar w:fldCharType="end"/>
      </w:r>
    </w:p>
    <w:p w14:paraId="05F3471D">
      <w:pPr>
        <w:pStyle w:val="21"/>
        <w:tabs>
          <w:tab w:val="right" w:leader="dot" w:pos="9412"/>
        </w:tabs>
        <w:spacing w:line="480" w:lineRule="auto"/>
        <w:ind w:left="0" w:leftChars="0"/>
        <w:rPr>
          <w:rFonts w:ascii="宋体" w:hAnsi="宋体" w:cs="宋体"/>
          <w:color w:val="auto"/>
          <w:sz w:val="24"/>
        </w:rPr>
      </w:pPr>
      <w:r>
        <w:rPr>
          <w:color w:val="auto"/>
        </w:rPr>
        <w:fldChar w:fldCharType="begin"/>
      </w:r>
      <w:r>
        <w:rPr>
          <w:color w:val="auto"/>
        </w:rPr>
        <w:instrText xml:space="preserve"> HYPERLINK \l "_Toc16535" </w:instrText>
      </w:r>
      <w:r>
        <w:rPr>
          <w:color w:val="auto"/>
        </w:rPr>
        <w:fldChar w:fldCharType="separate"/>
      </w:r>
      <w:r>
        <w:rPr>
          <w:rFonts w:hint="eastAsia" w:ascii="宋体" w:hAnsi="宋体" w:cs="宋体"/>
          <w:color w:val="auto"/>
          <w:sz w:val="24"/>
        </w:rPr>
        <w:t>第三章  投标人须知</w:t>
      </w:r>
      <w:r>
        <w:rPr>
          <w:rFonts w:hint="eastAsia" w:ascii="宋体" w:hAnsi="宋体" w:cs="宋体"/>
          <w:color w:val="auto"/>
          <w:sz w:val="24"/>
        </w:rPr>
        <w:tab/>
      </w:r>
      <w:r>
        <w:rPr>
          <w:rFonts w:hint="eastAsia" w:ascii="宋体" w:hAnsi="宋体" w:cs="宋体"/>
          <w:color w:val="auto"/>
          <w:sz w:val="24"/>
        </w:rPr>
        <w:fldChar w:fldCharType="begin"/>
      </w:r>
      <w:r>
        <w:rPr>
          <w:rFonts w:hint="eastAsia" w:ascii="宋体" w:hAnsi="宋体" w:cs="宋体"/>
          <w:color w:val="auto"/>
          <w:sz w:val="24"/>
        </w:rPr>
        <w:instrText xml:space="preserve"> PAGEREF _Toc16535 \h </w:instrText>
      </w:r>
      <w:r>
        <w:rPr>
          <w:rFonts w:hint="eastAsia" w:ascii="宋体" w:hAnsi="宋体" w:cs="宋体"/>
          <w:color w:val="auto"/>
          <w:sz w:val="24"/>
        </w:rPr>
        <w:fldChar w:fldCharType="separate"/>
      </w:r>
      <w:r>
        <w:rPr>
          <w:rFonts w:hint="eastAsia" w:ascii="宋体" w:hAnsi="宋体" w:cs="宋体"/>
          <w:color w:val="auto"/>
          <w:sz w:val="24"/>
        </w:rPr>
        <w:t>32</w:t>
      </w:r>
      <w:r>
        <w:rPr>
          <w:rFonts w:hint="eastAsia" w:ascii="宋体" w:hAnsi="宋体" w:cs="宋体"/>
          <w:color w:val="auto"/>
          <w:sz w:val="24"/>
        </w:rPr>
        <w:fldChar w:fldCharType="end"/>
      </w:r>
      <w:r>
        <w:rPr>
          <w:rFonts w:hint="eastAsia" w:ascii="宋体" w:hAnsi="宋体" w:cs="宋体"/>
          <w:color w:val="auto"/>
          <w:sz w:val="24"/>
        </w:rPr>
        <w:fldChar w:fldCharType="end"/>
      </w:r>
    </w:p>
    <w:p w14:paraId="3A7904FC">
      <w:pPr>
        <w:pStyle w:val="21"/>
        <w:tabs>
          <w:tab w:val="right" w:leader="dot" w:pos="9412"/>
        </w:tabs>
        <w:spacing w:line="480" w:lineRule="auto"/>
        <w:ind w:left="0" w:leftChars="0"/>
        <w:rPr>
          <w:rFonts w:ascii="宋体" w:hAnsi="宋体" w:cs="宋体"/>
          <w:color w:val="auto"/>
          <w:sz w:val="24"/>
        </w:rPr>
      </w:pPr>
      <w:r>
        <w:rPr>
          <w:color w:val="auto"/>
        </w:rPr>
        <w:fldChar w:fldCharType="begin"/>
      </w:r>
      <w:r>
        <w:rPr>
          <w:color w:val="auto"/>
        </w:rPr>
        <w:instrText xml:space="preserve"> HYPERLINK \l "_Toc27810" </w:instrText>
      </w:r>
      <w:r>
        <w:rPr>
          <w:color w:val="auto"/>
        </w:rPr>
        <w:fldChar w:fldCharType="separate"/>
      </w:r>
      <w:r>
        <w:rPr>
          <w:rFonts w:hint="eastAsia" w:ascii="宋体" w:hAnsi="宋体" w:cs="宋体"/>
          <w:color w:val="auto"/>
          <w:sz w:val="24"/>
        </w:rPr>
        <w:t>第四章  评标方法及评标标准</w:t>
      </w:r>
      <w:r>
        <w:rPr>
          <w:rFonts w:hint="eastAsia" w:ascii="宋体" w:hAnsi="宋体" w:cs="宋体"/>
          <w:color w:val="auto"/>
          <w:sz w:val="24"/>
        </w:rPr>
        <w:tab/>
      </w:r>
      <w:r>
        <w:rPr>
          <w:rFonts w:hint="eastAsia" w:ascii="宋体" w:hAnsi="宋体" w:cs="宋体"/>
          <w:color w:val="auto"/>
          <w:sz w:val="24"/>
        </w:rPr>
        <w:fldChar w:fldCharType="begin"/>
      </w:r>
      <w:r>
        <w:rPr>
          <w:rFonts w:hint="eastAsia" w:ascii="宋体" w:hAnsi="宋体" w:cs="宋体"/>
          <w:color w:val="auto"/>
          <w:sz w:val="24"/>
        </w:rPr>
        <w:instrText xml:space="preserve"> PAGEREF _Toc27810 \h </w:instrText>
      </w:r>
      <w:r>
        <w:rPr>
          <w:rFonts w:hint="eastAsia" w:ascii="宋体" w:hAnsi="宋体" w:cs="宋体"/>
          <w:color w:val="auto"/>
          <w:sz w:val="24"/>
        </w:rPr>
        <w:fldChar w:fldCharType="separate"/>
      </w:r>
      <w:r>
        <w:rPr>
          <w:rFonts w:hint="eastAsia" w:ascii="宋体" w:hAnsi="宋体" w:cs="宋体"/>
          <w:color w:val="auto"/>
          <w:sz w:val="24"/>
        </w:rPr>
        <w:t>54</w:t>
      </w:r>
      <w:r>
        <w:rPr>
          <w:rFonts w:hint="eastAsia" w:ascii="宋体" w:hAnsi="宋体" w:cs="宋体"/>
          <w:color w:val="auto"/>
          <w:sz w:val="24"/>
        </w:rPr>
        <w:fldChar w:fldCharType="end"/>
      </w:r>
      <w:r>
        <w:rPr>
          <w:rFonts w:hint="eastAsia" w:ascii="宋体" w:hAnsi="宋体" w:cs="宋体"/>
          <w:color w:val="auto"/>
          <w:sz w:val="24"/>
        </w:rPr>
        <w:fldChar w:fldCharType="end"/>
      </w:r>
    </w:p>
    <w:p w14:paraId="7001619C">
      <w:pPr>
        <w:pStyle w:val="21"/>
        <w:tabs>
          <w:tab w:val="right" w:leader="dot" w:pos="9412"/>
        </w:tabs>
        <w:spacing w:line="480" w:lineRule="auto"/>
        <w:ind w:left="0" w:leftChars="0"/>
        <w:rPr>
          <w:rFonts w:ascii="宋体" w:hAnsi="宋体" w:cs="宋体"/>
          <w:color w:val="auto"/>
          <w:sz w:val="24"/>
        </w:rPr>
      </w:pPr>
      <w:r>
        <w:rPr>
          <w:color w:val="auto"/>
        </w:rPr>
        <w:fldChar w:fldCharType="begin"/>
      </w:r>
      <w:r>
        <w:rPr>
          <w:color w:val="auto"/>
        </w:rPr>
        <w:instrText xml:space="preserve"> HYPERLINK \l "_Toc6006" </w:instrText>
      </w:r>
      <w:r>
        <w:rPr>
          <w:color w:val="auto"/>
        </w:rPr>
        <w:fldChar w:fldCharType="separate"/>
      </w:r>
      <w:r>
        <w:rPr>
          <w:rFonts w:hint="eastAsia" w:ascii="宋体" w:hAnsi="宋体" w:cs="宋体"/>
          <w:color w:val="auto"/>
          <w:sz w:val="24"/>
        </w:rPr>
        <w:t>第五章  拟签订的合同文本</w:t>
      </w:r>
      <w:r>
        <w:rPr>
          <w:rFonts w:hint="eastAsia" w:ascii="宋体" w:hAnsi="宋体" w:cs="宋体"/>
          <w:color w:val="auto"/>
          <w:sz w:val="24"/>
        </w:rPr>
        <w:tab/>
      </w:r>
      <w:r>
        <w:rPr>
          <w:rFonts w:hint="eastAsia" w:ascii="宋体" w:hAnsi="宋体" w:cs="宋体"/>
          <w:color w:val="auto"/>
          <w:sz w:val="24"/>
        </w:rPr>
        <w:fldChar w:fldCharType="begin"/>
      </w:r>
      <w:r>
        <w:rPr>
          <w:rFonts w:hint="eastAsia" w:ascii="宋体" w:hAnsi="宋体" w:cs="宋体"/>
          <w:color w:val="auto"/>
          <w:sz w:val="24"/>
        </w:rPr>
        <w:instrText xml:space="preserve"> PAGEREF _Toc6006 \h </w:instrText>
      </w:r>
      <w:r>
        <w:rPr>
          <w:rFonts w:hint="eastAsia" w:ascii="宋体" w:hAnsi="宋体" w:cs="宋体"/>
          <w:color w:val="auto"/>
          <w:sz w:val="24"/>
        </w:rPr>
        <w:fldChar w:fldCharType="separate"/>
      </w:r>
      <w:r>
        <w:rPr>
          <w:rFonts w:hint="eastAsia" w:ascii="宋体" w:hAnsi="宋体" w:cs="宋体"/>
          <w:color w:val="auto"/>
          <w:sz w:val="24"/>
        </w:rPr>
        <w:t>64</w:t>
      </w:r>
      <w:r>
        <w:rPr>
          <w:rFonts w:hint="eastAsia" w:ascii="宋体" w:hAnsi="宋体" w:cs="宋体"/>
          <w:color w:val="auto"/>
          <w:sz w:val="24"/>
        </w:rPr>
        <w:fldChar w:fldCharType="end"/>
      </w:r>
      <w:r>
        <w:rPr>
          <w:rFonts w:hint="eastAsia" w:ascii="宋体" w:hAnsi="宋体" w:cs="宋体"/>
          <w:color w:val="auto"/>
          <w:sz w:val="24"/>
        </w:rPr>
        <w:fldChar w:fldCharType="end"/>
      </w:r>
    </w:p>
    <w:p w14:paraId="23A2C551">
      <w:pPr>
        <w:pStyle w:val="21"/>
        <w:tabs>
          <w:tab w:val="right" w:leader="dot" w:pos="9412"/>
        </w:tabs>
        <w:spacing w:line="480" w:lineRule="auto"/>
        <w:ind w:left="0" w:leftChars="0"/>
        <w:rPr>
          <w:rFonts w:ascii="宋体" w:hAnsi="宋体" w:cs="宋体"/>
          <w:color w:val="auto"/>
          <w:sz w:val="24"/>
        </w:rPr>
      </w:pPr>
      <w:r>
        <w:rPr>
          <w:color w:val="auto"/>
        </w:rPr>
        <w:fldChar w:fldCharType="begin"/>
      </w:r>
      <w:r>
        <w:rPr>
          <w:color w:val="auto"/>
        </w:rPr>
        <w:instrText xml:space="preserve"> HYPERLINK \l "_Toc22558" </w:instrText>
      </w:r>
      <w:r>
        <w:rPr>
          <w:color w:val="auto"/>
        </w:rPr>
        <w:fldChar w:fldCharType="separate"/>
      </w:r>
      <w:r>
        <w:rPr>
          <w:rFonts w:hint="eastAsia" w:ascii="宋体" w:hAnsi="宋体" w:cs="宋体"/>
          <w:color w:val="auto"/>
          <w:sz w:val="24"/>
        </w:rPr>
        <w:t>第六章　投标文件格式</w:t>
      </w:r>
      <w:r>
        <w:rPr>
          <w:rFonts w:hint="eastAsia" w:ascii="宋体" w:hAnsi="宋体" w:cs="宋体"/>
          <w:color w:val="auto"/>
          <w:sz w:val="24"/>
        </w:rPr>
        <w:tab/>
      </w:r>
      <w:r>
        <w:rPr>
          <w:rFonts w:hint="eastAsia" w:ascii="宋体" w:hAnsi="宋体" w:cs="宋体"/>
          <w:color w:val="auto"/>
          <w:sz w:val="24"/>
        </w:rPr>
        <w:fldChar w:fldCharType="begin"/>
      </w:r>
      <w:r>
        <w:rPr>
          <w:rFonts w:hint="eastAsia" w:ascii="宋体" w:hAnsi="宋体" w:cs="宋体"/>
          <w:color w:val="auto"/>
          <w:sz w:val="24"/>
        </w:rPr>
        <w:instrText xml:space="preserve"> PAGEREF _Toc22558 \h </w:instrText>
      </w:r>
      <w:r>
        <w:rPr>
          <w:rFonts w:hint="eastAsia" w:ascii="宋体" w:hAnsi="宋体" w:cs="宋体"/>
          <w:color w:val="auto"/>
          <w:sz w:val="24"/>
        </w:rPr>
        <w:fldChar w:fldCharType="separate"/>
      </w:r>
      <w:r>
        <w:rPr>
          <w:rFonts w:hint="eastAsia" w:ascii="宋体" w:hAnsi="宋体" w:cs="宋体"/>
          <w:color w:val="auto"/>
          <w:sz w:val="24"/>
        </w:rPr>
        <w:t>73</w:t>
      </w:r>
      <w:r>
        <w:rPr>
          <w:rFonts w:hint="eastAsia" w:ascii="宋体" w:hAnsi="宋体" w:cs="宋体"/>
          <w:color w:val="auto"/>
          <w:sz w:val="24"/>
        </w:rPr>
        <w:fldChar w:fldCharType="end"/>
      </w:r>
      <w:r>
        <w:rPr>
          <w:rFonts w:hint="eastAsia" w:ascii="宋体" w:hAnsi="宋体" w:cs="宋体"/>
          <w:color w:val="auto"/>
          <w:sz w:val="24"/>
        </w:rPr>
        <w:fldChar w:fldCharType="end"/>
      </w:r>
    </w:p>
    <w:p w14:paraId="5E02799F">
      <w:pPr>
        <w:pStyle w:val="21"/>
        <w:tabs>
          <w:tab w:val="right" w:leader="dot" w:pos="9412"/>
        </w:tabs>
        <w:spacing w:line="480" w:lineRule="auto"/>
        <w:ind w:left="0" w:leftChars="0"/>
        <w:rPr>
          <w:color w:val="auto"/>
        </w:rPr>
      </w:pPr>
      <w:r>
        <w:rPr>
          <w:color w:val="auto"/>
        </w:rPr>
        <w:fldChar w:fldCharType="begin"/>
      </w:r>
      <w:r>
        <w:rPr>
          <w:color w:val="auto"/>
        </w:rPr>
        <w:instrText xml:space="preserve"> HYPERLINK \l "_Toc16006" </w:instrText>
      </w:r>
      <w:r>
        <w:rPr>
          <w:color w:val="auto"/>
        </w:rPr>
        <w:fldChar w:fldCharType="separate"/>
      </w:r>
      <w:r>
        <w:rPr>
          <w:rFonts w:hint="eastAsia" w:ascii="宋体" w:hAnsi="宋体" w:cs="宋体"/>
          <w:color w:val="auto"/>
          <w:kern w:val="0"/>
          <w:sz w:val="24"/>
        </w:rPr>
        <w:t>第七章  其他文书、文件格式</w:t>
      </w:r>
      <w:r>
        <w:rPr>
          <w:rFonts w:hint="eastAsia" w:ascii="宋体" w:hAnsi="宋体" w:cs="宋体"/>
          <w:color w:val="auto"/>
          <w:sz w:val="24"/>
        </w:rPr>
        <w:tab/>
      </w:r>
      <w:r>
        <w:rPr>
          <w:rFonts w:hint="eastAsia" w:ascii="宋体" w:hAnsi="宋体" w:cs="宋体"/>
          <w:color w:val="auto"/>
          <w:sz w:val="24"/>
        </w:rPr>
        <w:fldChar w:fldCharType="begin"/>
      </w:r>
      <w:r>
        <w:rPr>
          <w:rFonts w:hint="eastAsia" w:ascii="宋体" w:hAnsi="宋体" w:cs="宋体"/>
          <w:color w:val="auto"/>
          <w:sz w:val="24"/>
        </w:rPr>
        <w:instrText xml:space="preserve"> PAGEREF _Toc16006 \h </w:instrText>
      </w:r>
      <w:r>
        <w:rPr>
          <w:rFonts w:hint="eastAsia" w:ascii="宋体" w:hAnsi="宋体" w:cs="宋体"/>
          <w:color w:val="auto"/>
          <w:sz w:val="24"/>
        </w:rPr>
        <w:fldChar w:fldCharType="separate"/>
      </w:r>
      <w:r>
        <w:rPr>
          <w:rFonts w:hint="eastAsia" w:ascii="宋体" w:hAnsi="宋体" w:cs="宋体"/>
          <w:color w:val="auto"/>
          <w:sz w:val="24"/>
        </w:rPr>
        <w:t>95</w:t>
      </w:r>
      <w:r>
        <w:rPr>
          <w:rFonts w:hint="eastAsia" w:ascii="宋体" w:hAnsi="宋体" w:cs="宋体"/>
          <w:color w:val="auto"/>
          <w:sz w:val="24"/>
        </w:rPr>
        <w:fldChar w:fldCharType="end"/>
      </w:r>
      <w:r>
        <w:rPr>
          <w:rFonts w:hint="eastAsia" w:ascii="宋体" w:hAnsi="宋体" w:cs="宋体"/>
          <w:color w:val="auto"/>
          <w:sz w:val="24"/>
        </w:rPr>
        <w:fldChar w:fldCharType="end"/>
      </w:r>
    </w:p>
    <w:p w14:paraId="230590F6">
      <w:pPr>
        <w:spacing w:beforeLines="50" w:line="480" w:lineRule="exact"/>
        <w:rPr>
          <w:rFonts w:ascii="仿宋_GB2312" w:hAnsi="宋体" w:eastAsia="仿宋_GB2312"/>
          <w:color w:val="auto"/>
          <w:sz w:val="24"/>
        </w:rPr>
      </w:pPr>
      <w:r>
        <w:rPr>
          <w:rFonts w:ascii="仿宋_GB2312" w:hAnsi="宋体" w:eastAsia="仿宋_GB2312"/>
          <w:color w:val="auto"/>
        </w:rPr>
        <w:fldChar w:fldCharType="end"/>
      </w:r>
    </w:p>
    <w:p w14:paraId="2EA3339C">
      <w:pPr>
        <w:spacing w:beforeLines="50" w:line="480" w:lineRule="exact"/>
        <w:rPr>
          <w:rFonts w:ascii="仿宋_GB2312" w:hAnsi="宋体" w:eastAsia="仿宋_GB2312"/>
          <w:color w:val="auto"/>
          <w:sz w:val="30"/>
        </w:rPr>
      </w:pPr>
    </w:p>
    <w:p w14:paraId="2D1A541B">
      <w:pPr>
        <w:rPr>
          <w:color w:val="auto"/>
        </w:rPr>
      </w:pPr>
    </w:p>
    <w:p w14:paraId="59EE20E6">
      <w:pPr>
        <w:spacing w:beforeLines="50" w:line="480" w:lineRule="exact"/>
        <w:rPr>
          <w:rFonts w:ascii="仿宋_GB2312" w:hAnsi="宋体" w:eastAsia="仿宋_GB2312"/>
          <w:color w:val="auto"/>
          <w:sz w:val="30"/>
        </w:rPr>
      </w:pPr>
    </w:p>
    <w:p w14:paraId="4B7FAB98">
      <w:pPr>
        <w:spacing w:beforeLines="50" w:line="480" w:lineRule="exact"/>
        <w:rPr>
          <w:rFonts w:ascii="仿宋_GB2312" w:hAnsi="宋体" w:eastAsia="仿宋_GB2312"/>
          <w:color w:val="auto"/>
          <w:sz w:val="30"/>
        </w:rPr>
      </w:pPr>
    </w:p>
    <w:p w14:paraId="53E0AEFD">
      <w:pPr>
        <w:pStyle w:val="10"/>
        <w:rPr>
          <w:rFonts w:ascii="宋体" w:hAnsi="宋体" w:cs="宋体"/>
          <w:b/>
          <w:bCs/>
          <w:color w:val="auto"/>
        </w:rPr>
      </w:pPr>
      <w:bookmarkStart w:id="0" w:name="_Toc254970489"/>
      <w:bookmarkStart w:id="1" w:name="_Toc254970630"/>
    </w:p>
    <w:p w14:paraId="0EB27A04">
      <w:pPr>
        <w:pStyle w:val="2"/>
        <w:keepNext w:val="0"/>
        <w:keepLines w:val="0"/>
        <w:tabs>
          <w:tab w:val="left" w:pos="0"/>
          <w:tab w:val="left" w:pos="3165"/>
          <w:tab w:val="center" w:pos="4153"/>
        </w:tabs>
        <w:autoSpaceDE w:val="0"/>
        <w:autoSpaceDN w:val="0"/>
        <w:adjustRightInd w:val="0"/>
        <w:spacing w:before="0" w:after="0" w:line="360" w:lineRule="auto"/>
        <w:jc w:val="center"/>
        <w:rPr>
          <w:rFonts w:ascii="Arial" w:hAnsi="Arial" w:eastAsia="黑体"/>
          <w:color w:val="auto"/>
          <w:kern w:val="0"/>
          <w:sz w:val="32"/>
          <w:szCs w:val="32"/>
        </w:rPr>
      </w:pPr>
      <w:r>
        <w:rPr>
          <w:rFonts w:ascii="宋体" w:hAnsi="宋体" w:cs="宋体"/>
          <w:b w:val="0"/>
          <w:bCs w:val="0"/>
          <w:color w:val="auto"/>
        </w:rPr>
        <w:br w:type="page"/>
      </w:r>
      <w:bookmarkStart w:id="2" w:name="_Toc1489"/>
      <w:bookmarkStart w:id="3" w:name="_Toc21367"/>
      <w:r>
        <w:rPr>
          <w:rFonts w:hint="eastAsia" w:ascii="Arial" w:hAnsi="Arial" w:eastAsia="黑体"/>
          <w:color w:val="auto"/>
          <w:kern w:val="0"/>
          <w:sz w:val="32"/>
          <w:szCs w:val="32"/>
        </w:rPr>
        <w:t>第一章</w:t>
      </w:r>
      <w:bookmarkEnd w:id="0"/>
      <w:bookmarkEnd w:id="1"/>
      <w:bookmarkStart w:id="4" w:name="_Toc28359001"/>
      <w:bookmarkStart w:id="5" w:name="_Toc35393789"/>
      <w:r>
        <w:rPr>
          <w:rFonts w:hint="eastAsia" w:ascii="Arial" w:hAnsi="Arial" w:eastAsia="黑体"/>
          <w:color w:val="auto"/>
          <w:kern w:val="0"/>
          <w:sz w:val="32"/>
          <w:szCs w:val="32"/>
        </w:rPr>
        <w:t>招标公告</w:t>
      </w:r>
      <w:bookmarkEnd w:id="2"/>
      <w:bookmarkEnd w:id="3"/>
      <w:bookmarkEnd w:id="4"/>
      <w:bookmarkEnd w:id="5"/>
    </w:p>
    <w:p w14:paraId="1A0DAAB0">
      <w:pPr>
        <w:spacing w:line="360" w:lineRule="auto"/>
        <w:rPr>
          <w:rFonts w:ascii="宋体" w:hAnsi="宋体"/>
          <w:color w:val="auto"/>
          <w:szCs w:val="21"/>
        </w:rPr>
      </w:pPr>
    </w:p>
    <w:p w14:paraId="5CE020D5">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olor w:val="auto"/>
          <w:szCs w:val="21"/>
        </w:rPr>
      </w:pPr>
      <w:r>
        <w:rPr>
          <w:rFonts w:hint="eastAsia" w:ascii="宋体" w:hAnsi="宋体"/>
          <w:color w:val="auto"/>
          <w:szCs w:val="21"/>
        </w:rPr>
        <w:t>项目概况</w:t>
      </w:r>
    </w:p>
    <w:p w14:paraId="03C44ABE">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olor w:val="auto"/>
          <w:szCs w:val="21"/>
        </w:rPr>
      </w:pPr>
      <w:r>
        <w:rPr>
          <w:rFonts w:hint="eastAsia" w:ascii="宋体" w:hAnsi="宋体"/>
          <w:color w:val="auto"/>
          <w:szCs w:val="21"/>
          <w:u w:val="single"/>
        </w:rPr>
        <w:t xml:space="preserve"> </w:t>
      </w:r>
      <w:r>
        <w:rPr>
          <w:rFonts w:hint="eastAsia" w:ascii="宋体" w:hAnsi="宋体"/>
          <w:color w:val="auto"/>
          <w:szCs w:val="21"/>
          <w:u w:val="single"/>
          <w:lang w:eastAsia="zh-CN"/>
        </w:rPr>
        <w:t>南溪山医院医疗设备一批项目（十一）（彩色多普勒超声诊断仪、DR）</w:t>
      </w:r>
      <w:r>
        <w:rPr>
          <w:rFonts w:hint="eastAsia" w:ascii="宋体" w:hAnsi="宋体"/>
          <w:color w:val="auto"/>
          <w:szCs w:val="21"/>
        </w:rPr>
        <w:t xml:space="preserve"> 招标项目的潜在投标人应在</w:t>
      </w:r>
      <w:r>
        <w:rPr>
          <w:rFonts w:hint="eastAsia" w:ascii="宋体" w:hAnsi="宋体"/>
          <w:color w:val="auto"/>
          <w:szCs w:val="21"/>
          <w:u w:val="single"/>
        </w:rPr>
        <w:t>广西政府采购云平台（https：//www.gcy.zfcg.gxzf.gov.cn/）</w:t>
      </w:r>
      <w:r>
        <w:rPr>
          <w:rFonts w:hint="eastAsia" w:ascii="宋体" w:hAnsi="宋体"/>
          <w:color w:val="auto"/>
          <w:szCs w:val="21"/>
        </w:rPr>
        <w:t>获取招标文件，并于</w:t>
      </w:r>
      <w:r>
        <w:rPr>
          <w:rFonts w:hint="eastAsia" w:ascii="宋体" w:hAnsi="宋体"/>
          <w:color w:val="auto"/>
          <w:szCs w:val="21"/>
          <w:u w:val="single"/>
        </w:rPr>
        <w:t>202</w:t>
      </w:r>
      <w:r>
        <w:rPr>
          <w:rFonts w:hint="eastAsia" w:ascii="宋体" w:hAnsi="宋体"/>
          <w:color w:val="auto"/>
          <w:szCs w:val="21"/>
          <w:u w:val="single"/>
          <w:lang w:val="en-US" w:eastAsia="zh-CN"/>
        </w:rPr>
        <w:t>6</w:t>
      </w:r>
      <w:r>
        <w:rPr>
          <w:rFonts w:hint="eastAsia" w:ascii="宋体" w:hAnsi="宋体"/>
          <w:color w:val="auto"/>
          <w:szCs w:val="21"/>
          <w:u w:val="single"/>
        </w:rPr>
        <w:t>年</w:t>
      </w:r>
      <w:r>
        <w:rPr>
          <w:rFonts w:hint="eastAsia" w:ascii="宋体" w:hAnsi="宋体"/>
          <w:color w:val="auto"/>
          <w:szCs w:val="21"/>
          <w:u w:val="single"/>
          <w:lang w:val="en-US" w:eastAsia="zh-CN"/>
        </w:rPr>
        <w:t>9</w:t>
      </w:r>
      <w:r>
        <w:rPr>
          <w:rFonts w:hint="eastAsia" w:ascii="宋体" w:hAnsi="宋体"/>
          <w:color w:val="auto"/>
          <w:szCs w:val="21"/>
          <w:u w:val="single"/>
        </w:rPr>
        <w:t>月</w:t>
      </w:r>
      <w:r>
        <w:rPr>
          <w:rFonts w:hint="eastAsia" w:ascii="宋体" w:hAnsi="宋体"/>
          <w:color w:val="auto"/>
          <w:szCs w:val="21"/>
          <w:u w:val="single"/>
          <w:lang w:val="en-US" w:eastAsia="zh-CN"/>
        </w:rPr>
        <w:t>29</w:t>
      </w:r>
      <w:r>
        <w:rPr>
          <w:rFonts w:hint="eastAsia" w:ascii="宋体" w:hAnsi="宋体"/>
          <w:color w:val="auto"/>
          <w:szCs w:val="21"/>
          <w:u w:val="single"/>
        </w:rPr>
        <w:t xml:space="preserve">日09:30:00 </w:t>
      </w:r>
      <w:r>
        <w:rPr>
          <w:rFonts w:hint="eastAsia" w:ascii="宋体" w:hAnsi="宋体"/>
          <w:bCs/>
          <w:color w:val="auto"/>
          <w:szCs w:val="21"/>
        </w:rPr>
        <w:t>（北京时间）前递交投标</w:t>
      </w:r>
      <w:r>
        <w:rPr>
          <w:rFonts w:ascii="宋体" w:hAnsi="宋体"/>
          <w:bCs/>
          <w:color w:val="auto"/>
          <w:szCs w:val="21"/>
        </w:rPr>
        <w:t>文件</w:t>
      </w:r>
      <w:r>
        <w:rPr>
          <w:rFonts w:hint="eastAsia" w:ascii="宋体" w:hAnsi="宋体"/>
          <w:color w:val="auto"/>
          <w:szCs w:val="21"/>
        </w:rPr>
        <w:t>。</w:t>
      </w:r>
    </w:p>
    <w:p w14:paraId="56CBBAA6">
      <w:pPr>
        <w:spacing w:line="360" w:lineRule="auto"/>
        <w:rPr>
          <w:rFonts w:ascii="宋体" w:hAnsi="宋体"/>
          <w:color w:val="auto"/>
          <w:szCs w:val="21"/>
        </w:rPr>
      </w:pPr>
    </w:p>
    <w:p w14:paraId="498BECEF">
      <w:pPr>
        <w:spacing w:line="360" w:lineRule="auto"/>
        <w:rPr>
          <w:rFonts w:ascii="黑体" w:hAnsi="黑体" w:eastAsia="黑体"/>
          <w:b/>
          <w:bCs/>
          <w:color w:val="auto"/>
          <w:sz w:val="24"/>
        </w:rPr>
      </w:pPr>
      <w:bookmarkStart w:id="6" w:name="_Toc28359002"/>
      <w:bookmarkStart w:id="7" w:name="_Toc35393790"/>
      <w:bookmarkStart w:id="8" w:name="_Toc35393621"/>
      <w:bookmarkStart w:id="9" w:name="_Toc28359079"/>
      <w:bookmarkStart w:id="10" w:name="_Hlk24379207"/>
      <w:r>
        <w:rPr>
          <w:rFonts w:hint="eastAsia" w:ascii="黑体" w:hAnsi="黑体" w:eastAsia="黑体"/>
          <w:b/>
          <w:bCs/>
          <w:color w:val="auto"/>
          <w:sz w:val="24"/>
        </w:rPr>
        <w:t>一、项目基本情况</w:t>
      </w:r>
      <w:bookmarkEnd w:id="6"/>
      <w:bookmarkEnd w:id="7"/>
      <w:bookmarkEnd w:id="8"/>
      <w:bookmarkEnd w:id="9"/>
    </w:p>
    <w:p w14:paraId="33E17351">
      <w:pPr>
        <w:spacing w:line="360" w:lineRule="auto"/>
        <w:ind w:firstLine="420" w:firstLineChars="200"/>
        <w:rPr>
          <w:rFonts w:hint="eastAsia" w:ascii="宋体" w:hAnsi="宋体" w:eastAsia="宋体"/>
          <w:color w:val="auto"/>
          <w:szCs w:val="21"/>
          <w:lang w:eastAsia="zh-CN"/>
        </w:rPr>
      </w:pPr>
      <w:r>
        <w:rPr>
          <w:rFonts w:hint="eastAsia" w:ascii="宋体" w:hAnsi="宋体"/>
          <w:color w:val="auto"/>
          <w:szCs w:val="21"/>
        </w:rPr>
        <w:t>项目编号：</w:t>
      </w:r>
      <w:r>
        <w:rPr>
          <w:rFonts w:hint="eastAsia" w:ascii="宋体" w:hAnsi="宋体"/>
          <w:color w:val="auto"/>
          <w:szCs w:val="21"/>
          <w:highlight w:val="none"/>
          <w:lang w:eastAsia="zh-CN"/>
        </w:rPr>
        <w:t>GXZC2026-G1-002918-JYZX</w:t>
      </w:r>
    </w:p>
    <w:p w14:paraId="5A660528">
      <w:pPr>
        <w:spacing w:line="360" w:lineRule="auto"/>
        <w:ind w:firstLine="420" w:firstLineChars="200"/>
        <w:rPr>
          <w:rFonts w:hint="eastAsia" w:ascii="宋体" w:hAnsi="宋体" w:eastAsia="宋体"/>
          <w:color w:val="auto"/>
          <w:szCs w:val="21"/>
          <w:lang w:eastAsia="zh-CN"/>
        </w:rPr>
      </w:pPr>
      <w:r>
        <w:rPr>
          <w:rFonts w:hint="eastAsia" w:ascii="宋体" w:hAnsi="宋体"/>
          <w:color w:val="auto"/>
          <w:szCs w:val="21"/>
        </w:rPr>
        <w:t>项目名称：</w:t>
      </w:r>
      <w:r>
        <w:rPr>
          <w:rFonts w:hint="eastAsia" w:ascii="宋体" w:hAnsi="宋体"/>
          <w:color w:val="auto"/>
          <w:szCs w:val="21"/>
          <w:lang w:eastAsia="zh-CN"/>
        </w:rPr>
        <w:t>南溪山医院医疗设备一批项目（十一）（彩色多普勒超声诊断仪、DR）</w:t>
      </w:r>
    </w:p>
    <w:bookmarkEnd w:id="10"/>
    <w:p w14:paraId="61791887">
      <w:pPr>
        <w:spacing w:line="360" w:lineRule="auto"/>
        <w:ind w:firstLine="420" w:firstLineChars="200"/>
        <w:rPr>
          <w:rFonts w:hint="eastAsia" w:ascii="宋体" w:hAnsi="宋体" w:eastAsia="宋体"/>
          <w:color w:val="auto"/>
          <w:szCs w:val="21"/>
          <w:lang w:eastAsia="zh-CN"/>
        </w:rPr>
      </w:pPr>
      <w:r>
        <w:rPr>
          <w:rFonts w:hint="eastAsia" w:ascii="宋体" w:hAnsi="宋体"/>
          <w:color w:val="auto"/>
          <w:szCs w:val="21"/>
        </w:rPr>
        <w:t>预算总金额（元）：</w:t>
      </w:r>
      <w:r>
        <w:rPr>
          <w:rFonts w:hint="eastAsia" w:ascii="宋体" w:hAnsi="宋体"/>
          <w:color w:val="auto"/>
          <w:szCs w:val="21"/>
          <w:lang w:eastAsia="zh-CN"/>
        </w:rPr>
        <w:t>7,500,000.00</w:t>
      </w:r>
    </w:p>
    <w:p w14:paraId="54CEE512">
      <w:pPr>
        <w:spacing w:line="360" w:lineRule="auto"/>
        <w:ind w:firstLine="420" w:firstLineChars="200"/>
        <w:rPr>
          <w:rFonts w:hint="default" w:ascii="宋体" w:hAnsi="宋体" w:eastAsia="宋体"/>
          <w:color w:val="auto"/>
          <w:szCs w:val="21"/>
          <w:lang w:val="en-US" w:eastAsia="zh-CN"/>
        </w:rPr>
      </w:pPr>
      <w:r>
        <w:rPr>
          <w:rFonts w:hint="eastAsia" w:ascii="宋体" w:hAnsi="宋体"/>
          <w:color w:val="auto"/>
          <w:szCs w:val="21"/>
          <w:lang w:val="en-US" w:eastAsia="zh-CN"/>
        </w:rPr>
        <w:t>采购需求：</w:t>
      </w:r>
    </w:p>
    <w:p w14:paraId="0EEC5893">
      <w:pPr>
        <w:pStyle w:val="23"/>
        <w:spacing w:before="0" w:beforeAutospacing="0" w:after="0" w:afterAutospacing="0" w:line="360" w:lineRule="auto"/>
        <w:ind w:firstLine="422" w:firstLineChars="200"/>
        <w:rPr>
          <w:b/>
          <w:bCs/>
          <w:color w:val="auto"/>
          <w:kern w:val="2"/>
          <w:sz w:val="21"/>
          <w:szCs w:val="21"/>
        </w:rPr>
      </w:pPr>
      <w:r>
        <w:rPr>
          <w:rFonts w:hint="eastAsia"/>
          <w:b/>
          <w:bCs/>
          <w:color w:val="auto"/>
          <w:kern w:val="2"/>
          <w:sz w:val="21"/>
          <w:szCs w:val="21"/>
        </w:rPr>
        <w:t>标项一</w:t>
      </w:r>
    </w:p>
    <w:p w14:paraId="03B1C90B">
      <w:pPr>
        <w:pStyle w:val="23"/>
        <w:spacing w:before="0" w:beforeAutospacing="0" w:after="0" w:afterAutospacing="0" w:line="360" w:lineRule="auto"/>
        <w:ind w:firstLine="422" w:firstLineChars="200"/>
        <w:rPr>
          <w:rFonts w:hint="eastAsia" w:eastAsia="宋体"/>
          <w:color w:val="auto"/>
          <w:kern w:val="2"/>
          <w:sz w:val="21"/>
          <w:szCs w:val="21"/>
          <w:lang w:eastAsia="zh-CN"/>
        </w:rPr>
      </w:pPr>
      <w:r>
        <w:rPr>
          <w:rFonts w:hint="eastAsia"/>
          <w:b/>
          <w:bCs/>
          <w:color w:val="auto"/>
          <w:kern w:val="2"/>
          <w:sz w:val="21"/>
          <w:szCs w:val="21"/>
        </w:rPr>
        <w:t>标项名称：</w:t>
      </w:r>
      <w:r>
        <w:rPr>
          <w:rFonts w:hint="eastAsia"/>
          <w:b/>
          <w:bCs/>
          <w:color w:val="auto"/>
          <w:kern w:val="2"/>
          <w:sz w:val="21"/>
          <w:szCs w:val="21"/>
          <w:lang w:eastAsia="zh-CN"/>
        </w:rPr>
        <w:t>彩色多普勒超声诊断仪</w:t>
      </w:r>
    </w:p>
    <w:p w14:paraId="66F699BB">
      <w:pPr>
        <w:pStyle w:val="23"/>
        <w:spacing w:before="0" w:beforeAutospacing="0" w:after="0" w:afterAutospacing="0" w:line="360" w:lineRule="auto"/>
        <w:ind w:firstLine="420" w:firstLineChars="200"/>
        <w:rPr>
          <w:rFonts w:hint="eastAsia" w:eastAsia="宋体"/>
          <w:color w:val="auto"/>
          <w:kern w:val="2"/>
          <w:sz w:val="21"/>
          <w:szCs w:val="21"/>
          <w:lang w:eastAsia="zh-CN"/>
        </w:rPr>
      </w:pPr>
      <w:r>
        <w:rPr>
          <w:rFonts w:hint="eastAsia"/>
          <w:color w:val="auto"/>
          <w:kern w:val="2"/>
          <w:sz w:val="21"/>
          <w:szCs w:val="21"/>
        </w:rPr>
        <w:t>数量：</w:t>
      </w:r>
      <w:r>
        <w:rPr>
          <w:rFonts w:hint="eastAsia"/>
          <w:color w:val="auto"/>
          <w:kern w:val="2"/>
          <w:sz w:val="21"/>
          <w:szCs w:val="21"/>
          <w:lang w:val="en-US" w:eastAsia="zh-CN"/>
        </w:rPr>
        <w:t>3</w:t>
      </w:r>
    </w:p>
    <w:p w14:paraId="5611D9BB">
      <w:pPr>
        <w:pStyle w:val="23"/>
        <w:spacing w:before="0" w:beforeAutospacing="0" w:after="0" w:afterAutospacing="0" w:line="360" w:lineRule="auto"/>
        <w:ind w:firstLine="420" w:firstLineChars="200"/>
        <w:rPr>
          <w:rFonts w:hint="eastAsia" w:eastAsia="宋体"/>
          <w:color w:val="auto"/>
          <w:kern w:val="2"/>
          <w:sz w:val="21"/>
          <w:szCs w:val="21"/>
          <w:lang w:eastAsia="zh-CN"/>
        </w:rPr>
      </w:pPr>
      <w:r>
        <w:rPr>
          <w:rFonts w:hint="eastAsia"/>
          <w:color w:val="auto"/>
          <w:kern w:val="2"/>
          <w:sz w:val="21"/>
          <w:szCs w:val="21"/>
        </w:rPr>
        <w:t>预算金额（元）：</w:t>
      </w:r>
      <w:r>
        <w:rPr>
          <w:rFonts w:hint="eastAsia"/>
          <w:color w:val="auto"/>
          <w:kern w:val="2"/>
          <w:sz w:val="21"/>
          <w:szCs w:val="21"/>
          <w:lang w:val="en-US" w:eastAsia="zh-CN"/>
        </w:rPr>
        <w:t>5,520,000.00</w:t>
      </w:r>
    </w:p>
    <w:p w14:paraId="5F74DD32">
      <w:pPr>
        <w:pStyle w:val="23"/>
        <w:spacing w:before="0" w:beforeAutospacing="0" w:after="0" w:afterAutospacing="0" w:line="360" w:lineRule="auto"/>
        <w:ind w:firstLine="420" w:firstLineChars="200"/>
        <w:rPr>
          <w:rFonts w:hint="eastAsia"/>
          <w:color w:val="auto"/>
          <w:kern w:val="2"/>
          <w:sz w:val="21"/>
          <w:szCs w:val="21"/>
          <w:lang w:eastAsia="zh-CN"/>
        </w:rPr>
      </w:pPr>
      <w:r>
        <w:rPr>
          <w:rFonts w:hint="eastAsia"/>
          <w:color w:val="auto"/>
          <w:kern w:val="2"/>
          <w:sz w:val="21"/>
          <w:szCs w:val="21"/>
        </w:rPr>
        <w:t>简要规格描述或项目基本概况介绍、用途：</w:t>
      </w:r>
      <w:r>
        <w:rPr>
          <w:rFonts w:hint="eastAsia"/>
          <w:color w:val="auto"/>
          <w:kern w:val="2"/>
          <w:sz w:val="21"/>
          <w:szCs w:val="21"/>
          <w:lang w:val="en-US" w:eastAsia="zh-CN"/>
        </w:rPr>
        <w:t>采购“</w:t>
      </w:r>
      <w:r>
        <w:rPr>
          <w:rFonts w:hint="eastAsia"/>
          <w:color w:val="auto"/>
          <w:kern w:val="2"/>
          <w:sz w:val="21"/>
          <w:szCs w:val="21"/>
          <w:lang w:eastAsia="zh-CN"/>
        </w:rPr>
        <w:t>彩色多普勒超声诊断仪</w:t>
      </w:r>
      <w:r>
        <w:rPr>
          <w:rFonts w:hint="eastAsia"/>
          <w:color w:val="auto"/>
          <w:kern w:val="2"/>
          <w:sz w:val="21"/>
          <w:szCs w:val="21"/>
          <w:lang w:val="en-US" w:eastAsia="zh-CN"/>
        </w:rPr>
        <w:t>”3台。如需进一步了解详细内容，详见招标文件。</w:t>
      </w:r>
    </w:p>
    <w:p w14:paraId="45830288">
      <w:pPr>
        <w:pStyle w:val="23"/>
        <w:spacing w:before="0" w:beforeAutospacing="0" w:after="0" w:afterAutospacing="0" w:line="360" w:lineRule="auto"/>
        <w:ind w:firstLine="420" w:firstLineChars="200"/>
        <w:rPr>
          <w:rFonts w:hint="eastAsia" w:eastAsia="宋体"/>
          <w:color w:val="auto"/>
          <w:kern w:val="2"/>
          <w:sz w:val="21"/>
          <w:szCs w:val="21"/>
          <w:lang w:eastAsia="zh-CN"/>
        </w:rPr>
      </w:pPr>
      <w:r>
        <w:rPr>
          <w:rFonts w:hint="eastAsia"/>
          <w:color w:val="auto"/>
          <w:kern w:val="2"/>
          <w:sz w:val="21"/>
          <w:szCs w:val="21"/>
        </w:rPr>
        <w:t>最高限价（如有）：5,520,000.00</w:t>
      </w:r>
    </w:p>
    <w:p w14:paraId="65840A1C">
      <w:pPr>
        <w:pStyle w:val="23"/>
        <w:spacing w:before="0" w:beforeAutospacing="0" w:after="0" w:afterAutospacing="0" w:line="360" w:lineRule="auto"/>
        <w:ind w:firstLine="420" w:firstLineChars="200"/>
        <w:rPr>
          <w:color w:val="auto"/>
          <w:kern w:val="2"/>
          <w:sz w:val="21"/>
          <w:szCs w:val="21"/>
        </w:rPr>
      </w:pPr>
      <w:r>
        <w:rPr>
          <w:rFonts w:hint="eastAsia"/>
          <w:color w:val="auto"/>
          <w:kern w:val="2"/>
          <w:sz w:val="21"/>
          <w:szCs w:val="21"/>
        </w:rPr>
        <w:t>合同履约期限：具体详见招标文件。</w:t>
      </w:r>
    </w:p>
    <w:p w14:paraId="785BD308">
      <w:pPr>
        <w:pStyle w:val="23"/>
        <w:spacing w:before="0" w:beforeAutospacing="0" w:after="0" w:afterAutospacing="0" w:line="360" w:lineRule="auto"/>
        <w:ind w:firstLine="420" w:firstLineChars="200"/>
        <w:rPr>
          <w:color w:val="auto"/>
          <w:kern w:val="2"/>
          <w:sz w:val="21"/>
          <w:szCs w:val="21"/>
        </w:rPr>
      </w:pPr>
      <w:r>
        <w:rPr>
          <w:rFonts w:hint="eastAsia"/>
          <w:color w:val="auto"/>
          <w:kern w:val="2"/>
          <w:sz w:val="21"/>
          <w:szCs w:val="21"/>
        </w:rPr>
        <w:t>本标项（否）接受联合体投标</w:t>
      </w:r>
    </w:p>
    <w:p w14:paraId="2CC43825">
      <w:pPr>
        <w:spacing w:line="360" w:lineRule="auto"/>
        <w:ind w:firstLine="420" w:firstLineChars="200"/>
        <w:rPr>
          <w:rFonts w:hint="eastAsia" w:ascii="宋体" w:hAnsi="宋体"/>
          <w:color w:val="auto"/>
          <w:szCs w:val="21"/>
          <w:lang w:val="en-US" w:eastAsia="zh-CN"/>
        </w:rPr>
      </w:pPr>
      <w:r>
        <w:rPr>
          <w:rFonts w:hint="eastAsia" w:ascii="宋体" w:hAnsi="宋体"/>
          <w:color w:val="auto"/>
          <w:szCs w:val="21"/>
          <w:lang w:val="en-US" w:eastAsia="zh-CN"/>
        </w:rPr>
        <w:t>备注：/</w:t>
      </w:r>
    </w:p>
    <w:p w14:paraId="3EDB8869">
      <w:pPr>
        <w:pStyle w:val="23"/>
        <w:spacing w:before="0" w:beforeAutospacing="0" w:after="0" w:afterAutospacing="0" w:line="360" w:lineRule="auto"/>
        <w:ind w:firstLine="422" w:firstLineChars="200"/>
        <w:rPr>
          <w:rFonts w:hint="eastAsia"/>
          <w:b/>
          <w:bCs/>
          <w:color w:val="auto"/>
          <w:kern w:val="2"/>
          <w:sz w:val="21"/>
          <w:szCs w:val="21"/>
          <w:lang w:val="en-US" w:eastAsia="zh-CN"/>
        </w:rPr>
      </w:pPr>
      <w:r>
        <w:rPr>
          <w:rFonts w:hint="eastAsia"/>
          <w:b/>
          <w:bCs/>
          <w:color w:val="auto"/>
          <w:kern w:val="2"/>
          <w:sz w:val="21"/>
          <w:szCs w:val="21"/>
        </w:rPr>
        <w:t>标项</w:t>
      </w:r>
      <w:r>
        <w:rPr>
          <w:rFonts w:hint="eastAsia"/>
          <w:b/>
          <w:bCs/>
          <w:color w:val="auto"/>
          <w:kern w:val="2"/>
          <w:sz w:val="21"/>
          <w:szCs w:val="21"/>
          <w:lang w:val="en-US" w:eastAsia="zh-CN"/>
        </w:rPr>
        <w:t>二</w:t>
      </w:r>
    </w:p>
    <w:p w14:paraId="181D2EA0">
      <w:pPr>
        <w:pStyle w:val="23"/>
        <w:spacing w:before="0" w:beforeAutospacing="0" w:after="0" w:afterAutospacing="0" w:line="360" w:lineRule="auto"/>
        <w:ind w:firstLine="422" w:firstLineChars="200"/>
        <w:rPr>
          <w:rFonts w:hint="eastAsia" w:eastAsia="宋体"/>
          <w:color w:val="auto"/>
          <w:kern w:val="2"/>
          <w:sz w:val="21"/>
          <w:szCs w:val="21"/>
          <w:lang w:eastAsia="zh-CN"/>
        </w:rPr>
      </w:pPr>
      <w:r>
        <w:rPr>
          <w:rFonts w:hint="eastAsia"/>
          <w:b/>
          <w:bCs/>
          <w:color w:val="auto"/>
          <w:kern w:val="2"/>
          <w:sz w:val="21"/>
          <w:szCs w:val="21"/>
        </w:rPr>
        <w:t>标项名称：</w:t>
      </w:r>
      <w:r>
        <w:rPr>
          <w:rFonts w:hint="eastAsia"/>
          <w:b/>
          <w:bCs/>
          <w:color w:val="auto"/>
          <w:kern w:val="2"/>
          <w:sz w:val="21"/>
          <w:szCs w:val="21"/>
          <w:lang w:eastAsia="zh-CN"/>
        </w:rPr>
        <w:t>DR</w:t>
      </w:r>
    </w:p>
    <w:p w14:paraId="651B428A">
      <w:pPr>
        <w:pStyle w:val="23"/>
        <w:spacing w:before="0" w:beforeAutospacing="0" w:after="0" w:afterAutospacing="0" w:line="360" w:lineRule="auto"/>
        <w:ind w:firstLine="420" w:firstLineChars="200"/>
        <w:rPr>
          <w:color w:val="auto"/>
          <w:kern w:val="2"/>
          <w:sz w:val="21"/>
          <w:szCs w:val="21"/>
        </w:rPr>
      </w:pPr>
      <w:r>
        <w:rPr>
          <w:rFonts w:hint="eastAsia"/>
          <w:color w:val="auto"/>
          <w:kern w:val="2"/>
          <w:sz w:val="21"/>
          <w:szCs w:val="21"/>
        </w:rPr>
        <w:t>数量：1</w:t>
      </w:r>
    </w:p>
    <w:p w14:paraId="394D7AFC">
      <w:pPr>
        <w:pStyle w:val="23"/>
        <w:spacing w:before="0" w:beforeAutospacing="0" w:after="0" w:afterAutospacing="0" w:line="360" w:lineRule="auto"/>
        <w:ind w:firstLine="420" w:firstLineChars="200"/>
        <w:rPr>
          <w:rFonts w:hint="eastAsia" w:eastAsia="宋体"/>
          <w:color w:val="auto"/>
          <w:kern w:val="2"/>
          <w:sz w:val="21"/>
          <w:szCs w:val="21"/>
          <w:lang w:eastAsia="zh-CN"/>
        </w:rPr>
      </w:pPr>
      <w:r>
        <w:rPr>
          <w:rFonts w:hint="eastAsia"/>
          <w:color w:val="auto"/>
          <w:kern w:val="2"/>
          <w:sz w:val="21"/>
          <w:szCs w:val="21"/>
        </w:rPr>
        <w:t>预算金额（元）：</w:t>
      </w:r>
      <w:r>
        <w:rPr>
          <w:rFonts w:hint="eastAsia"/>
          <w:color w:val="auto"/>
          <w:kern w:val="2"/>
          <w:sz w:val="21"/>
          <w:szCs w:val="21"/>
          <w:lang w:val="en-US" w:eastAsia="zh-CN"/>
        </w:rPr>
        <w:t>1,980,000.00</w:t>
      </w:r>
    </w:p>
    <w:p w14:paraId="7847ACE0">
      <w:pPr>
        <w:pStyle w:val="23"/>
        <w:spacing w:before="0" w:beforeAutospacing="0" w:after="0" w:afterAutospacing="0" w:line="360" w:lineRule="auto"/>
        <w:ind w:firstLine="420" w:firstLineChars="200"/>
        <w:rPr>
          <w:rFonts w:hint="eastAsia"/>
          <w:color w:val="auto"/>
          <w:kern w:val="2"/>
          <w:sz w:val="21"/>
          <w:szCs w:val="21"/>
          <w:lang w:eastAsia="zh-CN"/>
        </w:rPr>
      </w:pPr>
      <w:r>
        <w:rPr>
          <w:rFonts w:hint="eastAsia"/>
          <w:color w:val="auto"/>
          <w:kern w:val="2"/>
          <w:sz w:val="21"/>
          <w:szCs w:val="21"/>
        </w:rPr>
        <w:t>简要规格描述或项目基本概况介绍、用途：</w:t>
      </w:r>
      <w:r>
        <w:rPr>
          <w:rFonts w:hint="eastAsia"/>
          <w:color w:val="auto"/>
          <w:kern w:val="2"/>
          <w:sz w:val="21"/>
          <w:szCs w:val="21"/>
          <w:lang w:val="en-US" w:eastAsia="zh-CN"/>
        </w:rPr>
        <w:t>采购“DR”</w:t>
      </w:r>
      <w:r>
        <w:rPr>
          <w:rFonts w:hint="eastAsia"/>
          <w:color w:val="auto"/>
          <w:kern w:val="2"/>
          <w:sz w:val="21"/>
          <w:szCs w:val="21"/>
        </w:rPr>
        <w:t>1</w:t>
      </w:r>
      <w:r>
        <w:rPr>
          <w:rFonts w:hint="eastAsia"/>
          <w:color w:val="auto"/>
          <w:kern w:val="2"/>
          <w:sz w:val="21"/>
          <w:szCs w:val="21"/>
          <w:lang w:val="en-US" w:eastAsia="zh-CN"/>
        </w:rPr>
        <w:t>台。如需进一步了解详细内容，详见招标文件。</w:t>
      </w:r>
    </w:p>
    <w:p w14:paraId="6219534D">
      <w:pPr>
        <w:pStyle w:val="23"/>
        <w:spacing w:before="0" w:beforeAutospacing="0" w:after="0" w:afterAutospacing="0" w:line="360" w:lineRule="auto"/>
        <w:ind w:firstLine="420" w:firstLineChars="200"/>
        <w:rPr>
          <w:rFonts w:hint="eastAsia" w:eastAsia="宋体"/>
          <w:color w:val="auto"/>
          <w:kern w:val="2"/>
          <w:sz w:val="21"/>
          <w:szCs w:val="21"/>
          <w:lang w:eastAsia="zh-CN"/>
        </w:rPr>
      </w:pPr>
      <w:r>
        <w:rPr>
          <w:rFonts w:hint="eastAsia"/>
          <w:color w:val="auto"/>
          <w:kern w:val="2"/>
          <w:sz w:val="21"/>
          <w:szCs w:val="21"/>
        </w:rPr>
        <w:t>最高限价（如有）：1,980,000.00</w:t>
      </w:r>
    </w:p>
    <w:p w14:paraId="499FE256">
      <w:pPr>
        <w:pStyle w:val="23"/>
        <w:spacing w:before="0" w:beforeAutospacing="0" w:after="0" w:afterAutospacing="0" w:line="360" w:lineRule="auto"/>
        <w:ind w:firstLine="420" w:firstLineChars="200"/>
        <w:rPr>
          <w:color w:val="auto"/>
          <w:kern w:val="2"/>
          <w:sz w:val="21"/>
          <w:szCs w:val="21"/>
        </w:rPr>
      </w:pPr>
      <w:r>
        <w:rPr>
          <w:rFonts w:hint="eastAsia"/>
          <w:color w:val="auto"/>
          <w:kern w:val="2"/>
          <w:sz w:val="21"/>
          <w:szCs w:val="21"/>
        </w:rPr>
        <w:t>合同履约期限：具体详见招标文件。</w:t>
      </w:r>
    </w:p>
    <w:p w14:paraId="1F90F56B">
      <w:pPr>
        <w:pStyle w:val="23"/>
        <w:spacing w:before="0" w:beforeAutospacing="0" w:after="0" w:afterAutospacing="0" w:line="360" w:lineRule="auto"/>
        <w:ind w:firstLine="420" w:firstLineChars="200"/>
        <w:rPr>
          <w:color w:val="auto"/>
          <w:kern w:val="2"/>
          <w:sz w:val="21"/>
          <w:szCs w:val="21"/>
        </w:rPr>
      </w:pPr>
      <w:r>
        <w:rPr>
          <w:rFonts w:hint="eastAsia"/>
          <w:color w:val="auto"/>
          <w:kern w:val="2"/>
          <w:sz w:val="21"/>
          <w:szCs w:val="21"/>
        </w:rPr>
        <w:t>本标项（否）接受联合体投标</w:t>
      </w:r>
    </w:p>
    <w:p w14:paraId="1C522A1E">
      <w:pPr>
        <w:spacing w:line="360" w:lineRule="auto"/>
        <w:ind w:firstLine="420" w:firstLineChars="200"/>
        <w:rPr>
          <w:rFonts w:hint="eastAsia" w:ascii="宋体" w:hAnsi="宋体" w:eastAsia="宋体"/>
          <w:color w:val="auto"/>
          <w:szCs w:val="21"/>
          <w:lang w:val="en-US" w:eastAsia="zh-CN"/>
        </w:rPr>
      </w:pPr>
      <w:r>
        <w:rPr>
          <w:rFonts w:hint="eastAsia" w:ascii="宋体" w:hAnsi="宋体"/>
          <w:color w:val="auto"/>
          <w:szCs w:val="21"/>
          <w:lang w:val="en-US" w:eastAsia="zh-CN"/>
        </w:rPr>
        <w:t>备注：/</w:t>
      </w:r>
    </w:p>
    <w:p w14:paraId="103B0FAD">
      <w:pPr>
        <w:spacing w:line="360" w:lineRule="auto"/>
        <w:rPr>
          <w:rFonts w:ascii="黑体" w:hAnsi="黑体" w:eastAsia="黑体"/>
          <w:b/>
          <w:bCs/>
          <w:color w:val="auto"/>
          <w:sz w:val="24"/>
        </w:rPr>
      </w:pPr>
      <w:bookmarkStart w:id="11" w:name="_Toc28359003"/>
      <w:bookmarkStart w:id="12" w:name="_Toc35393622"/>
      <w:bookmarkStart w:id="13" w:name="_Toc35393791"/>
      <w:bookmarkStart w:id="14" w:name="_Toc28359080"/>
      <w:r>
        <w:rPr>
          <w:rFonts w:hint="eastAsia" w:ascii="黑体" w:hAnsi="黑体" w:eastAsia="黑体"/>
          <w:b/>
          <w:bCs/>
          <w:color w:val="auto"/>
          <w:sz w:val="24"/>
        </w:rPr>
        <w:t>二、</w:t>
      </w:r>
      <w:r>
        <w:rPr>
          <w:rFonts w:hint="eastAsia" w:ascii="黑体" w:hAnsi="黑体" w:eastAsia="黑体"/>
          <w:b/>
          <w:bCs/>
          <w:color w:val="auto"/>
          <w:sz w:val="24"/>
          <w:lang w:val="en-US" w:eastAsia="zh-CN"/>
        </w:rPr>
        <w:t>申请</w:t>
      </w:r>
      <w:r>
        <w:rPr>
          <w:rFonts w:hint="eastAsia" w:ascii="黑体" w:hAnsi="黑体" w:eastAsia="黑体"/>
          <w:b/>
          <w:bCs/>
          <w:color w:val="auto"/>
          <w:sz w:val="24"/>
        </w:rPr>
        <w:t>人的资格要求：</w:t>
      </w:r>
      <w:bookmarkEnd w:id="11"/>
      <w:bookmarkEnd w:id="12"/>
      <w:bookmarkEnd w:id="13"/>
      <w:bookmarkEnd w:id="14"/>
    </w:p>
    <w:p w14:paraId="53A6AEFB">
      <w:pPr>
        <w:spacing w:line="360" w:lineRule="auto"/>
        <w:ind w:firstLine="420" w:firstLineChars="200"/>
        <w:rPr>
          <w:rFonts w:ascii="宋体" w:hAnsi="宋体"/>
          <w:color w:val="auto"/>
          <w:szCs w:val="21"/>
        </w:rPr>
      </w:pPr>
      <w:bookmarkStart w:id="15" w:name="_Hlk51746371"/>
      <w:r>
        <w:rPr>
          <w:rFonts w:hint="eastAsia" w:ascii="宋体" w:hAnsi="宋体"/>
          <w:color w:val="auto"/>
          <w:szCs w:val="21"/>
        </w:rPr>
        <w:t>1.满足《中华人民共和国政府采购法》第二十二条规定；</w:t>
      </w:r>
    </w:p>
    <w:p w14:paraId="1F1600E6">
      <w:pPr>
        <w:spacing w:line="360" w:lineRule="auto"/>
        <w:ind w:firstLine="420" w:firstLineChars="200"/>
        <w:rPr>
          <w:rFonts w:hint="eastAsia" w:ascii="宋体" w:hAnsi="宋体" w:eastAsia="宋体"/>
          <w:color w:val="auto"/>
          <w:szCs w:val="21"/>
          <w:lang w:val="en-US" w:eastAsia="zh-CN"/>
        </w:rPr>
      </w:pPr>
      <w:bookmarkStart w:id="16" w:name="_Toc28359004"/>
      <w:bookmarkStart w:id="17" w:name="_Toc28359081"/>
      <w:r>
        <w:rPr>
          <w:rFonts w:ascii="宋体" w:hAnsi="宋体"/>
          <w:color w:val="auto"/>
          <w:szCs w:val="21"/>
        </w:rPr>
        <w:t>2</w:t>
      </w:r>
      <w:r>
        <w:rPr>
          <w:rFonts w:hint="eastAsia" w:ascii="宋体" w:hAnsi="宋体"/>
          <w:color w:val="auto"/>
          <w:szCs w:val="21"/>
        </w:rPr>
        <w:t>.落实政府采购政策需满足的资格要求：分标1、2：本项目非专门面向中小企业采购；</w:t>
      </w:r>
    </w:p>
    <w:p w14:paraId="6C5F12B9">
      <w:pPr>
        <w:spacing w:line="360" w:lineRule="auto"/>
        <w:ind w:firstLine="420" w:firstLineChars="200"/>
        <w:rPr>
          <w:rFonts w:ascii="宋体" w:hAnsi="宋体"/>
          <w:color w:val="auto"/>
          <w:szCs w:val="21"/>
        </w:rPr>
      </w:pPr>
      <w:r>
        <w:rPr>
          <w:rFonts w:hint="eastAsia" w:ascii="宋体" w:hAnsi="宋体"/>
          <w:color w:val="auto"/>
          <w:szCs w:val="21"/>
        </w:rPr>
        <w:t>3.本项目的特定资格要求：分标1、2</w:t>
      </w:r>
      <w:r>
        <w:rPr>
          <w:rFonts w:hint="eastAsia" w:ascii="宋体" w:hAnsi="宋体"/>
          <w:color w:val="auto"/>
          <w:szCs w:val="21"/>
          <w:lang w:eastAsia="zh-CN"/>
        </w:rPr>
        <w:t>：</w:t>
      </w:r>
      <w:r>
        <w:rPr>
          <w:rFonts w:hint="eastAsia" w:ascii="宋体" w:hAnsi="宋体"/>
          <w:color w:val="auto"/>
          <w:szCs w:val="21"/>
        </w:rPr>
        <w:t>所投货物若属于医疗器械管理范畴，按照国家《医疗器械监督管理条例》，应符合以下条件:①投标人为所投货物的制造商，其所投货物若属于第二类或第</w:t>
      </w:r>
      <w:r>
        <w:rPr>
          <w:rFonts w:hint="eastAsia" w:ascii="宋体" w:hAnsi="宋体"/>
          <w:color w:val="auto"/>
          <w:szCs w:val="21"/>
          <w:lang w:val="en-US" w:eastAsia="zh-CN"/>
        </w:rPr>
        <w:t>三</w:t>
      </w:r>
      <w:r>
        <w:rPr>
          <w:rFonts w:hint="eastAsia" w:ascii="宋体" w:hAnsi="宋体"/>
          <w:color w:val="auto"/>
          <w:szCs w:val="21"/>
        </w:rPr>
        <w:t>类医疗器械的，应提供相应货物的有效《医疗器械生产许可证》。②投标人非所投货物的制造商，其所投货物若属于第二类或第三类医疗器械，须提供相应货物的有效《医疗器械经营企业许可证》（按《医疗器械监督管理条例》免于经营备案和无需办理医疗器械经营许可或者备案的情形除外）。③投标货物属于《医疗器械监督管理条例》规定的第二类或第三类医疗器械产品应提供该货物的有效《医器械注册证》。</w:t>
      </w:r>
    </w:p>
    <w:bookmarkEnd w:id="15"/>
    <w:p w14:paraId="5484E3D2">
      <w:pPr>
        <w:spacing w:line="360" w:lineRule="auto"/>
        <w:rPr>
          <w:rFonts w:ascii="黑体" w:hAnsi="黑体" w:eastAsia="黑体"/>
          <w:b/>
          <w:bCs/>
          <w:color w:val="auto"/>
          <w:sz w:val="24"/>
        </w:rPr>
      </w:pPr>
      <w:bookmarkStart w:id="18" w:name="_Toc35393792"/>
      <w:bookmarkStart w:id="19" w:name="_Toc35393623"/>
      <w:r>
        <w:rPr>
          <w:rFonts w:hint="eastAsia" w:ascii="黑体" w:hAnsi="黑体" w:eastAsia="黑体"/>
          <w:b/>
          <w:bCs/>
          <w:color w:val="auto"/>
          <w:sz w:val="24"/>
        </w:rPr>
        <w:t>三、获取招标文件</w:t>
      </w:r>
      <w:bookmarkEnd w:id="16"/>
      <w:bookmarkEnd w:id="17"/>
      <w:bookmarkEnd w:id="18"/>
      <w:bookmarkEnd w:id="19"/>
    </w:p>
    <w:p w14:paraId="218438BB">
      <w:pPr>
        <w:spacing w:line="360" w:lineRule="auto"/>
        <w:ind w:firstLine="540"/>
        <w:rPr>
          <w:rFonts w:ascii="宋体" w:hAnsi="宋体" w:cs="宋体"/>
          <w:bCs/>
          <w:color w:val="auto"/>
          <w:kern w:val="0"/>
          <w:szCs w:val="21"/>
        </w:rPr>
      </w:pPr>
      <w:r>
        <w:rPr>
          <w:rFonts w:hint="eastAsia" w:ascii="宋体" w:hAnsi="宋体" w:cs="宋体"/>
          <w:bCs/>
          <w:color w:val="auto"/>
          <w:kern w:val="0"/>
          <w:szCs w:val="21"/>
        </w:rPr>
        <w:t>时间：202</w:t>
      </w:r>
      <w:r>
        <w:rPr>
          <w:rFonts w:hint="eastAsia" w:ascii="宋体" w:hAnsi="宋体" w:cs="宋体"/>
          <w:bCs/>
          <w:color w:val="auto"/>
          <w:kern w:val="0"/>
          <w:szCs w:val="21"/>
          <w:lang w:val="en-US" w:eastAsia="zh-CN"/>
        </w:rPr>
        <w:t>6</w:t>
      </w:r>
      <w:r>
        <w:rPr>
          <w:rFonts w:hint="eastAsia" w:ascii="宋体" w:hAnsi="宋体" w:cs="宋体"/>
          <w:bCs/>
          <w:color w:val="auto"/>
          <w:kern w:val="0"/>
          <w:szCs w:val="21"/>
        </w:rPr>
        <w:t>年</w:t>
      </w:r>
      <w:r>
        <w:rPr>
          <w:rFonts w:hint="eastAsia" w:ascii="宋体" w:hAnsi="宋体"/>
          <w:color w:val="auto"/>
          <w:szCs w:val="21"/>
          <w:u w:val="none"/>
          <w:lang w:val="en-US" w:eastAsia="zh-CN"/>
        </w:rPr>
        <w:t>9</w:t>
      </w:r>
      <w:r>
        <w:rPr>
          <w:rFonts w:hint="eastAsia" w:ascii="宋体" w:hAnsi="宋体" w:cs="宋体"/>
          <w:bCs/>
          <w:color w:val="auto"/>
          <w:kern w:val="0"/>
          <w:szCs w:val="21"/>
        </w:rPr>
        <w:t>月</w:t>
      </w:r>
      <w:r>
        <w:rPr>
          <w:rFonts w:hint="eastAsia" w:ascii="宋体" w:hAnsi="宋体"/>
          <w:color w:val="auto"/>
          <w:szCs w:val="21"/>
          <w:u w:val="none"/>
          <w:lang w:val="en-US" w:eastAsia="zh-CN"/>
        </w:rPr>
        <w:t>8</w:t>
      </w:r>
      <w:r>
        <w:rPr>
          <w:rFonts w:hint="eastAsia" w:ascii="宋体" w:hAnsi="宋体" w:cs="宋体"/>
          <w:bCs/>
          <w:color w:val="auto"/>
          <w:kern w:val="0"/>
          <w:szCs w:val="21"/>
        </w:rPr>
        <w:t>日至202</w:t>
      </w:r>
      <w:r>
        <w:rPr>
          <w:rFonts w:hint="eastAsia" w:ascii="宋体" w:hAnsi="宋体" w:cs="宋体"/>
          <w:bCs/>
          <w:color w:val="auto"/>
          <w:kern w:val="0"/>
          <w:szCs w:val="21"/>
          <w:lang w:val="en-US" w:eastAsia="zh-CN"/>
        </w:rPr>
        <w:t>6</w:t>
      </w:r>
      <w:r>
        <w:rPr>
          <w:rFonts w:hint="eastAsia" w:ascii="宋体" w:hAnsi="宋体" w:cs="宋体"/>
          <w:bCs/>
          <w:color w:val="auto"/>
          <w:kern w:val="0"/>
          <w:szCs w:val="21"/>
        </w:rPr>
        <w:t>年</w:t>
      </w:r>
      <w:r>
        <w:rPr>
          <w:rFonts w:hint="eastAsia" w:ascii="宋体" w:hAnsi="宋体"/>
          <w:color w:val="auto"/>
          <w:szCs w:val="21"/>
          <w:u w:val="none"/>
          <w:lang w:val="en-US" w:eastAsia="zh-CN"/>
        </w:rPr>
        <w:t>9</w:t>
      </w:r>
      <w:r>
        <w:rPr>
          <w:rFonts w:hint="eastAsia" w:ascii="宋体" w:hAnsi="宋体" w:cs="宋体"/>
          <w:bCs/>
          <w:color w:val="auto"/>
          <w:kern w:val="0"/>
          <w:szCs w:val="21"/>
        </w:rPr>
        <w:t>月</w:t>
      </w:r>
      <w:r>
        <w:rPr>
          <w:rFonts w:hint="eastAsia" w:ascii="宋体" w:hAnsi="宋体"/>
          <w:color w:val="auto"/>
          <w:szCs w:val="21"/>
          <w:u w:val="none"/>
          <w:lang w:val="en-US" w:eastAsia="zh-CN"/>
        </w:rPr>
        <w:t>29</w:t>
      </w:r>
      <w:r>
        <w:rPr>
          <w:rFonts w:hint="eastAsia" w:ascii="宋体" w:hAnsi="宋体" w:cs="宋体"/>
          <w:bCs/>
          <w:color w:val="auto"/>
          <w:kern w:val="0"/>
          <w:szCs w:val="21"/>
        </w:rPr>
        <w:t>日，每天上午00:00至12:00 ，下午12:00至23:59（北京时间，法定节假日除外）</w:t>
      </w:r>
    </w:p>
    <w:p w14:paraId="463EA8AE">
      <w:pPr>
        <w:spacing w:line="360" w:lineRule="auto"/>
        <w:ind w:firstLine="540"/>
        <w:rPr>
          <w:rFonts w:ascii="宋体" w:hAnsi="宋体" w:cs="宋体"/>
          <w:bCs/>
          <w:color w:val="auto"/>
          <w:kern w:val="0"/>
          <w:szCs w:val="21"/>
        </w:rPr>
      </w:pPr>
      <w:r>
        <w:rPr>
          <w:rFonts w:hint="eastAsia" w:ascii="宋体" w:hAnsi="宋体" w:cs="宋体"/>
          <w:bCs/>
          <w:color w:val="auto"/>
          <w:kern w:val="0"/>
          <w:szCs w:val="21"/>
        </w:rPr>
        <w:t>地点（网址）：广西政府采购云平台（https：//www.gcy.zfcg.gxzf.gov.cn/）</w:t>
      </w:r>
    </w:p>
    <w:p w14:paraId="5816CA24">
      <w:pPr>
        <w:spacing w:line="360" w:lineRule="auto"/>
        <w:ind w:firstLine="540"/>
        <w:rPr>
          <w:rFonts w:ascii="宋体" w:hAnsi="宋体" w:cs="宋体"/>
          <w:bCs/>
          <w:color w:val="auto"/>
          <w:kern w:val="0"/>
          <w:szCs w:val="21"/>
        </w:rPr>
      </w:pPr>
      <w:r>
        <w:rPr>
          <w:rFonts w:hint="eastAsia" w:ascii="宋体" w:hAnsi="宋体" w:cs="宋体"/>
          <w:bCs/>
          <w:color w:val="auto"/>
          <w:kern w:val="0"/>
          <w:szCs w:val="21"/>
        </w:rPr>
        <w:t>方式：网上下载。本项目不发放纸质文件，投标人自行登录广西政府采购云平台（https：//www.gcy.zfcg.gxzf.gov.cn/）在线申请获取采购文件(操作路径：登录广西政府采购云平台-项目采购-获取采购文件-找到本项目-点击“申请获取采购文件”) ，电子投标文件制作需要基于广西政府采购云平台获取的招标文件编制。</w:t>
      </w:r>
    </w:p>
    <w:p w14:paraId="5AE8759F">
      <w:pPr>
        <w:spacing w:line="360" w:lineRule="auto"/>
        <w:ind w:firstLine="540"/>
        <w:rPr>
          <w:rFonts w:ascii="宋体" w:hAnsi="宋体" w:cs="宋体"/>
          <w:color w:val="auto"/>
          <w:szCs w:val="21"/>
        </w:rPr>
      </w:pPr>
      <w:r>
        <w:rPr>
          <w:rFonts w:hint="eastAsia" w:ascii="宋体" w:hAnsi="宋体" w:cs="宋体"/>
          <w:bCs/>
          <w:color w:val="auto"/>
          <w:kern w:val="0"/>
          <w:szCs w:val="21"/>
        </w:rPr>
        <w:t>售价：</w:t>
      </w:r>
      <w:r>
        <w:rPr>
          <w:rFonts w:hint="eastAsia" w:ascii="宋体" w:hAnsi="宋体"/>
          <w:color w:val="auto"/>
          <w:szCs w:val="21"/>
        </w:rPr>
        <w:t>0元</w:t>
      </w:r>
    </w:p>
    <w:p w14:paraId="5C65733A">
      <w:pPr>
        <w:spacing w:line="360" w:lineRule="auto"/>
        <w:rPr>
          <w:rFonts w:ascii="黑体" w:hAnsi="黑体" w:eastAsia="黑体"/>
          <w:b/>
          <w:bCs/>
          <w:color w:val="auto"/>
          <w:sz w:val="24"/>
        </w:rPr>
      </w:pPr>
      <w:bookmarkStart w:id="20" w:name="_Toc28359005"/>
      <w:bookmarkStart w:id="21" w:name="_Toc28359082"/>
      <w:bookmarkStart w:id="22" w:name="_Toc35393793"/>
      <w:bookmarkStart w:id="23" w:name="_Toc35393624"/>
      <w:r>
        <w:rPr>
          <w:rFonts w:hint="eastAsia" w:ascii="黑体" w:hAnsi="黑体" w:eastAsia="黑体"/>
          <w:b/>
          <w:bCs/>
          <w:color w:val="auto"/>
          <w:sz w:val="24"/>
        </w:rPr>
        <w:t>四、提交投标文件</w:t>
      </w:r>
      <w:bookmarkEnd w:id="20"/>
      <w:bookmarkEnd w:id="21"/>
      <w:r>
        <w:rPr>
          <w:rFonts w:hint="eastAsia" w:ascii="黑体" w:hAnsi="黑体" w:eastAsia="黑体"/>
          <w:b/>
          <w:bCs/>
          <w:color w:val="auto"/>
          <w:sz w:val="24"/>
        </w:rPr>
        <w:t>截止时间、开标时间和地点</w:t>
      </w:r>
      <w:bookmarkEnd w:id="22"/>
      <w:bookmarkEnd w:id="23"/>
    </w:p>
    <w:p w14:paraId="6FEEAA85">
      <w:pPr>
        <w:snapToGrid w:val="0"/>
        <w:spacing w:line="360" w:lineRule="auto"/>
        <w:ind w:firstLine="420" w:firstLineChars="200"/>
        <w:rPr>
          <w:rFonts w:ascii="宋体" w:hAnsi="宋体"/>
          <w:bCs/>
          <w:color w:val="auto"/>
          <w:szCs w:val="21"/>
        </w:rPr>
      </w:pPr>
      <w:r>
        <w:rPr>
          <w:rFonts w:hint="eastAsia" w:ascii="宋体" w:hAnsi="宋体"/>
          <w:bCs/>
          <w:color w:val="auto"/>
          <w:szCs w:val="21"/>
        </w:rPr>
        <w:t>提交投标文件截止时间：</w:t>
      </w:r>
      <w:r>
        <w:rPr>
          <w:rFonts w:hint="eastAsia" w:ascii="宋体" w:hAnsi="宋体" w:cs="宋体"/>
          <w:color w:val="auto"/>
          <w:szCs w:val="21"/>
        </w:rPr>
        <w:t>202</w:t>
      </w:r>
      <w:r>
        <w:rPr>
          <w:rFonts w:hint="eastAsia" w:ascii="宋体" w:hAnsi="宋体" w:cs="宋体"/>
          <w:color w:val="auto"/>
          <w:szCs w:val="21"/>
          <w:lang w:val="en-US" w:eastAsia="zh-CN"/>
        </w:rPr>
        <w:t>6</w:t>
      </w:r>
      <w:r>
        <w:rPr>
          <w:rFonts w:hint="eastAsia" w:ascii="宋体" w:hAnsi="宋体" w:cs="宋体"/>
          <w:color w:val="auto"/>
          <w:szCs w:val="21"/>
        </w:rPr>
        <w:t>年</w:t>
      </w:r>
      <w:r>
        <w:rPr>
          <w:rFonts w:hint="eastAsia" w:ascii="宋体" w:hAnsi="宋体"/>
          <w:color w:val="auto"/>
          <w:szCs w:val="21"/>
          <w:u w:val="none"/>
          <w:lang w:val="en-US" w:eastAsia="zh-CN"/>
        </w:rPr>
        <w:t>9</w:t>
      </w:r>
      <w:r>
        <w:rPr>
          <w:rFonts w:hint="eastAsia" w:ascii="宋体" w:hAnsi="宋体" w:cs="宋体"/>
          <w:color w:val="auto"/>
          <w:szCs w:val="21"/>
        </w:rPr>
        <w:t>月</w:t>
      </w:r>
      <w:r>
        <w:rPr>
          <w:rFonts w:hint="eastAsia" w:ascii="宋体" w:hAnsi="宋体"/>
          <w:color w:val="auto"/>
          <w:szCs w:val="21"/>
          <w:u w:val="none"/>
          <w:lang w:val="en-US" w:eastAsia="zh-CN"/>
        </w:rPr>
        <w:t>29</w:t>
      </w:r>
      <w:r>
        <w:rPr>
          <w:rFonts w:hint="eastAsia" w:ascii="宋体" w:hAnsi="宋体" w:cs="宋体"/>
          <w:color w:val="auto"/>
          <w:szCs w:val="21"/>
        </w:rPr>
        <w:t>日</w:t>
      </w:r>
      <w:r>
        <w:rPr>
          <w:rFonts w:hint="eastAsia" w:ascii="宋体" w:hAnsi="宋体" w:cs="宋体"/>
          <w:bCs/>
          <w:color w:val="auto"/>
          <w:szCs w:val="21"/>
        </w:rPr>
        <w:t>09：30</w:t>
      </w:r>
      <w:r>
        <w:rPr>
          <w:rFonts w:hint="eastAsia" w:ascii="宋体" w:hAnsi="宋体" w:cs="宋体"/>
          <w:color w:val="auto"/>
          <w:szCs w:val="21"/>
        </w:rPr>
        <w:t>(北京时间)。</w:t>
      </w:r>
    </w:p>
    <w:p w14:paraId="6EB9B081">
      <w:pPr>
        <w:snapToGrid w:val="0"/>
        <w:spacing w:line="360" w:lineRule="auto"/>
        <w:ind w:firstLine="420" w:firstLineChars="200"/>
        <w:rPr>
          <w:rFonts w:ascii="宋体" w:hAnsi="宋体"/>
          <w:bCs/>
          <w:color w:val="auto"/>
          <w:szCs w:val="21"/>
        </w:rPr>
      </w:pPr>
      <w:r>
        <w:rPr>
          <w:rFonts w:hint="eastAsia" w:ascii="宋体" w:hAnsi="宋体"/>
          <w:bCs/>
          <w:color w:val="auto"/>
          <w:szCs w:val="21"/>
        </w:rPr>
        <w:t xml:space="preserve">投标地点（网址）： </w:t>
      </w:r>
      <w:r>
        <w:rPr>
          <w:rFonts w:hint="eastAsia" w:ascii="宋体" w:hAnsi="宋体" w:cs="宋体"/>
          <w:color w:val="auto"/>
          <w:szCs w:val="21"/>
        </w:rPr>
        <w:t>通过</w:t>
      </w:r>
      <w:r>
        <w:rPr>
          <w:rFonts w:hint="eastAsia" w:ascii="宋体" w:hAnsi="宋体" w:cs="宋体"/>
          <w:bCs/>
          <w:color w:val="auto"/>
          <w:kern w:val="0"/>
          <w:szCs w:val="21"/>
        </w:rPr>
        <w:t>广西政府采购云平台（https</w:t>
      </w:r>
      <w:r>
        <w:rPr>
          <w:rFonts w:ascii="宋体" w:hAnsi="宋体" w:cs="宋体"/>
          <w:bCs/>
          <w:color w:val="auto"/>
          <w:kern w:val="0"/>
          <w:szCs w:val="21"/>
        </w:rPr>
        <w:t>：</w:t>
      </w:r>
      <w:r>
        <w:rPr>
          <w:rFonts w:hint="eastAsia" w:ascii="宋体" w:hAnsi="宋体" w:cs="宋体"/>
          <w:bCs/>
          <w:color w:val="auto"/>
          <w:kern w:val="0"/>
          <w:szCs w:val="21"/>
        </w:rPr>
        <w:t>//www.gcy.zfcg.gxzf.gov.cn/）</w:t>
      </w:r>
      <w:r>
        <w:rPr>
          <w:rFonts w:hint="eastAsia" w:ascii="宋体" w:hAnsi="宋体" w:cs="宋体"/>
          <w:color w:val="auto"/>
          <w:szCs w:val="21"/>
        </w:rPr>
        <w:t>在线提交。</w:t>
      </w:r>
    </w:p>
    <w:p w14:paraId="0F1F36CE">
      <w:pPr>
        <w:snapToGrid w:val="0"/>
        <w:spacing w:line="360" w:lineRule="auto"/>
        <w:ind w:firstLine="420" w:firstLineChars="200"/>
        <w:rPr>
          <w:rFonts w:ascii="宋体" w:hAnsi="宋体"/>
          <w:bCs/>
          <w:color w:val="auto"/>
          <w:szCs w:val="21"/>
        </w:rPr>
      </w:pPr>
      <w:r>
        <w:rPr>
          <w:rFonts w:hint="eastAsia" w:ascii="宋体" w:hAnsi="宋体"/>
          <w:bCs/>
          <w:color w:val="auto"/>
          <w:szCs w:val="21"/>
        </w:rPr>
        <w:t>开标时间：</w:t>
      </w:r>
      <w:r>
        <w:rPr>
          <w:rFonts w:hint="eastAsia" w:ascii="宋体" w:hAnsi="宋体" w:cs="宋体"/>
          <w:color w:val="auto"/>
          <w:szCs w:val="21"/>
        </w:rPr>
        <w:t>202</w:t>
      </w:r>
      <w:r>
        <w:rPr>
          <w:rFonts w:hint="eastAsia" w:ascii="宋体" w:hAnsi="宋体" w:cs="宋体"/>
          <w:color w:val="auto"/>
          <w:szCs w:val="21"/>
          <w:lang w:val="en-US" w:eastAsia="zh-CN"/>
        </w:rPr>
        <w:t>6</w:t>
      </w:r>
      <w:r>
        <w:rPr>
          <w:rFonts w:hint="eastAsia" w:ascii="宋体" w:hAnsi="宋体" w:cs="宋体"/>
          <w:color w:val="auto"/>
          <w:szCs w:val="21"/>
        </w:rPr>
        <w:t>年</w:t>
      </w:r>
      <w:r>
        <w:rPr>
          <w:rFonts w:hint="eastAsia" w:ascii="宋体" w:hAnsi="宋体"/>
          <w:color w:val="auto"/>
          <w:szCs w:val="21"/>
          <w:u w:val="none"/>
          <w:lang w:val="en-US" w:eastAsia="zh-CN"/>
        </w:rPr>
        <w:t>9</w:t>
      </w:r>
      <w:r>
        <w:rPr>
          <w:rFonts w:hint="eastAsia" w:ascii="宋体" w:hAnsi="宋体" w:cs="宋体"/>
          <w:color w:val="auto"/>
          <w:szCs w:val="21"/>
        </w:rPr>
        <w:t>月</w:t>
      </w:r>
      <w:r>
        <w:rPr>
          <w:rFonts w:hint="eastAsia" w:ascii="宋体" w:hAnsi="宋体"/>
          <w:color w:val="auto"/>
          <w:szCs w:val="21"/>
          <w:u w:val="none"/>
          <w:lang w:val="en-US" w:eastAsia="zh-CN"/>
        </w:rPr>
        <w:t>29</w:t>
      </w:r>
      <w:r>
        <w:rPr>
          <w:rFonts w:hint="eastAsia" w:ascii="宋体" w:hAnsi="宋体" w:cs="宋体"/>
          <w:color w:val="auto"/>
          <w:szCs w:val="21"/>
        </w:rPr>
        <w:t>日</w:t>
      </w:r>
      <w:r>
        <w:rPr>
          <w:rFonts w:hint="eastAsia" w:ascii="宋体" w:hAnsi="宋体" w:cs="宋体"/>
          <w:bCs/>
          <w:color w:val="auto"/>
          <w:szCs w:val="21"/>
        </w:rPr>
        <w:t>09：30</w:t>
      </w:r>
      <w:r>
        <w:rPr>
          <w:rFonts w:hint="eastAsia" w:ascii="宋体" w:hAnsi="宋体" w:cs="宋体"/>
          <w:color w:val="auto"/>
          <w:szCs w:val="21"/>
        </w:rPr>
        <w:t>(北京时间)</w:t>
      </w:r>
    </w:p>
    <w:p w14:paraId="22DCDDC5">
      <w:pPr>
        <w:spacing w:line="360" w:lineRule="auto"/>
        <w:ind w:firstLine="420" w:firstLineChars="200"/>
        <w:rPr>
          <w:rFonts w:ascii="宋体" w:hAnsi="宋体"/>
          <w:bCs/>
          <w:color w:val="auto"/>
          <w:szCs w:val="21"/>
          <w:u w:val="single"/>
        </w:rPr>
      </w:pPr>
      <w:r>
        <w:rPr>
          <w:rFonts w:hint="eastAsia" w:ascii="宋体" w:hAnsi="宋体"/>
          <w:bCs/>
          <w:color w:val="auto"/>
          <w:szCs w:val="21"/>
        </w:rPr>
        <w:t>开标地点：</w:t>
      </w:r>
      <w:r>
        <w:rPr>
          <w:rFonts w:hint="eastAsia" w:ascii="宋体" w:hAnsi="宋体" w:cs="宋体"/>
          <w:color w:val="auto"/>
          <w:szCs w:val="21"/>
        </w:rPr>
        <w:t>本项目将在</w:t>
      </w:r>
      <w:r>
        <w:rPr>
          <w:rFonts w:hint="eastAsia" w:ascii="宋体" w:hAnsi="宋体" w:cs="宋体"/>
          <w:bCs/>
          <w:color w:val="auto"/>
          <w:kern w:val="0"/>
          <w:szCs w:val="21"/>
        </w:rPr>
        <w:t>广西政府采购云平台（https</w:t>
      </w:r>
      <w:r>
        <w:rPr>
          <w:rFonts w:ascii="宋体" w:hAnsi="宋体" w:cs="宋体"/>
          <w:bCs/>
          <w:color w:val="auto"/>
          <w:kern w:val="0"/>
          <w:szCs w:val="21"/>
        </w:rPr>
        <w:t>：</w:t>
      </w:r>
      <w:r>
        <w:rPr>
          <w:rFonts w:hint="eastAsia" w:ascii="宋体" w:hAnsi="宋体" w:cs="宋体"/>
          <w:bCs/>
          <w:color w:val="auto"/>
          <w:kern w:val="0"/>
          <w:szCs w:val="21"/>
        </w:rPr>
        <w:t>//www.gcy.zfcg.gxzf.gov.cn/）</w:t>
      </w:r>
      <w:r>
        <w:rPr>
          <w:rFonts w:hint="eastAsia" w:ascii="宋体" w:hAnsi="宋体" w:cs="宋体"/>
          <w:color w:val="auto"/>
          <w:szCs w:val="21"/>
        </w:rPr>
        <w:t>电子开标大厅解密、开启。</w:t>
      </w:r>
    </w:p>
    <w:p w14:paraId="6F5C0A7F">
      <w:pPr>
        <w:spacing w:line="360" w:lineRule="auto"/>
        <w:rPr>
          <w:rFonts w:ascii="黑体" w:hAnsi="黑体" w:eastAsia="黑体"/>
          <w:b/>
          <w:bCs/>
          <w:color w:val="auto"/>
          <w:sz w:val="24"/>
        </w:rPr>
      </w:pPr>
      <w:bookmarkStart w:id="24" w:name="_Toc28359007"/>
      <w:bookmarkStart w:id="25" w:name="_Toc35393794"/>
      <w:bookmarkStart w:id="26" w:name="_Toc28359084"/>
      <w:bookmarkStart w:id="27" w:name="_Toc35393625"/>
      <w:r>
        <w:rPr>
          <w:rFonts w:hint="eastAsia" w:ascii="黑体" w:hAnsi="黑体" w:eastAsia="黑体"/>
          <w:b/>
          <w:bCs/>
          <w:color w:val="auto"/>
          <w:sz w:val="24"/>
        </w:rPr>
        <w:t>五、公告期限</w:t>
      </w:r>
      <w:bookmarkEnd w:id="24"/>
      <w:bookmarkEnd w:id="25"/>
      <w:bookmarkEnd w:id="26"/>
      <w:bookmarkEnd w:id="27"/>
    </w:p>
    <w:p w14:paraId="14C5AA2B">
      <w:pPr>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自本公告发布之日起5个工作日。</w:t>
      </w:r>
    </w:p>
    <w:p w14:paraId="312E8D9C">
      <w:pPr>
        <w:spacing w:line="360" w:lineRule="auto"/>
        <w:rPr>
          <w:rFonts w:ascii="黑体" w:hAnsi="黑体" w:eastAsia="黑体"/>
          <w:b/>
          <w:bCs/>
          <w:color w:val="auto"/>
          <w:sz w:val="24"/>
        </w:rPr>
      </w:pPr>
      <w:bookmarkStart w:id="28" w:name="_Toc35393795"/>
      <w:bookmarkStart w:id="29" w:name="_Toc35393626"/>
      <w:r>
        <w:rPr>
          <w:rFonts w:hint="eastAsia" w:ascii="黑体" w:hAnsi="黑体" w:eastAsia="黑体"/>
          <w:b/>
          <w:bCs/>
          <w:color w:val="auto"/>
          <w:sz w:val="24"/>
        </w:rPr>
        <w:t>六、其他补充事宜</w:t>
      </w:r>
      <w:bookmarkEnd w:id="28"/>
      <w:bookmarkEnd w:id="29"/>
    </w:p>
    <w:p w14:paraId="4889FAF8">
      <w:pPr>
        <w:spacing w:line="360" w:lineRule="auto"/>
        <w:ind w:firstLine="315" w:firstLineChars="150"/>
        <w:rPr>
          <w:rFonts w:ascii="宋体" w:hAnsi="宋体" w:cs="宋体"/>
          <w:color w:val="auto"/>
          <w:kern w:val="0"/>
          <w:szCs w:val="21"/>
        </w:rPr>
      </w:pPr>
      <w:r>
        <w:rPr>
          <w:rFonts w:hint="eastAsia" w:ascii="宋体" w:hAnsi="宋体" w:cs="宋体"/>
          <w:color w:val="auto"/>
          <w:kern w:val="0"/>
          <w:szCs w:val="21"/>
        </w:rPr>
        <w:t>1</w:t>
      </w:r>
      <w:r>
        <w:rPr>
          <w:rFonts w:ascii="宋体" w:hAnsi="宋体" w:cs="宋体"/>
          <w:color w:val="auto"/>
          <w:kern w:val="0"/>
          <w:szCs w:val="21"/>
        </w:rPr>
        <w:t>.</w:t>
      </w:r>
      <w:r>
        <w:rPr>
          <w:rFonts w:hint="eastAsia" w:ascii="宋体" w:hAnsi="宋体" w:cs="宋体"/>
          <w:color w:val="auto"/>
          <w:kern w:val="0"/>
          <w:szCs w:val="21"/>
        </w:rPr>
        <w:t>投标保证金：本项目不收取投标保证金。</w:t>
      </w:r>
      <w:bookmarkStart w:id="30" w:name="_Hlk37429585"/>
    </w:p>
    <w:p w14:paraId="152B9845">
      <w:pPr>
        <w:spacing w:line="360" w:lineRule="auto"/>
        <w:ind w:firstLine="315" w:firstLineChars="150"/>
        <w:rPr>
          <w:rFonts w:ascii="宋体" w:hAnsi="宋体" w:cs="宋体"/>
          <w:color w:val="auto"/>
          <w:kern w:val="0"/>
          <w:szCs w:val="21"/>
        </w:rPr>
      </w:pPr>
      <w:r>
        <w:rPr>
          <w:rFonts w:hint="eastAsia" w:ascii="宋体" w:hAnsi="宋体" w:cs="宋体"/>
          <w:color w:val="auto"/>
          <w:kern w:val="0"/>
          <w:szCs w:val="21"/>
        </w:rPr>
        <w:t>2</w:t>
      </w:r>
      <w:bookmarkStart w:id="31" w:name="_Hlk37429595"/>
      <w:r>
        <w:rPr>
          <w:rFonts w:hint="eastAsia" w:ascii="宋体" w:hAnsi="宋体" w:cs="宋体"/>
          <w:color w:val="auto"/>
          <w:kern w:val="0"/>
          <w:szCs w:val="21"/>
        </w:rPr>
        <w:t>.信息发布媒体：中国政府采购网（http://www.ccgp.gov.cn）、广西壮族自治区政府采购网（http://zfcg.gxzf.gov.cn）</w:t>
      </w:r>
      <w:bookmarkEnd w:id="30"/>
    </w:p>
    <w:bookmarkEnd w:id="31"/>
    <w:p w14:paraId="5E6645AB">
      <w:pPr>
        <w:spacing w:line="360" w:lineRule="auto"/>
        <w:ind w:firstLine="315" w:firstLineChars="150"/>
        <w:rPr>
          <w:rFonts w:ascii="宋体" w:hAnsi="宋体" w:cs="宋体"/>
          <w:color w:val="auto"/>
          <w:kern w:val="0"/>
          <w:szCs w:val="21"/>
        </w:rPr>
      </w:pPr>
      <w:bookmarkStart w:id="32" w:name="_Hlk37429674"/>
      <w:r>
        <w:rPr>
          <w:rFonts w:hint="eastAsia" w:ascii="宋体" w:hAnsi="宋体"/>
          <w:color w:val="auto"/>
          <w:szCs w:val="21"/>
        </w:rPr>
        <w:t>3</w:t>
      </w:r>
      <w:r>
        <w:rPr>
          <w:rFonts w:ascii="宋体" w:hAnsi="宋体"/>
          <w:color w:val="auto"/>
          <w:szCs w:val="21"/>
        </w:rPr>
        <w:t>.</w:t>
      </w:r>
      <w:r>
        <w:rPr>
          <w:rFonts w:hint="eastAsia" w:ascii="宋体" w:hAnsi="宋体" w:cs="宋体"/>
          <w:color w:val="auto"/>
          <w:kern w:val="0"/>
          <w:szCs w:val="21"/>
        </w:rPr>
        <w:t>本项目需要落实的政府采购政策</w:t>
      </w:r>
    </w:p>
    <w:p w14:paraId="55EFF7B3">
      <w:pPr>
        <w:spacing w:line="360" w:lineRule="auto"/>
        <w:ind w:firstLine="315" w:firstLineChars="150"/>
        <w:rPr>
          <w:rFonts w:ascii="宋体" w:hAnsi="宋体" w:cs="宋体"/>
          <w:color w:val="auto"/>
          <w:kern w:val="0"/>
          <w:szCs w:val="21"/>
        </w:rPr>
      </w:pPr>
      <w:r>
        <w:rPr>
          <w:rFonts w:hint="eastAsia" w:ascii="宋体" w:hAnsi="宋体" w:cs="宋体"/>
          <w:color w:val="auto"/>
          <w:kern w:val="0"/>
          <w:szCs w:val="21"/>
        </w:rPr>
        <w:t>（1）政府采购促进中小企业发展。</w:t>
      </w:r>
    </w:p>
    <w:p w14:paraId="0CC89A34">
      <w:pPr>
        <w:spacing w:line="360" w:lineRule="auto"/>
        <w:ind w:firstLine="315" w:firstLineChars="150"/>
        <w:rPr>
          <w:rFonts w:ascii="宋体" w:hAnsi="宋体" w:cs="宋体"/>
          <w:color w:val="auto"/>
          <w:kern w:val="0"/>
          <w:szCs w:val="21"/>
        </w:rPr>
      </w:pPr>
      <w:r>
        <w:rPr>
          <w:rFonts w:hint="eastAsia" w:ascii="宋体" w:hAnsi="宋体" w:cs="宋体"/>
          <w:color w:val="auto"/>
          <w:kern w:val="0"/>
          <w:szCs w:val="21"/>
        </w:rPr>
        <w:t>（2）政府采购支持采用本国产品的政策。</w:t>
      </w:r>
    </w:p>
    <w:p w14:paraId="77B527C6">
      <w:pPr>
        <w:spacing w:line="360" w:lineRule="auto"/>
        <w:ind w:firstLine="315" w:firstLineChars="150"/>
        <w:rPr>
          <w:rFonts w:ascii="宋体" w:hAnsi="宋体" w:cs="宋体"/>
          <w:color w:val="auto"/>
          <w:kern w:val="0"/>
          <w:szCs w:val="21"/>
        </w:rPr>
      </w:pPr>
      <w:r>
        <w:rPr>
          <w:rFonts w:hint="eastAsia" w:ascii="宋体" w:hAnsi="宋体" w:cs="宋体"/>
          <w:color w:val="auto"/>
          <w:kern w:val="0"/>
          <w:szCs w:val="21"/>
        </w:rPr>
        <w:t>（3）强制采购节能产品；优先采购节能产品、环境标志产品。</w:t>
      </w:r>
    </w:p>
    <w:p w14:paraId="448557A6">
      <w:pPr>
        <w:spacing w:line="360" w:lineRule="auto"/>
        <w:ind w:firstLine="315" w:firstLineChars="150"/>
        <w:rPr>
          <w:rFonts w:ascii="宋体" w:hAnsi="宋体" w:cs="宋体"/>
          <w:color w:val="auto"/>
          <w:kern w:val="0"/>
          <w:szCs w:val="21"/>
        </w:rPr>
      </w:pPr>
      <w:r>
        <w:rPr>
          <w:rFonts w:hint="eastAsia" w:ascii="宋体" w:hAnsi="宋体" w:cs="宋体"/>
          <w:color w:val="auto"/>
          <w:kern w:val="0"/>
          <w:szCs w:val="21"/>
        </w:rPr>
        <w:t>（4）政府采购促进残疾人就业政策。</w:t>
      </w:r>
    </w:p>
    <w:p w14:paraId="370D3FBE">
      <w:pPr>
        <w:spacing w:line="360" w:lineRule="auto"/>
        <w:ind w:firstLine="315" w:firstLineChars="150"/>
        <w:rPr>
          <w:rFonts w:ascii="宋体" w:hAnsi="宋体" w:cs="宋体"/>
          <w:color w:val="auto"/>
          <w:kern w:val="0"/>
          <w:szCs w:val="21"/>
        </w:rPr>
      </w:pPr>
      <w:r>
        <w:rPr>
          <w:rFonts w:hint="eastAsia" w:ascii="宋体" w:hAnsi="宋体" w:cs="宋体"/>
          <w:color w:val="auto"/>
          <w:kern w:val="0"/>
          <w:szCs w:val="21"/>
        </w:rPr>
        <w:t>（5）政府采购支持监狱企业发展。</w:t>
      </w:r>
      <w:bookmarkEnd w:id="32"/>
    </w:p>
    <w:p w14:paraId="480794B6">
      <w:pPr>
        <w:spacing w:line="360" w:lineRule="auto"/>
        <w:ind w:firstLine="315" w:firstLineChars="150"/>
        <w:rPr>
          <w:rFonts w:ascii="宋体" w:hAnsi="宋体" w:cs="宋体"/>
          <w:color w:val="auto"/>
          <w:kern w:val="0"/>
          <w:szCs w:val="21"/>
        </w:rPr>
      </w:pPr>
      <w:r>
        <w:rPr>
          <w:rFonts w:hint="eastAsia" w:ascii="宋体" w:hAnsi="宋体" w:cs="宋体"/>
          <w:color w:val="auto"/>
          <w:kern w:val="0"/>
          <w:szCs w:val="21"/>
        </w:rPr>
        <w:t>4.资格条件特别说明：</w:t>
      </w:r>
    </w:p>
    <w:p w14:paraId="0989A8D5">
      <w:pPr>
        <w:spacing w:line="360" w:lineRule="auto"/>
        <w:ind w:firstLine="315" w:firstLineChars="150"/>
        <w:rPr>
          <w:rFonts w:ascii="宋体" w:hAnsi="宋体" w:cs="宋体"/>
          <w:color w:val="auto"/>
          <w:kern w:val="0"/>
          <w:szCs w:val="21"/>
        </w:rPr>
      </w:pPr>
      <w:r>
        <w:rPr>
          <w:rFonts w:hint="eastAsia" w:ascii="宋体" w:hAnsi="宋体" w:cs="宋体"/>
          <w:color w:val="auto"/>
          <w:kern w:val="0"/>
          <w:szCs w:val="21"/>
        </w:rPr>
        <w:t>（1）单位负责人为同一人或者存在直接控股、管理关系的不同供应商，不得参加同一合同项下的政府采购活动。除单一来源采购项目外，为本项目提供过整体设计、规范编制或者项目管理、监理、检测等服务的供应商，不得再参加本项目上述服务以外的其他采购活动。</w:t>
      </w:r>
    </w:p>
    <w:p w14:paraId="242C7E26">
      <w:pPr>
        <w:spacing w:line="360" w:lineRule="auto"/>
        <w:ind w:firstLine="315" w:firstLineChars="150"/>
        <w:rPr>
          <w:rFonts w:ascii="宋体" w:hAnsi="宋体" w:cs="宋体"/>
          <w:color w:val="auto"/>
          <w:kern w:val="0"/>
          <w:szCs w:val="21"/>
        </w:rPr>
      </w:pPr>
      <w:r>
        <w:rPr>
          <w:rFonts w:hint="eastAsia" w:ascii="宋体" w:hAnsi="宋体" w:cs="宋体"/>
          <w:color w:val="auto"/>
          <w:kern w:val="0"/>
          <w:szCs w:val="21"/>
        </w:rPr>
        <w:t>（2）对在“信用中国”网站(www.creditchina.gov.cn)、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5351A1B7">
      <w:pPr>
        <w:spacing w:line="360" w:lineRule="auto"/>
        <w:ind w:firstLine="315" w:firstLineChars="150"/>
        <w:rPr>
          <w:rFonts w:ascii="宋体" w:hAnsi="宋体" w:cs="宋体"/>
          <w:color w:val="auto"/>
          <w:kern w:val="0"/>
          <w:szCs w:val="21"/>
        </w:rPr>
      </w:pPr>
      <w:r>
        <w:rPr>
          <w:rFonts w:hint="eastAsia" w:ascii="宋体" w:hAnsi="宋体" w:cs="宋体"/>
          <w:color w:val="auto"/>
          <w:kern w:val="0"/>
          <w:szCs w:val="21"/>
        </w:rPr>
        <w:t>（3）已获取招标文件的供应商不等于符合本项目的供应商资格条件。</w:t>
      </w:r>
    </w:p>
    <w:p w14:paraId="347F35C6">
      <w:pPr>
        <w:spacing w:line="360" w:lineRule="auto"/>
        <w:ind w:firstLine="315" w:firstLineChars="150"/>
        <w:rPr>
          <w:rFonts w:ascii="宋体" w:hAnsi="宋体" w:cs="宋体"/>
          <w:color w:val="auto"/>
          <w:kern w:val="0"/>
          <w:szCs w:val="21"/>
        </w:rPr>
      </w:pPr>
      <w:r>
        <w:rPr>
          <w:rFonts w:hint="eastAsia" w:ascii="宋体" w:hAnsi="宋体" w:cs="宋体"/>
          <w:color w:val="auto"/>
          <w:kern w:val="0"/>
          <w:szCs w:val="21"/>
        </w:rPr>
        <w:t>5.投标人投标注意事项</w:t>
      </w:r>
    </w:p>
    <w:p w14:paraId="5AE205D0">
      <w:pPr>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1）本项目为全流程电子化政府采购项目，通过广西政府采购云平台（https：//www.gcy.zfcg.gxzf.gov.cn/）实行在线电子投标，投标人应先安装广西政府采购云平台新版客户端（新版客户端下载路径：广西政府采购网（访问地址http：//zfcg.gxzf.gov.cn/）—办事服务—下载专区），并按照本项目招标文件和广西政府采购云平台的要求编制、加密后在投标截止时间前通过网络上传至广西政府采购云平台（加密的电子投标文件是指后缀名为“jmbs”的文件），投标人在广西政府采购云平台提交电子投标文件时，请填写参加远程开标活动经办人联系方式。投标人可登录广西政府采购云平台，依次进入“服务中心-项目采购-操作流程-电子招投标-政府采购项目电子交易管理操作指南-供应商”查看电子投标具体操作流程。</w:t>
      </w:r>
    </w:p>
    <w:p w14:paraId="417E770E">
      <w:pPr>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录广西政府采购云平台，依次进入“服务中心-入驻与配置”中查看CA数字证书办理操作流程。</w:t>
      </w:r>
    </w:p>
    <w:p w14:paraId="5F0B0453">
      <w:pPr>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（3）CA证书在线解密：投标人投标时，需凭制作投标文件时用来加密的有效数字证书（CA认证）登录广西政府采购云平台电子开标大厅现场按规定时间对加密的投标文件进行解密，否则后果自负。</w:t>
      </w:r>
    </w:p>
    <w:p w14:paraId="751BCD6B">
      <w:pPr>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注：1）为确保网上操作合法、有效和安全，请投标人确保在电子投标过程中能够对相关数据电文进行加密和使用电子签章，妥善保管CA数字证书并使用有效的CA数字证书参与整个招标活动。</w:t>
      </w:r>
    </w:p>
    <w:p w14:paraId="1107F355">
      <w:pPr>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2）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p>
    <w:p w14:paraId="3C65E72B">
      <w:pPr>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若对项目采购电子交易系统操作有疑问，可登录广西政府采购云平台（https：//www.gcy.zfcg.gxzf.gov.cn/），点击右侧咨询小采，获取采小蜜智能服务管家帮助，或拨打服务热线95763或者0771-3381253获取帮助。</w:t>
      </w:r>
    </w:p>
    <w:p w14:paraId="13AF948D">
      <w:pPr>
        <w:spacing w:line="360" w:lineRule="auto"/>
        <w:ind w:firstLine="420" w:firstLineChars="200"/>
        <w:rPr>
          <w:rFonts w:hint="eastAsia" w:ascii="宋体" w:hAnsi="宋体" w:eastAsia="宋体" w:cs="宋体"/>
          <w:color w:val="auto"/>
          <w:kern w:val="0"/>
          <w:szCs w:val="21"/>
          <w:lang w:eastAsia="zh-CN"/>
        </w:rPr>
      </w:pPr>
      <w:r>
        <w:rPr>
          <w:rFonts w:hint="eastAsia" w:ascii="宋体" w:hAnsi="宋体" w:cs="宋体"/>
          <w:color w:val="auto"/>
          <w:kern w:val="0"/>
          <w:szCs w:val="21"/>
        </w:rPr>
        <w:t>6.监督部门监督管理机构：广西壮族自治区财政厅政府采购监督管理处电话：0771-5331544</w:t>
      </w:r>
      <w:r>
        <w:rPr>
          <w:rFonts w:hint="eastAsia" w:ascii="宋体" w:hAnsi="宋体" w:cs="宋体"/>
          <w:color w:val="auto"/>
          <w:kern w:val="0"/>
          <w:szCs w:val="21"/>
          <w:lang w:eastAsia="zh-CN"/>
        </w:rPr>
        <w:t>。</w:t>
      </w:r>
    </w:p>
    <w:p w14:paraId="62F8DF35">
      <w:pPr>
        <w:spacing w:line="360" w:lineRule="auto"/>
        <w:rPr>
          <w:rFonts w:ascii="黑体" w:hAnsi="黑体" w:eastAsia="黑体"/>
          <w:b/>
          <w:bCs/>
          <w:color w:val="auto"/>
          <w:sz w:val="24"/>
        </w:rPr>
      </w:pPr>
      <w:bookmarkStart w:id="33" w:name="_Toc28359085"/>
      <w:bookmarkStart w:id="34" w:name="_Toc35393796"/>
      <w:bookmarkStart w:id="35" w:name="_Toc35393627"/>
      <w:bookmarkStart w:id="36" w:name="_Toc28359008"/>
      <w:r>
        <w:rPr>
          <w:rFonts w:hint="eastAsia" w:ascii="黑体" w:hAnsi="黑体" w:eastAsia="黑体"/>
          <w:b/>
          <w:bCs/>
          <w:color w:val="auto"/>
          <w:sz w:val="24"/>
        </w:rPr>
        <w:t>七、对本次</w:t>
      </w:r>
      <w:r>
        <w:rPr>
          <w:rFonts w:hint="eastAsia" w:ascii="黑体" w:hAnsi="黑体" w:eastAsia="黑体"/>
          <w:b/>
          <w:bCs/>
          <w:color w:val="auto"/>
          <w:sz w:val="24"/>
          <w:lang w:val="en-US" w:eastAsia="zh-CN"/>
        </w:rPr>
        <w:t>采购</w:t>
      </w:r>
      <w:r>
        <w:rPr>
          <w:rFonts w:hint="eastAsia" w:ascii="黑体" w:hAnsi="黑体" w:eastAsia="黑体"/>
          <w:b/>
          <w:bCs/>
          <w:color w:val="auto"/>
          <w:sz w:val="24"/>
        </w:rPr>
        <w:t>提出询问，请按</w:t>
      </w:r>
      <w:r>
        <w:rPr>
          <w:rFonts w:ascii="黑体" w:hAnsi="黑体" w:eastAsia="黑体"/>
          <w:b/>
          <w:bCs/>
          <w:color w:val="auto"/>
          <w:sz w:val="24"/>
        </w:rPr>
        <w:t>以下方式</w:t>
      </w:r>
      <w:r>
        <w:rPr>
          <w:rFonts w:hint="eastAsia" w:ascii="黑体" w:hAnsi="黑体" w:eastAsia="黑体"/>
          <w:b/>
          <w:bCs/>
          <w:color w:val="auto"/>
          <w:sz w:val="24"/>
        </w:rPr>
        <w:t>联系。</w:t>
      </w:r>
      <w:bookmarkEnd w:id="33"/>
      <w:bookmarkEnd w:id="34"/>
      <w:bookmarkEnd w:id="35"/>
      <w:bookmarkEnd w:id="36"/>
    </w:p>
    <w:p w14:paraId="66C2E882">
      <w:pPr>
        <w:spacing w:line="360" w:lineRule="auto"/>
        <w:ind w:firstLine="420" w:firstLineChars="200"/>
        <w:jc w:val="left"/>
        <w:rPr>
          <w:rFonts w:ascii="宋体" w:hAnsi="宋体"/>
          <w:color w:val="auto"/>
          <w:szCs w:val="21"/>
        </w:rPr>
      </w:pPr>
      <w:r>
        <w:rPr>
          <w:rFonts w:hint="eastAsia" w:ascii="宋体" w:hAnsi="宋体" w:cs="宋体"/>
          <w:color w:val="auto"/>
          <w:szCs w:val="21"/>
        </w:rPr>
        <w:t>1.采购人信息</w:t>
      </w:r>
    </w:p>
    <w:p w14:paraId="1802CD77">
      <w:pPr>
        <w:spacing w:line="360" w:lineRule="auto"/>
        <w:ind w:firstLine="420" w:firstLineChars="200"/>
        <w:jc w:val="left"/>
        <w:rPr>
          <w:rFonts w:hint="eastAsia" w:ascii="宋体" w:hAnsi="宋体" w:eastAsia="宋体" w:cs="宋体"/>
          <w:color w:val="auto"/>
          <w:szCs w:val="21"/>
          <w:lang w:eastAsia="zh-CN"/>
        </w:rPr>
      </w:pPr>
      <w:r>
        <w:rPr>
          <w:rFonts w:hint="eastAsia" w:ascii="宋体" w:hAnsi="宋体" w:cs="宋体"/>
          <w:color w:val="auto"/>
          <w:szCs w:val="21"/>
        </w:rPr>
        <w:t>名称：</w:t>
      </w:r>
      <w:r>
        <w:rPr>
          <w:rFonts w:hint="eastAsia" w:ascii="宋体" w:hAnsi="宋体" w:cs="宋体"/>
          <w:color w:val="auto"/>
          <w:szCs w:val="21"/>
          <w:lang w:eastAsia="zh-CN"/>
        </w:rPr>
        <w:t>广西壮族自治区南溪山医院（广西壮族自治区第二人民医院）</w:t>
      </w:r>
    </w:p>
    <w:p w14:paraId="21011C3C">
      <w:pPr>
        <w:spacing w:line="360" w:lineRule="auto"/>
        <w:ind w:firstLine="420" w:firstLineChars="200"/>
        <w:jc w:val="left"/>
        <w:rPr>
          <w:rFonts w:hint="eastAsia" w:ascii="宋体" w:hAnsi="宋体" w:eastAsia="宋体" w:cs="宋体"/>
          <w:color w:val="auto"/>
          <w:szCs w:val="21"/>
          <w:lang w:eastAsia="zh-CN"/>
        </w:rPr>
      </w:pPr>
      <w:r>
        <w:rPr>
          <w:rFonts w:hint="eastAsia" w:ascii="宋体" w:hAnsi="宋体" w:cs="宋体"/>
          <w:color w:val="auto"/>
          <w:szCs w:val="21"/>
        </w:rPr>
        <w:t>地址：桂林市崇信路46号</w:t>
      </w:r>
    </w:p>
    <w:p w14:paraId="0CFC5B82">
      <w:pPr>
        <w:spacing w:line="360" w:lineRule="auto"/>
        <w:ind w:firstLine="420" w:firstLineChars="200"/>
        <w:jc w:val="left"/>
        <w:rPr>
          <w:rFonts w:ascii="宋体" w:hAnsi="宋体" w:cs="宋体"/>
          <w:color w:val="auto"/>
          <w:szCs w:val="21"/>
        </w:rPr>
      </w:pPr>
      <w:r>
        <w:rPr>
          <w:rFonts w:hint="eastAsia" w:ascii="宋体" w:hAnsi="宋体" w:cs="宋体"/>
          <w:color w:val="auto"/>
          <w:szCs w:val="21"/>
        </w:rPr>
        <w:t>项目联系方式人：温老师</w:t>
      </w:r>
    </w:p>
    <w:p w14:paraId="1000D956">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项目联系方式：0773-7592156</w:t>
      </w:r>
    </w:p>
    <w:p w14:paraId="6812CF78">
      <w:pPr>
        <w:spacing w:line="360" w:lineRule="auto"/>
        <w:ind w:firstLine="420" w:firstLineChars="200"/>
        <w:jc w:val="left"/>
        <w:rPr>
          <w:rFonts w:ascii="宋体" w:hAnsi="宋体" w:cs="宋体"/>
          <w:color w:val="auto"/>
          <w:szCs w:val="21"/>
        </w:rPr>
      </w:pPr>
      <w:r>
        <w:rPr>
          <w:rFonts w:hint="eastAsia" w:ascii="宋体" w:hAnsi="宋体" w:cs="宋体"/>
          <w:color w:val="auto"/>
          <w:szCs w:val="21"/>
          <w:lang w:eastAsia="zh-CN"/>
        </w:rPr>
        <w:t>2</w:t>
      </w:r>
      <w:r>
        <w:rPr>
          <w:rFonts w:hint="eastAsia" w:ascii="宋体" w:hAnsi="宋体" w:cs="宋体"/>
          <w:color w:val="auto"/>
          <w:szCs w:val="21"/>
          <w:lang w:val="en-US" w:eastAsia="zh-CN"/>
        </w:rPr>
        <w:t>.</w:t>
      </w:r>
      <w:r>
        <w:rPr>
          <w:rFonts w:hint="eastAsia" w:ascii="宋体" w:hAnsi="宋体" w:cs="宋体"/>
          <w:color w:val="auto"/>
          <w:szCs w:val="21"/>
        </w:rPr>
        <w:t>采购代理机构信息</w:t>
      </w:r>
    </w:p>
    <w:p w14:paraId="6E03C814">
      <w:pPr>
        <w:spacing w:line="360" w:lineRule="auto"/>
        <w:ind w:firstLine="420" w:firstLineChars="200"/>
        <w:jc w:val="left"/>
        <w:rPr>
          <w:rFonts w:ascii="宋体" w:hAnsi="宋体" w:cs="宋体"/>
          <w:color w:val="auto"/>
          <w:szCs w:val="21"/>
        </w:rPr>
      </w:pPr>
      <w:r>
        <w:rPr>
          <w:rFonts w:hint="eastAsia" w:ascii="宋体" w:hAnsi="宋体" w:cs="宋体"/>
          <w:color w:val="auto"/>
          <w:szCs w:val="21"/>
        </w:rPr>
        <w:t>名称：建银工程咨询有限责任公司</w:t>
      </w:r>
    </w:p>
    <w:p w14:paraId="6F1F8979">
      <w:pPr>
        <w:spacing w:line="360" w:lineRule="auto"/>
        <w:ind w:firstLine="420" w:firstLineChars="200"/>
        <w:jc w:val="left"/>
        <w:rPr>
          <w:rFonts w:ascii="宋体" w:hAnsi="宋体" w:cs="宋体"/>
          <w:color w:val="auto"/>
          <w:szCs w:val="21"/>
        </w:rPr>
      </w:pPr>
      <w:r>
        <w:rPr>
          <w:rFonts w:hint="eastAsia" w:ascii="宋体" w:hAnsi="宋体" w:cs="宋体"/>
          <w:color w:val="auto"/>
          <w:szCs w:val="21"/>
        </w:rPr>
        <w:t>地址：桂林市解放西路3-5号五楼</w:t>
      </w:r>
    </w:p>
    <w:p w14:paraId="52829EA1">
      <w:pPr>
        <w:spacing w:line="360" w:lineRule="auto"/>
        <w:ind w:firstLine="420" w:firstLineChars="200"/>
        <w:jc w:val="left"/>
        <w:rPr>
          <w:rFonts w:hint="default" w:ascii="宋体" w:hAnsi="宋体" w:eastAsia="宋体" w:cs="宋体"/>
          <w:color w:val="auto"/>
          <w:szCs w:val="21"/>
          <w:lang w:val="en-US" w:eastAsia="zh-CN"/>
        </w:rPr>
      </w:pPr>
      <w:r>
        <w:rPr>
          <w:rFonts w:hint="eastAsia" w:ascii="宋体" w:hAnsi="宋体" w:cs="宋体"/>
          <w:color w:val="auto"/>
          <w:szCs w:val="21"/>
        </w:rPr>
        <w:t>项目联系人：黎明勇、</w:t>
      </w:r>
      <w:r>
        <w:rPr>
          <w:rFonts w:hint="eastAsia" w:ascii="宋体" w:hAnsi="宋体" w:cs="宋体"/>
          <w:color w:val="auto"/>
          <w:szCs w:val="21"/>
          <w:lang w:val="en-US" w:eastAsia="zh-CN"/>
        </w:rPr>
        <w:t>蒙蔷驿、</w:t>
      </w:r>
      <w:r>
        <w:rPr>
          <w:rFonts w:hint="eastAsia" w:ascii="宋体" w:hAnsi="宋体" w:cs="宋体"/>
          <w:color w:val="auto"/>
          <w:szCs w:val="21"/>
        </w:rPr>
        <w:t>罗燕、艾迪</w:t>
      </w:r>
      <w:r>
        <w:rPr>
          <w:rFonts w:hint="eastAsia" w:ascii="宋体" w:hAnsi="宋体" w:cs="宋体"/>
          <w:color w:val="auto"/>
          <w:szCs w:val="21"/>
          <w:lang w:eastAsia="zh-CN"/>
        </w:rPr>
        <w:t>、</w:t>
      </w:r>
      <w:r>
        <w:rPr>
          <w:rFonts w:hint="eastAsia" w:ascii="宋体" w:hAnsi="宋体" w:cs="宋体"/>
          <w:color w:val="auto"/>
          <w:szCs w:val="21"/>
          <w:lang w:val="en-US" w:eastAsia="zh-CN"/>
        </w:rPr>
        <w:t>覃玉梅</w:t>
      </w:r>
    </w:p>
    <w:p w14:paraId="2C47713B">
      <w:pPr>
        <w:spacing w:line="360" w:lineRule="auto"/>
        <w:ind w:firstLine="420" w:firstLineChars="200"/>
        <w:jc w:val="left"/>
        <w:rPr>
          <w:rFonts w:ascii="宋体" w:hAnsi="宋体" w:cs="宋体"/>
          <w:color w:val="auto"/>
          <w:szCs w:val="21"/>
        </w:rPr>
      </w:pPr>
      <w:r>
        <w:rPr>
          <w:rFonts w:hint="eastAsia" w:ascii="宋体" w:hAnsi="宋体" w:cs="宋体"/>
          <w:color w:val="auto"/>
          <w:szCs w:val="21"/>
        </w:rPr>
        <w:t>项目联系方式：0773-2834827</w:t>
      </w:r>
    </w:p>
    <w:p w14:paraId="76AFFC56">
      <w:pPr>
        <w:spacing w:line="360" w:lineRule="auto"/>
        <w:jc w:val="right"/>
        <w:rPr>
          <w:rFonts w:ascii="宋体" w:hAnsi="宋体" w:cs="宋体"/>
          <w:color w:val="auto"/>
          <w:u w:val="single"/>
        </w:rPr>
      </w:pPr>
      <w:r>
        <w:rPr>
          <w:rFonts w:hint="eastAsia" w:ascii="宋体" w:hAnsi="宋体" w:cs="宋体"/>
          <w:color w:val="auto"/>
          <w:szCs w:val="21"/>
        </w:rPr>
        <w:t>建银工程咨询有限责任公司</w:t>
      </w:r>
    </w:p>
    <w:p w14:paraId="524D6EBE">
      <w:pPr>
        <w:spacing w:line="360" w:lineRule="auto"/>
        <w:jc w:val="right"/>
        <w:rPr>
          <w:rFonts w:ascii="仿宋_GB2312" w:hAnsi="宋体" w:eastAsia="仿宋_GB2312"/>
          <w:color w:val="auto"/>
          <w:sz w:val="24"/>
          <w:szCs w:val="20"/>
        </w:rPr>
      </w:pPr>
      <w:r>
        <w:rPr>
          <w:rFonts w:hint="eastAsia" w:ascii="宋体" w:hAnsi="宋体" w:cs="宋体"/>
          <w:color w:val="auto"/>
        </w:rPr>
        <w:t>202</w:t>
      </w:r>
      <w:r>
        <w:rPr>
          <w:rFonts w:hint="eastAsia" w:ascii="宋体" w:hAnsi="宋体" w:cs="宋体"/>
          <w:color w:val="auto"/>
          <w:lang w:val="en-US" w:eastAsia="zh-CN"/>
        </w:rPr>
        <w:t>6</w:t>
      </w:r>
      <w:r>
        <w:rPr>
          <w:rFonts w:hint="eastAsia" w:ascii="宋体" w:hAnsi="宋体" w:cs="宋体"/>
          <w:color w:val="auto"/>
        </w:rPr>
        <w:t>年</w:t>
      </w:r>
      <w:r>
        <w:rPr>
          <w:rFonts w:hint="eastAsia" w:ascii="宋体" w:hAnsi="宋体"/>
          <w:color w:val="auto"/>
          <w:szCs w:val="21"/>
          <w:u w:val="none"/>
          <w:lang w:val="en-US" w:eastAsia="zh-CN"/>
        </w:rPr>
        <w:t>9</w:t>
      </w:r>
      <w:r>
        <w:rPr>
          <w:rFonts w:hint="eastAsia" w:ascii="宋体" w:hAnsi="宋体" w:cs="宋体"/>
          <w:color w:val="auto"/>
        </w:rPr>
        <w:t>月</w:t>
      </w:r>
      <w:r>
        <w:rPr>
          <w:rFonts w:hint="eastAsia" w:ascii="宋体" w:hAnsi="宋体"/>
          <w:color w:val="auto"/>
          <w:szCs w:val="21"/>
          <w:u w:val="none"/>
          <w:lang w:val="en-US" w:eastAsia="zh-CN"/>
        </w:rPr>
        <w:t>8</w:t>
      </w:r>
      <w:r>
        <w:rPr>
          <w:rFonts w:hint="eastAsia" w:ascii="宋体" w:hAnsi="宋体" w:cs="宋体"/>
          <w:color w:val="auto"/>
        </w:rPr>
        <w:t>日</w:t>
      </w:r>
      <w:r>
        <w:rPr>
          <w:rFonts w:ascii="仿宋_GB2312" w:hAnsi="宋体" w:eastAsia="仿宋_GB2312"/>
          <w:color w:val="auto"/>
          <w:sz w:val="24"/>
          <w:szCs w:val="20"/>
        </w:rPr>
        <w:br w:type="page"/>
      </w:r>
    </w:p>
    <w:p w14:paraId="41CA74ED">
      <w:pPr>
        <w:pStyle w:val="3"/>
        <w:keepNext w:val="0"/>
        <w:keepLines w:val="0"/>
        <w:jc w:val="center"/>
        <w:rPr>
          <w:color w:val="auto"/>
          <w:sz w:val="30"/>
          <w:szCs w:val="30"/>
        </w:rPr>
      </w:pPr>
      <w:bookmarkStart w:id="37" w:name="_Toc20037"/>
      <w:bookmarkStart w:id="38" w:name="_Toc828"/>
      <w:r>
        <w:rPr>
          <w:rFonts w:hint="eastAsia"/>
          <w:color w:val="auto"/>
        </w:rPr>
        <w:t>第二章采购需求</w:t>
      </w:r>
      <w:bookmarkEnd w:id="37"/>
      <w:bookmarkEnd w:id="38"/>
    </w:p>
    <w:p w14:paraId="14AD77BA">
      <w:pPr>
        <w:spacing w:line="360" w:lineRule="auto"/>
        <w:jc w:val="left"/>
        <w:rPr>
          <w:rFonts w:ascii="宋体" w:hAnsi="宋体" w:cs="宋体"/>
          <w:color w:val="auto"/>
          <w:szCs w:val="21"/>
        </w:rPr>
      </w:pPr>
      <w:bookmarkStart w:id="39" w:name="_Toc254970490"/>
      <w:bookmarkStart w:id="40" w:name="_Toc254970631"/>
      <w:r>
        <w:rPr>
          <w:rFonts w:hint="eastAsia" w:ascii="宋体" w:hAnsi="宋体" w:cs="宋体"/>
          <w:color w:val="auto"/>
          <w:szCs w:val="21"/>
        </w:rPr>
        <w:t>说明：</w:t>
      </w:r>
    </w:p>
    <w:p w14:paraId="0B0A8A6D">
      <w:pPr>
        <w:pStyle w:val="12"/>
        <w:kinsoku/>
        <w:spacing w:before="120" w:beforeLines="50" w:after="120" w:afterLines="50" w:line="400" w:lineRule="exact"/>
        <w:ind w:firstLine="422" w:firstLineChars="200"/>
        <w:rPr>
          <w:rFonts w:hint="eastAsia" w:ascii="宋体" w:hAnsi="宋体" w:eastAsia="宋体" w:cs="宋体"/>
          <w:color w:val="auto"/>
          <w:sz w:val="21"/>
          <w:szCs w:val="21"/>
          <w:highlight w:val="none"/>
          <w:lang w:eastAsia="zh-CN"/>
        </w:rPr>
      </w:pPr>
      <w:r>
        <w:rPr>
          <w:rFonts w:hint="eastAsia" w:ascii="宋体" w:hAnsi="宋体" w:eastAsia="宋体" w:cs="宋体"/>
          <w:b/>
          <w:color w:val="auto"/>
          <w:sz w:val="21"/>
          <w:szCs w:val="21"/>
          <w:highlight w:val="none"/>
        </w:rPr>
        <w:t>一、本项目需实现的功能或者目标</w:t>
      </w:r>
    </w:p>
    <w:p w14:paraId="6C4ED22B">
      <w:pPr>
        <w:pStyle w:val="12"/>
        <w:kinsoku/>
        <w:spacing w:line="400" w:lineRule="exact"/>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满足</w:t>
      </w:r>
      <w:r>
        <w:rPr>
          <w:rFonts w:hint="eastAsia" w:ascii="宋体" w:hAnsi="宋体" w:eastAsia="宋体" w:cs="宋体"/>
          <w:color w:val="auto"/>
          <w:sz w:val="21"/>
          <w:szCs w:val="21"/>
          <w:highlight w:val="none"/>
          <w:lang w:eastAsia="zh-CN"/>
        </w:rPr>
        <w:t>招标</w:t>
      </w:r>
      <w:r>
        <w:rPr>
          <w:rFonts w:hint="eastAsia" w:ascii="宋体" w:hAnsi="宋体" w:eastAsia="宋体" w:cs="宋体"/>
          <w:color w:val="auto"/>
          <w:sz w:val="21"/>
          <w:szCs w:val="21"/>
          <w:highlight w:val="none"/>
        </w:rPr>
        <w:t>文件采购需求及采购合同约定需求，经验收达到合格标准。本项目如有国家相关标准、行业标准、地方标准或者其他标准、规范的，应执行相应的标准、规范。如具体采购需求与标准、规范不一致的</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高于标准、规范的按具体采购需求执行</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低于标准、规范的按标准、规范执行。投标人所投标货物或服务如国家有强制性要求的应按国家规定执行。</w:t>
      </w:r>
    </w:p>
    <w:p w14:paraId="1E8CEAA7">
      <w:pPr>
        <w:pStyle w:val="12"/>
        <w:kinsoku/>
        <w:spacing w:before="120" w:beforeLines="50" w:after="120" w:afterLines="50" w:line="400" w:lineRule="exact"/>
        <w:ind w:firstLine="420" w:firstLineChars="200"/>
        <w:rPr>
          <w:rFonts w:hint="eastAsia" w:ascii="宋体" w:hAnsi="宋体" w:eastAsia="宋体" w:cs="宋体"/>
          <w:b/>
          <w:bCs/>
          <w:color w:val="auto"/>
          <w:sz w:val="21"/>
          <w:szCs w:val="21"/>
          <w:highlight w:val="none"/>
          <w:lang w:eastAsia="zh-CN"/>
        </w:rPr>
      </w:pPr>
      <w:r>
        <w:rPr>
          <w:rFonts w:hint="eastAsia" w:ascii="宋体" w:hAnsi="宋体" w:eastAsia="宋体" w:cs="宋体"/>
          <w:color w:val="auto"/>
          <w:sz w:val="21"/>
          <w:szCs w:val="21"/>
          <w:highlight w:val="none"/>
          <w:lang w:eastAsia="zh-CN"/>
        </w:rPr>
        <w:t>二、</w:t>
      </w:r>
      <w:r>
        <w:rPr>
          <w:rFonts w:hint="eastAsia" w:ascii="宋体" w:hAnsi="宋体" w:eastAsia="宋体" w:cs="宋体"/>
          <w:b/>
          <w:bCs/>
          <w:color w:val="auto"/>
          <w:sz w:val="21"/>
          <w:szCs w:val="21"/>
          <w:highlight w:val="none"/>
        </w:rPr>
        <w:t>落实政府采购政策需满足的要求</w:t>
      </w:r>
    </w:p>
    <w:p w14:paraId="4C0A0348">
      <w:pPr>
        <w:kinsoku/>
        <w:spacing w:line="40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eastAsia="zh-CN"/>
        </w:rPr>
        <w:t>1.</w:t>
      </w:r>
      <w:r>
        <w:rPr>
          <w:rFonts w:hint="eastAsia" w:ascii="宋体" w:hAnsi="宋体" w:eastAsia="宋体" w:cs="宋体"/>
          <w:color w:val="auto"/>
          <w:kern w:val="0"/>
          <w:sz w:val="21"/>
          <w:szCs w:val="21"/>
          <w:highlight w:val="none"/>
        </w:rPr>
        <w:t xml:space="preserve"> 需要落实的政府采购政策详见</w:t>
      </w:r>
      <w:r>
        <w:rPr>
          <w:rFonts w:hint="eastAsia" w:ascii="宋体" w:hAnsi="宋体" w:eastAsia="宋体" w:cs="宋体"/>
          <w:color w:val="auto"/>
          <w:kern w:val="0"/>
          <w:sz w:val="21"/>
          <w:szCs w:val="21"/>
          <w:highlight w:val="none"/>
          <w:lang w:eastAsia="zh-CN"/>
        </w:rPr>
        <w:t>招标</w:t>
      </w:r>
      <w:r>
        <w:rPr>
          <w:rFonts w:hint="eastAsia" w:ascii="宋体" w:hAnsi="宋体" w:eastAsia="宋体" w:cs="宋体"/>
          <w:color w:val="auto"/>
          <w:kern w:val="0"/>
          <w:sz w:val="21"/>
          <w:szCs w:val="21"/>
          <w:highlight w:val="none"/>
        </w:rPr>
        <w:t>公告，</w:t>
      </w:r>
      <w:r>
        <w:rPr>
          <w:rFonts w:hint="eastAsia" w:ascii="宋体" w:hAnsi="宋体" w:eastAsia="宋体" w:cs="宋体"/>
          <w:bCs/>
          <w:color w:val="auto"/>
          <w:sz w:val="21"/>
          <w:szCs w:val="21"/>
          <w:highlight w:val="none"/>
        </w:rPr>
        <w:t>本招标文件所称中小企业必须符合《政府采购促进中小企业发展管理办法》（财库〔2020〕46号）的规定。</w:t>
      </w:r>
    </w:p>
    <w:p w14:paraId="4FA9573F">
      <w:pPr>
        <w:kinsoku/>
        <w:adjustRightInd/>
        <w:snapToGrid/>
        <w:spacing w:line="40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eastAsia="zh-CN"/>
        </w:rPr>
        <w:t>2.</w:t>
      </w:r>
      <w:r>
        <w:rPr>
          <w:rFonts w:hint="eastAsia" w:ascii="宋体" w:hAnsi="宋体" w:eastAsia="宋体" w:cs="宋体"/>
          <w:bCs/>
          <w:color w:val="auto"/>
          <w:sz w:val="21"/>
          <w:szCs w:val="21"/>
          <w:highlight w:val="none"/>
        </w:rPr>
        <w:t xml:space="preserve">根据《财政部 发展改革委 </w:t>
      </w:r>
      <w:r>
        <w:rPr>
          <w:rFonts w:hint="eastAsia" w:ascii="宋体" w:hAnsi="宋体" w:eastAsia="宋体" w:cs="宋体"/>
          <w:bCs/>
          <w:color w:val="auto"/>
          <w:spacing w:val="-6"/>
          <w:sz w:val="21"/>
          <w:szCs w:val="21"/>
          <w:highlight w:val="none"/>
        </w:rPr>
        <w:t>生态环境部 市场监管总局关于调整优化节能产品</w:t>
      </w:r>
      <w:r>
        <w:rPr>
          <w:rFonts w:hint="eastAsia" w:ascii="宋体" w:hAnsi="宋体" w:eastAsia="宋体" w:cs="宋体"/>
          <w:bCs/>
          <w:color w:val="auto"/>
          <w:spacing w:val="-6"/>
          <w:sz w:val="21"/>
          <w:szCs w:val="21"/>
          <w:highlight w:val="none"/>
          <w:lang w:eastAsia="zh-CN"/>
        </w:rPr>
        <w:t>、</w:t>
      </w:r>
      <w:r>
        <w:rPr>
          <w:rFonts w:hint="eastAsia" w:ascii="宋体" w:hAnsi="宋体" w:eastAsia="宋体" w:cs="宋体"/>
          <w:bCs/>
          <w:color w:val="auto"/>
          <w:sz w:val="21"/>
          <w:szCs w:val="21"/>
          <w:highlight w:val="none"/>
        </w:rPr>
        <w:t>环境标志产品政府采购执行机制的通知》（财库〔2019〕9号）和《关于印发节能产品政府采购品目清单的通知》（财库〔2019〕19号）的规定，采购需求中的产品属于节能产品政府采购品目清单内标注“</w:t>
      </w:r>
      <w:r>
        <w:rPr>
          <w:rFonts w:hint="eastAsia" w:ascii="宋体" w:hAnsi="宋体" w:eastAsia="宋体" w:cs="宋体"/>
          <w:b/>
          <w:color w:val="auto"/>
          <w:sz w:val="21"/>
          <w:szCs w:val="21"/>
          <w:highlight w:val="none"/>
        </w:rPr>
        <w:t>★</w:t>
      </w:r>
      <w:r>
        <w:rPr>
          <w:rFonts w:hint="eastAsia" w:ascii="宋体" w:hAnsi="宋体" w:eastAsia="宋体" w:cs="宋体"/>
          <w:bCs/>
          <w:color w:val="auto"/>
          <w:sz w:val="21"/>
          <w:szCs w:val="21"/>
          <w:highlight w:val="none"/>
        </w:rPr>
        <w:t>”的（详见本章后附的节能产品政府采购品目清单），投标人的投标货物必须使用政府强制采购的节能产品，投标人必须在投标文件中提供所投标产品的节能产品认证证书复印件（加盖投标人公章），否则按无效投标处理。如本项目包含的货物</w:t>
      </w:r>
      <w:r>
        <w:rPr>
          <w:rFonts w:hint="eastAsia" w:ascii="宋体" w:hAnsi="宋体" w:eastAsia="宋体" w:cs="宋体"/>
          <w:bCs/>
          <w:color w:val="auto"/>
          <w:sz w:val="21"/>
          <w:szCs w:val="21"/>
          <w:highlight w:val="none"/>
          <w:lang w:val="en-US" w:eastAsia="zh-CN"/>
        </w:rPr>
        <w:t>有</w:t>
      </w:r>
      <w:r>
        <w:rPr>
          <w:rFonts w:hint="eastAsia" w:ascii="宋体" w:hAnsi="宋体" w:eastAsia="宋体" w:cs="宋体"/>
          <w:bCs/>
          <w:color w:val="auto"/>
          <w:sz w:val="21"/>
          <w:szCs w:val="21"/>
          <w:highlight w:val="none"/>
        </w:rPr>
        <w:t>属于品目清单内非标注“</w:t>
      </w:r>
      <w:r>
        <w:rPr>
          <w:rFonts w:hint="eastAsia" w:ascii="宋体" w:hAnsi="宋体" w:eastAsia="宋体" w:cs="宋体"/>
          <w:b/>
          <w:color w:val="auto"/>
          <w:sz w:val="21"/>
          <w:szCs w:val="21"/>
          <w:highlight w:val="none"/>
        </w:rPr>
        <w:t>★</w:t>
      </w:r>
      <w:r>
        <w:rPr>
          <w:rFonts w:hint="eastAsia" w:ascii="宋体" w:hAnsi="宋体" w:eastAsia="宋体" w:cs="宋体"/>
          <w:bCs/>
          <w:color w:val="auto"/>
          <w:sz w:val="21"/>
          <w:szCs w:val="21"/>
          <w:highlight w:val="none"/>
        </w:rPr>
        <w:t>”的产品时，应优先采购，具体详见“第四章 评标方法及评标标准”。</w:t>
      </w:r>
    </w:p>
    <w:p w14:paraId="2A35253A">
      <w:pPr>
        <w:pStyle w:val="12"/>
        <w:kinsoku/>
        <w:spacing w:line="400" w:lineRule="exact"/>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lang w:eastAsia="zh-CN"/>
        </w:rPr>
        <w:t>3.</w:t>
      </w:r>
      <w:r>
        <w:rPr>
          <w:rFonts w:hint="eastAsia" w:ascii="宋体" w:hAnsi="宋体" w:eastAsia="宋体" w:cs="宋体"/>
          <w:color w:val="auto"/>
          <w:sz w:val="21"/>
          <w:szCs w:val="21"/>
          <w:highlight w:val="none"/>
        </w:rPr>
        <w:t>根据《关于调整网络安全专用产品安全管理有关事项的公告》（2023年1号）规定，本项目采购需求中的产品如果包括《网络关键设备和网络安全专用产品目录》的网络安全专用产品，供应商在投标文件中应主动列明供货范围中属于网络安全专用产品的投标产品，并在投标文件（商务及技术文件）中提供由中共中央网络安全和信息化委员会办公室网站（</w:t>
      </w:r>
      <w:r>
        <w:rPr>
          <w:rFonts w:hint="eastAsia" w:ascii="宋体" w:hAnsi="宋体" w:eastAsia="宋体" w:cs="宋体"/>
          <w:color w:val="auto"/>
          <w:spacing w:val="-2"/>
          <w:sz w:val="21"/>
          <w:szCs w:val="21"/>
          <w:highlight w:val="none"/>
        </w:rPr>
        <w:t>http://www.cac.gov.cn/index.htm</w:t>
      </w:r>
      <w:r>
        <w:rPr>
          <w:rFonts w:hint="eastAsia" w:ascii="宋体" w:hAnsi="宋体" w:eastAsia="宋体" w:cs="宋体"/>
          <w:color w:val="auto"/>
          <w:sz w:val="21"/>
          <w:szCs w:val="21"/>
          <w:highlight w:val="none"/>
        </w:rPr>
        <w:t>）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投标无效。如属于《网络关键设备和网络安全专用产品目录》中网络安全专用产品的类别，但不符合目录中所列“产品描述”的产品，应提供相应的说明及证明材料。</w:t>
      </w:r>
    </w:p>
    <w:p w14:paraId="4BD5228B">
      <w:pPr>
        <w:pStyle w:val="12"/>
        <w:kinsoku/>
        <w:spacing w:before="120" w:beforeLines="50" w:after="120" w:afterLines="50" w:line="400" w:lineRule="exact"/>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三、</w:t>
      </w:r>
      <w:r>
        <w:rPr>
          <w:rFonts w:hint="eastAsia" w:ascii="宋体" w:hAnsi="宋体" w:eastAsia="宋体" w:cs="宋体"/>
          <w:b/>
          <w:color w:val="auto"/>
          <w:sz w:val="21"/>
          <w:szCs w:val="21"/>
          <w:highlight w:val="none"/>
        </w:rPr>
        <w:t>是否接受进口产品</w:t>
      </w:r>
    </w:p>
    <w:p w14:paraId="5FA8C896">
      <w:pPr>
        <w:pStyle w:val="12"/>
        <w:kinsoku/>
        <w:spacing w:line="400" w:lineRule="exact"/>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本项目</w:t>
      </w:r>
      <w:r>
        <w:rPr>
          <w:rFonts w:hint="eastAsia" w:ascii="宋体" w:hAnsi="宋体" w:eastAsia="宋体" w:cs="宋体"/>
          <w:b/>
          <w:bCs/>
          <w:color w:val="auto"/>
          <w:sz w:val="21"/>
          <w:szCs w:val="21"/>
          <w:highlight w:val="none"/>
          <w:lang w:eastAsia="zh-CN"/>
        </w:rPr>
        <w:t>不</w:t>
      </w:r>
      <w:r>
        <w:rPr>
          <w:rFonts w:hint="eastAsia" w:ascii="宋体" w:hAnsi="宋体" w:eastAsia="宋体" w:cs="宋体"/>
          <w:b/>
          <w:bCs/>
          <w:color w:val="auto"/>
          <w:sz w:val="21"/>
          <w:szCs w:val="21"/>
          <w:highlight w:val="none"/>
        </w:rPr>
        <w:t>接受进口产品参与投标。</w:t>
      </w:r>
    </w:p>
    <w:p w14:paraId="0A85A055">
      <w:pPr>
        <w:widowControl w:val="0"/>
        <w:kinsoku/>
        <w:spacing w:line="400" w:lineRule="exact"/>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备注：1.允许接受进口产品的，投标人可以选用进口产品参与投标，但不排斥国内产品。</w:t>
      </w:r>
    </w:p>
    <w:p w14:paraId="476F338C">
      <w:pPr>
        <w:widowControl w:val="0"/>
        <w:kinsoku/>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2.如本项目接受进口产品，投标人选择提供进口产品的，则提供的必须为全套全新原装进口产品，报价中应包括关税等所有进口环节费用并由</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办理进口相关手续，投标人报价中应自行考虑海关关税政策变化带来的风险，招标人不承担该政策变化所造成的费用增加。</w:t>
      </w:r>
    </w:p>
    <w:p w14:paraId="11846744">
      <w:pPr>
        <w:pStyle w:val="12"/>
        <w:widowControl w:val="0"/>
        <w:kinsoku/>
        <w:spacing w:line="400" w:lineRule="exact"/>
        <w:ind w:firstLine="420" w:firstLineChars="200"/>
        <w:rPr>
          <w:rFonts w:hint="eastAsia" w:ascii="宋体" w:hAnsi="宋体" w:eastAsia="宋体" w:cs="宋体"/>
          <w:b/>
          <w:color w:val="auto"/>
          <w:sz w:val="21"/>
          <w:szCs w:val="21"/>
          <w:highlight w:val="none"/>
          <w:lang w:eastAsia="zh-CN"/>
        </w:rPr>
      </w:pPr>
      <w:r>
        <w:rPr>
          <w:rFonts w:hint="eastAsia" w:ascii="宋体" w:hAnsi="宋体" w:eastAsia="宋体" w:cs="宋体"/>
          <w:color w:val="auto"/>
          <w:sz w:val="21"/>
          <w:szCs w:val="21"/>
          <w:highlight w:val="none"/>
        </w:rPr>
        <w:t>3.进口产品是指通过中国海关报关验放进入中国境内且产自关境外的产品。即所谓进口产品是指制造过程均在国外，如果产品在国内组装，其中的零部件（包括核心部件）是进口产品，则应当视为非进口产品。</w:t>
      </w:r>
    </w:p>
    <w:p w14:paraId="7DD47B2A">
      <w:pPr>
        <w:pStyle w:val="12"/>
        <w:widowControl w:val="0"/>
        <w:kinsoku/>
        <w:spacing w:line="400" w:lineRule="exact"/>
        <w:ind w:firstLine="420" w:firstLineChars="200"/>
        <w:rPr>
          <w:rFonts w:hint="eastAsia" w:ascii="宋体" w:hAnsi="宋体" w:eastAsia="宋体" w:cs="宋体"/>
          <w:b/>
          <w:color w:val="auto"/>
          <w:sz w:val="21"/>
          <w:szCs w:val="21"/>
          <w:highlight w:val="none"/>
          <w:lang w:eastAsia="zh-CN"/>
        </w:rPr>
      </w:pPr>
      <w:r>
        <w:rPr>
          <w:rFonts w:hint="eastAsia" w:ascii="宋体" w:hAnsi="宋体" w:eastAsia="宋体" w:cs="宋体"/>
          <w:color w:val="auto"/>
          <w:sz w:val="21"/>
          <w:szCs w:val="21"/>
          <w:highlight w:val="none"/>
        </w:rPr>
        <w:t>4.其余内容以《政府采购进口产品管理办法》（财库〔2007〕119 号）和《关于政府采购进口产品管理有关问题的通知财办库》（财库[2008]248号）的相关规定为准。</w:t>
      </w:r>
    </w:p>
    <w:p w14:paraId="26DDEE57">
      <w:pPr>
        <w:pStyle w:val="12"/>
        <w:kinsoku/>
        <w:spacing w:before="120" w:beforeLines="50" w:after="120" w:afterLines="50" w:line="400" w:lineRule="exact"/>
        <w:ind w:firstLine="422" w:firstLineChars="200"/>
        <w:rPr>
          <w:rFonts w:hint="eastAsia" w:ascii="宋体" w:hAnsi="宋体" w:eastAsia="宋体" w:cs="宋体"/>
          <w:color w:val="auto"/>
          <w:sz w:val="21"/>
          <w:szCs w:val="21"/>
          <w:highlight w:val="none"/>
          <w:lang w:eastAsia="zh-CN"/>
        </w:rPr>
      </w:pPr>
      <w:r>
        <w:rPr>
          <w:rFonts w:hint="eastAsia" w:ascii="宋体" w:hAnsi="宋体" w:eastAsia="宋体" w:cs="宋体"/>
          <w:b/>
          <w:color w:val="auto"/>
          <w:sz w:val="21"/>
          <w:szCs w:val="21"/>
          <w:highlight w:val="none"/>
          <w:lang w:eastAsia="zh-CN"/>
        </w:rPr>
        <w:t>四、其他</w:t>
      </w:r>
      <w:r>
        <w:rPr>
          <w:rFonts w:hint="eastAsia" w:ascii="宋体" w:hAnsi="宋体" w:eastAsia="宋体" w:cs="宋体"/>
          <w:b/>
          <w:color w:val="auto"/>
          <w:sz w:val="21"/>
          <w:szCs w:val="21"/>
          <w:highlight w:val="none"/>
        </w:rPr>
        <w:t>说明</w:t>
      </w:r>
    </w:p>
    <w:p w14:paraId="7C43BF92">
      <w:pPr>
        <w:widowControl w:val="0"/>
        <w:kinsoku/>
        <w:autoSpaceDE/>
        <w:autoSpaceDN/>
        <w:adjustRightInd/>
        <w:snapToGrid/>
        <w:spacing w:line="400" w:lineRule="exact"/>
        <w:ind w:firstLine="420" w:firstLineChars="200"/>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Cs/>
          <w:color w:val="auto"/>
          <w:sz w:val="21"/>
          <w:szCs w:val="21"/>
          <w:highlight w:val="none"/>
          <w:lang w:eastAsia="zh-CN"/>
        </w:rPr>
        <w:t>1.</w:t>
      </w:r>
      <w:r>
        <w:rPr>
          <w:rFonts w:hint="eastAsia" w:ascii="宋体" w:hAnsi="宋体" w:eastAsia="宋体" w:cs="宋体"/>
          <w:bCs/>
          <w:color w:val="auto"/>
          <w:sz w:val="21"/>
          <w:szCs w:val="21"/>
          <w:highlight w:val="none"/>
        </w:rPr>
        <w:t>“实质性要求”是指招标文件中已经指明不满足则投标无效的条款，或者不能负偏离的条款，或者采购需求中带“▲”的条款</w:t>
      </w:r>
      <w:r>
        <w:rPr>
          <w:rFonts w:hint="eastAsia" w:ascii="宋体" w:hAnsi="宋体" w:eastAsia="宋体" w:cs="宋体"/>
          <w:bCs/>
          <w:color w:val="auto"/>
          <w:sz w:val="21"/>
          <w:szCs w:val="21"/>
          <w:highlight w:val="none"/>
          <w:lang w:val="en-US" w:eastAsia="zh-CN"/>
        </w:rPr>
        <w:t>(如有)</w:t>
      </w:r>
      <w:r>
        <w:rPr>
          <w:rFonts w:hint="eastAsia" w:ascii="宋体" w:hAnsi="宋体" w:eastAsia="宋体" w:cs="宋体"/>
          <w:bCs/>
          <w:color w:val="auto"/>
          <w:sz w:val="21"/>
          <w:szCs w:val="21"/>
          <w:highlight w:val="none"/>
        </w:rPr>
        <w:t>，</w:t>
      </w:r>
      <w:r>
        <w:rPr>
          <w:rFonts w:hint="eastAsia" w:ascii="宋体" w:hAnsi="宋体" w:eastAsia="宋体" w:cs="宋体"/>
          <w:b/>
          <w:bCs w:val="0"/>
          <w:color w:val="auto"/>
          <w:sz w:val="21"/>
          <w:szCs w:val="21"/>
          <w:highlight w:val="none"/>
        </w:rPr>
        <w:t>不满足将作投标文件无效处理。</w:t>
      </w:r>
      <w:r>
        <w:rPr>
          <w:rFonts w:hint="eastAsia" w:ascii="宋体" w:hAnsi="宋体" w:eastAsia="宋体" w:cs="宋体"/>
          <w:bCs/>
          <w:color w:val="auto"/>
          <w:sz w:val="21"/>
          <w:szCs w:val="21"/>
          <w:highlight w:val="none"/>
        </w:rPr>
        <w:t>标注“●”的条款或要求（如有）系指重要技术参数或条款，未标注“▲”及“●”的条款或要求系指一般技术参数或条款，</w:t>
      </w:r>
      <w:r>
        <w:rPr>
          <w:rFonts w:hint="eastAsia" w:ascii="宋体" w:hAnsi="宋体" w:eastAsia="宋体" w:cs="宋体"/>
          <w:bCs/>
          <w:color w:val="auto"/>
          <w:highlight w:val="none"/>
        </w:rPr>
        <w:t>重要技术参数或条款</w:t>
      </w:r>
      <w:r>
        <w:rPr>
          <w:rFonts w:hint="eastAsia" w:ascii="宋体" w:hAnsi="宋体" w:eastAsia="宋体" w:cs="宋体"/>
          <w:bCs/>
          <w:color w:val="auto"/>
          <w:highlight w:val="none"/>
          <w:lang w:val="en-US" w:eastAsia="zh-CN"/>
        </w:rPr>
        <w:t>及</w:t>
      </w:r>
      <w:r>
        <w:rPr>
          <w:rFonts w:hint="eastAsia" w:ascii="宋体" w:hAnsi="宋体" w:eastAsia="宋体" w:cs="宋体"/>
          <w:bCs/>
          <w:color w:val="auto"/>
          <w:highlight w:val="none"/>
        </w:rPr>
        <w:t>一般技术参数或条款均允许负偏离，如存在负偏离将导致被扣分，具体详见“第四章 评分办法”。</w:t>
      </w:r>
    </w:p>
    <w:p w14:paraId="6D9CBF64">
      <w:pPr>
        <w:kinsoku/>
        <w:adjustRightInd/>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2.本表中如提及品牌型号，仅起参考作用</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eastAsia="zh-CN" w:bidi="ar"/>
        </w:rPr>
        <w:t>不属于指定品牌、型号或者生产厂家的情形。</w:t>
      </w:r>
      <w:r>
        <w:rPr>
          <w:rFonts w:hint="eastAsia" w:ascii="宋体" w:hAnsi="宋体" w:eastAsia="宋体" w:cs="宋体"/>
          <w:color w:val="auto"/>
          <w:sz w:val="21"/>
          <w:szCs w:val="21"/>
          <w:highlight w:val="none"/>
        </w:rPr>
        <w:t>供应商可选用其他品牌型号替代，但这些替代的品牌型号要实质上参照或相当于或优于参考品牌型号及其技术参数性能（配置）要求。</w:t>
      </w:r>
    </w:p>
    <w:p w14:paraId="1637BB4E">
      <w:pPr>
        <w:kinsoku/>
        <w:adjustRightInd/>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bidi="ar"/>
        </w:rPr>
        <w:t xml:space="preserve">3.投标人必须对投标文件中提供的证明材料和资质文件真实性负责，如出现虚假应标情况，投标人除了应接受有关部门的处罚外，还应依据《中华人民共和国民法典》的相关条款来确定赔偿金额。 </w:t>
      </w:r>
    </w:p>
    <w:p w14:paraId="0E1E2D66">
      <w:pPr>
        <w:tabs>
          <w:tab w:val="left" w:pos="1305"/>
        </w:tabs>
        <w:kinsoku/>
        <w:adjustRightInd/>
        <w:snapToGrid/>
        <w:spacing w:line="400" w:lineRule="exact"/>
        <w:ind w:firstLine="420" w:firstLineChars="200"/>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eastAsia="zh-CN" w:bidi="ar"/>
        </w:rPr>
        <w:t>4.投标人应对投标内容所涉及的专利承担法律责任，并负责保护采购人的利益不受任何损害。一切由于文字、商标、技术和软件专利授权引起的法律裁决、诉讼和赔偿费用均由中标人负责。</w:t>
      </w:r>
    </w:p>
    <w:p w14:paraId="244F9047">
      <w:pPr>
        <w:kinsoku/>
        <w:spacing w:line="400" w:lineRule="exact"/>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bidi="ar"/>
        </w:rPr>
        <w:t>5.</w:t>
      </w:r>
      <w:r>
        <w:rPr>
          <w:rFonts w:hint="eastAsia" w:ascii="宋体" w:hAnsi="宋体" w:eastAsia="宋体" w:cs="宋体"/>
          <w:color w:val="auto"/>
          <w:sz w:val="21"/>
          <w:szCs w:val="21"/>
          <w:highlight w:val="none"/>
        </w:rPr>
        <w:t>投标人应根据自身实际情况如实响应招标文件，对招标文件提出的要求和条件作出明确响应，</w:t>
      </w:r>
      <w:r>
        <w:rPr>
          <w:rFonts w:hint="eastAsia" w:ascii="宋体" w:hAnsi="宋体" w:eastAsia="宋体" w:cs="宋体"/>
          <w:b/>
          <w:bCs/>
          <w:color w:val="auto"/>
          <w:sz w:val="21"/>
          <w:szCs w:val="21"/>
          <w:highlight w:val="none"/>
        </w:rPr>
        <w:t>否则将作无效响应处理</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招标文件的技术参数如要求投标文件</w:t>
      </w:r>
      <w:r>
        <w:rPr>
          <w:rFonts w:hint="eastAsia" w:ascii="宋体" w:hAnsi="宋体" w:eastAsia="宋体" w:cs="宋体"/>
          <w:color w:val="auto"/>
          <w:sz w:val="21"/>
          <w:szCs w:val="21"/>
          <w:highlight w:val="none"/>
        </w:rPr>
        <w:t>提供技术支持资料</w:t>
      </w:r>
      <w:r>
        <w:rPr>
          <w:rFonts w:hint="eastAsia" w:ascii="宋体" w:hAnsi="宋体" w:eastAsia="宋体" w:cs="宋体"/>
          <w:color w:val="auto"/>
          <w:sz w:val="21"/>
          <w:szCs w:val="21"/>
          <w:highlight w:val="none"/>
          <w:lang w:eastAsia="zh-CN"/>
        </w:rPr>
        <w:t>的，</w:t>
      </w:r>
      <w:r>
        <w:rPr>
          <w:rFonts w:hint="eastAsia" w:ascii="宋体" w:hAnsi="宋体" w:eastAsia="宋体" w:cs="宋体"/>
          <w:color w:val="auto"/>
          <w:sz w:val="21"/>
          <w:szCs w:val="21"/>
          <w:highlight w:val="none"/>
        </w:rPr>
        <w:t>技术支持资料以招标文件中规定的形式为准</w:t>
      </w:r>
      <w:r>
        <w:rPr>
          <w:rFonts w:hint="eastAsia" w:ascii="宋体" w:hAnsi="宋体" w:eastAsia="宋体" w:cs="宋体"/>
          <w:b/>
          <w:color w:val="auto"/>
          <w:sz w:val="21"/>
          <w:szCs w:val="21"/>
          <w:highlight w:val="none"/>
        </w:rPr>
        <w:t>，</w:t>
      </w:r>
      <w:r>
        <w:rPr>
          <w:rFonts w:hint="eastAsia" w:ascii="宋体" w:hAnsi="宋体" w:eastAsia="宋体" w:cs="宋体"/>
          <w:b/>
          <w:bCs/>
          <w:color w:val="auto"/>
          <w:sz w:val="21"/>
          <w:szCs w:val="21"/>
          <w:highlight w:val="none"/>
        </w:rPr>
        <w:t>否则将视为无效技术支持资料</w:t>
      </w:r>
      <w:r>
        <w:rPr>
          <w:rFonts w:hint="eastAsia" w:ascii="宋体" w:hAnsi="宋体" w:eastAsia="宋体" w:cs="宋体"/>
          <w:color w:val="auto"/>
          <w:sz w:val="21"/>
          <w:szCs w:val="21"/>
          <w:highlight w:val="none"/>
        </w:rPr>
        <w:t>。</w:t>
      </w:r>
    </w:p>
    <w:p w14:paraId="52544C73">
      <w:pPr>
        <w:pStyle w:val="12"/>
        <w:kinsoku/>
        <w:spacing w:line="400" w:lineRule="exact"/>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6</w:t>
      </w:r>
      <w:r>
        <w:rPr>
          <w:rFonts w:hint="eastAsia" w:ascii="宋体" w:hAnsi="宋体" w:eastAsia="宋体" w:cs="宋体"/>
          <w:color w:val="auto"/>
          <w:sz w:val="21"/>
          <w:szCs w:val="21"/>
          <w:highlight w:val="none"/>
        </w:rPr>
        <w:t>.招标文件如要求提供检测报告、认证证书的</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检测报告或认证报告内容中若涉及外文说明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必须同时提供对应中文翻译说明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评标依据以中文翻译内容为准，外文说明仅供参考</w:t>
      </w:r>
      <w:r>
        <w:rPr>
          <w:rFonts w:hint="eastAsia" w:ascii="宋体" w:hAnsi="宋体" w:eastAsia="宋体" w:cs="宋体"/>
          <w:color w:val="auto"/>
          <w:sz w:val="21"/>
          <w:szCs w:val="21"/>
          <w:highlight w:val="none"/>
          <w:lang w:eastAsia="zh-CN"/>
        </w:rPr>
        <w:t>，如未提供中文翻译件，</w:t>
      </w:r>
      <w:r>
        <w:rPr>
          <w:rFonts w:hint="eastAsia" w:ascii="宋体" w:hAnsi="宋体" w:eastAsia="宋体" w:cs="宋体"/>
          <w:color w:val="auto"/>
          <w:sz w:val="21"/>
          <w:szCs w:val="21"/>
          <w:highlight w:val="none"/>
        </w:rPr>
        <w:t>其不利后果由</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自行承担。</w:t>
      </w:r>
    </w:p>
    <w:p w14:paraId="699706A1">
      <w:pPr>
        <w:pStyle w:val="12"/>
        <w:kinsoku/>
        <w:spacing w:before="120" w:beforeLines="50" w:after="120" w:afterLines="50" w:line="400" w:lineRule="exact"/>
        <w:ind w:firstLine="422" w:firstLineChars="200"/>
        <w:rPr>
          <w:rFonts w:hint="eastAsia" w:ascii="宋体" w:hAnsi="宋体" w:eastAsia="宋体" w:cs="宋体"/>
          <w:b/>
          <w:bCs/>
          <w:color w:val="auto"/>
          <w:kern w:val="0"/>
          <w:sz w:val="21"/>
          <w:szCs w:val="21"/>
          <w:highlight w:val="none"/>
          <w:lang w:eastAsia="zh-CN"/>
        </w:rPr>
      </w:pPr>
      <w:r>
        <w:rPr>
          <w:rFonts w:hint="eastAsia" w:ascii="宋体" w:hAnsi="宋体" w:eastAsia="宋体" w:cs="宋体"/>
          <w:b/>
          <w:bCs/>
          <w:color w:val="auto"/>
          <w:sz w:val="21"/>
          <w:szCs w:val="21"/>
          <w:highlight w:val="none"/>
          <w:lang w:eastAsia="zh-CN"/>
        </w:rPr>
        <w:t>五</w:t>
      </w:r>
      <w:r>
        <w:rPr>
          <w:rFonts w:hint="eastAsia" w:ascii="宋体" w:hAnsi="宋体" w:eastAsia="宋体" w:cs="宋体"/>
          <w:b/>
          <w:bCs/>
          <w:color w:val="auto"/>
          <w:sz w:val="21"/>
          <w:szCs w:val="21"/>
          <w:highlight w:val="none"/>
        </w:rPr>
        <w:t>、</w:t>
      </w:r>
      <w:r>
        <w:rPr>
          <w:rFonts w:hint="eastAsia" w:ascii="宋体" w:hAnsi="宋体" w:eastAsia="宋体" w:cs="宋体"/>
          <w:b/>
          <w:bCs/>
          <w:color w:val="auto"/>
          <w:kern w:val="0"/>
          <w:sz w:val="21"/>
          <w:szCs w:val="21"/>
          <w:highlight w:val="none"/>
        </w:rPr>
        <w:t>促进中小企业发展政策</w:t>
      </w:r>
    </w:p>
    <w:p w14:paraId="422FEAC8">
      <w:pPr>
        <w:pStyle w:val="13"/>
        <w:kinsoku/>
        <w:autoSpaceDE/>
        <w:autoSpaceDN/>
        <w:spacing w:line="400" w:lineRule="exact"/>
        <w:ind w:firstLine="420"/>
        <w:jc w:val="left"/>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本项目为</w:t>
      </w:r>
      <w:r>
        <w:rPr>
          <w:rFonts w:hint="eastAsia" w:ascii="宋体" w:hAnsi="宋体" w:eastAsia="宋体" w:cs="宋体"/>
          <w:b w:val="0"/>
          <w:bCs w:val="0"/>
          <w:color w:val="auto"/>
          <w:sz w:val="21"/>
          <w:szCs w:val="21"/>
          <w:highlight w:val="none"/>
          <w:u w:val="single"/>
        </w:rPr>
        <w:t>非专门面向中小企业采购的项目</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color w:val="auto"/>
          <w:sz w:val="21"/>
          <w:szCs w:val="21"/>
          <w:highlight w:val="none"/>
          <w:lang w:eastAsia="zh-CN"/>
        </w:rPr>
        <w:t>本项目中小企业划分标准所属为：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eastAsia="zh-CN"/>
        </w:rPr>
        <w:t xml:space="preserve">工业 </w:t>
      </w:r>
      <w:r>
        <w:rPr>
          <w:rFonts w:hint="eastAsia" w:ascii="宋体" w:hAnsi="宋体" w:eastAsia="宋体" w:cs="宋体"/>
          <w:color w:val="auto"/>
          <w:sz w:val="21"/>
          <w:szCs w:val="21"/>
          <w:highlight w:val="none"/>
        </w:rPr>
        <w:t>。</w:t>
      </w:r>
      <w:r>
        <w:rPr>
          <w:rFonts w:hint="eastAsia" w:ascii="宋体" w:hAnsi="宋体" w:eastAsia="宋体" w:cs="宋体"/>
          <w:b w:val="0"/>
          <w:color w:val="auto"/>
          <w:sz w:val="21"/>
          <w:szCs w:val="21"/>
          <w:highlight w:val="none"/>
        </w:rPr>
        <w:t>根据《政府采购促进中小企业发展管理办法》（财库〔2020〕46号）第九条以及《广西壮族自治区财政厅广西壮族自治区工业和信息化厅转发财政部工业和信息化部政府采购促进中小企业发展管理办法的通知》（桂财采〔2021〕70号）规定，价格评审优惠</w:t>
      </w:r>
      <w:r>
        <w:rPr>
          <w:rFonts w:hint="eastAsia" w:ascii="宋体" w:hAnsi="宋体" w:eastAsia="宋体" w:cs="宋体"/>
          <w:b w:val="0"/>
          <w:color w:val="auto"/>
          <w:sz w:val="21"/>
          <w:szCs w:val="21"/>
          <w:highlight w:val="none"/>
          <w:lang w:eastAsia="zh-CN"/>
        </w:rPr>
        <w:t>(</w:t>
      </w:r>
      <w:r>
        <w:rPr>
          <w:rFonts w:hint="eastAsia" w:ascii="宋体" w:hAnsi="宋体" w:eastAsia="宋体" w:cs="宋体"/>
          <w:b w:val="0"/>
          <w:color w:val="auto"/>
          <w:sz w:val="21"/>
          <w:szCs w:val="21"/>
          <w:highlight w:val="none"/>
        </w:rPr>
        <w:t>价格扣除比例</w:t>
      </w:r>
      <w:r>
        <w:rPr>
          <w:rFonts w:hint="eastAsia" w:ascii="宋体" w:hAnsi="宋体" w:eastAsia="宋体" w:cs="宋体"/>
          <w:b w:val="0"/>
          <w:color w:val="auto"/>
          <w:sz w:val="21"/>
          <w:szCs w:val="21"/>
          <w:highlight w:val="none"/>
          <w:lang w:eastAsia="zh-CN"/>
        </w:rPr>
        <w:t>)</w:t>
      </w:r>
      <w:r>
        <w:rPr>
          <w:rFonts w:hint="eastAsia" w:ascii="宋体" w:hAnsi="宋体" w:eastAsia="宋体" w:cs="宋体"/>
          <w:b w:val="0"/>
          <w:color w:val="auto"/>
          <w:sz w:val="21"/>
          <w:szCs w:val="21"/>
          <w:highlight w:val="none"/>
        </w:rPr>
        <w:t>在第四章评审方法及标准中规定，对小型企业和微型企业同等对待，不作区分。</w:t>
      </w:r>
    </w:p>
    <w:p w14:paraId="1D884AFF">
      <w:pPr>
        <w:pStyle w:val="12"/>
        <w:kinsoku/>
        <w:spacing w:before="120" w:beforeLines="50" w:after="120" w:afterLines="50" w:line="400" w:lineRule="exact"/>
        <w:ind w:firstLine="422" w:firstLineChars="200"/>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lang w:eastAsia="zh-CN"/>
        </w:rPr>
        <w:t>六</w:t>
      </w:r>
      <w:r>
        <w:rPr>
          <w:rFonts w:hint="eastAsia" w:ascii="宋体" w:hAnsi="宋体" w:eastAsia="宋体" w:cs="宋体"/>
          <w:b/>
          <w:color w:val="auto"/>
          <w:sz w:val="21"/>
          <w:szCs w:val="21"/>
          <w:highlight w:val="none"/>
        </w:rPr>
        <w:t>、</w:t>
      </w:r>
      <w:r>
        <w:rPr>
          <w:rFonts w:hint="eastAsia" w:ascii="宋体" w:hAnsi="宋体" w:eastAsia="宋体" w:cs="宋体"/>
          <w:b/>
          <w:bCs/>
          <w:color w:val="auto"/>
          <w:sz w:val="21"/>
          <w:szCs w:val="21"/>
          <w:highlight w:val="none"/>
        </w:rPr>
        <w:t>本国产品的支持政策</w:t>
      </w:r>
      <w:r>
        <w:rPr>
          <w:rFonts w:hint="eastAsia" w:ascii="宋体" w:hAnsi="宋体" w:eastAsia="宋体" w:cs="宋体"/>
          <w:b/>
          <w:color w:val="auto"/>
          <w:sz w:val="21"/>
          <w:szCs w:val="21"/>
          <w:highlight w:val="none"/>
        </w:rPr>
        <w:t xml:space="preserve"> </w:t>
      </w:r>
    </w:p>
    <w:p w14:paraId="51C0B075">
      <w:pPr>
        <w:pStyle w:val="12"/>
        <w:kinsoku/>
        <w:spacing w:before="120" w:beforeLines="50" w:after="120" w:afterLines="5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rPr>
        <w:t>适用</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lang w:eastAsia="zh-CN"/>
        </w:rPr>
        <w:t xml:space="preserve"> </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rPr>
        <w:t>不适用</w:t>
      </w:r>
      <w:r>
        <w:rPr>
          <w:rFonts w:hint="eastAsia" w:ascii="宋体" w:hAnsi="宋体" w:eastAsia="宋体" w:cs="宋体"/>
          <w:color w:val="auto"/>
          <w:sz w:val="21"/>
          <w:szCs w:val="21"/>
          <w:highlight w:val="none"/>
          <w:lang w:eastAsia="zh-CN"/>
        </w:rPr>
        <w:t xml:space="preserve"> </w:t>
      </w:r>
      <w:r>
        <w:rPr>
          <w:rFonts w:hint="eastAsia" w:ascii="宋体" w:hAnsi="宋体" w:eastAsia="宋体" w:cs="宋体"/>
          <w:bCs/>
          <w:color w:val="auto"/>
          <w:sz w:val="21"/>
          <w:szCs w:val="21"/>
          <w:highlight w:val="none"/>
        </w:rPr>
        <w:t>本国产品的支持政策</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适用本国产品支持政策的项目</w:t>
      </w:r>
      <w:r>
        <w:rPr>
          <w:rFonts w:hint="eastAsia" w:ascii="宋体" w:hAnsi="宋体" w:eastAsia="宋体" w:cs="宋体"/>
          <w:color w:val="auto"/>
          <w:sz w:val="21"/>
          <w:szCs w:val="21"/>
          <w:highlight w:val="none"/>
        </w:rPr>
        <w:t>价格评审优惠扣除比例在第四章评审方法及标准中规定</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w:t>
      </w:r>
    </w:p>
    <w:p w14:paraId="09925C08">
      <w:pPr>
        <w:pStyle w:val="12"/>
        <w:kinsoku/>
        <w:spacing w:before="120" w:beforeLines="50" w:after="120" w:afterLines="50" w:line="400" w:lineRule="exact"/>
        <w:ind w:firstLine="422" w:firstLineChars="200"/>
        <w:rPr>
          <w:rFonts w:hint="eastAsia" w:ascii="宋体" w:hAnsi="宋体" w:eastAsia="宋体" w:cs="宋体"/>
          <w:bCs/>
          <w:color w:val="auto"/>
          <w:sz w:val="21"/>
          <w:szCs w:val="21"/>
          <w:highlight w:val="none"/>
          <w:lang w:eastAsia="zh-CN"/>
        </w:rPr>
      </w:pPr>
      <w:r>
        <w:rPr>
          <w:rFonts w:hint="eastAsia" w:ascii="宋体" w:hAnsi="宋体" w:eastAsia="宋体" w:cs="宋体"/>
          <w:b/>
          <w:bCs/>
          <w:color w:val="auto"/>
          <w:sz w:val="21"/>
          <w:szCs w:val="21"/>
          <w:highlight w:val="none"/>
          <w:lang w:eastAsia="zh-CN"/>
        </w:rPr>
        <w:t>七、标项划分：</w:t>
      </w:r>
    </w:p>
    <w:p w14:paraId="4E8ED1ED">
      <w:pPr>
        <w:pStyle w:val="12"/>
        <w:spacing w:line="400" w:lineRule="exact"/>
        <w:ind w:firstLine="420" w:firstLineChars="200"/>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lang w:val="en-US" w:eastAsia="zh-CN"/>
        </w:rPr>
        <w:t>分标一：</w:t>
      </w:r>
      <w:r>
        <w:rPr>
          <w:rFonts w:hint="eastAsia" w:ascii="宋体" w:hAnsi="宋体" w:eastAsia="宋体" w:cs="宋体"/>
          <w:b w:val="0"/>
          <w:bCs w:val="0"/>
          <w:color w:val="auto"/>
          <w:sz w:val="21"/>
          <w:szCs w:val="21"/>
          <w:highlight w:val="none"/>
          <w:u w:val="none"/>
          <w:vertAlign w:val="baseline"/>
          <w:lang w:val="en-US" w:eastAsia="zh-CN"/>
        </w:rPr>
        <w:t>彩色多普勒超声诊断仪</w:t>
      </w:r>
    </w:p>
    <w:p w14:paraId="05008FD1">
      <w:pPr>
        <w:pStyle w:val="12"/>
        <w:spacing w:line="400" w:lineRule="exact"/>
        <w:ind w:firstLine="420" w:firstLineChars="200"/>
        <w:rPr>
          <w:rFonts w:hint="default" w:ascii="宋体" w:hAnsi="宋体" w:eastAsia="宋体" w:cs="宋体"/>
          <w:b/>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 xml:space="preserve">分标二：DR </w:t>
      </w:r>
    </w:p>
    <w:p w14:paraId="7D3CCBF9">
      <w:pPr>
        <w:pStyle w:val="12"/>
        <w:spacing w:before="120" w:beforeLines="50" w:after="120" w:afterLines="50" w:line="400" w:lineRule="exact"/>
        <w:ind w:firstLine="422" w:firstLineChars="200"/>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lang w:val="en-US" w:eastAsia="zh-CN"/>
        </w:rPr>
        <w:t>八</w:t>
      </w:r>
      <w:r>
        <w:rPr>
          <w:rFonts w:hint="eastAsia" w:ascii="宋体" w:hAnsi="宋体" w:eastAsia="宋体" w:cs="宋体"/>
          <w:b/>
          <w:color w:val="auto"/>
          <w:sz w:val="21"/>
          <w:szCs w:val="21"/>
          <w:highlight w:val="none"/>
          <w:lang w:eastAsia="zh-CN"/>
        </w:rPr>
        <w:t>、产品的注册与备案</w:t>
      </w:r>
    </w:p>
    <w:p w14:paraId="45CDC4CA">
      <w:pPr>
        <w:keepNext w:val="0"/>
        <w:keepLines w:val="0"/>
        <w:pageBreakBefore w:val="0"/>
        <w:widowControl/>
        <w:tabs>
          <w:tab w:val="left" w:pos="1305"/>
        </w:tabs>
        <w:kinsoku w:val="0"/>
        <w:wordWrap/>
        <w:overflowPunct/>
        <w:topLinePunct w:val="0"/>
        <w:autoSpaceDE w:val="0"/>
        <w:autoSpaceDN w:val="0"/>
        <w:bidi w:val="0"/>
        <w:adjustRightInd/>
        <w:snapToGrid/>
        <w:spacing w:line="400" w:lineRule="exact"/>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b/>
          <w:bCs/>
          <w:color w:val="auto"/>
          <w:sz w:val="21"/>
          <w:szCs w:val="21"/>
          <w:highlight w:val="none"/>
        </w:rPr>
        <w:t>如投标产品中属</w:t>
      </w:r>
      <w:r>
        <w:rPr>
          <w:rFonts w:hint="eastAsia" w:ascii="宋体" w:hAnsi="宋体" w:eastAsia="宋体" w:cs="宋体"/>
          <w:b/>
          <w:bCs/>
          <w:color w:val="auto"/>
          <w:sz w:val="21"/>
          <w:szCs w:val="21"/>
          <w:highlight w:val="none"/>
          <w:lang w:eastAsia="zh-CN"/>
        </w:rPr>
        <w:t>于</w:t>
      </w:r>
      <w:r>
        <w:rPr>
          <w:rFonts w:hint="eastAsia" w:ascii="宋体" w:hAnsi="宋体" w:eastAsia="宋体" w:cs="宋体"/>
          <w:b/>
          <w:bCs/>
          <w:color w:val="auto"/>
          <w:sz w:val="21"/>
          <w:szCs w:val="21"/>
          <w:highlight w:val="none"/>
        </w:rPr>
        <w:t>医疗器械产品的，</w:t>
      </w:r>
      <w:r>
        <w:rPr>
          <w:rFonts w:hint="eastAsia" w:ascii="宋体" w:hAnsi="宋体" w:eastAsia="宋体" w:cs="宋体"/>
          <w:b/>
          <w:color w:val="auto"/>
          <w:sz w:val="21"/>
          <w:szCs w:val="21"/>
          <w:highlight w:val="none"/>
          <w:lang w:eastAsia="zh-CN"/>
        </w:rPr>
        <w:t>投标人须按以下要求</w:t>
      </w:r>
      <w:r>
        <w:rPr>
          <w:rFonts w:hint="eastAsia" w:ascii="宋体" w:hAnsi="宋体" w:eastAsia="宋体" w:cs="宋体"/>
          <w:b/>
          <w:color w:val="auto"/>
          <w:sz w:val="21"/>
          <w:szCs w:val="21"/>
          <w:highlight w:val="none"/>
        </w:rPr>
        <w:t>提供所投产品的医疗器械注册或备案有关证明材料复印件（或扫描件）</w:t>
      </w:r>
      <w:r>
        <w:rPr>
          <w:rFonts w:hint="eastAsia" w:ascii="宋体" w:hAnsi="宋体" w:eastAsia="宋体" w:cs="宋体"/>
          <w:b/>
          <w:color w:val="auto"/>
          <w:sz w:val="21"/>
          <w:szCs w:val="21"/>
          <w:highlight w:val="none"/>
          <w:lang w:eastAsia="zh-CN"/>
        </w:rPr>
        <w:t>，否则投标无效</w:t>
      </w:r>
      <w:r>
        <w:rPr>
          <w:rFonts w:hint="eastAsia" w:ascii="宋体" w:hAnsi="宋体" w:eastAsia="宋体" w:cs="宋体"/>
          <w:b/>
          <w:color w:val="auto"/>
          <w:sz w:val="21"/>
          <w:szCs w:val="21"/>
          <w:highlight w:val="none"/>
        </w:rPr>
        <w:t>：</w:t>
      </w:r>
    </w:p>
    <w:p w14:paraId="2580236C">
      <w:pPr>
        <w:pStyle w:val="12"/>
        <w:keepNext w:val="0"/>
        <w:keepLines w:val="0"/>
        <w:pageBreakBefore w:val="0"/>
        <w:widowControl w:val="0"/>
        <w:kinsoku/>
        <w:wordWrap w:val="0"/>
        <w:overflowPunct/>
        <w:topLinePunct w:val="0"/>
        <w:autoSpaceDE w:val="0"/>
        <w:autoSpaceDN w:val="0"/>
        <w:bidi w:val="0"/>
        <w:adjustRightInd/>
        <w:snapToGrid/>
        <w:spacing w:line="400" w:lineRule="exact"/>
        <w:ind w:firstLine="420" w:firstLineChars="200"/>
        <w:textAlignment w:val="baseline"/>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lang w:eastAsia="zh-CN"/>
        </w:rPr>
        <w:t>1.</w:t>
      </w:r>
      <w:r>
        <w:rPr>
          <w:rFonts w:hint="eastAsia" w:ascii="宋体" w:hAnsi="宋体" w:eastAsia="宋体" w:cs="宋体"/>
          <w:bCs/>
          <w:color w:val="auto"/>
          <w:sz w:val="21"/>
          <w:szCs w:val="21"/>
          <w:highlight w:val="none"/>
        </w:rPr>
        <w:t>投标产品中属第一类医疗器械产品的，投标文件中须按《医疗器械注册与备案管理办法》（国家市场监督管理总局令第47号）提供该</w:t>
      </w:r>
      <w:r>
        <w:rPr>
          <w:rFonts w:hint="eastAsia" w:ascii="宋体" w:hAnsi="宋体" w:eastAsia="宋体" w:cs="宋体"/>
          <w:bCs/>
          <w:color w:val="auto"/>
          <w:sz w:val="21"/>
          <w:szCs w:val="21"/>
          <w:highlight w:val="none"/>
          <w:lang w:eastAsia="zh-CN"/>
        </w:rPr>
        <w:t>货物</w:t>
      </w:r>
      <w:r>
        <w:rPr>
          <w:rFonts w:hint="eastAsia" w:ascii="宋体" w:hAnsi="宋体" w:eastAsia="宋体" w:cs="宋体"/>
          <w:bCs/>
          <w:color w:val="auto"/>
          <w:sz w:val="21"/>
          <w:szCs w:val="21"/>
          <w:highlight w:val="none"/>
        </w:rPr>
        <w:t>有效的备案资料证明材料复印件（或扫描件）；</w:t>
      </w:r>
    </w:p>
    <w:p w14:paraId="4F95BDB4">
      <w:pPr>
        <w:pStyle w:val="12"/>
        <w:keepNext w:val="0"/>
        <w:keepLines w:val="0"/>
        <w:pageBreakBefore w:val="0"/>
        <w:widowControl w:val="0"/>
        <w:kinsoku/>
        <w:wordWrap w:val="0"/>
        <w:overflowPunct/>
        <w:topLinePunct w:val="0"/>
        <w:autoSpaceDE w:val="0"/>
        <w:autoSpaceDN w:val="0"/>
        <w:bidi w:val="0"/>
        <w:adjustRightInd/>
        <w:snapToGrid/>
        <w:spacing w:line="400" w:lineRule="exact"/>
        <w:ind w:firstLine="420" w:firstLineChars="200"/>
        <w:textAlignment w:val="baseline"/>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2.</w:t>
      </w:r>
      <w:r>
        <w:rPr>
          <w:rFonts w:hint="eastAsia" w:ascii="宋体" w:hAnsi="宋体" w:eastAsia="宋体" w:cs="宋体"/>
          <w:bCs/>
          <w:color w:val="auto"/>
          <w:sz w:val="21"/>
          <w:szCs w:val="21"/>
          <w:highlight w:val="none"/>
        </w:rPr>
        <w:t>投标产品中属第二、三类医疗器械产品的，投标文件中须按《医疗器械注册与备案管理办法》（国家市场监督管理总局令第47号）提供该</w:t>
      </w:r>
      <w:r>
        <w:rPr>
          <w:rFonts w:hint="eastAsia" w:ascii="宋体" w:hAnsi="宋体" w:eastAsia="宋体" w:cs="宋体"/>
          <w:bCs/>
          <w:color w:val="auto"/>
          <w:sz w:val="21"/>
          <w:szCs w:val="21"/>
          <w:highlight w:val="none"/>
          <w:lang w:eastAsia="zh-CN"/>
        </w:rPr>
        <w:t>货物</w:t>
      </w:r>
      <w:r>
        <w:rPr>
          <w:rFonts w:hint="eastAsia" w:ascii="宋体" w:hAnsi="宋体" w:eastAsia="宋体" w:cs="宋体"/>
          <w:bCs/>
          <w:color w:val="auto"/>
          <w:sz w:val="21"/>
          <w:szCs w:val="21"/>
          <w:highlight w:val="none"/>
        </w:rPr>
        <w:t>有效的医疗器械注册证复印件（或扫描件）。</w:t>
      </w:r>
    </w:p>
    <w:p w14:paraId="5AD9B266">
      <w:pPr>
        <w:pStyle w:val="12"/>
        <w:keepNext w:val="0"/>
        <w:keepLines w:val="0"/>
        <w:pageBreakBefore w:val="0"/>
        <w:widowControl w:val="0"/>
        <w:kinsoku/>
        <w:wordWrap w:val="0"/>
        <w:overflowPunct/>
        <w:topLinePunct w:val="0"/>
        <w:autoSpaceDE w:val="0"/>
        <w:autoSpaceDN w:val="0"/>
        <w:bidi w:val="0"/>
        <w:spacing w:line="400" w:lineRule="exact"/>
        <w:ind w:firstLine="420" w:firstLineChars="200"/>
        <w:textAlignment w:val="baseline"/>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eastAsia="zh-CN"/>
        </w:rPr>
        <w:t>注：</w:t>
      </w:r>
      <w:r>
        <w:rPr>
          <w:rFonts w:hint="eastAsia" w:ascii="宋体" w:hAnsi="宋体" w:eastAsia="宋体" w:cs="宋体"/>
          <w:bCs/>
          <w:color w:val="auto"/>
          <w:sz w:val="21"/>
          <w:szCs w:val="21"/>
          <w:highlight w:val="none"/>
        </w:rPr>
        <w:t>标的名称与医疗器械注册与备案凭证名称不符的，以所投产品医疗器械注册与备案凭证名称为准。</w:t>
      </w:r>
    </w:p>
    <w:p w14:paraId="1E5EC48D">
      <w:pPr>
        <w:spacing w:after="120"/>
        <w:ind w:firstLine="482" w:firstLineChars="200"/>
        <w:rPr>
          <w:rFonts w:ascii="宋体" w:hAnsi="宋体" w:cs="宋体"/>
          <w:b/>
          <w:bCs/>
          <w:color w:val="auto"/>
          <w:sz w:val="24"/>
        </w:rPr>
        <w:sectPr>
          <w:footerReference r:id="rId8" w:type="default"/>
          <w:pgSz w:w="11906" w:h="16838"/>
          <w:pgMar w:top="1134" w:right="1474" w:bottom="1134" w:left="1474" w:header="851" w:footer="851" w:gutter="0"/>
          <w:pgNumType w:fmt="decimal" w:start="1"/>
          <w:cols w:space="720" w:num="1"/>
          <w:docGrid w:linePitch="312" w:charSpace="0"/>
        </w:sectPr>
      </w:pPr>
    </w:p>
    <w:p w14:paraId="0B96A7B6">
      <w:pPr>
        <w:numPr>
          <w:ilvl w:val="0"/>
          <w:numId w:val="0"/>
        </w:numPr>
        <w:jc w:val="both"/>
        <w:rPr>
          <w:rFonts w:hint="eastAsia"/>
          <w:b/>
          <w:bCs/>
          <w:color w:val="auto"/>
          <w:sz w:val="28"/>
          <w:szCs w:val="28"/>
          <w:highlight w:val="none"/>
          <w:lang w:val="en-US" w:eastAsia="zh-CN"/>
        </w:rPr>
      </w:pPr>
      <w:r>
        <w:rPr>
          <w:rFonts w:hint="eastAsia"/>
          <w:b/>
          <w:bCs/>
          <w:color w:val="auto"/>
          <w:sz w:val="28"/>
          <w:szCs w:val="28"/>
          <w:highlight w:val="none"/>
          <w:lang w:val="en-US" w:eastAsia="zh-CN"/>
        </w:rPr>
        <w:t>标项一：彩色多普勒超声诊断仪</w:t>
      </w:r>
    </w:p>
    <w:tbl>
      <w:tblPr>
        <w:tblStyle w:val="25"/>
        <w:tblW w:w="96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3"/>
        <w:gridCol w:w="1266"/>
        <w:gridCol w:w="850"/>
        <w:gridCol w:w="5751"/>
        <w:gridCol w:w="1118"/>
      </w:tblGrid>
      <w:tr w14:paraId="5F651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9668" w:type="dxa"/>
            <w:gridSpan w:val="5"/>
            <w:tcBorders>
              <w:top w:val="single" w:color="auto" w:sz="4" w:space="0"/>
              <w:left w:val="single" w:color="auto" w:sz="4" w:space="0"/>
              <w:bottom w:val="single" w:color="auto" w:sz="4" w:space="0"/>
              <w:right w:val="single" w:color="auto" w:sz="4" w:space="0"/>
            </w:tcBorders>
            <w:noWrap w:val="0"/>
            <w:vAlign w:val="center"/>
          </w:tcPr>
          <w:p w14:paraId="6232EAF3">
            <w:pPr>
              <w:jc w:val="center"/>
              <w:rPr>
                <w:rStyle w:val="28"/>
                <w:rFonts w:hint="default" w:ascii="宋体" w:hAnsi="宋体" w:eastAsia="宋体" w:cs="宋体"/>
                <w:b w:val="0"/>
                <w:bCs w:val="0"/>
                <w:i w:val="0"/>
                <w:caps w:val="0"/>
                <w:color w:val="auto"/>
                <w:spacing w:val="0"/>
                <w:sz w:val="21"/>
                <w:szCs w:val="21"/>
                <w:highlight w:val="none"/>
                <w:lang w:val="en-US" w:eastAsia="zh-CN"/>
              </w:rPr>
            </w:pPr>
            <w:r>
              <w:rPr>
                <w:rStyle w:val="28"/>
                <w:rFonts w:hint="eastAsia" w:ascii="宋体" w:hAnsi="宋体" w:cs="宋体"/>
                <w:b/>
                <w:bCs/>
                <w:i w:val="0"/>
                <w:caps w:val="0"/>
                <w:color w:val="auto"/>
                <w:spacing w:val="0"/>
                <w:sz w:val="21"/>
                <w:szCs w:val="21"/>
                <w:highlight w:val="none"/>
                <w:lang w:eastAsia="zh-CN"/>
              </w:rPr>
              <w:t>（</w:t>
            </w:r>
            <w:r>
              <w:rPr>
                <w:rStyle w:val="28"/>
                <w:rFonts w:hint="eastAsia" w:ascii="宋体" w:hAnsi="宋体" w:cs="宋体"/>
                <w:b/>
                <w:bCs/>
                <w:i w:val="0"/>
                <w:caps w:val="0"/>
                <w:color w:val="auto"/>
                <w:spacing w:val="0"/>
                <w:sz w:val="21"/>
                <w:szCs w:val="21"/>
                <w:highlight w:val="none"/>
                <w:lang w:val="en-US" w:eastAsia="zh-CN"/>
              </w:rPr>
              <w:t xml:space="preserve">一）技术参数 </w:t>
            </w:r>
          </w:p>
        </w:tc>
      </w:tr>
      <w:tr w14:paraId="6827A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683" w:type="dxa"/>
            <w:tcBorders>
              <w:top w:val="single" w:color="auto" w:sz="4" w:space="0"/>
              <w:left w:val="single" w:color="auto" w:sz="4" w:space="0"/>
              <w:bottom w:val="single" w:color="auto" w:sz="4" w:space="0"/>
              <w:right w:val="single" w:color="auto" w:sz="4" w:space="0"/>
            </w:tcBorders>
            <w:noWrap w:val="0"/>
            <w:vAlign w:val="center"/>
          </w:tcPr>
          <w:p w14:paraId="4EE2F056">
            <w:pPr>
              <w:jc w:val="center"/>
              <w:rPr>
                <w:rStyle w:val="28"/>
                <w:rFonts w:hint="eastAsia" w:ascii="宋体" w:hAnsi="宋体" w:eastAsia="宋体" w:cs="宋体"/>
                <w:b/>
                <w:bCs/>
                <w:i w:val="0"/>
                <w:caps w:val="0"/>
                <w:color w:val="auto"/>
                <w:spacing w:val="0"/>
                <w:sz w:val="21"/>
                <w:szCs w:val="21"/>
                <w:highlight w:val="none"/>
              </w:rPr>
            </w:pPr>
            <w:r>
              <w:rPr>
                <w:rStyle w:val="28"/>
                <w:rFonts w:hint="eastAsia" w:ascii="宋体" w:hAnsi="宋体" w:eastAsia="宋体" w:cs="宋体"/>
                <w:b/>
                <w:bCs/>
                <w:i w:val="0"/>
                <w:caps w:val="0"/>
                <w:color w:val="auto"/>
                <w:spacing w:val="0"/>
                <w:sz w:val="21"/>
                <w:szCs w:val="21"/>
                <w:highlight w:val="none"/>
              </w:rPr>
              <w:t>序号</w:t>
            </w:r>
          </w:p>
        </w:tc>
        <w:tc>
          <w:tcPr>
            <w:tcW w:w="1266" w:type="dxa"/>
            <w:tcBorders>
              <w:top w:val="single" w:color="auto" w:sz="4" w:space="0"/>
              <w:left w:val="single" w:color="auto" w:sz="4" w:space="0"/>
              <w:bottom w:val="single" w:color="auto" w:sz="4" w:space="0"/>
              <w:right w:val="single" w:color="auto" w:sz="4" w:space="0"/>
            </w:tcBorders>
            <w:noWrap w:val="0"/>
            <w:vAlign w:val="center"/>
          </w:tcPr>
          <w:p w14:paraId="7AD3AF75">
            <w:pPr>
              <w:jc w:val="center"/>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货物名称</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241864A9">
            <w:pPr>
              <w:jc w:val="center"/>
              <w:rPr>
                <w:rFonts w:hint="eastAsia" w:ascii="宋体" w:hAnsi="宋体" w:eastAsia="宋体" w:cs="宋体"/>
                <w:b/>
                <w:bCs/>
                <w:i w:val="0"/>
                <w:iCs w:val="0"/>
                <w:caps w:val="0"/>
                <w:color w:val="auto"/>
                <w:spacing w:val="0"/>
                <w:sz w:val="21"/>
                <w:szCs w:val="21"/>
                <w:highlight w:val="none"/>
                <w:shd w:val="clear" w:color="auto" w:fill="FFFFFF"/>
              </w:rPr>
            </w:pPr>
            <w:r>
              <w:rPr>
                <w:rFonts w:hint="eastAsia" w:ascii="宋体" w:hAnsi="宋体" w:eastAsia="宋体" w:cs="宋体"/>
                <w:b/>
                <w:bCs/>
                <w:i w:val="0"/>
                <w:iCs w:val="0"/>
                <w:caps w:val="0"/>
                <w:color w:val="auto"/>
                <w:spacing w:val="0"/>
                <w:sz w:val="21"/>
                <w:szCs w:val="21"/>
                <w:highlight w:val="none"/>
                <w:shd w:val="clear" w:color="auto" w:fill="FFFFFF"/>
              </w:rPr>
              <w:t>数量及单位</w:t>
            </w:r>
          </w:p>
        </w:tc>
        <w:tc>
          <w:tcPr>
            <w:tcW w:w="5751" w:type="dxa"/>
            <w:tcBorders>
              <w:top w:val="single" w:color="auto" w:sz="4" w:space="0"/>
              <w:left w:val="single" w:color="auto" w:sz="4" w:space="0"/>
              <w:bottom w:val="single" w:color="auto" w:sz="4" w:space="0"/>
              <w:right w:val="single" w:color="auto" w:sz="4" w:space="0"/>
            </w:tcBorders>
            <w:noWrap w:val="0"/>
            <w:vAlign w:val="center"/>
          </w:tcPr>
          <w:p w14:paraId="22EB37B9">
            <w:pPr>
              <w:jc w:val="center"/>
              <w:rPr>
                <w:rStyle w:val="28"/>
                <w:rFonts w:hint="eastAsia" w:ascii="宋体" w:hAnsi="宋体" w:eastAsia="宋体" w:cs="宋体"/>
                <w:b/>
                <w:bCs/>
                <w:i w:val="0"/>
                <w:caps w:val="0"/>
                <w:color w:val="auto"/>
                <w:spacing w:val="0"/>
                <w:sz w:val="21"/>
                <w:szCs w:val="21"/>
                <w:highlight w:val="none"/>
              </w:rPr>
            </w:pPr>
            <w:r>
              <w:rPr>
                <w:rStyle w:val="28"/>
                <w:rFonts w:hint="eastAsia" w:ascii="宋体" w:hAnsi="宋体" w:eastAsia="宋体" w:cs="宋体"/>
                <w:b/>
                <w:bCs/>
                <w:i w:val="0"/>
                <w:caps w:val="0"/>
                <w:color w:val="auto"/>
                <w:spacing w:val="0"/>
                <w:sz w:val="21"/>
                <w:szCs w:val="21"/>
                <w:highlight w:val="none"/>
              </w:rPr>
              <w:t>技术参数、性能（配置）及其他要求</w:t>
            </w:r>
          </w:p>
        </w:tc>
        <w:tc>
          <w:tcPr>
            <w:tcW w:w="1118" w:type="dxa"/>
            <w:tcBorders>
              <w:top w:val="single" w:color="auto" w:sz="4" w:space="0"/>
              <w:left w:val="single" w:color="auto" w:sz="4" w:space="0"/>
              <w:bottom w:val="single" w:color="auto" w:sz="4" w:space="0"/>
              <w:right w:val="single" w:color="auto" w:sz="4" w:space="0"/>
            </w:tcBorders>
            <w:noWrap w:val="0"/>
            <w:vAlign w:val="center"/>
          </w:tcPr>
          <w:p w14:paraId="5AB47170">
            <w:pPr>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各分项</w:t>
            </w:r>
            <w:r>
              <w:rPr>
                <w:rFonts w:hint="eastAsia" w:ascii="宋体" w:hAnsi="宋体" w:eastAsia="宋体" w:cs="宋体"/>
                <w:b/>
                <w:bCs/>
                <w:color w:val="auto"/>
                <w:sz w:val="21"/>
                <w:szCs w:val="21"/>
                <w:highlight w:val="none"/>
              </w:rPr>
              <w:t>最高限价</w:t>
            </w:r>
            <w:r>
              <w:rPr>
                <w:rFonts w:hint="eastAsia" w:ascii="宋体" w:hAnsi="宋体" w:eastAsia="宋体" w:cs="宋体"/>
                <w:b/>
                <w:bCs/>
                <w:color w:val="auto"/>
                <w:sz w:val="21"/>
                <w:szCs w:val="21"/>
                <w:highlight w:val="none"/>
                <w:lang w:val="en-US" w:eastAsia="zh-CN"/>
              </w:rPr>
              <w:t>合计</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元）</w:t>
            </w:r>
          </w:p>
        </w:tc>
      </w:tr>
      <w:tr w14:paraId="52E9F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683" w:type="dxa"/>
            <w:tcBorders>
              <w:top w:val="single" w:color="auto" w:sz="4" w:space="0"/>
              <w:left w:val="single" w:color="auto" w:sz="4" w:space="0"/>
              <w:right w:val="single" w:color="auto" w:sz="4" w:space="0"/>
            </w:tcBorders>
            <w:noWrap w:val="0"/>
            <w:vAlign w:val="center"/>
          </w:tcPr>
          <w:p w14:paraId="5FC9B891">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1</w:t>
            </w:r>
          </w:p>
        </w:tc>
        <w:tc>
          <w:tcPr>
            <w:tcW w:w="1266" w:type="dxa"/>
            <w:tcBorders>
              <w:top w:val="single" w:color="auto" w:sz="4" w:space="0"/>
              <w:left w:val="single" w:color="auto" w:sz="4" w:space="0"/>
              <w:right w:val="single" w:color="auto" w:sz="4" w:space="0"/>
            </w:tcBorders>
            <w:noWrap w:val="0"/>
            <w:vAlign w:val="center"/>
          </w:tcPr>
          <w:p w14:paraId="22B07026">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val="0"/>
                <w:color w:val="auto"/>
                <w:sz w:val="21"/>
                <w:szCs w:val="21"/>
                <w:highlight w:val="none"/>
                <w:u w:val="none"/>
                <w:vertAlign w:val="baseline"/>
                <w:lang w:val="en-US" w:eastAsia="zh-CN"/>
              </w:rPr>
              <w:t>彩色多普勒超声诊断仪</w:t>
            </w:r>
          </w:p>
        </w:tc>
        <w:tc>
          <w:tcPr>
            <w:tcW w:w="850" w:type="dxa"/>
            <w:tcBorders>
              <w:top w:val="single" w:color="auto" w:sz="4" w:space="0"/>
              <w:left w:val="single" w:color="auto" w:sz="4" w:space="0"/>
              <w:right w:val="single" w:color="auto" w:sz="4" w:space="0"/>
            </w:tcBorders>
            <w:noWrap w:val="0"/>
            <w:vAlign w:val="center"/>
          </w:tcPr>
          <w:p w14:paraId="537DA48B">
            <w:pPr>
              <w:keepNext w:val="0"/>
              <w:keepLines w:val="0"/>
              <w:pageBreakBefore w:val="0"/>
              <w:kinsoku/>
              <w:wordWrap/>
              <w:overflowPunct/>
              <w:topLinePunct w:val="0"/>
              <w:autoSpaceDE/>
              <w:autoSpaceDN/>
              <w:bidi w:val="0"/>
              <w:adjustRightInd/>
              <w:snapToGrid/>
              <w:spacing w:line="380" w:lineRule="exact"/>
              <w:jc w:val="center"/>
              <w:textAlignment w:val="auto"/>
              <w:rPr>
                <w:rFonts w:hint="default" w:ascii="宋体" w:hAnsi="宋体" w:eastAsia="宋体" w:cs="宋体"/>
                <w:b/>
                <w:bCs/>
                <w:color w:val="auto"/>
                <w:sz w:val="21"/>
                <w:szCs w:val="21"/>
                <w:highlight w:val="none"/>
                <w:vertAlign w:val="baseline"/>
                <w:lang w:val="en-US" w:eastAsia="zh-CN"/>
              </w:rPr>
            </w:pPr>
            <w:r>
              <w:rPr>
                <w:rFonts w:hint="eastAsia" w:ascii="宋体" w:hAnsi="宋体" w:cs="宋体"/>
                <w:b/>
                <w:bCs/>
                <w:color w:val="auto"/>
                <w:sz w:val="21"/>
                <w:szCs w:val="21"/>
                <w:highlight w:val="none"/>
                <w:vertAlign w:val="baseline"/>
                <w:lang w:val="en-US" w:eastAsia="zh-CN"/>
              </w:rPr>
              <w:t>3台</w:t>
            </w:r>
          </w:p>
        </w:tc>
        <w:tc>
          <w:tcPr>
            <w:tcW w:w="5751" w:type="dxa"/>
            <w:tcBorders>
              <w:top w:val="single" w:color="auto" w:sz="4" w:space="0"/>
              <w:left w:val="single" w:color="auto" w:sz="4" w:space="0"/>
              <w:bottom w:val="single" w:color="auto" w:sz="4" w:space="0"/>
              <w:right w:val="single" w:color="auto" w:sz="4" w:space="0"/>
            </w:tcBorders>
            <w:noWrap w:val="0"/>
            <w:vAlign w:val="top"/>
          </w:tcPr>
          <w:p w14:paraId="20FD56B8">
            <w:pPr>
              <w:spacing w:line="400" w:lineRule="exact"/>
              <w:rPr>
                <w:rFonts w:hint="eastAsia" w:ascii="宋体" w:hAnsi="宋体" w:cs="宋体"/>
                <w:b/>
                <w:bCs/>
                <w:szCs w:val="21"/>
              </w:rPr>
            </w:pPr>
            <w:r>
              <w:rPr>
                <w:rFonts w:hint="eastAsia" w:ascii="宋体" w:hAnsi="宋体" w:cs="宋体"/>
                <w:b/>
                <w:bCs/>
                <w:szCs w:val="21"/>
              </w:rPr>
              <w:t>1、 彩色多普勒超声诊断仪包括：</w:t>
            </w:r>
          </w:p>
          <w:p w14:paraId="51E53A4B">
            <w:pPr>
              <w:spacing w:line="400" w:lineRule="exact"/>
              <w:rPr>
                <w:rFonts w:hint="eastAsia" w:ascii="宋体" w:hAnsi="宋体" w:cs="宋体"/>
                <w:szCs w:val="21"/>
              </w:rPr>
            </w:pPr>
            <w:r>
              <w:rPr>
                <w:rFonts w:hint="eastAsia" w:ascii="宋体" w:hAnsi="宋体" w:cs="宋体"/>
                <w:szCs w:val="21"/>
              </w:rPr>
              <w:t>1.1 ≥23英寸高分辨率宽屏显示器，分辨率为1920 × 1080，采用灵活、可调节支撑臂；</w:t>
            </w:r>
          </w:p>
          <w:p w14:paraId="391EE537">
            <w:pPr>
              <w:spacing w:line="400" w:lineRule="exact"/>
              <w:rPr>
                <w:rFonts w:hint="eastAsia" w:ascii="宋体" w:hAnsi="宋体" w:cs="宋体"/>
                <w:szCs w:val="21"/>
              </w:rPr>
            </w:pPr>
            <w:r>
              <w:rPr>
                <w:rFonts w:hint="eastAsia" w:ascii="宋体" w:hAnsi="宋体" w:cs="宋体"/>
                <w:szCs w:val="21"/>
              </w:rPr>
              <w:t xml:space="preserve">1.2 </w:t>
            </w:r>
            <w:r>
              <w:rPr>
                <w:rFonts w:hint="eastAsia" w:ascii="宋体" w:hAnsi="宋体" w:cs="宋体"/>
                <w:szCs w:val="21"/>
                <w:lang w:val="en-US" w:eastAsia="zh-CN"/>
              </w:rPr>
              <w:t>具有</w:t>
            </w:r>
            <w:r>
              <w:rPr>
                <w:rFonts w:hint="eastAsia" w:ascii="宋体" w:hAnsi="宋体" w:cs="宋体"/>
                <w:szCs w:val="21"/>
              </w:rPr>
              <w:t>智能波束形成技术，提升图像的空间分辨率、对比分辨率、穿透力及成像帧频；</w:t>
            </w:r>
          </w:p>
          <w:p w14:paraId="34F1CA4F">
            <w:pPr>
              <w:spacing w:line="400" w:lineRule="exact"/>
              <w:rPr>
                <w:rFonts w:hint="eastAsia" w:ascii="宋体" w:hAnsi="宋体" w:cs="宋体"/>
                <w:szCs w:val="21"/>
              </w:rPr>
            </w:pPr>
            <w:r>
              <w:rPr>
                <w:rFonts w:hint="eastAsia" w:ascii="宋体" w:hAnsi="宋体" w:cs="宋体"/>
                <w:szCs w:val="21"/>
              </w:rPr>
              <w:t>1.3采用超声切面厚度方向的多点精确连续聚焦，实现薄层切面成像，改善图像的空间和对比分辨率，提升图像穿透力及全场均匀一致性；</w:t>
            </w:r>
          </w:p>
          <w:p w14:paraId="42277DEA">
            <w:pPr>
              <w:spacing w:line="400" w:lineRule="exact"/>
              <w:rPr>
                <w:rFonts w:hint="eastAsia" w:ascii="宋体" w:hAnsi="宋体" w:cs="宋体"/>
                <w:szCs w:val="21"/>
              </w:rPr>
            </w:pPr>
            <w:r>
              <w:rPr>
                <w:rFonts w:hint="eastAsia" w:ascii="宋体" w:hAnsi="宋体" w:cs="宋体"/>
                <w:szCs w:val="21"/>
              </w:rPr>
              <w:t>1.4 多路并行复合数据流处理技术，能够以多路并行方式高速处理巨大的数据量；</w:t>
            </w:r>
          </w:p>
          <w:p w14:paraId="4D2AEB27">
            <w:pPr>
              <w:spacing w:line="400" w:lineRule="exact"/>
              <w:rPr>
                <w:rFonts w:hint="eastAsia" w:ascii="宋体" w:hAnsi="宋体" w:cs="宋体"/>
                <w:szCs w:val="21"/>
              </w:rPr>
            </w:pPr>
            <w:r>
              <w:rPr>
                <w:rFonts w:hint="eastAsia" w:ascii="宋体" w:hAnsi="宋体" w:cs="宋体"/>
                <w:szCs w:val="21"/>
              </w:rPr>
              <w:t>1.5 组织特性优化成像技术提升组织细节分辨率，可实现自动补偿，支持凸阵/线阵等探头；</w:t>
            </w:r>
          </w:p>
          <w:p w14:paraId="38DCAE61">
            <w:pPr>
              <w:spacing w:line="400" w:lineRule="exact"/>
              <w:rPr>
                <w:rFonts w:hint="eastAsia" w:ascii="宋体" w:hAnsi="宋体" w:cs="宋体"/>
                <w:szCs w:val="21"/>
              </w:rPr>
            </w:pPr>
            <w:r>
              <w:rPr>
                <w:rFonts w:hint="eastAsia" w:ascii="宋体" w:hAnsi="宋体" w:cs="宋体"/>
                <w:szCs w:val="21"/>
              </w:rPr>
              <w:t>1.6 组织谐波成像，包括脉冲减影谐波、滤波谐波和差量谐波成像；</w:t>
            </w:r>
          </w:p>
          <w:p w14:paraId="376C88F4">
            <w:pPr>
              <w:spacing w:line="400" w:lineRule="exact"/>
              <w:rPr>
                <w:rFonts w:hint="eastAsia" w:ascii="宋体" w:hAnsi="宋体" w:cs="宋体"/>
                <w:szCs w:val="21"/>
              </w:rPr>
            </w:pPr>
            <w:r>
              <w:rPr>
                <w:rFonts w:hint="eastAsia" w:ascii="宋体" w:hAnsi="宋体" w:cs="宋体"/>
                <w:szCs w:val="21"/>
              </w:rPr>
              <w:t>1.7差量组织谐波成像技术，实现宽带谐波成像，提升图像的分辨率和穿透力；</w:t>
            </w:r>
          </w:p>
          <w:p w14:paraId="30E384C0">
            <w:pPr>
              <w:spacing w:line="400" w:lineRule="exact"/>
              <w:rPr>
                <w:rFonts w:hint="eastAsia" w:ascii="宋体" w:hAnsi="宋体" w:cs="宋体"/>
                <w:szCs w:val="21"/>
              </w:rPr>
            </w:pPr>
            <w:r>
              <w:rPr>
                <w:rFonts w:hint="eastAsia" w:ascii="宋体" w:hAnsi="宋体" w:cs="宋体"/>
                <w:szCs w:val="21"/>
              </w:rPr>
              <w:t>1.8 高级复合成像技术，包括空间复合、频率复合和斑点噪声消除等技术，增强组织的边界显示，减少斑点噪声；</w:t>
            </w:r>
          </w:p>
          <w:p w14:paraId="3532F6F1">
            <w:pPr>
              <w:spacing w:line="400" w:lineRule="exact"/>
              <w:rPr>
                <w:rFonts w:ascii="宋体" w:hAnsi="宋体" w:cs="宋体"/>
                <w:szCs w:val="21"/>
              </w:rPr>
            </w:pPr>
            <w:r>
              <w:rPr>
                <w:rFonts w:hint="eastAsia" w:ascii="宋体" w:hAnsi="宋体" w:cs="宋体"/>
                <w:szCs w:val="21"/>
              </w:rPr>
              <w:t>1.9具有高灵敏度血流成像功能，具有高帧率、高空间分辨率特点，能有效提升细小血管的空间分辨率，在常规超声检查条件下，能清晰显示细小血管，血管边缘连续，外溢伪像少，血流方向辨识度高，可进行频谱分析；</w:t>
            </w:r>
          </w:p>
          <w:p w14:paraId="78CA13A7">
            <w:pPr>
              <w:spacing w:line="400" w:lineRule="exact"/>
              <w:rPr>
                <w:rFonts w:hint="eastAsia" w:ascii="宋体" w:hAnsi="宋体" w:cs="宋体"/>
                <w:szCs w:val="21"/>
              </w:rPr>
            </w:pPr>
            <w:r>
              <w:rPr>
                <w:rFonts w:hint="eastAsia" w:ascii="宋体" w:hAnsi="宋体" w:cs="宋体"/>
                <w:szCs w:val="21"/>
              </w:rPr>
              <w:t>1.10精确成像技术，组织结构显示清晰、自然，背景更加平滑；</w:t>
            </w:r>
          </w:p>
          <w:p w14:paraId="77F4769D">
            <w:pPr>
              <w:spacing w:line="400" w:lineRule="exact"/>
              <w:rPr>
                <w:rFonts w:ascii="宋体" w:hAnsi="宋体" w:cs="宋体"/>
                <w:szCs w:val="21"/>
              </w:rPr>
            </w:pPr>
            <w:r>
              <w:rPr>
                <w:rFonts w:hint="eastAsia" w:ascii="宋体" w:hAnsi="宋体" w:cs="宋体"/>
                <w:szCs w:val="21"/>
              </w:rPr>
              <w:t>1.11具备智能图像一键优化功能，可应用在二维、频谱及彩色多普勒等多种成像模式。系统可自动调节图像增益、时间增益补偿、彩色ROI位置、取样门位置、偏转角度及多普勒角度校正等关键成像参数；</w:t>
            </w:r>
          </w:p>
          <w:p w14:paraId="3E91B632">
            <w:pPr>
              <w:spacing w:line="400" w:lineRule="exact"/>
              <w:rPr>
                <w:rFonts w:hint="eastAsia" w:ascii="宋体" w:hAnsi="宋体" w:cs="宋体"/>
                <w:szCs w:val="21"/>
              </w:rPr>
            </w:pPr>
            <w:r>
              <w:rPr>
                <w:rFonts w:hint="eastAsia" w:ascii="宋体" w:hAnsi="宋体" w:cs="宋体"/>
                <w:szCs w:val="21"/>
              </w:rPr>
              <w:t>1.12组织多普勒成像；</w:t>
            </w:r>
          </w:p>
          <w:p w14:paraId="7D706664">
            <w:pPr>
              <w:spacing w:line="400" w:lineRule="exact"/>
              <w:rPr>
                <w:rFonts w:hint="eastAsia" w:ascii="宋体" w:hAnsi="宋体" w:cs="宋体"/>
                <w:szCs w:val="21"/>
              </w:rPr>
            </w:pPr>
            <w:r>
              <w:rPr>
                <w:rFonts w:hint="eastAsia" w:ascii="宋体" w:hAnsi="宋体" w:cs="宋体"/>
                <w:szCs w:val="21"/>
              </w:rPr>
              <w:t>1.13 穿刺针增强显示；</w:t>
            </w:r>
          </w:p>
          <w:p w14:paraId="5D07B02B">
            <w:pPr>
              <w:spacing w:line="400" w:lineRule="exact"/>
              <w:rPr>
                <w:rFonts w:hint="eastAsia" w:ascii="宋体" w:hAnsi="宋体" w:eastAsia="宋体" w:cs="宋体"/>
                <w:color w:val="000000"/>
                <w:szCs w:val="21"/>
                <w:lang w:val="en-US" w:eastAsia="zh-CN"/>
              </w:rPr>
            </w:pPr>
            <w:r>
              <w:rPr>
                <w:rFonts w:hint="eastAsia" w:ascii="宋体" w:hAnsi="宋体" w:cs="宋体"/>
                <w:bCs/>
                <w:color w:val="000000"/>
                <w:szCs w:val="21"/>
              </w:rPr>
              <w:t>●</w:t>
            </w:r>
            <w:r>
              <w:rPr>
                <w:rFonts w:hint="eastAsia" w:ascii="宋体" w:hAnsi="宋体" w:cs="宋体"/>
                <w:color w:val="000000"/>
                <w:szCs w:val="21"/>
              </w:rPr>
              <w:t>1.14具有超低速血流成像功能，不同于能量多普勒和高灵敏度血流，具备独立按键，能有效提升所显示末梢微小血管内的低速血流信号。超低速血流成像的彩色标尺具备速度范围显示，最低显示≤0.</w:t>
            </w:r>
            <w:r>
              <w:rPr>
                <w:rFonts w:ascii="宋体" w:hAnsi="宋体" w:cs="宋体"/>
                <w:color w:val="000000"/>
                <w:szCs w:val="21"/>
              </w:rPr>
              <w:t>6</w:t>
            </w:r>
            <w:r>
              <w:rPr>
                <w:rFonts w:hint="eastAsia" w:ascii="宋体" w:hAnsi="宋体" w:cs="宋体"/>
                <w:color w:val="000000"/>
                <w:szCs w:val="21"/>
              </w:rPr>
              <w:t>cm/s</w:t>
            </w:r>
            <w:r>
              <w:rPr>
                <w:rFonts w:hint="eastAsia" w:ascii="宋体" w:hAnsi="宋体" w:cs="宋体"/>
                <w:color w:val="000000"/>
                <w:szCs w:val="21"/>
                <w:lang w:val="en-US" w:eastAsia="zh-CN"/>
              </w:rPr>
              <w:t>；</w:t>
            </w:r>
          </w:p>
          <w:p w14:paraId="56DD6EC0">
            <w:pPr>
              <w:spacing w:line="400" w:lineRule="exact"/>
              <w:rPr>
                <w:rFonts w:hint="eastAsia" w:ascii="宋体" w:hAnsi="宋体" w:cs="宋体"/>
                <w:color w:val="000000"/>
                <w:szCs w:val="21"/>
              </w:rPr>
            </w:pPr>
            <w:r>
              <w:rPr>
                <w:rFonts w:hint="eastAsia" w:ascii="宋体" w:hAnsi="宋体" w:cs="宋体"/>
                <w:color w:val="000000"/>
                <w:szCs w:val="21"/>
              </w:rPr>
              <w:t>1.14.1具有三维微血管成像功能，可实现超低速血流的高分辨率立体显示；</w:t>
            </w:r>
          </w:p>
          <w:p w14:paraId="6D8C438E">
            <w:pPr>
              <w:spacing w:line="400" w:lineRule="exact"/>
              <w:rPr>
                <w:rFonts w:hint="eastAsia" w:ascii="宋体" w:hAnsi="宋体" w:cs="宋体"/>
                <w:color w:val="000000"/>
                <w:szCs w:val="21"/>
              </w:rPr>
            </w:pPr>
            <w:r>
              <w:rPr>
                <w:rFonts w:hint="eastAsia" w:ascii="宋体" w:hAnsi="宋体" w:cs="宋体"/>
                <w:color w:val="000000"/>
                <w:szCs w:val="21"/>
              </w:rPr>
              <w:t>1.14.2</w:t>
            </w:r>
            <w:r>
              <w:rPr>
                <w:rFonts w:ascii="宋体" w:hAnsi="宋体" w:cs="宋体"/>
                <w:color w:val="000000"/>
                <w:szCs w:val="21"/>
              </w:rPr>
              <w:t>具备微血管血流定量分析功能，可识别超低速微细血流信号分布密度，支持对目标感兴趣区域自动计算血流信号像素数量、血流面积及血流像素占比</w:t>
            </w:r>
            <w:r>
              <w:rPr>
                <w:rFonts w:hint="eastAsia" w:ascii="宋体" w:hAnsi="宋体" w:cs="宋体"/>
                <w:color w:val="000000"/>
                <w:szCs w:val="21"/>
              </w:rPr>
              <w:t>；</w:t>
            </w:r>
          </w:p>
          <w:p w14:paraId="1AB3CE2E">
            <w:pPr>
              <w:spacing w:line="400" w:lineRule="exact"/>
              <w:rPr>
                <w:rFonts w:hint="eastAsia" w:ascii="宋体" w:hAnsi="宋体" w:cs="宋体"/>
                <w:color w:val="000000"/>
                <w:szCs w:val="21"/>
              </w:rPr>
            </w:pPr>
            <w:r>
              <w:rPr>
                <w:rFonts w:hint="default" w:ascii="宋体" w:hAnsi="宋体" w:cs="宋体"/>
                <w:color w:val="000000"/>
                <w:szCs w:val="21"/>
                <w:lang w:val="en-US"/>
              </w:rPr>
              <w:t>1.</w:t>
            </w:r>
            <w:r>
              <w:rPr>
                <w:rFonts w:hint="eastAsia" w:ascii="宋体" w:hAnsi="宋体" w:cs="宋体"/>
                <w:color w:val="000000"/>
                <w:szCs w:val="21"/>
              </w:rPr>
              <w:t>15</w:t>
            </w:r>
            <w:r>
              <w:rPr>
                <w:rFonts w:hint="eastAsia" w:ascii="宋体" w:hAnsi="宋体" w:cs="宋体"/>
                <w:color w:val="000000"/>
                <w:szCs w:val="21"/>
                <w:lang w:val="en-US" w:eastAsia="zh-CN"/>
              </w:rPr>
              <w:t>.</w:t>
            </w:r>
            <w:r>
              <w:rPr>
                <w:rFonts w:hint="eastAsia" w:ascii="宋体" w:hAnsi="宋体" w:cs="宋体"/>
                <w:color w:val="000000"/>
                <w:szCs w:val="21"/>
              </w:rPr>
              <w:t>具备应变式弹性成像功能，支持</w:t>
            </w:r>
            <w:r>
              <w:rPr>
                <w:rFonts w:ascii="宋体" w:hAnsi="宋体" w:cs="宋体"/>
                <w:color w:val="000000"/>
                <w:szCs w:val="21"/>
              </w:rPr>
              <w:t>腹部凸阵、浅表线阵、</w:t>
            </w:r>
            <w:r>
              <w:rPr>
                <w:rFonts w:hint="eastAsia" w:ascii="宋体" w:hAnsi="宋体" w:cs="宋体"/>
                <w:color w:val="000000"/>
                <w:szCs w:val="21"/>
              </w:rPr>
              <w:t>容积</w:t>
            </w:r>
            <w:r>
              <w:rPr>
                <w:rFonts w:ascii="宋体" w:hAnsi="宋体" w:cs="宋体"/>
                <w:color w:val="000000"/>
                <w:szCs w:val="21"/>
              </w:rPr>
              <w:t>等临床常用探头</w:t>
            </w:r>
            <w:r>
              <w:rPr>
                <w:rFonts w:hint="eastAsia" w:ascii="宋体" w:hAnsi="宋体" w:cs="宋体"/>
                <w:color w:val="000000"/>
                <w:szCs w:val="21"/>
              </w:rPr>
              <w:t>，具备弹性成像质量控制</w:t>
            </w:r>
            <w:r>
              <w:rPr>
                <w:rFonts w:ascii="宋体" w:hAnsi="宋体" w:cs="宋体"/>
                <w:color w:val="000000"/>
                <w:szCs w:val="21"/>
              </w:rPr>
              <w:t>可视化提示功能，辅助稳定操作、</w:t>
            </w:r>
            <w:r>
              <w:rPr>
                <w:rFonts w:hint="eastAsia" w:ascii="宋体" w:hAnsi="宋体" w:cs="宋体"/>
                <w:color w:val="000000"/>
                <w:szCs w:val="21"/>
              </w:rPr>
              <w:t>提高弹性成像测量的准确度；</w:t>
            </w:r>
          </w:p>
          <w:p w14:paraId="1AFB6BF8">
            <w:pPr>
              <w:spacing w:line="400" w:lineRule="exact"/>
              <w:rPr>
                <w:rFonts w:hint="eastAsia" w:ascii="宋体" w:hAnsi="宋体" w:cs="宋体"/>
                <w:color w:val="000000"/>
                <w:szCs w:val="21"/>
              </w:rPr>
            </w:pPr>
            <w:r>
              <w:rPr>
                <w:rFonts w:hint="default" w:ascii="宋体" w:hAnsi="宋体" w:cs="宋体"/>
                <w:color w:val="000000"/>
                <w:szCs w:val="21"/>
                <w:lang w:val="en-US"/>
              </w:rPr>
              <w:t>1.</w:t>
            </w:r>
            <w:r>
              <w:rPr>
                <w:rFonts w:hint="eastAsia" w:ascii="宋体" w:hAnsi="宋体" w:cs="宋体"/>
                <w:color w:val="000000"/>
                <w:szCs w:val="21"/>
              </w:rPr>
              <w:t>16</w:t>
            </w:r>
            <w:r>
              <w:rPr>
                <w:rFonts w:hint="eastAsia" w:ascii="宋体" w:hAnsi="宋体" w:cs="宋体"/>
                <w:color w:val="000000"/>
                <w:szCs w:val="21"/>
                <w:lang w:val="en-US" w:eastAsia="zh-CN"/>
              </w:rPr>
              <w:t>.</w:t>
            </w:r>
            <w:r>
              <w:rPr>
                <w:rFonts w:hint="eastAsia" w:ascii="宋体" w:hAnsi="宋体" w:cs="宋体"/>
                <w:color w:val="000000"/>
                <w:szCs w:val="21"/>
              </w:rPr>
              <w:t>剪切波弹性成像，2D模式的剪切波成像方式；支持凸阵、线阵和腔内等探头；</w:t>
            </w:r>
          </w:p>
          <w:p w14:paraId="6AA9C6E3">
            <w:pPr>
              <w:spacing w:line="400" w:lineRule="exact"/>
              <w:rPr>
                <w:rFonts w:hint="eastAsia" w:ascii="宋体" w:hAnsi="宋体" w:cs="宋体"/>
                <w:color w:val="000000"/>
                <w:szCs w:val="21"/>
              </w:rPr>
            </w:pPr>
            <w:r>
              <w:rPr>
                <w:rFonts w:hint="default" w:ascii="宋体" w:hAnsi="宋体" w:cs="宋体"/>
                <w:color w:val="000000"/>
                <w:szCs w:val="21"/>
                <w:lang w:val="en-US"/>
              </w:rPr>
              <w:t>1.</w:t>
            </w:r>
            <w:r>
              <w:rPr>
                <w:rFonts w:hint="eastAsia" w:ascii="宋体" w:hAnsi="宋体" w:cs="宋体"/>
                <w:color w:val="000000"/>
                <w:szCs w:val="21"/>
              </w:rPr>
              <w:t>16.1可测量剪切波传播的速度(单位：m/s)、组织的弹性(单位：kPa)以及剪切波频散系数（单位：m/s/kHz）等定量数据</w:t>
            </w:r>
          </w:p>
          <w:p w14:paraId="5CC494FB">
            <w:pPr>
              <w:spacing w:line="400" w:lineRule="exact"/>
              <w:rPr>
                <w:rFonts w:hint="eastAsia" w:ascii="宋体" w:hAnsi="宋体" w:cs="宋体"/>
                <w:color w:val="000000"/>
                <w:szCs w:val="21"/>
              </w:rPr>
            </w:pPr>
            <w:r>
              <w:rPr>
                <w:rFonts w:hint="eastAsia" w:ascii="宋体" w:hAnsi="宋体" w:cs="宋体"/>
                <w:color w:val="000000"/>
                <w:szCs w:val="21"/>
              </w:rPr>
              <w:t>16.2</w:t>
            </w:r>
            <w:r>
              <w:rPr>
                <w:rFonts w:ascii="宋体" w:hAnsi="宋体" w:cs="宋体"/>
                <w:color w:val="000000"/>
                <w:szCs w:val="21"/>
              </w:rPr>
              <w:t>剪切波弹性成像具备剪切波传播轨迹质控可视化功能，可直观观察剪切波在组织内的传播均匀程度，用于定性判断波传播状态；该</w:t>
            </w:r>
            <w:r>
              <w:rPr>
                <w:rFonts w:hint="eastAsia" w:ascii="宋体" w:hAnsi="宋体" w:cs="宋体"/>
                <w:color w:val="000000"/>
                <w:szCs w:val="21"/>
              </w:rPr>
              <w:t>功能</w:t>
            </w:r>
            <w:r>
              <w:rPr>
                <w:rFonts w:ascii="宋体" w:hAnsi="宋体" w:cs="宋体"/>
                <w:color w:val="000000"/>
                <w:szCs w:val="21"/>
              </w:rPr>
              <w:t>可辅助操作人员优选测量取样区域，减少成像伪差，提升弹性定量测量准确度</w:t>
            </w:r>
            <w:r>
              <w:rPr>
                <w:rFonts w:hint="eastAsia" w:ascii="宋体" w:hAnsi="宋体" w:cs="宋体"/>
                <w:color w:val="000000"/>
                <w:szCs w:val="21"/>
              </w:rPr>
              <w:t>；</w:t>
            </w:r>
          </w:p>
          <w:p w14:paraId="22A0A7E7">
            <w:pPr>
              <w:spacing w:line="400" w:lineRule="exact"/>
              <w:rPr>
                <w:rFonts w:hint="eastAsia" w:ascii="宋体" w:hAnsi="宋体" w:eastAsia="宋体" w:cs="宋体"/>
                <w:color w:val="000000"/>
                <w:sz w:val="24"/>
                <w:lang w:eastAsia="zh-CN"/>
              </w:rPr>
            </w:pPr>
            <w:r>
              <w:rPr>
                <w:rFonts w:hint="default" w:ascii="宋体" w:hAnsi="宋体" w:cs="宋体"/>
                <w:color w:val="000000"/>
                <w:szCs w:val="21"/>
                <w:lang w:val="en-US"/>
              </w:rPr>
              <w:t>1.</w:t>
            </w:r>
            <w:r>
              <w:rPr>
                <w:rFonts w:hint="eastAsia" w:ascii="宋体" w:hAnsi="宋体" w:cs="宋体"/>
                <w:color w:val="000000"/>
                <w:szCs w:val="21"/>
              </w:rPr>
              <w:t>16.3支持多模态四幅同屏对照显示，实现二维灰阶、剪切波速度、剪切波质控分析（含剪切波传播信息或测量方差置信度）的信息可视化显示，实现多参数模式图成像同步对照评估</w:t>
            </w:r>
            <w:r>
              <w:rPr>
                <w:rFonts w:hint="eastAsia" w:ascii="宋体" w:hAnsi="宋体" w:cs="宋体"/>
                <w:color w:val="000000"/>
                <w:szCs w:val="21"/>
                <w:lang w:eastAsia="zh-CN"/>
              </w:rPr>
              <w:t>；</w:t>
            </w:r>
          </w:p>
          <w:p w14:paraId="286DCF90">
            <w:pPr>
              <w:spacing w:line="400" w:lineRule="exact"/>
              <w:rPr>
                <w:rFonts w:hint="eastAsia" w:ascii="宋体" w:hAnsi="宋体" w:cs="宋体"/>
                <w:color w:val="000000"/>
                <w:szCs w:val="21"/>
              </w:rPr>
            </w:pPr>
            <w:r>
              <w:rPr>
                <w:rFonts w:hint="eastAsia" w:ascii="宋体" w:hAnsi="宋体" w:eastAsia="宋体" w:cs="宋体"/>
                <w:bCs/>
                <w:color w:val="000000"/>
                <w:sz w:val="21"/>
                <w:szCs w:val="21"/>
                <w:highlight w:val="none"/>
              </w:rPr>
              <w:t>●</w:t>
            </w:r>
            <w:r>
              <w:rPr>
                <w:rFonts w:hint="default" w:ascii="宋体" w:hAnsi="宋体" w:eastAsia="宋体" w:cs="宋体"/>
                <w:bCs/>
                <w:color w:val="000000"/>
                <w:sz w:val="21"/>
                <w:szCs w:val="21"/>
                <w:highlight w:val="none"/>
                <w:lang w:val="en-US"/>
              </w:rPr>
              <w:t>1.</w:t>
            </w:r>
            <w:r>
              <w:rPr>
                <w:rFonts w:hint="eastAsia" w:ascii="宋体" w:hAnsi="宋体" w:cs="宋体"/>
                <w:color w:val="000000"/>
                <w:szCs w:val="21"/>
              </w:rPr>
              <w:t>16.4剪切波弹性成像支持二维和三维显示弹性数据，实现弹性结果的多角度观察与评估；</w:t>
            </w:r>
          </w:p>
          <w:p w14:paraId="176B78CF">
            <w:pPr>
              <w:spacing w:line="400" w:lineRule="exact"/>
              <w:rPr>
                <w:rFonts w:hint="eastAsia" w:ascii="宋体" w:hAnsi="宋体" w:eastAsia="宋体" w:cs="宋体"/>
                <w:color w:val="000000"/>
                <w:szCs w:val="21"/>
                <w:lang w:eastAsia="zh-CN"/>
              </w:rPr>
            </w:pPr>
            <w:r>
              <w:rPr>
                <w:rFonts w:hint="default" w:ascii="宋体" w:hAnsi="宋体" w:cs="宋体"/>
                <w:color w:val="000000"/>
                <w:szCs w:val="21"/>
                <w:lang w:val="en-US"/>
              </w:rPr>
              <w:t>1.</w:t>
            </w:r>
            <w:r>
              <w:rPr>
                <w:rFonts w:hint="eastAsia" w:ascii="宋体" w:hAnsi="宋体" w:cs="宋体"/>
                <w:color w:val="000000"/>
                <w:szCs w:val="21"/>
              </w:rPr>
              <w:t>16.5 可根据ECG信号同步获取图像，显著减少伪像，获得最佳成像</w:t>
            </w:r>
            <w:r>
              <w:rPr>
                <w:rFonts w:hint="eastAsia" w:ascii="宋体" w:hAnsi="宋体" w:cs="宋体"/>
                <w:color w:val="000000"/>
                <w:szCs w:val="21"/>
                <w:lang w:eastAsia="zh-CN"/>
              </w:rPr>
              <w:t>；</w:t>
            </w:r>
          </w:p>
          <w:p w14:paraId="57D04F7C">
            <w:pPr>
              <w:spacing w:line="400" w:lineRule="exact"/>
              <w:rPr>
                <w:rFonts w:hint="eastAsia" w:ascii="宋体" w:hAnsi="宋体" w:cs="宋体"/>
                <w:szCs w:val="21"/>
              </w:rPr>
            </w:pPr>
            <w:r>
              <w:rPr>
                <w:rFonts w:hint="default" w:ascii="宋体" w:hAnsi="宋体" w:cs="宋体"/>
                <w:color w:val="000000"/>
                <w:szCs w:val="21"/>
                <w:lang w:val="en-US"/>
              </w:rPr>
              <w:t>1.</w:t>
            </w:r>
            <w:r>
              <w:rPr>
                <w:rFonts w:hint="eastAsia" w:ascii="宋体" w:hAnsi="宋体" w:cs="宋体"/>
                <w:color w:val="000000"/>
                <w:szCs w:val="21"/>
              </w:rPr>
              <w:t>16.6具有专业测量分析报告系统，支持对</w:t>
            </w:r>
            <w:r>
              <w:rPr>
                <w:rFonts w:hint="eastAsia" w:ascii="宋体" w:hAnsi="宋体" w:cs="宋体"/>
                <w:szCs w:val="21"/>
              </w:rPr>
              <w:t>测量区域自动检测或勾画，提高测量的可靠性和准确度。可测量不少于</w:t>
            </w:r>
            <w:r>
              <w:rPr>
                <w:rFonts w:ascii="宋体" w:hAnsi="宋体" w:cs="宋体"/>
                <w:szCs w:val="21"/>
              </w:rPr>
              <w:t>14</w:t>
            </w:r>
            <w:r>
              <w:rPr>
                <w:rFonts w:hint="eastAsia" w:ascii="宋体" w:hAnsi="宋体" w:cs="宋体"/>
                <w:szCs w:val="21"/>
              </w:rPr>
              <w:t>组数据，具备均值、方差、中位数、四分位数等参数的计算与专业术评估分析；</w:t>
            </w:r>
          </w:p>
          <w:p w14:paraId="2D2F61A1">
            <w:pPr>
              <w:spacing w:line="400" w:lineRule="exact"/>
              <w:rPr>
                <w:rFonts w:hint="eastAsia" w:ascii="宋体" w:hAnsi="宋体" w:eastAsia="宋体" w:cs="宋体"/>
                <w:szCs w:val="21"/>
                <w:lang w:eastAsia="zh-CN"/>
              </w:rPr>
            </w:pPr>
            <w:r>
              <w:rPr>
                <w:rFonts w:hint="eastAsia" w:ascii="宋体" w:hAnsi="宋体" w:eastAsia="宋体" w:cs="宋体"/>
                <w:bCs/>
                <w:color w:val="auto"/>
                <w:sz w:val="21"/>
                <w:szCs w:val="21"/>
                <w:highlight w:val="none"/>
              </w:rPr>
              <w:t>●</w:t>
            </w:r>
            <w:r>
              <w:rPr>
                <w:rFonts w:hint="default" w:ascii="宋体" w:hAnsi="宋体" w:eastAsia="宋体" w:cs="宋体"/>
                <w:bCs/>
                <w:color w:val="auto"/>
                <w:sz w:val="21"/>
                <w:szCs w:val="21"/>
                <w:highlight w:val="none"/>
                <w:lang w:val="en-US"/>
              </w:rPr>
              <w:t>1.</w:t>
            </w:r>
            <w:r>
              <w:rPr>
                <w:rFonts w:hint="eastAsia" w:ascii="宋体" w:hAnsi="宋体" w:cs="宋体"/>
                <w:szCs w:val="21"/>
              </w:rPr>
              <w:t>16.7 具备剪切波粘弹性成像功能，可定量测量肝脏组织的剪切波频散系数（单位：m/s/kHz），用于评估炎症及脂肪变性肝脏的诊断及分析</w:t>
            </w:r>
            <w:r>
              <w:rPr>
                <w:rFonts w:hint="eastAsia" w:ascii="宋体" w:hAnsi="宋体" w:cs="宋体"/>
                <w:szCs w:val="21"/>
                <w:lang w:eastAsia="zh-CN"/>
              </w:rPr>
              <w:t>；</w:t>
            </w:r>
          </w:p>
          <w:p w14:paraId="0D8CCB2B">
            <w:pPr>
              <w:spacing w:line="400" w:lineRule="exact"/>
              <w:rPr>
                <w:rFonts w:hint="eastAsia" w:ascii="宋体" w:hAnsi="宋体" w:eastAsia="宋体" w:cs="宋体"/>
                <w:szCs w:val="21"/>
                <w:lang w:eastAsia="zh-CN"/>
              </w:rPr>
            </w:pPr>
            <w:r>
              <w:rPr>
                <w:rFonts w:hint="default" w:ascii="宋体" w:hAnsi="宋体" w:cs="宋体"/>
                <w:szCs w:val="21"/>
                <w:lang w:val="en-US"/>
              </w:rPr>
              <w:t>1.</w:t>
            </w:r>
            <w:r>
              <w:rPr>
                <w:rFonts w:hint="eastAsia" w:ascii="宋体" w:hAnsi="宋体" w:cs="宋体"/>
                <w:szCs w:val="21"/>
              </w:rPr>
              <w:t>17</w:t>
            </w:r>
            <w:r>
              <w:rPr>
                <w:rFonts w:hint="eastAsia" w:ascii="宋体" w:hAnsi="宋体" w:cs="宋体"/>
                <w:szCs w:val="21"/>
                <w:lang w:val="en-US" w:eastAsia="zh-CN"/>
              </w:rPr>
              <w:t>.</w:t>
            </w:r>
            <w:r>
              <w:rPr>
                <w:rFonts w:hint="eastAsia" w:ascii="宋体" w:hAnsi="宋体" w:cs="宋体"/>
                <w:szCs w:val="21"/>
              </w:rPr>
              <w:t>超声造影成像功能，具有双幅监控模式</w:t>
            </w:r>
            <w:r>
              <w:rPr>
                <w:rFonts w:hint="eastAsia" w:ascii="宋体" w:hAnsi="宋体" w:cs="宋体"/>
                <w:szCs w:val="21"/>
                <w:lang w:eastAsia="zh-CN"/>
              </w:rPr>
              <w:t>；</w:t>
            </w:r>
          </w:p>
          <w:p w14:paraId="67EE0829">
            <w:pPr>
              <w:spacing w:line="400" w:lineRule="exact"/>
              <w:rPr>
                <w:rFonts w:hint="eastAsia" w:ascii="宋体" w:hAnsi="宋体" w:eastAsia="宋体" w:cs="宋体"/>
                <w:szCs w:val="21"/>
                <w:lang w:eastAsia="zh-CN"/>
              </w:rPr>
            </w:pPr>
            <w:r>
              <w:rPr>
                <w:rFonts w:hint="default" w:ascii="宋体" w:hAnsi="宋体" w:cs="宋体"/>
                <w:szCs w:val="21"/>
                <w:lang w:val="en-US"/>
              </w:rPr>
              <w:t>1.</w:t>
            </w:r>
            <w:r>
              <w:rPr>
                <w:rFonts w:hint="eastAsia" w:ascii="宋体" w:hAnsi="宋体" w:cs="宋体"/>
                <w:szCs w:val="21"/>
              </w:rPr>
              <w:t>17.1支持三维立体显示</w:t>
            </w:r>
            <w:r>
              <w:rPr>
                <w:rFonts w:hint="eastAsia" w:ascii="宋体" w:hAnsi="宋体" w:cs="宋体"/>
                <w:szCs w:val="21"/>
                <w:lang w:eastAsia="zh-CN"/>
              </w:rPr>
              <w:t>；</w:t>
            </w:r>
          </w:p>
          <w:p w14:paraId="07487865">
            <w:pPr>
              <w:spacing w:line="400" w:lineRule="exact"/>
              <w:rPr>
                <w:rFonts w:hint="eastAsia" w:ascii="宋体" w:hAnsi="宋体" w:cs="宋体"/>
                <w:szCs w:val="21"/>
              </w:rPr>
            </w:pPr>
            <w:r>
              <w:rPr>
                <w:rFonts w:hint="default" w:ascii="宋体" w:hAnsi="宋体" w:cs="宋体"/>
                <w:szCs w:val="21"/>
                <w:lang w:val="en-US"/>
              </w:rPr>
              <w:t>1.</w:t>
            </w:r>
            <w:r>
              <w:rPr>
                <w:rFonts w:hint="eastAsia" w:ascii="宋体" w:hAnsi="宋体" w:cs="宋体"/>
                <w:szCs w:val="21"/>
              </w:rPr>
              <w:t>17.2具备细微血管造影成像模式，支持对造影剂的灌注状态进行多色编码显示，能够清晰区分并显示较大血管灌注与微细血管灌注，提升微循环灌注的可视化效果；</w:t>
            </w:r>
          </w:p>
          <w:p w14:paraId="70108270">
            <w:pPr>
              <w:spacing w:line="400" w:lineRule="exact"/>
              <w:rPr>
                <w:rFonts w:hint="eastAsia" w:ascii="宋体" w:hAnsi="宋体" w:cs="宋体"/>
                <w:szCs w:val="21"/>
              </w:rPr>
            </w:pPr>
            <w:r>
              <w:rPr>
                <w:rFonts w:hint="default" w:ascii="宋体" w:hAnsi="宋体" w:cs="宋体"/>
                <w:szCs w:val="21"/>
                <w:lang w:val="en-US"/>
              </w:rPr>
              <w:t>1.</w:t>
            </w:r>
            <w:r>
              <w:rPr>
                <w:rFonts w:hint="eastAsia" w:ascii="宋体" w:hAnsi="宋体" w:cs="宋体"/>
                <w:szCs w:val="21"/>
              </w:rPr>
              <w:t>17.3具备高分辨率造影微血管成像功能，能够清晰显示病灶内的血管分布及灌注状态，具有运动伪影抑制技术；</w:t>
            </w:r>
          </w:p>
          <w:p w14:paraId="240BC9C2">
            <w:pPr>
              <w:spacing w:line="400" w:lineRule="exact"/>
              <w:rPr>
                <w:rFonts w:hint="eastAsia" w:ascii="宋体" w:hAnsi="宋体" w:cs="宋体"/>
                <w:szCs w:val="21"/>
              </w:rPr>
            </w:pPr>
            <w:r>
              <w:rPr>
                <w:rFonts w:hint="default" w:ascii="宋体" w:hAnsi="宋体" w:cs="宋体"/>
                <w:szCs w:val="21"/>
                <w:lang w:val="en-US"/>
              </w:rPr>
              <w:t>1.</w:t>
            </w:r>
            <w:r>
              <w:rPr>
                <w:rFonts w:hint="eastAsia" w:ascii="宋体" w:hAnsi="宋体" w:cs="宋体"/>
                <w:szCs w:val="21"/>
              </w:rPr>
              <w:t>17.4具备造影微血管参数成像功能，根据造影剂灌注的时间顺序进行彩色编码，在显示微血管架构的同时，显示造影剂灌注的时间顺序，可以对不同血供特点的疾病实施鉴别诊断；</w:t>
            </w:r>
          </w:p>
          <w:p w14:paraId="4F543ACA">
            <w:pPr>
              <w:spacing w:line="400" w:lineRule="exact"/>
              <w:rPr>
                <w:rFonts w:hint="eastAsia" w:ascii="宋体" w:hAnsi="宋体" w:cs="宋体"/>
                <w:szCs w:val="21"/>
              </w:rPr>
            </w:pPr>
            <w:r>
              <w:rPr>
                <w:rFonts w:hint="default" w:ascii="宋体" w:hAnsi="宋体" w:cs="宋体"/>
                <w:szCs w:val="21"/>
                <w:lang w:val="en-US"/>
              </w:rPr>
              <w:t>1.</w:t>
            </w:r>
            <w:r>
              <w:rPr>
                <w:rFonts w:hint="eastAsia" w:ascii="宋体" w:hAnsi="宋体" w:cs="宋体"/>
                <w:szCs w:val="21"/>
              </w:rPr>
              <w:t>17.5具备造影超微血流成像功能，采用高灵敏度信号提升技术，可有效分离造影剂微泡信号与组织背景信号，清晰显示超低速血管的灌注区域；</w:t>
            </w:r>
          </w:p>
          <w:p w14:paraId="2B37E66C">
            <w:pPr>
              <w:spacing w:line="400" w:lineRule="exact"/>
              <w:rPr>
                <w:rFonts w:hint="eastAsia" w:ascii="宋体" w:hAnsi="宋体" w:cs="宋体"/>
                <w:szCs w:val="21"/>
              </w:rPr>
            </w:pPr>
            <w:r>
              <w:rPr>
                <w:rFonts w:hint="default" w:ascii="宋体" w:hAnsi="宋体" w:cs="宋体"/>
                <w:szCs w:val="21"/>
                <w:lang w:val="en-US"/>
              </w:rPr>
              <w:t>1.</w:t>
            </w:r>
            <w:r>
              <w:rPr>
                <w:rFonts w:hint="eastAsia" w:ascii="宋体" w:hAnsi="宋体" w:cs="宋体"/>
                <w:szCs w:val="21"/>
              </w:rPr>
              <w:t>17.6 具有同屏四幅实时显示功能，分别显示不同模式下的造影图像；</w:t>
            </w:r>
          </w:p>
          <w:p w14:paraId="453AE10D">
            <w:pPr>
              <w:spacing w:line="400" w:lineRule="exact"/>
              <w:rPr>
                <w:rFonts w:hint="eastAsia" w:ascii="宋体" w:hAnsi="宋体" w:eastAsia="宋体" w:cs="宋体"/>
                <w:szCs w:val="21"/>
                <w:lang w:val="en-US" w:eastAsia="zh-CN"/>
              </w:rPr>
            </w:pPr>
            <w:r>
              <w:rPr>
                <w:rFonts w:hint="default" w:ascii="宋体" w:hAnsi="宋体" w:cs="宋体"/>
                <w:szCs w:val="21"/>
                <w:lang w:val="en-US"/>
              </w:rPr>
              <w:t>1.</w:t>
            </w:r>
            <w:r>
              <w:rPr>
                <w:rFonts w:hint="eastAsia" w:ascii="宋体" w:hAnsi="宋体" w:cs="宋体"/>
                <w:szCs w:val="21"/>
              </w:rPr>
              <w:t>18</w:t>
            </w:r>
            <w:r>
              <w:rPr>
                <w:rFonts w:hint="eastAsia" w:ascii="宋体" w:hAnsi="宋体" w:cs="宋体"/>
                <w:szCs w:val="21"/>
                <w:lang w:val="en-US" w:eastAsia="zh-CN"/>
              </w:rPr>
              <w:t>.</w:t>
            </w:r>
            <w:r>
              <w:rPr>
                <w:rFonts w:hint="eastAsia" w:ascii="宋体" w:hAnsi="宋体" w:cs="宋体"/>
                <w:szCs w:val="21"/>
              </w:rPr>
              <w:t>超声造影定量功能，时间曲线分析，利用获取的造影图像对感兴趣区域内的造影信息进行计算分析，具有运动自动追踪功能</w:t>
            </w:r>
            <w:r>
              <w:rPr>
                <w:rFonts w:hint="eastAsia" w:ascii="宋体" w:hAnsi="宋体" w:cs="宋体"/>
                <w:szCs w:val="21"/>
                <w:lang w:val="en-US" w:eastAsia="zh-CN"/>
              </w:rPr>
              <w:t>；</w:t>
            </w:r>
          </w:p>
          <w:p w14:paraId="7E508A86">
            <w:pPr>
              <w:spacing w:line="400" w:lineRule="exact"/>
              <w:rPr>
                <w:rFonts w:hint="eastAsia" w:ascii="宋体" w:hAnsi="宋体" w:cs="宋体"/>
                <w:szCs w:val="21"/>
              </w:rPr>
            </w:pPr>
            <w:r>
              <w:rPr>
                <w:rFonts w:hint="default" w:ascii="宋体" w:hAnsi="宋体" w:cs="宋体"/>
                <w:szCs w:val="21"/>
                <w:lang w:val="en-US"/>
              </w:rPr>
              <w:t>1.</w:t>
            </w:r>
            <w:r>
              <w:rPr>
                <w:rFonts w:hint="eastAsia" w:ascii="宋体" w:hAnsi="宋体" w:cs="宋体"/>
                <w:szCs w:val="21"/>
              </w:rPr>
              <w:t>18.1 具有超声造影定量拟合曲线功能，可生成时间-强度曲线的模型函数进行曲线拟合，计算特征参数值；</w:t>
            </w:r>
          </w:p>
          <w:p w14:paraId="5E28F98E">
            <w:pPr>
              <w:spacing w:line="400" w:lineRule="exact"/>
              <w:rPr>
                <w:rFonts w:hint="eastAsia" w:ascii="宋体" w:hAnsi="宋体" w:cs="宋体"/>
                <w:szCs w:val="21"/>
              </w:rPr>
            </w:pPr>
            <w:r>
              <w:rPr>
                <w:rFonts w:hint="eastAsia" w:ascii="宋体" w:hAnsi="宋体" w:cs="宋体"/>
                <w:szCs w:val="21"/>
                <w:lang w:val="en-US" w:eastAsia="zh-CN"/>
              </w:rPr>
              <w:t>1.</w:t>
            </w:r>
            <w:r>
              <w:rPr>
                <w:rFonts w:hint="eastAsia" w:ascii="宋体" w:hAnsi="宋体" w:cs="宋体"/>
                <w:szCs w:val="21"/>
              </w:rPr>
              <w:t>18.2具备高帧频造影成像功能，能够显著提高造影图像的采集帧频，在不降低成像质量的同时，增强对快速灌注过程的捕捉能力，改善微小病灶内微小血管形态和血流灌注细节的显示能力，造影图像采集帧率最大可达</w:t>
            </w:r>
            <w:r>
              <w:rPr>
                <w:rFonts w:ascii="宋体" w:hAnsi="宋体" w:cs="宋体"/>
                <w:szCs w:val="21"/>
              </w:rPr>
              <w:t>3</w:t>
            </w:r>
            <w:r>
              <w:rPr>
                <w:rFonts w:hint="eastAsia" w:ascii="宋体" w:hAnsi="宋体" w:cs="宋体"/>
                <w:szCs w:val="21"/>
              </w:rPr>
              <w:t>00帧/秒；</w:t>
            </w:r>
          </w:p>
          <w:p w14:paraId="5D9894CF">
            <w:pPr>
              <w:spacing w:line="400" w:lineRule="exact"/>
              <w:rPr>
                <w:rFonts w:hint="eastAsia" w:ascii="宋体" w:hAnsi="宋体" w:cs="宋体"/>
                <w:color w:val="000000"/>
                <w:szCs w:val="21"/>
              </w:rPr>
            </w:pPr>
            <w:r>
              <w:rPr>
                <w:rFonts w:hint="default" w:ascii="宋体" w:hAnsi="宋体" w:cs="宋体"/>
                <w:color w:val="000000"/>
                <w:szCs w:val="21"/>
                <w:lang w:val="en-US"/>
              </w:rPr>
              <w:t>1.</w:t>
            </w:r>
            <w:r>
              <w:rPr>
                <w:rFonts w:hint="eastAsia" w:ascii="宋体" w:hAnsi="宋体" w:cs="宋体"/>
                <w:color w:val="000000"/>
                <w:szCs w:val="21"/>
              </w:rPr>
              <w:t>18.3 内置一体化的造影微泡分析功能，追踪单个造影微泡的运动，对单个造影微泡的速度、角度和到达时间等信息进行参数成像，具有量化数值和使用箭头标识标注每一个造影微泡运动的方向，可提供直观、多维度的诊断信息，提高良恶性肿瘤诊断和鉴别诊断的准确率。</w:t>
            </w:r>
          </w:p>
          <w:p w14:paraId="6ECAD95B">
            <w:pPr>
              <w:spacing w:line="400" w:lineRule="exact"/>
              <w:rPr>
                <w:rFonts w:hint="eastAsia" w:ascii="宋体" w:hAnsi="宋体" w:cs="宋体"/>
                <w:b/>
                <w:bCs/>
                <w:szCs w:val="21"/>
              </w:rPr>
            </w:pPr>
            <w:r>
              <w:rPr>
                <w:rFonts w:hint="eastAsia" w:ascii="宋体" w:hAnsi="宋体" w:cs="宋体"/>
                <w:b/>
                <w:bCs/>
                <w:szCs w:val="21"/>
              </w:rPr>
              <w:t>2 、测量和分析：（B型、M型、频谱多普勒、彩色多普勒）</w:t>
            </w:r>
          </w:p>
          <w:p w14:paraId="1061B51D">
            <w:pPr>
              <w:spacing w:line="400" w:lineRule="exact"/>
              <w:rPr>
                <w:rFonts w:hint="eastAsia" w:ascii="宋体" w:hAnsi="宋体" w:cs="宋体"/>
                <w:szCs w:val="21"/>
              </w:rPr>
            </w:pPr>
            <w:r>
              <w:rPr>
                <w:rFonts w:hint="eastAsia" w:ascii="宋体" w:hAnsi="宋体" w:cs="宋体"/>
                <w:szCs w:val="21"/>
              </w:rPr>
              <w:t>2.1 一般测量；</w:t>
            </w:r>
          </w:p>
          <w:p w14:paraId="553BEB01">
            <w:pPr>
              <w:spacing w:line="400" w:lineRule="exact"/>
              <w:rPr>
                <w:rFonts w:hint="eastAsia" w:ascii="宋体" w:hAnsi="宋体" w:cs="宋体"/>
                <w:szCs w:val="21"/>
              </w:rPr>
            </w:pPr>
            <w:r>
              <w:rPr>
                <w:rFonts w:hint="eastAsia" w:ascii="宋体" w:hAnsi="宋体" w:cs="宋体"/>
                <w:szCs w:val="21"/>
              </w:rPr>
              <w:t>2.2 心脏功能测量与分析；</w:t>
            </w:r>
          </w:p>
          <w:p w14:paraId="02D80CAB">
            <w:pPr>
              <w:spacing w:line="400" w:lineRule="exact"/>
              <w:rPr>
                <w:rFonts w:hint="eastAsia" w:ascii="宋体" w:hAnsi="宋体" w:cs="宋体"/>
                <w:szCs w:val="21"/>
              </w:rPr>
            </w:pPr>
            <w:r>
              <w:rPr>
                <w:rFonts w:hint="eastAsia" w:ascii="宋体" w:hAnsi="宋体" w:cs="宋体"/>
                <w:szCs w:val="21"/>
              </w:rPr>
              <w:t>2.3 妇、产科测量与分析；</w:t>
            </w:r>
          </w:p>
          <w:p w14:paraId="0F6C5C5A">
            <w:pPr>
              <w:spacing w:line="400" w:lineRule="exact"/>
              <w:rPr>
                <w:rFonts w:hint="eastAsia" w:ascii="宋体" w:hAnsi="宋体" w:cs="宋体"/>
                <w:szCs w:val="21"/>
              </w:rPr>
            </w:pPr>
            <w:r>
              <w:rPr>
                <w:rFonts w:hint="eastAsia" w:ascii="宋体" w:hAnsi="宋体" w:cs="宋体"/>
                <w:szCs w:val="21"/>
              </w:rPr>
              <w:t>2.4 血管血流测量与分析；</w:t>
            </w:r>
          </w:p>
          <w:p w14:paraId="610C48D4">
            <w:pPr>
              <w:spacing w:line="400" w:lineRule="exact"/>
              <w:rPr>
                <w:rFonts w:hint="eastAsia" w:ascii="宋体" w:hAnsi="宋体" w:cs="宋体"/>
                <w:szCs w:val="21"/>
              </w:rPr>
            </w:pPr>
            <w:r>
              <w:rPr>
                <w:rFonts w:hint="eastAsia" w:ascii="宋体" w:hAnsi="宋体" w:cs="宋体"/>
                <w:szCs w:val="21"/>
              </w:rPr>
              <w:t>2.5 血管内中膜自动测量；</w:t>
            </w:r>
          </w:p>
          <w:p w14:paraId="56AF304E">
            <w:pPr>
              <w:spacing w:line="400" w:lineRule="exact"/>
              <w:rPr>
                <w:rFonts w:hint="eastAsia" w:ascii="宋体" w:hAnsi="宋体" w:cs="宋体"/>
                <w:szCs w:val="21"/>
              </w:rPr>
            </w:pPr>
            <w:r>
              <w:rPr>
                <w:rFonts w:hint="eastAsia" w:ascii="宋体" w:hAnsi="宋体" w:cs="宋体"/>
                <w:szCs w:val="21"/>
              </w:rPr>
              <w:t>2.6 颈后透明层自动测量；</w:t>
            </w:r>
          </w:p>
          <w:p w14:paraId="16048935">
            <w:pPr>
              <w:spacing w:line="400" w:lineRule="exact"/>
              <w:rPr>
                <w:rFonts w:hint="eastAsia" w:ascii="宋体" w:hAnsi="宋体" w:cs="宋体"/>
                <w:szCs w:val="21"/>
              </w:rPr>
            </w:pPr>
            <w:r>
              <w:rPr>
                <w:rFonts w:hint="eastAsia" w:ascii="宋体" w:hAnsi="宋体" w:cs="宋体"/>
                <w:szCs w:val="21"/>
              </w:rPr>
              <w:t>2.7 血管指数分析工具，可定量评估感兴趣区域内的血流密度；</w:t>
            </w:r>
          </w:p>
          <w:p w14:paraId="11C20BBE">
            <w:pPr>
              <w:spacing w:line="400" w:lineRule="exact"/>
              <w:rPr>
                <w:rFonts w:hint="eastAsia" w:ascii="宋体" w:hAnsi="宋体" w:cs="宋体"/>
                <w:b/>
                <w:bCs/>
                <w:szCs w:val="21"/>
              </w:rPr>
            </w:pPr>
            <w:r>
              <w:rPr>
                <w:rFonts w:hint="eastAsia" w:ascii="宋体" w:hAnsi="宋体" w:cs="宋体"/>
                <w:b/>
                <w:bCs/>
                <w:szCs w:val="21"/>
              </w:rPr>
              <w:t>3 、输入/输出信号：</w:t>
            </w:r>
          </w:p>
          <w:p w14:paraId="2F7354E0">
            <w:pPr>
              <w:spacing w:line="400" w:lineRule="exact"/>
              <w:rPr>
                <w:rFonts w:hint="eastAsia" w:ascii="宋体" w:hAnsi="宋体" w:cs="宋体"/>
                <w:szCs w:val="21"/>
              </w:rPr>
            </w:pPr>
            <w:r>
              <w:rPr>
                <w:rFonts w:hint="eastAsia" w:ascii="宋体" w:hAnsi="宋体" w:cs="宋体"/>
                <w:szCs w:val="21"/>
              </w:rPr>
              <w:t>3.1 输入： S-VHS、RGB彩色视频；</w:t>
            </w:r>
          </w:p>
          <w:p w14:paraId="6019FB0E">
            <w:pPr>
              <w:spacing w:line="400" w:lineRule="exact"/>
              <w:rPr>
                <w:rFonts w:hint="eastAsia" w:ascii="宋体" w:hAnsi="宋体" w:cs="宋体"/>
                <w:szCs w:val="21"/>
              </w:rPr>
            </w:pPr>
            <w:r>
              <w:rPr>
                <w:rFonts w:hint="eastAsia" w:ascii="宋体" w:hAnsi="宋体" w:cs="宋体"/>
                <w:szCs w:val="21"/>
              </w:rPr>
              <w:t>3.2 输出：S-VHS、复合彩色视频、S-Video、DVI（HDMI）、USB接口，USB接口≥5个；</w:t>
            </w:r>
          </w:p>
          <w:p w14:paraId="655A3B22">
            <w:pPr>
              <w:spacing w:line="400" w:lineRule="exact"/>
              <w:rPr>
                <w:rFonts w:hint="eastAsia" w:ascii="宋体" w:hAnsi="宋体" w:cs="宋体"/>
                <w:szCs w:val="21"/>
              </w:rPr>
            </w:pPr>
            <w:r>
              <w:rPr>
                <w:rFonts w:hint="eastAsia" w:ascii="宋体" w:hAnsi="宋体" w:cs="宋体"/>
                <w:szCs w:val="21"/>
              </w:rPr>
              <w:t>3.4 连通性：医学数字图像和通信DICOM3.0版接口部件，装机后可正常使用；</w:t>
            </w:r>
          </w:p>
          <w:p w14:paraId="01321B1D">
            <w:pPr>
              <w:spacing w:line="400" w:lineRule="exact"/>
              <w:rPr>
                <w:rFonts w:hint="eastAsia" w:ascii="宋体" w:hAnsi="宋体" w:cs="宋体"/>
                <w:szCs w:val="21"/>
              </w:rPr>
            </w:pPr>
            <w:r>
              <w:rPr>
                <w:rFonts w:hint="eastAsia" w:ascii="宋体" w:hAnsi="宋体" w:cs="宋体"/>
                <w:szCs w:val="21"/>
              </w:rPr>
              <w:t>3.5 图像管理与记录装置：</w:t>
            </w:r>
          </w:p>
          <w:p w14:paraId="149D7242">
            <w:pPr>
              <w:spacing w:line="400" w:lineRule="exact"/>
              <w:rPr>
                <w:rFonts w:hint="eastAsia" w:ascii="宋体" w:hAnsi="宋体" w:cs="宋体"/>
                <w:szCs w:val="21"/>
              </w:rPr>
            </w:pPr>
            <w:r>
              <w:rPr>
                <w:rFonts w:hint="eastAsia" w:ascii="宋体" w:hAnsi="宋体" w:cs="宋体"/>
                <w:szCs w:val="21"/>
              </w:rPr>
              <w:t>3.5.1 内置超声图像存档与病案管理功能；</w:t>
            </w:r>
          </w:p>
          <w:p w14:paraId="27C6DCBE">
            <w:pPr>
              <w:spacing w:line="400" w:lineRule="exact"/>
              <w:rPr>
                <w:rFonts w:hint="eastAsia" w:ascii="宋体" w:hAnsi="宋体" w:cs="宋体"/>
                <w:szCs w:val="21"/>
              </w:rPr>
            </w:pPr>
            <w:r>
              <w:rPr>
                <w:rFonts w:hint="eastAsia" w:ascii="宋体" w:hAnsi="宋体" w:cs="宋体"/>
                <w:szCs w:val="21"/>
              </w:rPr>
              <w:t>3.5.2 支持原始数据存储（RAW DATA）；</w:t>
            </w:r>
          </w:p>
          <w:p w14:paraId="2A75D1A8">
            <w:pPr>
              <w:spacing w:line="400" w:lineRule="exact"/>
              <w:rPr>
                <w:rFonts w:hint="eastAsia" w:ascii="宋体" w:hAnsi="宋体" w:cs="宋体"/>
                <w:szCs w:val="21"/>
              </w:rPr>
            </w:pPr>
            <w:r>
              <w:rPr>
                <w:rFonts w:hint="eastAsia" w:ascii="宋体" w:hAnsi="宋体" w:cs="宋体"/>
                <w:szCs w:val="21"/>
              </w:rPr>
              <w:t>3.5.3内置存储支持≥1TB；</w:t>
            </w:r>
          </w:p>
          <w:p w14:paraId="48669FFD">
            <w:pPr>
              <w:spacing w:line="400" w:lineRule="exact"/>
              <w:rPr>
                <w:rFonts w:hint="eastAsia" w:ascii="宋体" w:hAnsi="宋体" w:cs="宋体"/>
                <w:b/>
                <w:bCs/>
                <w:szCs w:val="21"/>
              </w:rPr>
            </w:pPr>
            <w:r>
              <w:rPr>
                <w:rFonts w:hint="eastAsia" w:ascii="宋体" w:hAnsi="宋体" w:cs="宋体"/>
                <w:b/>
                <w:bCs/>
                <w:szCs w:val="21"/>
              </w:rPr>
              <w:t>4、技术参数及要求：</w:t>
            </w:r>
          </w:p>
          <w:p w14:paraId="774BF623">
            <w:pPr>
              <w:spacing w:line="400" w:lineRule="exact"/>
              <w:rPr>
                <w:rFonts w:hint="eastAsia" w:ascii="宋体" w:hAnsi="宋体" w:cs="宋体"/>
                <w:szCs w:val="21"/>
              </w:rPr>
            </w:pPr>
            <w:r>
              <w:rPr>
                <w:rFonts w:hint="eastAsia" w:ascii="宋体" w:hAnsi="宋体" w:cs="宋体"/>
                <w:szCs w:val="21"/>
              </w:rPr>
              <w:t>4.1 系统通用功能：</w:t>
            </w:r>
          </w:p>
          <w:p w14:paraId="416C5113">
            <w:pPr>
              <w:spacing w:line="400" w:lineRule="exact"/>
              <w:rPr>
                <w:rFonts w:hint="eastAsia" w:ascii="宋体" w:hAnsi="宋体" w:cs="宋体"/>
                <w:szCs w:val="21"/>
              </w:rPr>
            </w:pPr>
            <w:r>
              <w:rPr>
                <w:rFonts w:hint="eastAsia" w:ascii="宋体" w:hAnsi="宋体" w:cs="宋体"/>
                <w:szCs w:val="21"/>
              </w:rPr>
              <w:t>4.1.1 显示器：≥23英寸高分辨率宽屏显示器，分辨率为1920 × 1080；</w:t>
            </w:r>
          </w:p>
          <w:p w14:paraId="6305D8AD">
            <w:pPr>
              <w:spacing w:line="400" w:lineRule="exact"/>
              <w:rPr>
                <w:rFonts w:hint="eastAsia" w:ascii="宋体" w:hAnsi="宋体" w:cs="宋体"/>
                <w:szCs w:val="21"/>
              </w:rPr>
            </w:pPr>
            <w:r>
              <w:rPr>
                <w:rFonts w:hint="eastAsia" w:ascii="宋体" w:hAnsi="宋体" w:cs="宋体"/>
                <w:szCs w:val="21"/>
              </w:rPr>
              <w:t>4.1.2 ≥12英寸彩色液晶触摸屏，分辨率为1280 × 800，触摸屏位置可倾斜调节；</w:t>
            </w:r>
          </w:p>
          <w:p w14:paraId="6E8D1825">
            <w:pPr>
              <w:spacing w:line="400" w:lineRule="exact"/>
              <w:rPr>
                <w:rFonts w:hint="eastAsia" w:ascii="宋体" w:hAnsi="宋体" w:cs="宋体"/>
                <w:szCs w:val="21"/>
              </w:rPr>
            </w:pPr>
            <w:r>
              <w:rPr>
                <w:rFonts w:hint="eastAsia" w:ascii="宋体" w:hAnsi="宋体" w:cs="宋体"/>
                <w:szCs w:val="21"/>
              </w:rPr>
              <w:t>4.1.3 显示器上具有操作导航功能；</w:t>
            </w:r>
          </w:p>
          <w:p w14:paraId="09C69443">
            <w:pPr>
              <w:spacing w:line="400" w:lineRule="exact"/>
              <w:rPr>
                <w:rFonts w:hint="eastAsia" w:ascii="宋体" w:hAnsi="宋体" w:cs="宋体"/>
                <w:szCs w:val="21"/>
              </w:rPr>
            </w:pPr>
            <w:r>
              <w:rPr>
                <w:rFonts w:hint="eastAsia" w:ascii="宋体" w:hAnsi="宋体" w:cs="宋体"/>
                <w:szCs w:val="21"/>
              </w:rPr>
              <w:t>4.1.4 操作控制台可上下左右自由调节；</w:t>
            </w:r>
          </w:p>
          <w:p w14:paraId="695D2A2D">
            <w:pPr>
              <w:spacing w:line="400" w:lineRule="exact"/>
              <w:rPr>
                <w:rFonts w:hint="eastAsia" w:ascii="宋体" w:hAnsi="宋体" w:cs="宋体"/>
                <w:szCs w:val="21"/>
              </w:rPr>
            </w:pPr>
            <w:r>
              <w:rPr>
                <w:rFonts w:hint="eastAsia" w:ascii="宋体" w:hAnsi="宋体" w:cs="宋体"/>
                <w:szCs w:val="21"/>
              </w:rPr>
              <w:t>4.1.5 激活成像探头接口≥4个，通用可互换；</w:t>
            </w:r>
          </w:p>
          <w:p w14:paraId="36F52B13">
            <w:pPr>
              <w:spacing w:line="400" w:lineRule="exact"/>
              <w:rPr>
                <w:rFonts w:hint="eastAsia" w:ascii="宋体" w:hAnsi="宋体" w:cs="宋体"/>
                <w:szCs w:val="21"/>
              </w:rPr>
            </w:pPr>
            <w:r>
              <w:rPr>
                <w:rFonts w:hint="eastAsia" w:ascii="宋体" w:hAnsi="宋体" w:cs="宋体"/>
                <w:szCs w:val="21"/>
              </w:rPr>
              <w:t>4.1.</w:t>
            </w:r>
            <w:r>
              <w:rPr>
                <w:rFonts w:hint="eastAsia" w:ascii="宋体" w:hAnsi="宋体" w:cs="宋体"/>
                <w:szCs w:val="21"/>
                <w:lang w:val="en-US" w:eastAsia="zh-CN"/>
              </w:rPr>
              <w:t>6</w:t>
            </w:r>
            <w:r>
              <w:rPr>
                <w:rFonts w:hint="eastAsia" w:ascii="宋体" w:hAnsi="宋体" w:cs="宋体"/>
                <w:szCs w:val="21"/>
              </w:rPr>
              <w:t xml:space="preserve"> 系统最大成像深度≥50cm（依据探头）；</w:t>
            </w:r>
          </w:p>
          <w:p w14:paraId="60D350D7">
            <w:pPr>
              <w:spacing w:line="400" w:lineRule="exact"/>
              <w:rPr>
                <w:rFonts w:hint="eastAsia" w:ascii="宋体" w:hAnsi="宋体" w:cs="宋体"/>
                <w:szCs w:val="21"/>
              </w:rPr>
            </w:pPr>
            <w:r>
              <w:rPr>
                <w:rFonts w:hint="eastAsia" w:ascii="宋体" w:hAnsi="宋体" w:cs="宋体"/>
                <w:szCs w:val="21"/>
              </w:rPr>
              <w:t>4.2探头规格：</w:t>
            </w:r>
          </w:p>
          <w:p w14:paraId="6AB841D4">
            <w:pPr>
              <w:spacing w:line="400" w:lineRule="exact"/>
              <w:rPr>
                <w:rFonts w:hint="eastAsia" w:ascii="宋体" w:hAnsi="宋体" w:cs="宋体"/>
                <w:szCs w:val="21"/>
              </w:rPr>
            </w:pPr>
            <w:r>
              <w:rPr>
                <w:rFonts w:hint="eastAsia" w:ascii="宋体" w:hAnsi="宋体" w:cs="宋体"/>
                <w:szCs w:val="21"/>
              </w:rPr>
              <w:t>4.2.1性能：超宽频带变频探头，中心频率的变频在屏幕上可视可调；</w:t>
            </w:r>
          </w:p>
          <w:p w14:paraId="5F392891">
            <w:pPr>
              <w:spacing w:line="400" w:lineRule="exact"/>
              <w:rPr>
                <w:rFonts w:hint="eastAsia" w:ascii="宋体" w:hAnsi="宋体" w:cs="宋体"/>
                <w:color w:val="000000"/>
                <w:szCs w:val="21"/>
                <w:highlight w:val="none"/>
              </w:rPr>
            </w:pPr>
            <w:r>
              <w:rPr>
                <w:rFonts w:hint="eastAsia" w:ascii="宋体" w:hAnsi="宋体" w:eastAsia="宋体" w:cs="宋体"/>
                <w:bCs/>
                <w:color w:val="auto"/>
                <w:sz w:val="21"/>
                <w:szCs w:val="21"/>
                <w:highlight w:val="none"/>
              </w:rPr>
              <w:t>▲</w:t>
            </w:r>
            <w:r>
              <w:rPr>
                <w:rFonts w:hint="eastAsia" w:ascii="宋体" w:hAnsi="宋体" w:cs="宋体"/>
                <w:color w:val="auto"/>
                <w:szCs w:val="21"/>
              </w:rPr>
              <w:t>4.2.2 系统支</w:t>
            </w:r>
            <w:r>
              <w:rPr>
                <w:rFonts w:hint="eastAsia" w:ascii="宋体" w:hAnsi="宋体" w:cs="宋体"/>
                <w:color w:val="000000"/>
                <w:szCs w:val="21"/>
                <w:highlight w:val="none"/>
              </w:rPr>
              <w:t>持的探头频率范围：在1—</w:t>
            </w:r>
            <w:r>
              <w:rPr>
                <w:rFonts w:hint="eastAsia" w:ascii="宋体" w:hAnsi="宋体" w:cs="宋体"/>
                <w:color w:val="000000"/>
                <w:szCs w:val="21"/>
                <w:highlight w:val="none"/>
                <w:lang w:val="en-US" w:eastAsia="zh-CN"/>
              </w:rPr>
              <w:t>30</w:t>
            </w:r>
            <w:r>
              <w:rPr>
                <w:rFonts w:hint="eastAsia" w:ascii="宋体" w:hAnsi="宋体" w:cs="宋体"/>
                <w:color w:val="000000"/>
                <w:szCs w:val="21"/>
                <w:highlight w:val="none"/>
              </w:rPr>
              <w:t>MHz之间选择，最高显示频率≥</w:t>
            </w:r>
            <w:r>
              <w:rPr>
                <w:rFonts w:ascii="宋体" w:hAnsi="宋体" w:cs="宋体"/>
                <w:color w:val="000000"/>
                <w:szCs w:val="21"/>
                <w:highlight w:val="none"/>
              </w:rPr>
              <w:t>2</w:t>
            </w:r>
            <w:r>
              <w:rPr>
                <w:rFonts w:hint="eastAsia" w:ascii="宋体" w:hAnsi="宋体" w:cs="宋体"/>
                <w:color w:val="000000"/>
                <w:szCs w:val="21"/>
                <w:highlight w:val="none"/>
                <w:lang w:val="en-US" w:eastAsia="zh-CN"/>
              </w:rPr>
              <w:t>6</w:t>
            </w:r>
            <w:r>
              <w:rPr>
                <w:rFonts w:hint="eastAsia" w:ascii="宋体" w:hAnsi="宋体" w:cs="宋体"/>
                <w:color w:val="000000"/>
                <w:szCs w:val="21"/>
                <w:highlight w:val="none"/>
              </w:rPr>
              <w:t>MHz；</w:t>
            </w:r>
          </w:p>
          <w:p w14:paraId="1C88C1D1">
            <w:pPr>
              <w:spacing w:line="400" w:lineRule="exact"/>
              <w:rPr>
                <w:rFonts w:hint="eastAsia" w:ascii="宋体" w:hAnsi="宋体" w:eastAsia="宋体" w:cs="宋体"/>
                <w:color w:val="000000"/>
                <w:szCs w:val="21"/>
                <w:highlight w:val="none"/>
                <w:lang w:eastAsia="zh-CN"/>
              </w:rPr>
            </w:pPr>
            <w:r>
              <w:rPr>
                <w:rFonts w:hint="eastAsia" w:ascii="宋体" w:hAnsi="宋体" w:eastAsia="宋体" w:cs="宋体"/>
                <w:bCs/>
                <w:color w:val="000000"/>
                <w:sz w:val="21"/>
                <w:szCs w:val="21"/>
                <w:highlight w:val="none"/>
              </w:rPr>
              <w:t>▲</w:t>
            </w:r>
            <w:r>
              <w:rPr>
                <w:rFonts w:hint="eastAsia" w:ascii="宋体" w:hAnsi="宋体" w:cs="宋体"/>
                <w:color w:val="000000"/>
                <w:szCs w:val="21"/>
                <w:highlight w:val="none"/>
              </w:rPr>
              <w:t>4.2.3 系统支持电子矩阵容积探头</w:t>
            </w:r>
            <w:r>
              <w:rPr>
                <w:rFonts w:hint="eastAsia" w:ascii="宋体" w:hAnsi="宋体" w:cs="宋体"/>
                <w:color w:val="000000"/>
                <w:szCs w:val="21"/>
                <w:highlight w:val="none"/>
                <w:lang w:eastAsia="zh-CN"/>
              </w:rPr>
              <w:t>，</w:t>
            </w:r>
            <w:r>
              <w:rPr>
                <w:rFonts w:hint="eastAsia" w:ascii="宋体" w:hAnsi="宋体" w:cs="宋体"/>
                <w:color w:val="000000"/>
                <w:szCs w:val="21"/>
                <w:highlight w:val="none"/>
              </w:rPr>
              <w:t>支持心脏的实时三维成像</w:t>
            </w:r>
            <w:r>
              <w:rPr>
                <w:rFonts w:hint="eastAsia" w:ascii="宋体" w:hAnsi="宋体" w:cs="宋体"/>
                <w:color w:val="000000"/>
                <w:szCs w:val="21"/>
                <w:highlight w:val="none"/>
                <w:lang w:eastAsia="zh-CN"/>
              </w:rPr>
              <w:t>；</w:t>
            </w:r>
          </w:p>
          <w:p w14:paraId="5B3F73B7">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4.2.4 支持切面厚度方向的多点连续聚焦功能 ；</w:t>
            </w:r>
          </w:p>
          <w:p w14:paraId="2DAA1475">
            <w:pPr>
              <w:spacing w:line="400" w:lineRule="exact"/>
              <w:rPr>
                <w:rFonts w:hint="eastAsia" w:ascii="宋体" w:hAnsi="宋体" w:cs="宋体"/>
                <w:color w:val="000000"/>
                <w:szCs w:val="21"/>
                <w:highlight w:val="none"/>
              </w:rPr>
            </w:pPr>
            <w:r>
              <w:rPr>
                <w:rFonts w:hint="eastAsia" w:ascii="宋体" w:hAnsi="宋体" w:eastAsia="宋体" w:cs="宋体"/>
                <w:bCs/>
                <w:color w:val="000000"/>
                <w:sz w:val="21"/>
                <w:szCs w:val="21"/>
                <w:highlight w:val="none"/>
              </w:rPr>
              <w:t>●</w:t>
            </w:r>
            <w:r>
              <w:rPr>
                <w:rFonts w:hint="eastAsia" w:ascii="宋体" w:hAnsi="宋体" w:cs="宋体"/>
                <w:color w:val="000000"/>
                <w:szCs w:val="21"/>
                <w:highlight w:val="none"/>
              </w:rPr>
              <w:t>4.2.5探头类型应包括相控阵、凸阵，线阵等常规类型，并可根据临床需要选配腔内双平面一凸一线腔内探头和中央开槽式介入探头等；</w:t>
            </w:r>
          </w:p>
          <w:p w14:paraId="6E50193F">
            <w:pPr>
              <w:spacing w:line="400" w:lineRule="exact"/>
              <w:rPr>
                <w:rFonts w:hint="eastAsia" w:ascii="宋体" w:hAnsi="宋体" w:cs="宋体"/>
                <w:color w:val="000000"/>
                <w:szCs w:val="21"/>
                <w:highlight w:val="none"/>
              </w:rPr>
            </w:pPr>
            <w:r>
              <w:rPr>
                <w:rFonts w:hint="eastAsia" w:ascii="宋体" w:hAnsi="宋体" w:eastAsia="宋体" w:cs="宋体"/>
                <w:bCs/>
                <w:color w:val="000000"/>
                <w:sz w:val="21"/>
                <w:szCs w:val="21"/>
                <w:highlight w:val="none"/>
              </w:rPr>
              <w:t>▲</w:t>
            </w:r>
            <w:r>
              <w:rPr>
                <w:rFonts w:hint="eastAsia" w:ascii="宋体" w:hAnsi="宋体" w:cs="宋体"/>
                <w:color w:val="000000"/>
                <w:szCs w:val="21"/>
                <w:highlight w:val="none"/>
              </w:rPr>
              <w:t>4.2.6 相控阵探头：频率范围：2.0</w:t>
            </w:r>
            <w:r>
              <w:rPr>
                <w:rFonts w:hint="eastAsia" w:ascii="宋体" w:hAnsi="宋体" w:cs="宋体"/>
                <w:color w:val="000000"/>
                <w:szCs w:val="21"/>
                <w:highlight w:val="none"/>
                <w:lang w:eastAsia="zh-CN"/>
              </w:rPr>
              <w:t>～</w:t>
            </w:r>
            <w:r>
              <w:rPr>
                <w:rFonts w:hint="eastAsia" w:ascii="宋体" w:hAnsi="宋体" w:cs="宋体"/>
                <w:color w:val="000000"/>
                <w:szCs w:val="21"/>
                <w:highlight w:val="none"/>
              </w:rPr>
              <w:t>6.0MHz，采用单晶体材料，支持切面厚度方向的多点连续聚焦功能，最大成像角度≥</w:t>
            </w:r>
            <w:r>
              <w:rPr>
                <w:rFonts w:hint="eastAsia" w:ascii="宋体" w:hAnsi="宋体" w:cs="宋体"/>
                <w:color w:val="000000"/>
                <w:szCs w:val="21"/>
                <w:highlight w:val="none"/>
                <w:lang w:val="en-US" w:eastAsia="zh-CN"/>
              </w:rPr>
              <w:t>9</w:t>
            </w:r>
            <w:r>
              <w:rPr>
                <w:rFonts w:hint="eastAsia" w:ascii="宋体" w:hAnsi="宋体" w:cs="宋体"/>
                <w:color w:val="000000"/>
                <w:szCs w:val="21"/>
                <w:highlight w:val="none"/>
              </w:rPr>
              <w:t>0°；</w:t>
            </w:r>
          </w:p>
          <w:p w14:paraId="234FBA30">
            <w:pPr>
              <w:spacing w:line="400" w:lineRule="exact"/>
              <w:rPr>
                <w:rFonts w:hint="eastAsia" w:ascii="宋体" w:hAnsi="宋体" w:cs="宋体"/>
                <w:color w:val="auto"/>
                <w:szCs w:val="21"/>
              </w:rPr>
            </w:pPr>
            <w:r>
              <w:rPr>
                <w:rFonts w:hint="eastAsia" w:ascii="宋体" w:hAnsi="宋体" w:cs="宋体"/>
                <w:color w:val="000000"/>
                <w:szCs w:val="21"/>
                <w:highlight w:val="none"/>
              </w:rPr>
              <w:t>4.2.7 凸阵探头：频率范围</w:t>
            </w:r>
            <w:r>
              <w:rPr>
                <w:rFonts w:hint="eastAsia" w:ascii="宋体" w:hAnsi="宋体" w:cs="宋体"/>
                <w:color w:val="auto"/>
                <w:szCs w:val="21"/>
              </w:rPr>
              <w:t>：1.0</w:t>
            </w:r>
            <w:r>
              <w:rPr>
                <w:rFonts w:hint="eastAsia" w:ascii="宋体" w:hAnsi="宋体" w:cs="宋体"/>
                <w:color w:val="auto"/>
                <w:szCs w:val="21"/>
                <w:lang w:eastAsia="zh-CN"/>
              </w:rPr>
              <w:t>～</w:t>
            </w:r>
            <w:r>
              <w:rPr>
                <w:rFonts w:hint="eastAsia" w:ascii="宋体" w:hAnsi="宋体" w:cs="宋体"/>
                <w:color w:val="auto"/>
                <w:szCs w:val="21"/>
              </w:rPr>
              <w:t>8.0MHz，采用单晶体材料，最大成像角度≥</w:t>
            </w:r>
            <w:r>
              <w:rPr>
                <w:rFonts w:ascii="宋体" w:hAnsi="宋体" w:cs="宋体"/>
                <w:color w:val="auto"/>
                <w:szCs w:val="21"/>
              </w:rPr>
              <w:t>110</w:t>
            </w:r>
            <w:r>
              <w:rPr>
                <w:rFonts w:hint="eastAsia" w:ascii="宋体" w:hAnsi="宋体" w:cs="宋体"/>
                <w:color w:val="auto"/>
                <w:szCs w:val="21"/>
              </w:rPr>
              <w:t>°；支持切面厚度方向的多点连续聚焦功能；</w:t>
            </w:r>
          </w:p>
          <w:p w14:paraId="798AD56B">
            <w:pPr>
              <w:spacing w:line="400" w:lineRule="exact"/>
              <w:rPr>
                <w:rFonts w:hint="eastAsia" w:ascii="宋体" w:hAnsi="宋体" w:cs="宋体"/>
                <w:szCs w:val="21"/>
              </w:rPr>
            </w:pPr>
            <w:r>
              <w:rPr>
                <w:rFonts w:hint="eastAsia" w:ascii="宋体" w:hAnsi="宋体" w:cs="宋体"/>
                <w:szCs w:val="21"/>
              </w:rPr>
              <w:t>4.2.8 线阵探头：频率范围：4.0</w:t>
            </w:r>
            <w:r>
              <w:rPr>
                <w:rFonts w:hint="eastAsia" w:ascii="宋体" w:hAnsi="宋体" w:cs="宋体"/>
                <w:szCs w:val="21"/>
                <w:lang w:eastAsia="zh-CN"/>
              </w:rPr>
              <w:t>～</w:t>
            </w:r>
            <w:r>
              <w:rPr>
                <w:rFonts w:hint="eastAsia" w:ascii="宋体" w:hAnsi="宋体" w:cs="宋体"/>
                <w:szCs w:val="21"/>
              </w:rPr>
              <w:t>18.0MHz，支持切面厚度方向的多点连续聚焦功能；</w:t>
            </w:r>
          </w:p>
          <w:p w14:paraId="1ADEEC2C">
            <w:pPr>
              <w:spacing w:line="400" w:lineRule="exact"/>
              <w:rPr>
                <w:rFonts w:hint="eastAsia" w:ascii="宋体" w:hAnsi="宋体" w:cs="宋体"/>
                <w:szCs w:val="21"/>
              </w:rPr>
            </w:pPr>
            <w:r>
              <w:rPr>
                <w:rFonts w:hint="eastAsia" w:ascii="宋体" w:hAnsi="宋体" w:cs="宋体"/>
                <w:szCs w:val="21"/>
              </w:rPr>
              <w:t>4.3 二维灰阶成像主要参数：</w:t>
            </w:r>
          </w:p>
          <w:p w14:paraId="522F2C7F">
            <w:pPr>
              <w:spacing w:line="400" w:lineRule="exact"/>
              <w:rPr>
                <w:rFonts w:hint="eastAsia" w:ascii="宋体" w:hAnsi="宋体" w:cs="宋体"/>
                <w:szCs w:val="21"/>
              </w:rPr>
            </w:pPr>
            <w:r>
              <w:rPr>
                <w:rFonts w:hint="eastAsia" w:ascii="宋体" w:hAnsi="宋体" w:cs="宋体"/>
                <w:szCs w:val="21"/>
              </w:rPr>
              <w:t>4.3.1 智能高密度波束形成器，数字式全程动态聚焦，数字式可变孔径及动态变迹；</w:t>
            </w:r>
          </w:p>
          <w:p w14:paraId="260024A2">
            <w:pPr>
              <w:spacing w:line="400" w:lineRule="exact"/>
              <w:rPr>
                <w:rFonts w:hint="eastAsia" w:ascii="宋体" w:hAnsi="宋体" w:cs="宋体"/>
                <w:szCs w:val="21"/>
              </w:rPr>
            </w:pPr>
            <w:r>
              <w:rPr>
                <w:rFonts w:hint="eastAsia" w:ascii="宋体" w:hAnsi="宋体" w:cs="宋体"/>
                <w:szCs w:val="21"/>
              </w:rPr>
              <w:t>4.3.2 A/D≥14bit；</w:t>
            </w:r>
          </w:p>
          <w:p w14:paraId="08067E42">
            <w:pPr>
              <w:spacing w:line="400" w:lineRule="exact"/>
              <w:rPr>
                <w:rFonts w:hint="eastAsia" w:ascii="宋体" w:hAnsi="宋体" w:cs="宋体"/>
                <w:szCs w:val="21"/>
              </w:rPr>
            </w:pPr>
            <w:r>
              <w:rPr>
                <w:rFonts w:hint="eastAsia" w:ascii="宋体" w:hAnsi="宋体" w:cs="宋体"/>
                <w:szCs w:val="21"/>
              </w:rPr>
              <w:t>4.3.3 声束发射聚焦：发射≥8段；接收可连续聚焦；</w:t>
            </w:r>
          </w:p>
          <w:p w14:paraId="1B9EFB45">
            <w:pPr>
              <w:spacing w:line="400" w:lineRule="exact"/>
              <w:rPr>
                <w:rFonts w:hint="eastAsia" w:ascii="宋体" w:hAnsi="宋体" w:cs="宋体"/>
                <w:szCs w:val="21"/>
              </w:rPr>
            </w:pPr>
            <w:r>
              <w:rPr>
                <w:rFonts w:hint="eastAsia" w:ascii="宋体" w:hAnsi="宋体" w:cs="宋体"/>
                <w:szCs w:val="21"/>
              </w:rPr>
              <w:t>4.3.4 并行多倍信号接收技术，接收信号的方向≥64个；</w:t>
            </w:r>
          </w:p>
          <w:p w14:paraId="00290547">
            <w:pPr>
              <w:spacing w:line="400" w:lineRule="exact"/>
              <w:rPr>
                <w:rFonts w:hint="eastAsia" w:ascii="宋体" w:hAnsi="宋体" w:cs="宋体"/>
                <w:szCs w:val="21"/>
              </w:rPr>
            </w:pPr>
            <w:r>
              <w:rPr>
                <w:rFonts w:hint="eastAsia" w:ascii="宋体" w:hAnsi="宋体" w:cs="宋体"/>
                <w:szCs w:val="21"/>
              </w:rPr>
              <w:t>4.3.5 扫描线：最大每帧线密度≥500超声线（线阵探头）；</w:t>
            </w:r>
          </w:p>
          <w:p w14:paraId="7D753D2B">
            <w:pPr>
              <w:spacing w:line="400" w:lineRule="exact"/>
              <w:rPr>
                <w:rFonts w:hint="eastAsia" w:ascii="宋体" w:hAnsi="宋体" w:cs="宋体"/>
                <w:szCs w:val="21"/>
              </w:rPr>
            </w:pPr>
            <w:r>
              <w:rPr>
                <w:rFonts w:hint="eastAsia" w:ascii="宋体" w:hAnsi="宋体" w:cs="宋体"/>
                <w:szCs w:val="21"/>
              </w:rPr>
              <w:t>4.3.6回放重现：灰阶图像回放≥9900幅，回放时间≥180秒；</w:t>
            </w:r>
          </w:p>
          <w:p w14:paraId="7AC02C41">
            <w:pPr>
              <w:spacing w:line="400" w:lineRule="exact"/>
              <w:rPr>
                <w:rFonts w:hint="eastAsia" w:ascii="宋体" w:hAnsi="宋体" w:cs="宋体"/>
                <w:szCs w:val="21"/>
              </w:rPr>
            </w:pPr>
            <w:r>
              <w:rPr>
                <w:rFonts w:hint="eastAsia" w:ascii="宋体" w:hAnsi="宋体" w:cs="宋体"/>
                <w:szCs w:val="21"/>
              </w:rPr>
              <w:t>4.3.7 增益调节：具备纵向增益补偿功能STC（DGC），支持对二维图像不同深度的增益进行分段调节，分段≥8；横向增益可进行调节，分段≥6；</w:t>
            </w:r>
          </w:p>
          <w:p w14:paraId="7A87444B">
            <w:pPr>
              <w:spacing w:line="400" w:lineRule="exact"/>
              <w:rPr>
                <w:rFonts w:hint="eastAsia" w:ascii="宋体" w:hAnsi="宋体" w:cs="宋体"/>
                <w:szCs w:val="21"/>
              </w:rPr>
            </w:pPr>
            <w:r>
              <w:rPr>
                <w:rFonts w:hint="eastAsia" w:ascii="宋体" w:hAnsi="宋体" w:cs="宋体"/>
                <w:szCs w:val="21"/>
              </w:rPr>
              <w:t>4.4 频谱多普勒：</w:t>
            </w:r>
          </w:p>
          <w:p w14:paraId="60326492">
            <w:pPr>
              <w:spacing w:line="400" w:lineRule="exact"/>
              <w:rPr>
                <w:rFonts w:hint="eastAsia" w:ascii="宋体" w:hAnsi="宋体" w:eastAsia="宋体" w:cs="宋体"/>
                <w:szCs w:val="21"/>
                <w:lang w:eastAsia="zh-CN"/>
              </w:rPr>
            </w:pPr>
            <w:r>
              <w:rPr>
                <w:rFonts w:hint="eastAsia" w:ascii="宋体" w:hAnsi="宋体" w:cs="宋体"/>
                <w:szCs w:val="21"/>
              </w:rPr>
              <w:t xml:space="preserve">4.4.1 方式： PWD、HPRF PWD、CWD </w:t>
            </w:r>
            <w:r>
              <w:rPr>
                <w:rFonts w:hint="eastAsia" w:ascii="宋体" w:hAnsi="宋体" w:cs="宋体"/>
                <w:szCs w:val="21"/>
                <w:lang w:eastAsia="zh-CN"/>
              </w:rPr>
              <w:t>；</w:t>
            </w:r>
          </w:p>
          <w:p w14:paraId="011AAACA">
            <w:pPr>
              <w:spacing w:line="400" w:lineRule="exact"/>
              <w:rPr>
                <w:rFonts w:hint="eastAsia" w:ascii="宋体" w:hAnsi="宋体" w:eastAsia="宋体" w:cs="宋体"/>
                <w:szCs w:val="21"/>
                <w:lang w:eastAsia="zh-CN"/>
              </w:rPr>
            </w:pPr>
            <w:r>
              <w:rPr>
                <w:rFonts w:hint="eastAsia" w:ascii="宋体" w:hAnsi="宋体" w:cs="宋体"/>
                <w:szCs w:val="21"/>
              </w:rPr>
              <w:t>4.4.2 频谱显示具有自动包络、智能化显示功能</w:t>
            </w:r>
            <w:r>
              <w:rPr>
                <w:rFonts w:hint="eastAsia" w:ascii="宋体" w:hAnsi="宋体" w:cs="宋体"/>
                <w:szCs w:val="21"/>
                <w:lang w:eastAsia="zh-CN"/>
              </w:rPr>
              <w:t>；</w:t>
            </w:r>
          </w:p>
          <w:p w14:paraId="35521423">
            <w:pPr>
              <w:spacing w:line="400" w:lineRule="exact"/>
              <w:rPr>
                <w:rFonts w:hint="eastAsia" w:ascii="宋体" w:hAnsi="宋体" w:eastAsia="宋体" w:cs="宋体"/>
                <w:szCs w:val="21"/>
                <w:lang w:eastAsia="zh-CN"/>
              </w:rPr>
            </w:pPr>
            <w:r>
              <w:rPr>
                <w:rFonts w:hint="eastAsia" w:ascii="宋体" w:hAnsi="宋体" w:cs="宋体"/>
                <w:szCs w:val="21"/>
              </w:rPr>
              <w:t>4.4.3 智能多普勒优化功能，可根据多普勒取样位置自动聚焦，多普勒标尺及基线可自动调节</w:t>
            </w:r>
            <w:r>
              <w:rPr>
                <w:rFonts w:hint="eastAsia" w:ascii="宋体" w:hAnsi="宋体" w:cs="宋体"/>
                <w:szCs w:val="21"/>
                <w:lang w:eastAsia="zh-CN"/>
              </w:rPr>
              <w:t>；</w:t>
            </w:r>
          </w:p>
          <w:p w14:paraId="3DB288D8">
            <w:pPr>
              <w:spacing w:line="400" w:lineRule="exact"/>
              <w:rPr>
                <w:rFonts w:hint="eastAsia" w:ascii="宋体" w:hAnsi="宋体" w:cs="宋体"/>
                <w:szCs w:val="21"/>
              </w:rPr>
            </w:pPr>
            <w:r>
              <w:rPr>
                <w:rFonts w:hint="eastAsia" w:ascii="宋体" w:hAnsi="宋体" w:cs="宋体"/>
                <w:szCs w:val="21"/>
              </w:rPr>
              <w:t>4.4.4 最大可测量速度：PWD：最大血流速度≥17.0m/s</w:t>
            </w:r>
          </w:p>
          <w:p w14:paraId="2FA97452">
            <w:pPr>
              <w:spacing w:line="400" w:lineRule="exact"/>
              <w:rPr>
                <w:rFonts w:hint="eastAsia" w:ascii="宋体" w:hAnsi="宋体" w:cs="宋体"/>
                <w:szCs w:val="21"/>
              </w:rPr>
            </w:pPr>
            <w:r>
              <w:rPr>
                <w:rFonts w:hint="eastAsia" w:ascii="宋体" w:hAnsi="宋体" w:cs="宋体"/>
                <w:szCs w:val="21"/>
              </w:rPr>
              <w:t xml:space="preserve">                     CWD：最大血流速度≥22.0m/s              </w:t>
            </w:r>
          </w:p>
          <w:p w14:paraId="6CCC6FE3">
            <w:pPr>
              <w:spacing w:line="400" w:lineRule="exact"/>
              <w:rPr>
                <w:rFonts w:hint="eastAsia" w:ascii="宋体" w:hAnsi="宋体" w:cs="宋体"/>
                <w:szCs w:val="21"/>
              </w:rPr>
            </w:pPr>
            <w:r>
              <w:rPr>
                <w:rFonts w:hint="eastAsia" w:ascii="宋体" w:hAnsi="宋体" w:cs="宋体"/>
                <w:szCs w:val="21"/>
              </w:rPr>
              <w:t>4.4.5 最低测量速度：≤0.1cm/s，且信号应可经壁滤波、能量阙值或频谱包络确认为有效血流速度；</w:t>
            </w:r>
          </w:p>
          <w:p w14:paraId="58C1E103">
            <w:pPr>
              <w:spacing w:line="400" w:lineRule="exact"/>
              <w:rPr>
                <w:rFonts w:hint="eastAsia" w:ascii="宋体" w:hAnsi="宋体" w:eastAsia="宋体" w:cs="宋体"/>
                <w:szCs w:val="21"/>
                <w:lang w:eastAsia="zh-CN"/>
              </w:rPr>
            </w:pPr>
            <w:r>
              <w:rPr>
                <w:rFonts w:hint="eastAsia" w:ascii="宋体" w:hAnsi="宋体" w:cs="宋体"/>
                <w:szCs w:val="21"/>
              </w:rPr>
              <w:t>4.4.6 电影回放时间：≥210秒</w:t>
            </w:r>
            <w:r>
              <w:rPr>
                <w:rFonts w:hint="eastAsia" w:ascii="宋体" w:hAnsi="宋体" w:cs="宋体"/>
                <w:szCs w:val="21"/>
                <w:lang w:eastAsia="zh-CN"/>
              </w:rPr>
              <w:t>；</w:t>
            </w:r>
          </w:p>
          <w:p w14:paraId="5F15A11E">
            <w:pPr>
              <w:spacing w:line="400" w:lineRule="exact"/>
              <w:rPr>
                <w:rFonts w:hint="eastAsia" w:ascii="宋体" w:hAnsi="宋体" w:cs="宋体"/>
                <w:color w:val="auto"/>
                <w:szCs w:val="21"/>
              </w:rPr>
            </w:pPr>
            <w:r>
              <w:rPr>
                <w:rFonts w:hint="eastAsia" w:ascii="宋体" w:hAnsi="宋体" w:eastAsia="宋体" w:cs="宋体"/>
                <w:bCs/>
                <w:color w:val="auto"/>
                <w:sz w:val="21"/>
                <w:szCs w:val="21"/>
                <w:highlight w:val="none"/>
              </w:rPr>
              <w:t>●</w:t>
            </w:r>
            <w:r>
              <w:rPr>
                <w:rFonts w:hint="eastAsia" w:ascii="宋体" w:hAnsi="宋体" w:cs="宋体"/>
                <w:color w:val="auto"/>
                <w:szCs w:val="21"/>
              </w:rPr>
              <w:t>4.4.7 取样宽度及位置范围：宽度0.</w:t>
            </w:r>
            <w:r>
              <w:rPr>
                <w:rFonts w:ascii="宋体" w:hAnsi="宋体" w:cs="宋体"/>
                <w:color w:val="auto"/>
                <w:szCs w:val="21"/>
              </w:rPr>
              <w:t>4</w:t>
            </w:r>
            <w:r>
              <w:rPr>
                <w:rFonts w:hint="eastAsia" w:ascii="宋体" w:hAnsi="宋体" w:cs="宋体"/>
                <w:color w:val="auto"/>
                <w:szCs w:val="21"/>
              </w:rPr>
              <w:t>mm至</w:t>
            </w:r>
            <w:r>
              <w:rPr>
                <w:rFonts w:ascii="宋体" w:hAnsi="宋体" w:cs="宋体"/>
                <w:color w:val="auto"/>
                <w:szCs w:val="21"/>
              </w:rPr>
              <w:t>18</w:t>
            </w:r>
            <w:r>
              <w:rPr>
                <w:rFonts w:hint="eastAsia" w:ascii="宋体" w:hAnsi="宋体" w:cs="宋体"/>
                <w:color w:val="auto"/>
                <w:szCs w:val="21"/>
              </w:rPr>
              <w:t>mm；支持连续可调或多级调节；</w:t>
            </w:r>
          </w:p>
          <w:p w14:paraId="2EE0F4DA">
            <w:pPr>
              <w:spacing w:line="400" w:lineRule="exact"/>
              <w:rPr>
                <w:rFonts w:hint="eastAsia" w:ascii="宋体" w:hAnsi="宋体" w:cs="宋体"/>
                <w:szCs w:val="21"/>
              </w:rPr>
            </w:pPr>
            <w:r>
              <w:rPr>
                <w:rFonts w:hint="eastAsia" w:ascii="宋体" w:hAnsi="宋体" w:cs="宋体"/>
                <w:szCs w:val="21"/>
              </w:rPr>
              <w:t>4.5 彩色多普勒：</w:t>
            </w:r>
          </w:p>
          <w:p w14:paraId="31492DF3">
            <w:pPr>
              <w:spacing w:line="400" w:lineRule="exact"/>
              <w:rPr>
                <w:rFonts w:hint="eastAsia" w:ascii="宋体" w:hAnsi="宋体" w:eastAsia="宋体" w:cs="宋体"/>
                <w:szCs w:val="21"/>
                <w:lang w:eastAsia="zh-CN"/>
              </w:rPr>
            </w:pPr>
            <w:r>
              <w:rPr>
                <w:rFonts w:hint="eastAsia" w:ascii="宋体" w:hAnsi="宋体" w:cs="宋体"/>
                <w:szCs w:val="21"/>
              </w:rPr>
              <w:t>4.5.1 显示方式：速度方差、能量、速度、二维图像/频谱多普勒/彩色血流成像三同步显示</w:t>
            </w:r>
            <w:r>
              <w:rPr>
                <w:rFonts w:hint="eastAsia" w:ascii="宋体" w:hAnsi="宋体" w:cs="宋体"/>
                <w:szCs w:val="21"/>
                <w:lang w:eastAsia="zh-CN"/>
              </w:rPr>
              <w:t>；</w:t>
            </w:r>
          </w:p>
          <w:p w14:paraId="1B38D7B8">
            <w:pPr>
              <w:spacing w:line="400" w:lineRule="exact"/>
              <w:rPr>
                <w:rFonts w:hint="eastAsia" w:ascii="宋体" w:hAnsi="宋体" w:eastAsia="宋体" w:cs="宋体"/>
                <w:szCs w:val="21"/>
                <w:lang w:eastAsia="zh-CN"/>
              </w:rPr>
            </w:pPr>
            <w:r>
              <w:rPr>
                <w:rFonts w:hint="eastAsia" w:ascii="宋体" w:hAnsi="宋体" w:cs="宋体"/>
                <w:szCs w:val="21"/>
              </w:rPr>
              <w:t>4.5.2  彩色增强功能：组织多普勒成像，方向性能量图，高级动态血流成像，超微血流成像</w:t>
            </w:r>
            <w:r>
              <w:rPr>
                <w:rFonts w:hint="eastAsia" w:ascii="宋体" w:hAnsi="宋体" w:cs="宋体"/>
                <w:szCs w:val="21"/>
                <w:lang w:eastAsia="zh-CN"/>
              </w:rPr>
              <w:t>；</w:t>
            </w:r>
          </w:p>
          <w:p w14:paraId="2AE7E180">
            <w:pPr>
              <w:spacing w:line="400" w:lineRule="exact"/>
              <w:rPr>
                <w:rFonts w:hint="eastAsia" w:ascii="宋体" w:hAnsi="宋体" w:eastAsia="宋体" w:cs="宋体"/>
                <w:szCs w:val="21"/>
                <w:lang w:eastAsia="zh-CN"/>
              </w:rPr>
            </w:pPr>
            <w:r>
              <w:rPr>
                <w:rFonts w:hint="eastAsia" w:ascii="宋体" w:hAnsi="宋体" w:cs="宋体"/>
                <w:szCs w:val="21"/>
              </w:rPr>
              <w:t>4.5.3 彩色和二维/频谱多普勒可独立变频</w:t>
            </w:r>
            <w:r>
              <w:rPr>
                <w:rFonts w:hint="eastAsia" w:ascii="宋体" w:hAnsi="宋体" w:cs="宋体"/>
                <w:szCs w:val="21"/>
                <w:lang w:eastAsia="zh-CN"/>
              </w:rPr>
              <w:t>；</w:t>
            </w:r>
          </w:p>
          <w:p w14:paraId="17447F61">
            <w:pPr>
              <w:spacing w:line="400" w:lineRule="exact"/>
              <w:rPr>
                <w:rFonts w:hint="eastAsia" w:ascii="宋体" w:hAnsi="宋体" w:cs="宋体"/>
                <w:szCs w:val="21"/>
              </w:rPr>
            </w:pPr>
            <w:r>
              <w:rPr>
                <w:rFonts w:hint="eastAsia" w:ascii="宋体" w:hAnsi="宋体" w:cs="宋体"/>
                <w:szCs w:val="21"/>
              </w:rPr>
              <w:t>4.5.4 支持显示位置调整，图像显示区域支持多角度偏转调节，偏转角度范围不低于±</w:t>
            </w:r>
            <w:r>
              <w:rPr>
                <w:rFonts w:ascii="宋体" w:hAnsi="宋体" w:cs="宋体"/>
                <w:sz w:val="24"/>
              </w:rPr>
              <w:t>3</w:t>
            </w:r>
            <w:r>
              <w:rPr>
                <w:rFonts w:hint="eastAsia" w:ascii="宋体" w:hAnsi="宋体" w:cs="宋体"/>
                <w:sz w:val="24"/>
              </w:rPr>
              <w:t>0°</w:t>
            </w:r>
            <w:r>
              <w:rPr>
                <w:rFonts w:hint="eastAsia" w:ascii="宋体" w:hAnsi="宋体" w:cs="宋体"/>
                <w:szCs w:val="21"/>
              </w:rPr>
              <w:t>；</w:t>
            </w:r>
          </w:p>
          <w:p w14:paraId="33CEF524">
            <w:pPr>
              <w:spacing w:line="400" w:lineRule="exact"/>
              <w:rPr>
                <w:rFonts w:hint="eastAsia" w:ascii="宋体" w:hAnsi="宋体" w:eastAsia="宋体" w:cs="宋体"/>
                <w:szCs w:val="21"/>
                <w:lang w:eastAsia="zh-CN"/>
              </w:rPr>
            </w:pPr>
            <w:r>
              <w:rPr>
                <w:rFonts w:hint="eastAsia" w:ascii="宋体" w:hAnsi="宋体" w:cs="宋体"/>
                <w:szCs w:val="21"/>
              </w:rPr>
              <w:t>4.5.5 显示控制：零位移动分级可调、黑/白与彩色比较、彩色对比</w:t>
            </w:r>
            <w:r>
              <w:rPr>
                <w:rFonts w:hint="eastAsia" w:ascii="宋体" w:hAnsi="宋体" w:cs="宋体"/>
                <w:szCs w:val="21"/>
                <w:lang w:eastAsia="zh-CN"/>
              </w:rPr>
              <w:t>；</w:t>
            </w:r>
          </w:p>
          <w:p w14:paraId="7955CDDF">
            <w:pPr>
              <w:spacing w:line="400" w:lineRule="exact"/>
              <w:rPr>
                <w:rFonts w:hint="eastAsia" w:ascii="宋体" w:hAnsi="宋体" w:cs="宋体"/>
                <w:szCs w:val="21"/>
              </w:rPr>
            </w:pPr>
            <w:r>
              <w:rPr>
                <w:rFonts w:hint="eastAsia" w:ascii="宋体" w:hAnsi="宋体" w:cs="宋体"/>
                <w:szCs w:val="21"/>
              </w:rPr>
              <w:t>4.5.6彩色显示速度：最低平均血流测量速度≤2mm/s；</w:t>
            </w:r>
          </w:p>
          <w:p w14:paraId="642C261A">
            <w:pPr>
              <w:spacing w:line="400" w:lineRule="exact"/>
              <w:rPr>
                <w:rFonts w:hint="eastAsia" w:ascii="宋体" w:hAnsi="宋体" w:cs="宋体"/>
                <w:szCs w:val="21"/>
              </w:rPr>
            </w:pPr>
            <w:r>
              <w:rPr>
                <w:rFonts w:hint="eastAsia" w:ascii="宋体" w:hAnsi="宋体" w:cs="宋体"/>
                <w:szCs w:val="21"/>
              </w:rPr>
              <w:t>4.5.7 具有高分辨率的彩色血流成像能力，最小血管空间分辨率≤0.5mm；</w:t>
            </w:r>
          </w:p>
          <w:p w14:paraId="591D48B3">
            <w:pPr>
              <w:spacing w:line="400" w:lineRule="exact"/>
              <w:rPr>
                <w:rFonts w:hint="eastAsia" w:ascii="宋体" w:hAnsi="宋体" w:eastAsia="宋体" w:cs="宋体"/>
                <w:szCs w:val="21"/>
                <w:lang w:eastAsia="zh-CN"/>
              </w:rPr>
            </w:pPr>
            <w:r>
              <w:rPr>
                <w:rFonts w:hint="eastAsia" w:ascii="宋体" w:hAnsi="宋体" w:cs="宋体"/>
                <w:szCs w:val="21"/>
              </w:rPr>
              <w:t>4.6 超声功率输出调节：B/M、PWD、CWD、彩色多普勒输出功率可调</w:t>
            </w:r>
            <w:r>
              <w:rPr>
                <w:rFonts w:hint="eastAsia" w:ascii="宋体" w:hAnsi="宋体" w:cs="宋体"/>
                <w:szCs w:val="21"/>
                <w:lang w:eastAsia="zh-CN"/>
              </w:rPr>
              <w:t>。</w:t>
            </w:r>
          </w:p>
          <w:p w14:paraId="2E49B31C">
            <w:pPr>
              <w:spacing w:line="400" w:lineRule="exact"/>
              <w:rPr>
                <w:rFonts w:hint="eastAsia" w:ascii="宋体" w:hAnsi="宋体" w:cs="宋体"/>
                <w:b/>
                <w:bCs/>
                <w:color w:val="auto"/>
                <w:szCs w:val="21"/>
              </w:rPr>
            </w:pPr>
            <w:r>
              <w:rPr>
                <w:rFonts w:hint="eastAsia" w:ascii="宋体" w:hAnsi="宋体" w:cs="宋体"/>
                <w:b/>
                <w:bCs/>
                <w:color w:val="auto"/>
                <w:szCs w:val="21"/>
                <w:lang w:val="en-US" w:eastAsia="zh-CN"/>
              </w:rPr>
              <w:t>5、</w:t>
            </w:r>
            <w:r>
              <w:rPr>
                <w:rFonts w:hint="eastAsia" w:ascii="宋体" w:hAnsi="宋体" w:cs="宋体"/>
                <w:b/>
                <w:bCs/>
                <w:color w:val="auto"/>
                <w:szCs w:val="21"/>
              </w:rPr>
              <w:t>设备配置清单</w:t>
            </w:r>
            <w:r>
              <w:rPr>
                <w:rFonts w:hint="eastAsia" w:ascii="宋体" w:hAnsi="宋体" w:cs="宋体"/>
                <w:b/>
                <w:bCs/>
                <w:color w:val="auto"/>
                <w:szCs w:val="21"/>
                <w:lang w:val="en-US" w:eastAsia="zh-CN"/>
              </w:rPr>
              <w:t>至少包括</w:t>
            </w:r>
            <w:r>
              <w:rPr>
                <w:rFonts w:hint="eastAsia" w:ascii="宋体" w:hAnsi="宋体" w:cs="宋体"/>
                <w:b/>
                <w:bCs/>
                <w:color w:val="auto"/>
                <w:szCs w:val="21"/>
              </w:rPr>
              <w:t>：</w:t>
            </w:r>
          </w:p>
          <w:p w14:paraId="5CE252EC">
            <w:pPr>
              <w:spacing w:line="400" w:lineRule="exact"/>
              <w:rPr>
                <w:rFonts w:hint="eastAsia" w:ascii="宋体" w:hAnsi="宋体" w:cs="宋体"/>
                <w:color w:val="auto"/>
                <w:szCs w:val="21"/>
              </w:rPr>
            </w:pPr>
            <w:r>
              <w:rPr>
                <w:rFonts w:hint="eastAsia" w:ascii="宋体" w:hAnsi="宋体" w:cs="宋体"/>
                <w:color w:val="auto"/>
                <w:szCs w:val="21"/>
                <w:lang w:eastAsia="zh-CN"/>
              </w:rPr>
              <w:t>（</w:t>
            </w:r>
            <w:r>
              <w:rPr>
                <w:rFonts w:hint="eastAsia" w:ascii="宋体" w:hAnsi="宋体" w:cs="宋体"/>
                <w:color w:val="auto"/>
                <w:szCs w:val="21"/>
              </w:rPr>
              <w:t>1</w:t>
            </w:r>
            <w:r>
              <w:rPr>
                <w:rFonts w:hint="eastAsia" w:ascii="宋体" w:hAnsi="宋体" w:cs="宋体"/>
                <w:color w:val="auto"/>
                <w:szCs w:val="21"/>
                <w:lang w:eastAsia="zh-CN"/>
              </w:rPr>
              <w:t>）</w:t>
            </w:r>
            <w:r>
              <w:rPr>
                <w:rFonts w:hint="eastAsia" w:ascii="宋体" w:hAnsi="宋体" w:cs="宋体"/>
                <w:color w:val="auto"/>
                <w:szCs w:val="21"/>
              </w:rPr>
              <w:t>数字化超声主机</w:t>
            </w:r>
            <w:r>
              <w:rPr>
                <w:rFonts w:hint="eastAsia" w:ascii="宋体" w:hAnsi="宋体" w:cs="宋体"/>
                <w:color w:val="auto"/>
                <w:szCs w:val="21"/>
                <w:lang w:val="en-US" w:eastAsia="zh-CN"/>
              </w:rPr>
              <w:t xml:space="preserve"> 三</w:t>
            </w:r>
            <w:r>
              <w:rPr>
                <w:rFonts w:hint="eastAsia" w:ascii="宋体" w:hAnsi="宋体" w:cs="宋体"/>
                <w:color w:val="auto"/>
                <w:szCs w:val="21"/>
              </w:rPr>
              <w:t>台</w:t>
            </w:r>
          </w:p>
          <w:p w14:paraId="21BAA0B0">
            <w:pPr>
              <w:spacing w:line="400" w:lineRule="exact"/>
              <w:rPr>
                <w:rFonts w:hint="eastAsia" w:ascii="宋体" w:hAnsi="宋体" w:cs="宋体"/>
                <w:color w:val="auto"/>
                <w:szCs w:val="21"/>
              </w:rPr>
            </w:pPr>
            <w:r>
              <w:rPr>
                <w:rFonts w:hint="eastAsia" w:ascii="宋体" w:hAnsi="宋体" w:cs="宋体"/>
                <w:color w:val="auto"/>
                <w:szCs w:val="21"/>
                <w:lang w:eastAsia="zh-CN"/>
              </w:rPr>
              <w:t>（</w:t>
            </w:r>
            <w:r>
              <w:rPr>
                <w:rFonts w:hint="eastAsia" w:ascii="宋体" w:hAnsi="宋体" w:cs="宋体"/>
                <w:color w:val="auto"/>
                <w:szCs w:val="21"/>
              </w:rPr>
              <w:t>2</w:t>
            </w:r>
            <w:r>
              <w:rPr>
                <w:rFonts w:hint="eastAsia" w:ascii="宋体" w:hAnsi="宋体" w:cs="宋体"/>
                <w:color w:val="auto"/>
                <w:szCs w:val="21"/>
                <w:lang w:eastAsia="zh-CN"/>
              </w:rPr>
              <w:t>）</w:t>
            </w:r>
            <w:r>
              <w:rPr>
                <w:rFonts w:hint="eastAsia" w:ascii="宋体" w:hAnsi="宋体" w:cs="宋体"/>
                <w:color w:val="auto"/>
                <w:szCs w:val="21"/>
              </w:rPr>
              <w:t>心脏探头</w:t>
            </w:r>
            <w:r>
              <w:rPr>
                <w:rFonts w:hint="eastAsia" w:ascii="宋体" w:hAnsi="宋体" w:cs="宋体"/>
                <w:color w:val="auto"/>
                <w:szCs w:val="21"/>
                <w:lang w:val="en-US" w:eastAsia="zh-CN"/>
              </w:rPr>
              <w:t xml:space="preserve"> 三</w:t>
            </w:r>
            <w:r>
              <w:rPr>
                <w:rFonts w:hint="eastAsia" w:ascii="宋体" w:hAnsi="宋体" w:cs="宋体"/>
                <w:color w:val="auto"/>
                <w:szCs w:val="21"/>
              </w:rPr>
              <w:t>把</w:t>
            </w:r>
          </w:p>
          <w:p w14:paraId="70B19453">
            <w:pPr>
              <w:spacing w:line="400" w:lineRule="exact"/>
              <w:rPr>
                <w:rFonts w:hint="eastAsia" w:ascii="宋体" w:hAnsi="宋体" w:cs="宋体"/>
                <w:color w:val="auto"/>
                <w:szCs w:val="21"/>
              </w:rPr>
            </w:pPr>
            <w:r>
              <w:rPr>
                <w:rFonts w:hint="eastAsia" w:ascii="宋体" w:hAnsi="宋体" w:cs="宋体"/>
                <w:color w:val="auto"/>
                <w:szCs w:val="21"/>
                <w:lang w:eastAsia="zh-CN"/>
              </w:rPr>
              <w:t>（</w:t>
            </w:r>
            <w:r>
              <w:rPr>
                <w:rFonts w:hint="eastAsia" w:ascii="宋体" w:hAnsi="宋体" w:cs="宋体"/>
                <w:color w:val="auto"/>
                <w:szCs w:val="21"/>
              </w:rPr>
              <w:t>3</w:t>
            </w:r>
            <w:r>
              <w:rPr>
                <w:rFonts w:hint="eastAsia" w:ascii="宋体" w:hAnsi="宋体" w:cs="宋体"/>
                <w:color w:val="auto"/>
                <w:szCs w:val="21"/>
                <w:lang w:eastAsia="zh-CN"/>
              </w:rPr>
              <w:t>）</w:t>
            </w:r>
            <w:r>
              <w:rPr>
                <w:rFonts w:hint="eastAsia" w:ascii="宋体" w:hAnsi="宋体" w:cs="宋体"/>
                <w:color w:val="auto"/>
                <w:szCs w:val="21"/>
              </w:rPr>
              <w:t>浅表线阵探头</w:t>
            </w:r>
            <w:r>
              <w:rPr>
                <w:rFonts w:hint="eastAsia" w:ascii="宋体" w:hAnsi="宋体" w:cs="宋体"/>
                <w:color w:val="auto"/>
                <w:szCs w:val="21"/>
                <w:lang w:val="en-US" w:eastAsia="zh-CN"/>
              </w:rPr>
              <w:t xml:space="preserve"> 三</w:t>
            </w:r>
            <w:r>
              <w:rPr>
                <w:rFonts w:hint="eastAsia" w:ascii="宋体" w:hAnsi="宋体" w:cs="宋体"/>
                <w:color w:val="auto"/>
                <w:szCs w:val="21"/>
              </w:rPr>
              <w:t>把</w:t>
            </w:r>
          </w:p>
          <w:p w14:paraId="5D3E2B12">
            <w:pPr>
              <w:spacing w:line="400" w:lineRule="exact"/>
              <w:rPr>
                <w:rFonts w:hint="eastAsia" w:ascii="宋体" w:hAnsi="宋体" w:cs="宋体"/>
                <w:color w:val="auto"/>
                <w:szCs w:val="21"/>
              </w:rPr>
            </w:pPr>
            <w:r>
              <w:rPr>
                <w:rFonts w:hint="eastAsia" w:ascii="宋体" w:hAnsi="宋体" w:cs="宋体"/>
                <w:color w:val="auto"/>
                <w:szCs w:val="21"/>
                <w:lang w:eastAsia="zh-CN"/>
              </w:rPr>
              <w:t>（</w:t>
            </w:r>
            <w:r>
              <w:rPr>
                <w:rFonts w:hint="eastAsia" w:ascii="宋体" w:hAnsi="宋体" w:cs="宋体"/>
                <w:color w:val="auto"/>
                <w:szCs w:val="21"/>
              </w:rPr>
              <w:t>4</w:t>
            </w:r>
            <w:r>
              <w:rPr>
                <w:rFonts w:hint="eastAsia" w:ascii="宋体" w:hAnsi="宋体" w:cs="宋体"/>
                <w:color w:val="auto"/>
                <w:szCs w:val="21"/>
                <w:lang w:eastAsia="zh-CN"/>
              </w:rPr>
              <w:t>）</w:t>
            </w:r>
            <w:r>
              <w:rPr>
                <w:rFonts w:hint="eastAsia" w:ascii="宋体" w:hAnsi="宋体" w:cs="宋体"/>
                <w:color w:val="auto"/>
                <w:szCs w:val="21"/>
              </w:rPr>
              <w:t>腹部探头</w:t>
            </w:r>
            <w:r>
              <w:rPr>
                <w:rFonts w:hint="eastAsia" w:ascii="宋体" w:hAnsi="宋体" w:cs="宋体"/>
                <w:color w:val="auto"/>
                <w:szCs w:val="21"/>
                <w:lang w:val="en-US" w:eastAsia="zh-CN"/>
              </w:rPr>
              <w:t xml:space="preserve"> 三</w:t>
            </w:r>
            <w:r>
              <w:rPr>
                <w:rFonts w:hint="eastAsia" w:ascii="宋体" w:hAnsi="宋体" w:cs="宋体"/>
                <w:color w:val="auto"/>
                <w:szCs w:val="21"/>
              </w:rPr>
              <w:t>把</w:t>
            </w:r>
          </w:p>
          <w:p w14:paraId="0E93680B">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eastAsia" w:ascii="宋体" w:hAnsi="宋体" w:cs="宋体"/>
                <w:b w:val="0"/>
                <w:bCs w:val="0"/>
                <w:color w:val="auto"/>
                <w:sz w:val="21"/>
                <w:szCs w:val="21"/>
                <w:highlight w:val="none"/>
                <w:u w:val="none"/>
                <w:vertAlign w:val="baseline"/>
                <w:lang w:val="en-US" w:eastAsia="zh-CN"/>
              </w:rPr>
            </w:pPr>
            <w:r>
              <w:rPr>
                <w:rFonts w:hint="eastAsia" w:ascii="宋体" w:hAnsi="宋体" w:cs="宋体"/>
                <w:b w:val="0"/>
                <w:bCs w:val="0"/>
                <w:color w:val="auto"/>
                <w:sz w:val="21"/>
                <w:szCs w:val="21"/>
                <w:highlight w:val="none"/>
                <w:u w:val="none"/>
                <w:vertAlign w:val="baseline"/>
                <w:lang w:val="en-US" w:eastAsia="zh-CN"/>
              </w:rPr>
              <w:t>（5）工作站三套</w:t>
            </w:r>
          </w:p>
          <w:p w14:paraId="22CB7F0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default" w:ascii="宋体" w:hAnsi="宋体" w:cs="宋体"/>
                <w:b w:val="0"/>
                <w:bCs w:val="0"/>
                <w:color w:val="auto"/>
                <w:sz w:val="21"/>
                <w:szCs w:val="21"/>
                <w:highlight w:val="none"/>
                <w:u w:val="none"/>
                <w:vertAlign w:val="baseline"/>
                <w:lang w:val="en-US" w:eastAsia="zh-CN"/>
              </w:rPr>
            </w:pPr>
            <w:r>
              <w:rPr>
                <w:rFonts w:hint="eastAsia" w:ascii="宋体" w:hAnsi="宋体" w:cs="宋体"/>
                <w:b w:val="0"/>
                <w:bCs w:val="0"/>
                <w:color w:val="auto"/>
                <w:sz w:val="21"/>
                <w:szCs w:val="21"/>
                <w:highlight w:val="none"/>
                <w:u w:val="none"/>
                <w:vertAlign w:val="baseline"/>
                <w:lang w:val="en-US" w:eastAsia="zh-CN"/>
              </w:rPr>
              <w:t>（6）高清采集卡三张</w:t>
            </w:r>
          </w:p>
          <w:p w14:paraId="0869C8C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default" w:ascii="宋体" w:hAnsi="宋体" w:cs="宋体"/>
                <w:b w:val="0"/>
                <w:bCs w:val="0"/>
                <w:color w:val="auto"/>
                <w:sz w:val="21"/>
                <w:szCs w:val="21"/>
                <w:highlight w:val="none"/>
                <w:u w:val="none"/>
                <w:vertAlign w:val="baseline"/>
                <w:lang w:val="en-US" w:eastAsia="zh-CN"/>
              </w:rPr>
            </w:pPr>
            <w:r>
              <w:rPr>
                <w:rFonts w:hint="eastAsia" w:ascii="宋体" w:hAnsi="宋体" w:cs="宋体"/>
                <w:b w:val="0"/>
                <w:bCs w:val="0"/>
                <w:color w:val="auto"/>
                <w:sz w:val="21"/>
                <w:szCs w:val="21"/>
                <w:highlight w:val="none"/>
                <w:u w:val="none"/>
                <w:vertAlign w:val="baseline"/>
                <w:lang w:val="en-US" w:eastAsia="zh-CN"/>
              </w:rPr>
              <w:t>（7）超声检测床（椅）三套</w:t>
            </w:r>
          </w:p>
          <w:p w14:paraId="14D673A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eastAsia" w:ascii="宋体" w:hAnsi="宋体" w:cs="宋体"/>
                <w:b w:val="0"/>
                <w:bCs w:val="0"/>
                <w:color w:val="auto"/>
                <w:sz w:val="21"/>
                <w:szCs w:val="21"/>
                <w:highlight w:val="none"/>
                <w:u w:val="none"/>
                <w:vertAlign w:val="baseline"/>
                <w:lang w:val="en-US" w:eastAsia="zh-CN"/>
              </w:rPr>
            </w:pPr>
            <w:r>
              <w:rPr>
                <w:rFonts w:hint="eastAsia" w:ascii="宋体" w:hAnsi="宋体" w:cs="宋体"/>
                <w:b w:val="0"/>
                <w:bCs w:val="0"/>
                <w:color w:val="auto"/>
                <w:sz w:val="21"/>
                <w:szCs w:val="21"/>
                <w:highlight w:val="none"/>
                <w:u w:val="none"/>
                <w:vertAlign w:val="baseline"/>
                <w:lang w:val="en-US" w:eastAsia="zh-CN"/>
              </w:rPr>
              <w:t>（8）经腔探头二把</w:t>
            </w:r>
          </w:p>
          <w:p w14:paraId="4EF9084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default" w:ascii="宋体" w:hAnsi="宋体" w:cs="宋体"/>
                <w:b w:val="0"/>
                <w:bCs w:val="0"/>
                <w:color w:val="auto"/>
                <w:sz w:val="21"/>
                <w:szCs w:val="21"/>
                <w:highlight w:val="none"/>
                <w:u w:val="none"/>
                <w:vertAlign w:val="baseline"/>
                <w:lang w:val="en-US" w:eastAsia="zh-CN"/>
              </w:rPr>
            </w:pPr>
            <w:r>
              <w:rPr>
                <w:rFonts w:hint="eastAsia" w:ascii="宋体" w:hAnsi="宋体" w:cs="宋体"/>
                <w:b w:val="0"/>
                <w:bCs w:val="0"/>
                <w:color w:val="auto"/>
                <w:sz w:val="21"/>
                <w:szCs w:val="21"/>
                <w:highlight w:val="none"/>
                <w:u w:val="none"/>
                <w:vertAlign w:val="baseline"/>
                <w:lang w:val="en-US" w:eastAsia="zh-CN"/>
              </w:rPr>
              <w:t>（9）AI系统一套</w:t>
            </w:r>
          </w:p>
        </w:tc>
        <w:tc>
          <w:tcPr>
            <w:tcW w:w="1118" w:type="dxa"/>
            <w:tcBorders>
              <w:top w:val="single" w:color="auto" w:sz="4" w:space="0"/>
              <w:left w:val="single" w:color="auto" w:sz="4" w:space="0"/>
              <w:right w:val="single" w:color="auto" w:sz="4" w:space="0"/>
            </w:tcBorders>
            <w:noWrap w:val="0"/>
            <w:vAlign w:val="center"/>
          </w:tcPr>
          <w:p w14:paraId="7BAE1FB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 xml:space="preserve">5520000 </w:t>
            </w:r>
          </w:p>
        </w:tc>
      </w:tr>
    </w:tbl>
    <w:p w14:paraId="6D611ADC">
      <w:pPr>
        <w:rPr>
          <w:rFonts w:hint="default"/>
          <w:color w:val="auto"/>
          <w:highlight w:val="none"/>
          <w:lang w:val="en-US" w:eastAsia="zh-CN"/>
        </w:rPr>
      </w:pPr>
    </w:p>
    <w:p w14:paraId="6EB6AFF3">
      <w:pPr>
        <w:numPr>
          <w:ilvl w:val="0"/>
          <w:numId w:val="0"/>
        </w:numPr>
        <w:jc w:val="both"/>
        <w:rPr>
          <w:rFonts w:hint="eastAsia" w:ascii="Times New Roman" w:hAnsi="Times New Roman" w:eastAsia="宋体" w:cs="Times New Roman"/>
          <w:b/>
          <w:bCs/>
          <w:color w:val="auto"/>
          <w:kern w:val="2"/>
          <w:sz w:val="28"/>
          <w:szCs w:val="28"/>
          <w:lang w:val="en-US" w:eastAsia="zh-CN" w:bidi="ar-SA"/>
        </w:rPr>
      </w:pPr>
    </w:p>
    <w:p w14:paraId="2ED1A3E4">
      <w:pPr>
        <w:numPr>
          <w:ilvl w:val="0"/>
          <w:numId w:val="0"/>
        </w:numPr>
        <w:jc w:val="both"/>
        <w:rPr>
          <w:rFonts w:hint="eastAsia" w:ascii="Times New Roman" w:hAnsi="Times New Roman" w:eastAsia="宋体" w:cs="Times New Roman"/>
          <w:b/>
          <w:bCs/>
          <w:color w:val="auto"/>
          <w:kern w:val="2"/>
          <w:sz w:val="28"/>
          <w:szCs w:val="28"/>
          <w:lang w:val="en-US" w:eastAsia="zh-CN" w:bidi="ar-SA"/>
        </w:rPr>
      </w:pPr>
    </w:p>
    <w:p w14:paraId="0DFEBDAA">
      <w:pPr>
        <w:numPr>
          <w:ilvl w:val="0"/>
          <w:numId w:val="0"/>
        </w:numPr>
        <w:jc w:val="both"/>
        <w:rPr>
          <w:rFonts w:hint="eastAsia" w:ascii="Times New Roman" w:hAnsi="Times New Roman" w:eastAsia="宋体" w:cs="Times New Roman"/>
          <w:b/>
          <w:bCs/>
          <w:color w:val="auto"/>
          <w:kern w:val="2"/>
          <w:sz w:val="28"/>
          <w:szCs w:val="28"/>
          <w:lang w:val="en-US" w:eastAsia="zh-CN" w:bidi="ar-SA"/>
        </w:rPr>
      </w:pPr>
    </w:p>
    <w:p w14:paraId="12008D2C">
      <w:pPr>
        <w:numPr>
          <w:ilvl w:val="0"/>
          <w:numId w:val="0"/>
        </w:numPr>
        <w:jc w:val="both"/>
        <w:rPr>
          <w:rFonts w:hint="eastAsia" w:ascii="Times New Roman" w:hAnsi="Times New Roman" w:eastAsia="宋体" w:cs="Times New Roman"/>
          <w:b/>
          <w:bCs/>
          <w:color w:val="auto"/>
          <w:kern w:val="2"/>
          <w:sz w:val="28"/>
          <w:szCs w:val="28"/>
          <w:lang w:val="en-US" w:eastAsia="zh-CN" w:bidi="ar-SA"/>
        </w:rPr>
      </w:pPr>
    </w:p>
    <w:p w14:paraId="7814573C">
      <w:pPr>
        <w:numPr>
          <w:ilvl w:val="0"/>
          <w:numId w:val="0"/>
        </w:numPr>
        <w:jc w:val="both"/>
        <w:rPr>
          <w:rFonts w:hint="eastAsia" w:ascii="Times New Roman" w:hAnsi="Times New Roman" w:eastAsia="宋体" w:cs="Times New Roman"/>
          <w:b/>
          <w:bCs/>
          <w:color w:val="auto"/>
          <w:kern w:val="2"/>
          <w:sz w:val="28"/>
          <w:szCs w:val="28"/>
          <w:lang w:val="en-US" w:eastAsia="zh-CN" w:bidi="ar-SA"/>
        </w:rPr>
      </w:pPr>
    </w:p>
    <w:p w14:paraId="54BC71AB">
      <w:pPr>
        <w:numPr>
          <w:ilvl w:val="0"/>
          <w:numId w:val="0"/>
        </w:numPr>
        <w:jc w:val="both"/>
        <w:rPr>
          <w:rFonts w:hint="eastAsia" w:ascii="Times New Roman" w:hAnsi="Times New Roman" w:eastAsia="宋体" w:cs="Times New Roman"/>
          <w:b/>
          <w:bCs/>
          <w:color w:val="auto"/>
          <w:kern w:val="2"/>
          <w:sz w:val="28"/>
          <w:szCs w:val="28"/>
          <w:lang w:val="en-US" w:eastAsia="zh-CN" w:bidi="ar-SA"/>
        </w:rPr>
      </w:pPr>
    </w:p>
    <w:p w14:paraId="14473332">
      <w:pPr>
        <w:numPr>
          <w:ilvl w:val="0"/>
          <w:numId w:val="0"/>
        </w:numPr>
        <w:jc w:val="both"/>
        <w:rPr>
          <w:rFonts w:hint="eastAsia" w:ascii="Times New Roman" w:hAnsi="Times New Roman" w:eastAsia="宋体" w:cs="Times New Roman"/>
          <w:b/>
          <w:bCs/>
          <w:color w:val="auto"/>
          <w:kern w:val="2"/>
          <w:sz w:val="28"/>
          <w:szCs w:val="28"/>
          <w:lang w:val="en-US" w:eastAsia="zh-CN" w:bidi="ar-SA"/>
        </w:rPr>
      </w:pPr>
      <w:r>
        <w:rPr>
          <w:rFonts w:hint="eastAsia" w:ascii="Times New Roman" w:hAnsi="Times New Roman" w:eastAsia="宋体" w:cs="Times New Roman"/>
          <w:b/>
          <w:bCs/>
          <w:color w:val="auto"/>
          <w:kern w:val="2"/>
          <w:sz w:val="28"/>
          <w:szCs w:val="28"/>
          <w:lang w:val="en-US" w:eastAsia="zh-CN" w:bidi="ar-SA"/>
        </w:rPr>
        <w:br w:type="page"/>
      </w:r>
    </w:p>
    <w:tbl>
      <w:tblPr>
        <w:tblStyle w:val="25"/>
        <w:tblW w:w="91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5"/>
        <w:gridCol w:w="7673"/>
      </w:tblGrid>
      <w:tr w14:paraId="2F17B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9128" w:type="dxa"/>
            <w:gridSpan w:val="2"/>
            <w:tcBorders>
              <w:top w:val="single" w:color="auto" w:sz="4" w:space="0"/>
              <w:left w:val="single" w:color="auto" w:sz="4" w:space="0"/>
              <w:bottom w:val="single" w:color="auto" w:sz="4" w:space="0"/>
              <w:right w:val="single" w:color="auto" w:sz="4" w:space="0"/>
            </w:tcBorders>
            <w:noWrap w:val="0"/>
            <w:vAlign w:val="center"/>
          </w:tcPr>
          <w:p w14:paraId="6A67D7D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b/>
                <w:bCs/>
                <w:color w:val="000000"/>
                <w:sz w:val="21"/>
                <w:szCs w:val="21"/>
                <w:highlight w:val="none"/>
                <w:lang w:val="en-US" w:eastAsia="zh-CN"/>
              </w:rPr>
            </w:pPr>
            <w:r>
              <w:rPr>
                <w:rFonts w:hint="eastAsia" w:ascii="宋体" w:hAnsi="宋体" w:eastAsia="宋体" w:cs="宋体"/>
                <w:bCs/>
                <w:color w:val="000000"/>
                <w:sz w:val="21"/>
                <w:szCs w:val="21"/>
                <w:highlight w:val="none"/>
              </w:rPr>
              <w:t>▲</w:t>
            </w:r>
            <w:r>
              <w:rPr>
                <w:rFonts w:hint="eastAsia" w:ascii="宋体" w:hAnsi="宋体" w:eastAsia="宋体" w:cs="宋体"/>
                <w:b/>
                <w:bCs/>
                <w:color w:val="000000"/>
                <w:sz w:val="21"/>
                <w:szCs w:val="21"/>
                <w:highlight w:val="none"/>
                <w:lang w:val="en-US" w:eastAsia="zh-CN"/>
              </w:rPr>
              <w:t>二、商务条款</w:t>
            </w:r>
          </w:p>
        </w:tc>
      </w:tr>
      <w:tr w14:paraId="028D9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55" w:type="dxa"/>
            <w:tcBorders>
              <w:top w:val="single" w:color="auto" w:sz="4" w:space="0"/>
              <w:left w:val="single" w:color="auto" w:sz="4" w:space="0"/>
              <w:bottom w:val="single" w:color="auto" w:sz="4" w:space="0"/>
              <w:right w:val="single" w:color="auto" w:sz="4" w:space="0"/>
            </w:tcBorders>
            <w:noWrap w:val="0"/>
            <w:vAlign w:val="center"/>
          </w:tcPr>
          <w:p w14:paraId="212624C9">
            <w:pPr>
              <w:keepNext w:val="0"/>
              <w:keepLines w:val="0"/>
              <w:pageBreakBefore w:val="0"/>
              <w:tabs>
                <w:tab w:val="center" w:pos="4153"/>
                <w:tab w:val="right" w:pos="8306"/>
              </w:tabs>
              <w:kinsoku w:val="0"/>
              <w:overflowPunct/>
              <w:topLinePunct w:val="0"/>
              <w:autoSpaceDE w:val="0"/>
              <w:autoSpaceDN w:val="0"/>
              <w:bidi w:val="0"/>
              <w:adjustRightInd w:val="0"/>
              <w:snapToGrid w:val="0"/>
              <w:spacing w:line="400" w:lineRule="exact"/>
              <w:jc w:val="center"/>
              <w:textAlignment w:val="baseline"/>
              <w:rPr>
                <w:rFonts w:hint="eastAsia" w:ascii="宋体" w:hAnsi="宋体" w:eastAsia="宋体" w:cs="宋体"/>
                <w:b w:val="0"/>
                <w:bCs w:val="0"/>
                <w:color w:val="000000"/>
                <w:kern w:val="0"/>
                <w:sz w:val="21"/>
                <w:szCs w:val="21"/>
                <w:highlight w:val="none"/>
                <w:lang w:eastAsia="zh-CN" w:bidi="ar"/>
              </w:rPr>
            </w:pPr>
            <w:r>
              <w:rPr>
                <w:rFonts w:hint="eastAsia" w:ascii="宋体" w:hAnsi="宋体" w:eastAsia="宋体" w:cs="宋体"/>
                <w:b/>
                <w:color w:val="000000"/>
                <w:kern w:val="21"/>
                <w:sz w:val="21"/>
                <w:szCs w:val="21"/>
                <w:highlight w:val="none"/>
                <w:lang w:val="en-US" w:eastAsia="zh-CN" w:bidi="ar"/>
              </w:rPr>
              <w:t>交货期及地点</w:t>
            </w:r>
          </w:p>
        </w:tc>
        <w:tc>
          <w:tcPr>
            <w:tcW w:w="7673" w:type="dxa"/>
            <w:tcBorders>
              <w:top w:val="single" w:color="auto" w:sz="4" w:space="0"/>
              <w:left w:val="single" w:color="auto" w:sz="4" w:space="0"/>
              <w:bottom w:val="single" w:color="auto" w:sz="4" w:space="0"/>
              <w:right w:val="single" w:color="auto" w:sz="4" w:space="0"/>
            </w:tcBorders>
            <w:noWrap w:val="0"/>
            <w:vAlign w:val="center"/>
          </w:tcPr>
          <w:p w14:paraId="7929C84F">
            <w:pPr>
              <w:keepNext w:val="0"/>
              <w:keepLines w:val="0"/>
              <w:pageBreakBefore w:val="0"/>
              <w:widowControl/>
              <w:kinsoku/>
              <w:wordWrap/>
              <w:overflowPunct/>
              <w:topLinePunct w:val="0"/>
              <w:bidi w:val="0"/>
              <w:spacing w:line="400" w:lineRule="exact"/>
              <w:ind w:firstLine="12" w:firstLineChars="6"/>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1.交货期：</w:t>
            </w:r>
            <w:r>
              <w:rPr>
                <w:rFonts w:hint="eastAsia" w:ascii="宋体" w:hAnsi="宋体" w:eastAsia="宋体" w:cs="宋体"/>
                <w:color w:val="000000"/>
                <w:sz w:val="21"/>
                <w:szCs w:val="21"/>
                <w:highlight w:val="none"/>
                <w:lang w:eastAsia="zh-CN"/>
              </w:rPr>
              <w:t>采购合同签订后</w:t>
            </w:r>
            <w:r>
              <w:rPr>
                <w:rFonts w:hint="eastAsia" w:ascii="宋体" w:hAnsi="宋体" w:eastAsia="宋体" w:cs="宋体"/>
                <w:color w:val="000000"/>
                <w:sz w:val="21"/>
                <w:szCs w:val="21"/>
                <w:highlight w:val="none"/>
                <w:lang w:val="en-US" w:eastAsia="zh-CN"/>
              </w:rPr>
              <w:t>30</w:t>
            </w:r>
            <w:r>
              <w:rPr>
                <w:rFonts w:hint="eastAsia" w:ascii="宋体" w:hAnsi="宋体" w:eastAsia="宋体" w:cs="宋体"/>
                <w:color w:val="000000"/>
                <w:sz w:val="21"/>
                <w:szCs w:val="21"/>
                <w:highlight w:val="none"/>
                <w:lang w:eastAsia="zh-CN"/>
              </w:rPr>
              <w:t>个</w:t>
            </w:r>
            <w:r>
              <w:rPr>
                <w:rFonts w:hint="eastAsia" w:ascii="宋体" w:hAnsi="宋体" w:eastAsia="宋体" w:cs="宋体"/>
                <w:color w:val="000000"/>
                <w:sz w:val="21"/>
                <w:szCs w:val="21"/>
                <w:highlight w:val="none"/>
                <w:lang w:val="en-US" w:eastAsia="zh-CN"/>
              </w:rPr>
              <w:t>日历</w:t>
            </w:r>
            <w:r>
              <w:rPr>
                <w:rFonts w:hint="eastAsia" w:ascii="宋体" w:hAnsi="宋体" w:eastAsia="宋体" w:cs="宋体"/>
                <w:color w:val="000000"/>
                <w:sz w:val="21"/>
                <w:szCs w:val="21"/>
                <w:highlight w:val="none"/>
                <w:lang w:eastAsia="zh-CN"/>
              </w:rPr>
              <w:t>日内交货并完成安装调试</w:t>
            </w:r>
            <w:r>
              <w:rPr>
                <w:rFonts w:hint="eastAsia" w:ascii="宋体" w:hAnsi="宋体" w:eastAsia="宋体" w:cs="宋体"/>
                <w:bCs/>
                <w:color w:val="000000"/>
                <w:sz w:val="21"/>
                <w:szCs w:val="21"/>
                <w:highlight w:val="none"/>
              </w:rPr>
              <w:t>。</w:t>
            </w:r>
          </w:p>
          <w:p w14:paraId="4C9F72D1">
            <w:pPr>
              <w:keepNext w:val="0"/>
              <w:keepLines w:val="0"/>
              <w:pageBreakBefore w:val="0"/>
              <w:widowControl/>
              <w:kinsoku/>
              <w:wordWrap/>
              <w:overflowPunct/>
              <w:topLinePunct w:val="0"/>
              <w:bidi w:val="0"/>
              <w:spacing w:line="400" w:lineRule="exact"/>
              <w:ind w:firstLine="12" w:firstLineChars="6"/>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2.交付地点：采购人指定地点。</w:t>
            </w:r>
          </w:p>
          <w:p w14:paraId="099C7BF5">
            <w:pPr>
              <w:keepNext w:val="0"/>
              <w:keepLines w:val="0"/>
              <w:pageBreakBefore w:val="0"/>
              <w:widowControl/>
              <w:kinsoku/>
              <w:wordWrap/>
              <w:overflowPunct/>
              <w:topLinePunct w:val="0"/>
              <w:bidi w:val="0"/>
              <w:spacing w:line="400" w:lineRule="exact"/>
              <w:ind w:firstLine="12" w:firstLineChars="6"/>
              <w:rPr>
                <w:rFonts w:hint="eastAsia" w:ascii="宋体" w:hAnsi="宋体" w:eastAsia="宋体" w:cs="宋体"/>
                <w:color w:val="000000"/>
                <w:kern w:val="0"/>
                <w:sz w:val="21"/>
                <w:szCs w:val="21"/>
                <w:highlight w:val="none"/>
              </w:rPr>
            </w:pPr>
            <w:r>
              <w:rPr>
                <w:rFonts w:hint="eastAsia" w:ascii="宋体" w:hAnsi="宋体" w:eastAsia="宋体" w:cs="宋体"/>
                <w:bCs/>
                <w:color w:val="000000"/>
                <w:sz w:val="21"/>
                <w:szCs w:val="21"/>
                <w:highlight w:val="none"/>
                <w:lang w:val="en-US" w:eastAsia="zh-CN"/>
              </w:rPr>
              <w:t>3.交货方式：现场交货</w:t>
            </w:r>
          </w:p>
        </w:tc>
      </w:tr>
      <w:tr w14:paraId="31660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55" w:type="dxa"/>
            <w:tcBorders>
              <w:top w:val="single" w:color="auto" w:sz="4" w:space="0"/>
              <w:left w:val="single" w:color="auto" w:sz="4" w:space="0"/>
              <w:bottom w:val="single" w:color="auto" w:sz="4" w:space="0"/>
              <w:right w:val="single" w:color="auto" w:sz="4" w:space="0"/>
            </w:tcBorders>
            <w:noWrap w:val="0"/>
            <w:vAlign w:val="center"/>
          </w:tcPr>
          <w:p w14:paraId="07D6543A">
            <w:pPr>
              <w:keepNext w:val="0"/>
              <w:keepLines w:val="0"/>
              <w:pageBreakBefore w:val="0"/>
              <w:kinsoku/>
              <w:overflowPunct/>
              <w:topLinePunct w:val="0"/>
              <w:bidi w:val="0"/>
              <w:spacing w:line="400" w:lineRule="exact"/>
              <w:ind w:firstLine="13" w:firstLineChars="6"/>
              <w:jc w:val="center"/>
              <w:outlineLvl w:val="0"/>
              <w:rPr>
                <w:rFonts w:hint="eastAsia" w:ascii="宋体" w:hAnsi="宋体" w:eastAsia="宋体" w:cs="宋体"/>
                <w:b w:val="0"/>
                <w:bCs w:val="0"/>
                <w:color w:val="000000"/>
                <w:kern w:val="0"/>
                <w:sz w:val="21"/>
                <w:szCs w:val="21"/>
                <w:highlight w:val="none"/>
                <w:lang w:eastAsia="zh-CN" w:bidi="ar"/>
              </w:rPr>
            </w:pPr>
            <w:bookmarkStart w:id="41" w:name="_Toc21777"/>
            <w:bookmarkStart w:id="42" w:name="_Toc22403"/>
            <w:bookmarkStart w:id="43" w:name="_Toc18155"/>
            <w:bookmarkStart w:id="44" w:name="_Toc16664"/>
            <w:r>
              <w:rPr>
                <w:rFonts w:hint="eastAsia" w:ascii="宋体" w:hAnsi="宋体" w:eastAsia="宋体" w:cs="宋体"/>
                <w:b/>
                <w:color w:val="000000"/>
                <w:sz w:val="21"/>
                <w:szCs w:val="21"/>
                <w:highlight w:val="none"/>
                <w:lang w:eastAsia="zh-CN" w:bidi="ar"/>
              </w:rPr>
              <w:t>投标报价</w:t>
            </w:r>
            <w:bookmarkEnd w:id="41"/>
            <w:bookmarkEnd w:id="42"/>
            <w:bookmarkEnd w:id="43"/>
            <w:bookmarkEnd w:id="44"/>
          </w:p>
        </w:tc>
        <w:tc>
          <w:tcPr>
            <w:tcW w:w="7673" w:type="dxa"/>
            <w:tcBorders>
              <w:top w:val="single" w:color="auto" w:sz="4" w:space="0"/>
              <w:left w:val="single" w:color="auto" w:sz="4" w:space="0"/>
              <w:bottom w:val="single" w:color="auto" w:sz="4" w:space="0"/>
              <w:right w:val="single" w:color="auto" w:sz="4" w:space="0"/>
            </w:tcBorders>
            <w:noWrap w:val="0"/>
            <w:vAlign w:val="center"/>
          </w:tcPr>
          <w:p w14:paraId="2C9B495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kern w:val="0"/>
                <w:szCs w:val="21"/>
                <w:highlight w:val="none"/>
              </w:rPr>
            </w:pPr>
            <w:bookmarkStart w:id="45" w:name="_Toc200"/>
            <w:r>
              <w:rPr>
                <w:rFonts w:hint="eastAsia"/>
                <w:sz w:val="21"/>
                <w:szCs w:val="21"/>
                <w:lang w:eastAsia="zh-CN"/>
              </w:rPr>
              <w:t>项目实行总承包报价，投标报价包含货物、货物标准附件、备品备件、专用工具、设备安装辅材、施工辅材、包装、运输、装卸、保险、货到就位的各种费用以及安装、调试等本招标文件所列设备材料需进行补充完善才能完成本项目的功能配置或实际采购中产品材料有任何遗漏的费用（含本项目需要但本文件中未列出的设备材料、功能配置）、税金、售后服务、技术培训及其他所有成本费用，以及合同明示或暗示的所有责任、义务和一般风险等一切费用。投标人综合考虑在报价中。</w:t>
            </w:r>
            <w:bookmarkEnd w:id="45"/>
          </w:p>
        </w:tc>
      </w:tr>
      <w:tr w14:paraId="65801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55" w:type="dxa"/>
            <w:tcBorders>
              <w:top w:val="single" w:color="auto" w:sz="4" w:space="0"/>
              <w:left w:val="single" w:color="auto" w:sz="4" w:space="0"/>
              <w:bottom w:val="single" w:color="auto" w:sz="4" w:space="0"/>
              <w:right w:val="single" w:color="auto" w:sz="4" w:space="0"/>
            </w:tcBorders>
            <w:noWrap w:val="0"/>
            <w:vAlign w:val="center"/>
          </w:tcPr>
          <w:p w14:paraId="53E822EB">
            <w:pPr>
              <w:keepNext w:val="0"/>
              <w:keepLines w:val="0"/>
              <w:pageBreakBefore w:val="0"/>
              <w:kinsoku w:val="0"/>
              <w:overflowPunct/>
              <w:topLinePunct w:val="0"/>
              <w:autoSpaceDE w:val="0"/>
              <w:autoSpaceDN w:val="0"/>
              <w:bidi w:val="0"/>
              <w:adjustRightInd w:val="0"/>
              <w:snapToGrid w:val="0"/>
              <w:spacing w:line="400" w:lineRule="exact"/>
              <w:jc w:val="center"/>
              <w:textAlignment w:val="baseline"/>
              <w:rPr>
                <w:rFonts w:hint="eastAsia" w:ascii="宋体" w:hAnsi="宋体" w:eastAsia="宋体" w:cs="宋体"/>
                <w:b w:val="0"/>
                <w:bCs w:val="0"/>
                <w:color w:val="000000"/>
                <w:kern w:val="0"/>
                <w:sz w:val="21"/>
                <w:szCs w:val="21"/>
                <w:highlight w:val="none"/>
                <w:lang w:eastAsia="zh-CN" w:bidi="ar"/>
              </w:rPr>
            </w:pPr>
            <w:r>
              <w:rPr>
                <w:rFonts w:hint="eastAsia" w:ascii="宋体" w:hAnsi="宋体" w:eastAsia="宋体" w:cs="宋体"/>
                <w:b/>
                <w:color w:val="000000"/>
                <w:kern w:val="21"/>
                <w:sz w:val="21"/>
                <w:szCs w:val="21"/>
                <w:highlight w:val="none"/>
                <w:lang w:val="en-US" w:eastAsia="zh-CN" w:bidi="ar"/>
              </w:rPr>
              <w:t>付款方式</w:t>
            </w:r>
          </w:p>
        </w:tc>
        <w:tc>
          <w:tcPr>
            <w:tcW w:w="7673" w:type="dxa"/>
            <w:tcBorders>
              <w:top w:val="single" w:color="auto" w:sz="4" w:space="0"/>
              <w:left w:val="single" w:color="auto" w:sz="4" w:space="0"/>
              <w:bottom w:val="single" w:color="auto" w:sz="4" w:space="0"/>
              <w:right w:val="single" w:color="auto" w:sz="4" w:space="0"/>
            </w:tcBorders>
            <w:noWrap w:val="0"/>
            <w:vAlign w:val="center"/>
          </w:tcPr>
          <w:p w14:paraId="3E57CE21">
            <w:pPr>
              <w:keepNext w:val="0"/>
              <w:keepLines w:val="0"/>
              <w:pageBreakBefore w:val="0"/>
              <w:widowControl/>
              <w:kinsoku/>
              <w:wordWrap w:val="0"/>
              <w:overflowPunct/>
              <w:topLinePunct w:val="0"/>
              <w:autoSpaceDE w:val="0"/>
              <w:autoSpaceDN w:val="0"/>
              <w:bidi w:val="0"/>
              <w:adjustRightInd w:val="0"/>
              <w:snapToGrid w:val="0"/>
              <w:spacing w:line="400" w:lineRule="exact"/>
              <w:textAlignment w:val="baseline"/>
              <w:rPr>
                <w:rFonts w:hint="eastAsia" w:ascii="宋体" w:hAnsi="宋体" w:eastAsia="宋体" w:cs="宋体"/>
                <w:color w:val="000000"/>
                <w:kern w:val="21"/>
                <w:sz w:val="21"/>
                <w:szCs w:val="21"/>
                <w:highlight w:val="none"/>
                <w:lang w:val="en-US" w:eastAsia="zh-CN" w:bidi="ar"/>
              </w:rPr>
            </w:pPr>
            <w:r>
              <w:rPr>
                <w:rFonts w:hint="eastAsia" w:ascii="宋体" w:hAnsi="宋体" w:eastAsia="宋体" w:cs="宋体"/>
                <w:color w:val="000000"/>
                <w:kern w:val="21"/>
                <w:sz w:val="21"/>
                <w:szCs w:val="21"/>
                <w:highlight w:val="none"/>
                <w:lang w:val="en-US" w:eastAsia="zh-CN" w:bidi="ar"/>
              </w:rPr>
              <w:t>1.付款进度安排:签订合同后30个工作日内，支付合同价款的30%，设备安装验收合格正常使用后30个工作日内，支付合同价款的70%。</w:t>
            </w:r>
          </w:p>
          <w:p w14:paraId="44EBA64D">
            <w:pPr>
              <w:keepNext w:val="0"/>
              <w:keepLines w:val="0"/>
              <w:pageBreakBefore w:val="0"/>
              <w:widowControl/>
              <w:kinsoku/>
              <w:wordWrap w:val="0"/>
              <w:overflowPunct/>
              <w:topLinePunct w:val="0"/>
              <w:autoSpaceDE w:val="0"/>
              <w:autoSpaceDN w:val="0"/>
              <w:bidi w:val="0"/>
              <w:adjustRightInd w:val="0"/>
              <w:snapToGrid w:val="0"/>
              <w:spacing w:line="400" w:lineRule="exact"/>
              <w:textAlignment w:val="baseline"/>
              <w:rPr>
                <w:rFonts w:hint="eastAsia" w:ascii="宋体" w:hAnsi="宋体" w:eastAsia="宋体" w:cs="宋体"/>
                <w:color w:val="000000"/>
                <w:kern w:val="21"/>
                <w:sz w:val="21"/>
                <w:szCs w:val="21"/>
                <w:highlight w:val="none"/>
                <w:lang w:val="en-US" w:eastAsia="zh-CN" w:bidi="ar"/>
              </w:rPr>
            </w:pPr>
            <w:r>
              <w:rPr>
                <w:rFonts w:hint="eastAsia" w:ascii="宋体" w:hAnsi="宋体" w:eastAsia="宋体" w:cs="宋体"/>
                <w:color w:val="000000"/>
                <w:kern w:val="21"/>
                <w:sz w:val="21"/>
                <w:szCs w:val="21"/>
                <w:highlight w:val="none"/>
                <w:lang w:val="en-US" w:eastAsia="zh-CN" w:bidi="ar"/>
              </w:rPr>
              <w:t>2.中标人须在设备验收合格后及时向甲方提供符合国家规定及采购人要求的全额有效的税务发票，采购人未收到发票的，有权不予支付相应款项直至乙方提供合格发票，并不承担延迟付款责任。发票认证通过是付款的必要前提之一。</w:t>
            </w:r>
          </w:p>
          <w:p w14:paraId="35B07683">
            <w:pPr>
              <w:keepNext w:val="0"/>
              <w:keepLines w:val="0"/>
              <w:pageBreakBefore w:val="0"/>
              <w:widowControl/>
              <w:kinsoku/>
              <w:wordWrap w:val="0"/>
              <w:overflowPunct/>
              <w:topLinePunct w:val="0"/>
              <w:autoSpaceDE w:val="0"/>
              <w:autoSpaceDN w:val="0"/>
              <w:bidi w:val="0"/>
              <w:adjustRightInd w:val="0"/>
              <w:snapToGrid w:val="0"/>
              <w:spacing w:line="400" w:lineRule="exact"/>
              <w:textAlignment w:val="baseline"/>
              <w:rPr>
                <w:rFonts w:hint="eastAsia" w:ascii="宋体" w:hAnsi="宋体" w:eastAsia="宋体" w:cs="宋体"/>
                <w:color w:val="000000"/>
                <w:kern w:val="21"/>
                <w:sz w:val="21"/>
                <w:szCs w:val="21"/>
                <w:highlight w:val="none"/>
                <w:lang w:val="en-US" w:eastAsia="zh-CN" w:bidi="ar"/>
              </w:rPr>
            </w:pPr>
            <w:r>
              <w:rPr>
                <w:rFonts w:hint="eastAsia" w:ascii="宋体" w:hAnsi="宋体" w:eastAsia="宋体" w:cs="宋体"/>
                <w:color w:val="000000"/>
                <w:kern w:val="21"/>
                <w:sz w:val="21"/>
                <w:szCs w:val="21"/>
                <w:highlight w:val="none"/>
                <w:lang w:val="en-US" w:eastAsia="zh-CN" w:bidi="ar"/>
              </w:rPr>
              <w:t>3.本合同执行中相关的一切税费均由乙方负担。</w:t>
            </w:r>
          </w:p>
          <w:p w14:paraId="6A2F8862">
            <w:pPr>
              <w:keepNext w:val="0"/>
              <w:keepLines w:val="0"/>
              <w:pageBreakBefore w:val="0"/>
              <w:widowControl/>
              <w:kinsoku/>
              <w:wordWrap w:val="0"/>
              <w:overflowPunct/>
              <w:topLinePunct w:val="0"/>
              <w:autoSpaceDE w:val="0"/>
              <w:autoSpaceDN w:val="0"/>
              <w:bidi w:val="0"/>
              <w:adjustRightInd w:val="0"/>
              <w:snapToGrid w:val="0"/>
              <w:spacing w:line="400" w:lineRule="exact"/>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kern w:val="21"/>
                <w:sz w:val="21"/>
                <w:szCs w:val="21"/>
                <w:highlight w:val="none"/>
                <w:lang w:val="en-US" w:eastAsia="zh-CN" w:bidi="ar"/>
              </w:rPr>
              <w:t>4.资金支付方式：银行转账</w:t>
            </w:r>
          </w:p>
        </w:tc>
      </w:tr>
      <w:tr w14:paraId="42EB9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455" w:type="dxa"/>
            <w:tcBorders>
              <w:top w:val="single" w:color="auto" w:sz="4" w:space="0"/>
              <w:left w:val="single" w:color="auto" w:sz="4" w:space="0"/>
              <w:bottom w:val="single" w:color="auto" w:sz="4" w:space="0"/>
              <w:right w:val="single" w:color="auto" w:sz="4" w:space="0"/>
            </w:tcBorders>
            <w:noWrap w:val="0"/>
            <w:vAlign w:val="center"/>
          </w:tcPr>
          <w:p w14:paraId="7C2F1886">
            <w:pPr>
              <w:keepNext w:val="0"/>
              <w:keepLines w:val="0"/>
              <w:pageBreakBefore w:val="0"/>
              <w:kinsoku/>
              <w:overflowPunct/>
              <w:topLinePunct w:val="0"/>
              <w:bidi w:val="0"/>
              <w:spacing w:line="400" w:lineRule="exact"/>
              <w:ind w:firstLine="13" w:firstLineChars="6"/>
              <w:jc w:val="center"/>
              <w:rPr>
                <w:rFonts w:hint="eastAsia" w:ascii="宋体" w:hAnsi="宋体" w:eastAsia="宋体" w:cs="宋体"/>
                <w:b/>
                <w:color w:val="000000"/>
                <w:sz w:val="21"/>
                <w:szCs w:val="21"/>
                <w:highlight w:val="none"/>
                <w:lang w:eastAsia="zh-CN" w:bidi="ar"/>
              </w:rPr>
            </w:pPr>
            <w:r>
              <w:rPr>
                <w:rFonts w:hint="eastAsia" w:ascii="宋体" w:hAnsi="宋体" w:eastAsia="宋体" w:cs="宋体"/>
                <w:b/>
                <w:color w:val="000000"/>
                <w:sz w:val="21"/>
                <w:szCs w:val="21"/>
                <w:highlight w:val="none"/>
                <w:lang w:eastAsia="zh-CN" w:bidi="ar"/>
              </w:rPr>
              <w:t>保修期及售后</w:t>
            </w:r>
          </w:p>
          <w:p w14:paraId="1047AC3D">
            <w:pPr>
              <w:keepNext w:val="0"/>
              <w:keepLines w:val="0"/>
              <w:pageBreakBefore w:val="0"/>
              <w:kinsoku/>
              <w:overflowPunct/>
              <w:topLinePunct w:val="0"/>
              <w:bidi w:val="0"/>
              <w:spacing w:line="400" w:lineRule="exact"/>
              <w:ind w:firstLine="13" w:firstLineChars="6"/>
              <w:jc w:val="center"/>
              <w:rPr>
                <w:rFonts w:hint="eastAsia" w:ascii="宋体" w:hAnsi="宋体" w:eastAsia="宋体" w:cs="宋体"/>
                <w:b w:val="0"/>
                <w:bCs w:val="0"/>
                <w:color w:val="000000"/>
                <w:kern w:val="0"/>
                <w:sz w:val="21"/>
                <w:szCs w:val="21"/>
                <w:highlight w:val="none"/>
                <w:lang w:eastAsia="zh-CN" w:bidi="ar"/>
              </w:rPr>
            </w:pPr>
            <w:r>
              <w:rPr>
                <w:rFonts w:hint="eastAsia" w:ascii="宋体" w:hAnsi="宋体" w:eastAsia="宋体" w:cs="宋体"/>
                <w:b/>
                <w:color w:val="000000"/>
                <w:sz w:val="21"/>
                <w:szCs w:val="21"/>
                <w:highlight w:val="none"/>
                <w:lang w:eastAsia="zh-CN" w:bidi="ar"/>
              </w:rPr>
              <w:t>服务要求</w:t>
            </w:r>
          </w:p>
        </w:tc>
        <w:tc>
          <w:tcPr>
            <w:tcW w:w="7673" w:type="dxa"/>
            <w:tcBorders>
              <w:top w:val="single" w:color="auto" w:sz="4" w:space="0"/>
              <w:left w:val="single" w:color="auto" w:sz="4" w:space="0"/>
              <w:bottom w:val="single" w:color="auto" w:sz="4" w:space="0"/>
              <w:right w:val="single" w:color="auto" w:sz="4" w:space="0"/>
            </w:tcBorders>
            <w:noWrap w:val="0"/>
            <w:vAlign w:val="center"/>
          </w:tcPr>
          <w:p w14:paraId="37C163E2">
            <w:pPr>
              <w:keepNext w:val="0"/>
              <w:keepLines w:val="0"/>
              <w:pageBreakBefore w:val="0"/>
              <w:widowControl/>
              <w:kinsoku/>
              <w:wordWrap/>
              <w:overflowPunct/>
              <w:topLinePunct w:val="0"/>
              <w:bidi w:val="0"/>
              <w:spacing w:line="400" w:lineRule="exact"/>
              <w:ind w:firstLine="12" w:firstLineChars="6"/>
              <w:rPr>
                <w:rFonts w:hint="eastAsia" w:ascii="宋体" w:hAnsi="宋体" w:eastAsia="宋体" w:cs="宋体"/>
                <w:color w:val="000000"/>
                <w:sz w:val="21"/>
                <w:szCs w:val="21"/>
                <w:highlight w:val="none"/>
                <w:lang w:eastAsia="zh-CN" w:bidi="ar"/>
              </w:rPr>
            </w:pPr>
            <w:r>
              <w:rPr>
                <w:rFonts w:hint="eastAsia" w:ascii="宋体" w:hAnsi="宋体" w:eastAsia="宋体" w:cs="宋体"/>
                <w:color w:val="000000"/>
                <w:sz w:val="21"/>
                <w:szCs w:val="21"/>
                <w:highlight w:val="none"/>
                <w:lang w:eastAsia="zh-CN" w:bidi="ar"/>
              </w:rPr>
              <w:t>1.中标人应按照国家有关法律法规规定以及投标文件承诺，为采购人提供售后服务。</w:t>
            </w:r>
          </w:p>
          <w:p w14:paraId="7EE0970D">
            <w:pPr>
              <w:keepNext w:val="0"/>
              <w:keepLines w:val="0"/>
              <w:pageBreakBefore w:val="0"/>
              <w:widowControl/>
              <w:kinsoku/>
              <w:wordWrap/>
              <w:overflowPunct/>
              <w:topLinePunct w:val="0"/>
              <w:bidi w:val="0"/>
              <w:spacing w:line="400" w:lineRule="exact"/>
              <w:ind w:firstLine="12" w:firstLineChars="6"/>
              <w:rPr>
                <w:rFonts w:hint="eastAsia" w:ascii="宋体" w:hAnsi="宋体" w:eastAsia="宋体" w:cs="宋体"/>
                <w:color w:val="000000"/>
                <w:sz w:val="21"/>
                <w:szCs w:val="21"/>
                <w:highlight w:val="none"/>
                <w:lang w:eastAsia="zh-CN" w:bidi="ar"/>
              </w:rPr>
            </w:pPr>
            <w:r>
              <w:rPr>
                <w:rFonts w:hint="eastAsia" w:ascii="宋体" w:hAnsi="宋体" w:eastAsia="宋体" w:cs="宋体"/>
                <w:color w:val="000000"/>
                <w:sz w:val="21"/>
                <w:szCs w:val="21"/>
                <w:highlight w:val="none"/>
                <w:lang w:eastAsia="zh-CN" w:bidi="ar"/>
              </w:rPr>
              <w:t>2.质量保修范围:</w:t>
            </w:r>
            <w:r>
              <w:rPr>
                <w:rFonts w:hint="eastAsia" w:ascii="宋体" w:hAnsi="宋体" w:eastAsia="宋体" w:cs="宋体"/>
                <w:color w:val="000000"/>
                <w:sz w:val="21"/>
                <w:szCs w:val="21"/>
                <w:highlight w:val="none"/>
                <w:u w:val="single"/>
                <w:lang w:eastAsia="zh-CN" w:bidi="ar"/>
              </w:rPr>
              <w:t>本项目采购范围内的所有设备</w:t>
            </w:r>
            <w:r>
              <w:rPr>
                <w:rFonts w:hint="eastAsia" w:ascii="宋体" w:hAnsi="宋体" w:eastAsia="宋体" w:cs="宋体"/>
                <w:color w:val="000000"/>
                <w:sz w:val="21"/>
                <w:szCs w:val="21"/>
                <w:highlight w:val="none"/>
                <w:lang w:eastAsia="zh-CN" w:bidi="ar"/>
              </w:rPr>
              <w:t>。免费保修期内上门维修（维修费和元器件费包含在投标报价中）、更换零部件，软件终身免费升级服务，设备生产厂家提供远程联机维护服务，能对设备进行软件升级及故障分析；保修期：按中标人投标文件承诺（且不低于采购文件要求）执行。</w:t>
            </w:r>
          </w:p>
          <w:p w14:paraId="75047390">
            <w:pPr>
              <w:keepNext w:val="0"/>
              <w:keepLines w:val="0"/>
              <w:pageBreakBefore w:val="0"/>
              <w:widowControl/>
              <w:kinsoku/>
              <w:wordWrap/>
              <w:overflowPunct/>
              <w:topLinePunct w:val="0"/>
              <w:bidi w:val="0"/>
              <w:spacing w:line="400" w:lineRule="exact"/>
              <w:ind w:firstLine="12" w:firstLineChars="6"/>
              <w:rPr>
                <w:rFonts w:hint="eastAsia" w:ascii="宋体" w:hAnsi="宋体" w:eastAsia="宋体" w:cs="宋体"/>
                <w:color w:val="000000"/>
                <w:sz w:val="21"/>
                <w:szCs w:val="21"/>
                <w:highlight w:val="none"/>
                <w:lang w:val="en-US" w:eastAsia="zh-CN" w:bidi="ar"/>
              </w:rPr>
            </w:pPr>
            <w:r>
              <w:rPr>
                <w:rFonts w:hint="eastAsia" w:ascii="宋体" w:hAnsi="宋体" w:eastAsia="宋体" w:cs="宋体"/>
                <w:color w:val="000000"/>
                <w:sz w:val="21"/>
                <w:szCs w:val="21"/>
                <w:highlight w:val="none"/>
                <w:lang w:eastAsia="zh-CN" w:bidi="ar"/>
              </w:rPr>
              <w:t>3.免费保修期：按国家有关产品“三包”规定执行“三包”；免费保修期为不少于</w:t>
            </w:r>
            <w:r>
              <w:rPr>
                <w:rFonts w:hint="eastAsia" w:ascii="宋体" w:hAnsi="宋体" w:eastAsia="宋体" w:cs="宋体"/>
                <w:color w:val="000000"/>
                <w:sz w:val="21"/>
                <w:szCs w:val="21"/>
                <w:highlight w:val="none"/>
                <w:lang w:val="en-US" w:eastAsia="zh-CN" w:bidi="ar"/>
              </w:rPr>
              <w:t>5</w:t>
            </w:r>
            <w:r>
              <w:rPr>
                <w:rFonts w:hint="eastAsia" w:ascii="宋体" w:hAnsi="宋体" w:eastAsia="宋体" w:cs="宋体"/>
                <w:color w:val="000000"/>
                <w:sz w:val="21"/>
                <w:szCs w:val="21"/>
                <w:highlight w:val="none"/>
                <w:lang w:eastAsia="zh-CN" w:bidi="ar"/>
              </w:rPr>
              <w:t>年，</w:t>
            </w:r>
            <w:r>
              <w:rPr>
                <w:rFonts w:hint="eastAsia" w:ascii="宋体" w:hAnsi="宋体" w:eastAsia="宋体" w:cs="宋体"/>
                <w:color w:val="000000"/>
                <w:sz w:val="21"/>
                <w:szCs w:val="21"/>
                <w:highlight w:val="none"/>
                <w:lang w:val="en-US" w:eastAsia="zh-CN" w:bidi="ar"/>
              </w:rPr>
              <w:t>免费保修期</w:t>
            </w:r>
            <w:r>
              <w:rPr>
                <w:rFonts w:hint="eastAsia" w:ascii="宋体" w:hAnsi="宋体" w:eastAsia="宋体" w:cs="宋体"/>
                <w:color w:val="000000"/>
                <w:highlight w:val="none"/>
                <w:lang w:eastAsia="zh-CN" w:bidi="ar"/>
              </w:rPr>
              <w:t>期内故障时间顺延质保期</w:t>
            </w:r>
            <w:r>
              <w:rPr>
                <w:rFonts w:hint="eastAsia" w:ascii="宋体" w:hAnsi="宋体" w:eastAsia="宋体" w:cs="宋体"/>
                <w:color w:val="000000"/>
                <w:sz w:val="21"/>
                <w:szCs w:val="21"/>
                <w:highlight w:val="none"/>
                <w:lang w:eastAsia="zh-CN" w:bidi="ar"/>
              </w:rPr>
              <w:t>（免费保修期从设备验收合格之日起计算），免费保修期内上门维修不收取任何费用，提供备用机</w:t>
            </w:r>
            <w:r>
              <w:rPr>
                <w:rFonts w:hint="eastAsia" w:ascii="宋体" w:hAnsi="宋体" w:eastAsia="宋体" w:cs="宋体"/>
                <w:color w:val="000000"/>
                <w:sz w:val="21"/>
                <w:szCs w:val="21"/>
                <w:highlight w:val="none"/>
                <w:lang w:val="en-US" w:eastAsia="zh-CN" w:bidi="ar"/>
              </w:rPr>
              <w:t>。</w:t>
            </w:r>
          </w:p>
          <w:p w14:paraId="25AA3DD1">
            <w:pPr>
              <w:keepNext w:val="0"/>
              <w:keepLines w:val="0"/>
              <w:pageBreakBefore w:val="0"/>
              <w:widowControl/>
              <w:kinsoku/>
              <w:wordWrap/>
              <w:overflowPunct/>
              <w:topLinePunct w:val="0"/>
              <w:bidi w:val="0"/>
              <w:spacing w:line="400" w:lineRule="exact"/>
              <w:ind w:firstLine="12" w:firstLineChars="6"/>
              <w:rPr>
                <w:rFonts w:hint="eastAsia" w:ascii="宋体" w:hAnsi="宋体" w:eastAsia="宋体" w:cs="宋体"/>
                <w:color w:val="000000"/>
                <w:sz w:val="21"/>
                <w:szCs w:val="21"/>
                <w:highlight w:val="none"/>
                <w:lang w:eastAsia="zh-CN" w:bidi="ar"/>
              </w:rPr>
            </w:pPr>
            <w:r>
              <w:rPr>
                <w:rFonts w:hint="eastAsia" w:ascii="宋体" w:hAnsi="宋体" w:eastAsia="宋体" w:cs="宋体"/>
                <w:color w:val="000000"/>
                <w:sz w:val="21"/>
                <w:szCs w:val="21"/>
                <w:highlight w:val="none"/>
                <w:lang w:eastAsia="zh-CN" w:bidi="ar"/>
              </w:rPr>
              <w:t>4.在免费保修期内因货物本身的质量问题发生故障，中标人应负责免费修理和更换零部件。对达不到技术要求者，根据实际情况，采购人有权按以下办法处理：</w:t>
            </w:r>
          </w:p>
          <w:p w14:paraId="51F02EB7">
            <w:pPr>
              <w:keepNext w:val="0"/>
              <w:keepLines w:val="0"/>
              <w:pageBreakBefore w:val="0"/>
              <w:widowControl/>
              <w:kinsoku/>
              <w:wordWrap/>
              <w:overflowPunct/>
              <w:topLinePunct w:val="0"/>
              <w:bidi w:val="0"/>
              <w:spacing w:line="400" w:lineRule="exact"/>
              <w:ind w:firstLine="12" w:firstLineChars="6"/>
              <w:rPr>
                <w:rFonts w:hint="eastAsia" w:ascii="宋体" w:hAnsi="宋体" w:eastAsia="宋体" w:cs="宋体"/>
                <w:color w:val="000000"/>
                <w:sz w:val="21"/>
                <w:szCs w:val="21"/>
                <w:highlight w:val="none"/>
                <w:lang w:eastAsia="zh-CN" w:bidi="ar"/>
              </w:rPr>
            </w:pPr>
            <w:r>
              <w:rPr>
                <w:rFonts w:hint="eastAsia" w:ascii="宋体" w:hAnsi="宋体" w:eastAsia="宋体" w:cs="宋体"/>
                <w:color w:val="000000"/>
                <w:sz w:val="21"/>
                <w:szCs w:val="21"/>
                <w:highlight w:val="none"/>
                <w:lang w:eastAsia="zh-CN" w:bidi="ar"/>
              </w:rPr>
              <w:t>（1）更换：由中标人承担所发生的全部费用。</w:t>
            </w:r>
          </w:p>
          <w:p w14:paraId="3AAABD8B">
            <w:pPr>
              <w:keepNext w:val="0"/>
              <w:keepLines w:val="0"/>
              <w:pageBreakBefore w:val="0"/>
              <w:widowControl/>
              <w:kinsoku/>
              <w:wordWrap/>
              <w:overflowPunct/>
              <w:topLinePunct w:val="0"/>
              <w:bidi w:val="0"/>
              <w:spacing w:line="400" w:lineRule="exact"/>
              <w:ind w:firstLine="12" w:firstLineChars="6"/>
              <w:rPr>
                <w:rFonts w:hint="eastAsia" w:ascii="宋体" w:hAnsi="宋体" w:eastAsia="宋体" w:cs="宋体"/>
                <w:color w:val="000000"/>
                <w:sz w:val="21"/>
                <w:szCs w:val="21"/>
                <w:highlight w:val="none"/>
                <w:lang w:eastAsia="zh-CN" w:bidi="ar"/>
              </w:rPr>
            </w:pPr>
            <w:r>
              <w:rPr>
                <w:rFonts w:hint="eastAsia" w:ascii="宋体" w:hAnsi="宋体" w:eastAsia="宋体" w:cs="宋体"/>
                <w:color w:val="000000"/>
                <w:sz w:val="21"/>
                <w:szCs w:val="21"/>
                <w:highlight w:val="none"/>
                <w:lang w:eastAsia="zh-CN" w:bidi="ar"/>
              </w:rPr>
              <w:t>（2）贬值处理：由采购人与中标人双方合议定价。</w:t>
            </w:r>
          </w:p>
          <w:p w14:paraId="2442CB00">
            <w:pPr>
              <w:keepNext w:val="0"/>
              <w:keepLines w:val="0"/>
              <w:pageBreakBefore w:val="0"/>
              <w:widowControl/>
              <w:kinsoku/>
              <w:wordWrap/>
              <w:overflowPunct/>
              <w:topLinePunct w:val="0"/>
              <w:bidi w:val="0"/>
              <w:spacing w:line="400" w:lineRule="exact"/>
              <w:ind w:firstLine="12" w:firstLineChars="6"/>
              <w:rPr>
                <w:rFonts w:hint="eastAsia" w:ascii="宋体" w:hAnsi="宋体" w:eastAsia="宋体" w:cs="宋体"/>
                <w:color w:val="000000"/>
                <w:sz w:val="21"/>
                <w:szCs w:val="21"/>
                <w:highlight w:val="none"/>
                <w:lang w:eastAsia="zh-CN" w:bidi="ar"/>
              </w:rPr>
            </w:pPr>
            <w:r>
              <w:rPr>
                <w:rFonts w:hint="eastAsia" w:ascii="宋体" w:hAnsi="宋体" w:eastAsia="宋体" w:cs="宋体"/>
                <w:color w:val="000000"/>
                <w:sz w:val="21"/>
                <w:szCs w:val="21"/>
                <w:highlight w:val="none"/>
                <w:lang w:eastAsia="zh-CN" w:bidi="ar"/>
              </w:rPr>
              <w:t>（3）退货处理：中标人应退还采购人支付的合同款，同时应承担该货物的直接费用（运输、保险、检验、货款利息及银行手续费等）。</w:t>
            </w:r>
          </w:p>
          <w:p w14:paraId="700543CC">
            <w:pPr>
              <w:keepNext w:val="0"/>
              <w:keepLines w:val="0"/>
              <w:pageBreakBefore w:val="0"/>
              <w:widowControl/>
              <w:kinsoku/>
              <w:wordWrap/>
              <w:overflowPunct/>
              <w:topLinePunct w:val="0"/>
              <w:bidi w:val="0"/>
              <w:spacing w:line="400" w:lineRule="exact"/>
              <w:ind w:firstLine="12" w:firstLineChars="6"/>
              <w:rPr>
                <w:rFonts w:hint="eastAsia" w:ascii="宋体" w:hAnsi="宋体" w:eastAsia="宋体" w:cs="宋体"/>
                <w:color w:val="000000"/>
                <w:sz w:val="21"/>
                <w:szCs w:val="21"/>
                <w:highlight w:val="none"/>
                <w:lang w:eastAsia="zh-CN" w:bidi="ar"/>
              </w:rPr>
            </w:pPr>
            <w:r>
              <w:rPr>
                <w:rFonts w:hint="eastAsia" w:ascii="宋体" w:hAnsi="宋体" w:eastAsia="宋体" w:cs="宋体"/>
                <w:color w:val="000000"/>
                <w:sz w:val="21"/>
                <w:szCs w:val="21"/>
                <w:highlight w:val="none"/>
                <w:lang w:eastAsia="zh-CN" w:bidi="ar"/>
              </w:rPr>
              <w:t>5.如在使用过程中发生质量问题，中标人在接到采购人通知后</w:t>
            </w:r>
            <w:r>
              <w:rPr>
                <w:rFonts w:hint="eastAsia" w:ascii="宋体" w:hAnsi="宋体" w:eastAsia="宋体" w:cs="宋体"/>
                <w:color w:val="000000"/>
                <w:sz w:val="21"/>
                <w:szCs w:val="21"/>
                <w:highlight w:val="none"/>
                <w:u w:val="single"/>
                <w:lang w:val="en-US" w:eastAsia="zh-CN" w:bidi="ar"/>
              </w:rPr>
              <w:t>4</w:t>
            </w:r>
            <w:r>
              <w:rPr>
                <w:rFonts w:hint="eastAsia" w:ascii="宋体" w:hAnsi="宋体" w:eastAsia="宋体" w:cs="宋体"/>
                <w:color w:val="000000"/>
                <w:sz w:val="21"/>
                <w:szCs w:val="21"/>
                <w:highlight w:val="none"/>
                <w:lang w:eastAsia="zh-CN" w:bidi="ar"/>
              </w:rPr>
              <w:t>小时内响应，</w:t>
            </w:r>
            <w:r>
              <w:rPr>
                <w:rFonts w:hint="eastAsia" w:ascii="宋体" w:hAnsi="宋体" w:eastAsia="宋体" w:cs="宋体"/>
                <w:color w:val="000000"/>
                <w:sz w:val="21"/>
                <w:szCs w:val="21"/>
                <w:highlight w:val="none"/>
                <w:u w:val="single"/>
                <w:lang w:eastAsia="zh-CN" w:bidi="ar"/>
              </w:rPr>
              <w:t>2</w:t>
            </w:r>
            <w:r>
              <w:rPr>
                <w:rFonts w:hint="eastAsia" w:ascii="宋体" w:hAnsi="宋体" w:eastAsia="宋体" w:cs="宋体"/>
                <w:color w:val="000000"/>
                <w:sz w:val="21"/>
                <w:szCs w:val="21"/>
                <w:highlight w:val="none"/>
                <w:u w:val="single"/>
                <w:lang w:val="en-US" w:eastAsia="zh-CN" w:bidi="ar"/>
              </w:rPr>
              <w:t>4</w:t>
            </w:r>
            <w:r>
              <w:rPr>
                <w:rFonts w:hint="eastAsia" w:ascii="宋体" w:hAnsi="宋体" w:eastAsia="宋体" w:cs="宋体"/>
                <w:color w:val="000000"/>
                <w:sz w:val="21"/>
                <w:szCs w:val="21"/>
                <w:highlight w:val="none"/>
                <w:lang w:eastAsia="zh-CN" w:bidi="ar"/>
              </w:rPr>
              <w:t>小时内到达现场进行处理，恢复正常使用。中标人逾期响应、到达现场、排除故障或者无法排除故障的，采购人有权自行或寻找第三方机构获得维修、维护等售后服务，全部费用由中标人承担，且无需经过中标人同意、确认。</w:t>
            </w:r>
          </w:p>
          <w:p w14:paraId="2AB3D011">
            <w:pPr>
              <w:keepNext w:val="0"/>
              <w:keepLines w:val="0"/>
              <w:pageBreakBefore w:val="0"/>
              <w:widowControl/>
              <w:kinsoku/>
              <w:wordWrap/>
              <w:overflowPunct/>
              <w:topLinePunct w:val="0"/>
              <w:bidi w:val="0"/>
              <w:spacing w:line="400" w:lineRule="exact"/>
              <w:ind w:firstLine="12" w:firstLineChars="6"/>
              <w:rPr>
                <w:rFonts w:hint="eastAsia" w:ascii="宋体" w:hAnsi="宋体" w:eastAsia="宋体" w:cs="宋体"/>
                <w:color w:val="000000"/>
                <w:sz w:val="21"/>
                <w:szCs w:val="21"/>
                <w:highlight w:val="none"/>
                <w:lang w:eastAsia="zh-CN" w:bidi="ar"/>
              </w:rPr>
            </w:pPr>
            <w:r>
              <w:rPr>
                <w:rFonts w:hint="eastAsia" w:ascii="宋体" w:hAnsi="宋体" w:eastAsia="宋体" w:cs="宋体"/>
                <w:color w:val="000000"/>
                <w:sz w:val="21"/>
                <w:szCs w:val="21"/>
                <w:highlight w:val="none"/>
                <w:lang w:eastAsia="zh-CN" w:bidi="ar"/>
              </w:rPr>
              <w:t>6.在免费保修期内，中标人应对货物出现的质量及安全问题负责处理解决并承担一切费用。</w:t>
            </w:r>
          </w:p>
          <w:p w14:paraId="62FB295F">
            <w:pPr>
              <w:keepNext w:val="0"/>
              <w:keepLines w:val="0"/>
              <w:pageBreakBefore w:val="0"/>
              <w:widowControl/>
              <w:kinsoku/>
              <w:wordWrap/>
              <w:overflowPunct/>
              <w:topLinePunct w:val="0"/>
              <w:bidi w:val="0"/>
              <w:spacing w:line="400" w:lineRule="exact"/>
              <w:ind w:firstLine="12" w:firstLineChars="6"/>
              <w:rPr>
                <w:rFonts w:hint="eastAsia" w:ascii="宋体" w:hAnsi="宋体" w:eastAsia="宋体" w:cs="宋体"/>
                <w:color w:val="000000"/>
                <w:sz w:val="21"/>
                <w:szCs w:val="21"/>
                <w:highlight w:val="none"/>
                <w:lang w:eastAsia="zh-CN" w:bidi="ar"/>
              </w:rPr>
            </w:pPr>
            <w:r>
              <w:rPr>
                <w:rFonts w:hint="eastAsia" w:ascii="宋体" w:hAnsi="宋体" w:eastAsia="宋体" w:cs="宋体"/>
                <w:color w:val="000000"/>
                <w:sz w:val="21"/>
                <w:szCs w:val="21"/>
                <w:highlight w:val="none"/>
                <w:lang w:eastAsia="zh-CN" w:bidi="ar"/>
              </w:rPr>
              <w:t>7.本项目采购范围内的货物因人为因素出现的故障不在免费保修范围内。超过免费保修期的机器设备，每年全保</w:t>
            </w:r>
            <w:r>
              <w:rPr>
                <w:rFonts w:hint="eastAsia" w:ascii="宋体" w:hAnsi="宋体" w:eastAsia="宋体" w:cs="宋体"/>
                <w:color w:val="000000"/>
                <w:sz w:val="21"/>
                <w:szCs w:val="21"/>
                <w:highlight w:val="none"/>
                <w:lang w:val="en-US" w:eastAsia="zh-CN" w:bidi="ar"/>
              </w:rPr>
              <w:t>费用不超过</w:t>
            </w:r>
            <w:r>
              <w:rPr>
                <w:rFonts w:hint="eastAsia" w:ascii="宋体" w:hAnsi="宋体" w:eastAsia="宋体" w:cs="宋体"/>
                <w:color w:val="000000"/>
                <w:sz w:val="21"/>
                <w:szCs w:val="21"/>
                <w:highlight w:val="none"/>
                <w:lang w:eastAsia="zh-CN" w:bidi="ar"/>
              </w:rPr>
              <w:t>8万元，控制面板</w:t>
            </w:r>
            <w:r>
              <w:rPr>
                <w:rFonts w:hint="eastAsia" w:ascii="宋体" w:hAnsi="宋体" w:eastAsia="宋体" w:cs="宋体"/>
                <w:color w:val="000000"/>
                <w:sz w:val="21"/>
                <w:szCs w:val="21"/>
                <w:highlight w:val="none"/>
                <w:lang w:val="en-US" w:eastAsia="zh-CN" w:bidi="ar"/>
              </w:rPr>
              <w:t>不超过</w:t>
            </w:r>
            <w:r>
              <w:rPr>
                <w:rFonts w:hint="eastAsia" w:ascii="宋体" w:hAnsi="宋体" w:eastAsia="宋体" w:cs="宋体"/>
                <w:color w:val="000000"/>
                <w:sz w:val="21"/>
                <w:szCs w:val="21"/>
                <w:highlight w:val="none"/>
                <w:lang w:eastAsia="zh-CN" w:bidi="ar"/>
              </w:rPr>
              <w:t>4万元；轨迹球组件</w:t>
            </w:r>
            <w:r>
              <w:rPr>
                <w:rFonts w:hint="eastAsia" w:ascii="宋体" w:hAnsi="宋体" w:eastAsia="宋体" w:cs="宋体"/>
                <w:color w:val="000000"/>
                <w:sz w:val="21"/>
                <w:szCs w:val="21"/>
                <w:highlight w:val="none"/>
                <w:lang w:val="en-US" w:eastAsia="zh-CN" w:bidi="ar"/>
              </w:rPr>
              <w:t>不超过</w:t>
            </w:r>
            <w:r>
              <w:rPr>
                <w:rFonts w:hint="eastAsia" w:ascii="宋体" w:hAnsi="宋体" w:eastAsia="宋体" w:cs="宋体"/>
                <w:color w:val="000000"/>
                <w:sz w:val="21"/>
                <w:szCs w:val="21"/>
                <w:highlight w:val="none"/>
                <w:lang w:eastAsia="zh-CN" w:bidi="ar"/>
              </w:rPr>
              <w:t>2万元；提供终生维修服务。</w:t>
            </w:r>
          </w:p>
          <w:p w14:paraId="0A82FAD8">
            <w:pPr>
              <w:keepNext w:val="0"/>
              <w:keepLines w:val="0"/>
              <w:pageBreakBefore w:val="0"/>
              <w:widowControl/>
              <w:kinsoku/>
              <w:wordWrap/>
              <w:overflowPunct/>
              <w:topLinePunct w:val="0"/>
              <w:bidi w:val="0"/>
              <w:spacing w:line="400" w:lineRule="exact"/>
              <w:ind w:firstLine="12" w:firstLineChars="6"/>
              <w:rPr>
                <w:rFonts w:hint="eastAsia" w:ascii="宋体" w:hAnsi="宋体" w:eastAsia="宋体" w:cs="宋体"/>
                <w:color w:val="000000"/>
                <w:kern w:val="0"/>
                <w:sz w:val="21"/>
                <w:szCs w:val="21"/>
                <w:highlight w:val="none"/>
              </w:rPr>
            </w:pPr>
            <w:r>
              <w:rPr>
                <w:rFonts w:hint="eastAsia" w:ascii="宋体" w:hAnsi="宋体" w:eastAsia="宋体" w:cs="宋体"/>
                <w:color w:val="000000"/>
                <w:sz w:val="21"/>
                <w:szCs w:val="21"/>
                <w:highlight w:val="none"/>
                <w:lang w:eastAsia="zh-CN" w:bidi="ar"/>
              </w:rPr>
              <w:t>8.中标人提供的货物在免费保修期内，因设计、工艺或材料的缺陷和其它质量原因造成的问题，由中标人负责，费用从最后一笔支付的合同价款当中扣除，不足以扣除的，由中标人另行支付。</w:t>
            </w:r>
          </w:p>
        </w:tc>
      </w:tr>
      <w:tr w14:paraId="41A93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4" w:hRule="atLeast"/>
          <w:jc w:val="center"/>
        </w:trPr>
        <w:tc>
          <w:tcPr>
            <w:tcW w:w="1455" w:type="dxa"/>
            <w:tcBorders>
              <w:top w:val="single" w:color="auto" w:sz="4" w:space="0"/>
              <w:left w:val="single" w:color="auto" w:sz="4" w:space="0"/>
              <w:bottom w:val="single" w:color="auto" w:sz="4" w:space="0"/>
              <w:right w:val="single" w:color="auto" w:sz="4" w:space="0"/>
            </w:tcBorders>
            <w:noWrap w:val="0"/>
            <w:vAlign w:val="center"/>
          </w:tcPr>
          <w:p w14:paraId="0487D207">
            <w:pPr>
              <w:keepNext w:val="0"/>
              <w:keepLines w:val="0"/>
              <w:pageBreakBefore w:val="0"/>
              <w:overflowPunct/>
              <w:topLinePunct w:val="0"/>
              <w:bidi w:val="0"/>
              <w:spacing w:line="400" w:lineRule="exact"/>
              <w:jc w:val="center"/>
              <w:rPr>
                <w:rFonts w:hint="eastAsia" w:ascii="宋体" w:hAnsi="宋体" w:eastAsia="宋体" w:cs="宋体"/>
                <w:b/>
                <w:color w:val="000000"/>
                <w:sz w:val="21"/>
                <w:szCs w:val="21"/>
                <w:highlight w:val="none"/>
                <w:lang w:eastAsia="zh-CN" w:bidi="ar"/>
              </w:rPr>
            </w:pPr>
            <w:r>
              <w:rPr>
                <w:rFonts w:hint="eastAsia" w:ascii="宋体" w:hAnsi="宋体" w:eastAsia="宋体" w:cs="宋体"/>
                <w:b/>
                <w:color w:val="000000"/>
                <w:sz w:val="21"/>
                <w:szCs w:val="21"/>
                <w:highlight w:val="none"/>
                <w:lang w:eastAsia="zh-CN" w:bidi="ar"/>
              </w:rPr>
              <w:t>合同签订时间及</w:t>
            </w:r>
          </w:p>
          <w:p w14:paraId="00DF5719">
            <w:pPr>
              <w:keepNext w:val="0"/>
              <w:keepLines w:val="0"/>
              <w:pageBreakBefore w:val="0"/>
              <w:kinsoku/>
              <w:overflowPunct/>
              <w:topLinePunct w:val="0"/>
              <w:autoSpaceDE/>
              <w:autoSpaceDN/>
              <w:bidi w:val="0"/>
              <w:adjustRightInd/>
              <w:snapToGrid/>
              <w:spacing w:line="400" w:lineRule="exact"/>
              <w:ind w:firstLine="13" w:firstLineChars="6"/>
              <w:jc w:val="center"/>
              <w:textAlignment w:val="auto"/>
              <w:rPr>
                <w:rFonts w:hint="eastAsia" w:ascii="宋体" w:hAnsi="宋体" w:eastAsia="宋体" w:cs="宋体"/>
                <w:color w:val="000000"/>
                <w:kern w:val="0"/>
                <w:sz w:val="21"/>
                <w:szCs w:val="21"/>
                <w:highlight w:val="none"/>
              </w:rPr>
            </w:pPr>
            <w:r>
              <w:rPr>
                <w:rFonts w:hint="eastAsia" w:ascii="宋体" w:hAnsi="宋体" w:eastAsia="宋体" w:cs="宋体"/>
                <w:b/>
                <w:color w:val="000000"/>
                <w:sz w:val="21"/>
                <w:szCs w:val="21"/>
                <w:highlight w:val="none"/>
                <w:lang w:eastAsia="zh-CN" w:bidi="ar"/>
              </w:rPr>
              <w:t>地点</w:t>
            </w:r>
          </w:p>
        </w:tc>
        <w:tc>
          <w:tcPr>
            <w:tcW w:w="7673" w:type="dxa"/>
            <w:tcBorders>
              <w:top w:val="single" w:color="auto" w:sz="4" w:space="0"/>
              <w:left w:val="single" w:color="auto" w:sz="4" w:space="0"/>
              <w:bottom w:val="single" w:color="auto" w:sz="4" w:space="0"/>
              <w:right w:val="single" w:color="auto" w:sz="4" w:space="0"/>
            </w:tcBorders>
            <w:noWrap w:val="0"/>
            <w:vAlign w:val="center"/>
          </w:tcPr>
          <w:p w14:paraId="1BD66580">
            <w:pPr>
              <w:keepNext w:val="0"/>
              <w:keepLines w:val="0"/>
              <w:pageBreakBefore w:val="0"/>
              <w:widowControl/>
              <w:kinsoku/>
              <w:wordWrap/>
              <w:overflowPunct/>
              <w:topLinePunct w:val="0"/>
              <w:autoSpaceDE/>
              <w:autoSpaceDN/>
              <w:bidi w:val="0"/>
              <w:adjustRightInd/>
              <w:snapToGrid/>
              <w:spacing w:line="400" w:lineRule="exact"/>
              <w:ind w:firstLine="12" w:firstLineChars="6"/>
              <w:jc w:val="both"/>
              <w:textAlignment w:val="auto"/>
              <w:rPr>
                <w:rFonts w:hint="eastAsia" w:ascii="宋体" w:hAnsi="宋体" w:eastAsia="宋体" w:cs="宋体"/>
                <w:color w:val="000000"/>
                <w:sz w:val="21"/>
                <w:szCs w:val="21"/>
                <w:highlight w:val="none"/>
                <w:lang w:eastAsia="zh-CN" w:bidi="ar"/>
              </w:rPr>
            </w:pPr>
            <w:r>
              <w:rPr>
                <w:rFonts w:hint="eastAsia" w:ascii="宋体" w:hAnsi="宋体" w:eastAsia="宋体" w:cs="宋体"/>
                <w:color w:val="000000"/>
                <w:sz w:val="21"/>
                <w:szCs w:val="21"/>
                <w:highlight w:val="none"/>
                <w:lang w:eastAsia="zh-CN" w:bidi="ar"/>
              </w:rPr>
              <w:t>1</w:t>
            </w:r>
            <w:r>
              <w:rPr>
                <w:rFonts w:hint="eastAsia" w:ascii="宋体" w:hAnsi="宋体" w:eastAsia="宋体" w:cs="宋体"/>
                <w:color w:val="000000"/>
                <w:sz w:val="21"/>
                <w:szCs w:val="21"/>
                <w:highlight w:val="none"/>
                <w:lang w:val="en-US" w:eastAsia="zh-CN" w:bidi="ar"/>
              </w:rPr>
              <w:t>.</w:t>
            </w:r>
            <w:r>
              <w:rPr>
                <w:rFonts w:hint="eastAsia" w:ascii="宋体" w:hAnsi="宋体" w:eastAsia="宋体" w:cs="宋体"/>
                <w:color w:val="000000"/>
                <w:sz w:val="21"/>
                <w:szCs w:val="21"/>
                <w:highlight w:val="none"/>
                <w:lang w:eastAsia="zh-CN" w:bidi="ar"/>
              </w:rPr>
              <w:t>签订合同时间：自中标通知书发出之日25日内。</w:t>
            </w:r>
          </w:p>
          <w:p w14:paraId="68004F30">
            <w:pPr>
              <w:keepNext w:val="0"/>
              <w:keepLines w:val="0"/>
              <w:pageBreakBefore w:val="0"/>
              <w:widowControl/>
              <w:kinsoku/>
              <w:wordWrap/>
              <w:overflowPunct/>
              <w:topLinePunct w:val="0"/>
              <w:autoSpaceDE/>
              <w:autoSpaceDN/>
              <w:bidi w:val="0"/>
              <w:adjustRightInd/>
              <w:snapToGrid/>
              <w:spacing w:line="400" w:lineRule="exact"/>
              <w:ind w:firstLine="12" w:firstLineChars="6"/>
              <w:jc w:val="both"/>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bidi="ar"/>
              </w:rPr>
              <w:t>2</w:t>
            </w:r>
            <w:r>
              <w:rPr>
                <w:rFonts w:hint="eastAsia" w:ascii="宋体" w:hAnsi="宋体" w:eastAsia="宋体" w:cs="宋体"/>
                <w:color w:val="000000"/>
                <w:sz w:val="21"/>
                <w:szCs w:val="21"/>
                <w:highlight w:val="none"/>
                <w:lang w:val="en-US" w:eastAsia="zh-CN" w:bidi="ar"/>
              </w:rPr>
              <w:t>.</w:t>
            </w:r>
            <w:r>
              <w:rPr>
                <w:rFonts w:hint="eastAsia" w:ascii="宋体" w:hAnsi="宋体" w:eastAsia="宋体" w:cs="宋体"/>
                <w:color w:val="000000"/>
                <w:sz w:val="21"/>
                <w:szCs w:val="21"/>
                <w:highlight w:val="none"/>
                <w:lang w:eastAsia="zh-CN" w:bidi="ar"/>
              </w:rPr>
              <w:t>签订合同地点：广西壮族自治区南溪山医院（广西壮族自治区第二人民医院）指定地点。</w:t>
            </w:r>
          </w:p>
        </w:tc>
      </w:tr>
      <w:tr w14:paraId="37D11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55" w:type="dxa"/>
            <w:tcBorders>
              <w:top w:val="single" w:color="auto" w:sz="4" w:space="0"/>
              <w:left w:val="single" w:color="auto" w:sz="4" w:space="0"/>
              <w:bottom w:val="single" w:color="auto" w:sz="4" w:space="0"/>
              <w:right w:val="single" w:color="auto" w:sz="4" w:space="0"/>
            </w:tcBorders>
            <w:noWrap w:val="0"/>
            <w:vAlign w:val="center"/>
          </w:tcPr>
          <w:p w14:paraId="73BEF4F9">
            <w:pPr>
              <w:keepNext w:val="0"/>
              <w:keepLines w:val="0"/>
              <w:pageBreakBefore w:val="0"/>
              <w:kinsoku/>
              <w:overflowPunct/>
              <w:topLinePunct w:val="0"/>
              <w:bidi w:val="0"/>
              <w:spacing w:line="400" w:lineRule="exact"/>
              <w:ind w:left="13" w:leftChars="6"/>
              <w:jc w:val="center"/>
              <w:rPr>
                <w:rFonts w:hint="eastAsia" w:ascii="宋体" w:hAnsi="宋体" w:eastAsia="宋体" w:cs="宋体"/>
                <w:b w:val="0"/>
                <w:bCs w:val="0"/>
                <w:color w:val="000000"/>
                <w:kern w:val="0"/>
                <w:sz w:val="21"/>
                <w:szCs w:val="21"/>
                <w:highlight w:val="none"/>
                <w:lang w:eastAsia="zh-CN" w:bidi="ar"/>
              </w:rPr>
            </w:pPr>
            <w:r>
              <w:rPr>
                <w:rFonts w:hint="eastAsia" w:ascii="宋体" w:hAnsi="宋体" w:eastAsia="宋体" w:cs="宋体"/>
                <w:b/>
                <w:color w:val="000000"/>
                <w:sz w:val="21"/>
                <w:szCs w:val="21"/>
                <w:highlight w:val="none"/>
                <w:lang w:eastAsia="zh-CN" w:bidi="ar"/>
              </w:rPr>
              <w:t>包装和运输</w:t>
            </w:r>
          </w:p>
        </w:tc>
        <w:tc>
          <w:tcPr>
            <w:tcW w:w="7673" w:type="dxa"/>
            <w:tcBorders>
              <w:top w:val="single" w:color="auto" w:sz="4" w:space="0"/>
              <w:left w:val="single" w:color="auto" w:sz="4" w:space="0"/>
              <w:bottom w:val="single" w:color="auto" w:sz="4" w:space="0"/>
              <w:right w:val="single" w:color="auto" w:sz="4" w:space="0"/>
            </w:tcBorders>
            <w:noWrap w:val="0"/>
            <w:vAlign w:val="center"/>
          </w:tcPr>
          <w:p w14:paraId="5ABD8F49">
            <w:pPr>
              <w:keepNext w:val="0"/>
              <w:keepLines w:val="0"/>
              <w:pageBreakBefore w:val="0"/>
              <w:widowControl/>
              <w:kinsoku/>
              <w:wordWrap/>
              <w:overflowPunct/>
              <w:topLinePunct w:val="0"/>
              <w:bidi w:val="0"/>
              <w:spacing w:line="400" w:lineRule="exact"/>
              <w:ind w:left="13" w:leftChars="6"/>
              <w:rPr>
                <w:rFonts w:hint="eastAsia" w:ascii="宋体" w:hAnsi="宋体" w:eastAsia="宋体" w:cs="宋体"/>
                <w:color w:val="000000"/>
                <w:sz w:val="21"/>
                <w:szCs w:val="21"/>
                <w:highlight w:val="none"/>
                <w:lang w:eastAsia="zh-CN" w:bidi="ar"/>
              </w:rPr>
            </w:pPr>
            <w:r>
              <w:rPr>
                <w:rFonts w:hint="eastAsia" w:ascii="宋体" w:hAnsi="宋体" w:eastAsia="宋体" w:cs="宋体"/>
                <w:color w:val="000000"/>
                <w:sz w:val="21"/>
                <w:szCs w:val="21"/>
                <w:highlight w:val="none"/>
                <w:lang w:eastAsia="zh-CN" w:bidi="ar"/>
              </w:rPr>
              <w:t>1.原厂原包装，包装完好、完整无破损、未开封。</w:t>
            </w:r>
          </w:p>
          <w:p w14:paraId="6C8BD59B">
            <w:pPr>
              <w:keepNext w:val="0"/>
              <w:keepLines w:val="0"/>
              <w:pageBreakBefore w:val="0"/>
              <w:widowControl/>
              <w:kinsoku/>
              <w:wordWrap/>
              <w:overflowPunct/>
              <w:topLinePunct w:val="0"/>
              <w:bidi w:val="0"/>
              <w:spacing w:line="400" w:lineRule="exact"/>
              <w:ind w:left="13" w:leftChars="6"/>
              <w:rPr>
                <w:rFonts w:hint="eastAsia" w:ascii="宋体" w:hAnsi="宋体" w:eastAsia="宋体" w:cs="宋体"/>
                <w:color w:val="000000"/>
                <w:sz w:val="21"/>
                <w:szCs w:val="21"/>
                <w:highlight w:val="none"/>
                <w:lang w:eastAsia="zh-CN" w:bidi="ar"/>
              </w:rPr>
            </w:pPr>
            <w:r>
              <w:rPr>
                <w:rFonts w:hint="eastAsia" w:ascii="宋体" w:hAnsi="宋体" w:eastAsia="宋体" w:cs="宋体"/>
                <w:color w:val="000000"/>
                <w:sz w:val="21"/>
                <w:szCs w:val="21"/>
                <w:highlight w:val="none"/>
                <w:lang w:eastAsia="zh-CN" w:bidi="ar"/>
              </w:rPr>
              <w:t>2.包装及运输方式应综合考虑运输距离、防潮、防震、防锈和防破损装卸等要求。</w:t>
            </w:r>
          </w:p>
          <w:p w14:paraId="3150507D">
            <w:pPr>
              <w:keepNext w:val="0"/>
              <w:keepLines w:val="0"/>
              <w:pageBreakBefore w:val="0"/>
              <w:widowControl/>
              <w:kinsoku/>
              <w:wordWrap/>
              <w:overflowPunct/>
              <w:topLinePunct w:val="0"/>
              <w:bidi w:val="0"/>
              <w:spacing w:line="400" w:lineRule="exact"/>
              <w:ind w:left="13" w:leftChars="6"/>
              <w:rPr>
                <w:rFonts w:hint="eastAsia" w:ascii="宋体" w:hAnsi="宋体" w:eastAsia="宋体" w:cs="宋体"/>
                <w:color w:val="000000"/>
                <w:sz w:val="21"/>
                <w:szCs w:val="21"/>
                <w:highlight w:val="none"/>
                <w:lang w:eastAsia="zh-CN" w:bidi="ar"/>
              </w:rPr>
            </w:pPr>
            <w:r>
              <w:rPr>
                <w:rFonts w:hint="eastAsia" w:ascii="宋体" w:hAnsi="宋体" w:eastAsia="宋体" w:cs="宋体"/>
                <w:color w:val="000000"/>
                <w:sz w:val="21"/>
                <w:szCs w:val="21"/>
                <w:highlight w:val="none"/>
                <w:lang w:eastAsia="zh-CN" w:bidi="ar"/>
              </w:rPr>
              <w:t>3.国家对包装及运输有相关强制性标准或要求的，中标人应当执行。</w:t>
            </w:r>
          </w:p>
          <w:p w14:paraId="742399CC">
            <w:pPr>
              <w:keepNext w:val="0"/>
              <w:keepLines w:val="0"/>
              <w:pageBreakBefore w:val="0"/>
              <w:widowControl/>
              <w:kinsoku/>
              <w:wordWrap/>
              <w:overflowPunct/>
              <w:topLinePunct w:val="0"/>
              <w:bidi w:val="0"/>
              <w:spacing w:line="400" w:lineRule="exact"/>
              <w:ind w:left="13" w:leftChars="6"/>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bidi="ar"/>
              </w:rPr>
              <w:t>4.产品（含包装）运抵采购人指定交付地点前发生损坏的，相关损失由中标人自行承担。</w:t>
            </w:r>
          </w:p>
        </w:tc>
      </w:tr>
      <w:tr w14:paraId="6EC0D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1455" w:type="dxa"/>
            <w:tcBorders>
              <w:top w:val="single" w:color="auto" w:sz="4" w:space="0"/>
              <w:left w:val="single" w:color="auto" w:sz="4" w:space="0"/>
              <w:bottom w:val="single" w:color="auto" w:sz="4" w:space="0"/>
              <w:right w:val="single" w:color="auto" w:sz="4" w:space="0"/>
            </w:tcBorders>
            <w:noWrap w:val="0"/>
            <w:vAlign w:val="center"/>
          </w:tcPr>
          <w:p w14:paraId="5CAFE423">
            <w:pPr>
              <w:keepNext w:val="0"/>
              <w:keepLines w:val="0"/>
              <w:pageBreakBefore w:val="0"/>
              <w:kinsoku/>
              <w:overflowPunct/>
              <w:topLinePunct w:val="0"/>
              <w:bidi w:val="0"/>
              <w:spacing w:line="400" w:lineRule="exact"/>
              <w:jc w:val="center"/>
              <w:rPr>
                <w:rFonts w:hint="eastAsia" w:ascii="宋体" w:hAnsi="宋体" w:eastAsia="宋体" w:cs="宋体"/>
                <w:b w:val="0"/>
                <w:bCs w:val="0"/>
                <w:color w:val="000000"/>
                <w:kern w:val="0"/>
                <w:sz w:val="21"/>
                <w:szCs w:val="21"/>
                <w:highlight w:val="none"/>
                <w:lang w:eastAsia="zh-CN" w:bidi="ar"/>
              </w:rPr>
            </w:pPr>
            <w:r>
              <w:rPr>
                <w:rFonts w:hint="eastAsia" w:ascii="宋体" w:hAnsi="宋体" w:eastAsia="宋体" w:cs="宋体"/>
                <w:b/>
                <w:color w:val="000000"/>
                <w:sz w:val="21"/>
                <w:szCs w:val="21"/>
                <w:highlight w:val="none"/>
                <w:lang w:eastAsia="zh-CN" w:bidi="ar"/>
              </w:rPr>
              <w:t>保险</w:t>
            </w:r>
          </w:p>
        </w:tc>
        <w:tc>
          <w:tcPr>
            <w:tcW w:w="7673" w:type="dxa"/>
            <w:tcBorders>
              <w:top w:val="single" w:color="auto" w:sz="4" w:space="0"/>
              <w:left w:val="single" w:color="auto" w:sz="4" w:space="0"/>
              <w:bottom w:val="single" w:color="auto" w:sz="4" w:space="0"/>
              <w:right w:val="single" w:color="auto" w:sz="4" w:space="0"/>
            </w:tcBorders>
            <w:noWrap w:val="0"/>
            <w:vAlign w:val="center"/>
          </w:tcPr>
          <w:p w14:paraId="5741CFEA">
            <w:pPr>
              <w:keepNext w:val="0"/>
              <w:keepLines w:val="0"/>
              <w:pageBreakBefore w:val="0"/>
              <w:widowControl/>
              <w:kinsoku/>
              <w:wordWrap/>
              <w:overflowPunct/>
              <w:topLinePunct w:val="0"/>
              <w:bidi w:val="0"/>
              <w:spacing w:line="400" w:lineRule="exact"/>
              <w:rPr>
                <w:rFonts w:hint="eastAsia" w:ascii="宋体" w:hAnsi="宋体" w:eastAsia="宋体" w:cs="宋体"/>
                <w:bCs/>
                <w:color w:val="000000"/>
                <w:sz w:val="21"/>
                <w:szCs w:val="21"/>
                <w:highlight w:val="none"/>
              </w:rPr>
            </w:pPr>
            <w:r>
              <w:rPr>
                <w:rFonts w:hint="eastAsia" w:ascii="宋体" w:hAnsi="宋体" w:eastAsia="宋体" w:cs="宋体"/>
                <w:color w:val="000000"/>
                <w:sz w:val="21"/>
                <w:szCs w:val="21"/>
                <w:highlight w:val="none"/>
                <w:lang w:eastAsia="zh-CN" w:bidi="ar"/>
              </w:rPr>
              <w:t>若投标人为本项目标的及标的涉及的相关材料、设备、人员、运输等购买保险的，相关费用由投标人自行承担。</w:t>
            </w:r>
          </w:p>
        </w:tc>
      </w:tr>
      <w:tr w14:paraId="73969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455" w:type="dxa"/>
            <w:tcBorders>
              <w:top w:val="single" w:color="auto" w:sz="4" w:space="0"/>
              <w:left w:val="single" w:color="auto" w:sz="4" w:space="0"/>
              <w:bottom w:val="single" w:color="auto" w:sz="4" w:space="0"/>
              <w:right w:val="single" w:color="auto" w:sz="4" w:space="0"/>
            </w:tcBorders>
            <w:noWrap w:val="0"/>
            <w:vAlign w:val="center"/>
          </w:tcPr>
          <w:p w14:paraId="3373C0C1">
            <w:pPr>
              <w:keepNext w:val="0"/>
              <w:keepLines w:val="0"/>
              <w:pageBreakBefore w:val="0"/>
              <w:kinsoku/>
              <w:overflowPunct/>
              <w:topLinePunct w:val="0"/>
              <w:bidi w:val="0"/>
              <w:spacing w:line="400" w:lineRule="exact"/>
              <w:ind w:firstLine="13" w:firstLineChars="6"/>
              <w:jc w:val="center"/>
              <w:rPr>
                <w:rFonts w:hint="eastAsia" w:ascii="宋体" w:hAnsi="宋体" w:eastAsia="宋体" w:cs="宋体"/>
                <w:color w:val="000000"/>
                <w:kern w:val="0"/>
                <w:sz w:val="21"/>
                <w:szCs w:val="21"/>
                <w:highlight w:val="none"/>
              </w:rPr>
            </w:pPr>
            <w:r>
              <w:rPr>
                <w:rFonts w:hint="eastAsia" w:ascii="宋体" w:hAnsi="宋体" w:eastAsia="宋体" w:cs="宋体"/>
                <w:b/>
                <w:color w:val="000000"/>
                <w:sz w:val="21"/>
                <w:szCs w:val="21"/>
                <w:highlight w:val="none"/>
                <w:lang w:eastAsia="zh-CN" w:bidi="ar"/>
              </w:rPr>
              <w:t>验收标准</w:t>
            </w:r>
          </w:p>
        </w:tc>
        <w:tc>
          <w:tcPr>
            <w:tcW w:w="7673" w:type="dxa"/>
            <w:tcBorders>
              <w:top w:val="single" w:color="auto" w:sz="4" w:space="0"/>
              <w:left w:val="single" w:color="auto" w:sz="4" w:space="0"/>
              <w:bottom w:val="single" w:color="auto" w:sz="4" w:space="0"/>
              <w:right w:val="single" w:color="auto" w:sz="4" w:space="0"/>
            </w:tcBorders>
            <w:noWrap w:val="0"/>
            <w:vAlign w:val="center"/>
          </w:tcPr>
          <w:p w14:paraId="4387AA63">
            <w:pPr>
              <w:keepNext w:val="0"/>
              <w:keepLines w:val="0"/>
              <w:pageBreakBefore w:val="0"/>
              <w:widowControl/>
              <w:kinsoku/>
              <w:wordWrap/>
              <w:overflowPunct/>
              <w:topLinePunct w:val="0"/>
              <w:bidi w:val="0"/>
              <w:spacing w:line="400" w:lineRule="exact"/>
              <w:ind w:firstLine="12" w:firstLineChars="6"/>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（1）初步验收：</w:t>
            </w:r>
          </w:p>
          <w:p w14:paraId="0BAD3D42">
            <w:pPr>
              <w:keepNext w:val="0"/>
              <w:keepLines w:val="0"/>
              <w:pageBreakBefore w:val="0"/>
              <w:widowControl/>
              <w:kinsoku/>
              <w:wordWrap/>
              <w:overflowPunct/>
              <w:topLinePunct w:val="0"/>
              <w:bidi w:val="0"/>
              <w:spacing w:line="400" w:lineRule="exact"/>
              <w:ind w:firstLine="12" w:firstLineChars="6"/>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标的在规定的时间内到货，标的（含包装）完整、完好，与</w:t>
            </w:r>
            <w:r>
              <w:rPr>
                <w:rFonts w:hint="eastAsia" w:ascii="宋体" w:hAnsi="宋体" w:eastAsia="宋体" w:cs="宋体"/>
                <w:bCs/>
                <w:color w:val="000000"/>
                <w:sz w:val="21"/>
                <w:szCs w:val="21"/>
                <w:highlight w:val="none"/>
                <w:lang w:eastAsia="zh-CN"/>
              </w:rPr>
              <w:t>投标</w:t>
            </w:r>
            <w:r>
              <w:rPr>
                <w:rFonts w:hint="eastAsia" w:ascii="宋体" w:hAnsi="宋体" w:eastAsia="宋体" w:cs="宋体"/>
                <w:bCs/>
                <w:color w:val="000000"/>
                <w:sz w:val="21"/>
                <w:szCs w:val="21"/>
                <w:highlight w:val="none"/>
              </w:rPr>
              <w:t>承诺的产品（制造商、品牌、规格型号等）一致，标的无明显瑕疵、无损坏，装箱清单、用户手册、原厂保修卡、安装操作使用和维护手册、随机资料等所有技术资料、工具和备品、备件齐全。全部满足以上情形的，视为初步验收合格，标的不符合上述情形的，采购人在初步验收后七个工作日内以书面形式向</w:t>
            </w:r>
            <w:r>
              <w:rPr>
                <w:rFonts w:hint="eastAsia" w:ascii="宋体" w:hAnsi="宋体" w:eastAsia="宋体" w:cs="宋体"/>
                <w:bCs/>
                <w:color w:val="000000"/>
                <w:sz w:val="21"/>
                <w:szCs w:val="21"/>
                <w:highlight w:val="none"/>
                <w:lang w:eastAsia="zh-CN"/>
              </w:rPr>
              <w:t>中标人</w:t>
            </w:r>
            <w:r>
              <w:rPr>
                <w:rFonts w:hint="eastAsia" w:ascii="宋体" w:hAnsi="宋体" w:eastAsia="宋体" w:cs="宋体"/>
                <w:bCs/>
                <w:color w:val="000000"/>
                <w:sz w:val="21"/>
                <w:szCs w:val="21"/>
                <w:highlight w:val="none"/>
              </w:rPr>
              <w:t>提出，</w:t>
            </w:r>
            <w:r>
              <w:rPr>
                <w:rFonts w:hint="eastAsia" w:ascii="宋体" w:hAnsi="宋体" w:eastAsia="宋体" w:cs="宋体"/>
                <w:bCs/>
                <w:color w:val="000000"/>
                <w:sz w:val="21"/>
                <w:szCs w:val="21"/>
                <w:highlight w:val="none"/>
                <w:lang w:eastAsia="zh-CN"/>
              </w:rPr>
              <w:t>中标人</w:t>
            </w:r>
            <w:r>
              <w:rPr>
                <w:rFonts w:hint="eastAsia" w:ascii="宋体" w:hAnsi="宋体" w:eastAsia="宋体" w:cs="宋体"/>
                <w:bCs/>
                <w:color w:val="000000"/>
                <w:sz w:val="21"/>
                <w:szCs w:val="21"/>
                <w:highlight w:val="none"/>
              </w:rPr>
              <w:t>应自收到采购人书面异议后七个工作日内及时予以解决，否则，视为初步验收不合格，不予进行交付验收。</w:t>
            </w:r>
          </w:p>
          <w:p w14:paraId="14BEFE5F">
            <w:pPr>
              <w:keepNext w:val="0"/>
              <w:keepLines w:val="0"/>
              <w:pageBreakBefore w:val="0"/>
              <w:widowControl/>
              <w:kinsoku/>
              <w:wordWrap/>
              <w:overflowPunct/>
              <w:topLinePunct w:val="0"/>
              <w:bidi w:val="0"/>
              <w:spacing w:line="400" w:lineRule="exact"/>
              <w:ind w:firstLine="12" w:firstLineChars="6"/>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（2）交付验收：</w:t>
            </w:r>
          </w:p>
          <w:p w14:paraId="1A10255E">
            <w:pPr>
              <w:keepNext w:val="0"/>
              <w:keepLines w:val="0"/>
              <w:pageBreakBefore w:val="0"/>
              <w:widowControl/>
              <w:kinsoku/>
              <w:wordWrap/>
              <w:overflowPunct/>
              <w:topLinePunct w:val="0"/>
              <w:bidi w:val="0"/>
              <w:spacing w:line="400" w:lineRule="exact"/>
              <w:ind w:firstLine="12" w:firstLineChars="6"/>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标的的技术指标与</w:t>
            </w:r>
            <w:r>
              <w:rPr>
                <w:rFonts w:hint="eastAsia" w:ascii="宋体" w:hAnsi="宋体" w:eastAsia="宋体" w:cs="宋体"/>
                <w:bCs/>
                <w:color w:val="000000"/>
                <w:sz w:val="21"/>
                <w:szCs w:val="21"/>
                <w:highlight w:val="none"/>
                <w:lang w:eastAsia="zh-CN"/>
              </w:rPr>
              <w:t>中标人</w:t>
            </w:r>
            <w:r>
              <w:rPr>
                <w:rFonts w:hint="eastAsia" w:ascii="宋体" w:hAnsi="宋体" w:eastAsia="宋体" w:cs="宋体"/>
                <w:bCs/>
                <w:color w:val="000000"/>
                <w:sz w:val="21"/>
                <w:szCs w:val="21"/>
                <w:highlight w:val="none"/>
              </w:rPr>
              <w:t>的</w:t>
            </w:r>
            <w:r>
              <w:rPr>
                <w:rFonts w:hint="eastAsia" w:ascii="宋体" w:hAnsi="宋体" w:eastAsia="宋体" w:cs="宋体"/>
                <w:bCs/>
                <w:color w:val="000000"/>
                <w:sz w:val="21"/>
                <w:szCs w:val="21"/>
                <w:highlight w:val="none"/>
                <w:lang w:eastAsia="zh-CN"/>
              </w:rPr>
              <w:t>投标</w:t>
            </w:r>
            <w:r>
              <w:rPr>
                <w:rFonts w:hint="eastAsia" w:ascii="宋体" w:hAnsi="宋体" w:eastAsia="宋体" w:cs="宋体"/>
                <w:bCs/>
                <w:color w:val="000000"/>
                <w:sz w:val="21"/>
                <w:szCs w:val="21"/>
                <w:highlight w:val="none"/>
              </w:rPr>
              <w:t>承诺一致或更高，且满足采购文件全部实质性要求，视为交付验收合格。标的不符合上述情形的，采购人在交付验收后七个工作日内以书面形式向</w:t>
            </w:r>
            <w:r>
              <w:rPr>
                <w:rFonts w:hint="eastAsia" w:ascii="宋体" w:hAnsi="宋体" w:eastAsia="宋体" w:cs="宋体"/>
                <w:bCs/>
                <w:color w:val="000000"/>
                <w:sz w:val="21"/>
                <w:szCs w:val="21"/>
                <w:highlight w:val="none"/>
                <w:lang w:eastAsia="zh-CN"/>
              </w:rPr>
              <w:t>中标人</w:t>
            </w:r>
            <w:r>
              <w:rPr>
                <w:rFonts w:hint="eastAsia" w:ascii="宋体" w:hAnsi="宋体" w:eastAsia="宋体" w:cs="宋体"/>
                <w:bCs/>
                <w:color w:val="000000"/>
                <w:sz w:val="21"/>
                <w:szCs w:val="21"/>
                <w:highlight w:val="none"/>
              </w:rPr>
              <w:t>提出，</w:t>
            </w:r>
            <w:r>
              <w:rPr>
                <w:rFonts w:hint="eastAsia" w:ascii="宋体" w:hAnsi="宋体" w:eastAsia="宋体" w:cs="宋体"/>
                <w:bCs/>
                <w:color w:val="000000"/>
                <w:sz w:val="21"/>
                <w:szCs w:val="21"/>
                <w:highlight w:val="none"/>
                <w:lang w:eastAsia="zh-CN"/>
              </w:rPr>
              <w:t>中标人</w:t>
            </w:r>
            <w:r>
              <w:rPr>
                <w:rFonts w:hint="eastAsia" w:ascii="宋体" w:hAnsi="宋体" w:eastAsia="宋体" w:cs="宋体"/>
                <w:bCs/>
                <w:color w:val="000000"/>
                <w:sz w:val="21"/>
                <w:szCs w:val="21"/>
                <w:highlight w:val="none"/>
              </w:rPr>
              <w:t>应自收到采购人书面异议后七个工作日内及时予以解决，否则，视为交付验收不合格。</w:t>
            </w:r>
          </w:p>
          <w:p w14:paraId="1390BF44">
            <w:pPr>
              <w:keepNext w:val="0"/>
              <w:keepLines w:val="0"/>
              <w:pageBreakBefore w:val="0"/>
              <w:widowControl/>
              <w:kinsoku/>
              <w:wordWrap/>
              <w:overflowPunct/>
              <w:topLinePunct w:val="0"/>
              <w:bidi w:val="0"/>
              <w:spacing w:line="400" w:lineRule="exact"/>
              <w:ind w:firstLine="12" w:firstLineChars="6"/>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（3）最终验收：</w:t>
            </w:r>
          </w:p>
          <w:p w14:paraId="3C8E85F8">
            <w:pPr>
              <w:keepNext w:val="0"/>
              <w:keepLines w:val="0"/>
              <w:pageBreakBefore w:val="0"/>
              <w:widowControl/>
              <w:kinsoku/>
              <w:wordWrap/>
              <w:overflowPunct/>
              <w:topLinePunct w:val="0"/>
              <w:bidi w:val="0"/>
              <w:spacing w:line="400" w:lineRule="exact"/>
              <w:ind w:firstLine="12" w:firstLineChars="6"/>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标的交付验收合格投入使用后，</w:t>
            </w:r>
            <w:r>
              <w:rPr>
                <w:rFonts w:hint="eastAsia" w:ascii="宋体" w:hAnsi="宋体" w:eastAsia="宋体" w:cs="宋体"/>
                <w:bCs/>
                <w:color w:val="000000"/>
                <w:sz w:val="21"/>
                <w:szCs w:val="21"/>
                <w:highlight w:val="none"/>
                <w:lang w:eastAsia="zh-CN"/>
              </w:rPr>
              <w:t>中标人</w:t>
            </w:r>
            <w:r>
              <w:rPr>
                <w:rFonts w:hint="eastAsia" w:ascii="宋体" w:hAnsi="宋体" w:eastAsia="宋体" w:cs="宋体"/>
                <w:bCs/>
                <w:color w:val="000000"/>
                <w:sz w:val="21"/>
                <w:szCs w:val="21"/>
                <w:highlight w:val="none"/>
              </w:rPr>
              <w:t>提供的售后服务与其</w:t>
            </w:r>
            <w:r>
              <w:rPr>
                <w:rFonts w:hint="eastAsia" w:ascii="宋体" w:hAnsi="宋体" w:eastAsia="宋体" w:cs="宋体"/>
                <w:bCs/>
                <w:color w:val="000000"/>
                <w:sz w:val="21"/>
                <w:szCs w:val="21"/>
                <w:highlight w:val="none"/>
                <w:lang w:eastAsia="zh-CN"/>
              </w:rPr>
              <w:t>投标</w:t>
            </w:r>
            <w:r>
              <w:rPr>
                <w:rFonts w:hint="eastAsia" w:ascii="宋体" w:hAnsi="宋体" w:eastAsia="宋体" w:cs="宋体"/>
                <w:bCs/>
                <w:color w:val="000000"/>
                <w:sz w:val="21"/>
                <w:szCs w:val="21"/>
                <w:highlight w:val="none"/>
              </w:rPr>
              <w:t>承诺一致或更优，且</w:t>
            </w:r>
            <w:r>
              <w:rPr>
                <w:rFonts w:hint="eastAsia" w:ascii="宋体" w:hAnsi="宋体" w:eastAsia="宋体" w:cs="宋体"/>
                <w:bCs/>
                <w:color w:val="000000"/>
                <w:sz w:val="21"/>
                <w:szCs w:val="21"/>
                <w:highlight w:val="none"/>
                <w:lang w:eastAsia="zh-CN"/>
              </w:rPr>
              <w:t>中标人</w:t>
            </w:r>
            <w:r>
              <w:rPr>
                <w:rFonts w:hint="eastAsia" w:ascii="宋体" w:hAnsi="宋体" w:eastAsia="宋体" w:cs="宋体"/>
                <w:bCs/>
                <w:color w:val="000000"/>
                <w:sz w:val="21"/>
                <w:szCs w:val="21"/>
                <w:highlight w:val="none"/>
              </w:rPr>
              <w:t>履行完合同约定的应当由</w:t>
            </w:r>
            <w:r>
              <w:rPr>
                <w:rFonts w:hint="eastAsia" w:ascii="宋体" w:hAnsi="宋体" w:eastAsia="宋体" w:cs="宋体"/>
                <w:bCs/>
                <w:color w:val="000000"/>
                <w:sz w:val="21"/>
                <w:szCs w:val="21"/>
                <w:highlight w:val="none"/>
                <w:lang w:eastAsia="zh-CN"/>
              </w:rPr>
              <w:t>中标人</w:t>
            </w:r>
            <w:r>
              <w:rPr>
                <w:rFonts w:hint="eastAsia" w:ascii="宋体" w:hAnsi="宋体" w:eastAsia="宋体" w:cs="宋体"/>
                <w:bCs/>
                <w:color w:val="000000"/>
                <w:sz w:val="21"/>
                <w:szCs w:val="21"/>
                <w:highlight w:val="none"/>
              </w:rPr>
              <w:t>履行的全部事项之，视为最终验收合格。</w:t>
            </w:r>
          </w:p>
          <w:p w14:paraId="5384204D">
            <w:pPr>
              <w:keepNext w:val="0"/>
              <w:keepLines w:val="0"/>
              <w:pageBreakBefore w:val="0"/>
              <w:widowControl/>
              <w:kinsoku/>
              <w:wordWrap/>
              <w:overflowPunct/>
              <w:topLinePunct w:val="0"/>
              <w:bidi w:val="0"/>
              <w:spacing w:line="400" w:lineRule="exact"/>
              <w:ind w:firstLine="12" w:firstLineChars="6"/>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（4）其他事项：</w:t>
            </w:r>
          </w:p>
          <w:p w14:paraId="6178EACD">
            <w:pPr>
              <w:keepNext w:val="0"/>
              <w:keepLines w:val="0"/>
              <w:pageBreakBefore w:val="0"/>
              <w:widowControl/>
              <w:kinsoku/>
              <w:wordWrap/>
              <w:overflowPunct/>
              <w:topLinePunct w:val="0"/>
              <w:bidi w:val="0"/>
              <w:spacing w:line="400" w:lineRule="exact"/>
              <w:ind w:firstLine="12" w:firstLineChars="6"/>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1）验收时，双方应当派员在场，并对验收结果签署意见，否则视为其同意验收结果。</w:t>
            </w:r>
          </w:p>
          <w:p w14:paraId="21795182">
            <w:pPr>
              <w:keepNext w:val="0"/>
              <w:keepLines w:val="0"/>
              <w:pageBreakBefore w:val="0"/>
              <w:widowControl/>
              <w:kinsoku/>
              <w:wordWrap/>
              <w:overflowPunct/>
              <w:topLinePunct w:val="0"/>
              <w:bidi w:val="0"/>
              <w:spacing w:line="400" w:lineRule="exact"/>
              <w:ind w:firstLine="12" w:firstLineChars="6"/>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2）由于</w:t>
            </w:r>
            <w:r>
              <w:rPr>
                <w:rFonts w:hint="eastAsia" w:ascii="宋体" w:hAnsi="宋体" w:eastAsia="宋体" w:cs="宋体"/>
                <w:bCs/>
                <w:color w:val="000000"/>
                <w:sz w:val="21"/>
                <w:szCs w:val="21"/>
                <w:highlight w:val="none"/>
                <w:lang w:eastAsia="zh-CN"/>
              </w:rPr>
              <w:t>中标人</w:t>
            </w:r>
            <w:r>
              <w:rPr>
                <w:rFonts w:hint="eastAsia" w:ascii="宋体" w:hAnsi="宋体" w:eastAsia="宋体" w:cs="宋体"/>
                <w:bCs/>
                <w:color w:val="000000"/>
                <w:sz w:val="21"/>
                <w:szCs w:val="21"/>
                <w:highlight w:val="none"/>
              </w:rPr>
              <w:t>的原因造成采购人验收不合格、影响采购人正常使用的，由此造成的损失由</w:t>
            </w:r>
            <w:r>
              <w:rPr>
                <w:rFonts w:hint="eastAsia" w:ascii="宋体" w:hAnsi="宋体" w:eastAsia="宋体" w:cs="宋体"/>
                <w:bCs/>
                <w:color w:val="000000"/>
                <w:sz w:val="21"/>
                <w:szCs w:val="21"/>
                <w:highlight w:val="none"/>
                <w:lang w:eastAsia="zh-CN"/>
              </w:rPr>
              <w:t>中标人</w:t>
            </w:r>
            <w:r>
              <w:rPr>
                <w:rFonts w:hint="eastAsia" w:ascii="宋体" w:hAnsi="宋体" w:eastAsia="宋体" w:cs="宋体"/>
                <w:bCs/>
                <w:color w:val="000000"/>
                <w:sz w:val="21"/>
                <w:szCs w:val="21"/>
                <w:highlight w:val="none"/>
              </w:rPr>
              <w:t>承担。初步验收或交付验收不合格的，采购人有权终止合同并全部退货，同时报相关监督管理部门处理，由此造成甲方经济损失的由</w:t>
            </w:r>
            <w:r>
              <w:rPr>
                <w:rFonts w:hint="eastAsia" w:ascii="宋体" w:hAnsi="宋体" w:eastAsia="宋体" w:cs="宋体"/>
                <w:bCs/>
                <w:color w:val="000000"/>
                <w:sz w:val="21"/>
                <w:szCs w:val="21"/>
                <w:highlight w:val="none"/>
                <w:lang w:eastAsia="zh-CN"/>
              </w:rPr>
              <w:t>中标人</w:t>
            </w:r>
            <w:r>
              <w:rPr>
                <w:rFonts w:hint="eastAsia" w:ascii="宋体" w:hAnsi="宋体" w:eastAsia="宋体" w:cs="宋体"/>
                <w:bCs/>
                <w:color w:val="000000"/>
                <w:sz w:val="21"/>
                <w:szCs w:val="21"/>
                <w:highlight w:val="none"/>
              </w:rPr>
              <w:t>负责承担全部赔偿责任。</w:t>
            </w:r>
          </w:p>
          <w:p w14:paraId="0BCD40F2">
            <w:pPr>
              <w:keepNext w:val="0"/>
              <w:keepLines w:val="0"/>
              <w:pageBreakBefore w:val="0"/>
              <w:widowControl/>
              <w:kinsoku/>
              <w:wordWrap/>
              <w:overflowPunct/>
              <w:topLinePunct w:val="0"/>
              <w:bidi w:val="0"/>
              <w:spacing w:line="400" w:lineRule="exact"/>
              <w:ind w:firstLine="12" w:firstLineChars="6"/>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3）对技术复杂的货物，采购人可请国家认可的专业检测机构参与初步验收及交付验收，并由其出具质量检测报告，费用由</w:t>
            </w:r>
            <w:r>
              <w:rPr>
                <w:rFonts w:hint="eastAsia" w:ascii="宋体" w:hAnsi="宋体" w:eastAsia="宋体" w:cs="宋体"/>
                <w:bCs/>
                <w:color w:val="000000"/>
                <w:sz w:val="21"/>
                <w:szCs w:val="21"/>
                <w:highlight w:val="none"/>
                <w:lang w:eastAsia="zh-CN"/>
              </w:rPr>
              <w:t>中标人</w:t>
            </w:r>
            <w:r>
              <w:rPr>
                <w:rFonts w:hint="eastAsia" w:ascii="宋体" w:hAnsi="宋体" w:eastAsia="宋体" w:cs="宋体"/>
                <w:bCs/>
                <w:color w:val="000000"/>
                <w:sz w:val="21"/>
                <w:szCs w:val="21"/>
                <w:highlight w:val="none"/>
              </w:rPr>
              <w:t>承担。</w:t>
            </w:r>
          </w:p>
          <w:p w14:paraId="24BCE9DD">
            <w:pPr>
              <w:keepNext w:val="0"/>
              <w:keepLines w:val="0"/>
              <w:pageBreakBefore w:val="0"/>
              <w:widowControl/>
              <w:kinsoku/>
              <w:wordWrap/>
              <w:overflowPunct/>
              <w:topLinePunct w:val="0"/>
              <w:bidi w:val="0"/>
              <w:spacing w:line="400" w:lineRule="exact"/>
              <w:ind w:firstLine="12" w:firstLineChars="6"/>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4）验收过程中所产生的一切费用均由</w:t>
            </w:r>
            <w:r>
              <w:rPr>
                <w:rFonts w:hint="eastAsia" w:ascii="宋体" w:hAnsi="宋体" w:eastAsia="宋体" w:cs="宋体"/>
                <w:bCs/>
                <w:color w:val="000000"/>
                <w:sz w:val="21"/>
                <w:szCs w:val="21"/>
                <w:highlight w:val="none"/>
                <w:lang w:eastAsia="zh-CN"/>
              </w:rPr>
              <w:t>中标人</w:t>
            </w:r>
            <w:r>
              <w:rPr>
                <w:rFonts w:hint="eastAsia" w:ascii="宋体" w:hAnsi="宋体" w:eastAsia="宋体" w:cs="宋体"/>
                <w:bCs/>
                <w:color w:val="000000"/>
                <w:sz w:val="21"/>
                <w:szCs w:val="21"/>
                <w:highlight w:val="none"/>
              </w:rPr>
              <w:t>承担，</w:t>
            </w:r>
            <w:r>
              <w:rPr>
                <w:rFonts w:hint="eastAsia" w:ascii="宋体" w:hAnsi="宋体" w:eastAsia="宋体" w:cs="宋体"/>
                <w:bCs/>
                <w:color w:val="000000"/>
                <w:sz w:val="21"/>
                <w:szCs w:val="21"/>
                <w:highlight w:val="none"/>
                <w:lang w:eastAsia="zh-CN"/>
              </w:rPr>
              <w:t>中标人</w:t>
            </w:r>
            <w:r>
              <w:rPr>
                <w:rFonts w:hint="eastAsia" w:ascii="宋体" w:hAnsi="宋体" w:eastAsia="宋体" w:cs="宋体"/>
                <w:bCs/>
                <w:color w:val="000000"/>
                <w:sz w:val="21"/>
                <w:szCs w:val="21"/>
                <w:highlight w:val="none"/>
              </w:rPr>
              <w:t>在</w:t>
            </w:r>
            <w:r>
              <w:rPr>
                <w:rFonts w:hint="eastAsia" w:ascii="宋体" w:hAnsi="宋体" w:eastAsia="宋体" w:cs="宋体"/>
                <w:bCs/>
                <w:color w:val="000000"/>
                <w:sz w:val="21"/>
                <w:szCs w:val="21"/>
                <w:highlight w:val="none"/>
                <w:lang w:eastAsia="zh-CN"/>
              </w:rPr>
              <w:t>投标报价</w:t>
            </w:r>
            <w:r>
              <w:rPr>
                <w:rFonts w:hint="eastAsia" w:ascii="宋体" w:hAnsi="宋体" w:eastAsia="宋体" w:cs="宋体"/>
                <w:bCs/>
                <w:color w:val="000000"/>
                <w:sz w:val="21"/>
                <w:szCs w:val="21"/>
                <w:highlight w:val="none"/>
              </w:rPr>
              <w:t>时应综合考虑相关费用。</w:t>
            </w:r>
          </w:p>
          <w:p w14:paraId="13B32434">
            <w:pPr>
              <w:keepNext w:val="0"/>
              <w:keepLines w:val="0"/>
              <w:pageBreakBefore w:val="0"/>
              <w:widowControl/>
              <w:kinsoku/>
              <w:wordWrap/>
              <w:overflowPunct/>
              <w:topLinePunct w:val="0"/>
              <w:bidi w:val="0"/>
              <w:spacing w:line="400" w:lineRule="exact"/>
              <w:ind w:firstLine="12" w:firstLineChars="6"/>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5）采购人对产品的验收不免除</w:t>
            </w:r>
            <w:r>
              <w:rPr>
                <w:rFonts w:hint="eastAsia" w:ascii="宋体" w:hAnsi="宋体" w:eastAsia="宋体" w:cs="宋体"/>
                <w:bCs/>
                <w:color w:val="000000"/>
                <w:sz w:val="21"/>
                <w:szCs w:val="21"/>
                <w:highlight w:val="none"/>
                <w:lang w:eastAsia="zh-CN"/>
              </w:rPr>
              <w:t>中标人</w:t>
            </w:r>
            <w:r>
              <w:rPr>
                <w:rFonts w:hint="eastAsia" w:ascii="宋体" w:hAnsi="宋体" w:eastAsia="宋体" w:cs="宋体"/>
                <w:bCs/>
                <w:color w:val="000000"/>
                <w:sz w:val="21"/>
                <w:szCs w:val="21"/>
                <w:highlight w:val="none"/>
              </w:rPr>
              <w:t>的质量保证责任。</w:t>
            </w:r>
          </w:p>
          <w:p w14:paraId="4C67059C">
            <w:pPr>
              <w:keepNext w:val="0"/>
              <w:keepLines w:val="0"/>
              <w:pageBreakBefore w:val="0"/>
              <w:widowControl/>
              <w:kinsoku/>
              <w:wordWrap/>
              <w:overflowPunct/>
              <w:topLinePunct w:val="0"/>
              <w:bidi w:val="0"/>
              <w:spacing w:line="400" w:lineRule="exact"/>
              <w:ind w:firstLine="12" w:firstLineChars="6"/>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6）其他未尽事宜应严格按照《关于印发广西壮族自治区政府采购项目履约验收管理办法的通知》[桂财采〔2015〕22号]以及《财政部关于进一步加强政府采购需求和履约验收管理的指导意见》[财库〔2016〕205号]规定执行。</w:t>
            </w:r>
          </w:p>
          <w:p w14:paraId="4FF8D619">
            <w:pPr>
              <w:keepNext w:val="0"/>
              <w:keepLines w:val="0"/>
              <w:pageBreakBefore w:val="0"/>
              <w:widowControl/>
              <w:kinsoku/>
              <w:wordWrap/>
              <w:overflowPunct/>
              <w:topLinePunct w:val="0"/>
              <w:bidi w:val="0"/>
              <w:spacing w:line="400" w:lineRule="exact"/>
              <w:ind w:firstLine="12" w:firstLineChars="6"/>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7）验收产生的费用</w:t>
            </w:r>
            <w:r>
              <w:rPr>
                <w:rFonts w:hint="eastAsia" w:ascii="宋体" w:hAnsi="宋体" w:eastAsia="宋体" w:cs="宋体"/>
                <w:bCs/>
                <w:color w:val="000000"/>
                <w:sz w:val="21"/>
                <w:szCs w:val="21"/>
                <w:highlight w:val="none"/>
                <w:lang w:eastAsia="zh-CN"/>
              </w:rPr>
              <w:t>中标人</w:t>
            </w:r>
            <w:r>
              <w:rPr>
                <w:rFonts w:hint="eastAsia" w:ascii="宋体" w:hAnsi="宋体" w:eastAsia="宋体" w:cs="宋体"/>
                <w:bCs/>
                <w:color w:val="000000"/>
                <w:sz w:val="21"/>
                <w:szCs w:val="21"/>
                <w:highlight w:val="none"/>
              </w:rPr>
              <w:t>负责。</w:t>
            </w:r>
          </w:p>
        </w:tc>
      </w:tr>
      <w:tr w14:paraId="1529E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455" w:type="dxa"/>
            <w:tcBorders>
              <w:top w:val="single" w:color="auto" w:sz="4" w:space="0"/>
              <w:left w:val="single" w:color="auto" w:sz="4" w:space="0"/>
              <w:bottom w:val="single" w:color="auto" w:sz="4" w:space="0"/>
              <w:right w:val="single" w:color="auto" w:sz="4" w:space="0"/>
            </w:tcBorders>
            <w:noWrap w:val="0"/>
            <w:vAlign w:val="center"/>
          </w:tcPr>
          <w:p w14:paraId="3FE8A2B4">
            <w:pPr>
              <w:keepNext w:val="0"/>
              <w:keepLines w:val="0"/>
              <w:pageBreakBefore w:val="0"/>
              <w:kinsoku/>
              <w:overflowPunct/>
              <w:topLinePunct w:val="0"/>
              <w:bidi w:val="0"/>
              <w:spacing w:line="400" w:lineRule="exact"/>
              <w:ind w:firstLine="13" w:firstLineChars="6"/>
              <w:jc w:val="center"/>
              <w:outlineLvl w:val="0"/>
              <w:rPr>
                <w:rFonts w:hint="eastAsia" w:ascii="宋体" w:hAnsi="宋体" w:eastAsia="宋体" w:cs="宋体"/>
                <w:color w:val="000000"/>
                <w:kern w:val="0"/>
                <w:sz w:val="21"/>
                <w:szCs w:val="21"/>
                <w:highlight w:val="none"/>
              </w:rPr>
            </w:pPr>
            <w:bookmarkStart w:id="46" w:name="_Toc23080"/>
            <w:bookmarkStart w:id="47" w:name="_Toc3272"/>
            <w:bookmarkStart w:id="48" w:name="_Toc30254"/>
            <w:bookmarkStart w:id="49" w:name="_Toc24804"/>
            <w:r>
              <w:rPr>
                <w:rFonts w:hint="eastAsia" w:ascii="宋体" w:hAnsi="宋体" w:eastAsia="宋体" w:cs="宋体"/>
                <w:b/>
                <w:color w:val="000000"/>
                <w:sz w:val="21"/>
                <w:szCs w:val="21"/>
                <w:highlight w:val="none"/>
                <w:lang w:eastAsia="zh-CN" w:bidi="ar"/>
              </w:rPr>
              <w:t>其他要求</w:t>
            </w:r>
            <w:bookmarkEnd w:id="46"/>
            <w:bookmarkEnd w:id="47"/>
            <w:bookmarkEnd w:id="48"/>
            <w:bookmarkEnd w:id="49"/>
          </w:p>
        </w:tc>
        <w:tc>
          <w:tcPr>
            <w:tcW w:w="7673" w:type="dxa"/>
            <w:tcBorders>
              <w:top w:val="single" w:color="auto" w:sz="4" w:space="0"/>
              <w:left w:val="single" w:color="auto" w:sz="4" w:space="0"/>
              <w:bottom w:val="single" w:color="auto" w:sz="4" w:space="0"/>
              <w:right w:val="single" w:color="auto" w:sz="4" w:space="0"/>
            </w:tcBorders>
            <w:noWrap w:val="0"/>
            <w:vAlign w:val="center"/>
          </w:tcPr>
          <w:p w14:paraId="556D682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lang w:val="en-US" w:eastAsia="zh-CN"/>
              </w:rPr>
            </w:pPr>
            <w:r>
              <w:rPr>
                <w:rFonts w:hint="eastAsia" w:ascii="宋体" w:hAnsi="宋体" w:eastAsia="宋体" w:cs="宋体"/>
                <w:lang w:val="en-US" w:eastAsia="zh-CN"/>
              </w:rPr>
              <w:t>1.本分标最高限价金额：5520000元，</w:t>
            </w:r>
            <w:r>
              <w:rPr>
                <w:rFonts w:hint="eastAsia" w:ascii="宋体" w:hAnsi="宋体" w:eastAsia="宋体" w:cs="宋体"/>
              </w:rPr>
              <w:t>投标报价超出最高限价金额的，投标文件作无效处理。</w:t>
            </w:r>
          </w:p>
          <w:p w14:paraId="6585763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lang w:eastAsia="zh-CN"/>
              </w:rPr>
            </w:pPr>
            <w:bookmarkStart w:id="50" w:name="_Toc18644"/>
            <w:r>
              <w:rPr>
                <w:rFonts w:hint="eastAsia" w:ascii="宋体" w:hAnsi="宋体" w:eastAsia="宋体" w:cs="宋体"/>
                <w:lang w:val="en-US" w:eastAsia="zh-CN"/>
              </w:rPr>
              <w:t>2.</w:t>
            </w:r>
            <w:r>
              <w:rPr>
                <w:rFonts w:hint="eastAsia" w:ascii="宋体" w:hAnsi="宋体" w:eastAsia="宋体" w:cs="宋体"/>
                <w:lang w:eastAsia="zh-CN"/>
              </w:rPr>
              <w:t>投标人必须承诺设备验收合格后免费对采购人的使用人员进行操作及相关知识的培训，并确保设备有1～2人能熟练使用设备，并能排除简单的软硬件故障。</w:t>
            </w:r>
            <w:bookmarkEnd w:id="50"/>
          </w:p>
          <w:p w14:paraId="4D04682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lang w:eastAsia="zh-CN"/>
              </w:rPr>
            </w:pPr>
            <w:bookmarkStart w:id="51" w:name="_Toc16195"/>
            <w:r>
              <w:rPr>
                <w:rFonts w:hint="eastAsia" w:ascii="宋体" w:hAnsi="宋体" w:eastAsia="宋体" w:cs="宋体"/>
                <w:lang w:val="en-US" w:eastAsia="zh-CN"/>
              </w:rPr>
              <w:t>3.</w:t>
            </w:r>
            <w:r>
              <w:rPr>
                <w:rFonts w:hint="eastAsia" w:ascii="宋体" w:hAnsi="宋体" w:eastAsia="宋体" w:cs="宋体"/>
                <w:lang w:eastAsia="zh-CN"/>
              </w:rPr>
              <w:t>设备必须是全新、完整、未使用过的产品；设备到货后，供应商和购买方应在现场进行清点；清点过程中如果发现因包装或运输不当引起的仪器外观或内部的损坏，供应商应负责更换；若发现错发/漏发情况，供应商应负责更换和补发。</w:t>
            </w:r>
            <w:bookmarkEnd w:id="51"/>
          </w:p>
          <w:p w14:paraId="12D70B2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lang w:eastAsia="zh-CN"/>
              </w:rPr>
            </w:pPr>
            <w:bookmarkStart w:id="52" w:name="_Toc18370"/>
            <w:r>
              <w:rPr>
                <w:rFonts w:hint="eastAsia" w:ascii="宋体" w:hAnsi="宋体" w:eastAsia="宋体" w:cs="宋体"/>
                <w:lang w:val="en-US" w:eastAsia="zh-CN"/>
              </w:rPr>
              <w:t>4.</w:t>
            </w:r>
            <w:r>
              <w:rPr>
                <w:rFonts w:hint="eastAsia" w:ascii="宋体" w:hAnsi="宋体" w:eastAsia="宋体" w:cs="宋体"/>
                <w:lang w:eastAsia="zh-CN"/>
              </w:rPr>
              <w:t>安装标准及验收标准：符合我国国家有关技术规范和技术标准；设备安装后，医院按国际和国家标准及厂方标准进行质量验收；卖方应向买方提供详细的验收标准、验收手册。</w:t>
            </w:r>
            <w:bookmarkEnd w:id="52"/>
          </w:p>
          <w:p w14:paraId="04E02B8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lang w:eastAsia="zh-CN"/>
              </w:rPr>
            </w:pPr>
            <w:bookmarkStart w:id="53" w:name="_Toc1552"/>
            <w:r>
              <w:rPr>
                <w:rFonts w:hint="eastAsia" w:ascii="宋体" w:hAnsi="宋体" w:eastAsia="宋体" w:cs="宋体"/>
                <w:lang w:val="en-US" w:eastAsia="zh-CN"/>
              </w:rPr>
              <w:t>5.</w:t>
            </w:r>
            <w:r>
              <w:rPr>
                <w:rFonts w:hint="eastAsia" w:ascii="宋体" w:hAnsi="宋体" w:eastAsia="宋体" w:cs="宋体"/>
                <w:lang w:eastAsia="zh-CN"/>
              </w:rPr>
              <w:t>采购人在中华人民共和国境内使用中标人提供的产品及服务时免受第三方提出的侵犯其专利权或其它知识产权的起诉。如果第三方提出侵权指控，中标人应承担由此而引起的一切法律责任和费用。</w:t>
            </w:r>
            <w:bookmarkEnd w:id="53"/>
          </w:p>
          <w:p w14:paraId="414C175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lang w:eastAsia="zh-CN"/>
              </w:rPr>
            </w:pPr>
            <w:bookmarkStart w:id="54" w:name="_Toc12859"/>
            <w:r>
              <w:rPr>
                <w:rFonts w:hint="eastAsia" w:ascii="宋体" w:hAnsi="宋体" w:eastAsia="宋体" w:cs="宋体"/>
                <w:lang w:val="en-US" w:eastAsia="zh-CN"/>
              </w:rPr>
              <w:t>6.</w:t>
            </w:r>
            <w:r>
              <w:rPr>
                <w:rFonts w:hint="eastAsia" w:ascii="宋体" w:hAnsi="宋体" w:eastAsia="宋体" w:cs="宋体"/>
                <w:lang w:eastAsia="zh-CN"/>
              </w:rPr>
              <w:t>在货物验收时候，如发现存在虚假响应，采购人将终止合同，并上报监督管理部门进行处罚。</w:t>
            </w:r>
            <w:bookmarkEnd w:id="54"/>
          </w:p>
          <w:p w14:paraId="7E0E4D4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lang w:eastAsia="zh-CN"/>
              </w:rPr>
            </w:pPr>
            <w:bookmarkStart w:id="55" w:name="_Toc27945"/>
            <w:r>
              <w:rPr>
                <w:rFonts w:hint="eastAsia" w:ascii="宋体" w:hAnsi="宋体" w:eastAsia="宋体" w:cs="宋体"/>
                <w:lang w:val="en-US" w:eastAsia="zh-CN"/>
              </w:rPr>
              <w:t>7.</w:t>
            </w:r>
            <w:r>
              <w:rPr>
                <w:rFonts w:hint="eastAsia" w:ascii="宋体" w:hAnsi="宋体" w:eastAsia="宋体" w:cs="宋体"/>
                <w:lang w:eastAsia="zh-CN"/>
              </w:rPr>
              <w:t>交钥匙工程：中标人负责全部产品的安装调试后直接交付运行。在保修期内，中标人保证采购人能够合法应用该器械/服务。在此过程中，采购人应当提供一切必要支持。若可能出现的后续证件、手续，中标人必须提供办理的流程及方法。</w:t>
            </w:r>
            <w:bookmarkEnd w:id="55"/>
          </w:p>
          <w:p w14:paraId="46F1759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lang w:eastAsia="zh-CN"/>
              </w:rPr>
            </w:pPr>
            <w:bookmarkStart w:id="56" w:name="_Toc24576"/>
            <w:r>
              <w:rPr>
                <w:rFonts w:hint="eastAsia" w:ascii="宋体" w:hAnsi="宋体" w:eastAsia="宋体" w:cs="宋体"/>
                <w:lang w:val="en-US" w:eastAsia="zh-CN"/>
              </w:rPr>
              <w:t>8.</w:t>
            </w:r>
            <w:r>
              <w:rPr>
                <w:rFonts w:hint="eastAsia" w:ascii="宋体" w:hAnsi="宋体" w:eastAsia="宋体" w:cs="宋体"/>
                <w:lang w:eastAsia="zh-CN"/>
              </w:rPr>
              <w:t>本项目采购标的需执行的国家相关标准、行业标准、地方标准或其他强制性标准、规范等要求。</w:t>
            </w:r>
            <w:bookmarkEnd w:id="56"/>
          </w:p>
          <w:p w14:paraId="4B18E3C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lang w:val="en-US" w:eastAsia="zh-CN"/>
              </w:rPr>
            </w:pPr>
            <w:r>
              <w:rPr>
                <w:rFonts w:hint="eastAsia" w:ascii="宋体" w:hAnsi="宋体" w:cs="宋体"/>
                <w:lang w:val="en-US" w:eastAsia="zh-CN"/>
              </w:rPr>
              <w:t>9.</w:t>
            </w:r>
            <w:r>
              <w:rPr>
                <w:rFonts w:hint="eastAsia" w:ascii="宋体" w:hAnsi="宋体" w:eastAsia="宋体" w:cs="宋体"/>
                <w:color w:val="auto"/>
                <w:sz w:val="21"/>
                <w:szCs w:val="21"/>
                <w:highlight w:val="none"/>
              </w:rPr>
              <w:t>具有DICOM通用输出接口</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可实现与医院的数字网络</w:t>
            </w:r>
            <w:r>
              <w:rPr>
                <w:rFonts w:hint="eastAsia" w:ascii="宋体" w:hAnsi="宋体" w:cs="宋体"/>
                <w:color w:val="auto"/>
                <w:sz w:val="21"/>
                <w:szCs w:val="21"/>
                <w:highlight w:val="none"/>
                <w:lang w:val="en-US" w:eastAsia="zh-CN"/>
              </w:rPr>
              <w:t>免费无缝</w:t>
            </w:r>
            <w:r>
              <w:rPr>
                <w:rFonts w:hint="eastAsia" w:ascii="宋体" w:hAnsi="宋体" w:eastAsia="宋体" w:cs="宋体"/>
                <w:color w:val="auto"/>
                <w:sz w:val="21"/>
                <w:szCs w:val="21"/>
                <w:highlight w:val="none"/>
              </w:rPr>
              <w:t>连接，实现数字化影像管理</w:t>
            </w:r>
            <w:r>
              <w:rPr>
                <w:rFonts w:hint="eastAsia" w:ascii="宋体" w:hAnsi="宋体" w:eastAsia="宋体" w:cs="宋体"/>
                <w:color w:val="auto"/>
                <w:sz w:val="21"/>
                <w:szCs w:val="21"/>
                <w:highlight w:val="none"/>
                <w:lang w:eastAsia="zh-CN"/>
              </w:rPr>
              <w:t>。</w:t>
            </w:r>
          </w:p>
        </w:tc>
      </w:tr>
    </w:tbl>
    <w:p w14:paraId="73F326AA">
      <w:pPr>
        <w:numPr>
          <w:ilvl w:val="0"/>
          <w:numId w:val="0"/>
        </w:numPr>
        <w:jc w:val="both"/>
        <w:rPr>
          <w:rFonts w:hint="eastAsia"/>
          <w:b/>
          <w:bCs/>
          <w:color w:val="auto"/>
          <w:sz w:val="28"/>
          <w:szCs w:val="28"/>
          <w:highlight w:val="none"/>
          <w:lang w:val="en-US" w:eastAsia="zh-CN"/>
        </w:rPr>
      </w:pPr>
      <w:r>
        <w:rPr>
          <w:rFonts w:hint="eastAsia" w:ascii="Times New Roman" w:hAnsi="Times New Roman" w:eastAsia="宋体" w:cs="Times New Roman"/>
          <w:b/>
          <w:bCs/>
          <w:color w:val="auto"/>
          <w:kern w:val="2"/>
          <w:sz w:val="28"/>
          <w:szCs w:val="28"/>
          <w:lang w:val="en-US" w:eastAsia="zh-CN" w:bidi="ar-SA"/>
        </w:rPr>
        <w:br w:type="page"/>
      </w:r>
      <w:r>
        <w:rPr>
          <w:rFonts w:hint="eastAsia" w:ascii="Times New Roman" w:hAnsi="Times New Roman" w:eastAsia="宋体" w:cs="Times New Roman"/>
          <w:b/>
          <w:bCs/>
          <w:color w:val="auto"/>
          <w:kern w:val="2"/>
          <w:sz w:val="28"/>
          <w:szCs w:val="28"/>
          <w:lang w:val="en-US" w:eastAsia="zh-CN" w:bidi="ar-SA"/>
        </w:rPr>
        <w:t>标项二：</w:t>
      </w:r>
      <w:r>
        <w:rPr>
          <w:rFonts w:hint="eastAsia"/>
          <w:b/>
          <w:bCs/>
          <w:color w:val="auto"/>
          <w:sz w:val="28"/>
          <w:szCs w:val="28"/>
          <w:highlight w:val="none"/>
          <w:lang w:val="en-US" w:eastAsia="zh-CN"/>
        </w:rPr>
        <w:t>DR</w:t>
      </w:r>
    </w:p>
    <w:tbl>
      <w:tblPr>
        <w:tblStyle w:val="25"/>
        <w:tblW w:w="96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3"/>
        <w:gridCol w:w="1266"/>
        <w:gridCol w:w="850"/>
        <w:gridCol w:w="5751"/>
        <w:gridCol w:w="1118"/>
      </w:tblGrid>
      <w:tr w14:paraId="3BB49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9668" w:type="dxa"/>
            <w:gridSpan w:val="5"/>
            <w:tcBorders>
              <w:top w:val="single" w:color="auto" w:sz="4" w:space="0"/>
              <w:left w:val="single" w:color="auto" w:sz="4" w:space="0"/>
              <w:bottom w:val="single" w:color="auto" w:sz="4" w:space="0"/>
              <w:right w:val="single" w:color="auto" w:sz="4" w:space="0"/>
            </w:tcBorders>
            <w:noWrap w:val="0"/>
            <w:vAlign w:val="center"/>
          </w:tcPr>
          <w:p w14:paraId="2AB5C7A8">
            <w:pPr>
              <w:jc w:val="center"/>
              <w:rPr>
                <w:rStyle w:val="28"/>
                <w:rFonts w:hint="default" w:ascii="宋体" w:hAnsi="宋体" w:eastAsia="宋体" w:cs="宋体"/>
                <w:b w:val="0"/>
                <w:bCs w:val="0"/>
                <w:i w:val="0"/>
                <w:caps w:val="0"/>
                <w:color w:val="auto"/>
                <w:spacing w:val="0"/>
                <w:sz w:val="21"/>
                <w:szCs w:val="21"/>
                <w:highlight w:val="none"/>
                <w:lang w:val="en-US" w:eastAsia="zh-CN"/>
              </w:rPr>
            </w:pPr>
            <w:r>
              <w:rPr>
                <w:rStyle w:val="28"/>
                <w:rFonts w:hint="eastAsia" w:ascii="宋体" w:hAnsi="宋体" w:cs="宋体"/>
                <w:b/>
                <w:bCs/>
                <w:i w:val="0"/>
                <w:caps w:val="0"/>
                <w:color w:val="auto"/>
                <w:spacing w:val="0"/>
                <w:sz w:val="21"/>
                <w:szCs w:val="21"/>
                <w:highlight w:val="none"/>
                <w:lang w:eastAsia="zh-CN"/>
              </w:rPr>
              <w:t>（</w:t>
            </w:r>
            <w:r>
              <w:rPr>
                <w:rStyle w:val="28"/>
                <w:rFonts w:hint="eastAsia" w:ascii="宋体" w:hAnsi="宋体" w:cs="宋体"/>
                <w:b/>
                <w:bCs/>
                <w:i w:val="0"/>
                <w:caps w:val="0"/>
                <w:color w:val="auto"/>
                <w:spacing w:val="0"/>
                <w:sz w:val="21"/>
                <w:szCs w:val="21"/>
                <w:highlight w:val="none"/>
                <w:lang w:val="en-US" w:eastAsia="zh-CN"/>
              </w:rPr>
              <w:t xml:space="preserve">一）技术参数 </w:t>
            </w:r>
          </w:p>
        </w:tc>
      </w:tr>
      <w:tr w14:paraId="0B412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683" w:type="dxa"/>
            <w:tcBorders>
              <w:top w:val="single" w:color="auto" w:sz="4" w:space="0"/>
              <w:left w:val="single" w:color="auto" w:sz="4" w:space="0"/>
              <w:bottom w:val="single" w:color="auto" w:sz="4" w:space="0"/>
              <w:right w:val="single" w:color="auto" w:sz="4" w:space="0"/>
            </w:tcBorders>
            <w:noWrap w:val="0"/>
            <w:vAlign w:val="center"/>
          </w:tcPr>
          <w:p w14:paraId="391F641C">
            <w:pPr>
              <w:jc w:val="center"/>
              <w:rPr>
                <w:rStyle w:val="28"/>
                <w:rFonts w:hint="eastAsia" w:ascii="宋体" w:hAnsi="宋体" w:eastAsia="宋体" w:cs="宋体"/>
                <w:b/>
                <w:bCs/>
                <w:i w:val="0"/>
                <w:caps w:val="0"/>
                <w:color w:val="auto"/>
                <w:spacing w:val="0"/>
                <w:sz w:val="21"/>
                <w:szCs w:val="21"/>
                <w:highlight w:val="none"/>
              </w:rPr>
            </w:pPr>
            <w:r>
              <w:rPr>
                <w:rStyle w:val="28"/>
                <w:rFonts w:hint="eastAsia" w:ascii="宋体" w:hAnsi="宋体" w:eastAsia="宋体" w:cs="宋体"/>
                <w:b/>
                <w:bCs/>
                <w:i w:val="0"/>
                <w:caps w:val="0"/>
                <w:color w:val="auto"/>
                <w:spacing w:val="0"/>
                <w:sz w:val="21"/>
                <w:szCs w:val="21"/>
                <w:highlight w:val="none"/>
              </w:rPr>
              <w:t>序号</w:t>
            </w:r>
          </w:p>
        </w:tc>
        <w:tc>
          <w:tcPr>
            <w:tcW w:w="1266" w:type="dxa"/>
            <w:tcBorders>
              <w:top w:val="single" w:color="auto" w:sz="4" w:space="0"/>
              <w:left w:val="single" w:color="auto" w:sz="4" w:space="0"/>
              <w:bottom w:val="single" w:color="auto" w:sz="4" w:space="0"/>
              <w:right w:val="single" w:color="auto" w:sz="4" w:space="0"/>
            </w:tcBorders>
            <w:noWrap w:val="0"/>
            <w:vAlign w:val="center"/>
          </w:tcPr>
          <w:p w14:paraId="5CADB63C">
            <w:pPr>
              <w:jc w:val="center"/>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货物名称</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1E6C99CC">
            <w:pPr>
              <w:jc w:val="center"/>
              <w:rPr>
                <w:rFonts w:hint="eastAsia" w:ascii="宋体" w:hAnsi="宋体" w:eastAsia="宋体" w:cs="宋体"/>
                <w:b/>
                <w:bCs/>
                <w:i w:val="0"/>
                <w:iCs w:val="0"/>
                <w:caps w:val="0"/>
                <w:color w:val="auto"/>
                <w:spacing w:val="0"/>
                <w:sz w:val="21"/>
                <w:szCs w:val="21"/>
                <w:highlight w:val="none"/>
                <w:shd w:val="clear" w:color="auto" w:fill="FFFFFF"/>
              </w:rPr>
            </w:pPr>
            <w:r>
              <w:rPr>
                <w:rFonts w:hint="eastAsia" w:ascii="宋体" w:hAnsi="宋体" w:eastAsia="宋体" w:cs="宋体"/>
                <w:b/>
                <w:bCs/>
                <w:i w:val="0"/>
                <w:iCs w:val="0"/>
                <w:caps w:val="0"/>
                <w:color w:val="auto"/>
                <w:spacing w:val="0"/>
                <w:sz w:val="21"/>
                <w:szCs w:val="21"/>
                <w:highlight w:val="none"/>
                <w:shd w:val="clear" w:color="auto" w:fill="FFFFFF"/>
              </w:rPr>
              <w:t>数量及单位</w:t>
            </w:r>
          </w:p>
        </w:tc>
        <w:tc>
          <w:tcPr>
            <w:tcW w:w="5751" w:type="dxa"/>
            <w:tcBorders>
              <w:top w:val="single" w:color="auto" w:sz="4" w:space="0"/>
              <w:left w:val="single" w:color="auto" w:sz="4" w:space="0"/>
              <w:bottom w:val="single" w:color="auto" w:sz="4" w:space="0"/>
              <w:right w:val="single" w:color="auto" w:sz="4" w:space="0"/>
            </w:tcBorders>
            <w:noWrap w:val="0"/>
            <w:vAlign w:val="center"/>
          </w:tcPr>
          <w:p w14:paraId="76531827">
            <w:pPr>
              <w:jc w:val="center"/>
              <w:rPr>
                <w:rStyle w:val="28"/>
                <w:rFonts w:hint="eastAsia" w:ascii="宋体" w:hAnsi="宋体" w:eastAsia="宋体" w:cs="宋体"/>
                <w:b/>
                <w:bCs/>
                <w:i w:val="0"/>
                <w:caps w:val="0"/>
                <w:color w:val="000000"/>
                <w:spacing w:val="0"/>
                <w:sz w:val="21"/>
                <w:szCs w:val="21"/>
                <w:highlight w:val="none"/>
              </w:rPr>
            </w:pPr>
            <w:r>
              <w:rPr>
                <w:rStyle w:val="28"/>
                <w:rFonts w:hint="eastAsia" w:ascii="宋体" w:hAnsi="宋体" w:eastAsia="宋体" w:cs="宋体"/>
                <w:b/>
                <w:bCs/>
                <w:i w:val="0"/>
                <w:caps w:val="0"/>
                <w:color w:val="000000"/>
                <w:spacing w:val="0"/>
                <w:sz w:val="21"/>
                <w:szCs w:val="21"/>
                <w:highlight w:val="none"/>
              </w:rPr>
              <w:t>技术参数、性能（配置）及其他要求</w:t>
            </w:r>
          </w:p>
        </w:tc>
        <w:tc>
          <w:tcPr>
            <w:tcW w:w="1118" w:type="dxa"/>
            <w:tcBorders>
              <w:top w:val="single" w:color="auto" w:sz="4" w:space="0"/>
              <w:left w:val="single" w:color="auto" w:sz="4" w:space="0"/>
              <w:bottom w:val="single" w:color="auto" w:sz="4" w:space="0"/>
              <w:right w:val="single" w:color="auto" w:sz="4" w:space="0"/>
            </w:tcBorders>
            <w:noWrap w:val="0"/>
            <w:vAlign w:val="center"/>
          </w:tcPr>
          <w:p w14:paraId="6BFECFE3">
            <w:pPr>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各分项</w:t>
            </w:r>
            <w:r>
              <w:rPr>
                <w:rFonts w:hint="eastAsia" w:ascii="宋体" w:hAnsi="宋体" w:eastAsia="宋体" w:cs="宋体"/>
                <w:b/>
                <w:bCs/>
                <w:color w:val="auto"/>
                <w:sz w:val="21"/>
                <w:szCs w:val="21"/>
                <w:highlight w:val="none"/>
              </w:rPr>
              <w:t>最高限价</w:t>
            </w:r>
            <w:r>
              <w:rPr>
                <w:rFonts w:hint="eastAsia" w:ascii="宋体" w:hAnsi="宋体" w:eastAsia="宋体" w:cs="宋体"/>
                <w:b/>
                <w:bCs/>
                <w:color w:val="auto"/>
                <w:sz w:val="21"/>
                <w:szCs w:val="21"/>
                <w:highlight w:val="none"/>
                <w:lang w:val="en-US" w:eastAsia="zh-CN"/>
              </w:rPr>
              <w:t>合计</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元）</w:t>
            </w:r>
          </w:p>
        </w:tc>
      </w:tr>
      <w:tr w14:paraId="1243F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683" w:type="dxa"/>
            <w:tcBorders>
              <w:top w:val="single" w:color="auto" w:sz="4" w:space="0"/>
              <w:left w:val="single" w:color="auto" w:sz="4" w:space="0"/>
              <w:right w:val="single" w:color="auto" w:sz="4" w:space="0"/>
            </w:tcBorders>
            <w:noWrap w:val="0"/>
            <w:vAlign w:val="center"/>
          </w:tcPr>
          <w:p w14:paraId="1B2B179A">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1</w:t>
            </w:r>
          </w:p>
        </w:tc>
        <w:tc>
          <w:tcPr>
            <w:tcW w:w="1266" w:type="dxa"/>
            <w:tcBorders>
              <w:top w:val="single" w:color="auto" w:sz="4" w:space="0"/>
              <w:left w:val="single" w:color="auto" w:sz="4" w:space="0"/>
              <w:right w:val="single" w:color="auto" w:sz="4" w:space="0"/>
            </w:tcBorders>
            <w:noWrap w:val="0"/>
            <w:vAlign w:val="center"/>
          </w:tcPr>
          <w:p w14:paraId="1C44E23D">
            <w:pPr>
              <w:keepNext w:val="0"/>
              <w:keepLines w:val="0"/>
              <w:pageBreakBefore w:val="0"/>
              <w:kinsoku/>
              <w:wordWrap/>
              <w:overflowPunct/>
              <w:topLinePunct w:val="0"/>
              <w:autoSpaceDE/>
              <w:autoSpaceDN/>
              <w:bidi w:val="0"/>
              <w:adjustRightInd/>
              <w:snapToGrid/>
              <w:spacing w:line="380" w:lineRule="exact"/>
              <w:jc w:val="center"/>
              <w:textAlignment w:val="auto"/>
              <w:rPr>
                <w:rFonts w:hint="default" w:ascii="宋体" w:hAnsi="宋体" w:eastAsia="宋体" w:cs="宋体"/>
                <w:b/>
                <w:bCs/>
                <w:color w:val="auto"/>
                <w:sz w:val="21"/>
                <w:szCs w:val="21"/>
                <w:highlight w:val="none"/>
                <w:vertAlign w:val="baseline"/>
                <w:lang w:val="en-US" w:eastAsia="zh-CN"/>
              </w:rPr>
            </w:pPr>
            <w:r>
              <w:rPr>
                <w:rFonts w:hint="eastAsia" w:ascii="宋体" w:hAnsi="宋体" w:eastAsia="宋体" w:cs="宋体"/>
                <w:b/>
                <w:bCs w:val="0"/>
                <w:color w:val="auto"/>
                <w:sz w:val="21"/>
                <w:szCs w:val="21"/>
                <w:highlight w:val="none"/>
                <w:u w:val="none"/>
                <w:vertAlign w:val="baseline"/>
                <w:lang w:val="en-US" w:eastAsia="zh-CN"/>
              </w:rPr>
              <w:t>DR</w:t>
            </w:r>
          </w:p>
        </w:tc>
        <w:tc>
          <w:tcPr>
            <w:tcW w:w="850" w:type="dxa"/>
            <w:tcBorders>
              <w:top w:val="single" w:color="auto" w:sz="4" w:space="0"/>
              <w:left w:val="single" w:color="auto" w:sz="4" w:space="0"/>
              <w:right w:val="single" w:color="auto" w:sz="4" w:space="0"/>
            </w:tcBorders>
            <w:noWrap w:val="0"/>
            <w:vAlign w:val="center"/>
          </w:tcPr>
          <w:p w14:paraId="4A91C181">
            <w:pPr>
              <w:keepNext w:val="0"/>
              <w:keepLines w:val="0"/>
              <w:pageBreakBefore w:val="0"/>
              <w:kinsoku/>
              <w:wordWrap/>
              <w:overflowPunct/>
              <w:topLinePunct w:val="0"/>
              <w:autoSpaceDE/>
              <w:autoSpaceDN/>
              <w:bidi w:val="0"/>
              <w:adjustRightInd/>
              <w:snapToGrid/>
              <w:spacing w:line="380" w:lineRule="exact"/>
              <w:jc w:val="center"/>
              <w:textAlignment w:val="auto"/>
              <w:rPr>
                <w:rFonts w:hint="default" w:ascii="宋体" w:hAnsi="宋体" w:eastAsia="宋体" w:cs="宋体"/>
                <w:b/>
                <w:bCs/>
                <w:color w:val="auto"/>
                <w:sz w:val="21"/>
                <w:szCs w:val="21"/>
                <w:highlight w:val="none"/>
                <w:vertAlign w:val="baseline"/>
                <w:lang w:val="en-US" w:eastAsia="zh-CN"/>
              </w:rPr>
            </w:pPr>
            <w:r>
              <w:rPr>
                <w:rFonts w:hint="eastAsia" w:ascii="宋体" w:hAnsi="宋体" w:cs="宋体"/>
                <w:b/>
                <w:bCs/>
                <w:color w:val="auto"/>
                <w:sz w:val="21"/>
                <w:szCs w:val="21"/>
                <w:highlight w:val="none"/>
                <w:vertAlign w:val="baseline"/>
                <w:lang w:val="en-US" w:eastAsia="zh-CN"/>
              </w:rPr>
              <w:t>1台</w:t>
            </w:r>
          </w:p>
        </w:tc>
        <w:tc>
          <w:tcPr>
            <w:tcW w:w="5751" w:type="dxa"/>
            <w:tcBorders>
              <w:top w:val="single" w:color="auto" w:sz="4" w:space="0"/>
              <w:left w:val="single" w:color="auto" w:sz="4" w:space="0"/>
              <w:bottom w:val="single" w:color="auto" w:sz="4" w:space="0"/>
              <w:right w:val="single" w:color="auto" w:sz="4" w:space="0"/>
            </w:tcBorders>
            <w:noWrap w:val="0"/>
            <w:vAlign w:val="center"/>
          </w:tcPr>
          <w:p w14:paraId="63269F9C">
            <w:pPr>
              <w:keepNext w:val="0"/>
              <w:keepLines w:val="0"/>
              <w:pageBreakBefore w:val="0"/>
              <w:widowControl w:val="0"/>
              <w:numPr>
                <w:ilvl w:val="0"/>
                <w:numId w:val="2"/>
              </w:numPr>
              <w:kinsoku/>
              <w:wordWrap/>
              <w:overflowPunct/>
              <w:topLinePunct w:val="0"/>
              <w:autoSpaceDE/>
              <w:autoSpaceDN/>
              <w:bidi w:val="0"/>
              <w:adjustRightInd/>
              <w:snapToGrid/>
              <w:spacing w:line="400" w:lineRule="exact"/>
              <w:jc w:val="left"/>
              <w:textAlignment w:val="auto"/>
              <w:rPr>
                <w:rStyle w:val="42"/>
                <w:rFonts w:hint="eastAsia" w:ascii="宋体" w:hAnsi="宋体" w:eastAsia="宋体" w:cs="宋体"/>
                <w:color w:val="000000"/>
                <w:sz w:val="21"/>
                <w:szCs w:val="21"/>
                <w:highlight w:val="none"/>
                <w:lang w:val="en-US" w:eastAsia="zh-CN" w:bidi="ar"/>
              </w:rPr>
            </w:pPr>
            <w:r>
              <w:rPr>
                <w:rStyle w:val="42"/>
                <w:rFonts w:hint="eastAsia" w:ascii="宋体" w:hAnsi="宋体" w:eastAsia="宋体" w:cs="宋体"/>
                <w:color w:val="000000"/>
                <w:sz w:val="21"/>
                <w:szCs w:val="21"/>
                <w:highlight w:val="none"/>
                <w:lang w:val="en-US" w:eastAsia="zh-CN" w:bidi="ar"/>
              </w:rPr>
              <w:t>设备需采用天轨悬吊臂结构，悬吊机架须实现自动运动，电动切换机架的立位拍摄及卧位拍摄 ，并</w:t>
            </w:r>
            <w:r>
              <w:rPr>
                <w:rFonts w:hint="eastAsia" w:ascii="宋体" w:hAnsi="宋体" w:eastAsia="宋体" w:cs="宋体"/>
                <w:i w:val="0"/>
                <w:iCs w:val="0"/>
                <w:color w:val="000000"/>
                <w:kern w:val="0"/>
                <w:sz w:val="21"/>
                <w:szCs w:val="21"/>
                <w:highlight w:val="none"/>
                <w:u w:val="none"/>
                <w:lang w:val="en-US" w:eastAsia="zh-CN" w:bidi="ar"/>
              </w:rPr>
              <w:t>实现各类部位体位</w:t>
            </w:r>
            <w:r>
              <w:rPr>
                <w:rStyle w:val="42"/>
                <w:rFonts w:hint="eastAsia" w:ascii="宋体" w:hAnsi="宋体" w:eastAsia="宋体" w:cs="宋体"/>
                <w:color w:val="000000"/>
                <w:sz w:val="21"/>
                <w:szCs w:val="21"/>
                <w:highlight w:val="none"/>
                <w:lang w:val="en-US" w:eastAsia="zh-CN" w:bidi="ar"/>
              </w:rPr>
              <w:t>一键智能摆位功能。</w:t>
            </w:r>
          </w:p>
          <w:p w14:paraId="42F753F6">
            <w:pPr>
              <w:keepNext w:val="0"/>
              <w:keepLines w:val="0"/>
              <w:pageBreakBefore w:val="0"/>
              <w:widowControl w:val="0"/>
              <w:numPr>
                <w:ilvl w:val="0"/>
                <w:numId w:val="2"/>
              </w:numPr>
              <w:kinsoku/>
              <w:wordWrap/>
              <w:overflowPunct/>
              <w:topLinePunct w:val="0"/>
              <w:autoSpaceDE/>
              <w:autoSpaceDN/>
              <w:bidi w:val="0"/>
              <w:adjustRightInd/>
              <w:snapToGrid/>
              <w:spacing w:line="400" w:lineRule="exact"/>
              <w:jc w:val="left"/>
              <w:textAlignment w:val="auto"/>
              <w:rPr>
                <w:rStyle w:val="42"/>
                <w:rFonts w:hint="eastAsia" w:ascii="宋体" w:hAnsi="宋体" w:eastAsia="宋体" w:cs="宋体"/>
                <w:color w:val="000000"/>
                <w:sz w:val="21"/>
                <w:szCs w:val="21"/>
                <w:highlight w:val="none"/>
                <w:lang w:val="en-US" w:eastAsia="zh-CN" w:bidi="ar"/>
              </w:rPr>
            </w:pPr>
            <w:r>
              <w:rPr>
                <w:rStyle w:val="43"/>
                <w:rFonts w:hint="eastAsia" w:ascii="宋体" w:hAnsi="宋体" w:eastAsia="宋体" w:cs="宋体"/>
                <w:color w:val="000000"/>
                <w:sz w:val="21"/>
                <w:szCs w:val="21"/>
                <w:highlight w:val="none"/>
                <w:lang w:val="en-US" w:eastAsia="zh-CN" w:bidi="ar"/>
              </w:rPr>
              <w:t>主要技术规格和要求</w:t>
            </w:r>
            <w:r>
              <w:rPr>
                <w:rStyle w:val="44"/>
                <w:rFonts w:hint="eastAsia" w:ascii="宋体" w:hAnsi="宋体" w:eastAsia="宋体" w:cs="宋体"/>
                <w:color w:val="000000"/>
                <w:sz w:val="21"/>
                <w:szCs w:val="21"/>
                <w:highlight w:val="none"/>
                <w:lang w:val="en-US" w:eastAsia="zh-CN" w:bidi="ar"/>
              </w:rPr>
              <w:t></w:t>
            </w:r>
          </w:p>
          <w:p w14:paraId="17BA9B9F">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cs="宋体"/>
                <w:b/>
                <w:bCs/>
                <w:color w:val="000000"/>
                <w:sz w:val="21"/>
                <w:szCs w:val="21"/>
                <w:highlight w:val="none"/>
                <w:u w:val="none"/>
                <w:vertAlign w:val="baseline"/>
                <w:lang w:val="en-US" w:eastAsia="zh-CN"/>
              </w:rPr>
            </w:pPr>
            <w:r>
              <w:rPr>
                <w:rFonts w:hint="eastAsia" w:ascii="宋体" w:hAnsi="宋体" w:cs="宋体"/>
                <w:b/>
                <w:bCs/>
                <w:color w:val="000000"/>
                <w:sz w:val="21"/>
                <w:szCs w:val="21"/>
                <w:highlight w:val="none"/>
                <w:u w:val="none"/>
                <w:vertAlign w:val="baseline"/>
                <w:lang w:val="en-US" w:eastAsia="zh-CN"/>
              </w:rPr>
              <w:t>1、高压发生器</w:t>
            </w:r>
          </w:p>
          <w:p w14:paraId="3CC0087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cs="宋体"/>
                <w:b w:val="0"/>
                <w:bCs w:val="0"/>
                <w:color w:val="000000"/>
                <w:sz w:val="21"/>
                <w:szCs w:val="21"/>
                <w:highlight w:val="none"/>
                <w:u w:val="none"/>
                <w:vertAlign w:val="baseline"/>
                <w:lang w:val="en-US" w:eastAsia="zh-CN"/>
              </w:rPr>
            </w:pPr>
            <w:r>
              <w:rPr>
                <w:rFonts w:hint="eastAsia" w:ascii="宋体" w:hAnsi="宋体" w:eastAsia="宋体" w:cs="宋体"/>
                <w:bCs/>
                <w:color w:val="000000"/>
                <w:kern w:val="0"/>
                <w:sz w:val="21"/>
                <w:szCs w:val="21"/>
                <w:highlight w:val="none"/>
              </w:rPr>
              <w:t>▲</w:t>
            </w:r>
            <w:r>
              <w:rPr>
                <w:rFonts w:hint="eastAsia" w:ascii="宋体" w:hAnsi="宋体" w:cs="宋体"/>
                <w:b w:val="0"/>
                <w:bCs w:val="0"/>
                <w:color w:val="000000"/>
                <w:sz w:val="21"/>
                <w:szCs w:val="21"/>
                <w:highlight w:val="none"/>
                <w:u w:val="none"/>
                <w:vertAlign w:val="baseline"/>
                <w:lang w:val="en-US" w:eastAsia="zh-CN"/>
              </w:rPr>
              <w:t>1.1输出标称电功率：≥80kW</w:t>
            </w:r>
            <w:r>
              <w:rPr>
                <w:rFonts w:hint="default" w:ascii="宋体" w:hAnsi="宋体" w:cs="宋体"/>
                <w:b/>
                <w:bCs/>
                <w:color w:val="000000"/>
                <w:sz w:val="21"/>
                <w:szCs w:val="21"/>
                <w:highlight w:val="none"/>
                <w:u w:val="none"/>
                <w:vertAlign w:val="baseline"/>
                <w:lang w:val="en-US" w:eastAsia="zh-CN"/>
              </w:rPr>
              <w:t>（</w:t>
            </w:r>
            <w:r>
              <w:rPr>
                <w:rFonts w:hint="eastAsia" w:ascii="宋体" w:hAnsi="宋体" w:cs="宋体"/>
                <w:b/>
                <w:bCs/>
                <w:color w:val="000000"/>
                <w:sz w:val="21"/>
                <w:szCs w:val="21"/>
                <w:highlight w:val="none"/>
                <w:u w:val="none"/>
                <w:vertAlign w:val="baseline"/>
                <w:lang w:val="en-US" w:eastAsia="zh-CN"/>
              </w:rPr>
              <w:t>投标时提供包括但不限于印刷版技术参数说明书或投标产品的彩页或图片等作为佐证材料），</w:t>
            </w:r>
            <w:r>
              <w:rPr>
                <w:rFonts w:hint="eastAsia" w:ascii="宋体" w:hAnsi="宋体" w:cs="宋体"/>
                <w:b w:val="0"/>
                <w:bCs w:val="0"/>
                <w:color w:val="000000"/>
                <w:sz w:val="21"/>
                <w:szCs w:val="21"/>
                <w:highlight w:val="none"/>
                <w:u w:val="none"/>
                <w:vertAlign w:val="baseline"/>
                <w:lang w:val="en-US" w:eastAsia="zh-CN"/>
              </w:rPr>
              <w:t>验收时需提供权威第三方检测机构出具的产品检验报告；</w:t>
            </w:r>
          </w:p>
          <w:p w14:paraId="432AFF5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cs="宋体"/>
                <w:b w:val="0"/>
                <w:bCs w:val="0"/>
                <w:color w:val="000000"/>
                <w:sz w:val="21"/>
                <w:szCs w:val="21"/>
                <w:highlight w:val="none"/>
                <w:u w:val="none"/>
                <w:vertAlign w:val="baseline"/>
                <w:lang w:val="en-US" w:eastAsia="zh-CN"/>
              </w:rPr>
            </w:pPr>
            <w:r>
              <w:rPr>
                <w:rFonts w:hint="eastAsia" w:ascii="宋体" w:hAnsi="宋体" w:cs="宋体"/>
                <w:b w:val="0"/>
                <w:bCs w:val="0"/>
                <w:color w:val="000000"/>
                <w:sz w:val="21"/>
                <w:szCs w:val="21"/>
                <w:highlight w:val="none"/>
                <w:u w:val="none"/>
                <w:vertAlign w:val="baseline"/>
                <w:lang w:val="en-US" w:eastAsia="zh-CN"/>
              </w:rPr>
              <w:t>1.2摄影最大管电压：≥150kV；</w:t>
            </w:r>
          </w:p>
          <w:p w14:paraId="0577E5D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cs="宋体"/>
                <w:b w:val="0"/>
                <w:bCs w:val="0"/>
                <w:color w:val="000000"/>
                <w:sz w:val="21"/>
                <w:szCs w:val="21"/>
                <w:highlight w:val="none"/>
                <w:u w:val="none"/>
                <w:vertAlign w:val="baseline"/>
                <w:lang w:val="en-US" w:eastAsia="zh-CN"/>
              </w:rPr>
            </w:pPr>
            <w:r>
              <w:rPr>
                <w:rFonts w:hint="eastAsia" w:ascii="宋体" w:hAnsi="宋体" w:cs="宋体"/>
                <w:b w:val="0"/>
                <w:bCs w:val="0"/>
                <w:color w:val="000000"/>
                <w:sz w:val="21"/>
                <w:szCs w:val="21"/>
                <w:highlight w:val="none"/>
                <w:u w:val="none"/>
                <w:vertAlign w:val="baseline"/>
                <w:lang w:val="en-US" w:eastAsia="zh-CN"/>
              </w:rPr>
              <w:t>1.3透视最大管电压：≥125kV；</w:t>
            </w:r>
          </w:p>
          <w:p w14:paraId="6F843B2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cs="宋体"/>
                <w:b w:val="0"/>
                <w:bCs w:val="0"/>
                <w:color w:val="000000"/>
                <w:sz w:val="21"/>
                <w:szCs w:val="21"/>
                <w:highlight w:val="none"/>
                <w:u w:val="none"/>
                <w:vertAlign w:val="baseline"/>
                <w:lang w:val="en-US" w:eastAsia="zh-CN"/>
              </w:rPr>
            </w:pPr>
            <w:r>
              <w:rPr>
                <w:rFonts w:hint="eastAsia" w:ascii="宋体" w:hAnsi="宋体" w:cs="宋体"/>
                <w:b w:val="0"/>
                <w:bCs w:val="0"/>
                <w:color w:val="000000"/>
                <w:sz w:val="21"/>
                <w:szCs w:val="21"/>
                <w:highlight w:val="none"/>
                <w:u w:val="none"/>
                <w:vertAlign w:val="baseline"/>
                <w:lang w:val="en-US" w:eastAsia="zh-CN"/>
              </w:rPr>
              <w:t>1.4摄影最大管电流：≥1000mA；</w:t>
            </w:r>
          </w:p>
          <w:p w14:paraId="5528C44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cs="宋体"/>
                <w:b w:val="0"/>
                <w:bCs w:val="0"/>
                <w:color w:val="000000"/>
                <w:sz w:val="21"/>
                <w:szCs w:val="21"/>
                <w:highlight w:val="none"/>
                <w:u w:val="none"/>
                <w:vertAlign w:val="baseline"/>
                <w:lang w:val="en-US" w:eastAsia="zh-CN"/>
              </w:rPr>
            </w:pPr>
            <w:r>
              <w:rPr>
                <w:rFonts w:hint="eastAsia" w:ascii="宋体" w:hAnsi="宋体" w:eastAsia="宋体" w:cs="宋体"/>
                <w:bCs/>
                <w:color w:val="000000"/>
                <w:kern w:val="0"/>
                <w:sz w:val="21"/>
                <w:szCs w:val="21"/>
                <w:highlight w:val="none"/>
              </w:rPr>
              <w:t>▲</w:t>
            </w:r>
            <w:r>
              <w:rPr>
                <w:rFonts w:hint="eastAsia" w:ascii="宋体" w:hAnsi="宋体" w:cs="宋体"/>
                <w:b w:val="0"/>
                <w:bCs w:val="0"/>
                <w:color w:val="000000"/>
                <w:sz w:val="21"/>
                <w:szCs w:val="21"/>
                <w:highlight w:val="none"/>
                <w:u w:val="none"/>
                <w:vertAlign w:val="baseline"/>
                <w:lang w:val="en-US" w:eastAsia="zh-CN"/>
              </w:rPr>
              <w:t>1.5脉冲透视最大管电流：≥60mA</w:t>
            </w:r>
            <w:r>
              <w:rPr>
                <w:rFonts w:hint="default" w:ascii="宋体" w:hAnsi="宋体" w:cs="宋体"/>
                <w:b/>
                <w:bCs/>
                <w:color w:val="000000"/>
                <w:sz w:val="21"/>
                <w:szCs w:val="21"/>
                <w:highlight w:val="none"/>
                <w:u w:val="none"/>
                <w:vertAlign w:val="baseline"/>
                <w:lang w:val="en-US" w:eastAsia="zh-CN"/>
              </w:rPr>
              <w:t>（</w:t>
            </w:r>
            <w:r>
              <w:rPr>
                <w:rFonts w:hint="eastAsia" w:ascii="宋体" w:hAnsi="宋体" w:cs="宋体"/>
                <w:b/>
                <w:bCs/>
                <w:color w:val="000000"/>
                <w:sz w:val="21"/>
                <w:szCs w:val="21"/>
                <w:highlight w:val="none"/>
                <w:u w:val="none"/>
                <w:vertAlign w:val="baseline"/>
                <w:lang w:val="en-US" w:eastAsia="zh-CN"/>
              </w:rPr>
              <w:t>投标时提供包括但不限于印刷版技术参数说明书或投标产品的彩页或图片等作为佐证材料），</w:t>
            </w:r>
            <w:r>
              <w:rPr>
                <w:rFonts w:hint="eastAsia" w:ascii="宋体" w:hAnsi="宋体" w:cs="宋体"/>
                <w:b w:val="0"/>
                <w:bCs w:val="0"/>
                <w:color w:val="000000"/>
                <w:sz w:val="21"/>
                <w:szCs w:val="21"/>
                <w:highlight w:val="none"/>
                <w:u w:val="none"/>
                <w:vertAlign w:val="baseline"/>
                <w:lang w:val="en-US" w:eastAsia="zh-CN"/>
              </w:rPr>
              <w:t>验收时需提供权威第三方检测机构出具的产品检验报告；</w:t>
            </w:r>
          </w:p>
          <w:p w14:paraId="679BE6CB">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cs="宋体"/>
                <w:b w:val="0"/>
                <w:bCs w:val="0"/>
                <w:color w:val="000000"/>
                <w:sz w:val="21"/>
                <w:szCs w:val="21"/>
                <w:highlight w:val="none"/>
                <w:u w:val="none"/>
                <w:vertAlign w:val="baseline"/>
                <w:lang w:val="en-US" w:eastAsia="zh-CN"/>
              </w:rPr>
            </w:pPr>
            <w:r>
              <w:rPr>
                <w:rFonts w:hint="eastAsia" w:ascii="宋体" w:hAnsi="宋体" w:eastAsia="宋体" w:cs="宋体"/>
                <w:color w:val="000000"/>
                <w:kern w:val="0"/>
                <w:sz w:val="21"/>
                <w:szCs w:val="21"/>
                <w:highlight w:val="none"/>
                <w:lang w:val="en-US" w:eastAsia="zh-CN" w:bidi="ar"/>
              </w:rPr>
              <w:t>●</w:t>
            </w:r>
            <w:r>
              <w:rPr>
                <w:rFonts w:hint="eastAsia" w:ascii="宋体" w:hAnsi="宋体" w:cs="宋体"/>
                <w:b w:val="0"/>
                <w:bCs w:val="0"/>
                <w:color w:val="000000"/>
                <w:sz w:val="21"/>
                <w:szCs w:val="21"/>
                <w:highlight w:val="none"/>
                <w:u w:val="none"/>
                <w:vertAlign w:val="baseline"/>
                <w:lang w:val="en-US" w:eastAsia="zh-CN"/>
              </w:rPr>
              <w:t>1.6最大逆变频率：≥600kHz</w:t>
            </w:r>
            <w:r>
              <w:rPr>
                <w:rFonts w:hint="default" w:ascii="宋体" w:hAnsi="宋体" w:cs="宋体"/>
                <w:b/>
                <w:bCs/>
                <w:color w:val="000000"/>
                <w:sz w:val="21"/>
                <w:szCs w:val="21"/>
                <w:highlight w:val="none"/>
                <w:u w:val="none"/>
                <w:vertAlign w:val="baseline"/>
                <w:lang w:val="en-US" w:eastAsia="zh-CN"/>
              </w:rPr>
              <w:t>（</w:t>
            </w:r>
            <w:r>
              <w:rPr>
                <w:rFonts w:hint="eastAsia" w:ascii="宋体" w:hAnsi="宋体" w:cs="宋体"/>
                <w:b/>
                <w:bCs/>
                <w:color w:val="000000"/>
                <w:sz w:val="21"/>
                <w:szCs w:val="21"/>
                <w:highlight w:val="none"/>
                <w:u w:val="none"/>
                <w:vertAlign w:val="baseline"/>
                <w:lang w:val="en-US" w:eastAsia="zh-CN"/>
              </w:rPr>
              <w:t>投标时提供包括但不限于印刷版技术参数说明书或投标产品的彩页或图片等作为佐证材料），</w:t>
            </w:r>
            <w:r>
              <w:rPr>
                <w:rFonts w:hint="eastAsia" w:ascii="宋体" w:hAnsi="宋体" w:cs="宋体"/>
                <w:b w:val="0"/>
                <w:bCs w:val="0"/>
                <w:color w:val="000000"/>
                <w:sz w:val="21"/>
                <w:szCs w:val="21"/>
                <w:highlight w:val="none"/>
                <w:u w:val="none"/>
                <w:vertAlign w:val="baseline"/>
                <w:lang w:val="en-US" w:eastAsia="zh-CN"/>
              </w:rPr>
              <w:t>验收时需提供权威第三方检测机构出具的产品检验报告。</w:t>
            </w:r>
          </w:p>
          <w:p w14:paraId="0DD6C5DE">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cs="宋体"/>
                <w:b/>
                <w:bCs/>
                <w:color w:val="000000"/>
                <w:sz w:val="21"/>
                <w:szCs w:val="21"/>
                <w:highlight w:val="none"/>
                <w:u w:val="none"/>
                <w:vertAlign w:val="baseline"/>
                <w:lang w:val="en-US" w:eastAsia="zh-CN"/>
              </w:rPr>
            </w:pPr>
            <w:r>
              <w:rPr>
                <w:rFonts w:hint="eastAsia" w:ascii="宋体" w:hAnsi="宋体" w:cs="宋体"/>
                <w:b/>
                <w:bCs/>
                <w:color w:val="000000"/>
                <w:sz w:val="21"/>
                <w:szCs w:val="21"/>
                <w:highlight w:val="none"/>
                <w:u w:val="none"/>
                <w:vertAlign w:val="baseline"/>
                <w:lang w:val="en-US" w:eastAsia="zh-CN"/>
              </w:rPr>
              <w:t>X线球管</w:t>
            </w:r>
          </w:p>
          <w:p w14:paraId="177D8DE1">
            <w:pPr>
              <w:pStyle w:val="10"/>
              <w:keepNext w:val="0"/>
              <w:keepLines w:val="0"/>
              <w:pageBreakBefore w:val="0"/>
              <w:widowControl w:val="0"/>
              <w:kinsoku/>
              <w:wordWrap/>
              <w:overflowPunct/>
              <w:topLinePunct w:val="0"/>
              <w:autoSpaceDE/>
              <w:autoSpaceDN/>
              <w:bidi w:val="0"/>
              <w:adjustRightInd/>
              <w:snapToGrid/>
              <w:textAlignment w:val="auto"/>
              <w:rPr>
                <w:rFonts w:hint="eastAsia" w:ascii="宋体" w:hAnsi="宋体" w:cs="宋体"/>
                <w:b w:val="0"/>
                <w:bCs w:val="0"/>
                <w:color w:val="000000"/>
                <w:sz w:val="21"/>
                <w:szCs w:val="21"/>
                <w:highlight w:val="none"/>
                <w:u w:val="none"/>
                <w:vertAlign w:val="baseline"/>
                <w:lang w:val="en-US" w:eastAsia="zh-CN"/>
              </w:rPr>
            </w:pPr>
            <w:r>
              <w:rPr>
                <w:rFonts w:hint="eastAsia" w:ascii="宋体" w:hAnsi="宋体" w:cs="宋体"/>
                <w:b w:val="0"/>
                <w:bCs w:val="0"/>
                <w:color w:val="000000"/>
                <w:sz w:val="21"/>
                <w:szCs w:val="21"/>
                <w:highlight w:val="none"/>
                <w:u w:val="none"/>
                <w:vertAlign w:val="baseline"/>
                <w:lang w:val="en-US" w:eastAsia="zh-CN"/>
              </w:rPr>
              <w:t>2.1小焦点：≤0.6mm，大焦点≤1.2mm；</w:t>
            </w:r>
          </w:p>
          <w:p w14:paraId="70F18965">
            <w:pPr>
              <w:numPr>
                <w:ilvl w:val="0"/>
                <w:numId w:val="0"/>
              </w:numPr>
              <w:spacing w:line="400" w:lineRule="exact"/>
              <w:jc w:val="left"/>
              <w:rPr>
                <w:color w:val="000000"/>
                <w:highlight w:val="none"/>
              </w:rPr>
            </w:pPr>
            <w:r>
              <w:rPr>
                <w:rFonts w:hint="eastAsia" w:ascii="宋体" w:hAnsi="宋体" w:cs="宋体"/>
                <w:b w:val="0"/>
                <w:bCs w:val="0"/>
                <w:color w:val="000000"/>
                <w:sz w:val="21"/>
                <w:szCs w:val="21"/>
                <w:highlight w:val="none"/>
                <w:u w:val="none"/>
                <w:vertAlign w:val="baseline"/>
                <w:lang w:val="en-US" w:eastAsia="zh-CN"/>
              </w:rPr>
              <w:t>2.2阳极最大热容量：≥400kHU；</w:t>
            </w:r>
          </w:p>
          <w:p w14:paraId="728C33B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left"/>
              <w:textAlignment w:val="auto"/>
              <w:rPr>
                <w:rFonts w:hint="eastAsia" w:ascii="宋体" w:hAnsi="宋体" w:cs="宋体"/>
                <w:b w:val="0"/>
                <w:bCs w:val="0"/>
                <w:color w:val="000000"/>
                <w:sz w:val="21"/>
                <w:szCs w:val="21"/>
                <w:highlight w:val="none"/>
                <w:u w:val="none"/>
                <w:vertAlign w:val="baseline"/>
                <w:lang w:val="en-US" w:eastAsia="zh-CN"/>
              </w:rPr>
            </w:pPr>
            <w:r>
              <w:rPr>
                <w:rFonts w:hint="eastAsia" w:ascii="宋体" w:hAnsi="宋体" w:eastAsia="宋体" w:cs="宋体"/>
                <w:color w:val="000000"/>
                <w:kern w:val="0"/>
                <w:sz w:val="21"/>
                <w:szCs w:val="21"/>
                <w:highlight w:val="none"/>
                <w:lang w:val="en-US" w:eastAsia="zh-CN" w:bidi="ar"/>
              </w:rPr>
              <w:t>●</w:t>
            </w:r>
            <w:r>
              <w:rPr>
                <w:rFonts w:hint="eastAsia" w:ascii="宋体" w:hAnsi="宋体" w:cs="宋体"/>
                <w:b w:val="0"/>
                <w:bCs w:val="0"/>
                <w:color w:val="000000"/>
                <w:sz w:val="21"/>
                <w:szCs w:val="21"/>
                <w:highlight w:val="none"/>
                <w:u w:val="none"/>
                <w:vertAlign w:val="baseline"/>
                <w:lang w:val="en-US" w:eastAsia="zh-CN"/>
              </w:rPr>
              <w:t>2.3阳极旋转最高转速：≥10000rpm</w:t>
            </w:r>
            <w:r>
              <w:rPr>
                <w:rFonts w:hint="default" w:ascii="宋体" w:hAnsi="宋体" w:cs="宋体"/>
                <w:b/>
                <w:bCs/>
                <w:color w:val="000000"/>
                <w:sz w:val="21"/>
                <w:szCs w:val="21"/>
                <w:highlight w:val="none"/>
                <w:u w:val="none"/>
                <w:vertAlign w:val="baseline"/>
                <w:lang w:val="en-US" w:eastAsia="zh-CN"/>
              </w:rPr>
              <w:t>（</w:t>
            </w:r>
            <w:r>
              <w:rPr>
                <w:rFonts w:hint="eastAsia" w:ascii="宋体" w:hAnsi="宋体" w:cs="宋体"/>
                <w:b/>
                <w:bCs/>
                <w:color w:val="000000"/>
                <w:sz w:val="21"/>
                <w:szCs w:val="21"/>
                <w:highlight w:val="none"/>
                <w:u w:val="none"/>
                <w:vertAlign w:val="baseline"/>
                <w:lang w:val="en-US" w:eastAsia="zh-CN"/>
              </w:rPr>
              <w:t>投标时提供包括但不限于印刷版技术参数说明书或投标产品的彩页或图片等作为佐证材料），</w:t>
            </w:r>
            <w:r>
              <w:rPr>
                <w:rFonts w:hint="eastAsia" w:ascii="宋体" w:hAnsi="宋体" w:cs="宋体"/>
                <w:b w:val="0"/>
                <w:bCs w:val="0"/>
                <w:color w:val="000000"/>
                <w:sz w:val="21"/>
                <w:szCs w:val="21"/>
                <w:highlight w:val="none"/>
                <w:u w:val="none"/>
                <w:vertAlign w:val="baseline"/>
                <w:lang w:val="en-US" w:eastAsia="zh-CN"/>
              </w:rPr>
              <w:t>验收时需提供权威第三方检测机构出具的产品检验报告。</w:t>
            </w:r>
          </w:p>
          <w:p w14:paraId="5EE66E71">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cs="宋体"/>
                <w:b/>
                <w:bCs/>
                <w:color w:val="000000"/>
                <w:sz w:val="21"/>
                <w:szCs w:val="21"/>
                <w:highlight w:val="none"/>
                <w:u w:val="none"/>
                <w:vertAlign w:val="baseline"/>
                <w:lang w:val="en-US" w:eastAsia="zh-CN"/>
              </w:rPr>
            </w:pPr>
            <w:r>
              <w:rPr>
                <w:rFonts w:hint="eastAsia" w:ascii="宋体" w:hAnsi="宋体" w:cs="宋体"/>
                <w:b/>
                <w:bCs/>
                <w:color w:val="000000"/>
                <w:sz w:val="21"/>
                <w:szCs w:val="21"/>
                <w:highlight w:val="none"/>
                <w:u w:val="none"/>
                <w:vertAlign w:val="baseline"/>
                <w:lang w:val="en-US" w:eastAsia="zh-CN"/>
              </w:rPr>
              <w:t>球管悬吊支架</w:t>
            </w:r>
          </w:p>
          <w:p w14:paraId="71F7D19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left"/>
              <w:textAlignment w:val="auto"/>
              <w:rPr>
                <w:rFonts w:hint="eastAsia" w:ascii="宋体" w:hAnsi="宋体" w:cs="宋体"/>
                <w:b w:val="0"/>
                <w:bCs w:val="0"/>
                <w:color w:val="000000"/>
                <w:sz w:val="21"/>
                <w:szCs w:val="21"/>
                <w:highlight w:val="none"/>
                <w:u w:val="none"/>
                <w:vertAlign w:val="baseline"/>
                <w:lang w:val="en-US" w:eastAsia="zh-CN"/>
              </w:rPr>
            </w:pPr>
            <w:r>
              <w:rPr>
                <w:rFonts w:hint="eastAsia" w:ascii="宋体" w:hAnsi="宋体" w:cs="宋体"/>
                <w:b w:val="0"/>
                <w:bCs w:val="0"/>
                <w:color w:val="000000"/>
                <w:sz w:val="21"/>
                <w:szCs w:val="21"/>
                <w:highlight w:val="none"/>
                <w:u w:val="none"/>
                <w:vertAlign w:val="baseline"/>
                <w:lang w:val="en-US" w:eastAsia="zh-CN"/>
              </w:rPr>
              <w:t>3.1球管绕水平轴旋转范围：≥±120°；</w:t>
            </w:r>
          </w:p>
          <w:p w14:paraId="52EC278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left"/>
              <w:textAlignment w:val="auto"/>
              <w:rPr>
                <w:rFonts w:hint="eastAsia" w:ascii="宋体" w:hAnsi="宋体" w:cs="宋体"/>
                <w:b w:val="0"/>
                <w:bCs w:val="0"/>
                <w:color w:val="000000"/>
                <w:sz w:val="21"/>
                <w:szCs w:val="21"/>
                <w:highlight w:val="none"/>
                <w:u w:val="none"/>
                <w:vertAlign w:val="baseline"/>
                <w:lang w:val="en-US" w:eastAsia="zh-CN"/>
              </w:rPr>
            </w:pPr>
            <w:r>
              <w:rPr>
                <w:rFonts w:hint="eastAsia" w:ascii="宋体" w:hAnsi="宋体" w:eastAsia="宋体" w:cs="宋体"/>
                <w:color w:val="000000"/>
                <w:kern w:val="0"/>
                <w:sz w:val="21"/>
                <w:szCs w:val="21"/>
                <w:highlight w:val="none"/>
                <w:lang w:val="en-US" w:eastAsia="zh-CN" w:bidi="ar"/>
              </w:rPr>
              <w:t>●</w:t>
            </w:r>
            <w:r>
              <w:rPr>
                <w:rFonts w:hint="eastAsia" w:ascii="宋体" w:hAnsi="宋体" w:cs="宋体"/>
                <w:b w:val="0"/>
                <w:bCs w:val="0"/>
                <w:color w:val="000000"/>
                <w:sz w:val="21"/>
                <w:szCs w:val="21"/>
                <w:highlight w:val="none"/>
                <w:u w:val="none"/>
                <w:vertAlign w:val="baseline"/>
                <w:lang w:val="en-US" w:eastAsia="zh-CN"/>
              </w:rPr>
              <w:t>3.2球管绕垂直轴旋转范围：0</w:t>
            </w:r>
            <w:r>
              <w:rPr>
                <w:rFonts w:hint="eastAsia" w:ascii="宋体" w:hAnsi="宋体" w:eastAsia="宋体" w:cs="宋体"/>
                <w:color w:val="auto"/>
                <w:sz w:val="21"/>
                <w:szCs w:val="21"/>
                <w:highlight w:val="none"/>
              </w:rPr>
              <w:t>～</w:t>
            </w:r>
            <w:r>
              <w:rPr>
                <w:rFonts w:hint="eastAsia" w:ascii="宋体" w:hAnsi="宋体" w:cs="宋体"/>
                <w:b w:val="0"/>
                <w:bCs w:val="0"/>
                <w:color w:val="000000"/>
                <w:sz w:val="21"/>
                <w:szCs w:val="21"/>
                <w:highlight w:val="none"/>
                <w:u w:val="none"/>
                <w:vertAlign w:val="baseline"/>
                <w:lang w:val="en-US" w:eastAsia="zh-CN"/>
              </w:rPr>
              <w:t>320°或±160°</w:t>
            </w:r>
            <w:r>
              <w:rPr>
                <w:rFonts w:hint="default" w:ascii="宋体" w:hAnsi="宋体" w:cs="宋体"/>
                <w:b/>
                <w:bCs/>
                <w:color w:val="000000"/>
                <w:sz w:val="21"/>
                <w:szCs w:val="21"/>
                <w:highlight w:val="none"/>
                <w:u w:val="none"/>
                <w:vertAlign w:val="baseline"/>
                <w:lang w:val="en-US" w:eastAsia="zh-CN"/>
              </w:rPr>
              <w:t>（</w:t>
            </w:r>
            <w:r>
              <w:rPr>
                <w:rFonts w:hint="eastAsia" w:ascii="宋体" w:hAnsi="宋体" w:cs="宋体"/>
                <w:b/>
                <w:bCs/>
                <w:color w:val="000000"/>
                <w:sz w:val="21"/>
                <w:szCs w:val="21"/>
                <w:highlight w:val="none"/>
                <w:u w:val="none"/>
                <w:vertAlign w:val="baseline"/>
                <w:lang w:val="en-US" w:eastAsia="zh-CN"/>
              </w:rPr>
              <w:t>投标时提供包括但不限于印刷版技术参数说明书或投标产品的彩页或图片等作为佐证材料），</w:t>
            </w:r>
            <w:r>
              <w:rPr>
                <w:rFonts w:hint="eastAsia" w:ascii="宋体" w:hAnsi="宋体" w:cs="宋体"/>
                <w:b w:val="0"/>
                <w:bCs w:val="0"/>
                <w:color w:val="000000"/>
                <w:sz w:val="21"/>
                <w:szCs w:val="21"/>
                <w:highlight w:val="none"/>
                <w:u w:val="none"/>
                <w:vertAlign w:val="baseline"/>
                <w:lang w:val="en-US" w:eastAsia="zh-CN"/>
              </w:rPr>
              <w:t>验收时需提供权威第三方检测机构出具的产品检验报告；</w:t>
            </w:r>
          </w:p>
          <w:p w14:paraId="7029BF1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left"/>
              <w:textAlignment w:val="auto"/>
              <w:rPr>
                <w:rFonts w:hint="eastAsia" w:ascii="宋体" w:hAnsi="宋体" w:cs="宋体"/>
                <w:b w:val="0"/>
                <w:bCs w:val="0"/>
                <w:color w:val="000000"/>
                <w:sz w:val="21"/>
                <w:szCs w:val="21"/>
                <w:highlight w:val="none"/>
                <w:u w:val="none"/>
                <w:vertAlign w:val="baseline"/>
                <w:lang w:val="en-US" w:eastAsia="zh-CN"/>
              </w:rPr>
            </w:pPr>
            <w:r>
              <w:rPr>
                <w:rFonts w:hint="eastAsia" w:ascii="宋体" w:hAnsi="宋体" w:cs="宋体"/>
                <w:b w:val="0"/>
                <w:bCs w:val="0"/>
                <w:color w:val="000000"/>
                <w:sz w:val="21"/>
                <w:szCs w:val="21"/>
                <w:highlight w:val="none"/>
                <w:u w:val="none"/>
                <w:vertAlign w:val="baseline"/>
                <w:lang w:val="en-US" w:eastAsia="zh-CN"/>
              </w:rPr>
              <w:t>3.3球管垂直升降移动范围：≥1500 mm；</w:t>
            </w:r>
          </w:p>
          <w:p w14:paraId="3300DAA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left"/>
              <w:textAlignment w:val="auto"/>
              <w:rPr>
                <w:rFonts w:hint="eastAsia" w:ascii="宋体" w:hAnsi="宋体" w:cs="宋体"/>
                <w:b w:val="0"/>
                <w:bCs w:val="0"/>
                <w:color w:val="000000"/>
                <w:sz w:val="21"/>
                <w:szCs w:val="21"/>
                <w:highlight w:val="none"/>
                <w:u w:val="none"/>
                <w:vertAlign w:val="baseline"/>
                <w:lang w:val="en-US" w:eastAsia="zh-CN"/>
              </w:rPr>
            </w:pPr>
            <w:r>
              <w:rPr>
                <w:rFonts w:hint="eastAsia" w:ascii="宋体" w:hAnsi="宋体" w:cs="宋体"/>
                <w:b w:val="0"/>
                <w:bCs w:val="0"/>
                <w:color w:val="000000"/>
                <w:sz w:val="21"/>
                <w:szCs w:val="21"/>
                <w:highlight w:val="none"/>
                <w:u w:val="none"/>
                <w:vertAlign w:val="baseline"/>
                <w:lang w:val="en-US" w:eastAsia="zh-CN"/>
              </w:rPr>
              <w:t>3.4球管沿天轨横向运动范围:≥3000mm；</w:t>
            </w:r>
          </w:p>
          <w:p w14:paraId="6515795B">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left"/>
              <w:textAlignment w:val="auto"/>
              <w:rPr>
                <w:rFonts w:hint="eastAsia" w:ascii="宋体" w:hAnsi="宋体" w:cs="宋体"/>
                <w:b w:val="0"/>
                <w:bCs w:val="0"/>
                <w:color w:val="000000"/>
                <w:sz w:val="21"/>
                <w:szCs w:val="21"/>
                <w:highlight w:val="none"/>
                <w:u w:val="none"/>
                <w:vertAlign w:val="baseline"/>
                <w:lang w:val="en-US" w:eastAsia="zh-CN"/>
              </w:rPr>
            </w:pPr>
            <w:r>
              <w:rPr>
                <w:rFonts w:hint="eastAsia" w:ascii="宋体" w:hAnsi="宋体" w:cs="宋体"/>
                <w:b w:val="0"/>
                <w:bCs w:val="0"/>
                <w:color w:val="000000"/>
                <w:sz w:val="21"/>
                <w:szCs w:val="21"/>
                <w:highlight w:val="none"/>
                <w:u w:val="none"/>
                <w:vertAlign w:val="baseline"/>
                <w:lang w:val="en-US" w:eastAsia="zh-CN"/>
              </w:rPr>
              <w:t>3.5球管沿天轨纵向运动范围:≥2000mm；</w:t>
            </w:r>
          </w:p>
          <w:p w14:paraId="19A9FC1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left"/>
              <w:textAlignment w:val="auto"/>
              <w:rPr>
                <w:rFonts w:hint="eastAsia" w:ascii="宋体" w:hAnsi="宋体" w:cs="宋体"/>
                <w:b w:val="0"/>
                <w:bCs w:val="0"/>
                <w:color w:val="000000"/>
                <w:sz w:val="21"/>
                <w:szCs w:val="21"/>
                <w:highlight w:val="none"/>
                <w:u w:val="none"/>
                <w:vertAlign w:val="baseline"/>
                <w:lang w:val="en-US" w:eastAsia="zh-CN"/>
              </w:rPr>
            </w:pPr>
            <w:r>
              <w:rPr>
                <w:rFonts w:hint="eastAsia" w:ascii="宋体" w:hAnsi="宋体" w:cs="宋体"/>
                <w:b w:val="0"/>
                <w:bCs w:val="0"/>
                <w:color w:val="000000"/>
                <w:sz w:val="21"/>
                <w:szCs w:val="21"/>
                <w:highlight w:val="none"/>
                <w:u w:val="none"/>
                <w:vertAlign w:val="baseline"/>
                <w:lang w:val="en-US" w:eastAsia="zh-CN"/>
              </w:rPr>
              <w:t>3.6具备卧位、胸片位双向自动跟踪功能；</w:t>
            </w:r>
          </w:p>
          <w:p w14:paraId="1434CAA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left"/>
              <w:textAlignment w:val="auto"/>
              <w:rPr>
                <w:rFonts w:hint="eastAsia" w:ascii="宋体" w:hAnsi="宋体" w:cs="宋体"/>
                <w:b w:val="0"/>
                <w:bCs w:val="0"/>
                <w:color w:val="000000"/>
                <w:sz w:val="21"/>
                <w:szCs w:val="21"/>
                <w:highlight w:val="none"/>
                <w:u w:val="none"/>
                <w:vertAlign w:val="baseline"/>
                <w:lang w:val="en-US" w:eastAsia="zh-CN"/>
              </w:rPr>
            </w:pPr>
            <w:r>
              <w:rPr>
                <w:rFonts w:hint="eastAsia" w:ascii="宋体" w:hAnsi="宋体" w:cs="宋体"/>
                <w:b w:val="0"/>
                <w:bCs w:val="0"/>
                <w:color w:val="000000"/>
                <w:sz w:val="21"/>
                <w:szCs w:val="21"/>
                <w:highlight w:val="none"/>
                <w:u w:val="none"/>
                <w:vertAlign w:val="baseline"/>
                <w:lang w:val="en-US" w:eastAsia="zh-CN"/>
              </w:rPr>
              <w:t>3.7探测器与球管可以实现打角度自动跟踪；</w:t>
            </w:r>
          </w:p>
          <w:p w14:paraId="5A1C1D9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left"/>
              <w:textAlignment w:val="auto"/>
              <w:rPr>
                <w:rFonts w:hint="eastAsia" w:ascii="宋体" w:hAnsi="宋体" w:cs="宋体"/>
                <w:b w:val="0"/>
                <w:bCs w:val="0"/>
                <w:color w:val="000000"/>
                <w:sz w:val="21"/>
                <w:szCs w:val="21"/>
                <w:highlight w:val="none"/>
                <w:u w:val="none"/>
                <w:vertAlign w:val="baseline"/>
                <w:lang w:val="en-US" w:eastAsia="zh-CN"/>
              </w:rPr>
            </w:pPr>
            <w:r>
              <w:rPr>
                <w:rFonts w:hint="eastAsia" w:ascii="宋体" w:hAnsi="宋体" w:cs="宋体"/>
                <w:b w:val="0"/>
                <w:bCs w:val="0"/>
                <w:color w:val="000000"/>
                <w:sz w:val="21"/>
                <w:szCs w:val="21"/>
                <w:highlight w:val="none"/>
                <w:u w:val="none"/>
                <w:vertAlign w:val="baseline"/>
                <w:lang w:val="en-US" w:eastAsia="zh-CN"/>
              </w:rPr>
              <w:t>3.8探测器与球管可以实现偏中心自动跟踪；</w:t>
            </w:r>
          </w:p>
          <w:p w14:paraId="0C31420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left"/>
              <w:textAlignment w:val="auto"/>
              <w:rPr>
                <w:rFonts w:hint="eastAsia" w:ascii="宋体" w:hAnsi="宋体" w:cs="宋体"/>
                <w:b w:val="0"/>
                <w:bCs w:val="0"/>
                <w:color w:val="000000"/>
                <w:sz w:val="21"/>
                <w:szCs w:val="21"/>
                <w:highlight w:val="none"/>
                <w:u w:val="none"/>
                <w:vertAlign w:val="baseline"/>
                <w:lang w:val="en-US" w:eastAsia="zh-CN"/>
              </w:rPr>
            </w:pPr>
            <w:r>
              <w:rPr>
                <w:rFonts w:hint="eastAsia" w:ascii="宋体" w:hAnsi="宋体" w:cs="宋体"/>
                <w:b w:val="0"/>
                <w:bCs w:val="0"/>
                <w:color w:val="000000"/>
                <w:sz w:val="21"/>
                <w:szCs w:val="21"/>
                <w:highlight w:val="none"/>
                <w:u w:val="none"/>
                <w:vertAlign w:val="baseline"/>
                <w:lang w:val="en-US" w:eastAsia="zh-CN"/>
              </w:rPr>
              <w:t>3.9探测器与球管可以实现偏中心打角度自动跟踪；</w:t>
            </w:r>
          </w:p>
          <w:p w14:paraId="0C23E1C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left"/>
              <w:textAlignment w:val="auto"/>
              <w:rPr>
                <w:rFonts w:hint="eastAsia" w:ascii="宋体" w:hAnsi="宋体" w:cs="宋体"/>
                <w:b w:val="0"/>
                <w:bCs w:val="0"/>
                <w:color w:val="000000"/>
                <w:sz w:val="21"/>
                <w:szCs w:val="21"/>
                <w:highlight w:val="none"/>
                <w:u w:val="none"/>
                <w:vertAlign w:val="baseline"/>
                <w:lang w:val="en-US" w:eastAsia="zh-CN"/>
              </w:rPr>
            </w:pPr>
            <w:r>
              <w:rPr>
                <w:rFonts w:hint="eastAsia" w:ascii="宋体" w:hAnsi="宋体" w:cs="宋体"/>
                <w:b w:val="0"/>
                <w:bCs w:val="0"/>
                <w:color w:val="000000"/>
                <w:sz w:val="21"/>
                <w:szCs w:val="21"/>
                <w:highlight w:val="none"/>
                <w:u w:val="none"/>
                <w:vertAlign w:val="baseline"/>
                <w:lang w:val="en-US" w:eastAsia="zh-CN"/>
              </w:rPr>
              <w:t>3.10具有内置一体化语音对讲系统。</w:t>
            </w:r>
          </w:p>
          <w:p w14:paraId="0B42F2D4">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cs="宋体"/>
                <w:b/>
                <w:bCs/>
                <w:color w:val="000000"/>
                <w:sz w:val="21"/>
                <w:szCs w:val="21"/>
                <w:highlight w:val="none"/>
                <w:u w:val="none"/>
                <w:vertAlign w:val="baseline"/>
                <w:lang w:val="en-US" w:eastAsia="zh-CN"/>
              </w:rPr>
            </w:pPr>
            <w:r>
              <w:rPr>
                <w:rFonts w:hint="eastAsia" w:ascii="宋体" w:hAnsi="宋体" w:cs="宋体"/>
                <w:b/>
                <w:bCs/>
                <w:color w:val="000000"/>
                <w:sz w:val="21"/>
                <w:szCs w:val="21"/>
                <w:highlight w:val="none"/>
                <w:u w:val="none"/>
                <w:vertAlign w:val="baseline"/>
                <w:lang w:val="en-US" w:eastAsia="zh-CN"/>
              </w:rPr>
              <w:t>无线平板探测器</w:t>
            </w:r>
          </w:p>
          <w:p w14:paraId="25E0238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left"/>
              <w:textAlignment w:val="auto"/>
              <w:rPr>
                <w:rFonts w:hint="default" w:ascii="宋体" w:hAnsi="宋体" w:cs="宋体"/>
                <w:b w:val="0"/>
                <w:bCs w:val="0"/>
                <w:color w:val="000000"/>
                <w:sz w:val="21"/>
                <w:szCs w:val="21"/>
                <w:highlight w:val="none"/>
                <w:u w:val="none"/>
                <w:vertAlign w:val="baseline"/>
                <w:lang w:val="en-US" w:eastAsia="zh-CN"/>
              </w:rPr>
            </w:pPr>
            <w:r>
              <w:rPr>
                <w:rFonts w:hint="eastAsia" w:ascii="宋体" w:hAnsi="宋体" w:cs="宋体"/>
                <w:b w:val="0"/>
                <w:bCs w:val="0"/>
                <w:color w:val="000000"/>
                <w:sz w:val="21"/>
                <w:szCs w:val="21"/>
                <w:highlight w:val="none"/>
                <w:u w:val="none"/>
                <w:vertAlign w:val="baseline"/>
                <w:lang w:val="en-US" w:eastAsia="zh-CN"/>
              </w:rPr>
              <w:t>4.1像素尺寸：≤139µm ；</w:t>
            </w:r>
          </w:p>
          <w:p w14:paraId="1E223CBB">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left"/>
              <w:textAlignment w:val="auto"/>
              <w:rPr>
                <w:rFonts w:hint="default" w:ascii="宋体" w:hAnsi="宋体" w:cs="宋体"/>
                <w:b w:val="0"/>
                <w:bCs w:val="0"/>
                <w:color w:val="000000"/>
                <w:sz w:val="21"/>
                <w:szCs w:val="21"/>
                <w:highlight w:val="none"/>
                <w:u w:val="none"/>
                <w:vertAlign w:val="baseline"/>
                <w:lang w:val="en-US" w:eastAsia="zh-CN"/>
              </w:rPr>
            </w:pPr>
            <w:r>
              <w:rPr>
                <w:rFonts w:hint="eastAsia" w:ascii="宋体" w:hAnsi="宋体" w:cs="宋体"/>
                <w:b w:val="0"/>
                <w:bCs w:val="0"/>
                <w:color w:val="000000"/>
                <w:sz w:val="21"/>
                <w:szCs w:val="21"/>
                <w:highlight w:val="none"/>
                <w:u w:val="none"/>
                <w:vertAlign w:val="baseline"/>
                <w:lang w:val="en-US" w:eastAsia="zh-CN"/>
              </w:rPr>
              <w:t>4.2空间分辨率：≥3.7lp/mm ；</w:t>
            </w:r>
          </w:p>
          <w:p w14:paraId="68A9862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left"/>
              <w:textAlignment w:val="auto"/>
              <w:rPr>
                <w:rFonts w:hint="default" w:ascii="宋体" w:hAnsi="宋体" w:cs="宋体"/>
                <w:b w:val="0"/>
                <w:bCs w:val="0"/>
                <w:color w:val="000000"/>
                <w:sz w:val="21"/>
                <w:szCs w:val="21"/>
                <w:highlight w:val="none"/>
                <w:u w:val="none"/>
                <w:vertAlign w:val="baseline"/>
                <w:lang w:val="en-US" w:eastAsia="zh-CN"/>
              </w:rPr>
            </w:pPr>
            <w:r>
              <w:rPr>
                <w:rFonts w:hint="eastAsia" w:ascii="宋体" w:hAnsi="宋体" w:cs="宋体"/>
                <w:b w:val="0"/>
                <w:bCs w:val="0"/>
                <w:color w:val="000000"/>
                <w:sz w:val="21"/>
                <w:szCs w:val="21"/>
                <w:highlight w:val="none"/>
                <w:u w:val="none"/>
                <w:vertAlign w:val="baseline"/>
                <w:lang w:val="en-US" w:eastAsia="zh-CN"/>
              </w:rPr>
              <w:t>4.3成像区域：≥43×43cm² ；</w:t>
            </w:r>
          </w:p>
          <w:p w14:paraId="29AF421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left"/>
              <w:textAlignment w:val="auto"/>
              <w:rPr>
                <w:rFonts w:hint="eastAsia" w:ascii="宋体" w:hAnsi="宋体" w:cs="宋体"/>
                <w:b w:val="0"/>
                <w:bCs w:val="0"/>
                <w:color w:val="000000"/>
                <w:sz w:val="21"/>
                <w:szCs w:val="21"/>
                <w:highlight w:val="none"/>
                <w:u w:val="none"/>
                <w:vertAlign w:val="baseline"/>
                <w:lang w:val="en-US" w:eastAsia="zh-CN"/>
              </w:rPr>
            </w:pPr>
            <w:r>
              <w:rPr>
                <w:rFonts w:hint="eastAsia" w:ascii="宋体" w:hAnsi="宋体" w:cs="宋体"/>
                <w:b w:val="0"/>
                <w:bCs w:val="0"/>
                <w:color w:val="000000"/>
                <w:sz w:val="21"/>
                <w:szCs w:val="21"/>
                <w:highlight w:val="none"/>
                <w:u w:val="none"/>
                <w:vertAlign w:val="baseline"/>
                <w:lang w:val="en-US" w:eastAsia="zh-CN"/>
              </w:rPr>
              <w:t>4.4摄影采集矩阵：≥3072×3072；</w:t>
            </w:r>
          </w:p>
          <w:p w14:paraId="7FCAD98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left"/>
              <w:textAlignment w:val="auto"/>
              <w:rPr>
                <w:rFonts w:hint="eastAsia" w:ascii="宋体" w:hAnsi="宋体" w:cs="宋体"/>
                <w:b w:val="0"/>
                <w:bCs w:val="0"/>
                <w:color w:val="000000"/>
                <w:sz w:val="21"/>
                <w:szCs w:val="21"/>
                <w:highlight w:val="none"/>
                <w:u w:val="none"/>
                <w:vertAlign w:val="baseline"/>
                <w:lang w:val="en-US" w:eastAsia="zh-CN"/>
              </w:rPr>
            </w:pPr>
            <w:r>
              <w:rPr>
                <w:rFonts w:hint="eastAsia" w:ascii="宋体" w:hAnsi="宋体" w:eastAsia="宋体" w:cs="宋体"/>
                <w:bCs/>
                <w:color w:val="000000"/>
                <w:kern w:val="0"/>
                <w:sz w:val="21"/>
                <w:szCs w:val="21"/>
                <w:highlight w:val="none"/>
              </w:rPr>
              <w:t>▲</w:t>
            </w:r>
            <w:r>
              <w:rPr>
                <w:rFonts w:hint="eastAsia" w:ascii="宋体" w:hAnsi="宋体" w:cs="宋体"/>
                <w:b w:val="0"/>
                <w:bCs w:val="0"/>
                <w:color w:val="000000"/>
                <w:sz w:val="21"/>
                <w:szCs w:val="21"/>
                <w:highlight w:val="none"/>
                <w:u w:val="none"/>
                <w:vertAlign w:val="baseline"/>
                <w:lang w:val="en-US" w:eastAsia="zh-CN"/>
              </w:rPr>
              <w:t>4.5透视最大矩阵：≥1500×1500</w:t>
            </w:r>
            <w:r>
              <w:rPr>
                <w:rFonts w:hint="default" w:ascii="宋体" w:hAnsi="宋体" w:cs="宋体"/>
                <w:b/>
                <w:bCs/>
                <w:color w:val="000000"/>
                <w:sz w:val="21"/>
                <w:szCs w:val="21"/>
                <w:highlight w:val="none"/>
                <w:u w:val="none"/>
                <w:vertAlign w:val="baseline"/>
                <w:lang w:val="en-US" w:eastAsia="zh-CN"/>
              </w:rPr>
              <w:t>（</w:t>
            </w:r>
            <w:r>
              <w:rPr>
                <w:rFonts w:hint="eastAsia" w:ascii="宋体" w:hAnsi="宋体" w:cs="宋体"/>
                <w:b/>
                <w:bCs/>
                <w:color w:val="000000"/>
                <w:sz w:val="21"/>
                <w:szCs w:val="21"/>
                <w:highlight w:val="none"/>
                <w:u w:val="none"/>
                <w:vertAlign w:val="baseline"/>
                <w:lang w:val="en-US" w:eastAsia="zh-CN"/>
              </w:rPr>
              <w:t>投标时提供包括但不限于印刷版技术参数说明书或投标产品的彩页或图片等作为佐证材料），</w:t>
            </w:r>
            <w:r>
              <w:rPr>
                <w:rFonts w:hint="eastAsia" w:ascii="宋体" w:hAnsi="宋体" w:cs="宋体"/>
                <w:b w:val="0"/>
                <w:bCs w:val="0"/>
                <w:color w:val="000000"/>
                <w:sz w:val="21"/>
                <w:szCs w:val="21"/>
                <w:highlight w:val="none"/>
                <w:u w:val="none"/>
                <w:vertAlign w:val="baseline"/>
                <w:lang w:val="en-US" w:eastAsia="zh-CN"/>
              </w:rPr>
              <w:t>验收时需提供权威第三方检测机构出具的产品检验报告；</w:t>
            </w:r>
          </w:p>
          <w:p w14:paraId="44E5444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left"/>
              <w:textAlignment w:val="auto"/>
              <w:rPr>
                <w:rFonts w:hint="eastAsia" w:ascii="宋体" w:hAnsi="宋体" w:cs="宋体"/>
                <w:b w:val="0"/>
                <w:bCs w:val="0"/>
                <w:color w:val="000000"/>
                <w:sz w:val="21"/>
                <w:szCs w:val="21"/>
                <w:highlight w:val="none"/>
                <w:u w:val="none"/>
                <w:vertAlign w:val="baseline"/>
                <w:lang w:val="en-US" w:eastAsia="zh-CN"/>
              </w:rPr>
            </w:pPr>
            <w:r>
              <w:rPr>
                <w:rFonts w:hint="eastAsia" w:ascii="宋体" w:hAnsi="宋体" w:cs="宋体"/>
                <w:b w:val="0"/>
                <w:bCs w:val="0"/>
                <w:color w:val="000000"/>
                <w:sz w:val="21"/>
                <w:szCs w:val="21"/>
                <w:highlight w:val="none"/>
                <w:u w:val="none"/>
                <w:vertAlign w:val="baseline"/>
                <w:lang w:val="en-US" w:eastAsia="zh-CN"/>
              </w:rPr>
              <w:t>4.6连续点片最大矩阵：≥1500×1500；</w:t>
            </w:r>
          </w:p>
          <w:p w14:paraId="1C70981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left"/>
              <w:textAlignment w:val="auto"/>
              <w:rPr>
                <w:rFonts w:hint="eastAsia" w:ascii="宋体" w:hAnsi="宋体" w:cs="宋体"/>
                <w:b w:val="0"/>
                <w:bCs w:val="0"/>
                <w:color w:val="000000"/>
                <w:sz w:val="21"/>
                <w:szCs w:val="21"/>
                <w:highlight w:val="none"/>
                <w:u w:val="none"/>
                <w:vertAlign w:val="baseline"/>
                <w:lang w:val="en-US" w:eastAsia="zh-CN"/>
              </w:rPr>
            </w:pPr>
            <w:r>
              <w:rPr>
                <w:rFonts w:hint="eastAsia" w:ascii="宋体" w:hAnsi="宋体" w:cs="宋体"/>
                <w:b w:val="0"/>
                <w:bCs w:val="0"/>
                <w:color w:val="000000"/>
                <w:sz w:val="21"/>
                <w:szCs w:val="21"/>
                <w:highlight w:val="none"/>
                <w:u w:val="none"/>
                <w:vertAlign w:val="baseline"/>
                <w:lang w:val="en-US" w:eastAsia="zh-CN"/>
              </w:rPr>
              <w:t>4.7最大帧率：≥30f/s。</w:t>
            </w:r>
          </w:p>
          <w:p w14:paraId="1025A934">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cs="宋体"/>
                <w:b/>
                <w:bCs/>
                <w:color w:val="000000"/>
                <w:sz w:val="21"/>
                <w:szCs w:val="21"/>
                <w:highlight w:val="none"/>
                <w:u w:val="none"/>
                <w:vertAlign w:val="baseline"/>
                <w:lang w:val="en-US" w:eastAsia="zh-CN"/>
              </w:rPr>
            </w:pPr>
            <w:r>
              <w:rPr>
                <w:rFonts w:hint="eastAsia" w:ascii="宋体" w:hAnsi="宋体" w:cs="宋体"/>
                <w:b/>
                <w:bCs/>
                <w:color w:val="000000"/>
                <w:sz w:val="21"/>
                <w:szCs w:val="21"/>
                <w:highlight w:val="none"/>
                <w:u w:val="none"/>
                <w:vertAlign w:val="baseline"/>
                <w:lang w:val="en-US" w:eastAsia="zh-CN"/>
              </w:rPr>
              <w:t>全幅静态平板探测器</w:t>
            </w:r>
          </w:p>
          <w:p w14:paraId="5683DD5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left"/>
              <w:textAlignment w:val="auto"/>
              <w:rPr>
                <w:rFonts w:hint="eastAsia" w:ascii="宋体" w:hAnsi="宋体" w:cs="宋体"/>
                <w:b w:val="0"/>
                <w:bCs w:val="0"/>
                <w:color w:val="000000"/>
                <w:sz w:val="21"/>
                <w:szCs w:val="21"/>
                <w:highlight w:val="none"/>
                <w:u w:val="none"/>
                <w:vertAlign w:val="baseline"/>
                <w:lang w:val="en-US" w:eastAsia="zh-CN"/>
              </w:rPr>
            </w:pPr>
            <w:r>
              <w:rPr>
                <w:rFonts w:hint="eastAsia" w:ascii="宋体" w:hAnsi="宋体" w:cs="宋体"/>
                <w:b w:val="0"/>
                <w:bCs w:val="0"/>
                <w:color w:val="000000"/>
                <w:sz w:val="21"/>
                <w:szCs w:val="21"/>
                <w:highlight w:val="none"/>
                <w:u w:val="none"/>
                <w:vertAlign w:val="baseline"/>
                <w:lang w:val="en-US" w:eastAsia="zh-CN"/>
              </w:rPr>
              <w:t>5.1像素尺寸：≤139µm；</w:t>
            </w:r>
          </w:p>
          <w:p w14:paraId="7929D66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left"/>
              <w:textAlignment w:val="auto"/>
              <w:rPr>
                <w:rFonts w:hint="eastAsia" w:ascii="宋体" w:hAnsi="宋体" w:cs="宋体"/>
                <w:b w:val="0"/>
                <w:bCs w:val="0"/>
                <w:color w:val="000000"/>
                <w:sz w:val="21"/>
                <w:szCs w:val="21"/>
                <w:highlight w:val="none"/>
                <w:u w:val="none"/>
                <w:vertAlign w:val="baseline"/>
                <w:lang w:val="en-US" w:eastAsia="zh-CN"/>
              </w:rPr>
            </w:pPr>
            <w:r>
              <w:rPr>
                <w:rFonts w:hint="eastAsia" w:ascii="宋体" w:hAnsi="宋体" w:cs="宋体"/>
                <w:b w:val="0"/>
                <w:bCs w:val="0"/>
                <w:color w:val="000000"/>
                <w:sz w:val="21"/>
                <w:szCs w:val="21"/>
                <w:highlight w:val="none"/>
                <w:u w:val="none"/>
                <w:vertAlign w:val="baseline"/>
                <w:lang w:val="en-US" w:eastAsia="zh-CN"/>
              </w:rPr>
              <w:t>5.2空间分辨率：≥3.7lp/mm；</w:t>
            </w:r>
          </w:p>
          <w:p w14:paraId="04C4DAB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left"/>
              <w:textAlignment w:val="auto"/>
              <w:rPr>
                <w:rFonts w:hint="eastAsia" w:ascii="宋体" w:hAnsi="宋体" w:cs="宋体"/>
                <w:b w:val="0"/>
                <w:bCs w:val="0"/>
                <w:color w:val="000000"/>
                <w:sz w:val="21"/>
                <w:szCs w:val="21"/>
                <w:highlight w:val="none"/>
                <w:u w:val="none"/>
                <w:vertAlign w:val="baseline"/>
                <w:lang w:val="en-US" w:eastAsia="zh-CN"/>
              </w:rPr>
            </w:pPr>
            <w:r>
              <w:rPr>
                <w:rFonts w:hint="eastAsia" w:ascii="宋体" w:hAnsi="宋体" w:eastAsia="宋体" w:cs="宋体"/>
                <w:color w:val="000000"/>
                <w:kern w:val="0"/>
                <w:sz w:val="21"/>
                <w:szCs w:val="21"/>
                <w:highlight w:val="none"/>
                <w:lang w:val="en-US" w:eastAsia="zh-CN" w:bidi="ar"/>
              </w:rPr>
              <w:t>●</w:t>
            </w:r>
            <w:r>
              <w:rPr>
                <w:rFonts w:hint="eastAsia" w:ascii="宋体" w:hAnsi="宋体" w:cs="宋体"/>
                <w:b w:val="0"/>
                <w:bCs w:val="0"/>
                <w:color w:val="000000"/>
                <w:sz w:val="21"/>
                <w:szCs w:val="21"/>
                <w:highlight w:val="none"/>
                <w:u w:val="none"/>
                <w:vertAlign w:val="baseline"/>
                <w:lang w:val="en-US" w:eastAsia="zh-CN"/>
              </w:rPr>
              <w:t>5.3成像区域：≥43×120cm²</w:t>
            </w:r>
            <w:r>
              <w:rPr>
                <w:rFonts w:hint="default" w:ascii="宋体" w:hAnsi="宋体" w:cs="宋体"/>
                <w:b/>
                <w:bCs/>
                <w:color w:val="000000"/>
                <w:sz w:val="21"/>
                <w:szCs w:val="21"/>
                <w:highlight w:val="none"/>
                <w:u w:val="none"/>
                <w:vertAlign w:val="baseline"/>
                <w:lang w:val="en-US" w:eastAsia="zh-CN"/>
              </w:rPr>
              <w:t>（</w:t>
            </w:r>
            <w:r>
              <w:rPr>
                <w:rFonts w:hint="eastAsia" w:ascii="宋体" w:hAnsi="宋体" w:cs="宋体"/>
                <w:b/>
                <w:bCs/>
                <w:color w:val="000000"/>
                <w:sz w:val="21"/>
                <w:szCs w:val="21"/>
                <w:highlight w:val="none"/>
                <w:u w:val="none"/>
                <w:vertAlign w:val="baseline"/>
                <w:lang w:val="en-US" w:eastAsia="zh-CN"/>
              </w:rPr>
              <w:t>投标时提供包括但不限于印刷版技术参数说明书或投标产品的彩页或图片等作为佐证材料），</w:t>
            </w:r>
            <w:r>
              <w:rPr>
                <w:rFonts w:hint="eastAsia" w:ascii="宋体" w:hAnsi="宋体" w:cs="宋体"/>
                <w:b w:val="0"/>
                <w:bCs w:val="0"/>
                <w:color w:val="000000"/>
                <w:sz w:val="21"/>
                <w:szCs w:val="21"/>
                <w:highlight w:val="none"/>
                <w:u w:val="none"/>
                <w:vertAlign w:val="baseline"/>
                <w:lang w:val="en-US" w:eastAsia="zh-CN"/>
              </w:rPr>
              <w:t>验收时需提供权威第三方检测机构出具的产品检验报告；</w:t>
            </w:r>
          </w:p>
          <w:p w14:paraId="2BCDB88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left"/>
              <w:textAlignment w:val="auto"/>
              <w:rPr>
                <w:rFonts w:hint="eastAsia" w:ascii="宋体" w:hAnsi="宋体" w:cs="宋体"/>
                <w:b w:val="0"/>
                <w:bCs w:val="0"/>
                <w:color w:val="000000"/>
                <w:sz w:val="21"/>
                <w:szCs w:val="21"/>
                <w:highlight w:val="none"/>
                <w:u w:val="none"/>
                <w:vertAlign w:val="baseline"/>
                <w:lang w:val="en-US" w:eastAsia="zh-CN"/>
              </w:rPr>
            </w:pPr>
            <w:r>
              <w:rPr>
                <w:rFonts w:hint="eastAsia" w:ascii="宋体" w:hAnsi="宋体" w:eastAsia="宋体" w:cs="宋体"/>
                <w:color w:val="000000"/>
                <w:kern w:val="0"/>
                <w:sz w:val="21"/>
                <w:szCs w:val="21"/>
                <w:highlight w:val="none"/>
                <w:lang w:val="en-US" w:eastAsia="zh-CN" w:bidi="ar"/>
              </w:rPr>
              <w:t>●</w:t>
            </w:r>
            <w:r>
              <w:rPr>
                <w:rFonts w:hint="eastAsia" w:ascii="宋体" w:hAnsi="宋体" w:cs="宋体"/>
                <w:b w:val="0"/>
                <w:bCs w:val="0"/>
                <w:color w:val="000000"/>
                <w:sz w:val="21"/>
                <w:szCs w:val="21"/>
                <w:highlight w:val="none"/>
                <w:u w:val="none"/>
                <w:vertAlign w:val="baseline"/>
                <w:lang w:val="en-US" w:eastAsia="zh-CN"/>
              </w:rPr>
              <w:t>5.4摄影采集矩阵：≥3072×8704</w:t>
            </w:r>
            <w:r>
              <w:rPr>
                <w:rFonts w:hint="default" w:ascii="宋体" w:hAnsi="宋体" w:cs="宋体"/>
                <w:b/>
                <w:bCs/>
                <w:color w:val="000000"/>
                <w:sz w:val="21"/>
                <w:szCs w:val="21"/>
                <w:highlight w:val="none"/>
                <w:u w:val="none"/>
                <w:vertAlign w:val="baseline"/>
                <w:lang w:val="en-US" w:eastAsia="zh-CN"/>
              </w:rPr>
              <w:t>（</w:t>
            </w:r>
            <w:r>
              <w:rPr>
                <w:rFonts w:hint="eastAsia" w:ascii="宋体" w:hAnsi="宋体" w:cs="宋体"/>
                <w:b/>
                <w:bCs/>
                <w:color w:val="000000"/>
                <w:sz w:val="21"/>
                <w:szCs w:val="21"/>
                <w:highlight w:val="none"/>
                <w:u w:val="none"/>
                <w:vertAlign w:val="baseline"/>
                <w:lang w:val="en-US" w:eastAsia="zh-CN"/>
              </w:rPr>
              <w:t>投标时提供包括但不限于印刷版技术参数说明书或投标产品的彩页或图片等作为佐证材料），</w:t>
            </w:r>
            <w:r>
              <w:rPr>
                <w:rFonts w:hint="eastAsia" w:ascii="宋体" w:hAnsi="宋体" w:cs="宋体"/>
                <w:b w:val="0"/>
                <w:bCs w:val="0"/>
                <w:color w:val="000000"/>
                <w:sz w:val="21"/>
                <w:szCs w:val="21"/>
                <w:highlight w:val="none"/>
                <w:u w:val="none"/>
                <w:vertAlign w:val="baseline"/>
                <w:lang w:val="en-US" w:eastAsia="zh-CN"/>
              </w:rPr>
              <w:t>验收时需提供权威第三方检测机构出具的产品检验报告；</w:t>
            </w:r>
          </w:p>
          <w:p w14:paraId="5B3389F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left"/>
              <w:textAlignment w:val="auto"/>
              <w:rPr>
                <w:rFonts w:hint="eastAsia" w:ascii="宋体" w:hAnsi="宋体" w:cs="宋体"/>
                <w:b w:val="0"/>
                <w:bCs w:val="0"/>
                <w:color w:val="000000"/>
                <w:sz w:val="21"/>
                <w:szCs w:val="21"/>
                <w:highlight w:val="none"/>
                <w:u w:val="none"/>
                <w:vertAlign w:val="baseline"/>
                <w:lang w:val="en-US" w:eastAsia="zh-CN"/>
              </w:rPr>
            </w:pPr>
            <w:r>
              <w:rPr>
                <w:rFonts w:hint="eastAsia" w:ascii="宋体" w:hAnsi="宋体" w:cs="宋体"/>
                <w:b w:val="0"/>
                <w:bCs w:val="0"/>
                <w:color w:val="000000"/>
                <w:sz w:val="21"/>
                <w:szCs w:val="21"/>
                <w:highlight w:val="none"/>
                <w:u w:val="none"/>
                <w:vertAlign w:val="baseline"/>
                <w:lang w:val="en-US" w:eastAsia="zh-CN"/>
              </w:rPr>
              <w:t>5.5平板探测器与整机品牌一致。</w:t>
            </w:r>
          </w:p>
          <w:p w14:paraId="24BE876F">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cs="宋体"/>
                <w:b/>
                <w:bCs/>
                <w:color w:val="000000"/>
                <w:sz w:val="21"/>
                <w:szCs w:val="21"/>
                <w:highlight w:val="none"/>
                <w:u w:val="none"/>
                <w:vertAlign w:val="baseline"/>
                <w:lang w:val="en-US" w:eastAsia="zh-CN"/>
              </w:rPr>
            </w:pPr>
            <w:r>
              <w:rPr>
                <w:rFonts w:hint="eastAsia" w:ascii="宋体" w:hAnsi="宋体" w:cs="宋体"/>
                <w:b/>
                <w:bCs/>
                <w:color w:val="000000"/>
                <w:sz w:val="21"/>
                <w:szCs w:val="21"/>
                <w:highlight w:val="none"/>
                <w:u w:val="none"/>
                <w:vertAlign w:val="baseline"/>
                <w:lang w:val="en-US" w:eastAsia="zh-CN"/>
              </w:rPr>
              <w:t>立式胸片架</w:t>
            </w:r>
          </w:p>
          <w:p w14:paraId="5C11A2B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left"/>
              <w:textAlignment w:val="auto"/>
              <w:rPr>
                <w:rFonts w:hint="eastAsia" w:ascii="宋体" w:hAnsi="宋体" w:cs="宋体"/>
                <w:b w:val="0"/>
                <w:bCs w:val="0"/>
                <w:color w:val="000000"/>
                <w:sz w:val="21"/>
                <w:szCs w:val="21"/>
                <w:highlight w:val="none"/>
                <w:u w:val="none"/>
                <w:vertAlign w:val="baseline"/>
                <w:lang w:val="en-US" w:eastAsia="zh-CN"/>
              </w:rPr>
            </w:pPr>
            <w:r>
              <w:rPr>
                <w:rFonts w:hint="eastAsia" w:ascii="宋体" w:hAnsi="宋体" w:eastAsia="宋体" w:cs="宋体"/>
                <w:color w:val="000000"/>
                <w:kern w:val="0"/>
                <w:sz w:val="21"/>
                <w:szCs w:val="21"/>
                <w:highlight w:val="none"/>
                <w:lang w:val="en-US" w:eastAsia="zh-CN" w:bidi="ar"/>
              </w:rPr>
              <w:t>●</w:t>
            </w:r>
            <w:r>
              <w:rPr>
                <w:rFonts w:hint="eastAsia" w:ascii="宋体" w:hAnsi="宋体" w:cs="宋体"/>
                <w:b w:val="0"/>
                <w:bCs w:val="0"/>
                <w:color w:val="000000"/>
                <w:sz w:val="21"/>
                <w:szCs w:val="21"/>
                <w:highlight w:val="none"/>
                <w:u w:val="none"/>
                <w:vertAlign w:val="baseline"/>
                <w:lang w:val="en-US" w:eastAsia="zh-CN"/>
              </w:rPr>
              <w:t>6.1为保证胸片架稳定性，要求胸片盒与立柱连接支点位于胸片盒后方，非侧方的设计</w:t>
            </w:r>
            <w:r>
              <w:rPr>
                <w:rFonts w:hint="default" w:ascii="宋体" w:hAnsi="宋体" w:cs="宋体"/>
                <w:b/>
                <w:bCs/>
                <w:color w:val="000000"/>
                <w:sz w:val="21"/>
                <w:szCs w:val="21"/>
                <w:highlight w:val="none"/>
                <w:u w:val="none"/>
                <w:vertAlign w:val="baseline"/>
                <w:lang w:val="en-US" w:eastAsia="zh-CN"/>
              </w:rPr>
              <w:t>（</w:t>
            </w:r>
            <w:r>
              <w:rPr>
                <w:rFonts w:hint="eastAsia" w:ascii="宋体" w:hAnsi="宋体" w:cs="宋体"/>
                <w:b/>
                <w:bCs/>
                <w:color w:val="000000"/>
                <w:sz w:val="21"/>
                <w:szCs w:val="21"/>
                <w:highlight w:val="none"/>
                <w:u w:val="none"/>
                <w:vertAlign w:val="baseline"/>
                <w:lang w:val="en-US" w:eastAsia="zh-CN"/>
              </w:rPr>
              <w:t>投标时提供包括但不限于印刷版技术参数说明书或投标产品的彩页或图片等作为佐证材料），</w:t>
            </w:r>
            <w:r>
              <w:rPr>
                <w:rFonts w:hint="eastAsia" w:ascii="宋体" w:hAnsi="宋体" w:cs="宋体"/>
                <w:b w:val="0"/>
                <w:bCs w:val="0"/>
                <w:color w:val="000000"/>
                <w:sz w:val="21"/>
                <w:szCs w:val="21"/>
                <w:highlight w:val="none"/>
                <w:u w:val="none"/>
                <w:vertAlign w:val="baseline"/>
                <w:lang w:val="en-US" w:eastAsia="zh-CN"/>
              </w:rPr>
              <w:t>验收时需提供权威第三方检测机构出具的产品检验报告；</w:t>
            </w:r>
          </w:p>
          <w:p w14:paraId="70B6011B">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left"/>
              <w:textAlignment w:val="auto"/>
              <w:rPr>
                <w:rFonts w:hint="eastAsia" w:ascii="宋体" w:hAnsi="宋体" w:cs="宋体"/>
                <w:b w:val="0"/>
                <w:bCs w:val="0"/>
                <w:color w:val="000000"/>
                <w:sz w:val="21"/>
                <w:szCs w:val="21"/>
                <w:highlight w:val="none"/>
                <w:u w:val="none"/>
                <w:vertAlign w:val="baseline"/>
                <w:lang w:val="en-US" w:eastAsia="zh-CN"/>
              </w:rPr>
            </w:pPr>
            <w:r>
              <w:rPr>
                <w:rFonts w:hint="eastAsia" w:ascii="宋体" w:hAnsi="宋体" w:cs="宋体"/>
                <w:b w:val="0"/>
                <w:bCs w:val="0"/>
                <w:color w:val="000000"/>
                <w:sz w:val="21"/>
                <w:szCs w:val="21"/>
                <w:highlight w:val="none"/>
                <w:u w:val="none"/>
                <w:vertAlign w:val="baseline"/>
                <w:lang w:val="en-US" w:eastAsia="zh-CN"/>
              </w:rPr>
              <w:t>6.2片盒（探测器）升降距离：≥950mm。</w:t>
            </w:r>
          </w:p>
          <w:p w14:paraId="5D27B7BC">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cs="宋体"/>
                <w:b/>
                <w:bCs/>
                <w:color w:val="000000"/>
                <w:sz w:val="21"/>
                <w:szCs w:val="21"/>
                <w:highlight w:val="none"/>
                <w:u w:val="none"/>
                <w:vertAlign w:val="baseline"/>
                <w:lang w:val="en-US" w:eastAsia="zh-CN"/>
              </w:rPr>
            </w:pPr>
            <w:r>
              <w:rPr>
                <w:rFonts w:hint="eastAsia" w:ascii="宋体" w:hAnsi="宋体" w:cs="宋体"/>
                <w:b/>
                <w:bCs/>
                <w:color w:val="000000"/>
                <w:sz w:val="21"/>
                <w:szCs w:val="21"/>
                <w:highlight w:val="none"/>
                <w:u w:val="none"/>
                <w:vertAlign w:val="baseline"/>
                <w:lang w:val="en-US" w:eastAsia="zh-CN"/>
              </w:rPr>
              <w:t>电动升降摄影床</w:t>
            </w:r>
          </w:p>
          <w:p w14:paraId="1AA5BFA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left"/>
              <w:textAlignment w:val="auto"/>
              <w:rPr>
                <w:rFonts w:hint="eastAsia" w:ascii="宋体" w:hAnsi="宋体" w:cs="宋体"/>
                <w:b w:val="0"/>
                <w:bCs w:val="0"/>
                <w:color w:val="000000"/>
                <w:sz w:val="21"/>
                <w:szCs w:val="21"/>
                <w:highlight w:val="none"/>
                <w:u w:val="none"/>
                <w:vertAlign w:val="baseline"/>
                <w:lang w:val="en-US" w:eastAsia="zh-CN"/>
              </w:rPr>
            </w:pPr>
            <w:r>
              <w:rPr>
                <w:rFonts w:hint="eastAsia" w:ascii="宋体" w:hAnsi="宋体" w:cs="宋体"/>
                <w:b w:val="0"/>
                <w:bCs w:val="0"/>
                <w:color w:val="000000"/>
                <w:sz w:val="21"/>
                <w:szCs w:val="21"/>
                <w:highlight w:val="none"/>
                <w:u w:val="none"/>
                <w:vertAlign w:val="baseline"/>
                <w:lang w:val="en-US" w:eastAsia="zh-CN"/>
              </w:rPr>
              <w:t>7.1床面横向运动范围:≥1000mm；</w:t>
            </w:r>
          </w:p>
          <w:p w14:paraId="06CCE00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left"/>
              <w:textAlignment w:val="auto"/>
              <w:rPr>
                <w:rFonts w:hint="eastAsia" w:ascii="宋体" w:hAnsi="宋体" w:cs="宋体"/>
                <w:b w:val="0"/>
                <w:bCs w:val="0"/>
                <w:color w:val="000000"/>
                <w:sz w:val="21"/>
                <w:szCs w:val="21"/>
                <w:highlight w:val="none"/>
                <w:u w:val="none"/>
                <w:vertAlign w:val="baseline"/>
                <w:lang w:val="en-US" w:eastAsia="zh-CN"/>
              </w:rPr>
            </w:pPr>
            <w:r>
              <w:rPr>
                <w:rFonts w:hint="eastAsia" w:ascii="宋体" w:hAnsi="宋体" w:cs="宋体"/>
                <w:b w:val="0"/>
                <w:bCs w:val="0"/>
                <w:color w:val="000000"/>
                <w:sz w:val="21"/>
                <w:szCs w:val="21"/>
                <w:highlight w:val="none"/>
                <w:u w:val="none"/>
                <w:vertAlign w:val="baseline"/>
                <w:lang w:val="en-US" w:eastAsia="zh-CN"/>
              </w:rPr>
              <w:t>7.2床面纵向运动范围:≥270mm；</w:t>
            </w:r>
          </w:p>
          <w:p w14:paraId="2EA5E53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left"/>
              <w:textAlignment w:val="auto"/>
              <w:rPr>
                <w:rFonts w:hint="eastAsia" w:ascii="宋体" w:hAnsi="宋体" w:cs="宋体"/>
                <w:b w:val="0"/>
                <w:bCs w:val="0"/>
                <w:color w:val="000000"/>
                <w:sz w:val="21"/>
                <w:szCs w:val="21"/>
                <w:highlight w:val="none"/>
                <w:u w:val="none"/>
                <w:vertAlign w:val="baseline"/>
                <w:lang w:val="en-US" w:eastAsia="zh-CN"/>
              </w:rPr>
            </w:pPr>
            <w:r>
              <w:rPr>
                <w:rFonts w:hint="eastAsia" w:ascii="宋体" w:hAnsi="宋体" w:cs="宋体"/>
                <w:b w:val="0"/>
                <w:bCs w:val="0"/>
                <w:color w:val="000000"/>
                <w:sz w:val="21"/>
                <w:szCs w:val="21"/>
                <w:highlight w:val="none"/>
                <w:u w:val="none"/>
                <w:vertAlign w:val="baseline"/>
                <w:lang w:val="en-US" w:eastAsia="zh-CN"/>
              </w:rPr>
              <w:t>7.3片盒横向运动范围:≥600mm；</w:t>
            </w:r>
          </w:p>
          <w:p w14:paraId="603E004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left"/>
              <w:textAlignment w:val="auto"/>
              <w:rPr>
                <w:rFonts w:hint="eastAsia" w:ascii="宋体" w:hAnsi="宋体" w:cs="宋体"/>
                <w:b w:val="0"/>
                <w:bCs w:val="0"/>
                <w:color w:val="000000"/>
                <w:sz w:val="21"/>
                <w:szCs w:val="21"/>
                <w:highlight w:val="none"/>
                <w:u w:val="none"/>
                <w:vertAlign w:val="baseline"/>
                <w:lang w:val="en-US" w:eastAsia="zh-CN"/>
              </w:rPr>
            </w:pPr>
            <w:r>
              <w:rPr>
                <w:rFonts w:hint="eastAsia" w:ascii="宋体" w:hAnsi="宋体" w:cs="宋体"/>
                <w:b w:val="0"/>
                <w:bCs w:val="0"/>
                <w:color w:val="000000"/>
                <w:sz w:val="21"/>
                <w:szCs w:val="21"/>
                <w:highlight w:val="none"/>
                <w:u w:val="none"/>
                <w:vertAlign w:val="baseline"/>
                <w:lang w:val="en-US" w:eastAsia="zh-CN"/>
              </w:rPr>
              <w:t>7.4床面升降运动距离：≥400mm；</w:t>
            </w:r>
          </w:p>
          <w:p w14:paraId="7C1DEC42">
            <w:pPr>
              <w:numPr>
                <w:ilvl w:val="0"/>
                <w:numId w:val="0"/>
              </w:numPr>
              <w:spacing w:line="400" w:lineRule="exact"/>
              <w:jc w:val="left"/>
              <w:rPr>
                <w:color w:val="000000"/>
                <w:highlight w:val="none"/>
              </w:rPr>
            </w:pPr>
            <w:r>
              <w:rPr>
                <w:rFonts w:hint="eastAsia" w:ascii="宋体" w:hAnsi="宋体" w:cs="宋体"/>
                <w:b w:val="0"/>
                <w:bCs w:val="0"/>
                <w:color w:val="000000"/>
                <w:sz w:val="21"/>
                <w:szCs w:val="21"/>
                <w:highlight w:val="none"/>
                <w:u w:val="none"/>
                <w:vertAlign w:val="baseline"/>
                <w:lang w:val="en-US" w:eastAsia="zh-CN"/>
              </w:rPr>
              <w:t>7.5床面板最低高度≤500mm；</w:t>
            </w:r>
          </w:p>
          <w:p w14:paraId="0BD9F88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left"/>
              <w:textAlignment w:val="auto"/>
              <w:rPr>
                <w:rFonts w:hint="eastAsia" w:ascii="宋体" w:hAnsi="宋体" w:cs="宋体"/>
                <w:b w:val="0"/>
                <w:bCs w:val="0"/>
                <w:color w:val="000000"/>
                <w:sz w:val="21"/>
                <w:szCs w:val="21"/>
                <w:highlight w:val="none"/>
                <w:u w:val="none"/>
                <w:vertAlign w:val="baseline"/>
                <w:lang w:val="en-US" w:eastAsia="zh-CN"/>
              </w:rPr>
            </w:pPr>
            <w:r>
              <w:rPr>
                <w:rFonts w:hint="eastAsia" w:ascii="宋体" w:hAnsi="宋体" w:eastAsia="宋体" w:cs="宋体"/>
                <w:color w:val="000000"/>
                <w:kern w:val="0"/>
                <w:sz w:val="21"/>
                <w:szCs w:val="21"/>
                <w:highlight w:val="none"/>
                <w:lang w:val="en-US" w:eastAsia="zh-CN" w:bidi="ar"/>
              </w:rPr>
              <w:t>●</w:t>
            </w:r>
            <w:r>
              <w:rPr>
                <w:rFonts w:hint="eastAsia" w:ascii="宋体" w:hAnsi="宋体" w:cs="宋体"/>
                <w:b w:val="0"/>
                <w:bCs w:val="0"/>
                <w:color w:val="000000"/>
                <w:sz w:val="21"/>
                <w:szCs w:val="21"/>
                <w:highlight w:val="none"/>
                <w:u w:val="none"/>
                <w:vertAlign w:val="baseline"/>
                <w:lang w:val="en-US" w:eastAsia="zh-CN"/>
              </w:rPr>
              <w:t>7.6升降式浮动患者台最大承重：≥280kg</w:t>
            </w:r>
            <w:r>
              <w:rPr>
                <w:rFonts w:hint="default" w:ascii="宋体" w:hAnsi="宋体" w:cs="宋体"/>
                <w:b/>
                <w:bCs/>
                <w:color w:val="000000"/>
                <w:sz w:val="21"/>
                <w:szCs w:val="21"/>
                <w:highlight w:val="none"/>
                <w:u w:val="none"/>
                <w:vertAlign w:val="baseline"/>
                <w:lang w:val="en-US" w:eastAsia="zh-CN"/>
              </w:rPr>
              <w:t>（</w:t>
            </w:r>
            <w:r>
              <w:rPr>
                <w:rFonts w:hint="eastAsia" w:ascii="宋体" w:hAnsi="宋体" w:cs="宋体"/>
                <w:b/>
                <w:bCs/>
                <w:color w:val="000000"/>
                <w:sz w:val="21"/>
                <w:szCs w:val="21"/>
                <w:highlight w:val="none"/>
                <w:u w:val="none"/>
                <w:vertAlign w:val="baseline"/>
                <w:lang w:val="en-US" w:eastAsia="zh-CN"/>
              </w:rPr>
              <w:t>投标时提供包括但不限于印刷版技术参数说明书或投标产品的彩页或图片等作为佐证材料）</w:t>
            </w:r>
            <w:r>
              <w:rPr>
                <w:rFonts w:hint="eastAsia" w:ascii="宋体" w:hAnsi="宋体" w:cs="宋体"/>
                <w:b w:val="0"/>
                <w:bCs w:val="0"/>
                <w:color w:val="000000"/>
                <w:sz w:val="21"/>
                <w:szCs w:val="21"/>
                <w:highlight w:val="none"/>
                <w:u w:val="none"/>
                <w:vertAlign w:val="baseline"/>
                <w:lang w:val="en-US" w:eastAsia="zh-CN"/>
              </w:rPr>
              <w:t>，验收时需提供权威第三方检测机构出具的产品检验报告。</w:t>
            </w:r>
          </w:p>
          <w:p w14:paraId="4B7EBDA1">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cs="宋体"/>
                <w:b/>
                <w:bCs/>
                <w:color w:val="000000"/>
                <w:sz w:val="21"/>
                <w:szCs w:val="21"/>
                <w:highlight w:val="none"/>
                <w:u w:val="none"/>
                <w:vertAlign w:val="baseline"/>
                <w:lang w:val="en-US" w:eastAsia="zh-CN"/>
              </w:rPr>
            </w:pPr>
            <w:r>
              <w:rPr>
                <w:rFonts w:hint="eastAsia" w:ascii="宋体" w:hAnsi="宋体" w:cs="宋体"/>
                <w:b/>
                <w:bCs/>
                <w:color w:val="000000"/>
                <w:sz w:val="21"/>
                <w:szCs w:val="21"/>
                <w:highlight w:val="none"/>
                <w:u w:val="none"/>
                <w:vertAlign w:val="baseline"/>
                <w:lang w:val="en-US" w:eastAsia="zh-CN"/>
              </w:rPr>
              <w:t>采集工作站</w:t>
            </w:r>
          </w:p>
          <w:p w14:paraId="330BB05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left"/>
              <w:textAlignment w:val="auto"/>
              <w:rPr>
                <w:rFonts w:hint="eastAsia" w:ascii="宋体" w:hAnsi="宋体" w:cs="宋体"/>
                <w:b w:val="0"/>
                <w:bCs w:val="0"/>
                <w:color w:val="000000"/>
                <w:sz w:val="21"/>
                <w:szCs w:val="21"/>
                <w:highlight w:val="none"/>
                <w:u w:val="none"/>
                <w:vertAlign w:val="baseline"/>
                <w:lang w:val="en-US" w:eastAsia="zh-CN"/>
              </w:rPr>
            </w:pPr>
            <w:r>
              <w:rPr>
                <w:rFonts w:hint="eastAsia" w:ascii="宋体" w:hAnsi="宋体" w:cs="宋体"/>
                <w:b w:val="0"/>
                <w:bCs w:val="0"/>
                <w:color w:val="000000"/>
                <w:sz w:val="21"/>
                <w:szCs w:val="21"/>
                <w:highlight w:val="none"/>
                <w:u w:val="none"/>
                <w:vertAlign w:val="baseline"/>
                <w:lang w:val="en-US" w:eastAsia="zh-CN"/>
              </w:rPr>
              <w:t>8.1主机工作站操作台内存：≥8G；</w:t>
            </w:r>
          </w:p>
          <w:p w14:paraId="14EA03B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left"/>
              <w:textAlignment w:val="auto"/>
              <w:rPr>
                <w:rFonts w:hint="eastAsia" w:ascii="宋体" w:hAnsi="宋体" w:cs="宋体"/>
                <w:b w:val="0"/>
                <w:bCs w:val="0"/>
                <w:color w:val="000000"/>
                <w:sz w:val="21"/>
                <w:szCs w:val="21"/>
                <w:highlight w:val="none"/>
                <w:u w:val="none"/>
                <w:vertAlign w:val="baseline"/>
                <w:lang w:val="en-US" w:eastAsia="zh-CN"/>
              </w:rPr>
            </w:pPr>
            <w:r>
              <w:rPr>
                <w:rFonts w:hint="eastAsia" w:ascii="宋体" w:hAnsi="宋体" w:cs="宋体"/>
                <w:b w:val="0"/>
                <w:bCs w:val="0"/>
                <w:color w:val="000000"/>
                <w:sz w:val="21"/>
                <w:szCs w:val="21"/>
                <w:highlight w:val="none"/>
                <w:u w:val="none"/>
                <w:vertAlign w:val="baseline"/>
                <w:lang w:val="en-US" w:eastAsia="zh-CN"/>
              </w:rPr>
              <w:t>8.2主机工作站操作台硬盘：≥1TB；</w:t>
            </w:r>
          </w:p>
          <w:p w14:paraId="4E3299E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left"/>
              <w:textAlignment w:val="auto"/>
              <w:rPr>
                <w:rFonts w:hint="eastAsia" w:ascii="宋体" w:hAnsi="宋体" w:cs="宋体"/>
                <w:b w:val="0"/>
                <w:bCs w:val="0"/>
                <w:color w:val="000000"/>
                <w:sz w:val="21"/>
                <w:szCs w:val="21"/>
                <w:highlight w:val="none"/>
                <w:u w:val="none"/>
                <w:vertAlign w:val="baseline"/>
                <w:lang w:val="en-US" w:eastAsia="zh-CN"/>
              </w:rPr>
            </w:pPr>
            <w:r>
              <w:rPr>
                <w:rFonts w:hint="eastAsia" w:ascii="宋体" w:hAnsi="宋体" w:cs="宋体"/>
                <w:b w:val="0"/>
                <w:bCs w:val="0"/>
                <w:color w:val="000000"/>
                <w:sz w:val="21"/>
                <w:szCs w:val="21"/>
                <w:highlight w:val="none"/>
                <w:u w:val="none"/>
                <w:vertAlign w:val="baseline"/>
                <w:lang w:val="en-US" w:eastAsia="zh-CN"/>
              </w:rPr>
              <w:t>8.3采集工作站显示器尺寸：≥24英寸；</w:t>
            </w:r>
          </w:p>
          <w:p w14:paraId="191BCC7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left"/>
              <w:textAlignment w:val="auto"/>
              <w:rPr>
                <w:rFonts w:hint="eastAsia" w:ascii="宋体" w:hAnsi="宋体" w:cs="宋体"/>
                <w:b w:val="0"/>
                <w:bCs w:val="0"/>
                <w:color w:val="000000"/>
                <w:sz w:val="21"/>
                <w:szCs w:val="21"/>
                <w:highlight w:val="none"/>
                <w:u w:val="none"/>
                <w:vertAlign w:val="baseline"/>
                <w:lang w:val="en-US" w:eastAsia="zh-CN"/>
              </w:rPr>
            </w:pPr>
            <w:r>
              <w:rPr>
                <w:rFonts w:hint="eastAsia" w:ascii="宋体" w:hAnsi="宋体" w:cs="宋体"/>
                <w:b w:val="0"/>
                <w:bCs w:val="0"/>
                <w:color w:val="000000"/>
                <w:sz w:val="21"/>
                <w:szCs w:val="21"/>
                <w:highlight w:val="none"/>
                <w:u w:val="none"/>
                <w:vertAlign w:val="baseline"/>
                <w:lang w:val="en-US" w:eastAsia="zh-CN"/>
              </w:rPr>
              <w:t>8.4具备：患者信息管理、图像信息管理、剂量报告管理、诊断报告管理、胶片打印管理、统计信息管理、曝光参数、辐射剂量记录和显示、图像数字化存储功能，支持病人光盘刻录和图像数据光盘备份、图像旋转及翻转、负相、还原、调窗及自动调窗、移动、缩放、放大镜、图像裁剪、长骨拼接、图像重建功能、测量（包括直线、曲线、角度、矩形、椭圆、多边形、高度差） 、标注、左标记、右标记功能、高效率自动增强系统（包括：感兴趣区灰度补偿功能，组织均衡功能，增强降噪功能，金属伪影抑制功能，栅纹去除功能）；</w:t>
            </w:r>
          </w:p>
          <w:p w14:paraId="25EE798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left"/>
              <w:textAlignment w:val="auto"/>
              <w:rPr>
                <w:rFonts w:hint="eastAsia" w:ascii="宋体" w:hAnsi="宋体" w:cs="宋体"/>
                <w:b w:val="0"/>
                <w:bCs w:val="0"/>
                <w:color w:val="000000"/>
                <w:sz w:val="21"/>
                <w:szCs w:val="21"/>
                <w:highlight w:val="none"/>
                <w:u w:val="none"/>
                <w:vertAlign w:val="baseline"/>
                <w:lang w:val="en-US" w:eastAsia="zh-CN"/>
              </w:rPr>
            </w:pPr>
            <w:r>
              <w:rPr>
                <w:rFonts w:hint="eastAsia" w:ascii="宋体" w:hAnsi="宋体" w:cs="宋体"/>
                <w:b w:val="0"/>
                <w:bCs w:val="0"/>
                <w:color w:val="000000"/>
                <w:sz w:val="21"/>
                <w:szCs w:val="21"/>
                <w:highlight w:val="none"/>
                <w:u w:val="none"/>
                <w:vertAlign w:val="baseline"/>
                <w:lang w:val="en-US" w:eastAsia="zh-CN"/>
              </w:rPr>
              <w:t>8.5支持图像 DICOM 传输，可发送图像到任何遵循 DICOM3.0 标准的PACS 服务器；</w:t>
            </w:r>
          </w:p>
          <w:p w14:paraId="6C4CDC7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left"/>
              <w:textAlignment w:val="auto"/>
              <w:rPr>
                <w:rFonts w:hint="eastAsia" w:ascii="宋体" w:hAnsi="宋体" w:cs="宋体"/>
                <w:b w:val="0"/>
                <w:bCs w:val="0"/>
                <w:color w:val="000000"/>
                <w:sz w:val="21"/>
                <w:szCs w:val="21"/>
                <w:highlight w:val="none"/>
                <w:u w:val="none"/>
                <w:vertAlign w:val="baseline"/>
                <w:lang w:val="en-US" w:eastAsia="zh-CN"/>
              </w:rPr>
            </w:pPr>
            <w:r>
              <w:rPr>
                <w:rFonts w:hint="eastAsia" w:ascii="宋体" w:hAnsi="宋体" w:cs="宋体"/>
                <w:b w:val="0"/>
                <w:bCs w:val="0"/>
                <w:color w:val="000000"/>
                <w:sz w:val="21"/>
                <w:szCs w:val="21"/>
                <w:highlight w:val="none"/>
                <w:u w:val="none"/>
                <w:vertAlign w:val="baseline"/>
                <w:lang w:val="en-US" w:eastAsia="zh-CN"/>
              </w:rPr>
              <w:t>8.6支持远程升级、远程故障诊断和故障处理、远程桌面协助，支持远程培训；</w:t>
            </w:r>
          </w:p>
          <w:p w14:paraId="773F1EA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left"/>
              <w:textAlignment w:val="auto"/>
              <w:rPr>
                <w:rFonts w:hint="eastAsia" w:ascii="宋体" w:hAnsi="宋体" w:cs="宋体"/>
                <w:b w:val="0"/>
                <w:bCs w:val="0"/>
                <w:color w:val="000000"/>
                <w:sz w:val="21"/>
                <w:szCs w:val="21"/>
                <w:highlight w:val="none"/>
                <w:u w:val="none"/>
                <w:vertAlign w:val="baseline"/>
                <w:lang w:val="en-US" w:eastAsia="zh-CN"/>
              </w:rPr>
            </w:pPr>
            <w:r>
              <w:rPr>
                <w:rFonts w:hint="eastAsia" w:ascii="宋体" w:hAnsi="宋体" w:cs="宋体"/>
                <w:b w:val="0"/>
                <w:bCs w:val="0"/>
                <w:color w:val="000000"/>
                <w:sz w:val="21"/>
                <w:szCs w:val="21"/>
                <w:highlight w:val="none"/>
                <w:u w:val="none"/>
                <w:vertAlign w:val="baseline"/>
                <w:lang w:val="en-US" w:eastAsia="zh-CN"/>
              </w:rPr>
              <w:t>8.7虚拟限束器功能：在调整限束器开口大小时，在不产生 X 射线的情况下，检查室的图像显示器能图形化模拟显示 X 射线野的范围，减少病人的辐射剂量；</w:t>
            </w:r>
          </w:p>
          <w:p w14:paraId="5A7CB05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left"/>
              <w:textAlignment w:val="auto"/>
              <w:rPr>
                <w:rFonts w:hint="default" w:ascii="宋体" w:hAnsi="宋体" w:cs="宋体"/>
                <w:b w:val="0"/>
                <w:bCs w:val="0"/>
                <w:color w:val="000000"/>
                <w:sz w:val="21"/>
                <w:szCs w:val="21"/>
                <w:highlight w:val="none"/>
                <w:u w:val="none"/>
                <w:vertAlign w:val="baseline"/>
                <w:lang w:val="en-US" w:eastAsia="zh-CN"/>
              </w:rPr>
            </w:pPr>
            <w:r>
              <w:rPr>
                <w:rFonts w:hint="eastAsia" w:ascii="宋体" w:hAnsi="宋体" w:cs="宋体"/>
                <w:b w:val="0"/>
                <w:bCs w:val="0"/>
                <w:color w:val="000000"/>
                <w:sz w:val="21"/>
                <w:szCs w:val="21"/>
                <w:highlight w:val="none"/>
                <w:u w:val="none"/>
                <w:vertAlign w:val="baseline"/>
                <w:lang w:val="en-US" w:eastAsia="zh-CN"/>
              </w:rPr>
              <w:t>8.8具备远程可视化系统，可以观察患者摆位情况，降低盲拍，提升摄片效率。；</w:t>
            </w:r>
          </w:p>
          <w:p w14:paraId="052988F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left"/>
              <w:textAlignment w:val="auto"/>
              <w:rPr>
                <w:rFonts w:hint="eastAsia" w:ascii="宋体" w:hAnsi="宋体" w:cs="宋体"/>
                <w:b w:val="0"/>
                <w:bCs w:val="0"/>
                <w:color w:val="000000"/>
                <w:sz w:val="21"/>
                <w:szCs w:val="21"/>
                <w:highlight w:val="none"/>
                <w:u w:val="none"/>
                <w:vertAlign w:val="baseline"/>
                <w:lang w:val="en-US" w:eastAsia="zh-CN"/>
              </w:rPr>
            </w:pPr>
            <w:r>
              <w:rPr>
                <w:rFonts w:hint="eastAsia" w:ascii="宋体" w:hAnsi="宋体" w:cs="宋体"/>
                <w:b w:val="0"/>
                <w:bCs w:val="0"/>
                <w:color w:val="000000"/>
                <w:sz w:val="21"/>
                <w:szCs w:val="21"/>
                <w:highlight w:val="none"/>
                <w:u w:val="none"/>
                <w:vertAlign w:val="baseline"/>
                <w:lang w:val="en-US" w:eastAsia="zh-CN"/>
              </w:rPr>
              <w:t>8.9具备二维cobb角自动测量功能。</w:t>
            </w:r>
          </w:p>
          <w:p w14:paraId="5C0BED83">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cs="宋体"/>
                <w:b/>
                <w:bCs/>
                <w:color w:val="000000"/>
                <w:sz w:val="21"/>
                <w:szCs w:val="21"/>
                <w:highlight w:val="none"/>
                <w:u w:val="none"/>
                <w:vertAlign w:val="baseline"/>
                <w:lang w:val="en-US" w:eastAsia="zh-CN"/>
              </w:rPr>
            </w:pPr>
            <w:r>
              <w:rPr>
                <w:rFonts w:hint="eastAsia" w:ascii="宋体" w:hAnsi="宋体" w:cs="宋体"/>
                <w:b/>
                <w:bCs/>
                <w:color w:val="000000"/>
                <w:sz w:val="21"/>
                <w:szCs w:val="21"/>
                <w:highlight w:val="none"/>
                <w:u w:val="none"/>
                <w:vertAlign w:val="baseline"/>
                <w:lang w:val="en-US" w:eastAsia="zh-CN"/>
              </w:rPr>
              <w:t>球管侧近台操控系统</w:t>
            </w:r>
          </w:p>
          <w:p w14:paraId="4058316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left"/>
              <w:textAlignment w:val="auto"/>
              <w:rPr>
                <w:rFonts w:hint="eastAsia" w:ascii="宋体" w:hAnsi="宋体" w:cs="宋体"/>
                <w:b w:val="0"/>
                <w:bCs w:val="0"/>
                <w:color w:val="000000"/>
                <w:sz w:val="21"/>
                <w:szCs w:val="21"/>
                <w:highlight w:val="none"/>
                <w:u w:val="none"/>
                <w:vertAlign w:val="baseline"/>
                <w:lang w:val="en-US" w:eastAsia="zh-CN"/>
              </w:rPr>
            </w:pPr>
            <w:r>
              <w:rPr>
                <w:rFonts w:hint="eastAsia" w:ascii="宋体" w:hAnsi="宋体" w:cs="宋体"/>
                <w:b w:val="0"/>
                <w:bCs w:val="0"/>
                <w:color w:val="000000"/>
                <w:sz w:val="21"/>
                <w:szCs w:val="21"/>
                <w:highlight w:val="none"/>
                <w:u w:val="none"/>
                <w:vertAlign w:val="baseline"/>
                <w:lang w:val="en-US" w:eastAsia="zh-CN"/>
              </w:rPr>
              <w:t>9.1具备近台操控彩色触摸屏；</w:t>
            </w:r>
          </w:p>
          <w:p w14:paraId="7B6834B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left"/>
              <w:textAlignment w:val="auto"/>
              <w:rPr>
                <w:rFonts w:hint="eastAsia" w:ascii="宋体" w:hAnsi="宋体" w:cs="宋体"/>
                <w:b w:val="0"/>
                <w:bCs w:val="0"/>
                <w:color w:val="000000"/>
                <w:sz w:val="21"/>
                <w:szCs w:val="21"/>
                <w:highlight w:val="none"/>
                <w:u w:val="none"/>
                <w:vertAlign w:val="baseline"/>
                <w:lang w:val="en-US" w:eastAsia="zh-CN"/>
              </w:rPr>
            </w:pPr>
            <w:r>
              <w:rPr>
                <w:rFonts w:hint="eastAsia" w:ascii="宋体" w:hAnsi="宋体" w:cs="宋体"/>
                <w:b w:val="0"/>
                <w:bCs w:val="0"/>
                <w:color w:val="000000"/>
                <w:sz w:val="21"/>
                <w:szCs w:val="21"/>
                <w:highlight w:val="none"/>
                <w:u w:val="none"/>
                <w:vertAlign w:val="baseline"/>
                <w:lang w:val="en-US" w:eastAsia="zh-CN"/>
              </w:rPr>
              <w:t>9.2可显示患者的详细登记信息、SID数值、球管组件绕水平轴旋转角度；</w:t>
            </w:r>
          </w:p>
          <w:p w14:paraId="0ED9822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left"/>
              <w:textAlignment w:val="auto"/>
              <w:rPr>
                <w:rFonts w:hint="eastAsia" w:ascii="宋体" w:hAnsi="宋体" w:cs="宋体"/>
                <w:b w:val="0"/>
                <w:bCs w:val="0"/>
                <w:color w:val="000000"/>
                <w:sz w:val="21"/>
                <w:szCs w:val="21"/>
                <w:highlight w:val="none"/>
                <w:u w:val="none"/>
                <w:vertAlign w:val="baseline"/>
                <w:lang w:val="en-US" w:eastAsia="zh-CN"/>
              </w:rPr>
            </w:pPr>
            <w:r>
              <w:rPr>
                <w:rFonts w:hint="eastAsia" w:ascii="宋体" w:hAnsi="宋体" w:cs="宋体"/>
                <w:b w:val="0"/>
                <w:bCs w:val="0"/>
                <w:color w:val="000000"/>
                <w:sz w:val="21"/>
                <w:szCs w:val="21"/>
                <w:highlight w:val="none"/>
                <w:u w:val="none"/>
                <w:vertAlign w:val="baseline"/>
                <w:lang w:val="en-US" w:eastAsia="zh-CN"/>
              </w:rPr>
              <w:t>9.3屏幕显示可依据重力方向自动调整显示的方向；</w:t>
            </w:r>
          </w:p>
          <w:p w14:paraId="30E0EFE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left"/>
              <w:textAlignment w:val="auto"/>
              <w:rPr>
                <w:rFonts w:hint="eastAsia" w:ascii="宋体" w:hAnsi="宋体" w:cs="宋体"/>
                <w:b w:val="0"/>
                <w:bCs w:val="0"/>
                <w:color w:val="000000"/>
                <w:sz w:val="21"/>
                <w:szCs w:val="21"/>
                <w:highlight w:val="none"/>
                <w:u w:val="none"/>
                <w:vertAlign w:val="baseline"/>
                <w:lang w:val="en-US" w:eastAsia="zh-CN"/>
              </w:rPr>
            </w:pPr>
            <w:r>
              <w:rPr>
                <w:rFonts w:hint="eastAsia" w:ascii="宋体" w:hAnsi="宋体" w:cs="宋体"/>
                <w:b w:val="0"/>
                <w:bCs w:val="0"/>
                <w:color w:val="000000"/>
                <w:sz w:val="21"/>
                <w:szCs w:val="21"/>
                <w:highlight w:val="none"/>
                <w:u w:val="none"/>
                <w:vertAlign w:val="baseline"/>
                <w:lang w:val="en-US" w:eastAsia="zh-CN"/>
              </w:rPr>
              <w:t>9.4可调整曝光参数（kV，mA，mAs等）、束光器滤过组合。</w:t>
            </w:r>
          </w:p>
          <w:p w14:paraId="52B5DBE5">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cs="宋体"/>
                <w:b/>
                <w:bCs/>
                <w:color w:val="000000"/>
                <w:sz w:val="21"/>
                <w:szCs w:val="21"/>
                <w:highlight w:val="none"/>
                <w:u w:val="none"/>
                <w:vertAlign w:val="baseline"/>
                <w:lang w:val="en-US" w:eastAsia="zh-CN"/>
              </w:rPr>
            </w:pPr>
            <w:r>
              <w:rPr>
                <w:rFonts w:hint="eastAsia" w:ascii="宋体" w:hAnsi="宋体" w:cs="宋体"/>
                <w:b/>
                <w:bCs/>
                <w:color w:val="000000"/>
                <w:sz w:val="21"/>
                <w:szCs w:val="21"/>
                <w:highlight w:val="none"/>
                <w:u w:val="none"/>
                <w:vertAlign w:val="baseline"/>
                <w:lang w:val="en-US" w:eastAsia="zh-CN"/>
              </w:rPr>
              <w:t>全幅摄影站台</w:t>
            </w:r>
          </w:p>
          <w:p w14:paraId="496C8A8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left"/>
              <w:textAlignment w:val="auto"/>
              <w:rPr>
                <w:rFonts w:hint="eastAsia" w:ascii="宋体" w:hAnsi="宋体" w:cs="宋体"/>
                <w:b w:val="0"/>
                <w:bCs w:val="0"/>
                <w:color w:val="000000"/>
                <w:sz w:val="21"/>
                <w:szCs w:val="21"/>
                <w:highlight w:val="none"/>
                <w:u w:val="none"/>
                <w:vertAlign w:val="baseline"/>
                <w:lang w:val="en-US" w:eastAsia="zh-CN"/>
              </w:rPr>
            </w:pPr>
            <w:r>
              <w:rPr>
                <w:rFonts w:hint="eastAsia" w:ascii="宋体" w:hAnsi="宋体" w:cs="宋体"/>
                <w:b w:val="0"/>
                <w:bCs w:val="0"/>
                <w:color w:val="000000"/>
                <w:sz w:val="21"/>
                <w:szCs w:val="21"/>
                <w:highlight w:val="none"/>
                <w:u w:val="none"/>
                <w:vertAlign w:val="baseline"/>
                <w:lang w:val="en-US" w:eastAsia="zh-CN"/>
              </w:rPr>
              <w:t>10.1站台宽度：≥800mm；</w:t>
            </w:r>
          </w:p>
          <w:p w14:paraId="7A1A942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left"/>
              <w:textAlignment w:val="auto"/>
              <w:rPr>
                <w:rFonts w:hint="eastAsia" w:ascii="宋体" w:hAnsi="宋体" w:cs="宋体"/>
                <w:b w:val="0"/>
                <w:bCs w:val="0"/>
                <w:color w:val="000000"/>
                <w:sz w:val="21"/>
                <w:szCs w:val="21"/>
                <w:highlight w:val="none"/>
                <w:u w:val="none"/>
                <w:vertAlign w:val="baseline"/>
                <w:lang w:val="en-US" w:eastAsia="zh-CN"/>
              </w:rPr>
            </w:pPr>
            <w:r>
              <w:rPr>
                <w:rFonts w:hint="eastAsia" w:ascii="宋体" w:hAnsi="宋体" w:cs="宋体"/>
                <w:b w:val="0"/>
                <w:bCs w:val="0"/>
                <w:color w:val="000000"/>
                <w:sz w:val="21"/>
                <w:szCs w:val="21"/>
                <w:highlight w:val="none"/>
                <w:u w:val="none"/>
                <w:vertAlign w:val="baseline"/>
                <w:lang w:val="en-US" w:eastAsia="zh-CN"/>
              </w:rPr>
              <w:t>10.2站台高度：≥2000mm；</w:t>
            </w:r>
          </w:p>
          <w:p w14:paraId="2A4A2C0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left"/>
              <w:textAlignment w:val="auto"/>
              <w:rPr>
                <w:rFonts w:hint="eastAsia" w:ascii="宋体" w:hAnsi="宋体" w:cs="宋体"/>
                <w:b w:val="0"/>
                <w:bCs w:val="0"/>
                <w:color w:val="000000"/>
                <w:sz w:val="21"/>
                <w:szCs w:val="21"/>
                <w:highlight w:val="none"/>
                <w:u w:val="none"/>
                <w:vertAlign w:val="baseline"/>
                <w:lang w:val="en-US" w:eastAsia="zh-CN"/>
              </w:rPr>
            </w:pPr>
            <w:r>
              <w:rPr>
                <w:rFonts w:hint="eastAsia" w:ascii="宋体" w:hAnsi="宋体" w:cs="宋体"/>
                <w:b w:val="0"/>
                <w:bCs w:val="0"/>
                <w:color w:val="000000"/>
                <w:sz w:val="21"/>
                <w:szCs w:val="21"/>
                <w:highlight w:val="none"/>
                <w:u w:val="none"/>
                <w:vertAlign w:val="baseline"/>
                <w:lang w:val="en-US" w:eastAsia="zh-CN"/>
              </w:rPr>
              <w:t>10.3最大承重：≥200kg。</w:t>
            </w:r>
          </w:p>
          <w:p w14:paraId="2314981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left"/>
              <w:textAlignment w:val="auto"/>
              <w:rPr>
                <w:rFonts w:hint="default" w:ascii="宋体" w:hAnsi="宋体" w:cs="宋体"/>
                <w:b/>
                <w:bCs/>
                <w:color w:val="000000"/>
                <w:sz w:val="21"/>
                <w:szCs w:val="21"/>
                <w:highlight w:val="none"/>
                <w:u w:val="none"/>
                <w:vertAlign w:val="baseline"/>
                <w:lang w:val="en-US" w:eastAsia="zh-CN"/>
              </w:rPr>
            </w:pPr>
            <w:r>
              <w:rPr>
                <w:rFonts w:hint="eastAsia" w:ascii="宋体" w:hAnsi="宋体" w:cs="宋体"/>
                <w:b/>
                <w:bCs/>
                <w:color w:val="000000"/>
                <w:sz w:val="21"/>
                <w:szCs w:val="21"/>
                <w:highlight w:val="none"/>
                <w:u w:val="none"/>
                <w:vertAlign w:val="baseline"/>
                <w:lang w:val="en-US" w:eastAsia="zh-CN"/>
              </w:rPr>
              <w:t>11、配置清单</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7"/>
              <w:gridCol w:w="2888"/>
              <w:gridCol w:w="1334"/>
            </w:tblGrid>
            <w:tr w14:paraId="7D325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157" w:type="dxa"/>
                  <w:noWrap w:val="0"/>
                  <w:vAlign w:val="center"/>
                </w:tcPr>
                <w:p w14:paraId="561761E4">
                  <w:pPr>
                    <w:spacing w:beforeLines="0" w:afterLines="0" w:line="360" w:lineRule="auto"/>
                    <w:jc w:val="center"/>
                    <w:rPr>
                      <w:rFonts w:hint="default" w:ascii="宋体" w:hAnsi="宋体" w:cs="宋体"/>
                      <w:b w:val="0"/>
                      <w:bCs w:val="0"/>
                      <w:color w:val="000000"/>
                      <w:sz w:val="21"/>
                      <w:szCs w:val="21"/>
                      <w:highlight w:val="none"/>
                      <w:u w:val="none"/>
                      <w:vertAlign w:val="baseline"/>
                      <w:lang w:val="en-US" w:eastAsia="zh-CN"/>
                    </w:rPr>
                  </w:pPr>
                  <w:r>
                    <w:rPr>
                      <w:rFonts w:hint="eastAsia" w:ascii="宋体" w:hAnsi="宋体" w:cs="宋体"/>
                      <w:b/>
                      <w:color w:val="000000"/>
                      <w:sz w:val="21"/>
                      <w:szCs w:val="21"/>
                      <w:highlight w:val="none"/>
                    </w:rPr>
                    <w:t>序号</w:t>
                  </w:r>
                </w:p>
              </w:tc>
              <w:tc>
                <w:tcPr>
                  <w:tcW w:w="2888" w:type="dxa"/>
                  <w:noWrap w:val="0"/>
                  <w:vAlign w:val="center"/>
                </w:tcPr>
                <w:p w14:paraId="306C0AD4">
                  <w:pPr>
                    <w:spacing w:beforeLines="0" w:afterLines="0" w:line="360" w:lineRule="auto"/>
                    <w:jc w:val="center"/>
                    <w:rPr>
                      <w:rFonts w:hint="default" w:ascii="宋体" w:hAnsi="宋体" w:cs="宋体"/>
                      <w:b w:val="0"/>
                      <w:bCs w:val="0"/>
                      <w:color w:val="000000"/>
                      <w:sz w:val="21"/>
                      <w:szCs w:val="21"/>
                      <w:highlight w:val="none"/>
                      <w:u w:val="none"/>
                      <w:vertAlign w:val="baseline"/>
                      <w:lang w:val="en-US" w:eastAsia="zh-CN"/>
                    </w:rPr>
                  </w:pPr>
                  <w:r>
                    <w:rPr>
                      <w:rFonts w:hint="eastAsia" w:ascii="宋体" w:hAnsi="宋体" w:cs="宋体"/>
                      <w:b/>
                      <w:color w:val="000000"/>
                      <w:sz w:val="21"/>
                      <w:szCs w:val="21"/>
                      <w:highlight w:val="none"/>
                    </w:rPr>
                    <w:t>名称</w:t>
                  </w:r>
                </w:p>
              </w:tc>
              <w:tc>
                <w:tcPr>
                  <w:tcW w:w="1334" w:type="dxa"/>
                  <w:noWrap w:val="0"/>
                  <w:vAlign w:val="center"/>
                </w:tcPr>
                <w:p w14:paraId="7146ABF0">
                  <w:pPr>
                    <w:spacing w:beforeLines="0" w:afterLines="0" w:line="360" w:lineRule="auto"/>
                    <w:jc w:val="center"/>
                    <w:rPr>
                      <w:rFonts w:hint="default" w:ascii="宋体" w:hAnsi="宋体" w:cs="宋体"/>
                      <w:b w:val="0"/>
                      <w:bCs w:val="0"/>
                      <w:color w:val="000000"/>
                      <w:sz w:val="21"/>
                      <w:szCs w:val="21"/>
                      <w:highlight w:val="none"/>
                      <w:u w:val="none"/>
                      <w:vertAlign w:val="baseline"/>
                      <w:lang w:val="en-US" w:eastAsia="zh-CN"/>
                    </w:rPr>
                  </w:pPr>
                  <w:r>
                    <w:rPr>
                      <w:rFonts w:hint="eastAsia" w:ascii="宋体" w:hAnsi="宋体" w:cs="宋体"/>
                      <w:b/>
                      <w:color w:val="000000"/>
                      <w:sz w:val="21"/>
                      <w:szCs w:val="21"/>
                      <w:highlight w:val="none"/>
                    </w:rPr>
                    <w:t>数量</w:t>
                  </w:r>
                </w:p>
              </w:tc>
            </w:tr>
            <w:tr w14:paraId="1911C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157" w:type="dxa"/>
                  <w:noWrap w:val="0"/>
                  <w:vAlign w:val="center"/>
                </w:tcPr>
                <w:p w14:paraId="536A4F6F">
                  <w:pPr>
                    <w:jc w:val="center"/>
                    <w:rPr>
                      <w:rFonts w:hint="default" w:ascii="宋体" w:hAnsi="宋体" w:cs="宋体"/>
                      <w:b w:val="0"/>
                      <w:bCs w:val="0"/>
                      <w:color w:val="000000"/>
                      <w:sz w:val="21"/>
                      <w:szCs w:val="21"/>
                      <w:highlight w:val="none"/>
                      <w:u w:val="none"/>
                      <w:vertAlign w:val="baseline"/>
                      <w:lang w:val="en-US" w:eastAsia="zh-CN"/>
                    </w:rPr>
                  </w:pPr>
                  <w:r>
                    <w:rPr>
                      <w:rFonts w:hint="eastAsia" w:ascii="宋体" w:hAnsi="宋体" w:eastAsia="宋体" w:cs="宋体"/>
                      <w:color w:val="000000"/>
                      <w:szCs w:val="21"/>
                      <w:highlight w:val="none"/>
                      <w:lang w:bidi="ar-SA"/>
                    </w:rPr>
                    <w:t>1</w:t>
                  </w:r>
                </w:p>
              </w:tc>
              <w:tc>
                <w:tcPr>
                  <w:tcW w:w="2888" w:type="dxa"/>
                  <w:noWrap w:val="0"/>
                  <w:vAlign w:val="center"/>
                </w:tcPr>
                <w:p w14:paraId="76CF5F12">
                  <w:pPr>
                    <w:jc w:val="center"/>
                    <w:rPr>
                      <w:rFonts w:hint="default" w:ascii="宋体" w:hAnsi="宋体" w:cs="宋体"/>
                      <w:b w:val="0"/>
                      <w:bCs w:val="0"/>
                      <w:color w:val="000000"/>
                      <w:sz w:val="21"/>
                      <w:szCs w:val="21"/>
                      <w:highlight w:val="none"/>
                      <w:u w:val="none"/>
                      <w:vertAlign w:val="baseline"/>
                      <w:lang w:val="en-US" w:eastAsia="zh-CN"/>
                    </w:rPr>
                  </w:pPr>
                  <w:r>
                    <w:rPr>
                      <w:rFonts w:hint="eastAsia" w:ascii="宋体" w:hAnsi="宋体" w:eastAsia="宋体" w:cs="宋体"/>
                      <w:color w:val="000000"/>
                      <w:szCs w:val="21"/>
                      <w:highlight w:val="none"/>
                      <w:lang w:bidi="ar-SA"/>
                    </w:rPr>
                    <w:t>高频高压发生器</w:t>
                  </w:r>
                </w:p>
              </w:tc>
              <w:tc>
                <w:tcPr>
                  <w:tcW w:w="1334" w:type="dxa"/>
                  <w:noWrap w:val="0"/>
                  <w:vAlign w:val="center"/>
                </w:tcPr>
                <w:p w14:paraId="524ECD68">
                  <w:pPr>
                    <w:jc w:val="center"/>
                    <w:rPr>
                      <w:rFonts w:hint="default" w:ascii="宋体" w:hAnsi="宋体" w:cs="宋体"/>
                      <w:b w:val="0"/>
                      <w:bCs w:val="0"/>
                      <w:color w:val="000000"/>
                      <w:sz w:val="21"/>
                      <w:szCs w:val="21"/>
                      <w:highlight w:val="none"/>
                      <w:u w:val="none"/>
                      <w:vertAlign w:val="baseline"/>
                      <w:lang w:val="en-US" w:eastAsia="zh-CN"/>
                    </w:rPr>
                  </w:pPr>
                  <w:r>
                    <w:rPr>
                      <w:rFonts w:hint="eastAsia" w:ascii="宋体" w:hAnsi="宋体" w:eastAsia="宋体" w:cs="宋体"/>
                      <w:color w:val="000000"/>
                      <w:szCs w:val="21"/>
                      <w:highlight w:val="none"/>
                      <w:lang w:bidi="ar-SA"/>
                    </w:rPr>
                    <w:t>1套</w:t>
                  </w:r>
                </w:p>
              </w:tc>
            </w:tr>
            <w:tr w14:paraId="4D1AE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157" w:type="dxa"/>
                  <w:noWrap w:val="0"/>
                  <w:vAlign w:val="center"/>
                </w:tcPr>
                <w:p w14:paraId="495CC1DB">
                  <w:pPr>
                    <w:jc w:val="center"/>
                    <w:rPr>
                      <w:rFonts w:hint="default" w:ascii="宋体" w:hAnsi="宋体" w:cs="宋体"/>
                      <w:b w:val="0"/>
                      <w:bCs w:val="0"/>
                      <w:color w:val="000000"/>
                      <w:sz w:val="21"/>
                      <w:szCs w:val="21"/>
                      <w:highlight w:val="none"/>
                      <w:u w:val="none"/>
                      <w:vertAlign w:val="baseline"/>
                      <w:lang w:val="en-US" w:eastAsia="zh-CN"/>
                    </w:rPr>
                  </w:pPr>
                  <w:r>
                    <w:rPr>
                      <w:rFonts w:hint="eastAsia" w:ascii="宋体" w:hAnsi="宋体" w:eastAsia="宋体" w:cs="宋体"/>
                      <w:color w:val="000000"/>
                      <w:szCs w:val="21"/>
                      <w:highlight w:val="none"/>
                      <w:lang w:bidi="ar-SA"/>
                    </w:rPr>
                    <w:t>2</w:t>
                  </w:r>
                </w:p>
              </w:tc>
              <w:tc>
                <w:tcPr>
                  <w:tcW w:w="2888" w:type="dxa"/>
                  <w:noWrap w:val="0"/>
                  <w:vAlign w:val="center"/>
                </w:tcPr>
                <w:p w14:paraId="3CB0A9E3">
                  <w:pPr>
                    <w:jc w:val="center"/>
                    <w:rPr>
                      <w:rFonts w:hint="default" w:ascii="宋体" w:hAnsi="宋体" w:cs="宋体"/>
                      <w:b w:val="0"/>
                      <w:bCs w:val="0"/>
                      <w:color w:val="000000"/>
                      <w:sz w:val="21"/>
                      <w:szCs w:val="21"/>
                      <w:highlight w:val="none"/>
                      <w:u w:val="none"/>
                      <w:vertAlign w:val="baseline"/>
                      <w:lang w:val="en-US" w:eastAsia="zh-CN"/>
                    </w:rPr>
                  </w:pPr>
                  <w:r>
                    <w:rPr>
                      <w:rFonts w:hint="eastAsia" w:ascii="宋体" w:hAnsi="宋体" w:eastAsia="宋体" w:cs="宋体"/>
                      <w:color w:val="000000"/>
                      <w:szCs w:val="21"/>
                      <w:highlight w:val="none"/>
                      <w:lang w:bidi="ar-SA"/>
                    </w:rPr>
                    <w:t>X射线管组件</w:t>
                  </w:r>
                </w:p>
              </w:tc>
              <w:tc>
                <w:tcPr>
                  <w:tcW w:w="1334" w:type="dxa"/>
                  <w:noWrap w:val="0"/>
                  <w:vAlign w:val="center"/>
                </w:tcPr>
                <w:p w14:paraId="5B13B067">
                  <w:pPr>
                    <w:jc w:val="center"/>
                    <w:rPr>
                      <w:rFonts w:hint="default" w:ascii="宋体" w:hAnsi="宋体" w:cs="宋体"/>
                      <w:b w:val="0"/>
                      <w:bCs w:val="0"/>
                      <w:color w:val="000000"/>
                      <w:sz w:val="21"/>
                      <w:szCs w:val="21"/>
                      <w:highlight w:val="none"/>
                      <w:u w:val="none"/>
                      <w:vertAlign w:val="baseline"/>
                      <w:lang w:val="en-US" w:eastAsia="zh-CN"/>
                    </w:rPr>
                  </w:pPr>
                  <w:r>
                    <w:rPr>
                      <w:rFonts w:hint="eastAsia" w:ascii="宋体" w:hAnsi="宋体" w:eastAsia="宋体" w:cs="宋体"/>
                      <w:color w:val="000000"/>
                      <w:szCs w:val="21"/>
                      <w:highlight w:val="none"/>
                      <w:lang w:bidi="ar-SA"/>
                    </w:rPr>
                    <w:t>1只</w:t>
                  </w:r>
                </w:p>
              </w:tc>
            </w:tr>
            <w:tr w14:paraId="105EC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157" w:type="dxa"/>
                  <w:noWrap w:val="0"/>
                  <w:vAlign w:val="center"/>
                </w:tcPr>
                <w:p w14:paraId="58B9311A">
                  <w:pPr>
                    <w:jc w:val="center"/>
                    <w:rPr>
                      <w:rFonts w:hint="default" w:ascii="宋体" w:hAnsi="宋体" w:cs="宋体"/>
                      <w:b w:val="0"/>
                      <w:bCs w:val="0"/>
                      <w:color w:val="000000"/>
                      <w:sz w:val="21"/>
                      <w:szCs w:val="21"/>
                      <w:highlight w:val="none"/>
                      <w:u w:val="none"/>
                      <w:vertAlign w:val="baseline"/>
                      <w:lang w:val="en-US" w:eastAsia="zh-CN"/>
                    </w:rPr>
                  </w:pPr>
                  <w:r>
                    <w:rPr>
                      <w:rFonts w:hint="eastAsia" w:ascii="宋体" w:hAnsi="宋体" w:eastAsia="宋体" w:cs="宋体"/>
                      <w:color w:val="000000"/>
                      <w:szCs w:val="21"/>
                      <w:highlight w:val="none"/>
                      <w:lang w:bidi="ar-SA"/>
                    </w:rPr>
                    <w:t>3</w:t>
                  </w:r>
                </w:p>
              </w:tc>
              <w:tc>
                <w:tcPr>
                  <w:tcW w:w="2888" w:type="dxa"/>
                  <w:noWrap w:val="0"/>
                  <w:vAlign w:val="center"/>
                </w:tcPr>
                <w:p w14:paraId="523CE5CB">
                  <w:pPr>
                    <w:jc w:val="center"/>
                    <w:rPr>
                      <w:rFonts w:hint="default" w:ascii="宋体" w:hAnsi="宋体" w:cs="宋体"/>
                      <w:b w:val="0"/>
                      <w:bCs w:val="0"/>
                      <w:color w:val="000000"/>
                      <w:sz w:val="21"/>
                      <w:szCs w:val="21"/>
                      <w:highlight w:val="none"/>
                      <w:u w:val="none"/>
                      <w:vertAlign w:val="baseline"/>
                      <w:lang w:val="en-US" w:eastAsia="zh-CN"/>
                    </w:rPr>
                  </w:pPr>
                  <w:r>
                    <w:rPr>
                      <w:rFonts w:hint="eastAsia" w:ascii="宋体" w:hAnsi="宋体" w:eastAsia="宋体" w:cs="宋体"/>
                      <w:color w:val="000000"/>
                      <w:szCs w:val="21"/>
                      <w:highlight w:val="none"/>
                      <w:lang w:bidi="ar-SA"/>
                    </w:rPr>
                    <w:t>X射线平板探测器</w:t>
                  </w:r>
                </w:p>
              </w:tc>
              <w:tc>
                <w:tcPr>
                  <w:tcW w:w="1334" w:type="dxa"/>
                  <w:noWrap w:val="0"/>
                  <w:vAlign w:val="center"/>
                </w:tcPr>
                <w:p w14:paraId="64699441">
                  <w:pPr>
                    <w:jc w:val="center"/>
                    <w:rPr>
                      <w:rFonts w:hint="default" w:ascii="宋体" w:hAnsi="宋体" w:cs="宋体"/>
                      <w:b w:val="0"/>
                      <w:bCs w:val="0"/>
                      <w:color w:val="000000"/>
                      <w:sz w:val="21"/>
                      <w:szCs w:val="21"/>
                      <w:highlight w:val="none"/>
                      <w:u w:val="none"/>
                      <w:vertAlign w:val="baseline"/>
                      <w:lang w:val="en-US" w:eastAsia="zh-CN"/>
                    </w:rPr>
                  </w:pPr>
                  <w:r>
                    <w:rPr>
                      <w:rFonts w:hint="eastAsia" w:ascii="宋体" w:hAnsi="宋体" w:eastAsia="宋体" w:cs="宋体"/>
                      <w:color w:val="000000"/>
                      <w:szCs w:val="21"/>
                      <w:highlight w:val="none"/>
                      <w:lang w:bidi="ar-SA"/>
                    </w:rPr>
                    <w:t>1块</w:t>
                  </w:r>
                </w:p>
              </w:tc>
            </w:tr>
            <w:tr w14:paraId="4C778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157" w:type="dxa"/>
                  <w:noWrap w:val="0"/>
                  <w:vAlign w:val="center"/>
                </w:tcPr>
                <w:p w14:paraId="0D17FC67">
                  <w:pPr>
                    <w:jc w:val="center"/>
                    <w:rPr>
                      <w:rFonts w:hint="default" w:ascii="宋体" w:hAnsi="宋体" w:cs="宋体"/>
                      <w:b w:val="0"/>
                      <w:bCs w:val="0"/>
                      <w:color w:val="000000"/>
                      <w:sz w:val="21"/>
                      <w:szCs w:val="21"/>
                      <w:highlight w:val="none"/>
                      <w:u w:val="none"/>
                      <w:vertAlign w:val="baseline"/>
                      <w:lang w:val="en-US" w:eastAsia="zh-CN"/>
                    </w:rPr>
                  </w:pPr>
                  <w:r>
                    <w:rPr>
                      <w:rFonts w:hint="eastAsia" w:ascii="宋体" w:hAnsi="宋体" w:cs="宋体"/>
                      <w:color w:val="000000"/>
                      <w:szCs w:val="21"/>
                      <w:highlight w:val="none"/>
                      <w:lang w:val="en-US" w:eastAsia="zh-CN" w:bidi="ar-SA"/>
                    </w:rPr>
                    <w:t>4</w:t>
                  </w:r>
                </w:p>
              </w:tc>
              <w:tc>
                <w:tcPr>
                  <w:tcW w:w="2888" w:type="dxa"/>
                  <w:noWrap w:val="0"/>
                  <w:vAlign w:val="center"/>
                </w:tcPr>
                <w:p w14:paraId="6B3DDC73">
                  <w:pPr>
                    <w:jc w:val="center"/>
                    <w:rPr>
                      <w:rFonts w:hint="default" w:ascii="宋体" w:hAnsi="宋体" w:cs="宋体"/>
                      <w:b w:val="0"/>
                      <w:bCs w:val="0"/>
                      <w:color w:val="000000"/>
                      <w:sz w:val="21"/>
                      <w:szCs w:val="21"/>
                      <w:highlight w:val="none"/>
                      <w:u w:val="none"/>
                      <w:vertAlign w:val="baseline"/>
                      <w:lang w:val="en-US" w:eastAsia="zh-CN"/>
                    </w:rPr>
                  </w:pPr>
                  <w:r>
                    <w:rPr>
                      <w:rFonts w:hint="eastAsia" w:ascii="宋体" w:hAnsi="宋体" w:eastAsia="宋体" w:cs="宋体"/>
                      <w:color w:val="000000"/>
                      <w:szCs w:val="21"/>
                      <w:highlight w:val="none"/>
                      <w:lang w:bidi="ar-SA"/>
                    </w:rPr>
                    <w:t>X射线</w:t>
                  </w:r>
                  <w:r>
                    <w:rPr>
                      <w:rFonts w:hint="eastAsia" w:ascii="宋体" w:hAnsi="宋体" w:cs="宋体"/>
                      <w:color w:val="000000"/>
                      <w:szCs w:val="21"/>
                      <w:highlight w:val="none"/>
                      <w:lang w:val="en-US" w:eastAsia="zh-CN" w:bidi="ar-SA"/>
                    </w:rPr>
                    <w:t>静态全幅</w:t>
                  </w:r>
                  <w:r>
                    <w:rPr>
                      <w:rFonts w:hint="eastAsia" w:ascii="宋体" w:hAnsi="宋体" w:eastAsia="宋体" w:cs="宋体"/>
                      <w:color w:val="000000"/>
                      <w:szCs w:val="21"/>
                      <w:highlight w:val="none"/>
                      <w:lang w:bidi="ar-SA"/>
                    </w:rPr>
                    <w:t>平板探测器</w:t>
                  </w:r>
                </w:p>
              </w:tc>
              <w:tc>
                <w:tcPr>
                  <w:tcW w:w="1334" w:type="dxa"/>
                  <w:noWrap w:val="0"/>
                  <w:vAlign w:val="center"/>
                </w:tcPr>
                <w:p w14:paraId="69364A0C">
                  <w:pPr>
                    <w:jc w:val="center"/>
                    <w:rPr>
                      <w:rFonts w:hint="default" w:ascii="宋体" w:hAnsi="宋体" w:cs="宋体"/>
                      <w:b w:val="0"/>
                      <w:bCs w:val="0"/>
                      <w:color w:val="000000"/>
                      <w:sz w:val="21"/>
                      <w:szCs w:val="21"/>
                      <w:highlight w:val="none"/>
                      <w:u w:val="none"/>
                      <w:vertAlign w:val="baseline"/>
                      <w:lang w:val="en-US" w:eastAsia="zh-CN"/>
                    </w:rPr>
                  </w:pPr>
                  <w:r>
                    <w:rPr>
                      <w:rFonts w:hint="eastAsia" w:ascii="宋体" w:hAnsi="宋体" w:eastAsia="宋体" w:cs="宋体"/>
                      <w:color w:val="000000"/>
                      <w:szCs w:val="21"/>
                      <w:highlight w:val="none"/>
                      <w:lang w:bidi="ar-SA"/>
                    </w:rPr>
                    <w:t>1块</w:t>
                  </w:r>
                </w:p>
              </w:tc>
            </w:tr>
            <w:tr w14:paraId="7B712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157" w:type="dxa"/>
                  <w:noWrap w:val="0"/>
                  <w:vAlign w:val="center"/>
                </w:tcPr>
                <w:p w14:paraId="0F39FB2C">
                  <w:pPr>
                    <w:jc w:val="center"/>
                    <w:rPr>
                      <w:rFonts w:hint="default" w:ascii="宋体" w:hAnsi="宋体" w:cs="宋体"/>
                      <w:b w:val="0"/>
                      <w:bCs w:val="0"/>
                      <w:color w:val="000000"/>
                      <w:sz w:val="21"/>
                      <w:szCs w:val="21"/>
                      <w:highlight w:val="none"/>
                      <w:u w:val="none"/>
                      <w:vertAlign w:val="baseline"/>
                      <w:lang w:val="en-US" w:eastAsia="zh-CN"/>
                    </w:rPr>
                  </w:pPr>
                  <w:r>
                    <w:rPr>
                      <w:rFonts w:hint="eastAsia" w:ascii="宋体" w:hAnsi="宋体" w:cs="宋体"/>
                      <w:color w:val="000000"/>
                      <w:szCs w:val="21"/>
                      <w:highlight w:val="none"/>
                      <w:lang w:val="en-US" w:eastAsia="zh-CN" w:bidi="ar-SA"/>
                    </w:rPr>
                    <w:t>5</w:t>
                  </w:r>
                </w:p>
              </w:tc>
              <w:tc>
                <w:tcPr>
                  <w:tcW w:w="2888" w:type="dxa"/>
                  <w:noWrap w:val="0"/>
                  <w:vAlign w:val="center"/>
                </w:tcPr>
                <w:p w14:paraId="1760EB3F">
                  <w:pPr>
                    <w:jc w:val="center"/>
                    <w:rPr>
                      <w:rFonts w:hint="default" w:ascii="宋体" w:hAnsi="宋体" w:cs="宋体"/>
                      <w:b w:val="0"/>
                      <w:bCs w:val="0"/>
                      <w:color w:val="000000"/>
                      <w:sz w:val="21"/>
                      <w:szCs w:val="21"/>
                      <w:highlight w:val="none"/>
                      <w:u w:val="none"/>
                      <w:vertAlign w:val="baseline"/>
                      <w:lang w:val="en-US" w:eastAsia="zh-CN"/>
                    </w:rPr>
                  </w:pPr>
                  <w:r>
                    <w:rPr>
                      <w:rFonts w:hint="eastAsia" w:ascii="宋体" w:hAnsi="宋体" w:eastAsia="宋体" w:cs="宋体"/>
                      <w:color w:val="000000"/>
                      <w:szCs w:val="21"/>
                      <w:highlight w:val="none"/>
                      <w:lang w:val="en-US" w:eastAsia="zh-CN" w:bidi="ar-SA"/>
                    </w:rPr>
                    <w:t>悬吊</w:t>
                  </w:r>
                  <w:r>
                    <w:rPr>
                      <w:rFonts w:hint="eastAsia" w:ascii="宋体" w:hAnsi="宋体" w:eastAsia="宋体" w:cs="宋体"/>
                      <w:color w:val="000000"/>
                      <w:szCs w:val="21"/>
                      <w:highlight w:val="none"/>
                      <w:lang w:bidi="ar-SA"/>
                    </w:rPr>
                    <w:t>机架</w:t>
                  </w:r>
                </w:p>
              </w:tc>
              <w:tc>
                <w:tcPr>
                  <w:tcW w:w="1334" w:type="dxa"/>
                  <w:noWrap w:val="0"/>
                  <w:vAlign w:val="center"/>
                </w:tcPr>
                <w:p w14:paraId="1F7A0565">
                  <w:pPr>
                    <w:jc w:val="center"/>
                    <w:rPr>
                      <w:rFonts w:hint="default" w:ascii="宋体" w:hAnsi="宋体" w:cs="宋体"/>
                      <w:b w:val="0"/>
                      <w:bCs w:val="0"/>
                      <w:color w:val="000000"/>
                      <w:sz w:val="21"/>
                      <w:szCs w:val="21"/>
                      <w:highlight w:val="none"/>
                      <w:u w:val="none"/>
                      <w:vertAlign w:val="baseline"/>
                      <w:lang w:val="en-US" w:eastAsia="zh-CN"/>
                    </w:rPr>
                  </w:pPr>
                  <w:r>
                    <w:rPr>
                      <w:rFonts w:hint="eastAsia" w:ascii="宋体" w:hAnsi="宋体" w:eastAsia="宋体" w:cs="宋体"/>
                      <w:color w:val="000000"/>
                      <w:szCs w:val="21"/>
                      <w:highlight w:val="none"/>
                      <w:lang w:bidi="ar-SA"/>
                    </w:rPr>
                    <w:t>1套</w:t>
                  </w:r>
                </w:p>
              </w:tc>
            </w:tr>
            <w:tr w14:paraId="66FC1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157" w:type="dxa"/>
                  <w:noWrap w:val="0"/>
                  <w:vAlign w:val="center"/>
                </w:tcPr>
                <w:p w14:paraId="54B5CDA0">
                  <w:pPr>
                    <w:jc w:val="center"/>
                    <w:rPr>
                      <w:rFonts w:hint="default" w:ascii="宋体" w:hAnsi="宋体" w:cs="宋体"/>
                      <w:b w:val="0"/>
                      <w:bCs w:val="0"/>
                      <w:color w:val="000000"/>
                      <w:sz w:val="21"/>
                      <w:szCs w:val="21"/>
                      <w:highlight w:val="none"/>
                      <w:u w:val="none"/>
                      <w:vertAlign w:val="baseline"/>
                      <w:lang w:val="en-US" w:eastAsia="zh-CN"/>
                    </w:rPr>
                  </w:pPr>
                  <w:r>
                    <w:rPr>
                      <w:rFonts w:hint="eastAsia" w:ascii="宋体" w:hAnsi="宋体" w:cs="宋体"/>
                      <w:color w:val="000000"/>
                      <w:szCs w:val="21"/>
                      <w:highlight w:val="none"/>
                      <w:lang w:val="en-US" w:eastAsia="zh-CN" w:bidi="ar-SA"/>
                    </w:rPr>
                    <w:t>6</w:t>
                  </w:r>
                </w:p>
              </w:tc>
              <w:tc>
                <w:tcPr>
                  <w:tcW w:w="2888" w:type="dxa"/>
                  <w:noWrap w:val="0"/>
                  <w:vAlign w:val="center"/>
                </w:tcPr>
                <w:p w14:paraId="01EBE23C">
                  <w:pPr>
                    <w:jc w:val="center"/>
                    <w:rPr>
                      <w:rFonts w:hint="default" w:ascii="宋体" w:hAnsi="宋体" w:cs="宋体"/>
                      <w:b w:val="0"/>
                      <w:bCs w:val="0"/>
                      <w:color w:val="000000"/>
                      <w:sz w:val="21"/>
                      <w:szCs w:val="21"/>
                      <w:highlight w:val="none"/>
                      <w:u w:val="none"/>
                      <w:vertAlign w:val="baseline"/>
                      <w:lang w:val="en-US" w:eastAsia="zh-CN"/>
                    </w:rPr>
                  </w:pPr>
                  <w:r>
                    <w:rPr>
                      <w:rFonts w:hint="eastAsia" w:ascii="宋体" w:hAnsi="宋体" w:eastAsia="宋体" w:cs="宋体"/>
                      <w:color w:val="000000"/>
                      <w:szCs w:val="21"/>
                      <w:highlight w:val="none"/>
                      <w:lang w:eastAsia="zh-CN" w:bidi="ar-SA"/>
                    </w:rPr>
                    <w:t>立式摄影架</w:t>
                  </w:r>
                </w:p>
              </w:tc>
              <w:tc>
                <w:tcPr>
                  <w:tcW w:w="1334" w:type="dxa"/>
                  <w:noWrap w:val="0"/>
                  <w:vAlign w:val="center"/>
                </w:tcPr>
                <w:p w14:paraId="09761CAD">
                  <w:pPr>
                    <w:jc w:val="center"/>
                    <w:rPr>
                      <w:rFonts w:hint="default" w:ascii="宋体" w:hAnsi="宋体" w:cs="宋体"/>
                      <w:b w:val="0"/>
                      <w:bCs w:val="0"/>
                      <w:color w:val="000000"/>
                      <w:sz w:val="21"/>
                      <w:szCs w:val="21"/>
                      <w:highlight w:val="none"/>
                      <w:u w:val="none"/>
                      <w:vertAlign w:val="baseline"/>
                      <w:lang w:val="en-US" w:eastAsia="zh-CN"/>
                    </w:rPr>
                  </w:pPr>
                  <w:r>
                    <w:rPr>
                      <w:rFonts w:hint="eastAsia" w:ascii="宋体" w:hAnsi="宋体" w:eastAsia="宋体" w:cs="宋体"/>
                      <w:color w:val="000000"/>
                      <w:szCs w:val="21"/>
                      <w:highlight w:val="none"/>
                      <w:lang w:bidi="ar-SA"/>
                    </w:rPr>
                    <w:t>1套</w:t>
                  </w:r>
                </w:p>
              </w:tc>
            </w:tr>
            <w:tr w14:paraId="1EA1C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157" w:type="dxa"/>
                  <w:noWrap w:val="0"/>
                  <w:vAlign w:val="center"/>
                </w:tcPr>
                <w:p w14:paraId="7302E655">
                  <w:pPr>
                    <w:jc w:val="center"/>
                    <w:rPr>
                      <w:rFonts w:hint="default" w:ascii="宋体" w:hAnsi="宋体" w:cs="宋体"/>
                      <w:b w:val="0"/>
                      <w:bCs w:val="0"/>
                      <w:color w:val="000000"/>
                      <w:sz w:val="21"/>
                      <w:szCs w:val="21"/>
                      <w:highlight w:val="none"/>
                      <w:u w:val="none"/>
                      <w:vertAlign w:val="baseline"/>
                      <w:lang w:val="en-US" w:eastAsia="zh-CN"/>
                    </w:rPr>
                  </w:pPr>
                  <w:r>
                    <w:rPr>
                      <w:rFonts w:hint="eastAsia" w:ascii="宋体" w:hAnsi="宋体" w:cs="宋体"/>
                      <w:color w:val="000000"/>
                      <w:szCs w:val="21"/>
                      <w:highlight w:val="none"/>
                      <w:lang w:val="en-US" w:eastAsia="zh-CN" w:bidi="ar-SA"/>
                    </w:rPr>
                    <w:t>7</w:t>
                  </w:r>
                </w:p>
              </w:tc>
              <w:tc>
                <w:tcPr>
                  <w:tcW w:w="2888" w:type="dxa"/>
                  <w:noWrap w:val="0"/>
                  <w:vAlign w:val="center"/>
                </w:tcPr>
                <w:p w14:paraId="2566D2D9">
                  <w:pPr>
                    <w:jc w:val="center"/>
                    <w:rPr>
                      <w:rFonts w:hint="default" w:ascii="宋体" w:hAnsi="宋体" w:cs="宋体"/>
                      <w:b w:val="0"/>
                      <w:bCs w:val="0"/>
                      <w:color w:val="000000"/>
                      <w:sz w:val="21"/>
                      <w:szCs w:val="21"/>
                      <w:highlight w:val="none"/>
                      <w:u w:val="none"/>
                      <w:vertAlign w:val="baseline"/>
                      <w:lang w:val="en-US" w:eastAsia="zh-CN"/>
                    </w:rPr>
                  </w:pPr>
                  <w:r>
                    <w:rPr>
                      <w:rFonts w:hint="eastAsia" w:ascii="宋体" w:hAnsi="宋体" w:eastAsia="宋体" w:cs="宋体"/>
                      <w:color w:val="000000"/>
                      <w:szCs w:val="21"/>
                      <w:highlight w:val="none"/>
                      <w:lang w:eastAsia="zh-CN" w:bidi="ar-SA"/>
                    </w:rPr>
                    <w:t>升降式浮动患者台</w:t>
                  </w:r>
                </w:p>
              </w:tc>
              <w:tc>
                <w:tcPr>
                  <w:tcW w:w="1334" w:type="dxa"/>
                  <w:noWrap w:val="0"/>
                  <w:vAlign w:val="center"/>
                </w:tcPr>
                <w:p w14:paraId="456332FC">
                  <w:pPr>
                    <w:jc w:val="center"/>
                    <w:rPr>
                      <w:rFonts w:hint="default" w:ascii="宋体" w:hAnsi="宋体" w:cs="宋体"/>
                      <w:b w:val="0"/>
                      <w:bCs w:val="0"/>
                      <w:color w:val="000000"/>
                      <w:sz w:val="21"/>
                      <w:szCs w:val="21"/>
                      <w:highlight w:val="none"/>
                      <w:u w:val="none"/>
                      <w:vertAlign w:val="baseline"/>
                      <w:lang w:val="en-US" w:eastAsia="zh-CN"/>
                    </w:rPr>
                  </w:pPr>
                  <w:r>
                    <w:rPr>
                      <w:rFonts w:hint="eastAsia" w:ascii="宋体" w:hAnsi="宋体" w:eastAsia="宋体" w:cs="宋体"/>
                      <w:color w:val="000000"/>
                      <w:szCs w:val="21"/>
                      <w:highlight w:val="none"/>
                      <w:lang w:bidi="ar-SA"/>
                    </w:rPr>
                    <w:t>1套</w:t>
                  </w:r>
                </w:p>
              </w:tc>
            </w:tr>
            <w:tr w14:paraId="45872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157" w:type="dxa"/>
                  <w:noWrap w:val="0"/>
                  <w:vAlign w:val="center"/>
                </w:tcPr>
                <w:p w14:paraId="2183F0F2">
                  <w:pPr>
                    <w:jc w:val="center"/>
                    <w:rPr>
                      <w:rFonts w:hint="default" w:ascii="宋体" w:hAnsi="宋体" w:cs="宋体"/>
                      <w:b w:val="0"/>
                      <w:bCs w:val="0"/>
                      <w:color w:val="000000"/>
                      <w:sz w:val="21"/>
                      <w:szCs w:val="21"/>
                      <w:highlight w:val="none"/>
                      <w:u w:val="none"/>
                      <w:vertAlign w:val="baseline"/>
                      <w:lang w:val="en-US" w:eastAsia="zh-CN"/>
                    </w:rPr>
                  </w:pPr>
                  <w:r>
                    <w:rPr>
                      <w:rFonts w:hint="eastAsia" w:ascii="宋体" w:hAnsi="宋体" w:cs="宋体"/>
                      <w:color w:val="000000"/>
                      <w:szCs w:val="21"/>
                      <w:highlight w:val="none"/>
                      <w:lang w:val="en-US" w:eastAsia="zh-CN" w:bidi="ar-SA"/>
                    </w:rPr>
                    <w:t>8</w:t>
                  </w:r>
                </w:p>
              </w:tc>
              <w:tc>
                <w:tcPr>
                  <w:tcW w:w="2888" w:type="dxa"/>
                  <w:noWrap w:val="0"/>
                  <w:vAlign w:val="center"/>
                </w:tcPr>
                <w:p w14:paraId="6AAADF97">
                  <w:pPr>
                    <w:jc w:val="center"/>
                    <w:rPr>
                      <w:rFonts w:hint="default" w:ascii="宋体" w:hAnsi="宋体" w:cs="宋体"/>
                      <w:b w:val="0"/>
                      <w:bCs w:val="0"/>
                      <w:color w:val="000000"/>
                      <w:sz w:val="21"/>
                      <w:szCs w:val="21"/>
                      <w:highlight w:val="none"/>
                      <w:u w:val="none"/>
                      <w:vertAlign w:val="baseline"/>
                      <w:lang w:val="en-US" w:eastAsia="zh-CN"/>
                    </w:rPr>
                  </w:pPr>
                  <w:r>
                    <w:rPr>
                      <w:rFonts w:hint="eastAsia" w:ascii="宋体" w:hAnsi="宋体" w:eastAsia="宋体" w:cs="宋体"/>
                      <w:color w:val="000000"/>
                      <w:szCs w:val="21"/>
                      <w:highlight w:val="none"/>
                      <w:lang w:bidi="ar-SA"/>
                    </w:rPr>
                    <w:t>限束器</w:t>
                  </w:r>
                </w:p>
              </w:tc>
              <w:tc>
                <w:tcPr>
                  <w:tcW w:w="1334" w:type="dxa"/>
                  <w:noWrap w:val="0"/>
                  <w:vAlign w:val="center"/>
                </w:tcPr>
                <w:p w14:paraId="0F27E23C">
                  <w:pPr>
                    <w:jc w:val="center"/>
                    <w:rPr>
                      <w:rFonts w:hint="default" w:ascii="宋体" w:hAnsi="宋体" w:cs="宋体"/>
                      <w:b w:val="0"/>
                      <w:bCs w:val="0"/>
                      <w:color w:val="000000"/>
                      <w:sz w:val="21"/>
                      <w:szCs w:val="21"/>
                      <w:highlight w:val="none"/>
                      <w:u w:val="none"/>
                      <w:vertAlign w:val="baseline"/>
                      <w:lang w:val="en-US" w:eastAsia="zh-CN"/>
                    </w:rPr>
                  </w:pPr>
                  <w:r>
                    <w:rPr>
                      <w:rFonts w:hint="eastAsia" w:ascii="宋体" w:hAnsi="宋体" w:eastAsia="宋体" w:cs="宋体"/>
                      <w:color w:val="000000"/>
                      <w:szCs w:val="21"/>
                      <w:highlight w:val="none"/>
                      <w:lang w:bidi="ar-SA"/>
                    </w:rPr>
                    <w:t>1套</w:t>
                  </w:r>
                </w:p>
              </w:tc>
            </w:tr>
            <w:tr w14:paraId="763A7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157" w:type="dxa"/>
                  <w:noWrap w:val="0"/>
                  <w:vAlign w:val="center"/>
                </w:tcPr>
                <w:p w14:paraId="110CD070">
                  <w:pPr>
                    <w:jc w:val="center"/>
                    <w:rPr>
                      <w:rFonts w:hint="default" w:ascii="宋体" w:hAnsi="宋体" w:cs="宋体"/>
                      <w:b w:val="0"/>
                      <w:bCs w:val="0"/>
                      <w:color w:val="000000"/>
                      <w:sz w:val="21"/>
                      <w:szCs w:val="21"/>
                      <w:highlight w:val="none"/>
                      <w:u w:val="none"/>
                      <w:vertAlign w:val="baseline"/>
                      <w:lang w:val="en-US" w:eastAsia="zh-CN"/>
                    </w:rPr>
                  </w:pPr>
                  <w:r>
                    <w:rPr>
                      <w:rFonts w:hint="eastAsia" w:ascii="宋体" w:hAnsi="宋体" w:cs="宋体"/>
                      <w:color w:val="000000"/>
                      <w:szCs w:val="21"/>
                      <w:highlight w:val="none"/>
                      <w:lang w:val="en-US" w:eastAsia="zh-CN" w:bidi="ar-SA"/>
                    </w:rPr>
                    <w:t>9</w:t>
                  </w:r>
                </w:p>
              </w:tc>
              <w:tc>
                <w:tcPr>
                  <w:tcW w:w="2888" w:type="dxa"/>
                  <w:noWrap w:val="0"/>
                  <w:vAlign w:val="center"/>
                </w:tcPr>
                <w:p w14:paraId="76C3CEAD">
                  <w:pPr>
                    <w:jc w:val="center"/>
                    <w:rPr>
                      <w:rFonts w:hint="default" w:ascii="宋体" w:hAnsi="宋体" w:cs="宋体"/>
                      <w:b w:val="0"/>
                      <w:bCs w:val="0"/>
                      <w:color w:val="000000"/>
                      <w:sz w:val="21"/>
                      <w:szCs w:val="21"/>
                      <w:highlight w:val="none"/>
                      <w:u w:val="none"/>
                      <w:vertAlign w:val="baseline"/>
                      <w:lang w:val="en-US" w:eastAsia="zh-CN"/>
                    </w:rPr>
                  </w:pPr>
                  <w:r>
                    <w:rPr>
                      <w:rFonts w:hint="eastAsia" w:ascii="宋体" w:hAnsi="宋体" w:eastAsia="宋体" w:cs="宋体"/>
                      <w:color w:val="000000"/>
                      <w:szCs w:val="21"/>
                      <w:highlight w:val="none"/>
                      <w:lang w:bidi="ar-SA"/>
                    </w:rPr>
                    <w:t>控制台</w:t>
                  </w:r>
                </w:p>
              </w:tc>
              <w:tc>
                <w:tcPr>
                  <w:tcW w:w="1334" w:type="dxa"/>
                  <w:noWrap w:val="0"/>
                  <w:vAlign w:val="center"/>
                </w:tcPr>
                <w:p w14:paraId="7C5C4FA2">
                  <w:pPr>
                    <w:jc w:val="center"/>
                    <w:rPr>
                      <w:rFonts w:hint="default" w:ascii="宋体" w:hAnsi="宋体" w:cs="宋体"/>
                      <w:b w:val="0"/>
                      <w:bCs w:val="0"/>
                      <w:color w:val="000000"/>
                      <w:sz w:val="21"/>
                      <w:szCs w:val="21"/>
                      <w:highlight w:val="none"/>
                      <w:u w:val="none"/>
                      <w:vertAlign w:val="baseline"/>
                      <w:lang w:val="en-US" w:eastAsia="zh-CN"/>
                    </w:rPr>
                  </w:pPr>
                  <w:r>
                    <w:rPr>
                      <w:rFonts w:hint="eastAsia" w:ascii="宋体" w:hAnsi="宋体" w:eastAsia="宋体" w:cs="宋体"/>
                      <w:color w:val="000000"/>
                      <w:szCs w:val="21"/>
                      <w:highlight w:val="none"/>
                      <w:lang w:bidi="ar-SA"/>
                    </w:rPr>
                    <w:t>1套</w:t>
                  </w:r>
                </w:p>
              </w:tc>
            </w:tr>
            <w:tr w14:paraId="19A2D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157" w:type="dxa"/>
                  <w:noWrap w:val="0"/>
                  <w:vAlign w:val="center"/>
                </w:tcPr>
                <w:p w14:paraId="0FAD6F09">
                  <w:pPr>
                    <w:jc w:val="center"/>
                    <w:rPr>
                      <w:rFonts w:hint="default" w:ascii="宋体" w:hAnsi="宋体" w:cs="宋体"/>
                      <w:b w:val="0"/>
                      <w:bCs w:val="0"/>
                      <w:color w:val="000000"/>
                      <w:sz w:val="21"/>
                      <w:szCs w:val="21"/>
                      <w:highlight w:val="none"/>
                      <w:u w:val="none"/>
                      <w:vertAlign w:val="baseline"/>
                      <w:lang w:val="en-US" w:eastAsia="zh-CN"/>
                    </w:rPr>
                  </w:pPr>
                  <w:r>
                    <w:rPr>
                      <w:rFonts w:hint="eastAsia" w:ascii="宋体" w:hAnsi="宋体" w:cs="宋体"/>
                      <w:color w:val="000000"/>
                      <w:szCs w:val="21"/>
                      <w:highlight w:val="none"/>
                      <w:lang w:val="en-US" w:eastAsia="zh-CN" w:bidi="ar-SA"/>
                    </w:rPr>
                    <w:t>10</w:t>
                  </w:r>
                </w:p>
              </w:tc>
              <w:tc>
                <w:tcPr>
                  <w:tcW w:w="2888" w:type="dxa"/>
                  <w:noWrap w:val="0"/>
                  <w:vAlign w:val="center"/>
                </w:tcPr>
                <w:p w14:paraId="06CB2B23">
                  <w:pPr>
                    <w:jc w:val="center"/>
                    <w:rPr>
                      <w:rFonts w:hint="default" w:ascii="宋体" w:hAnsi="宋体" w:cs="宋体"/>
                      <w:b w:val="0"/>
                      <w:bCs w:val="0"/>
                      <w:color w:val="000000"/>
                      <w:sz w:val="21"/>
                      <w:szCs w:val="21"/>
                      <w:highlight w:val="none"/>
                      <w:u w:val="none"/>
                      <w:vertAlign w:val="baseline"/>
                      <w:lang w:val="en-US" w:eastAsia="zh-CN"/>
                    </w:rPr>
                  </w:pPr>
                  <w:r>
                    <w:rPr>
                      <w:rFonts w:hint="eastAsia" w:ascii="宋体" w:hAnsi="宋体" w:eastAsia="宋体" w:cs="宋体"/>
                      <w:color w:val="000000"/>
                      <w:szCs w:val="21"/>
                      <w:highlight w:val="none"/>
                      <w:lang w:bidi="ar-SA"/>
                    </w:rPr>
                    <w:t>图像处理系统</w:t>
                  </w:r>
                </w:p>
              </w:tc>
              <w:tc>
                <w:tcPr>
                  <w:tcW w:w="1334" w:type="dxa"/>
                  <w:noWrap w:val="0"/>
                  <w:vAlign w:val="center"/>
                </w:tcPr>
                <w:p w14:paraId="56C812F4">
                  <w:pPr>
                    <w:jc w:val="center"/>
                    <w:rPr>
                      <w:rFonts w:hint="default" w:ascii="宋体" w:hAnsi="宋体" w:cs="宋体"/>
                      <w:b w:val="0"/>
                      <w:bCs w:val="0"/>
                      <w:color w:val="000000"/>
                      <w:sz w:val="21"/>
                      <w:szCs w:val="21"/>
                      <w:highlight w:val="none"/>
                      <w:u w:val="none"/>
                      <w:vertAlign w:val="baseline"/>
                      <w:lang w:val="en-US" w:eastAsia="zh-CN"/>
                    </w:rPr>
                  </w:pPr>
                  <w:r>
                    <w:rPr>
                      <w:rFonts w:hint="eastAsia" w:ascii="宋体" w:hAnsi="宋体" w:eastAsia="宋体" w:cs="宋体"/>
                      <w:color w:val="000000"/>
                      <w:szCs w:val="21"/>
                      <w:highlight w:val="none"/>
                      <w:lang w:bidi="ar-SA"/>
                    </w:rPr>
                    <w:t>1套</w:t>
                  </w:r>
                </w:p>
              </w:tc>
            </w:tr>
            <w:tr w14:paraId="1CC80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157" w:type="dxa"/>
                  <w:noWrap w:val="0"/>
                  <w:vAlign w:val="center"/>
                </w:tcPr>
                <w:p w14:paraId="36D39B45">
                  <w:pPr>
                    <w:jc w:val="center"/>
                    <w:rPr>
                      <w:rFonts w:hint="default" w:ascii="宋体" w:hAnsi="宋体" w:cs="宋体"/>
                      <w:b w:val="0"/>
                      <w:bCs w:val="0"/>
                      <w:color w:val="000000"/>
                      <w:sz w:val="21"/>
                      <w:szCs w:val="21"/>
                      <w:highlight w:val="none"/>
                      <w:u w:val="none"/>
                      <w:vertAlign w:val="baseline"/>
                      <w:lang w:val="en-US" w:eastAsia="zh-CN"/>
                    </w:rPr>
                  </w:pPr>
                  <w:r>
                    <w:rPr>
                      <w:rFonts w:hint="eastAsia" w:ascii="宋体" w:hAnsi="宋体" w:cs="宋体"/>
                      <w:color w:val="000000"/>
                      <w:szCs w:val="21"/>
                      <w:highlight w:val="none"/>
                      <w:lang w:val="en-US" w:eastAsia="zh-CN" w:bidi="ar-SA"/>
                    </w:rPr>
                    <w:t>11</w:t>
                  </w:r>
                </w:p>
              </w:tc>
              <w:tc>
                <w:tcPr>
                  <w:tcW w:w="2888" w:type="dxa"/>
                  <w:noWrap w:val="0"/>
                  <w:vAlign w:val="center"/>
                </w:tcPr>
                <w:p w14:paraId="1986A8A6">
                  <w:pPr>
                    <w:jc w:val="center"/>
                    <w:rPr>
                      <w:rFonts w:hint="default" w:ascii="宋体" w:hAnsi="宋体" w:cs="宋体"/>
                      <w:b w:val="0"/>
                      <w:bCs w:val="0"/>
                      <w:color w:val="000000"/>
                      <w:sz w:val="21"/>
                      <w:szCs w:val="21"/>
                      <w:highlight w:val="none"/>
                      <w:u w:val="none"/>
                      <w:vertAlign w:val="baseline"/>
                      <w:lang w:val="en-US" w:eastAsia="zh-CN"/>
                    </w:rPr>
                  </w:pPr>
                  <w:r>
                    <w:rPr>
                      <w:rFonts w:hint="eastAsia" w:ascii="宋体" w:hAnsi="宋体" w:eastAsia="宋体" w:cs="宋体"/>
                      <w:color w:val="000000"/>
                      <w:szCs w:val="21"/>
                      <w:highlight w:val="none"/>
                      <w:lang w:bidi="ar-SA"/>
                    </w:rPr>
                    <w:t>脚踏开关</w:t>
                  </w:r>
                </w:p>
              </w:tc>
              <w:tc>
                <w:tcPr>
                  <w:tcW w:w="1334" w:type="dxa"/>
                  <w:noWrap w:val="0"/>
                  <w:vAlign w:val="center"/>
                </w:tcPr>
                <w:p w14:paraId="299F3F2D">
                  <w:pPr>
                    <w:jc w:val="center"/>
                    <w:rPr>
                      <w:rFonts w:hint="default" w:ascii="宋体" w:hAnsi="宋体" w:cs="宋体"/>
                      <w:b w:val="0"/>
                      <w:bCs w:val="0"/>
                      <w:color w:val="000000"/>
                      <w:sz w:val="21"/>
                      <w:szCs w:val="21"/>
                      <w:highlight w:val="none"/>
                      <w:u w:val="none"/>
                      <w:vertAlign w:val="baseline"/>
                      <w:lang w:val="en-US" w:eastAsia="zh-CN"/>
                    </w:rPr>
                  </w:pPr>
                  <w:r>
                    <w:rPr>
                      <w:rFonts w:hint="eastAsia" w:ascii="宋体" w:hAnsi="宋体" w:eastAsia="宋体" w:cs="宋体"/>
                      <w:color w:val="000000"/>
                      <w:szCs w:val="21"/>
                      <w:highlight w:val="none"/>
                      <w:lang w:bidi="ar-SA"/>
                    </w:rPr>
                    <w:t>1套</w:t>
                  </w:r>
                </w:p>
              </w:tc>
            </w:tr>
            <w:tr w14:paraId="01655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157" w:type="dxa"/>
                  <w:noWrap w:val="0"/>
                  <w:vAlign w:val="center"/>
                </w:tcPr>
                <w:p w14:paraId="2E0238E8">
                  <w:pPr>
                    <w:jc w:val="center"/>
                    <w:rPr>
                      <w:rFonts w:hint="default" w:ascii="宋体" w:hAnsi="宋体" w:cs="宋体"/>
                      <w:b w:val="0"/>
                      <w:bCs w:val="0"/>
                      <w:color w:val="000000"/>
                      <w:sz w:val="21"/>
                      <w:szCs w:val="21"/>
                      <w:highlight w:val="none"/>
                      <w:u w:val="none"/>
                      <w:vertAlign w:val="baseline"/>
                      <w:lang w:val="en-US" w:eastAsia="zh-CN"/>
                    </w:rPr>
                  </w:pPr>
                  <w:r>
                    <w:rPr>
                      <w:rFonts w:hint="eastAsia" w:ascii="宋体" w:hAnsi="宋体" w:cs="宋体"/>
                      <w:color w:val="000000"/>
                      <w:szCs w:val="21"/>
                      <w:highlight w:val="none"/>
                      <w:lang w:val="en-US" w:eastAsia="zh-CN" w:bidi="ar-SA"/>
                    </w:rPr>
                    <w:t>12</w:t>
                  </w:r>
                </w:p>
              </w:tc>
              <w:tc>
                <w:tcPr>
                  <w:tcW w:w="2888" w:type="dxa"/>
                  <w:noWrap w:val="0"/>
                  <w:vAlign w:val="center"/>
                </w:tcPr>
                <w:p w14:paraId="4846E50C">
                  <w:pPr>
                    <w:jc w:val="center"/>
                    <w:rPr>
                      <w:rFonts w:hint="default" w:ascii="宋体" w:hAnsi="宋体" w:cs="宋体"/>
                      <w:b w:val="0"/>
                      <w:bCs w:val="0"/>
                      <w:color w:val="000000"/>
                      <w:sz w:val="21"/>
                      <w:szCs w:val="21"/>
                      <w:highlight w:val="none"/>
                      <w:u w:val="none"/>
                      <w:vertAlign w:val="baseline"/>
                      <w:lang w:val="en-US" w:eastAsia="zh-CN"/>
                    </w:rPr>
                  </w:pPr>
                  <w:r>
                    <w:rPr>
                      <w:rFonts w:hint="eastAsia" w:ascii="宋体" w:hAnsi="宋体" w:eastAsia="宋体" w:cs="宋体"/>
                      <w:color w:val="000000"/>
                      <w:szCs w:val="21"/>
                      <w:highlight w:val="none"/>
                      <w:lang w:bidi="ar-SA"/>
                    </w:rPr>
                    <w:t>电离室</w:t>
                  </w:r>
                </w:p>
              </w:tc>
              <w:tc>
                <w:tcPr>
                  <w:tcW w:w="1334" w:type="dxa"/>
                  <w:noWrap w:val="0"/>
                  <w:vAlign w:val="center"/>
                </w:tcPr>
                <w:p w14:paraId="2C7A4663">
                  <w:pPr>
                    <w:jc w:val="center"/>
                    <w:rPr>
                      <w:rFonts w:hint="default" w:ascii="宋体" w:hAnsi="宋体" w:cs="宋体"/>
                      <w:b w:val="0"/>
                      <w:bCs w:val="0"/>
                      <w:color w:val="000000"/>
                      <w:sz w:val="21"/>
                      <w:szCs w:val="21"/>
                      <w:highlight w:val="none"/>
                      <w:u w:val="none"/>
                      <w:vertAlign w:val="baseline"/>
                      <w:lang w:val="en-US" w:eastAsia="zh-CN"/>
                    </w:rPr>
                  </w:pPr>
                  <w:r>
                    <w:rPr>
                      <w:rFonts w:hint="eastAsia" w:ascii="宋体" w:hAnsi="宋体" w:cs="宋体"/>
                      <w:color w:val="000000"/>
                      <w:szCs w:val="21"/>
                      <w:highlight w:val="none"/>
                      <w:lang w:val="en-US" w:eastAsia="zh-CN" w:bidi="ar-SA"/>
                    </w:rPr>
                    <w:t>1</w:t>
                  </w:r>
                  <w:r>
                    <w:rPr>
                      <w:rFonts w:hint="eastAsia" w:ascii="宋体" w:hAnsi="宋体" w:eastAsia="宋体" w:cs="宋体"/>
                      <w:color w:val="000000"/>
                      <w:szCs w:val="21"/>
                      <w:highlight w:val="none"/>
                      <w:lang w:bidi="ar-SA"/>
                    </w:rPr>
                    <w:t>套</w:t>
                  </w:r>
                </w:p>
              </w:tc>
            </w:tr>
            <w:tr w14:paraId="53A31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157" w:type="dxa"/>
                  <w:noWrap w:val="0"/>
                  <w:vAlign w:val="center"/>
                </w:tcPr>
                <w:p w14:paraId="435554F1">
                  <w:pPr>
                    <w:jc w:val="center"/>
                    <w:rPr>
                      <w:rFonts w:hint="default" w:ascii="宋体" w:hAnsi="宋体" w:cs="宋体"/>
                      <w:b w:val="0"/>
                      <w:bCs w:val="0"/>
                      <w:color w:val="000000"/>
                      <w:sz w:val="21"/>
                      <w:szCs w:val="21"/>
                      <w:highlight w:val="none"/>
                      <w:u w:val="none"/>
                      <w:vertAlign w:val="baseline"/>
                      <w:lang w:val="en-US" w:eastAsia="zh-CN"/>
                    </w:rPr>
                  </w:pPr>
                  <w:r>
                    <w:rPr>
                      <w:rFonts w:hint="eastAsia" w:ascii="宋体" w:hAnsi="宋体" w:eastAsia="宋体" w:cs="宋体"/>
                      <w:color w:val="000000"/>
                      <w:szCs w:val="21"/>
                      <w:highlight w:val="none"/>
                      <w:lang w:bidi="ar-SA"/>
                    </w:rPr>
                    <w:t>1</w:t>
                  </w:r>
                  <w:r>
                    <w:rPr>
                      <w:rFonts w:hint="eastAsia" w:ascii="宋体" w:hAnsi="宋体" w:cs="宋体"/>
                      <w:color w:val="000000"/>
                      <w:szCs w:val="21"/>
                      <w:highlight w:val="none"/>
                      <w:lang w:val="en-US" w:eastAsia="zh-CN" w:bidi="ar-SA"/>
                    </w:rPr>
                    <w:t>3</w:t>
                  </w:r>
                </w:p>
              </w:tc>
              <w:tc>
                <w:tcPr>
                  <w:tcW w:w="2888" w:type="dxa"/>
                  <w:noWrap w:val="0"/>
                  <w:vAlign w:val="center"/>
                </w:tcPr>
                <w:p w14:paraId="5B8772B4">
                  <w:pPr>
                    <w:jc w:val="center"/>
                    <w:rPr>
                      <w:rFonts w:hint="default" w:ascii="宋体" w:hAnsi="宋体" w:cs="宋体"/>
                      <w:b w:val="0"/>
                      <w:bCs w:val="0"/>
                      <w:color w:val="000000"/>
                      <w:sz w:val="21"/>
                      <w:szCs w:val="21"/>
                      <w:highlight w:val="none"/>
                      <w:u w:val="none"/>
                      <w:vertAlign w:val="baseline"/>
                      <w:lang w:val="en-US" w:eastAsia="zh-CN"/>
                    </w:rPr>
                  </w:pPr>
                  <w:r>
                    <w:rPr>
                      <w:rFonts w:hint="eastAsia" w:ascii="宋体" w:hAnsi="宋体" w:eastAsia="宋体" w:cs="宋体"/>
                      <w:color w:val="000000"/>
                      <w:szCs w:val="21"/>
                      <w:highlight w:val="none"/>
                      <w:lang w:bidi="ar-SA"/>
                    </w:rPr>
                    <w:t>滤线栅</w:t>
                  </w:r>
                </w:p>
              </w:tc>
              <w:tc>
                <w:tcPr>
                  <w:tcW w:w="1334" w:type="dxa"/>
                  <w:noWrap w:val="0"/>
                  <w:vAlign w:val="center"/>
                </w:tcPr>
                <w:p w14:paraId="3C08921A">
                  <w:pPr>
                    <w:jc w:val="center"/>
                    <w:rPr>
                      <w:rFonts w:hint="default" w:ascii="宋体" w:hAnsi="宋体" w:cs="宋体"/>
                      <w:b w:val="0"/>
                      <w:bCs w:val="0"/>
                      <w:color w:val="000000"/>
                      <w:sz w:val="21"/>
                      <w:szCs w:val="21"/>
                      <w:highlight w:val="none"/>
                      <w:u w:val="none"/>
                      <w:vertAlign w:val="baseline"/>
                      <w:lang w:val="en-US" w:eastAsia="zh-CN"/>
                    </w:rPr>
                  </w:pPr>
                  <w:r>
                    <w:rPr>
                      <w:rFonts w:hint="eastAsia" w:ascii="宋体" w:hAnsi="宋体" w:cs="宋体"/>
                      <w:color w:val="000000"/>
                      <w:szCs w:val="21"/>
                      <w:highlight w:val="none"/>
                      <w:lang w:val="en-US" w:eastAsia="zh-CN" w:bidi="ar-SA"/>
                    </w:rPr>
                    <w:t>1</w:t>
                  </w:r>
                  <w:r>
                    <w:rPr>
                      <w:rFonts w:hint="eastAsia" w:ascii="宋体" w:hAnsi="宋体" w:eastAsia="宋体" w:cs="宋体"/>
                      <w:color w:val="000000"/>
                      <w:szCs w:val="21"/>
                      <w:highlight w:val="none"/>
                      <w:lang w:bidi="ar-SA"/>
                    </w:rPr>
                    <w:t>套</w:t>
                  </w:r>
                </w:p>
              </w:tc>
            </w:tr>
            <w:tr w14:paraId="2B640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157" w:type="dxa"/>
                  <w:noWrap w:val="0"/>
                  <w:vAlign w:val="center"/>
                </w:tcPr>
                <w:p w14:paraId="13812040">
                  <w:pPr>
                    <w:jc w:val="center"/>
                    <w:rPr>
                      <w:rFonts w:hint="default" w:ascii="宋体" w:hAnsi="宋体" w:cs="宋体"/>
                      <w:b w:val="0"/>
                      <w:bCs w:val="0"/>
                      <w:color w:val="000000"/>
                      <w:sz w:val="21"/>
                      <w:szCs w:val="21"/>
                      <w:highlight w:val="none"/>
                      <w:u w:val="none"/>
                      <w:vertAlign w:val="baseline"/>
                      <w:lang w:val="en-US" w:eastAsia="zh-CN"/>
                    </w:rPr>
                  </w:pPr>
                  <w:r>
                    <w:rPr>
                      <w:rFonts w:hint="eastAsia" w:ascii="宋体" w:hAnsi="宋体" w:eastAsia="宋体" w:cs="宋体"/>
                      <w:color w:val="000000"/>
                      <w:szCs w:val="21"/>
                      <w:highlight w:val="none"/>
                    </w:rPr>
                    <w:t>1</w:t>
                  </w:r>
                  <w:r>
                    <w:rPr>
                      <w:rFonts w:hint="eastAsia" w:ascii="宋体" w:hAnsi="宋体" w:cs="宋体"/>
                      <w:color w:val="000000"/>
                      <w:szCs w:val="21"/>
                      <w:highlight w:val="none"/>
                      <w:lang w:val="en-US" w:eastAsia="zh-CN"/>
                    </w:rPr>
                    <w:t>4</w:t>
                  </w:r>
                </w:p>
              </w:tc>
              <w:tc>
                <w:tcPr>
                  <w:tcW w:w="2888" w:type="dxa"/>
                  <w:noWrap w:val="0"/>
                  <w:vAlign w:val="center"/>
                </w:tcPr>
                <w:p w14:paraId="7A238498">
                  <w:pPr>
                    <w:jc w:val="center"/>
                    <w:rPr>
                      <w:rFonts w:hint="default" w:ascii="宋体" w:hAnsi="宋体" w:cs="宋体"/>
                      <w:b w:val="0"/>
                      <w:bCs w:val="0"/>
                      <w:color w:val="000000"/>
                      <w:sz w:val="21"/>
                      <w:szCs w:val="21"/>
                      <w:highlight w:val="none"/>
                      <w:u w:val="none"/>
                      <w:vertAlign w:val="baseline"/>
                      <w:lang w:val="en-US" w:eastAsia="zh-CN"/>
                    </w:rPr>
                  </w:pPr>
                  <w:r>
                    <w:rPr>
                      <w:rFonts w:hint="eastAsia" w:ascii="宋体" w:hAnsi="宋体" w:eastAsia="宋体" w:cs="宋体"/>
                      <w:color w:val="000000"/>
                      <w:szCs w:val="21"/>
                      <w:highlight w:val="none"/>
                    </w:rPr>
                    <w:t>全身拼接站台</w:t>
                  </w:r>
                </w:p>
              </w:tc>
              <w:tc>
                <w:tcPr>
                  <w:tcW w:w="1334" w:type="dxa"/>
                  <w:noWrap w:val="0"/>
                  <w:vAlign w:val="center"/>
                </w:tcPr>
                <w:p w14:paraId="443BB02E">
                  <w:pPr>
                    <w:jc w:val="center"/>
                    <w:rPr>
                      <w:rFonts w:hint="default" w:ascii="宋体" w:hAnsi="宋体" w:cs="宋体"/>
                      <w:b w:val="0"/>
                      <w:bCs w:val="0"/>
                      <w:color w:val="000000"/>
                      <w:sz w:val="21"/>
                      <w:szCs w:val="21"/>
                      <w:highlight w:val="none"/>
                      <w:u w:val="none"/>
                      <w:vertAlign w:val="baseline"/>
                      <w:lang w:val="en-US" w:eastAsia="zh-CN"/>
                    </w:rPr>
                  </w:pPr>
                  <w:r>
                    <w:rPr>
                      <w:rFonts w:hint="eastAsia" w:ascii="宋体" w:hAnsi="宋体" w:eastAsia="宋体" w:cs="宋体"/>
                      <w:color w:val="000000"/>
                      <w:szCs w:val="21"/>
                      <w:highlight w:val="none"/>
                    </w:rPr>
                    <w:t>1套</w:t>
                  </w:r>
                </w:p>
              </w:tc>
            </w:tr>
            <w:tr w14:paraId="57E91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1157" w:type="dxa"/>
                  <w:noWrap w:val="0"/>
                  <w:vAlign w:val="center"/>
                </w:tcPr>
                <w:p w14:paraId="341441FA">
                  <w:pPr>
                    <w:jc w:val="center"/>
                    <w:rPr>
                      <w:rFonts w:hint="eastAsia" w:ascii="宋体" w:hAnsi="宋体" w:eastAsia="宋体" w:cs="宋体"/>
                      <w:b w:val="0"/>
                      <w:bCs w:val="0"/>
                      <w:color w:val="000000"/>
                      <w:sz w:val="21"/>
                      <w:szCs w:val="21"/>
                      <w:highlight w:val="none"/>
                      <w:u w:val="none"/>
                      <w:vertAlign w:val="baseline"/>
                      <w:lang w:val="en-US" w:eastAsia="zh-CN"/>
                    </w:rPr>
                  </w:pPr>
                  <w:r>
                    <w:rPr>
                      <w:rFonts w:hint="eastAsia" w:ascii="宋体" w:hAnsi="宋体" w:eastAsia="宋体" w:cs="宋体"/>
                      <w:color w:val="000000"/>
                      <w:sz w:val="21"/>
                      <w:szCs w:val="21"/>
                      <w:highlight w:val="none"/>
                      <w:lang w:val="en-US" w:eastAsia="zh-CN"/>
                    </w:rPr>
                    <w:t>15</w:t>
                  </w:r>
                </w:p>
              </w:tc>
              <w:tc>
                <w:tcPr>
                  <w:tcW w:w="2888" w:type="dxa"/>
                  <w:noWrap w:val="0"/>
                  <w:vAlign w:val="center"/>
                </w:tcPr>
                <w:p w14:paraId="0451E148">
                  <w:pPr>
                    <w:jc w:val="center"/>
                    <w:rPr>
                      <w:rFonts w:hint="eastAsia" w:ascii="宋体" w:hAnsi="宋体" w:eastAsia="宋体" w:cs="宋体"/>
                      <w:b w:val="0"/>
                      <w:bCs w:val="0"/>
                      <w:color w:val="000000"/>
                      <w:sz w:val="21"/>
                      <w:szCs w:val="21"/>
                      <w:highlight w:val="none"/>
                      <w:u w:val="none"/>
                      <w:vertAlign w:val="baseline"/>
                      <w:lang w:val="en-US" w:eastAsia="zh-CN"/>
                    </w:rPr>
                  </w:pPr>
                  <w:r>
                    <w:rPr>
                      <w:rFonts w:hint="eastAsia" w:ascii="宋体" w:hAnsi="宋体" w:eastAsia="宋体" w:cs="宋体"/>
                      <w:color w:val="000000"/>
                      <w:sz w:val="21"/>
                      <w:szCs w:val="21"/>
                      <w:highlight w:val="none"/>
                    </w:rPr>
                    <w:t>图文报告工作站（主机+</w:t>
                  </w:r>
                  <w:r>
                    <w:rPr>
                      <w:rFonts w:hint="eastAsia" w:ascii="宋体" w:hAnsi="宋体" w:eastAsia="宋体" w:cs="宋体"/>
                      <w:color w:val="000000"/>
                      <w:sz w:val="21"/>
                      <w:szCs w:val="21"/>
                      <w:highlight w:val="none"/>
                      <w:lang w:val="en-US" w:eastAsia="zh-CN"/>
                    </w:rPr>
                    <w:t>8M</w:t>
                  </w:r>
                  <w:r>
                    <w:rPr>
                      <w:rFonts w:hint="eastAsia" w:ascii="宋体" w:hAnsi="宋体" w:eastAsia="宋体" w:cs="宋体"/>
                      <w:color w:val="000000"/>
                      <w:sz w:val="21"/>
                      <w:szCs w:val="21"/>
                      <w:highlight w:val="none"/>
                    </w:rPr>
                    <w:t>医用显示器)</w:t>
                  </w:r>
                </w:p>
              </w:tc>
              <w:tc>
                <w:tcPr>
                  <w:tcW w:w="1334" w:type="dxa"/>
                  <w:noWrap w:val="0"/>
                  <w:vAlign w:val="center"/>
                </w:tcPr>
                <w:p w14:paraId="3AB3AF34">
                  <w:pPr>
                    <w:jc w:val="center"/>
                    <w:rPr>
                      <w:rFonts w:hint="eastAsia" w:ascii="宋体" w:hAnsi="宋体" w:eastAsia="宋体" w:cs="宋体"/>
                      <w:b w:val="0"/>
                      <w:bCs w:val="0"/>
                      <w:color w:val="000000"/>
                      <w:sz w:val="21"/>
                      <w:szCs w:val="21"/>
                      <w:highlight w:val="none"/>
                      <w:u w:val="none"/>
                      <w:vertAlign w:val="baseline"/>
                      <w:lang w:val="en-US" w:eastAsia="zh-CN"/>
                    </w:rPr>
                  </w:pPr>
                  <w:r>
                    <w:rPr>
                      <w:rFonts w:hint="eastAsia" w:ascii="宋体" w:hAnsi="宋体" w:eastAsia="宋体" w:cs="宋体"/>
                      <w:color w:val="000000"/>
                      <w:sz w:val="21"/>
                      <w:szCs w:val="21"/>
                      <w:highlight w:val="none"/>
                      <w:lang w:val="en-US" w:eastAsia="zh-CN"/>
                    </w:rPr>
                    <w:t>5</w:t>
                  </w:r>
                  <w:r>
                    <w:rPr>
                      <w:rFonts w:hint="eastAsia" w:ascii="宋体" w:hAnsi="宋体" w:eastAsia="宋体" w:cs="宋体"/>
                      <w:color w:val="000000"/>
                      <w:sz w:val="21"/>
                      <w:szCs w:val="21"/>
                      <w:highlight w:val="none"/>
                    </w:rPr>
                    <w:t>套</w:t>
                  </w:r>
                </w:p>
              </w:tc>
            </w:tr>
            <w:tr w14:paraId="0F0BF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157" w:type="dxa"/>
                  <w:noWrap w:val="0"/>
                  <w:vAlign w:val="center"/>
                </w:tcPr>
                <w:p w14:paraId="41DA5028">
                  <w:pPr>
                    <w:jc w:val="center"/>
                    <w:rPr>
                      <w:rFonts w:hint="eastAsia" w:ascii="宋体" w:hAnsi="宋体" w:eastAsia="宋体" w:cs="宋体"/>
                      <w:b w:val="0"/>
                      <w:bCs w:val="0"/>
                      <w:color w:val="000000"/>
                      <w:sz w:val="21"/>
                      <w:szCs w:val="21"/>
                      <w:highlight w:val="none"/>
                      <w:u w:val="none"/>
                      <w:vertAlign w:val="baseline"/>
                      <w:lang w:val="en-US" w:eastAsia="zh-CN"/>
                    </w:rPr>
                  </w:pPr>
                  <w:r>
                    <w:rPr>
                      <w:rFonts w:hint="eastAsia" w:ascii="宋体" w:hAnsi="宋体" w:eastAsia="宋体" w:cs="宋体"/>
                      <w:color w:val="000000"/>
                      <w:sz w:val="21"/>
                      <w:szCs w:val="21"/>
                      <w:highlight w:val="none"/>
                      <w:lang w:val="en-US" w:eastAsia="zh-CN"/>
                    </w:rPr>
                    <w:t>16</w:t>
                  </w:r>
                </w:p>
              </w:tc>
              <w:tc>
                <w:tcPr>
                  <w:tcW w:w="2888" w:type="dxa"/>
                  <w:noWrap w:val="0"/>
                  <w:vAlign w:val="center"/>
                </w:tcPr>
                <w:p w14:paraId="4A192999">
                  <w:pPr>
                    <w:jc w:val="center"/>
                    <w:rPr>
                      <w:rFonts w:hint="eastAsia" w:ascii="宋体" w:hAnsi="宋体" w:eastAsia="宋体" w:cs="宋体"/>
                      <w:b w:val="0"/>
                      <w:bCs w:val="0"/>
                      <w:color w:val="000000"/>
                      <w:sz w:val="21"/>
                      <w:szCs w:val="21"/>
                      <w:highlight w:val="none"/>
                      <w:u w:val="none"/>
                      <w:vertAlign w:val="baseline"/>
                      <w:lang w:val="en-US" w:eastAsia="zh-CN"/>
                    </w:rPr>
                  </w:pPr>
                  <w:r>
                    <w:rPr>
                      <w:rFonts w:hint="eastAsia" w:ascii="宋体" w:hAnsi="宋体" w:eastAsia="宋体" w:cs="宋体"/>
                      <w:color w:val="000000"/>
                      <w:sz w:val="21"/>
                      <w:szCs w:val="21"/>
                      <w:highlight w:val="none"/>
                    </w:rPr>
                    <w:t>自动跟踪防护帘</w:t>
                  </w:r>
                </w:p>
              </w:tc>
              <w:tc>
                <w:tcPr>
                  <w:tcW w:w="1334" w:type="dxa"/>
                  <w:noWrap w:val="0"/>
                  <w:vAlign w:val="center"/>
                </w:tcPr>
                <w:p w14:paraId="64DEA8C7">
                  <w:pPr>
                    <w:jc w:val="center"/>
                    <w:rPr>
                      <w:rFonts w:hint="eastAsia" w:ascii="宋体" w:hAnsi="宋体" w:eastAsia="宋体" w:cs="宋体"/>
                      <w:b w:val="0"/>
                      <w:bCs w:val="0"/>
                      <w:color w:val="000000"/>
                      <w:sz w:val="21"/>
                      <w:szCs w:val="21"/>
                      <w:highlight w:val="none"/>
                      <w:u w:val="none"/>
                      <w:vertAlign w:val="baseline"/>
                      <w:lang w:val="en-US" w:eastAsia="zh-CN"/>
                    </w:rPr>
                  </w:pPr>
                  <w:r>
                    <w:rPr>
                      <w:rFonts w:hint="eastAsia" w:ascii="宋体" w:hAnsi="宋体" w:eastAsia="宋体" w:cs="宋体"/>
                      <w:color w:val="000000"/>
                      <w:sz w:val="21"/>
                      <w:szCs w:val="21"/>
                      <w:highlight w:val="none"/>
                      <w:lang w:val="en-US" w:eastAsia="zh-CN"/>
                    </w:rPr>
                    <w:t>4</w:t>
                  </w:r>
                  <w:r>
                    <w:rPr>
                      <w:rFonts w:hint="eastAsia" w:ascii="宋体" w:hAnsi="宋体" w:eastAsia="宋体" w:cs="宋体"/>
                      <w:color w:val="000000"/>
                      <w:sz w:val="21"/>
                      <w:szCs w:val="21"/>
                      <w:highlight w:val="none"/>
                    </w:rPr>
                    <w:t>套</w:t>
                  </w:r>
                </w:p>
              </w:tc>
            </w:tr>
            <w:tr w14:paraId="0064A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trPr>
              <w:tc>
                <w:tcPr>
                  <w:tcW w:w="1157" w:type="dxa"/>
                  <w:noWrap w:val="0"/>
                  <w:vAlign w:val="center"/>
                </w:tcPr>
                <w:p w14:paraId="1FF40361">
                  <w:pPr>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17</w:t>
                  </w:r>
                </w:p>
              </w:tc>
              <w:tc>
                <w:tcPr>
                  <w:tcW w:w="2888" w:type="dxa"/>
                  <w:noWrap w:val="0"/>
                  <w:vAlign w:val="center"/>
                </w:tcPr>
                <w:p w14:paraId="2EC80E02">
                  <w:pPr>
                    <w:jc w:val="center"/>
                    <w:rPr>
                      <w:rFonts w:hint="eastAsia" w:ascii="宋体" w:hAnsi="宋体" w:eastAsia="宋体" w:cs="宋体"/>
                      <w:color w:val="000000"/>
                      <w:sz w:val="21"/>
                      <w:szCs w:val="21"/>
                      <w:highlight w:val="none"/>
                    </w:rPr>
                  </w:pPr>
                  <w:r>
                    <w:rPr>
                      <w:rFonts w:hint="eastAsia" w:ascii="宋体" w:hAnsi="宋体" w:cs="宋体"/>
                      <w:color w:val="000000"/>
                      <w:sz w:val="21"/>
                      <w:szCs w:val="21"/>
                      <w:highlight w:val="none"/>
                    </w:rPr>
                    <w:t>医用辐射防护用品（铅衣、铅围脖、铅帽、长方巾、铅眼镜、短裙（性腺防护裙）</w:t>
                  </w:r>
                </w:p>
              </w:tc>
              <w:tc>
                <w:tcPr>
                  <w:tcW w:w="1334" w:type="dxa"/>
                  <w:noWrap w:val="0"/>
                  <w:vAlign w:val="center"/>
                </w:tcPr>
                <w:p w14:paraId="4713714C">
                  <w:pPr>
                    <w:jc w:val="center"/>
                    <w:rPr>
                      <w:rFonts w:hint="eastAsia" w:ascii="宋体" w:hAnsi="宋体" w:eastAsia="宋体" w:cs="宋体"/>
                      <w:color w:val="000000"/>
                      <w:sz w:val="21"/>
                      <w:szCs w:val="21"/>
                      <w:highlight w:val="none"/>
                    </w:rPr>
                  </w:pPr>
                  <w:r>
                    <w:rPr>
                      <w:rFonts w:hint="eastAsia" w:ascii="宋体" w:hAnsi="宋体" w:cs="宋体"/>
                      <w:color w:val="000000"/>
                      <w:sz w:val="21"/>
                      <w:szCs w:val="21"/>
                      <w:highlight w:val="none"/>
                    </w:rPr>
                    <w:t>5套</w:t>
                  </w:r>
                </w:p>
              </w:tc>
            </w:tr>
            <w:tr w14:paraId="1714C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57" w:type="dxa"/>
                  <w:noWrap w:val="0"/>
                  <w:vAlign w:val="center"/>
                </w:tcPr>
                <w:p w14:paraId="40C26AA7">
                  <w:pPr>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18</w:t>
                  </w:r>
                </w:p>
              </w:tc>
              <w:tc>
                <w:tcPr>
                  <w:tcW w:w="2888" w:type="dxa"/>
                  <w:noWrap w:val="0"/>
                  <w:vAlign w:val="center"/>
                </w:tcPr>
                <w:p w14:paraId="61207934">
                  <w:pPr>
                    <w:jc w:val="center"/>
                    <w:rPr>
                      <w:rFonts w:hint="default" w:ascii="宋体" w:hAnsi="宋体" w:eastAsia="宋体" w:cs="宋体"/>
                      <w:color w:val="000000"/>
                      <w:sz w:val="21"/>
                      <w:szCs w:val="21"/>
                      <w:highlight w:val="none"/>
                      <w:lang w:val="en-US"/>
                    </w:rPr>
                  </w:pPr>
                  <w:r>
                    <w:rPr>
                      <w:rFonts w:hint="eastAsia" w:ascii="宋体" w:hAnsi="宋体" w:cs="宋体"/>
                      <w:b w:val="0"/>
                      <w:bCs w:val="0"/>
                      <w:color w:val="000000"/>
                      <w:sz w:val="21"/>
                      <w:szCs w:val="21"/>
                      <w:highlight w:val="none"/>
                      <w:lang w:val="en-US" w:eastAsia="zh-CN"/>
                    </w:rPr>
                    <w:t>≥86英寸影像科教学交互式白板大屏，带轮移动支架</w:t>
                  </w:r>
                </w:p>
              </w:tc>
              <w:tc>
                <w:tcPr>
                  <w:tcW w:w="1334" w:type="dxa"/>
                  <w:noWrap w:val="0"/>
                  <w:vAlign w:val="center"/>
                </w:tcPr>
                <w:p w14:paraId="61A8FF39">
                  <w:pPr>
                    <w:jc w:val="center"/>
                    <w:rPr>
                      <w:rFonts w:hint="eastAsia" w:ascii="宋体" w:hAnsi="宋体" w:eastAsia="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2</w:t>
                  </w:r>
                  <w:r>
                    <w:rPr>
                      <w:rFonts w:hint="eastAsia" w:ascii="宋体" w:hAnsi="宋体" w:eastAsia="宋体" w:cs="宋体"/>
                      <w:color w:val="000000"/>
                      <w:sz w:val="21"/>
                      <w:szCs w:val="21"/>
                      <w:highlight w:val="none"/>
                      <w:lang w:val="en-US" w:eastAsia="zh-CN"/>
                    </w:rPr>
                    <w:t>块</w:t>
                  </w:r>
                </w:p>
              </w:tc>
            </w:tr>
          </w:tbl>
          <w:p w14:paraId="36CCE5B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eastAsia="宋体" w:cs="宋体"/>
                <w:b w:val="0"/>
                <w:bCs w:val="0"/>
                <w:color w:val="000000"/>
                <w:kern w:val="2"/>
                <w:sz w:val="21"/>
                <w:szCs w:val="21"/>
                <w:highlight w:val="none"/>
                <w:u w:val="none"/>
                <w:vertAlign w:val="baseline"/>
                <w:lang w:val="en-US" w:eastAsia="zh-CN" w:bidi="ar-SA"/>
              </w:rPr>
            </w:pPr>
          </w:p>
        </w:tc>
        <w:tc>
          <w:tcPr>
            <w:tcW w:w="1118" w:type="dxa"/>
            <w:tcBorders>
              <w:top w:val="single" w:color="auto" w:sz="4" w:space="0"/>
              <w:left w:val="single" w:color="auto" w:sz="4" w:space="0"/>
              <w:right w:val="single" w:color="auto" w:sz="4" w:space="0"/>
            </w:tcBorders>
            <w:noWrap w:val="0"/>
            <w:vAlign w:val="center"/>
          </w:tcPr>
          <w:p w14:paraId="080268F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 xml:space="preserve"> 1980000</w:t>
            </w:r>
          </w:p>
        </w:tc>
      </w:tr>
    </w:tbl>
    <w:p w14:paraId="02008BE0">
      <w:pPr>
        <w:rPr>
          <w:rFonts w:hint="default"/>
          <w:color w:val="auto"/>
          <w:highlight w:val="none"/>
          <w:lang w:val="en-US" w:eastAsia="zh-CN"/>
        </w:rPr>
      </w:pPr>
    </w:p>
    <w:p w14:paraId="4826DD1F">
      <w:pPr>
        <w:jc w:val="left"/>
        <w:rPr>
          <w:rFonts w:hint="default"/>
          <w:b/>
          <w:bCs/>
          <w:color w:val="auto"/>
          <w:sz w:val="32"/>
          <w:szCs w:val="36"/>
          <w:highlight w:val="none"/>
          <w:lang w:val="en-US" w:eastAsia="zh-CN"/>
        </w:rPr>
      </w:pPr>
      <w:r>
        <w:rPr>
          <w:rFonts w:hint="default"/>
          <w:b/>
          <w:bCs/>
          <w:color w:val="auto"/>
          <w:sz w:val="32"/>
          <w:szCs w:val="36"/>
          <w:highlight w:val="none"/>
          <w:lang w:val="en-US" w:eastAsia="zh-CN"/>
        </w:rPr>
        <w:br w:type="page"/>
      </w:r>
    </w:p>
    <w:tbl>
      <w:tblPr>
        <w:tblStyle w:val="25"/>
        <w:tblW w:w="96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9"/>
        <w:gridCol w:w="7719"/>
      </w:tblGrid>
      <w:tr w14:paraId="37DDD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9668" w:type="dxa"/>
            <w:gridSpan w:val="2"/>
            <w:tcBorders>
              <w:top w:val="single" w:color="auto" w:sz="4" w:space="0"/>
              <w:left w:val="single" w:color="auto" w:sz="4" w:space="0"/>
              <w:bottom w:val="single" w:color="auto" w:sz="4" w:space="0"/>
              <w:right w:val="single" w:color="auto" w:sz="4" w:space="0"/>
            </w:tcBorders>
            <w:noWrap w:val="0"/>
            <w:vAlign w:val="center"/>
          </w:tcPr>
          <w:p w14:paraId="33BCAF7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b/>
                <w:bCs/>
                <w:color w:val="auto"/>
                <w:sz w:val="21"/>
                <w:szCs w:val="21"/>
                <w:highlight w:val="none"/>
                <w:lang w:val="en-US" w:eastAsia="zh-CN"/>
              </w:rPr>
            </w:pPr>
            <w:r>
              <w:rPr>
                <w:rFonts w:hint="eastAsia" w:ascii="宋体" w:hAnsi="宋体" w:eastAsia="宋体" w:cs="宋体"/>
                <w:bCs/>
                <w:color w:val="000000"/>
                <w:kern w:val="0"/>
                <w:sz w:val="21"/>
                <w:szCs w:val="21"/>
                <w:highlight w:val="none"/>
              </w:rPr>
              <w:t>▲</w:t>
            </w:r>
            <w:r>
              <w:rPr>
                <w:rFonts w:hint="eastAsia" w:ascii="宋体" w:hAnsi="宋体" w:cs="宋体"/>
                <w:b/>
                <w:bCs/>
                <w:color w:val="auto"/>
                <w:sz w:val="21"/>
                <w:szCs w:val="21"/>
                <w:highlight w:val="none"/>
                <w:lang w:val="en-US" w:eastAsia="zh-CN"/>
              </w:rPr>
              <w:t>二、商务条款</w:t>
            </w:r>
          </w:p>
        </w:tc>
      </w:tr>
      <w:tr w14:paraId="143CE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49" w:type="dxa"/>
            <w:tcBorders>
              <w:top w:val="single" w:color="auto" w:sz="4" w:space="0"/>
              <w:left w:val="single" w:color="auto" w:sz="4" w:space="0"/>
              <w:bottom w:val="single" w:color="auto" w:sz="4" w:space="0"/>
              <w:right w:val="single" w:color="auto" w:sz="4" w:space="0"/>
            </w:tcBorders>
            <w:noWrap w:val="0"/>
            <w:vAlign w:val="center"/>
          </w:tcPr>
          <w:p w14:paraId="0D0C5F1A">
            <w:pPr>
              <w:keepNext w:val="0"/>
              <w:keepLines w:val="0"/>
              <w:pageBreakBefore w:val="0"/>
              <w:tabs>
                <w:tab w:val="center" w:pos="4153"/>
                <w:tab w:val="right" w:pos="8306"/>
              </w:tabs>
              <w:kinsoku w:val="0"/>
              <w:overflowPunct/>
              <w:topLinePunct w:val="0"/>
              <w:autoSpaceDE w:val="0"/>
              <w:autoSpaceDN w:val="0"/>
              <w:bidi w:val="0"/>
              <w:adjustRightInd w:val="0"/>
              <w:snapToGrid w:val="0"/>
              <w:spacing w:line="400" w:lineRule="exact"/>
              <w:jc w:val="center"/>
              <w:textAlignment w:val="baseline"/>
              <w:rPr>
                <w:rFonts w:hint="eastAsia" w:ascii="宋体" w:hAnsi="宋体" w:eastAsia="宋体" w:cs="宋体"/>
                <w:b w:val="0"/>
                <w:bCs w:val="0"/>
                <w:color w:val="auto"/>
                <w:kern w:val="0"/>
                <w:sz w:val="21"/>
                <w:szCs w:val="21"/>
                <w:highlight w:val="none"/>
                <w:lang w:eastAsia="zh-CN" w:bidi="ar"/>
              </w:rPr>
            </w:pPr>
            <w:r>
              <w:rPr>
                <w:rFonts w:hint="eastAsia" w:ascii="宋体" w:hAnsi="宋体" w:eastAsia="宋体" w:cs="宋体"/>
                <w:b/>
                <w:color w:val="auto"/>
                <w:kern w:val="21"/>
                <w:sz w:val="21"/>
                <w:szCs w:val="21"/>
                <w:highlight w:val="none"/>
                <w:lang w:val="en-US" w:eastAsia="zh-CN" w:bidi="ar"/>
              </w:rPr>
              <w:t>交货期及地点</w:t>
            </w:r>
          </w:p>
        </w:tc>
        <w:tc>
          <w:tcPr>
            <w:tcW w:w="7719" w:type="dxa"/>
            <w:tcBorders>
              <w:top w:val="single" w:color="auto" w:sz="4" w:space="0"/>
              <w:left w:val="single" w:color="auto" w:sz="4" w:space="0"/>
              <w:bottom w:val="single" w:color="auto" w:sz="4" w:space="0"/>
              <w:right w:val="single" w:color="auto" w:sz="4" w:space="0"/>
            </w:tcBorders>
            <w:noWrap w:val="0"/>
            <w:vAlign w:val="center"/>
          </w:tcPr>
          <w:p w14:paraId="53EC6360">
            <w:pPr>
              <w:keepNext w:val="0"/>
              <w:keepLines w:val="0"/>
              <w:pageBreakBefore w:val="0"/>
              <w:widowControl/>
              <w:kinsoku/>
              <w:wordWrap/>
              <w:overflowPunct/>
              <w:topLinePunct w:val="0"/>
              <w:bidi w:val="0"/>
              <w:spacing w:line="400" w:lineRule="exact"/>
              <w:ind w:firstLine="12" w:firstLineChars="6"/>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1.交货期：</w:t>
            </w:r>
            <w:r>
              <w:rPr>
                <w:rFonts w:hint="eastAsia" w:ascii="宋体" w:hAnsi="宋体" w:eastAsia="宋体" w:cs="宋体"/>
                <w:color w:val="auto"/>
                <w:sz w:val="21"/>
                <w:szCs w:val="21"/>
                <w:highlight w:val="none"/>
                <w:lang w:eastAsia="zh-CN"/>
              </w:rPr>
              <w:t>采购合同签订后</w:t>
            </w:r>
            <w:r>
              <w:rPr>
                <w:rFonts w:hint="eastAsia" w:ascii="宋体" w:hAnsi="宋体" w:eastAsia="宋体" w:cs="宋体"/>
                <w:color w:val="auto"/>
                <w:sz w:val="21"/>
                <w:szCs w:val="21"/>
                <w:highlight w:val="none"/>
                <w:lang w:val="en-US" w:eastAsia="zh-CN"/>
              </w:rPr>
              <w:t>30</w:t>
            </w:r>
            <w:r>
              <w:rPr>
                <w:rFonts w:hint="eastAsia" w:ascii="宋体" w:hAnsi="宋体" w:eastAsia="宋体" w:cs="宋体"/>
                <w:color w:val="auto"/>
                <w:sz w:val="21"/>
                <w:szCs w:val="21"/>
                <w:highlight w:val="none"/>
                <w:lang w:eastAsia="zh-CN"/>
              </w:rPr>
              <w:t>个</w:t>
            </w:r>
            <w:r>
              <w:rPr>
                <w:rFonts w:hint="eastAsia" w:ascii="宋体" w:hAnsi="宋体" w:eastAsia="宋体" w:cs="宋体"/>
                <w:color w:val="auto"/>
                <w:sz w:val="21"/>
                <w:szCs w:val="21"/>
                <w:highlight w:val="none"/>
                <w:lang w:val="en-US" w:eastAsia="zh-CN"/>
              </w:rPr>
              <w:t>日历</w:t>
            </w:r>
            <w:r>
              <w:rPr>
                <w:rFonts w:hint="eastAsia" w:ascii="宋体" w:hAnsi="宋体" w:eastAsia="宋体" w:cs="宋体"/>
                <w:color w:val="auto"/>
                <w:sz w:val="21"/>
                <w:szCs w:val="21"/>
                <w:highlight w:val="none"/>
                <w:lang w:eastAsia="zh-CN"/>
              </w:rPr>
              <w:t>日内交货并完成安装调试</w:t>
            </w:r>
            <w:r>
              <w:rPr>
                <w:rFonts w:hint="eastAsia" w:ascii="宋体" w:hAnsi="宋体" w:eastAsia="宋体" w:cs="宋体"/>
                <w:bCs/>
                <w:color w:val="auto"/>
                <w:sz w:val="21"/>
                <w:szCs w:val="21"/>
                <w:highlight w:val="none"/>
              </w:rPr>
              <w:t>。</w:t>
            </w:r>
          </w:p>
          <w:p w14:paraId="5AF4B5C8">
            <w:pPr>
              <w:keepNext w:val="0"/>
              <w:keepLines w:val="0"/>
              <w:pageBreakBefore w:val="0"/>
              <w:widowControl/>
              <w:kinsoku/>
              <w:wordWrap/>
              <w:overflowPunct/>
              <w:topLinePunct w:val="0"/>
              <w:bidi w:val="0"/>
              <w:spacing w:line="400" w:lineRule="exact"/>
              <w:ind w:firstLine="12" w:firstLineChars="6"/>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2.交付地点：采购人指定地点。</w:t>
            </w:r>
          </w:p>
          <w:p w14:paraId="28225746">
            <w:pPr>
              <w:keepNext w:val="0"/>
              <w:keepLines w:val="0"/>
              <w:pageBreakBefore w:val="0"/>
              <w:widowControl/>
              <w:kinsoku/>
              <w:wordWrap/>
              <w:overflowPunct/>
              <w:topLinePunct w:val="0"/>
              <w:bidi w:val="0"/>
              <w:spacing w:line="400" w:lineRule="exact"/>
              <w:ind w:firstLine="12" w:firstLineChars="6"/>
              <w:rPr>
                <w:rFonts w:hint="eastAsia" w:ascii="宋体" w:hAnsi="宋体" w:eastAsia="宋体" w:cs="宋体"/>
                <w:color w:val="auto"/>
                <w:kern w:val="0"/>
                <w:sz w:val="21"/>
                <w:szCs w:val="21"/>
                <w:highlight w:val="none"/>
              </w:rPr>
            </w:pPr>
            <w:r>
              <w:rPr>
                <w:rFonts w:hint="eastAsia" w:ascii="宋体" w:hAnsi="宋体" w:eastAsia="宋体" w:cs="宋体"/>
                <w:bCs/>
                <w:color w:val="auto"/>
                <w:sz w:val="21"/>
                <w:szCs w:val="21"/>
                <w:highlight w:val="none"/>
                <w:lang w:val="en-US" w:eastAsia="zh-CN"/>
              </w:rPr>
              <w:t>3.交货方式：现场交货</w:t>
            </w:r>
          </w:p>
        </w:tc>
      </w:tr>
      <w:tr w14:paraId="3EACD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49" w:type="dxa"/>
            <w:tcBorders>
              <w:top w:val="single" w:color="auto" w:sz="4" w:space="0"/>
              <w:left w:val="single" w:color="auto" w:sz="4" w:space="0"/>
              <w:bottom w:val="single" w:color="auto" w:sz="4" w:space="0"/>
              <w:right w:val="single" w:color="auto" w:sz="4" w:space="0"/>
            </w:tcBorders>
            <w:noWrap w:val="0"/>
            <w:vAlign w:val="center"/>
          </w:tcPr>
          <w:p w14:paraId="4557BAC7">
            <w:pPr>
              <w:keepNext w:val="0"/>
              <w:keepLines w:val="0"/>
              <w:pageBreakBefore w:val="0"/>
              <w:kinsoku/>
              <w:overflowPunct/>
              <w:topLinePunct w:val="0"/>
              <w:bidi w:val="0"/>
              <w:spacing w:line="400" w:lineRule="exact"/>
              <w:ind w:firstLine="13" w:firstLineChars="6"/>
              <w:jc w:val="center"/>
              <w:outlineLvl w:val="0"/>
              <w:rPr>
                <w:rFonts w:hint="eastAsia" w:ascii="宋体" w:hAnsi="宋体" w:eastAsia="宋体" w:cs="宋体"/>
                <w:b w:val="0"/>
                <w:bCs w:val="0"/>
                <w:color w:val="auto"/>
                <w:kern w:val="0"/>
                <w:sz w:val="21"/>
                <w:szCs w:val="21"/>
                <w:highlight w:val="none"/>
                <w:lang w:eastAsia="zh-CN" w:bidi="ar"/>
              </w:rPr>
            </w:pPr>
            <w:r>
              <w:rPr>
                <w:rFonts w:hint="eastAsia" w:ascii="宋体" w:hAnsi="宋体" w:eastAsia="宋体" w:cs="宋体"/>
                <w:b/>
                <w:color w:val="auto"/>
                <w:sz w:val="21"/>
                <w:szCs w:val="21"/>
                <w:highlight w:val="none"/>
                <w:lang w:eastAsia="zh-CN" w:bidi="ar"/>
              </w:rPr>
              <w:t>投标报价</w:t>
            </w:r>
          </w:p>
        </w:tc>
        <w:tc>
          <w:tcPr>
            <w:tcW w:w="7719" w:type="dxa"/>
            <w:tcBorders>
              <w:top w:val="single" w:color="auto" w:sz="4" w:space="0"/>
              <w:left w:val="single" w:color="auto" w:sz="4" w:space="0"/>
              <w:bottom w:val="single" w:color="auto" w:sz="4" w:space="0"/>
              <w:right w:val="single" w:color="auto" w:sz="4" w:space="0"/>
            </w:tcBorders>
            <w:noWrap w:val="0"/>
            <w:vAlign w:val="center"/>
          </w:tcPr>
          <w:p w14:paraId="7641FB44">
            <w:pPr>
              <w:keepNext w:val="0"/>
              <w:keepLines w:val="0"/>
              <w:pageBreakBefore w:val="0"/>
              <w:widowControl/>
              <w:kinsoku/>
              <w:wordWrap/>
              <w:overflowPunct/>
              <w:topLinePunct w:val="0"/>
              <w:bidi w:val="0"/>
              <w:spacing w:line="400" w:lineRule="exact"/>
              <w:ind w:firstLine="13" w:firstLineChars="6"/>
              <w:jc w:val="both"/>
              <w:outlineLvl w:val="0"/>
              <w:rPr>
                <w:rFonts w:hint="eastAsia" w:ascii="宋体" w:hAnsi="宋体" w:eastAsia="宋体" w:cs="宋体"/>
                <w:color w:val="000000"/>
                <w:kern w:val="0"/>
                <w:sz w:val="21"/>
                <w:szCs w:val="21"/>
                <w:highlight w:val="none"/>
              </w:rPr>
            </w:pPr>
            <w:r>
              <w:rPr>
                <w:rFonts w:hint="eastAsia" w:ascii="宋体" w:hAnsi="宋体" w:eastAsia="宋体" w:cs="宋体"/>
                <w:color w:val="000000"/>
                <w:spacing w:val="6"/>
                <w:sz w:val="21"/>
                <w:szCs w:val="21"/>
                <w:highlight w:val="none"/>
                <w:lang w:eastAsia="zh-CN" w:bidi="ar"/>
              </w:rPr>
              <w:t>项目实行总承包报价，投标报价包含货物、货物标准附件、备品备件、专用工具、设备安装辅材、施工辅材、包装、运输、装卸、保险、货到就位的各种费用以及安装、调试等本招标文件所列设备材料需进行补充完善才能完成本项目的功能配置或实际采购中产品材料有任何遗漏的费用（含本项目需要但本文件中未列出的设备材料、功能配置）、税金、售后服务、技术培训、</w:t>
            </w:r>
            <w:r>
              <w:rPr>
                <w:rFonts w:hint="eastAsia" w:ascii="宋体" w:hAnsi="宋体" w:eastAsia="宋体" w:cs="宋体"/>
                <w:color w:val="000000"/>
                <w:spacing w:val="6"/>
                <w:sz w:val="21"/>
                <w:szCs w:val="21"/>
                <w:highlight w:val="none"/>
                <w:lang w:val="en-US" w:eastAsia="zh-CN" w:bidi="ar"/>
              </w:rPr>
              <w:t>机房装修交钥匙工程</w:t>
            </w:r>
            <w:r>
              <w:rPr>
                <w:rFonts w:hint="eastAsia" w:ascii="宋体" w:hAnsi="宋体" w:eastAsia="宋体" w:cs="宋体"/>
                <w:color w:val="000000"/>
                <w:spacing w:val="6"/>
                <w:sz w:val="21"/>
                <w:szCs w:val="21"/>
                <w:highlight w:val="none"/>
                <w:lang w:eastAsia="zh-CN" w:bidi="ar"/>
              </w:rPr>
              <w:t>及其他所有成本费用，以及合同明示或暗示的所有责任、义务和一般风险等一切费用。投标人综合考虑在报价中。</w:t>
            </w:r>
          </w:p>
        </w:tc>
      </w:tr>
      <w:tr w14:paraId="136FC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49" w:type="dxa"/>
            <w:tcBorders>
              <w:top w:val="single" w:color="auto" w:sz="4" w:space="0"/>
              <w:left w:val="single" w:color="auto" w:sz="4" w:space="0"/>
              <w:bottom w:val="single" w:color="auto" w:sz="4" w:space="0"/>
              <w:right w:val="single" w:color="auto" w:sz="4" w:space="0"/>
            </w:tcBorders>
            <w:noWrap w:val="0"/>
            <w:vAlign w:val="center"/>
          </w:tcPr>
          <w:p w14:paraId="159B5C94">
            <w:pPr>
              <w:keepNext w:val="0"/>
              <w:keepLines w:val="0"/>
              <w:pageBreakBefore w:val="0"/>
              <w:kinsoku w:val="0"/>
              <w:overflowPunct/>
              <w:topLinePunct w:val="0"/>
              <w:autoSpaceDE w:val="0"/>
              <w:autoSpaceDN w:val="0"/>
              <w:bidi w:val="0"/>
              <w:adjustRightInd w:val="0"/>
              <w:snapToGrid w:val="0"/>
              <w:spacing w:line="400" w:lineRule="exact"/>
              <w:jc w:val="center"/>
              <w:textAlignment w:val="baseline"/>
              <w:rPr>
                <w:rFonts w:hint="eastAsia" w:ascii="宋体" w:hAnsi="宋体" w:eastAsia="宋体" w:cs="宋体"/>
                <w:b w:val="0"/>
                <w:bCs w:val="0"/>
                <w:color w:val="auto"/>
                <w:kern w:val="0"/>
                <w:sz w:val="21"/>
                <w:szCs w:val="21"/>
                <w:highlight w:val="none"/>
                <w:lang w:eastAsia="zh-CN" w:bidi="ar"/>
              </w:rPr>
            </w:pPr>
            <w:r>
              <w:rPr>
                <w:rFonts w:hint="eastAsia" w:ascii="宋体" w:hAnsi="宋体" w:eastAsia="宋体" w:cs="宋体"/>
                <w:b/>
                <w:color w:val="auto"/>
                <w:kern w:val="21"/>
                <w:sz w:val="21"/>
                <w:szCs w:val="21"/>
                <w:highlight w:val="none"/>
                <w:lang w:val="en-US" w:eastAsia="zh-CN" w:bidi="ar"/>
              </w:rPr>
              <w:t>付款方式</w:t>
            </w:r>
          </w:p>
        </w:tc>
        <w:tc>
          <w:tcPr>
            <w:tcW w:w="7719" w:type="dxa"/>
            <w:tcBorders>
              <w:top w:val="single" w:color="auto" w:sz="4" w:space="0"/>
              <w:left w:val="single" w:color="auto" w:sz="4" w:space="0"/>
              <w:bottom w:val="single" w:color="auto" w:sz="4" w:space="0"/>
              <w:right w:val="single" w:color="auto" w:sz="4" w:space="0"/>
            </w:tcBorders>
            <w:noWrap w:val="0"/>
            <w:vAlign w:val="center"/>
          </w:tcPr>
          <w:p w14:paraId="4EC9865B">
            <w:pPr>
              <w:keepNext w:val="0"/>
              <w:keepLines w:val="0"/>
              <w:pageBreakBefore w:val="0"/>
              <w:widowControl/>
              <w:kinsoku/>
              <w:wordWrap w:val="0"/>
              <w:overflowPunct/>
              <w:topLinePunct w:val="0"/>
              <w:autoSpaceDE w:val="0"/>
              <w:autoSpaceDN w:val="0"/>
              <w:bidi w:val="0"/>
              <w:adjustRightInd w:val="0"/>
              <w:snapToGrid w:val="0"/>
              <w:spacing w:line="400" w:lineRule="exact"/>
              <w:textAlignment w:val="baseline"/>
              <w:rPr>
                <w:rFonts w:hint="eastAsia" w:ascii="宋体" w:hAnsi="宋体" w:eastAsia="宋体" w:cs="宋体"/>
                <w:color w:val="000000"/>
                <w:kern w:val="21"/>
                <w:sz w:val="21"/>
                <w:szCs w:val="21"/>
                <w:highlight w:val="none"/>
                <w:lang w:val="en-US" w:eastAsia="zh-CN" w:bidi="ar"/>
              </w:rPr>
            </w:pPr>
            <w:r>
              <w:rPr>
                <w:rFonts w:hint="eastAsia" w:ascii="宋体" w:hAnsi="宋体" w:eastAsia="宋体" w:cs="宋体"/>
                <w:color w:val="000000"/>
                <w:kern w:val="21"/>
                <w:sz w:val="21"/>
                <w:szCs w:val="21"/>
                <w:highlight w:val="none"/>
                <w:lang w:val="en-US" w:eastAsia="zh-CN" w:bidi="ar"/>
              </w:rPr>
              <w:t>1.付款进度安排:签订合同后30个工作日内，支付合同价款的30%，设备安装验收合格正常使用后30个工作日内，支付合同价款的70%。</w:t>
            </w:r>
          </w:p>
          <w:p w14:paraId="0B2D14F6">
            <w:pPr>
              <w:keepNext w:val="0"/>
              <w:keepLines w:val="0"/>
              <w:pageBreakBefore w:val="0"/>
              <w:widowControl/>
              <w:kinsoku/>
              <w:wordWrap w:val="0"/>
              <w:overflowPunct/>
              <w:topLinePunct w:val="0"/>
              <w:autoSpaceDE w:val="0"/>
              <w:autoSpaceDN w:val="0"/>
              <w:bidi w:val="0"/>
              <w:adjustRightInd w:val="0"/>
              <w:snapToGrid w:val="0"/>
              <w:spacing w:line="400" w:lineRule="exact"/>
              <w:textAlignment w:val="baseline"/>
              <w:rPr>
                <w:rFonts w:hint="eastAsia" w:ascii="宋体" w:hAnsi="宋体" w:eastAsia="宋体" w:cs="宋体"/>
                <w:color w:val="000000"/>
                <w:kern w:val="21"/>
                <w:sz w:val="21"/>
                <w:szCs w:val="21"/>
                <w:highlight w:val="none"/>
                <w:lang w:val="en-US" w:eastAsia="zh-CN" w:bidi="ar"/>
              </w:rPr>
            </w:pPr>
            <w:r>
              <w:rPr>
                <w:rFonts w:hint="eastAsia" w:ascii="宋体" w:hAnsi="宋体" w:eastAsia="宋体" w:cs="宋体"/>
                <w:color w:val="000000"/>
                <w:kern w:val="21"/>
                <w:sz w:val="21"/>
                <w:szCs w:val="21"/>
                <w:highlight w:val="none"/>
                <w:lang w:val="en-US" w:eastAsia="zh-CN" w:bidi="ar"/>
              </w:rPr>
              <w:t>2.中标人须在设备验收合格后及时向甲方提供符合国家规定及采购人要求的全额有效的税务发票，采购人未收到发票的，有权不予支付相应款项直至乙方提供合格发票，并不承担延迟付款责任。发票认证通过是付款的必要前提之一。</w:t>
            </w:r>
          </w:p>
          <w:p w14:paraId="7F69B53B">
            <w:pPr>
              <w:keepNext w:val="0"/>
              <w:keepLines w:val="0"/>
              <w:pageBreakBefore w:val="0"/>
              <w:widowControl/>
              <w:kinsoku/>
              <w:wordWrap w:val="0"/>
              <w:overflowPunct/>
              <w:topLinePunct w:val="0"/>
              <w:autoSpaceDE w:val="0"/>
              <w:autoSpaceDN w:val="0"/>
              <w:bidi w:val="0"/>
              <w:adjustRightInd w:val="0"/>
              <w:snapToGrid w:val="0"/>
              <w:spacing w:line="400" w:lineRule="exact"/>
              <w:textAlignment w:val="baseline"/>
              <w:rPr>
                <w:rFonts w:hint="eastAsia" w:ascii="宋体" w:hAnsi="宋体" w:eastAsia="宋体" w:cs="宋体"/>
                <w:color w:val="000000"/>
                <w:kern w:val="21"/>
                <w:sz w:val="21"/>
                <w:szCs w:val="21"/>
                <w:highlight w:val="none"/>
                <w:lang w:val="en-US" w:eastAsia="zh-CN" w:bidi="ar"/>
              </w:rPr>
            </w:pPr>
            <w:r>
              <w:rPr>
                <w:rFonts w:hint="eastAsia" w:ascii="宋体" w:hAnsi="宋体" w:eastAsia="宋体" w:cs="宋体"/>
                <w:color w:val="000000"/>
                <w:kern w:val="21"/>
                <w:sz w:val="21"/>
                <w:szCs w:val="21"/>
                <w:highlight w:val="none"/>
                <w:lang w:val="en-US" w:eastAsia="zh-CN" w:bidi="ar"/>
              </w:rPr>
              <w:t>3.本合同执行中相关的一切税费均由乙方负担。</w:t>
            </w:r>
          </w:p>
          <w:p w14:paraId="5C31DF3A">
            <w:pPr>
              <w:keepNext w:val="0"/>
              <w:keepLines w:val="0"/>
              <w:pageBreakBefore w:val="0"/>
              <w:widowControl/>
              <w:kinsoku/>
              <w:wordWrap w:val="0"/>
              <w:overflowPunct/>
              <w:topLinePunct w:val="0"/>
              <w:autoSpaceDE w:val="0"/>
              <w:autoSpaceDN w:val="0"/>
              <w:bidi w:val="0"/>
              <w:adjustRightInd w:val="0"/>
              <w:snapToGrid w:val="0"/>
              <w:spacing w:line="400" w:lineRule="exact"/>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kern w:val="21"/>
                <w:sz w:val="21"/>
                <w:szCs w:val="21"/>
                <w:highlight w:val="none"/>
                <w:lang w:val="en-US" w:eastAsia="zh-CN" w:bidi="ar"/>
              </w:rPr>
              <w:t>4.资金支付方式：银行转账</w:t>
            </w:r>
          </w:p>
        </w:tc>
      </w:tr>
      <w:tr w14:paraId="7B4AA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949" w:type="dxa"/>
            <w:tcBorders>
              <w:top w:val="single" w:color="auto" w:sz="4" w:space="0"/>
              <w:left w:val="single" w:color="auto" w:sz="4" w:space="0"/>
              <w:bottom w:val="single" w:color="auto" w:sz="4" w:space="0"/>
              <w:right w:val="single" w:color="auto" w:sz="4" w:space="0"/>
            </w:tcBorders>
            <w:noWrap w:val="0"/>
            <w:vAlign w:val="center"/>
          </w:tcPr>
          <w:p w14:paraId="58AB4F76">
            <w:pPr>
              <w:keepNext w:val="0"/>
              <w:keepLines w:val="0"/>
              <w:pageBreakBefore w:val="0"/>
              <w:kinsoku/>
              <w:overflowPunct/>
              <w:topLinePunct w:val="0"/>
              <w:bidi w:val="0"/>
              <w:spacing w:line="400" w:lineRule="exact"/>
              <w:ind w:firstLine="13" w:firstLineChars="6"/>
              <w:jc w:val="center"/>
              <w:rPr>
                <w:rFonts w:hint="eastAsia" w:ascii="宋体" w:hAnsi="宋体" w:eastAsia="宋体" w:cs="宋体"/>
                <w:b/>
                <w:color w:val="auto"/>
                <w:sz w:val="21"/>
                <w:szCs w:val="21"/>
                <w:highlight w:val="none"/>
                <w:lang w:eastAsia="zh-CN" w:bidi="ar"/>
              </w:rPr>
            </w:pPr>
            <w:r>
              <w:rPr>
                <w:rFonts w:hint="eastAsia" w:ascii="宋体" w:hAnsi="宋体" w:eastAsia="宋体" w:cs="宋体"/>
                <w:b/>
                <w:color w:val="auto"/>
                <w:sz w:val="21"/>
                <w:szCs w:val="21"/>
                <w:highlight w:val="none"/>
                <w:lang w:eastAsia="zh-CN" w:bidi="ar"/>
              </w:rPr>
              <w:t>保修期及售后</w:t>
            </w:r>
          </w:p>
          <w:p w14:paraId="10C915F7">
            <w:pPr>
              <w:keepNext w:val="0"/>
              <w:keepLines w:val="0"/>
              <w:pageBreakBefore w:val="0"/>
              <w:kinsoku/>
              <w:overflowPunct/>
              <w:topLinePunct w:val="0"/>
              <w:bidi w:val="0"/>
              <w:spacing w:line="400" w:lineRule="exact"/>
              <w:ind w:firstLine="13" w:firstLineChars="6"/>
              <w:jc w:val="center"/>
              <w:rPr>
                <w:rFonts w:hint="eastAsia" w:ascii="宋体" w:hAnsi="宋体" w:eastAsia="宋体" w:cs="宋体"/>
                <w:b w:val="0"/>
                <w:bCs w:val="0"/>
                <w:color w:val="auto"/>
                <w:kern w:val="0"/>
                <w:sz w:val="21"/>
                <w:szCs w:val="21"/>
                <w:highlight w:val="none"/>
                <w:lang w:eastAsia="zh-CN" w:bidi="ar"/>
              </w:rPr>
            </w:pPr>
            <w:r>
              <w:rPr>
                <w:rFonts w:hint="eastAsia" w:ascii="宋体" w:hAnsi="宋体" w:eastAsia="宋体" w:cs="宋体"/>
                <w:b/>
                <w:color w:val="auto"/>
                <w:sz w:val="21"/>
                <w:szCs w:val="21"/>
                <w:highlight w:val="none"/>
                <w:lang w:eastAsia="zh-CN" w:bidi="ar"/>
              </w:rPr>
              <w:t>服务要求</w:t>
            </w:r>
          </w:p>
        </w:tc>
        <w:tc>
          <w:tcPr>
            <w:tcW w:w="7719" w:type="dxa"/>
            <w:tcBorders>
              <w:top w:val="single" w:color="auto" w:sz="4" w:space="0"/>
              <w:left w:val="single" w:color="auto" w:sz="4" w:space="0"/>
              <w:bottom w:val="single" w:color="auto" w:sz="4" w:space="0"/>
              <w:right w:val="single" w:color="auto" w:sz="4" w:space="0"/>
            </w:tcBorders>
            <w:noWrap w:val="0"/>
            <w:vAlign w:val="center"/>
          </w:tcPr>
          <w:p w14:paraId="41E16017">
            <w:pPr>
              <w:keepNext w:val="0"/>
              <w:keepLines w:val="0"/>
              <w:pageBreakBefore w:val="0"/>
              <w:widowControl/>
              <w:kinsoku/>
              <w:wordWrap/>
              <w:overflowPunct/>
              <w:topLinePunct w:val="0"/>
              <w:bidi w:val="0"/>
              <w:spacing w:line="400" w:lineRule="exact"/>
              <w:ind w:firstLine="12" w:firstLineChars="6"/>
              <w:rPr>
                <w:rFonts w:hint="eastAsia" w:ascii="宋体" w:hAnsi="宋体" w:eastAsia="宋体" w:cs="宋体"/>
                <w:color w:val="000000"/>
                <w:sz w:val="21"/>
                <w:szCs w:val="21"/>
                <w:highlight w:val="none"/>
                <w:lang w:eastAsia="zh-CN" w:bidi="ar"/>
              </w:rPr>
            </w:pPr>
            <w:r>
              <w:rPr>
                <w:rFonts w:hint="eastAsia" w:ascii="宋体" w:hAnsi="宋体" w:eastAsia="宋体" w:cs="宋体"/>
                <w:color w:val="000000"/>
                <w:sz w:val="21"/>
                <w:szCs w:val="21"/>
                <w:highlight w:val="none"/>
                <w:lang w:eastAsia="zh-CN" w:bidi="ar"/>
              </w:rPr>
              <w:t>1.中标人应按照国家有关法律法规规定以及投标文件承诺，为采购人提供售后服务。</w:t>
            </w:r>
          </w:p>
          <w:p w14:paraId="051E02D4">
            <w:pPr>
              <w:keepNext w:val="0"/>
              <w:keepLines w:val="0"/>
              <w:pageBreakBefore w:val="0"/>
              <w:widowControl/>
              <w:kinsoku/>
              <w:wordWrap/>
              <w:overflowPunct/>
              <w:topLinePunct w:val="0"/>
              <w:bidi w:val="0"/>
              <w:spacing w:line="400" w:lineRule="exact"/>
              <w:ind w:firstLine="12" w:firstLineChars="6"/>
              <w:rPr>
                <w:rFonts w:hint="eastAsia" w:ascii="宋体" w:hAnsi="宋体" w:eastAsia="宋体" w:cs="宋体"/>
                <w:color w:val="000000"/>
                <w:sz w:val="21"/>
                <w:szCs w:val="21"/>
                <w:highlight w:val="none"/>
                <w:lang w:eastAsia="zh-CN" w:bidi="ar"/>
              </w:rPr>
            </w:pPr>
            <w:r>
              <w:rPr>
                <w:rFonts w:hint="eastAsia" w:ascii="宋体" w:hAnsi="宋体" w:eastAsia="宋体" w:cs="宋体"/>
                <w:color w:val="000000"/>
                <w:sz w:val="21"/>
                <w:szCs w:val="21"/>
                <w:highlight w:val="none"/>
                <w:lang w:eastAsia="zh-CN" w:bidi="ar"/>
              </w:rPr>
              <w:t>2.质量保修范围:</w:t>
            </w:r>
            <w:r>
              <w:rPr>
                <w:rFonts w:hint="eastAsia" w:ascii="宋体" w:hAnsi="宋体" w:eastAsia="宋体" w:cs="宋体"/>
                <w:color w:val="000000"/>
                <w:sz w:val="21"/>
                <w:szCs w:val="21"/>
                <w:highlight w:val="none"/>
                <w:u w:val="single"/>
                <w:lang w:eastAsia="zh-CN" w:bidi="ar"/>
              </w:rPr>
              <w:t>本项目采购范围内的所有设备</w:t>
            </w:r>
            <w:r>
              <w:rPr>
                <w:rFonts w:hint="eastAsia" w:ascii="宋体" w:hAnsi="宋体" w:eastAsia="宋体" w:cs="宋体"/>
                <w:color w:val="000000"/>
                <w:sz w:val="21"/>
                <w:szCs w:val="21"/>
                <w:highlight w:val="none"/>
                <w:lang w:eastAsia="zh-CN" w:bidi="ar"/>
              </w:rPr>
              <w:t>。免费保修期内上门维修（维修费和元器件费包含在投标报价中）、更换零部件，软件终身免费升级服务，设备生产厂家提供远程联机维护服务，能对设备进行软件升级及故障分析；保修期：按中标人投标文件承诺（且不低于采购文件要求）执行。</w:t>
            </w:r>
          </w:p>
          <w:p w14:paraId="14B3D707">
            <w:pPr>
              <w:keepNext w:val="0"/>
              <w:keepLines w:val="0"/>
              <w:pageBreakBefore w:val="0"/>
              <w:widowControl/>
              <w:kinsoku/>
              <w:wordWrap/>
              <w:overflowPunct/>
              <w:topLinePunct w:val="0"/>
              <w:bidi w:val="0"/>
              <w:spacing w:line="400" w:lineRule="exact"/>
              <w:ind w:firstLine="12" w:firstLineChars="6"/>
              <w:rPr>
                <w:rFonts w:hint="eastAsia" w:ascii="宋体" w:hAnsi="宋体" w:eastAsia="宋体" w:cs="宋体"/>
                <w:color w:val="000000"/>
                <w:sz w:val="21"/>
                <w:szCs w:val="21"/>
                <w:highlight w:val="none"/>
                <w:lang w:val="en-US" w:eastAsia="zh-CN" w:bidi="ar"/>
              </w:rPr>
            </w:pPr>
            <w:r>
              <w:rPr>
                <w:rFonts w:hint="eastAsia" w:ascii="宋体" w:hAnsi="宋体" w:eastAsia="宋体" w:cs="宋体"/>
                <w:color w:val="000000"/>
                <w:sz w:val="21"/>
                <w:szCs w:val="21"/>
                <w:highlight w:val="none"/>
                <w:lang w:eastAsia="zh-CN" w:bidi="ar"/>
              </w:rPr>
              <w:t>3.免费保修期：按国家有关产品“三包”规定执行“三包”；免费保修期为不少于</w:t>
            </w:r>
            <w:r>
              <w:rPr>
                <w:rFonts w:hint="eastAsia" w:ascii="宋体" w:hAnsi="宋体" w:eastAsia="宋体" w:cs="宋体"/>
                <w:color w:val="000000"/>
                <w:sz w:val="21"/>
                <w:szCs w:val="21"/>
                <w:highlight w:val="none"/>
                <w:lang w:val="en-US" w:eastAsia="zh-CN" w:bidi="ar"/>
              </w:rPr>
              <w:t>5</w:t>
            </w:r>
            <w:r>
              <w:rPr>
                <w:rFonts w:hint="eastAsia" w:ascii="宋体" w:hAnsi="宋体" w:eastAsia="宋体" w:cs="宋体"/>
                <w:color w:val="000000"/>
                <w:sz w:val="21"/>
                <w:szCs w:val="21"/>
                <w:highlight w:val="none"/>
                <w:lang w:eastAsia="zh-CN" w:bidi="ar"/>
              </w:rPr>
              <w:t>年，</w:t>
            </w:r>
            <w:r>
              <w:rPr>
                <w:rFonts w:hint="eastAsia" w:ascii="宋体" w:hAnsi="宋体" w:eastAsia="宋体" w:cs="宋体"/>
                <w:color w:val="000000"/>
                <w:sz w:val="21"/>
                <w:szCs w:val="21"/>
                <w:highlight w:val="none"/>
                <w:lang w:val="en-US" w:eastAsia="zh-CN" w:bidi="ar"/>
              </w:rPr>
              <w:t>免费保修期</w:t>
            </w:r>
            <w:r>
              <w:rPr>
                <w:rFonts w:hint="eastAsia" w:ascii="宋体" w:hAnsi="宋体" w:eastAsia="宋体" w:cs="宋体"/>
                <w:color w:val="000000"/>
                <w:highlight w:val="none"/>
                <w:lang w:eastAsia="zh-CN" w:bidi="ar"/>
              </w:rPr>
              <w:t>期内故障时间</w:t>
            </w:r>
            <w:r>
              <w:rPr>
                <w:rFonts w:hint="eastAsia" w:ascii="宋体" w:hAnsi="宋体" w:eastAsia="宋体" w:cs="宋体"/>
                <w:color w:val="000000"/>
                <w:highlight w:val="none"/>
                <w:lang w:val="en-US" w:eastAsia="zh-CN" w:bidi="ar"/>
              </w:rPr>
              <w:t>按1:3</w:t>
            </w:r>
            <w:r>
              <w:rPr>
                <w:rFonts w:hint="eastAsia" w:ascii="宋体" w:hAnsi="宋体" w:eastAsia="宋体" w:cs="宋体"/>
                <w:color w:val="000000"/>
                <w:highlight w:val="none"/>
                <w:lang w:eastAsia="zh-CN" w:bidi="ar"/>
              </w:rPr>
              <w:t>顺延质保期</w:t>
            </w:r>
            <w:r>
              <w:rPr>
                <w:rFonts w:hint="eastAsia" w:ascii="宋体" w:hAnsi="宋体" w:eastAsia="宋体" w:cs="宋体"/>
                <w:color w:val="000000"/>
                <w:sz w:val="21"/>
                <w:szCs w:val="21"/>
                <w:highlight w:val="none"/>
                <w:lang w:eastAsia="zh-CN" w:bidi="ar"/>
              </w:rPr>
              <w:t>（免费保修期从设备验收合格之日起计算），免费保修期内上门维修不收取任何费用，提供备用机</w:t>
            </w:r>
            <w:r>
              <w:rPr>
                <w:rFonts w:hint="eastAsia" w:ascii="宋体" w:hAnsi="宋体" w:eastAsia="宋体" w:cs="宋体"/>
                <w:color w:val="000000"/>
                <w:sz w:val="21"/>
                <w:szCs w:val="21"/>
                <w:highlight w:val="none"/>
                <w:lang w:val="en-US" w:eastAsia="zh-CN" w:bidi="ar"/>
              </w:rPr>
              <w:t>。</w:t>
            </w:r>
          </w:p>
          <w:p w14:paraId="60493F22">
            <w:pPr>
              <w:keepNext w:val="0"/>
              <w:keepLines w:val="0"/>
              <w:pageBreakBefore w:val="0"/>
              <w:widowControl/>
              <w:kinsoku/>
              <w:wordWrap/>
              <w:overflowPunct/>
              <w:topLinePunct w:val="0"/>
              <w:bidi w:val="0"/>
              <w:spacing w:line="400" w:lineRule="exact"/>
              <w:ind w:firstLine="12" w:firstLineChars="6"/>
              <w:rPr>
                <w:rFonts w:hint="eastAsia" w:ascii="宋体" w:hAnsi="宋体" w:eastAsia="宋体" w:cs="宋体"/>
                <w:color w:val="000000"/>
                <w:sz w:val="21"/>
                <w:szCs w:val="21"/>
                <w:highlight w:val="none"/>
                <w:lang w:eastAsia="zh-CN" w:bidi="ar"/>
              </w:rPr>
            </w:pPr>
            <w:r>
              <w:rPr>
                <w:rFonts w:hint="eastAsia" w:ascii="宋体" w:hAnsi="宋体" w:eastAsia="宋体" w:cs="宋体"/>
                <w:color w:val="000000"/>
                <w:sz w:val="21"/>
                <w:szCs w:val="21"/>
                <w:highlight w:val="none"/>
                <w:lang w:eastAsia="zh-CN" w:bidi="ar"/>
              </w:rPr>
              <w:t>4.在免费保修期内因货物本身的质量问题发生故障，中标人应负责免费修理和更换零部件。对达不到技术要求者，根据实际情况，采购人有权按以下办法处理：</w:t>
            </w:r>
          </w:p>
          <w:p w14:paraId="3FD55D1C">
            <w:pPr>
              <w:keepNext w:val="0"/>
              <w:keepLines w:val="0"/>
              <w:pageBreakBefore w:val="0"/>
              <w:widowControl/>
              <w:kinsoku/>
              <w:wordWrap/>
              <w:overflowPunct/>
              <w:topLinePunct w:val="0"/>
              <w:bidi w:val="0"/>
              <w:spacing w:line="400" w:lineRule="exact"/>
              <w:ind w:firstLine="12" w:firstLineChars="6"/>
              <w:rPr>
                <w:rFonts w:hint="eastAsia" w:ascii="宋体" w:hAnsi="宋体" w:eastAsia="宋体" w:cs="宋体"/>
                <w:color w:val="000000"/>
                <w:sz w:val="21"/>
                <w:szCs w:val="21"/>
                <w:highlight w:val="none"/>
                <w:lang w:eastAsia="zh-CN" w:bidi="ar"/>
              </w:rPr>
            </w:pPr>
            <w:r>
              <w:rPr>
                <w:rFonts w:hint="eastAsia" w:ascii="宋体" w:hAnsi="宋体" w:eastAsia="宋体" w:cs="宋体"/>
                <w:color w:val="000000"/>
                <w:sz w:val="21"/>
                <w:szCs w:val="21"/>
                <w:highlight w:val="none"/>
                <w:lang w:eastAsia="zh-CN" w:bidi="ar"/>
              </w:rPr>
              <w:t>（1）更换：由中标人承担所发生的全部费用。</w:t>
            </w:r>
          </w:p>
          <w:p w14:paraId="50A0361E">
            <w:pPr>
              <w:keepNext w:val="0"/>
              <w:keepLines w:val="0"/>
              <w:pageBreakBefore w:val="0"/>
              <w:widowControl/>
              <w:kinsoku/>
              <w:wordWrap/>
              <w:overflowPunct/>
              <w:topLinePunct w:val="0"/>
              <w:bidi w:val="0"/>
              <w:spacing w:line="400" w:lineRule="exact"/>
              <w:ind w:firstLine="12" w:firstLineChars="6"/>
              <w:rPr>
                <w:rFonts w:hint="eastAsia" w:ascii="宋体" w:hAnsi="宋体" w:eastAsia="宋体" w:cs="宋体"/>
                <w:color w:val="000000"/>
                <w:sz w:val="21"/>
                <w:szCs w:val="21"/>
                <w:highlight w:val="none"/>
                <w:lang w:eastAsia="zh-CN" w:bidi="ar"/>
              </w:rPr>
            </w:pPr>
            <w:r>
              <w:rPr>
                <w:rFonts w:hint="eastAsia" w:ascii="宋体" w:hAnsi="宋体" w:eastAsia="宋体" w:cs="宋体"/>
                <w:color w:val="000000"/>
                <w:sz w:val="21"/>
                <w:szCs w:val="21"/>
                <w:highlight w:val="none"/>
                <w:lang w:eastAsia="zh-CN" w:bidi="ar"/>
              </w:rPr>
              <w:t>（2）贬值处理：由采购人与中标人双方合议定价。</w:t>
            </w:r>
          </w:p>
          <w:p w14:paraId="461409BE">
            <w:pPr>
              <w:keepNext w:val="0"/>
              <w:keepLines w:val="0"/>
              <w:pageBreakBefore w:val="0"/>
              <w:widowControl/>
              <w:kinsoku/>
              <w:wordWrap/>
              <w:overflowPunct/>
              <w:topLinePunct w:val="0"/>
              <w:bidi w:val="0"/>
              <w:spacing w:line="400" w:lineRule="exact"/>
              <w:ind w:firstLine="12" w:firstLineChars="6"/>
              <w:rPr>
                <w:rFonts w:hint="eastAsia" w:ascii="宋体" w:hAnsi="宋体" w:eastAsia="宋体" w:cs="宋体"/>
                <w:color w:val="000000"/>
                <w:sz w:val="21"/>
                <w:szCs w:val="21"/>
                <w:highlight w:val="none"/>
                <w:lang w:eastAsia="zh-CN" w:bidi="ar"/>
              </w:rPr>
            </w:pPr>
            <w:r>
              <w:rPr>
                <w:rFonts w:hint="eastAsia" w:ascii="宋体" w:hAnsi="宋体" w:eastAsia="宋体" w:cs="宋体"/>
                <w:color w:val="000000"/>
                <w:sz w:val="21"/>
                <w:szCs w:val="21"/>
                <w:highlight w:val="none"/>
                <w:lang w:eastAsia="zh-CN" w:bidi="ar"/>
              </w:rPr>
              <w:t>（3）退货处理：中标人应退还采购人支付的合同款，同时应承担该货物的直接费用（运输、保险、检验、货款利息及银行手续费等）。</w:t>
            </w:r>
          </w:p>
          <w:p w14:paraId="692568E7">
            <w:pPr>
              <w:keepNext w:val="0"/>
              <w:keepLines w:val="0"/>
              <w:pageBreakBefore w:val="0"/>
              <w:widowControl/>
              <w:kinsoku/>
              <w:wordWrap/>
              <w:overflowPunct/>
              <w:topLinePunct w:val="0"/>
              <w:bidi w:val="0"/>
              <w:spacing w:line="400" w:lineRule="exact"/>
              <w:ind w:firstLine="12" w:firstLineChars="6"/>
              <w:rPr>
                <w:rFonts w:hint="eastAsia" w:ascii="宋体" w:hAnsi="宋体" w:eastAsia="宋体" w:cs="宋体"/>
                <w:color w:val="000000"/>
                <w:sz w:val="21"/>
                <w:szCs w:val="21"/>
                <w:highlight w:val="none"/>
                <w:lang w:eastAsia="zh-CN" w:bidi="ar"/>
              </w:rPr>
            </w:pPr>
            <w:r>
              <w:rPr>
                <w:rFonts w:hint="eastAsia" w:ascii="宋体" w:hAnsi="宋体" w:eastAsia="宋体" w:cs="宋体"/>
                <w:color w:val="000000"/>
                <w:sz w:val="21"/>
                <w:szCs w:val="21"/>
                <w:highlight w:val="none"/>
                <w:lang w:eastAsia="zh-CN" w:bidi="ar"/>
              </w:rPr>
              <w:t>5.如在使用过程中发生质量问题，中标人在接到采购人通知后</w:t>
            </w:r>
            <w:r>
              <w:rPr>
                <w:rFonts w:hint="eastAsia" w:ascii="宋体" w:hAnsi="宋体" w:eastAsia="宋体" w:cs="宋体"/>
                <w:color w:val="000000"/>
                <w:sz w:val="21"/>
                <w:szCs w:val="21"/>
                <w:highlight w:val="none"/>
                <w:u w:val="single"/>
                <w:lang w:val="en-US" w:eastAsia="zh-CN" w:bidi="ar"/>
              </w:rPr>
              <w:t>1</w:t>
            </w:r>
            <w:r>
              <w:rPr>
                <w:rFonts w:hint="eastAsia" w:ascii="宋体" w:hAnsi="宋体" w:eastAsia="宋体" w:cs="宋体"/>
                <w:color w:val="000000"/>
                <w:sz w:val="21"/>
                <w:szCs w:val="21"/>
                <w:highlight w:val="none"/>
                <w:lang w:eastAsia="zh-CN" w:bidi="ar"/>
              </w:rPr>
              <w:t>小时内响应，</w:t>
            </w:r>
            <w:r>
              <w:rPr>
                <w:rFonts w:hint="eastAsia" w:ascii="宋体" w:hAnsi="宋体" w:eastAsia="宋体" w:cs="宋体"/>
                <w:color w:val="000000"/>
                <w:sz w:val="21"/>
                <w:szCs w:val="21"/>
                <w:highlight w:val="none"/>
                <w:u w:val="single"/>
                <w:lang w:eastAsia="zh-CN" w:bidi="ar"/>
              </w:rPr>
              <w:t>2</w:t>
            </w:r>
            <w:r>
              <w:rPr>
                <w:rFonts w:hint="eastAsia" w:ascii="宋体" w:hAnsi="宋体" w:eastAsia="宋体" w:cs="宋体"/>
                <w:color w:val="000000"/>
                <w:sz w:val="21"/>
                <w:szCs w:val="21"/>
                <w:highlight w:val="none"/>
                <w:u w:val="single"/>
                <w:lang w:val="en-US" w:eastAsia="zh-CN" w:bidi="ar"/>
              </w:rPr>
              <w:t>4</w:t>
            </w:r>
            <w:r>
              <w:rPr>
                <w:rFonts w:hint="eastAsia" w:ascii="宋体" w:hAnsi="宋体" w:eastAsia="宋体" w:cs="宋体"/>
                <w:color w:val="000000"/>
                <w:sz w:val="21"/>
                <w:szCs w:val="21"/>
                <w:highlight w:val="none"/>
                <w:lang w:eastAsia="zh-CN" w:bidi="ar"/>
              </w:rPr>
              <w:t>小时内到达现场进行处理，恢复正常使用。中标人逾期响应、到达现场、排除故障或者无法排除故障的，采购人有权自行或寻找第三方机构获得维修、维护等售后服务，全部费用由中标人承担，且无需经过中标人同意、确认。</w:t>
            </w:r>
          </w:p>
          <w:p w14:paraId="03CAD1F4">
            <w:pPr>
              <w:keepNext w:val="0"/>
              <w:keepLines w:val="0"/>
              <w:pageBreakBefore w:val="0"/>
              <w:widowControl/>
              <w:kinsoku/>
              <w:wordWrap/>
              <w:overflowPunct/>
              <w:topLinePunct w:val="0"/>
              <w:bidi w:val="0"/>
              <w:spacing w:line="400" w:lineRule="exact"/>
              <w:ind w:firstLine="12" w:firstLineChars="6"/>
              <w:rPr>
                <w:rFonts w:hint="eastAsia" w:ascii="宋体" w:hAnsi="宋体" w:eastAsia="宋体" w:cs="宋体"/>
                <w:color w:val="000000"/>
                <w:sz w:val="21"/>
                <w:szCs w:val="21"/>
                <w:highlight w:val="none"/>
                <w:lang w:eastAsia="zh-CN" w:bidi="ar"/>
              </w:rPr>
            </w:pPr>
            <w:r>
              <w:rPr>
                <w:rFonts w:hint="eastAsia" w:ascii="宋体" w:hAnsi="宋体" w:eastAsia="宋体" w:cs="宋体"/>
                <w:color w:val="000000"/>
                <w:sz w:val="21"/>
                <w:szCs w:val="21"/>
                <w:highlight w:val="none"/>
                <w:lang w:eastAsia="zh-CN" w:bidi="ar"/>
              </w:rPr>
              <w:t>6.在免费保修期内，中标人应对货物出现的质量及安全问题负责处理解决并承担一切费用。</w:t>
            </w:r>
          </w:p>
          <w:p w14:paraId="6CC8EECD">
            <w:pPr>
              <w:keepNext w:val="0"/>
              <w:keepLines w:val="0"/>
              <w:pageBreakBefore w:val="0"/>
              <w:widowControl/>
              <w:kinsoku/>
              <w:wordWrap/>
              <w:overflowPunct/>
              <w:topLinePunct w:val="0"/>
              <w:bidi w:val="0"/>
              <w:spacing w:line="400" w:lineRule="exact"/>
              <w:ind w:firstLine="12" w:firstLineChars="6"/>
              <w:rPr>
                <w:rFonts w:hint="eastAsia" w:ascii="宋体" w:hAnsi="宋体" w:eastAsia="宋体" w:cs="宋体"/>
                <w:color w:val="000000"/>
                <w:sz w:val="21"/>
                <w:szCs w:val="21"/>
                <w:highlight w:val="none"/>
                <w:lang w:eastAsia="zh-CN" w:bidi="ar"/>
              </w:rPr>
            </w:pPr>
            <w:r>
              <w:rPr>
                <w:rFonts w:hint="eastAsia" w:ascii="宋体" w:hAnsi="宋体" w:eastAsia="宋体" w:cs="宋体"/>
                <w:color w:val="000000"/>
                <w:sz w:val="21"/>
                <w:szCs w:val="21"/>
                <w:highlight w:val="none"/>
                <w:lang w:eastAsia="zh-CN" w:bidi="ar"/>
              </w:rPr>
              <w:t>7.本项目采购范围内的货物因人为因素出现的故障不在免费保修范围内。超过免费保修期的机器设备，提供终生维修服务。</w:t>
            </w:r>
          </w:p>
          <w:p w14:paraId="5839F30B">
            <w:pPr>
              <w:keepNext w:val="0"/>
              <w:keepLines w:val="0"/>
              <w:pageBreakBefore w:val="0"/>
              <w:widowControl/>
              <w:kinsoku/>
              <w:wordWrap/>
              <w:overflowPunct/>
              <w:topLinePunct w:val="0"/>
              <w:bidi w:val="0"/>
              <w:spacing w:line="400" w:lineRule="exact"/>
              <w:ind w:firstLine="12" w:firstLineChars="6"/>
              <w:rPr>
                <w:rFonts w:hint="eastAsia" w:ascii="宋体" w:hAnsi="宋体" w:eastAsia="宋体" w:cs="宋体"/>
                <w:color w:val="000000"/>
                <w:kern w:val="0"/>
                <w:sz w:val="21"/>
                <w:szCs w:val="21"/>
                <w:highlight w:val="none"/>
              </w:rPr>
            </w:pPr>
            <w:r>
              <w:rPr>
                <w:rFonts w:hint="eastAsia" w:ascii="宋体" w:hAnsi="宋体" w:eastAsia="宋体" w:cs="宋体"/>
                <w:color w:val="000000"/>
                <w:sz w:val="21"/>
                <w:szCs w:val="21"/>
                <w:highlight w:val="none"/>
                <w:lang w:eastAsia="zh-CN" w:bidi="ar"/>
              </w:rPr>
              <w:t>8.中标人提供的货物在免费保修期内，因设计、工艺或材料的缺陷和其它质量原因造成的问题，由中标人负责，费用从最后一笔支付的合同价款当中扣除，不足以扣除的，由中标人另行支付。</w:t>
            </w:r>
          </w:p>
        </w:tc>
      </w:tr>
      <w:tr w14:paraId="16048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4" w:hRule="atLeast"/>
          <w:jc w:val="center"/>
        </w:trPr>
        <w:tc>
          <w:tcPr>
            <w:tcW w:w="1949" w:type="dxa"/>
            <w:tcBorders>
              <w:top w:val="single" w:color="auto" w:sz="4" w:space="0"/>
              <w:left w:val="single" w:color="auto" w:sz="4" w:space="0"/>
              <w:bottom w:val="single" w:color="auto" w:sz="4" w:space="0"/>
              <w:right w:val="single" w:color="auto" w:sz="4" w:space="0"/>
            </w:tcBorders>
            <w:noWrap w:val="0"/>
            <w:vAlign w:val="center"/>
          </w:tcPr>
          <w:p w14:paraId="6C7CA983">
            <w:pPr>
              <w:keepNext w:val="0"/>
              <w:keepLines w:val="0"/>
              <w:pageBreakBefore w:val="0"/>
              <w:overflowPunct/>
              <w:topLinePunct w:val="0"/>
              <w:bidi w:val="0"/>
              <w:spacing w:line="400" w:lineRule="exact"/>
              <w:jc w:val="center"/>
              <w:rPr>
                <w:rFonts w:hint="eastAsia" w:ascii="宋体" w:hAnsi="宋体" w:eastAsia="宋体" w:cs="宋体"/>
                <w:b/>
                <w:color w:val="auto"/>
                <w:sz w:val="21"/>
                <w:szCs w:val="21"/>
                <w:highlight w:val="none"/>
                <w:lang w:eastAsia="zh-CN" w:bidi="ar"/>
              </w:rPr>
            </w:pPr>
            <w:r>
              <w:rPr>
                <w:rFonts w:hint="eastAsia" w:ascii="宋体" w:hAnsi="宋体" w:eastAsia="宋体" w:cs="宋体"/>
                <w:b/>
                <w:color w:val="auto"/>
                <w:sz w:val="21"/>
                <w:szCs w:val="21"/>
                <w:highlight w:val="none"/>
                <w:lang w:eastAsia="zh-CN" w:bidi="ar"/>
              </w:rPr>
              <w:t>合同签订时间及</w:t>
            </w:r>
          </w:p>
          <w:p w14:paraId="3E71CCCE">
            <w:pPr>
              <w:keepNext w:val="0"/>
              <w:keepLines w:val="0"/>
              <w:pageBreakBefore w:val="0"/>
              <w:kinsoku/>
              <w:overflowPunct/>
              <w:topLinePunct w:val="0"/>
              <w:autoSpaceDE/>
              <w:autoSpaceDN/>
              <w:bidi w:val="0"/>
              <w:adjustRightInd/>
              <w:snapToGrid/>
              <w:spacing w:line="400" w:lineRule="exact"/>
              <w:ind w:firstLine="13" w:firstLineChars="6"/>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b/>
                <w:color w:val="auto"/>
                <w:sz w:val="21"/>
                <w:szCs w:val="21"/>
                <w:highlight w:val="none"/>
                <w:lang w:eastAsia="zh-CN" w:bidi="ar"/>
              </w:rPr>
              <w:t>地点</w:t>
            </w:r>
          </w:p>
        </w:tc>
        <w:tc>
          <w:tcPr>
            <w:tcW w:w="7719" w:type="dxa"/>
            <w:tcBorders>
              <w:top w:val="single" w:color="auto" w:sz="4" w:space="0"/>
              <w:left w:val="single" w:color="auto" w:sz="4" w:space="0"/>
              <w:bottom w:val="single" w:color="auto" w:sz="4" w:space="0"/>
              <w:right w:val="single" w:color="auto" w:sz="4" w:space="0"/>
            </w:tcBorders>
            <w:noWrap w:val="0"/>
            <w:vAlign w:val="center"/>
          </w:tcPr>
          <w:p w14:paraId="4859CF23">
            <w:pPr>
              <w:keepNext w:val="0"/>
              <w:keepLines w:val="0"/>
              <w:pageBreakBefore w:val="0"/>
              <w:widowControl/>
              <w:kinsoku/>
              <w:wordWrap/>
              <w:overflowPunct/>
              <w:topLinePunct w:val="0"/>
              <w:autoSpaceDE/>
              <w:autoSpaceDN/>
              <w:bidi w:val="0"/>
              <w:adjustRightInd/>
              <w:snapToGrid/>
              <w:spacing w:line="400" w:lineRule="exact"/>
              <w:ind w:firstLine="12" w:firstLineChars="6"/>
              <w:jc w:val="both"/>
              <w:textAlignment w:val="auto"/>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eastAsia="zh-CN" w:bidi="ar"/>
              </w:rPr>
              <w:t>1</w:t>
            </w:r>
            <w:r>
              <w:rPr>
                <w:rFonts w:hint="eastAsia" w:ascii="宋体" w:hAnsi="宋体" w:eastAsia="宋体" w:cs="宋体"/>
                <w:color w:val="auto"/>
                <w:sz w:val="21"/>
                <w:szCs w:val="21"/>
                <w:highlight w:val="none"/>
                <w:lang w:val="en-US" w:eastAsia="zh-CN" w:bidi="ar"/>
              </w:rPr>
              <w:t>.</w:t>
            </w:r>
            <w:r>
              <w:rPr>
                <w:rFonts w:hint="eastAsia" w:ascii="宋体" w:hAnsi="宋体" w:eastAsia="宋体" w:cs="宋体"/>
                <w:color w:val="auto"/>
                <w:sz w:val="21"/>
                <w:szCs w:val="21"/>
                <w:highlight w:val="none"/>
                <w:lang w:eastAsia="zh-CN" w:bidi="ar"/>
              </w:rPr>
              <w:t>签订合同时间：自中标通知书发出之日25日内。</w:t>
            </w:r>
          </w:p>
          <w:p w14:paraId="40364F57">
            <w:pPr>
              <w:keepNext w:val="0"/>
              <w:keepLines w:val="0"/>
              <w:pageBreakBefore w:val="0"/>
              <w:widowControl/>
              <w:kinsoku/>
              <w:wordWrap/>
              <w:overflowPunct/>
              <w:topLinePunct w:val="0"/>
              <w:autoSpaceDE/>
              <w:autoSpaceDN/>
              <w:bidi w:val="0"/>
              <w:adjustRightInd/>
              <w:snapToGrid/>
              <w:spacing w:line="400" w:lineRule="exact"/>
              <w:ind w:firstLine="12" w:firstLineChars="6"/>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bidi="ar"/>
              </w:rPr>
              <w:t>2</w:t>
            </w:r>
            <w:r>
              <w:rPr>
                <w:rFonts w:hint="eastAsia" w:ascii="宋体" w:hAnsi="宋体" w:eastAsia="宋体" w:cs="宋体"/>
                <w:color w:val="auto"/>
                <w:sz w:val="21"/>
                <w:szCs w:val="21"/>
                <w:highlight w:val="none"/>
                <w:lang w:val="en-US" w:eastAsia="zh-CN" w:bidi="ar"/>
              </w:rPr>
              <w:t>.</w:t>
            </w:r>
            <w:r>
              <w:rPr>
                <w:rFonts w:hint="eastAsia" w:ascii="宋体" w:hAnsi="宋体" w:eastAsia="宋体" w:cs="宋体"/>
                <w:color w:val="auto"/>
                <w:sz w:val="21"/>
                <w:szCs w:val="21"/>
                <w:highlight w:val="none"/>
                <w:lang w:eastAsia="zh-CN" w:bidi="ar"/>
              </w:rPr>
              <w:t>签订合同地点：广西壮族自治区南溪山医院（广西壮族自治区第二人民医院）指定地点。</w:t>
            </w:r>
          </w:p>
        </w:tc>
      </w:tr>
      <w:tr w14:paraId="2ECDD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49" w:type="dxa"/>
            <w:tcBorders>
              <w:top w:val="single" w:color="auto" w:sz="4" w:space="0"/>
              <w:left w:val="single" w:color="auto" w:sz="4" w:space="0"/>
              <w:bottom w:val="single" w:color="auto" w:sz="4" w:space="0"/>
              <w:right w:val="single" w:color="auto" w:sz="4" w:space="0"/>
            </w:tcBorders>
            <w:noWrap w:val="0"/>
            <w:vAlign w:val="center"/>
          </w:tcPr>
          <w:p w14:paraId="4ABD8E8C">
            <w:pPr>
              <w:keepNext w:val="0"/>
              <w:keepLines w:val="0"/>
              <w:pageBreakBefore w:val="0"/>
              <w:kinsoku/>
              <w:overflowPunct/>
              <w:topLinePunct w:val="0"/>
              <w:bidi w:val="0"/>
              <w:spacing w:line="400" w:lineRule="exact"/>
              <w:ind w:left="13" w:leftChars="6"/>
              <w:jc w:val="center"/>
              <w:rPr>
                <w:rFonts w:hint="eastAsia" w:ascii="宋体" w:hAnsi="宋体" w:eastAsia="宋体" w:cs="宋体"/>
                <w:b w:val="0"/>
                <w:bCs w:val="0"/>
                <w:color w:val="auto"/>
                <w:kern w:val="0"/>
                <w:sz w:val="21"/>
                <w:szCs w:val="21"/>
                <w:highlight w:val="none"/>
                <w:lang w:eastAsia="zh-CN" w:bidi="ar"/>
              </w:rPr>
            </w:pPr>
            <w:r>
              <w:rPr>
                <w:rFonts w:hint="eastAsia" w:ascii="宋体" w:hAnsi="宋体" w:eastAsia="宋体" w:cs="宋体"/>
                <w:b/>
                <w:color w:val="auto"/>
                <w:sz w:val="21"/>
                <w:szCs w:val="21"/>
                <w:highlight w:val="none"/>
                <w:lang w:eastAsia="zh-CN" w:bidi="ar"/>
              </w:rPr>
              <w:t>包装和运输</w:t>
            </w:r>
          </w:p>
        </w:tc>
        <w:tc>
          <w:tcPr>
            <w:tcW w:w="7719" w:type="dxa"/>
            <w:tcBorders>
              <w:top w:val="single" w:color="auto" w:sz="4" w:space="0"/>
              <w:left w:val="single" w:color="auto" w:sz="4" w:space="0"/>
              <w:bottom w:val="single" w:color="auto" w:sz="4" w:space="0"/>
              <w:right w:val="single" w:color="auto" w:sz="4" w:space="0"/>
            </w:tcBorders>
            <w:noWrap w:val="0"/>
            <w:vAlign w:val="center"/>
          </w:tcPr>
          <w:p w14:paraId="3B210C88">
            <w:pPr>
              <w:keepNext w:val="0"/>
              <w:keepLines w:val="0"/>
              <w:pageBreakBefore w:val="0"/>
              <w:widowControl/>
              <w:kinsoku/>
              <w:wordWrap/>
              <w:overflowPunct/>
              <w:topLinePunct w:val="0"/>
              <w:bidi w:val="0"/>
              <w:spacing w:line="400" w:lineRule="exact"/>
              <w:ind w:left="13" w:leftChars="6"/>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eastAsia="zh-CN" w:bidi="ar"/>
              </w:rPr>
              <w:t>1.原厂原包装，包装完好、完整无破损、未开封。</w:t>
            </w:r>
          </w:p>
          <w:p w14:paraId="06F49C20">
            <w:pPr>
              <w:keepNext w:val="0"/>
              <w:keepLines w:val="0"/>
              <w:pageBreakBefore w:val="0"/>
              <w:widowControl/>
              <w:kinsoku/>
              <w:wordWrap/>
              <w:overflowPunct/>
              <w:topLinePunct w:val="0"/>
              <w:bidi w:val="0"/>
              <w:spacing w:line="400" w:lineRule="exact"/>
              <w:ind w:left="13" w:leftChars="6"/>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eastAsia="zh-CN" w:bidi="ar"/>
              </w:rPr>
              <w:t>2.包装及运输方式应综合考虑运输距离、防潮、防震、防锈和防破损装卸等要求。</w:t>
            </w:r>
          </w:p>
          <w:p w14:paraId="2B573BD3">
            <w:pPr>
              <w:keepNext w:val="0"/>
              <w:keepLines w:val="0"/>
              <w:pageBreakBefore w:val="0"/>
              <w:widowControl/>
              <w:kinsoku/>
              <w:wordWrap/>
              <w:overflowPunct/>
              <w:topLinePunct w:val="0"/>
              <w:bidi w:val="0"/>
              <w:spacing w:line="400" w:lineRule="exact"/>
              <w:ind w:left="13" w:leftChars="6"/>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eastAsia="zh-CN" w:bidi="ar"/>
              </w:rPr>
              <w:t>3.国家对包装及运输有相关强制性标准或要求的，中标人应当执行。</w:t>
            </w:r>
          </w:p>
          <w:p w14:paraId="26525278">
            <w:pPr>
              <w:keepNext w:val="0"/>
              <w:keepLines w:val="0"/>
              <w:pageBreakBefore w:val="0"/>
              <w:widowControl/>
              <w:kinsoku/>
              <w:wordWrap/>
              <w:overflowPunct/>
              <w:topLinePunct w:val="0"/>
              <w:bidi w:val="0"/>
              <w:spacing w:line="400" w:lineRule="exact"/>
              <w:ind w:left="13" w:leftChars="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bidi="ar"/>
              </w:rPr>
              <w:t>4.产品（含包装）运抵采购人指定交付地点前发生损坏的，相关损失由中标人自行承担。</w:t>
            </w:r>
          </w:p>
        </w:tc>
      </w:tr>
      <w:tr w14:paraId="308D7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1949" w:type="dxa"/>
            <w:tcBorders>
              <w:top w:val="single" w:color="auto" w:sz="4" w:space="0"/>
              <w:left w:val="single" w:color="auto" w:sz="4" w:space="0"/>
              <w:bottom w:val="single" w:color="auto" w:sz="4" w:space="0"/>
              <w:right w:val="single" w:color="auto" w:sz="4" w:space="0"/>
            </w:tcBorders>
            <w:noWrap w:val="0"/>
            <w:vAlign w:val="center"/>
          </w:tcPr>
          <w:p w14:paraId="41D2A80B">
            <w:pPr>
              <w:keepNext w:val="0"/>
              <w:keepLines w:val="0"/>
              <w:pageBreakBefore w:val="0"/>
              <w:kinsoku/>
              <w:overflowPunct/>
              <w:topLinePunct w:val="0"/>
              <w:bidi w:val="0"/>
              <w:spacing w:line="400" w:lineRule="exact"/>
              <w:jc w:val="center"/>
              <w:rPr>
                <w:rFonts w:hint="eastAsia" w:ascii="宋体" w:hAnsi="宋体" w:eastAsia="宋体" w:cs="宋体"/>
                <w:b w:val="0"/>
                <w:bCs w:val="0"/>
                <w:color w:val="auto"/>
                <w:kern w:val="0"/>
                <w:sz w:val="21"/>
                <w:szCs w:val="21"/>
                <w:highlight w:val="none"/>
                <w:lang w:eastAsia="zh-CN" w:bidi="ar"/>
              </w:rPr>
            </w:pPr>
            <w:r>
              <w:rPr>
                <w:rFonts w:hint="eastAsia" w:ascii="宋体" w:hAnsi="宋体" w:eastAsia="宋体" w:cs="宋体"/>
                <w:b/>
                <w:color w:val="auto"/>
                <w:sz w:val="21"/>
                <w:szCs w:val="21"/>
                <w:highlight w:val="none"/>
                <w:lang w:eastAsia="zh-CN" w:bidi="ar"/>
              </w:rPr>
              <w:t>保险</w:t>
            </w:r>
          </w:p>
        </w:tc>
        <w:tc>
          <w:tcPr>
            <w:tcW w:w="7719" w:type="dxa"/>
            <w:tcBorders>
              <w:top w:val="single" w:color="auto" w:sz="4" w:space="0"/>
              <w:left w:val="single" w:color="auto" w:sz="4" w:space="0"/>
              <w:bottom w:val="single" w:color="auto" w:sz="4" w:space="0"/>
              <w:right w:val="single" w:color="auto" w:sz="4" w:space="0"/>
            </w:tcBorders>
            <w:noWrap w:val="0"/>
            <w:vAlign w:val="center"/>
          </w:tcPr>
          <w:p w14:paraId="47BD7A94">
            <w:pPr>
              <w:keepNext w:val="0"/>
              <w:keepLines w:val="0"/>
              <w:pageBreakBefore w:val="0"/>
              <w:widowControl/>
              <w:kinsoku/>
              <w:wordWrap/>
              <w:overflowPunct/>
              <w:topLinePunct w:val="0"/>
              <w:bidi w:val="0"/>
              <w:spacing w:line="400" w:lineRule="exac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lang w:eastAsia="zh-CN" w:bidi="ar"/>
              </w:rPr>
              <w:t>若投标人为本项目标的及标的涉及的相关材料、设备、人员、运输等购买保险的，相关费用由投标人自行承担。</w:t>
            </w:r>
          </w:p>
        </w:tc>
      </w:tr>
      <w:tr w14:paraId="58F29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949" w:type="dxa"/>
            <w:tcBorders>
              <w:top w:val="single" w:color="auto" w:sz="4" w:space="0"/>
              <w:left w:val="single" w:color="auto" w:sz="4" w:space="0"/>
              <w:bottom w:val="single" w:color="auto" w:sz="4" w:space="0"/>
              <w:right w:val="single" w:color="auto" w:sz="4" w:space="0"/>
            </w:tcBorders>
            <w:noWrap w:val="0"/>
            <w:vAlign w:val="center"/>
          </w:tcPr>
          <w:p w14:paraId="0F41A4ED">
            <w:pPr>
              <w:keepNext w:val="0"/>
              <w:keepLines w:val="0"/>
              <w:pageBreakBefore w:val="0"/>
              <w:kinsoku/>
              <w:overflowPunct/>
              <w:topLinePunct w:val="0"/>
              <w:bidi w:val="0"/>
              <w:spacing w:line="400" w:lineRule="exact"/>
              <w:ind w:firstLine="13" w:firstLineChars="6"/>
              <w:jc w:val="center"/>
              <w:rPr>
                <w:rFonts w:hint="eastAsia" w:ascii="宋体" w:hAnsi="宋体" w:eastAsia="宋体" w:cs="宋体"/>
                <w:color w:val="auto"/>
                <w:kern w:val="0"/>
                <w:sz w:val="21"/>
                <w:szCs w:val="21"/>
                <w:highlight w:val="none"/>
              </w:rPr>
            </w:pPr>
            <w:r>
              <w:rPr>
                <w:rFonts w:hint="eastAsia" w:ascii="宋体" w:hAnsi="宋体" w:eastAsia="宋体" w:cs="宋体"/>
                <w:b/>
                <w:color w:val="auto"/>
                <w:sz w:val="21"/>
                <w:szCs w:val="21"/>
                <w:highlight w:val="none"/>
                <w:lang w:eastAsia="zh-CN" w:bidi="ar"/>
              </w:rPr>
              <w:t>验收标准</w:t>
            </w:r>
          </w:p>
        </w:tc>
        <w:tc>
          <w:tcPr>
            <w:tcW w:w="7719" w:type="dxa"/>
            <w:tcBorders>
              <w:top w:val="single" w:color="auto" w:sz="4" w:space="0"/>
              <w:left w:val="single" w:color="auto" w:sz="4" w:space="0"/>
              <w:bottom w:val="single" w:color="auto" w:sz="4" w:space="0"/>
              <w:right w:val="single" w:color="auto" w:sz="4" w:space="0"/>
            </w:tcBorders>
            <w:noWrap w:val="0"/>
            <w:vAlign w:val="center"/>
          </w:tcPr>
          <w:p w14:paraId="392BF6A2">
            <w:pPr>
              <w:keepNext w:val="0"/>
              <w:keepLines w:val="0"/>
              <w:pageBreakBefore w:val="0"/>
              <w:widowControl/>
              <w:kinsoku/>
              <w:wordWrap/>
              <w:overflowPunct/>
              <w:topLinePunct w:val="0"/>
              <w:bidi w:val="0"/>
              <w:spacing w:line="400" w:lineRule="exact"/>
              <w:ind w:firstLine="12" w:firstLineChars="6"/>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（1）初步验收：</w:t>
            </w:r>
          </w:p>
          <w:p w14:paraId="57B9250B">
            <w:pPr>
              <w:keepNext w:val="0"/>
              <w:keepLines w:val="0"/>
              <w:pageBreakBefore w:val="0"/>
              <w:widowControl/>
              <w:kinsoku/>
              <w:wordWrap/>
              <w:overflowPunct/>
              <w:topLinePunct w:val="0"/>
              <w:bidi w:val="0"/>
              <w:spacing w:line="400" w:lineRule="exact"/>
              <w:ind w:firstLine="12" w:firstLineChars="6"/>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标的在规定的时间内到货，标的（含包装）完整、完好，与</w:t>
            </w:r>
            <w:r>
              <w:rPr>
                <w:rFonts w:hint="eastAsia" w:ascii="宋体" w:hAnsi="宋体" w:eastAsia="宋体" w:cs="宋体"/>
                <w:bCs/>
                <w:color w:val="auto"/>
                <w:sz w:val="21"/>
                <w:szCs w:val="21"/>
                <w:highlight w:val="none"/>
                <w:lang w:eastAsia="zh-CN"/>
              </w:rPr>
              <w:t>投标</w:t>
            </w:r>
            <w:r>
              <w:rPr>
                <w:rFonts w:hint="eastAsia" w:ascii="宋体" w:hAnsi="宋体" w:eastAsia="宋体" w:cs="宋体"/>
                <w:bCs/>
                <w:color w:val="auto"/>
                <w:sz w:val="21"/>
                <w:szCs w:val="21"/>
                <w:highlight w:val="none"/>
              </w:rPr>
              <w:t>承诺的产品（制造商、品牌、规格型号等）一致，标的无明显瑕疵、无损坏，装箱清单、用户手册、原厂保修卡、安装操作使用和维护手册、随机资料等所有技术资料、工具和备品、备件齐全。全部满足以上情形的，视为初步验收合格，标的不符合上述情形的，采购人在初步验收后七个工作日内以书面形式向</w:t>
            </w:r>
            <w:r>
              <w:rPr>
                <w:rFonts w:hint="eastAsia" w:ascii="宋体" w:hAnsi="宋体" w:eastAsia="宋体" w:cs="宋体"/>
                <w:bCs/>
                <w:color w:val="auto"/>
                <w:sz w:val="21"/>
                <w:szCs w:val="21"/>
                <w:highlight w:val="none"/>
                <w:lang w:eastAsia="zh-CN"/>
              </w:rPr>
              <w:t>中标人</w:t>
            </w:r>
            <w:r>
              <w:rPr>
                <w:rFonts w:hint="eastAsia" w:ascii="宋体" w:hAnsi="宋体" w:eastAsia="宋体" w:cs="宋体"/>
                <w:bCs/>
                <w:color w:val="auto"/>
                <w:sz w:val="21"/>
                <w:szCs w:val="21"/>
                <w:highlight w:val="none"/>
              </w:rPr>
              <w:t>提出，</w:t>
            </w:r>
            <w:r>
              <w:rPr>
                <w:rFonts w:hint="eastAsia" w:ascii="宋体" w:hAnsi="宋体" w:eastAsia="宋体" w:cs="宋体"/>
                <w:bCs/>
                <w:color w:val="auto"/>
                <w:sz w:val="21"/>
                <w:szCs w:val="21"/>
                <w:highlight w:val="none"/>
                <w:lang w:eastAsia="zh-CN"/>
              </w:rPr>
              <w:t>中标人</w:t>
            </w:r>
            <w:r>
              <w:rPr>
                <w:rFonts w:hint="eastAsia" w:ascii="宋体" w:hAnsi="宋体" w:eastAsia="宋体" w:cs="宋体"/>
                <w:bCs/>
                <w:color w:val="auto"/>
                <w:sz w:val="21"/>
                <w:szCs w:val="21"/>
                <w:highlight w:val="none"/>
              </w:rPr>
              <w:t>应自收到采购人书面异议后七个工作日内及时予以解决，否则，视为初步验收不合格，不予进行交付验收。</w:t>
            </w:r>
          </w:p>
          <w:p w14:paraId="25CA5EF2">
            <w:pPr>
              <w:keepNext w:val="0"/>
              <w:keepLines w:val="0"/>
              <w:pageBreakBefore w:val="0"/>
              <w:widowControl/>
              <w:kinsoku/>
              <w:wordWrap/>
              <w:overflowPunct/>
              <w:topLinePunct w:val="0"/>
              <w:bidi w:val="0"/>
              <w:spacing w:line="400" w:lineRule="exact"/>
              <w:ind w:firstLine="12" w:firstLineChars="6"/>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（2）交付验收：</w:t>
            </w:r>
          </w:p>
          <w:p w14:paraId="0848E774">
            <w:pPr>
              <w:keepNext w:val="0"/>
              <w:keepLines w:val="0"/>
              <w:pageBreakBefore w:val="0"/>
              <w:widowControl/>
              <w:kinsoku/>
              <w:wordWrap/>
              <w:overflowPunct/>
              <w:topLinePunct w:val="0"/>
              <w:bidi w:val="0"/>
              <w:spacing w:line="400" w:lineRule="exact"/>
              <w:ind w:firstLine="12" w:firstLineChars="6"/>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标的的技术指标与</w:t>
            </w:r>
            <w:r>
              <w:rPr>
                <w:rFonts w:hint="eastAsia" w:ascii="宋体" w:hAnsi="宋体" w:eastAsia="宋体" w:cs="宋体"/>
                <w:bCs/>
                <w:color w:val="auto"/>
                <w:sz w:val="21"/>
                <w:szCs w:val="21"/>
                <w:highlight w:val="none"/>
                <w:lang w:eastAsia="zh-CN"/>
              </w:rPr>
              <w:t>中标人</w:t>
            </w:r>
            <w:r>
              <w:rPr>
                <w:rFonts w:hint="eastAsia" w:ascii="宋体" w:hAnsi="宋体" w:eastAsia="宋体" w:cs="宋体"/>
                <w:bCs/>
                <w:color w:val="auto"/>
                <w:sz w:val="21"/>
                <w:szCs w:val="21"/>
                <w:highlight w:val="none"/>
              </w:rPr>
              <w:t>的</w:t>
            </w:r>
            <w:r>
              <w:rPr>
                <w:rFonts w:hint="eastAsia" w:ascii="宋体" w:hAnsi="宋体" w:eastAsia="宋体" w:cs="宋体"/>
                <w:bCs/>
                <w:color w:val="auto"/>
                <w:sz w:val="21"/>
                <w:szCs w:val="21"/>
                <w:highlight w:val="none"/>
                <w:lang w:eastAsia="zh-CN"/>
              </w:rPr>
              <w:t>投标</w:t>
            </w:r>
            <w:r>
              <w:rPr>
                <w:rFonts w:hint="eastAsia" w:ascii="宋体" w:hAnsi="宋体" w:eastAsia="宋体" w:cs="宋体"/>
                <w:bCs/>
                <w:color w:val="auto"/>
                <w:sz w:val="21"/>
                <w:szCs w:val="21"/>
                <w:highlight w:val="none"/>
              </w:rPr>
              <w:t>承诺一致或更高，且满足采购文件全部实质性要求，视为交付验收合格。标的不符合上述情形的，采购人在交付验收后七个工作日内以书面形式向</w:t>
            </w:r>
            <w:r>
              <w:rPr>
                <w:rFonts w:hint="eastAsia" w:ascii="宋体" w:hAnsi="宋体" w:eastAsia="宋体" w:cs="宋体"/>
                <w:bCs/>
                <w:color w:val="auto"/>
                <w:sz w:val="21"/>
                <w:szCs w:val="21"/>
                <w:highlight w:val="none"/>
                <w:lang w:eastAsia="zh-CN"/>
              </w:rPr>
              <w:t>中标人</w:t>
            </w:r>
            <w:r>
              <w:rPr>
                <w:rFonts w:hint="eastAsia" w:ascii="宋体" w:hAnsi="宋体" w:eastAsia="宋体" w:cs="宋体"/>
                <w:bCs/>
                <w:color w:val="auto"/>
                <w:sz w:val="21"/>
                <w:szCs w:val="21"/>
                <w:highlight w:val="none"/>
              </w:rPr>
              <w:t>提出，</w:t>
            </w:r>
            <w:r>
              <w:rPr>
                <w:rFonts w:hint="eastAsia" w:ascii="宋体" w:hAnsi="宋体" w:eastAsia="宋体" w:cs="宋体"/>
                <w:bCs/>
                <w:color w:val="auto"/>
                <w:sz w:val="21"/>
                <w:szCs w:val="21"/>
                <w:highlight w:val="none"/>
                <w:lang w:eastAsia="zh-CN"/>
              </w:rPr>
              <w:t>中标人</w:t>
            </w:r>
            <w:r>
              <w:rPr>
                <w:rFonts w:hint="eastAsia" w:ascii="宋体" w:hAnsi="宋体" w:eastAsia="宋体" w:cs="宋体"/>
                <w:bCs/>
                <w:color w:val="auto"/>
                <w:sz w:val="21"/>
                <w:szCs w:val="21"/>
                <w:highlight w:val="none"/>
              </w:rPr>
              <w:t>应自收到采购人书面异议后七个工作日内及时予以解决，否则，视为交付验收不合格。</w:t>
            </w:r>
          </w:p>
          <w:p w14:paraId="16E36A37">
            <w:pPr>
              <w:keepNext w:val="0"/>
              <w:keepLines w:val="0"/>
              <w:pageBreakBefore w:val="0"/>
              <w:widowControl/>
              <w:kinsoku/>
              <w:wordWrap/>
              <w:overflowPunct/>
              <w:topLinePunct w:val="0"/>
              <w:bidi w:val="0"/>
              <w:spacing w:line="400" w:lineRule="exact"/>
              <w:ind w:firstLine="12" w:firstLineChars="6"/>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（3）最终验收：</w:t>
            </w:r>
          </w:p>
          <w:p w14:paraId="7A94A56B">
            <w:pPr>
              <w:keepNext w:val="0"/>
              <w:keepLines w:val="0"/>
              <w:pageBreakBefore w:val="0"/>
              <w:widowControl/>
              <w:kinsoku/>
              <w:wordWrap/>
              <w:overflowPunct/>
              <w:topLinePunct w:val="0"/>
              <w:bidi w:val="0"/>
              <w:spacing w:line="400" w:lineRule="exact"/>
              <w:ind w:firstLine="12" w:firstLineChars="6"/>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标的交付验收合格投入使用后，</w:t>
            </w:r>
            <w:r>
              <w:rPr>
                <w:rFonts w:hint="eastAsia" w:ascii="宋体" w:hAnsi="宋体" w:eastAsia="宋体" w:cs="宋体"/>
                <w:bCs/>
                <w:color w:val="auto"/>
                <w:sz w:val="21"/>
                <w:szCs w:val="21"/>
                <w:highlight w:val="none"/>
                <w:lang w:eastAsia="zh-CN"/>
              </w:rPr>
              <w:t>中标人</w:t>
            </w:r>
            <w:r>
              <w:rPr>
                <w:rFonts w:hint="eastAsia" w:ascii="宋体" w:hAnsi="宋体" w:eastAsia="宋体" w:cs="宋体"/>
                <w:bCs/>
                <w:color w:val="auto"/>
                <w:sz w:val="21"/>
                <w:szCs w:val="21"/>
                <w:highlight w:val="none"/>
              </w:rPr>
              <w:t>提供的售后服务与其</w:t>
            </w:r>
            <w:r>
              <w:rPr>
                <w:rFonts w:hint="eastAsia" w:ascii="宋体" w:hAnsi="宋体" w:eastAsia="宋体" w:cs="宋体"/>
                <w:bCs/>
                <w:color w:val="auto"/>
                <w:sz w:val="21"/>
                <w:szCs w:val="21"/>
                <w:highlight w:val="none"/>
                <w:lang w:eastAsia="zh-CN"/>
              </w:rPr>
              <w:t>投标</w:t>
            </w:r>
            <w:r>
              <w:rPr>
                <w:rFonts w:hint="eastAsia" w:ascii="宋体" w:hAnsi="宋体" w:eastAsia="宋体" w:cs="宋体"/>
                <w:bCs/>
                <w:color w:val="auto"/>
                <w:sz w:val="21"/>
                <w:szCs w:val="21"/>
                <w:highlight w:val="none"/>
              </w:rPr>
              <w:t>承诺一致或更优，且</w:t>
            </w:r>
            <w:r>
              <w:rPr>
                <w:rFonts w:hint="eastAsia" w:ascii="宋体" w:hAnsi="宋体" w:eastAsia="宋体" w:cs="宋体"/>
                <w:bCs/>
                <w:color w:val="auto"/>
                <w:sz w:val="21"/>
                <w:szCs w:val="21"/>
                <w:highlight w:val="none"/>
                <w:lang w:eastAsia="zh-CN"/>
              </w:rPr>
              <w:t>中标人</w:t>
            </w:r>
            <w:r>
              <w:rPr>
                <w:rFonts w:hint="eastAsia" w:ascii="宋体" w:hAnsi="宋体" w:eastAsia="宋体" w:cs="宋体"/>
                <w:bCs/>
                <w:color w:val="auto"/>
                <w:sz w:val="21"/>
                <w:szCs w:val="21"/>
                <w:highlight w:val="none"/>
              </w:rPr>
              <w:t>履行完合同约定的应当由</w:t>
            </w:r>
            <w:r>
              <w:rPr>
                <w:rFonts w:hint="eastAsia" w:ascii="宋体" w:hAnsi="宋体" w:eastAsia="宋体" w:cs="宋体"/>
                <w:bCs/>
                <w:color w:val="auto"/>
                <w:sz w:val="21"/>
                <w:szCs w:val="21"/>
                <w:highlight w:val="none"/>
                <w:lang w:eastAsia="zh-CN"/>
              </w:rPr>
              <w:t>中标人</w:t>
            </w:r>
            <w:r>
              <w:rPr>
                <w:rFonts w:hint="eastAsia" w:ascii="宋体" w:hAnsi="宋体" w:eastAsia="宋体" w:cs="宋体"/>
                <w:bCs/>
                <w:color w:val="auto"/>
                <w:sz w:val="21"/>
                <w:szCs w:val="21"/>
                <w:highlight w:val="none"/>
              </w:rPr>
              <w:t>履行的全部事项之，视为最终验收合格。</w:t>
            </w:r>
          </w:p>
          <w:p w14:paraId="15A4B72F">
            <w:pPr>
              <w:keepNext w:val="0"/>
              <w:keepLines w:val="0"/>
              <w:pageBreakBefore w:val="0"/>
              <w:widowControl/>
              <w:kinsoku/>
              <w:wordWrap/>
              <w:overflowPunct/>
              <w:topLinePunct w:val="0"/>
              <w:bidi w:val="0"/>
              <w:spacing w:line="400" w:lineRule="exact"/>
              <w:ind w:firstLine="12" w:firstLineChars="6"/>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（4）其他事项：</w:t>
            </w:r>
          </w:p>
          <w:p w14:paraId="246F2990">
            <w:pPr>
              <w:keepNext w:val="0"/>
              <w:keepLines w:val="0"/>
              <w:pageBreakBefore w:val="0"/>
              <w:widowControl/>
              <w:kinsoku/>
              <w:wordWrap/>
              <w:overflowPunct/>
              <w:topLinePunct w:val="0"/>
              <w:bidi w:val="0"/>
              <w:spacing w:line="400" w:lineRule="exact"/>
              <w:ind w:firstLine="12" w:firstLineChars="6"/>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1）验收时，双方应当派员在场，并对验收结果签署意见，否则视为其同意验收结果。</w:t>
            </w:r>
          </w:p>
          <w:p w14:paraId="60A21AF1">
            <w:pPr>
              <w:keepNext w:val="0"/>
              <w:keepLines w:val="0"/>
              <w:pageBreakBefore w:val="0"/>
              <w:widowControl/>
              <w:kinsoku/>
              <w:wordWrap/>
              <w:overflowPunct/>
              <w:topLinePunct w:val="0"/>
              <w:bidi w:val="0"/>
              <w:spacing w:line="400" w:lineRule="exact"/>
              <w:ind w:firstLine="12" w:firstLineChars="6"/>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2）由于</w:t>
            </w:r>
            <w:r>
              <w:rPr>
                <w:rFonts w:hint="eastAsia" w:ascii="宋体" w:hAnsi="宋体" w:eastAsia="宋体" w:cs="宋体"/>
                <w:bCs/>
                <w:color w:val="auto"/>
                <w:sz w:val="21"/>
                <w:szCs w:val="21"/>
                <w:highlight w:val="none"/>
                <w:lang w:eastAsia="zh-CN"/>
              </w:rPr>
              <w:t>中标人</w:t>
            </w:r>
            <w:r>
              <w:rPr>
                <w:rFonts w:hint="eastAsia" w:ascii="宋体" w:hAnsi="宋体" w:eastAsia="宋体" w:cs="宋体"/>
                <w:bCs/>
                <w:color w:val="auto"/>
                <w:sz w:val="21"/>
                <w:szCs w:val="21"/>
                <w:highlight w:val="none"/>
              </w:rPr>
              <w:t>的原因造成采购人验收不合格、影响采购人正常使用的，由此造成的损失由</w:t>
            </w:r>
            <w:r>
              <w:rPr>
                <w:rFonts w:hint="eastAsia" w:ascii="宋体" w:hAnsi="宋体" w:eastAsia="宋体" w:cs="宋体"/>
                <w:bCs/>
                <w:color w:val="auto"/>
                <w:sz w:val="21"/>
                <w:szCs w:val="21"/>
                <w:highlight w:val="none"/>
                <w:lang w:eastAsia="zh-CN"/>
              </w:rPr>
              <w:t>中标人</w:t>
            </w:r>
            <w:r>
              <w:rPr>
                <w:rFonts w:hint="eastAsia" w:ascii="宋体" w:hAnsi="宋体" w:eastAsia="宋体" w:cs="宋体"/>
                <w:bCs/>
                <w:color w:val="auto"/>
                <w:sz w:val="21"/>
                <w:szCs w:val="21"/>
                <w:highlight w:val="none"/>
              </w:rPr>
              <w:t>承担。初步验收或交付验收不合格的，采购人有权终止合同并全部退货，同时报相关监督管理部门处理，由此造成甲方经济损失的由</w:t>
            </w:r>
            <w:r>
              <w:rPr>
                <w:rFonts w:hint="eastAsia" w:ascii="宋体" w:hAnsi="宋体" w:eastAsia="宋体" w:cs="宋体"/>
                <w:bCs/>
                <w:color w:val="auto"/>
                <w:sz w:val="21"/>
                <w:szCs w:val="21"/>
                <w:highlight w:val="none"/>
                <w:lang w:eastAsia="zh-CN"/>
              </w:rPr>
              <w:t>中标人</w:t>
            </w:r>
            <w:r>
              <w:rPr>
                <w:rFonts w:hint="eastAsia" w:ascii="宋体" w:hAnsi="宋体" w:eastAsia="宋体" w:cs="宋体"/>
                <w:bCs/>
                <w:color w:val="auto"/>
                <w:sz w:val="21"/>
                <w:szCs w:val="21"/>
                <w:highlight w:val="none"/>
              </w:rPr>
              <w:t>负责承担全部赔偿责任。</w:t>
            </w:r>
          </w:p>
          <w:p w14:paraId="30E68111">
            <w:pPr>
              <w:keepNext w:val="0"/>
              <w:keepLines w:val="0"/>
              <w:pageBreakBefore w:val="0"/>
              <w:widowControl/>
              <w:kinsoku/>
              <w:wordWrap/>
              <w:overflowPunct/>
              <w:topLinePunct w:val="0"/>
              <w:bidi w:val="0"/>
              <w:spacing w:line="400" w:lineRule="exact"/>
              <w:ind w:firstLine="12" w:firstLineChars="6"/>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3）对技术复杂的货物，采购人可请国家认可的专业检测机构参与初步验收及交付验收，并由其出具质量检测报告，费用由</w:t>
            </w:r>
            <w:r>
              <w:rPr>
                <w:rFonts w:hint="eastAsia" w:ascii="宋体" w:hAnsi="宋体" w:eastAsia="宋体" w:cs="宋体"/>
                <w:bCs/>
                <w:color w:val="auto"/>
                <w:sz w:val="21"/>
                <w:szCs w:val="21"/>
                <w:highlight w:val="none"/>
                <w:lang w:eastAsia="zh-CN"/>
              </w:rPr>
              <w:t>中标人</w:t>
            </w:r>
            <w:r>
              <w:rPr>
                <w:rFonts w:hint="eastAsia" w:ascii="宋体" w:hAnsi="宋体" w:eastAsia="宋体" w:cs="宋体"/>
                <w:bCs/>
                <w:color w:val="auto"/>
                <w:sz w:val="21"/>
                <w:szCs w:val="21"/>
                <w:highlight w:val="none"/>
              </w:rPr>
              <w:t>承担。</w:t>
            </w:r>
          </w:p>
          <w:p w14:paraId="3CFCB885">
            <w:pPr>
              <w:keepNext w:val="0"/>
              <w:keepLines w:val="0"/>
              <w:pageBreakBefore w:val="0"/>
              <w:widowControl/>
              <w:kinsoku/>
              <w:wordWrap/>
              <w:overflowPunct/>
              <w:topLinePunct w:val="0"/>
              <w:bidi w:val="0"/>
              <w:spacing w:line="400" w:lineRule="exact"/>
              <w:ind w:firstLine="12" w:firstLineChars="6"/>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4）验收过程中所产生的一切费用均由</w:t>
            </w:r>
            <w:r>
              <w:rPr>
                <w:rFonts w:hint="eastAsia" w:ascii="宋体" w:hAnsi="宋体" w:eastAsia="宋体" w:cs="宋体"/>
                <w:bCs/>
                <w:color w:val="auto"/>
                <w:sz w:val="21"/>
                <w:szCs w:val="21"/>
                <w:highlight w:val="none"/>
                <w:lang w:eastAsia="zh-CN"/>
              </w:rPr>
              <w:t>中标人</w:t>
            </w:r>
            <w:r>
              <w:rPr>
                <w:rFonts w:hint="eastAsia" w:ascii="宋体" w:hAnsi="宋体" w:eastAsia="宋体" w:cs="宋体"/>
                <w:bCs/>
                <w:color w:val="auto"/>
                <w:sz w:val="21"/>
                <w:szCs w:val="21"/>
                <w:highlight w:val="none"/>
              </w:rPr>
              <w:t>承担，</w:t>
            </w:r>
            <w:r>
              <w:rPr>
                <w:rFonts w:hint="eastAsia" w:ascii="宋体" w:hAnsi="宋体" w:eastAsia="宋体" w:cs="宋体"/>
                <w:bCs/>
                <w:color w:val="auto"/>
                <w:sz w:val="21"/>
                <w:szCs w:val="21"/>
                <w:highlight w:val="none"/>
                <w:lang w:eastAsia="zh-CN"/>
              </w:rPr>
              <w:t>中标人</w:t>
            </w:r>
            <w:r>
              <w:rPr>
                <w:rFonts w:hint="eastAsia" w:ascii="宋体" w:hAnsi="宋体" w:eastAsia="宋体" w:cs="宋体"/>
                <w:bCs/>
                <w:color w:val="auto"/>
                <w:sz w:val="21"/>
                <w:szCs w:val="21"/>
                <w:highlight w:val="none"/>
              </w:rPr>
              <w:t>在</w:t>
            </w:r>
            <w:r>
              <w:rPr>
                <w:rFonts w:hint="eastAsia" w:ascii="宋体" w:hAnsi="宋体" w:eastAsia="宋体" w:cs="宋体"/>
                <w:bCs/>
                <w:color w:val="auto"/>
                <w:sz w:val="21"/>
                <w:szCs w:val="21"/>
                <w:highlight w:val="none"/>
                <w:lang w:eastAsia="zh-CN"/>
              </w:rPr>
              <w:t>投标报价</w:t>
            </w:r>
            <w:r>
              <w:rPr>
                <w:rFonts w:hint="eastAsia" w:ascii="宋体" w:hAnsi="宋体" w:eastAsia="宋体" w:cs="宋体"/>
                <w:bCs/>
                <w:color w:val="auto"/>
                <w:sz w:val="21"/>
                <w:szCs w:val="21"/>
                <w:highlight w:val="none"/>
              </w:rPr>
              <w:t>时应综合考虑相关费用。</w:t>
            </w:r>
          </w:p>
          <w:p w14:paraId="7561E44F">
            <w:pPr>
              <w:keepNext w:val="0"/>
              <w:keepLines w:val="0"/>
              <w:pageBreakBefore w:val="0"/>
              <w:widowControl/>
              <w:kinsoku/>
              <w:wordWrap/>
              <w:overflowPunct/>
              <w:topLinePunct w:val="0"/>
              <w:bidi w:val="0"/>
              <w:spacing w:line="400" w:lineRule="exact"/>
              <w:ind w:firstLine="12" w:firstLineChars="6"/>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5）采购人对产品的验收不免除</w:t>
            </w:r>
            <w:r>
              <w:rPr>
                <w:rFonts w:hint="eastAsia" w:ascii="宋体" w:hAnsi="宋体" w:eastAsia="宋体" w:cs="宋体"/>
                <w:bCs/>
                <w:color w:val="auto"/>
                <w:sz w:val="21"/>
                <w:szCs w:val="21"/>
                <w:highlight w:val="none"/>
                <w:lang w:eastAsia="zh-CN"/>
              </w:rPr>
              <w:t>中标人</w:t>
            </w:r>
            <w:r>
              <w:rPr>
                <w:rFonts w:hint="eastAsia" w:ascii="宋体" w:hAnsi="宋体" w:eastAsia="宋体" w:cs="宋体"/>
                <w:bCs/>
                <w:color w:val="auto"/>
                <w:sz w:val="21"/>
                <w:szCs w:val="21"/>
                <w:highlight w:val="none"/>
              </w:rPr>
              <w:t>的质量保证责任。</w:t>
            </w:r>
          </w:p>
          <w:p w14:paraId="68BB5910">
            <w:pPr>
              <w:keepNext w:val="0"/>
              <w:keepLines w:val="0"/>
              <w:pageBreakBefore w:val="0"/>
              <w:widowControl/>
              <w:kinsoku/>
              <w:wordWrap/>
              <w:overflowPunct/>
              <w:topLinePunct w:val="0"/>
              <w:bidi w:val="0"/>
              <w:spacing w:line="400" w:lineRule="exact"/>
              <w:ind w:firstLine="12" w:firstLineChars="6"/>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6）其他未尽事宜应严格按照《关于印发广西壮族自治区政府采购项目履约验收管理办法的通知》[桂财采〔2015〕22号]以及《财政部关于进一步加强政府采购需求和履约验收管理的指导意见》[财库〔2016〕205号]规定执行。</w:t>
            </w:r>
          </w:p>
          <w:p w14:paraId="2A80C130">
            <w:pPr>
              <w:keepNext w:val="0"/>
              <w:keepLines w:val="0"/>
              <w:pageBreakBefore w:val="0"/>
              <w:widowControl/>
              <w:kinsoku/>
              <w:wordWrap/>
              <w:overflowPunct/>
              <w:topLinePunct w:val="0"/>
              <w:bidi w:val="0"/>
              <w:spacing w:line="400" w:lineRule="exact"/>
              <w:ind w:firstLine="12" w:firstLineChars="6"/>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7）验收产生的费用</w:t>
            </w:r>
            <w:r>
              <w:rPr>
                <w:rFonts w:hint="eastAsia" w:ascii="宋体" w:hAnsi="宋体" w:eastAsia="宋体" w:cs="宋体"/>
                <w:bCs/>
                <w:color w:val="auto"/>
                <w:sz w:val="21"/>
                <w:szCs w:val="21"/>
                <w:highlight w:val="none"/>
                <w:lang w:eastAsia="zh-CN"/>
              </w:rPr>
              <w:t>中标人</w:t>
            </w:r>
            <w:r>
              <w:rPr>
                <w:rFonts w:hint="eastAsia" w:ascii="宋体" w:hAnsi="宋体" w:eastAsia="宋体" w:cs="宋体"/>
                <w:bCs/>
                <w:color w:val="auto"/>
                <w:sz w:val="21"/>
                <w:szCs w:val="21"/>
                <w:highlight w:val="none"/>
              </w:rPr>
              <w:t>负责。</w:t>
            </w:r>
          </w:p>
        </w:tc>
      </w:tr>
      <w:tr w14:paraId="03E97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949" w:type="dxa"/>
            <w:tcBorders>
              <w:top w:val="single" w:color="auto" w:sz="4" w:space="0"/>
              <w:left w:val="single" w:color="auto" w:sz="4" w:space="0"/>
              <w:bottom w:val="single" w:color="auto" w:sz="4" w:space="0"/>
              <w:right w:val="single" w:color="auto" w:sz="4" w:space="0"/>
            </w:tcBorders>
            <w:noWrap w:val="0"/>
            <w:vAlign w:val="center"/>
          </w:tcPr>
          <w:p w14:paraId="11F1A399">
            <w:pPr>
              <w:keepNext w:val="0"/>
              <w:keepLines w:val="0"/>
              <w:pageBreakBefore w:val="0"/>
              <w:kinsoku/>
              <w:overflowPunct/>
              <w:topLinePunct w:val="0"/>
              <w:bidi w:val="0"/>
              <w:spacing w:line="400" w:lineRule="exact"/>
              <w:ind w:firstLine="13" w:firstLineChars="6"/>
              <w:jc w:val="center"/>
              <w:outlineLvl w:val="0"/>
              <w:rPr>
                <w:rFonts w:hint="eastAsia" w:ascii="宋体" w:hAnsi="宋体" w:eastAsia="宋体" w:cs="宋体"/>
                <w:color w:val="auto"/>
                <w:kern w:val="0"/>
                <w:sz w:val="21"/>
                <w:szCs w:val="21"/>
                <w:highlight w:val="none"/>
              </w:rPr>
            </w:pPr>
            <w:r>
              <w:rPr>
                <w:rFonts w:hint="eastAsia" w:ascii="宋体" w:hAnsi="宋体" w:eastAsia="宋体" w:cs="宋体"/>
                <w:b/>
                <w:color w:val="auto"/>
                <w:sz w:val="21"/>
                <w:szCs w:val="21"/>
                <w:highlight w:val="none"/>
                <w:lang w:eastAsia="zh-CN" w:bidi="ar"/>
              </w:rPr>
              <w:t>其他要求</w:t>
            </w:r>
          </w:p>
        </w:tc>
        <w:tc>
          <w:tcPr>
            <w:tcW w:w="7719" w:type="dxa"/>
            <w:tcBorders>
              <w:top w:val="single" w:color="auto" w:sz="4" w:space="0"/>
              <w:left w:val="single" w:color="auto" w:sz="4" w:space="0"/>
              <w:bottom w:val="single" w:color="auto" w:sz="4" w:space="0"/>
              <w:right w:val="single" w:color="auto" w:sz="4" w:space="0"/>
            </w:tcBorders>
            <w:noWrap w:val="0"/>
            <w:vAlign w:val="center"/>
          </w:tcPr>
          <w:p w14:paraId="0DC8AA36">
            <w:pPr>
              <w:keepNext w:val="0"/>
              <w:keepLines w:val="0"/>
              <w:pageBreakBefore w:val="0"/>
              <w:widowControl/>
              <w:kinsoku/>
              <w:wordWrap/>
              <w:overflowPunct/>
              <w:topLinePunct w:val="0"/>
              <w:bidi w:val="0"/>
              <w:adjustRightInd/>
              <w:snapToGrid/>
              <w:spacing w:line="400" w:lineRule="exact"/>
              <w:rPr>
                <w:rFonts w:hint="eastAsia" w:ascii="宋体" w:hAnsi="宋体" w:eastAsia="宋体" w:cs="宋体"/>
                <w:b w:val="0"/>
                <w:bCs/>
                <w:color w:val="000000"/>
                <w:sz w:val="21"/>
                <w:szCs w:val="21"/>
                <w:highlight w:val="none"/>
                <w:lang w:val="en-US" w:eastAsia="zh-CN"/>
              </w:rPr>
            </w:pPr>
            <w:r>
              <w:rPr>
                <w:rFonts w:hint="eastAsia" w:ascii="宋体" w:hAnsi="宋体" w:eastAsia="宋体" w:cs="宋体"/>
                <w:b/>
                <w:bCs w:val="0"/>
                <w:color w:val="auto"/>
                <w:sz w:val="21"/>
                <w:szCs w:val="21"/>
                <w:highlight w:val="none"/>
                <w:lang w:val="en-US" w:eastAsia="zh-CN"/>
              </w:rPr>
              <w:t>1</w:t>
            </w:r>
            <w:r>
              <w:rPr>
                <w:rFonts w:hint="eastAsia" w:ascii="宋体" w:hAnsi="宋体" w:eastAsia="宋体" w:cs="宋体"/>
                <w:b/>
                <w:bCs w:val="0"/>
                <w:color w:val="000000"/>
                <w:sz w:val="21"/>
                <w:szCs w:val="21"/>
                <w:highlight w:val="none"/>
                <w:lang w:val="en-US" w:eastAsia="zh-CN"/>
              </w:rPr>
              <w:t>.本分标最高限价金额：1980000元</w:t>
            </w:r>
            <w:r>
              <w:rPr>
                <w:rFonts w:hint="eastAsia" w:ascii="宋体" w:hAnsi="宋体" w:eastAsia="宋体" w:cs="宋体"/>
                <w:color w:val="000000"/>
                <w:sz w:val="21"/>
                <w:szCs w:val="21"/>
                <w:highlight w:val="none"/>
                <w:lang w:val="en-US" w:eastAsia="zh-CN"/>
              </w:rPr>
              <w:t>，</w:t>
            </w:r>
            <w:r>
              <w:rPr>
                <w:rFonts w:hint="eastAsia" w:ascii="宋体" w:hAnsi="宋体" w:eastAsia="宋体" w:cs="宋体"/>
                <w:b/>
                <w:bCs/>
                <w:color w:val="000000"/>
                <w:sz w:val="21"/>
                <w:szCs w:val="21"/>
                <w:highlight w:val="none"/>
              </w:rPr>
              <w:t>投标报价超出最高限价金额的，投标文件作无效处理。</w:t>
            </w:r>
          </w:p>
          <w:p w14:paraId="248C2B43">
            <w:pPr>
              <w:keepNext w:val="0"/>
              <w:keepLines w:val="0"/>
              <w:pageBreakBefore w:val="0"/>
              <w:widowControl/>
              <w:kinsoku/>
              <w:wordWrap/>
              <w:overflowPunct/>
              <w:topLinePunct w:val="0"/>
              <w:bidi w:val="0"/>
              <w:spacing w:line="400" w:lineRule="exact"/>
              <w:ind w:firstLine="12" w:firstLineChars="6"/>
              <w:jc w:val="both"/>
              <w:outlineLvl w:val="0"/>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000000"/>
                <w:sz w:val="21"/>
                <w:szCs w:val="21"/>
                <w:highlight w:val="none"/>
                <w:lang w:val="en-US" w:eastAsia="zh-CN"/>
              </w:rPr>
              <w:t>2.</w:t>
            </w:r>
            <w:r>
              <w:rPr>
                <w:rFonts w:hint="eastAsia" w:ascii="宋体" w:hAnsi="宋体" w:eastAsia="宋体" w:cs="宋体"/>
                <w:b w:val="0"/>
                <w:bCs/>
                <w:color w:val="000000"/>
                <w:sz w:val="21"/>
                <w:szCs w:val="21"/>
                <w:highlight w:val="none"/>
                <w:lang w:eastAsia="zh-CN"/>
              </w:rPr>
              <w:t>投标人必须承诺设备验</w:t>
            </w:r>
            <w:r>
              <w:rPr>
                <w:rFonts w:hint="eastAsia" w:ascii="宋体" w:hAnsi="宋体" w:eastAsia="宋体" w:cs="宋体"/>
                <w:b w:val="0"/>
                <w:bCs/>
                <w:color w:val="auto"/>
                <w:sz w:val="21"/>
                <w:szCs w:val="21"/>
                <w:highlight w:val="none"/>
                <w:lang w:eastAsia="zh-CN"/>
              </w:rPr>
              <w:t>收合格后免费对采购人的使用人员进行操作及相关知识的培训，并确保设备有1～2人能熟练使用设备，并能排除简单的软硬件故障。</w:t>
            </w:r>
          </w:p>
          <w:p w14:paraId="792CFD7F">
            <w:pPr>
              <w:keepNext w:val="0"/>
              <w:keepLines w:val="0"/>
              <w:pageBreakBefore w:val="0"/>
              <w:widowControl/>
              <w:kinsoku/>
              <w:wordWrap/>
              <w:overflowPunct/>
              <w:topLinePunct w:val="0"/>
              <w:bidi w:val="0"/>
              <w:spacing w:line="400" w:lineRule="exact"/>
              <w:ind w:firstLine="12" w:firstLineChars="6"/>
              <w:jc w:val="both"/>
              <w:outlineLvl w:val="0"/>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lang w:val="en-US" w:eastAsia="zh-CN"/>
              </w:rPr>
              <w:t>3.</w:t>
            </w:r>
            <w:r>
              <w:rPr>
                <w:rFonts w:hint="eastAsia" w:ascii="宋体" w:hAnsi="宋体" w:eastAsia="宋体" w:cs="宋体"/>
                <w:b w:val="0"/>
                <w:bCs/>
                <w:color w:val="auto"/>
                <w:sz w:val="21"/>
                <w:szCs w:val="21"/>
                <w:highlight w:val="none"/>
                <w:lang w:eastAsia="zh-CN"/>
              </w:rPr>
              <w:t>设备必须是全新、完整、未使用过的产品；设备到货后，供应商和购买方应在现场进行清点；清点过程中如果发现因包装或运输不当引起的仪器外观或内部的损坏，供应商应负责更换；若发现错发/漏发情况，供应商应负责更换和补发。</w:t>
            </w:r>
          </w:p>
          <w:p w14:paraId="61625769">
            <w:pPr>
              <w:keepNext w:val="0"/>
              <w:keepLines w:val="0"/>
              <w:pageBreakBefore w:val="0"/>
              <w:widowControl/>
              <w:kinsoku/>
              <w:wordWrap/>
              <w:overflowPunct/>
              <w:topLinePunct w:val="0"/>
              <w:bidi w:val="0"/>
              <w:spacing w:line="400" w:lineRule="exact"/>
              <w:ind w:firstLine="12" w:firstLineChars="6"/>
              <w:jc w:val="both"/>
              <w:outlineLvl w:val="0"/>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lang w:val="en-US" w:eastAsia="zh-CN"/>
              </w:rPr>
              <w:t>4.</w:t>
            </w:r>
            <w:r>
              <w:rPr>
                <w:rFonts w:hint="eastAsia" w:ascii="宋体" w:hAnsi="宋体" w:eastAsia="宋体" w:cs="宋体"/>
                <w:b w:val="0"/>
                <w:bCs/>
                <w:color w:val="auto"/>
                <w:sz w:val="21"/>
                <w:szCs w:val="21"/>
                <w:highlight w:val="none"/>
                <w:lang w:eastAsia="zh-CN"/>
              </w:rPr>
              <w:t>安装标准及验收标准：符合我国国家有关技术规范和技术标准；设备安装后，医院按国际和国家标准及厂方标准进行质量验收；卖方应向买方提供详细的验收标准、验收手册。</w:t>
            </w:r>
          </w:p>
          <w:p w14:paraId="6645577F">
            <w:pPr>
              <w:keepNext w:val="0"/>
              <w:keepLines w:val="0"/>
              <w:pageBreakBefore w:val="0"/>
              <w:widowControl/>
              <w:kinsoku/>
              <w:wordWrap/>
              <w:overflowPunct/>
              <w:topLinePunct w:val="0"/>
              <w:bidi w:val="0"/>
              <w:spacing w:line="400" w:lineRule="exact"/>
              <w:ind w:firstLine="12" w:firstLineChars="6"/>
              <w:jc w:val="both"/>
              <w:outlineLvl w:val="0"/>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lang w:val="en-US" w:eastAsia="zh-CN"/>
              </w:rPr>
              <w:t>5.</w:t>
            </w:r>
            <w:r>
              <w:rPr>
                <w:rFonts w:hint="eastAsia" w:ascii="宋体" w:hAnsi="宋体" w:eastAsia="宋体" w:cs="宋体"/>
                <w:b w:val="0"/>
                <w:bCs/>
                <w:color w:val="auto"/>
                <w:sz w:val="21"/>
                <w:szCs w:val="21"/>
                <w:highlight w:val="none"/>
                <w:lang w:eastAsia="zh-CN"/>
              </w:rPr>
              <w:t>采购人在中华人民共和国境内使用中标人提供的产品及服务时免受第三方提出的侵犯其专利权或其它知识产权的起诉。如果第三方提出侵权指控，中标人应承担由此而引起的一切法律责任和费用。</w:t>
            </w:r>
          </w:p>
          <w:p w14:paraId="08639FC6">
            <w:pPr>
              <w:keepNext w:val="0"/>
              <w:keepLines w:val="0"/>
              <w:pageBreakBefore w:val="0"/>
              <w:widowControl/>
              <w:kinsoku/>
              <w:wordWrap/>
              <w:overflowPunct/>
              <w:topLinePunct w:val="0"/>
              <w:bidi w:val="0"/>
              <w:spacing w:line="400" w:lineRule="exact"/>
              <w:ind w:firstLine="12" w:firstLineChars="6"/>
              <w:jc w:val="both"/>
              <w:outlineLvl w:val="0"/>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lang w:val="en-US" w:eastAsia="zh-CN"/>
              </w:rPr>
              <w:t>6.</w:t>
            </w:r>
            <w:r>
              <w:rPr>
                <w:rFonts w:hint="eastAsia" w:ascii="宋体" w:hAnsi="宋体" w:eastAsia="宋体" w:cs="宋体"/>
                <w:b w:val="0"/>
                <w:bCs/>
                <w:color w:val="auto"/>
                <w:sz w:val="21"/>
                <w:szCs w:val="21"/>
                <w:highlight w:val="none"/>
                <w:lang w:eastAsia="zh-CN"/>
              </w:rPr>
              <w:t>在货物验收时候，如发现存在虚假响应，采购人将终止合同，并上报监督管理部门进行处罚。</w:t>
            </w:r>
          </w:p>
          <w:p w14:paraId="1CFEA8CE">
            <w:pPr>
              <w:keepNext w:val="0"/>
              <w:keepLines w:val="0"/>
              <w:pageBreakBefore w:val="0"/>
              <w:widowControl/>
              <w:kinsoku/>
              <w:wordWrap/>
              <w:overflowPunct/>
              <w:topLinePunct w:val="0"/>
              <w:bidi w:val="0"/>
              <w:spacing w:line="400" w:lineRule="exact"/>
              <w:ind w:firstLine="12" w:firstLineChars="6"/>
              <w:jc w:val="both"/>
              <w:outlineLvl w:val="0"/>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lang w:val="en-US" w:eastAsia="zh-CN"/>
              </w:rPr>
              <w:t>7.</w:t>
            </w:r>
            <w:r>
              <w:rPr>
                <w:rFonts w:hint="eastAsia" w:ascii="宋体" w:hAnsi="宋体" w:eastAsia="宋体" w:cs="宋体"/>
                <w:b w:val="0"/>
                <w:bCs/>
                <w:color w:val="auto"/>
                <w:sz w:val="21"/>
                <w:szCs w:val="21"/>
                <w:highlight w:val="none"/>
                <w:lang w:eastAsia="zh-CN"/>
              </w:rPr>
              <w:t>交钥匙工程：中标人负责全部产品的安装调试后直接交付运行。在保修期内，中标人保证采购人能够合法应用该器械/服务。在此过程中，采购人应当提供一切必要支持。若可能出现的后续证件、手续，中标人必须提供办理的流程及方法。</w:t>
            </w:r>
          </w:p>
          <w:p w14:paraId="19B54F31">
            <w:pPr>
              <w:keepNext w:val="0"/>
              <w:keepLines w:val="0"/>
              <w:pageBreakBefore w:val="0"/>
              <w:widowControl/>
              <w:kinsoku/>
              <w:wordWrap/>
              <w:overflowPunct/>
              <w:topLinePunct w:val="0"/>
              <w:bidi w:val="0"/>
              <w:spacing w:line="400" w:lineRule="exact"/>
              <w:ind w:firstLine="12" w:firstLineChars="6"/>
              <w:jc w:val="both"/>
              <w:outlineLvl w:val="0"/>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lang w:val="en-US" w:eastAsia="zh-CN"/>
              </w:rPr>
              <w:t>8.</w:t>
            </w:r>
            <w:r>
              <w:rPr>
                <w:rFonts w:hint="eastAsia" w:ascii="宋体" w:hAnsi="宋体" w:eastAsia="宋体" w:cs="宋体"/>
                <w:b w:val="0"/>
                <w:bCs/>
                <w:color w:val="auto"/>
                <w:sz w:val="21"/>
                <w:szCs w:val="21"/>
                <w:highlight w:val="none"/>
                <w:lang w:eastAsia="zh-CN"/>
              </w:rPr>
              <w:t>本项目采购标的需执行的国家相关标准、行业标准、地方标准或其他强制性标准、规范等要求。</w:t>
            </w:r>
          </w:p>
          <w:p w14:paraId="715C8FDD">
            <w:pPr>
              <w:keepNext w:val="0"/>
              <w:keepLines w:val="0"/>
              <w:pageBreakBefore w:val="0"/>
              <w:widowControl/>
              <w:kinsoku/>
              <w:wordWrap/>
              <w:overflowPunct/>
              <w:topLinePunct w:val="0"/>
              <w:bidi w:val="0"/>
              <w:spacing w:line="400" w:lineRule="exact"/>
              <w:ind w:firstLine="12" w:firstLineChars="6"/>
              <w:jc w:val="both"/>
              <w:outlineLvl w:val="0"/>
              <w:rPr>
                <w:rFonts w:hint="eastAsia" w:ascii="宋体" w:hAnsi="宋体" w:eastAsia="宋体" w:cs="宋体"/>
                <w:b w:val="0"/>
                <w:bCs/>
                <w:color w:val="auto"/>
                <w:sz w:val="21"/>
                <w:szCs w:val="21"/>
                <w:highlight w:val="none"/>
                <w:lang w:eastAsia="zh-CN"/>
              </w:rPr>
            </w:pPr>
            <w:r>
              <w:rPr>
                <w:rFonts w:hint="eastAsia" w:ascii="宋体" w:hAnsi="宋体" w:cs="宋体"/>
                <w:lang w:val="en-US" w:eastAsia="zh-CN"/>
              </w:rPr>
              <w:t>9.</w:t>
            </w:r>
            <w:r>
              <w:rPr>
                <w:rFonts w:hint="eastAsia" w:ascii="宋体" w:hAnsi="宋体" w:eastAsia="宋体" w:cs="宋体"/>
                <w:color w:val="auto"/>
                <w:sz w:val="21"/>
                <w:szCs w:val="21"/>
                <w:highlight w:val="none"/>
              </w:rPr>
              <w:t>具有DICOM通用输出接口</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可实现与医院的数字网络</w:t>
            </w:r>
            <w:r>
              <w:rPr>
                <w:rFonts w:hint="eastAsia" w:ascii="宋体" w:hAnsi="宋体" w:cs="宋体"/>
                <w:color w:val="auto"/>
                <w:sz w:val="21"/>
                <w:szCs w:val="21"/>
                <w:highlight w:val="none"/>
                <w:lang w:val="en-US" w:eastAsia="zh-CN"/>
              </w:rPr>
              <w:t>免费无缝</w:t>
            </w:r>
            <w:r>
              <w:rPr>
                <w:rFonts w:hint="eastAsia" w:ascii="宋体" w:hAnsi="宋体" w:eastAsia="宋体" w:cs="宋体"/>
                <w:color w:val="auto"/>
                <w:sz w:val="21"/>
                <w:szCs w:val="21"/>
                <w:highlight w:val="none"/>
              </w:rPr>
              <w:t>连接，实现数字化影像管理</w:t>
            </w:r>
            <w:r>
              <w:rPr>
                <w:rFonts w:hint="eastAsia" w:ascii="宋体" w:hAnsi="宋体" w:eastAsia="宋体" w:cs="宋体"/>
                <w:color w:val="auto"/>
                <w:sz w:val="21"/>
                <w:szCs w:val="21"/>
                <w:highlight w:val="none"/>
                <w:lang w:eastAsia="zh-CN"/>
              </w:rPr>
              <w:t>。</w:t>
            </w:r>
          </w:p>
        </w:tc>
      </w:tr>
    </w:tbl>
    <w:p w14:paraId="1F4B70A5">
      <w:pPr>
        <w:spacing w:line="428" w:lineRule="exact"/>
        <w:ind w:left="0"/>
        <w:rPr>
          <w:rFonts w:ascii="Arial Unicode MS" w:hAnsi="Arial Unicode MS" w:eastAsia="Arial Unicode MS" w:cs="Arial Unicode MS"/>
          <w:color w:val="auto"/>
          <w:sz w:val="32"/>
          <w:szCs w:val="32"/>
        </w:rPr>
      </w:pPr>
      <w:r>
        <w:rPr>
          <w:rFonts w:hint="default"/>
          <w:b/>
          <w:bCs/>
          <w:color w:val="auto"/>
          <w:sz w:val="32"/>
          <w:szCs w:val="36"/>
          <w:highlight w:val="none"/>
          <w:lang w:val="en-US" w:eastAsia="zh-CN"/>
        </w:rPr>
        <w:br w:type="page"/>
      </w:r>
      <w:r>
        <w:rPr>
          <w:rFonts w:hint="eastAsia" w:ascii="黑体" w:hAnsi="黑体" w:eastAsia="黑体" w:cs="黑体"/>
          <w:color w:val="auto"/>
          <w:sz w:val="32"/>
          <w:szCs w:val="32"/>
        </w:rPr>
        <w:t>附件1：</w:t>
      </w:r>
    </w:p>
    <w:p w14:paraId="4CC49779">
      <w:pPr>
        <w:wordWrap w:val="0"/>
        <w:spacing w:line="360" w:lineRule="auto"/>
        <w:ind w:left="1871"/>
        <w:rPr>
          <w:rFonts w:ascii="宋体" w:hAnsi="宋体" w:cs="宋体"/>
          <w:color w:val="auto"/>
          <w:sz w:val="40"/>
          <w:szCs w:val="40"/>
        </w:rPr>
      </w:pPr>
      <w:r>
        <w:rPr>
          <w:rFonts w:hint="eastAsia" w:ascii="宋体" w:hAnsi="宋体" w:cs="宋体"/>
          <w:color w:val="auto"/>
          <w:sz w:val="40"/>
          <w:szCs w:val="40"/>
        </w:rPr>
        <w:t>节能产品政府采购品目清单</w:t>
      </w:r>
    </w:p>
    <w:tbl>
      <w:tblPr>
        <w:tblStyle w:val="25"/>
        <w:tblW w:w="9432" w:type="dxa"/>
        <w:tblInd w:w="93" w:type="dxa"/>
        <w:tblLayout w:type="fixed"/>
        <w:tblCellMar>
          <w:top w:w="0" w:type="dxa"/>
          <w:left w:w="108" w:type="dxa"/>
          <w:bottom w:w="0" w:type="dxa"/>
          <w:right w:w="108" w:type="dxa"/>
        </w:tblCellMar>
      </w:tblPr>
      <w:tblGrid>
        <w:gridCol w:w="659"/>
        <w:gridCol w:w="1079"/>
        <w:gridCol w:w="1319"/>
        <w:gridCol w:w="1622"/>
        <w:gridCol w:w="4753"/>
      </w:tblGrid>
      <w:tr w14:paraId="228ADDC0">
        <w:tblPrEx>
          <w:tblCellMar>
            <w:top w:w="0" w:type="dxa"/>
            <w:left w:w="108" w:type="dxa"/>
            <w:bottom w:w="0" w:type="dxa"/>
            <w:right w:w="108" w:type="dxa"/>
          </w:tblCellMar>
        </w:tblPrEx>
        <w:trPr>
          <w:trHeight w:val="653" w:hRule="atLeast"/>
        </w:trPr>
        <w:tc>
          <w:tcPr>
            <w:tcW w:w="659" w:type="dxa"/>
            <w:tcBorders>
              <w:top w:val="single" w:color="000000" w:sz="8" w:space="0"/>
              <w:left w:val="single" w:color="000000" w:sz="8" w:space="0"/>
              <w:bottom w:val="single" w:color="000000" w:sz="8" w:space="0"/>
              <w:right w:val="single" w:color="000000" w:sz="8" w:space="0"/>
            </w:tcBorders>
          </w:tcPr>
          <w:p w14:paraId="562F75A1">
            <w:pPr>
              <w:widowControl/>
              <w:wordWrap w:val="0"/>
              <w:jc w:val="center"/>
              <w:rPr>
                <w:rFonts w:ascii="宋体" w:hAnsi="宋体" w:cs="宋体"/>
                <w:b/>
                <w:bCs/>
                <w:color w:val="auto"/>
                <w:kern w:val="0"/>
                <w:sz w:val="22"/>
                <w:szCs w:val="22"/>
              </w:rPr>
            </w:pPr>
            <w:r>
              <w:rPr>
                <w:rFonts w:hint="eastAsia" w:ascii="宋体" w:hAnsi="宋体" w:cs="宋体"/>
                <w:b/>
                <w:bCs/>
                <w:color w:val="auto"/>
                <w:kern w:val="0"/>
                <w:sz w:val="22"/>
                <w:szCs w:val="22"/>
              </w:rPr>
              <w:t>品目序号</w:t>
            </w:r>
          </w:p>
        </w:tc>
        <w:tc>
          <w:tcPr>
            <w:tcW w:w="4020" w:type="dxa"/>
            <w:gridSpan w:val="3"/>
            <w:tcBorders>
              <w:top w:val="single" w:color="000000" w:sz="8" w:space="0"/>
              <w:left w:val="nil"/>
              <w:bottom w:val="single" w:color="000000" w:sz="8" w:space="0"/>
              <w:right w:val="single" w:color="000000" w:sz="8" w:space="0"/>
            </w:tcBorders>
            <w:vAlign w:val="center"/>
          </w:tcPr>
          <w:p w14:paraId="4C07CBDF">
            <w:pPr>
              <w:widowControl/>
              <w:wordWrap w:val="0"/>
              <w:jc w:val="center"/>
              <w:rPr>
                <w:rFonts w:ascii="宋体" w:hAnsi="宋体" w:cs="宋体"/>
                <w:b/>
                <w:bCs/>
                <w:color w:val="auto"/>
                <w:kern w:val="0"/>
                <w:sz w:val="22"/>
                <w:szCs w:val="22"/>
              </w:rPr>
            </w:pPr>
            <w:r>
              <w:rPr>
                <w:rFonts w:hint="eastAsia" w:ascii="宋体" w:hAnsi="宋体" w:cs="宋体"/>
                <w:b/>
                <w:bCs/>
                <w:color w:val="auto"/>
                <w:kern w:val="0"/>
                <w:sz w:val="22"/>
                <w:szCs w:val="22"/>
              </w:rPr>
              <w:t>名称</w:t>
            </w:r>
          </w:p>
        </w:tc>
        <w:tc>
          <w:tcPr>
            <w:tcW w:w="4753" w:type="dxa"/>
            <w:tcBorders>
              <w:top w:val="single" w:color="000000" w:sz="8" w:space="0"/>
              <w:left w:val="nil"/>
              <w:bottom w:val="single" w:color="000000" w:sz="8" w:space="0"/>
              <w:right w:val="single" w:color="000000" w:sz="8" w:space="0"/>
            </w:tcBorders>
            <w:vAlign w:val="center"/>
          </w:tcPr>
          <w:p w14:paraId="40CA6F4F">
            <w:pPr>
              <w:widowControl/>
              <w:wordWrap w:val="0"/>
              <w:jc w:val="center"/>
              <w:rPr>
                <w:rFonts w:ascii="宋体" w:hAnsi="宋体" w:cs="宋体"/>
                <w:b/>
                <w:bCs/>
                <w:color w:val="auto"/>
                <w:kern w:val="0"/>
                <w:sz w:val="22"/>
                <w:szCs w:val="22"/>
              </w:rPr>
            </w:pPr>
            <w:r>
              <w:rPr>
                <w:rFonts w:hint="eastAsia" w:ascii="宋体" w:hAnsi="宋体" w:cs="宋体"/>
                <w:b/>
                <w:bCs/>
                <w:color w:val="auto"/>
                <w:kern w:val="0"/>
                <w:sz w:val="22"/>
                <w:szCs w:val="22"/>
              </w:rPr>
              <w:t>依据的标准</w:t>
            </w:r>
          </w:p>
        </w:tc>
      </w:tr>
      <w:tr w14:paraId="40B8F315">
        <w:tblPrEx>
          <w:tblCellMar>
            <w:top w:w="0" w:type="dxa"/>
            <w:left w:w="108" w:type="dxa"/>
            <w:bottom w:w="0" w:type="dxa"/>
            <w:right w:w="108" w:type="dxa"/>
          </w:tblCellMar>
        </w:tblPrEx>
        <w:trPr>
          <w:trHeight w:val="653" w:hRule="atLeast"/>
        </w:trPr>
        <w:tc>
          <w:tcPr>
            <w:tcW w:w="659" w:type="dxa"/>
            <w:vMerge w:val="restart"/>
            <w:tcBorders>
              <w:top w:val="nil"/>
              <w:left w:val="single" w:color="000000" w:sz="8" w:space="0"/>
              <w:bottom w:val="single" w:color="000000" w:sz="8" w:space="0"/>
              <w:right w:val="single" w:color="000000" w:sz="8" w:space="0"/>
            </w:tcBorders>
            <w:vAlign w:val="center"/>
          </w:tcPr>
          <w:p w14:paraId="1AAAD891">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1</w:t>
            </w:r>
          </w:p>
        </w:tc>
        <w:tc>
          <w:tcPr>
            <w:tcW w:w="1079" w:type="dxa"/>
            <w:vMerge w:val="restart"/>
            <w:tcBorders>
              <w:top w:val="nil"/>
              <w:left w:val="single" w:color="000000" w:sz="8" w:space="0"/>
              <w:bottom w:val="single" w:color="000000" w:sz="8" w:space="0"/>
              <w:right w:val="single" w:color="000000" w:sz="8" w:space="0"/>
            </w:tcBorders>
            <w:vAlign w:val="center"/>
          </w:tcPr>
          <w:p w14:paraId="68C84794">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A020101计算机设备</w:t>
            </w:r>
          </w:p>
        </w:tc>
        <w:tc>
          <w:tcPr>
            <w:tcW w:w="1319" w:type="dxa"/>
            <w:tcBorders>
              <w:top w:val="nil"/>
              <w:left w:val="nil"/>
              <w:bottom w:val="single" w:color="000000" w:sz="8" w:space="0"/>
              <w:right w:val="single" w:color="000000" w:sz="8" w:space="0"/>
            </w:tcBorders>
            <w:vAlign w:val="center"/>
          </w:tcPr>
          <w:p w14:paraId="01A8ABAD">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★A02010104台式计算机</w:t>
            </w:r>
          </w:p>
        </w:tc>
        <w:tc>
          <w:tcPr>
            <w:tcW w:w="1622" w:type="dxa"/>
            <w:tcBorders>
              <w:top w:val="nil"/>
              <w:left w:val="nil"/>
              <w:bottom w:val="single" w:color="000000" w:sz="8" w:space="0"/>
              <w:right w:val="single" w:color="000000" w:sz="8" w:space="0"/>
            </w:tcBorders>
            <w:vAlign w:val="center"/>
          </w:tcPr>
          <w:p w14:paraId="687545D3">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753" w:type="dxa"/>
            <w:tcBorders>
              <w:top w:val="nil"/>
              <w:left w:val="nil"/>
              <w:bottom w:val="single" w:color="000000" w:sz="8" w:space="0"/>
              <w:right w:val="single" w:color="000000" w:sz="8" w:space="0"/>
            </w:tcBorders>
            <w:vAlign w:val="center"/>
          </w:tcPr>
          <w:p w14:paraId="740D8C49">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《微型计算机能效限定值及能效等级》（GB28380）</w:t>
            </w:r>
          </w:p>
        </w:tc>
      </w:tr>
      <w:tr w14:paraId="54D4D34E">
        <w:tblPrEx>
          <w:tblCellMar>
            <w:top w:w="0" w:type="dxa"/>
            <w:left w:w="108" w:type="dxa"/>
            <w:bottom w:w="0" w:type="dxa"/>
            <w:right w:w="108" w:type="dxa"/>
          </w:tblCellMar>
        </w:tblPrEx>
        <w:trPr>
          <w:trHeight w:val="970" w:hRule="atLeast"/>
        </w:trPr>
        <w:tc>
          <w:tcPr>
            <w:tcW w:w="659" w:type="dxa"/>
            <w:vMerge w:val="continue"/>
            <w:tcBorders>
              <w:top w:val="nil"/>
              <w:left w:val="single" w:color="000000" w:sz="8" w:space="0"/>
              <w:bottom w:val="single" w:color="000000" w:sz="8" w:space="0"/>
              <w:right w:val="single" w:color="000000" w:sz="8" w:space="0"/>
            </w:tcBorders>
            <w:vAlign w:val="center"/>
          </w:tcPr>
          <w:p w14:paraId="61AECF90">
            <w:pPr>
              <w:widowControl/>
              <w:wordWrap w:val="0"/>
              <w:jc w:val="left"/>
              <w:rPr>
                <w:rFonts w:ascii="宋体" w:hAnsi="宋体" w:cs="宋体"/>
                <w:color w:val="auto"/>
                <w:kern w:val="0"/>
                <w:sz w:val="20"/>
                <w:szCs w:val="20"/>
              </w:rPr>
            </w:pPr>
          </w:p>
        </w:tc>
        <w:tc>
          <w:tcPr>
            <w:tcW w:w="1079" w:type="dxa"/>
            <w:vMerge w:val="continue"/>
            <w:tcBorders>
              <w:top w:val="nil"/>
              <w:left w:val="single" w:color="000000" w:sz="8" w:space="0"/>
              <w:bottom w:val="single" w:color="000000" w:sz="8" w:space="0"/>
              <w:right w:val="single" w:color="000000" w:sz="8" w:space="0"/>
            </w:tcBorders>
            <w:vAlign w:val="center"/>
          </w:tcPr>
          <w:p w14:paraId="1EBA58BD">
            <w:pPr>
              <w:widowControl/>
              <w:wordWrap w:val="0"/>
              <w:jc w:val="left"/>
              <w:rPr>
                <w:rFonts w:ascii="宋体" w:hAnsi="宋体" w:cs="宋体"/>
                <w:color w:val="auto"/>
                <w:kern w:val="0"/>
                <w:sz w:val="20"/>
                <w:szCs w:val="20"/>
              </w:rPr>
            </w:pPr>
          </w:p>
        </w:tc>
        <w:tc>
          <w:tcPr>
            <w:tcW w:w="1319" w:type="dxa"/>
            <w:tcBorders>
              <w:top w:val="nil"/>
              <w:left w:val="nil"/>
              <w:bottom w:val="single" w:color="000000" w:sz="8" w:space="0"/>
              <w:right w:val="single" w:color="000000" w:sz="8" w:space="0"/>
            </w:tcBorders>
            <w:vAlign w:val="center"/>
          </w:tcPr>
          <w:p w14:paraId="37FEFC63">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★A02010105便携式计算机</w:t>
            </w:r>
          </w:p>
        </w:tc>
        <w:tc>
          <w:tcPr>
            <w:tcW w:w="1622" w:type="dxa"/>
            <w:tcBorders>
              <w:top w:val="nil"/>
              <w:left w:val="nil"/>
              <w:bottom w:val="single" w:color="000000" w:sz="8" w:space="0"/>
              <w:right w:val="single" w:color="000000" w:sz="8" w:space="0"/>
            </w:tcBorders>
            <w:vAlign w:val="center"/>
          </w:tcPr>
          <w:p w14:paraId="09BF003E">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753" w:type="dxa"/>
            <w:tcBorders>
              <w:top w:val="nil"/>
              <w:left w:val="nil"/>
              <w:bottom w:val="single" w:color="000000" w:sz="8" w:space="0"/>
              <w:right w:val="single" w:color="000000" w:sz="8" w:space="0"/>
            </w:tcBorders>
            <w:vAlign w:val="center"/>
          </w:tcPr>
          <w:p w14:paraId="77570D2D">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《微型计算机能效限定值及能效等级》（GB28380）</w:t>
            </w:r>
          </w:p>
        </w:tc>
      </w:tr>
      <w:tr w14:paraId="176B6AF2">
        <w:tblPrEx>
          <w:tblCellMar>
            <w:top w:w="0" w:type="dxa"/>
            <w:left w:w="108" w:type="dxa"/>
            <w:bottom w:w="0" w:type="dxa"/>
            <w:right w:w="108" w:type="dxa"/>
          </w:tblCellMar>
        </w:tblPrEx>
        <w:trPr>
          <w:trHeight w:val="970" w:hRule="atLeast"/>
        </w:trPr>
        <w:tc>
          <w:tcPr>
            <w:tcW w:w="659" w:type="dxa"/>
            <w:vMerge w:val="continue"/>
            <w:tcBorders>
              <w:top w:val="nil"/>
              <w:left w:val="single" w:color="000000" w:sz="8" w:space="0"/>
              <w:bottom w:val="single" w:color="000000" w:sz="8" w:space="0"/>
              <w:right w:val="single" w:color="000000" w:sz="8" w:space="0"/>
            </w:tcBorders>
            <w:vAlign w:val="center"/>
          </w:tcPr>
          <w:p w14:paraId="76E3CE61">
            <w:pPr>
              <w:widowControl/>
              <w:wordWrap w:val="0"/>
              <w:jc w:val="left"/>
              <w:rPr>
                <w:rFonts w:ascii="宋体" w:hAnsi="宋体" w:cs="宋体"/>
                <w:color w:val="auto"/>
                <w:kern w:val="0"/>
                <w:sz w:val="20"/>
                <w:szCs w:val="20"/>
              </w:rPr>
            </w:pPr>
          </w:p>
        </w:tc>
        <w:tc>
          <w:tcPr>
            <w:tcW w:w="1079" w:type="dxa"/>
            <w:vMerge w:val="continue"/>
            <w:tcBorders>
              <w:top w:val="nil"/>
              <w:left w:val="single" w:color="000000" w:sz="8" w:space="0"/>
              <w:bottom w:val="single" w:color="000000" w:sz="8" w:space="0"/>
              <w:right w:val="single" w:color="000000" w:sz="8" w:space="0"/>
            </w:tcBorders>
            <w:vAlign w:val="center"/>
          </w:tcPr>
          <w:p w14:paraId="433B8196">
            <w:pPr>
              <w:widowControl/>
              <w:wordWrap w:val="0"/>
              <w:jc w:val="left"/>
              <w:rPr>
                <w:rFonts w:ascii="宋体" w:hAnsi="宋体" w:cs="宋体"/>
                <w:color w:val="auto"/>
                <w:kern w:val="0"/>
                <w:sz w:val="20"/>
                <w:szCs w:val="20"/>
              </w:rPr>
            </w:pPr>
          </w:p>
        </w:tc>
        <w:tc>
          <w:tcPr>
            <w:tcW w:w="1319" w:type="dxa"/>
            <w:tcBorders>
              <w:top w:val="nil"/>
              <w:left w:val="nil"/>
              <w:bottom w:val="single" w:color="000000" w:sz="8" w:space="0"/>
              <w:right w:val="single" w:color="000000" w:sz="8" w:space="0"/>
            </w:tcBorders>
            <w:vAlign w:val="center"/>
          </w:tcPr>
          <w:p w14:paraId="0AD66770">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★A02010107平板式微型计算机</w:t>
            </w:r>
          </w:p>
        </w:tc>
        <w:tc>
          <w:tcPr>
            <w:tcW w:w="1622" w:type="dxa"/>
            <w:tcBorders>
              <w:top w:val="nil"/>
              <w:left w:val="nil"/>
              <w:bottom w:val="single" w:color="000000" w:sz="8" w:space="0"/>
              <w:right w:val="single" w:color="000000" w:sz="8" w:space="0"/>
            </w:tcBorders>
            <w:vAlign w:val="center"/>
          </w:tcPr>
          <w:p w14:paraId="4A433260">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753" w:type="dxa"/>
            <w:tcBorders>
              <w:top w:val="nil"/>
              <w:left w:val="nil"/>
              <w:bottom w:val="single" w:color="000000" w:sz="8" w:space="0"/>
              <w:right w:val="single" w:color="000000" w:sz="8" w:space="0"/>
            </w:tcBorders>
            <w:vAlign w:val="center"/>
          </w:tcPr>
          <w:p w14:paraId="42E5A1BE">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《微型计算机能效限定值及能效等级》（GB28380）</w:t>
            </w:r>
          </w:p>
        </w:tc>
      </w:tr>
      <w:tr w14:paraId="10091317">
        <w:tblPrEx>
          <w:tblCellMar>
            <w:top w:w="0" w:type="dxa"/>
            <w:left w:w="108" w:type="dxa"/>
            <w:bottom w:w="0" w:type="dxa"/>
            <w:right w:w="108" w:type="dxa"/>
          </w:tblCellMar>
        </w:tblPrEx>
        <w:trPr>
          <w:trHeight w:val="653" w:hRule="atLeast"/>
        </w:trPr>
        <w:tc>
          <w:tcPr>
            <w:tcW w:w="659" w:type="dxa"/>
            <w:vMerge w:val="restart"/>
            <w:tcBorders>
              <w:top w:val="nil"/>
              <w:left w:val="single" w:color="000000" w:sz="8" w:space="0"/>
              <w:bottom w:val="single" w:color="000000" w:sz="8" w:space="0"/>
              <w:right w:val="single" w:color="000000" w:sz="8" w:space="0"/>
            </w:tcBorders>
            <w:vAlign w:val="center"/>
          </w:tcPr>
          <w:p w14:paraId="4CDF5610">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2</w:t>
            </w:r>
          </w:p>
        </w:tc>
        <w:tc>
          <w:tcPr>
            <w:tcW w:w="1079" w:type="dxa"/>
            <w:vMerge w:val="restart"/>
            <w:tcBorders>
              <w:top w:val="nil"/>
              <w:left w:val="single" w:color="000000" w:sz="8" w:space="0"/>
              <w:bottom w:val="single" w:color="000000" w:sz="8" w:space="0"/>
              <w:right w:val="single" w:color="000000" w:sz="8" w:space="0"/>
            </w:tcBorders>
            <w:vAlign w:val="center"/>
          </w:tcPr>
          <w:p w14:paraId="708CDCD9">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A020106输入输出设备</w:t>
            </w:r>
          </w:p>
        </w:tc>
        <w:tc>
          <w:tcPr>
            <w:tcW w:w="1319" w:type="dxa"/>
            <w:vMerge w:val="restart"/>
            <w:tcBorders>
              <w:top w:val="nil"/>
              <w:left w:val="single" w:color="000000" w:sz="8" w:space="0"/>
              <w:bottom w:val="single" w:color="000000" w:sz="8" w:space="0"/>
              <w:right w:val="single" w:color="000000" w:sz="8" w:space="0"/>
            </w:tcBorders>
            <w:vAlign w:val="center"/>
          </w:tcPr>
          <w:p w14:paraId="6EC3BE00">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A02010601打印设备</w:t>
            </w:r>
          </w:p>
        </w:tc>
        <w:tc>
          <w:tcPr>
            <w:tcW w:w="1622" w:type="dxa"/>
            <w:tcBorders>
              <w:top w:val="nil"/>
              <w:left w:val="nil"/>
              <w:bottom w:val="single" w:color="000000" w:sz="8" w:space="0"/>
              <w:right w:val="single" w:color="000000" w:sz="8" w:space="0"/>
            </w:tcBorders>
            <w:vAlign w:val="center"/>
          </w:tcPr>
          <w:p w14:paraId="199823A1">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A0201060101喷墨打印机</w:t>
            </w:r>
          </w:p>
        </w:tc>
        <w:tc>
          <w:tcPr>
            <w:tcW w:w="4753" w:type="dxa"/>
            <w:tcBorders>
              <w:top w:val="nil"/>
              <w:left w:val="nil"/>
              <w:bottom w:val="single" w:color="000000" w:sz="8" w:space="0"/>
              <w:right w:val="single" w:color="000000" w:sz="8" w:space="0"/>
            </w:tcBorders>
            <w:vAlign w:val="center"/>
          </w:tcPr>
          <w:p w14:paraId="18E35E90">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《复印机、打印机和传真机能效限定值及能效等级》（GB21521）</w:t>
            </w:r>
          </w:p>
        </w:tc>
      </w:tr>
      <w:tr w14:paraId="6E2D6CE1">
        <w:tblPrEx>
          <w:tblCellMar>
            <w:top w:w="0" w:type="dxa"/>
            <w:left w:w="108" w:type="dxa"/>
            <w:bottom w:w="0" w:type="dxa"/>
            <w:right w:w="108" w:type="dxa"/>
          </w:tblCellMar>
        </w:tblPrEx>
        <w:trPr>
          <w:trHeight w:val="653" w:hRule="atLeast"/>
        </w:trPr>
        <w:tc>
          <w:tcPr>
            <w:tcW w:w="659" w:type="dxa"/>
            <w:vMerge w:val="continue"/>
            <w:tcBorders>
              <w:top w:val="nil"/>
              <w:left w:val="single" w:color="000000" w:sz="8" w:space="0"/>
              <w:bottom w:val="single" w:color="000000" w:sz="8" w:space="0"/>
              <w:right w:val="single" w:color="000000" w:sz="8" w:space="0"/>
            </w:tcBorders>
            <w:vAlign w:val="center"/>
          </w:tcPr>
          <w:p w14:paraId="40312AF8">
            <w:pPr>
              <w:widowControl/>
              <w:wordWrap w:val="0"/>
              <w:jc w:val="left"/>
              <w:rPr>
                <w:rFonts w:ascii="宋体" w:hAnsi="宋体" w:cs="宋体"/>
                <w:color w:val="auto"/>
                <w:kern w:val="0"/>
                <w:sz w:val="20"/>
                <w:szCs w:val="20"/>
              </w:rPr>
            </w:pPr>
          </w:p>
        </w:tc>
        <w:tc>
          <w:tcPr>
            <w:tcW w:w="1079" w:type="dxa"/>
            <w:vMerge w:val="continue"/>
            <w:tcBorders>
              <w:top w:val="nil"/>
              <w:left w:val="single" w:color="000000" w:sz="8" w:space="0"/>
              <w:bottom w:val="single" w:color="000000" w:sz="8" w:space="0"/>
              <w:right w:val="single" w:color="000000" w:sz="8" w:space="0"/>
            </w:tcBorders>
            <w:vAlign w:val="center"/>
          </w:tcPr>
          <w:p w14:paraId="4941681A">
            <w:pPr>
              <w:widowControl/>
              <w:wordWrap w:val="0"/>
              <w:jc w:val="left"/>
              <w:rPr>
                <w:rFonts w:ascii="宋体" w:hAnsi="宋体" w:cs="宋体"/>
                <w:color w:val="auto"/>
                <w:kern w:val="0"/>
                <w:sz w:val="20"/>
                <w:szCs w:val="20"/>
              </w:rPr>
            </w:pPr>
          </w:p>
        </w:tc>
        <w:tc>
          <w:tcPr>
            <w:tcW w:w="1319" w:type="dxa"/>
            <w:vMerge w:val="continue"/>
            <w:tcBorders>
              <w:top w:val="nil"/>
              <w:left w:val="single" w:color="000000" w:sz="8" w:space="0"/>
              <w:bottom w:val="single" w:color="000000" w:sz="8" w:space="0"/>
              <w:right w:val="single" w:color="000000" w:sz="8" w:space="0"/>
            </w:tcBorders>
            <w:vAlign w:val="center"/>
          </w:tcPr>
          <w:p w14:paraId="0ECDE189">
            <w:pPr>
              <w:widowControl/>
              <w:wordWrap w:val="0"/>
              <w:jc w:val="left"/>
              <w:rPr>
                <w:rFonts w:ascii="宋体" w:hAnsi="宋体" w:cs="宋体"/>
                <w:color w:val="auto"/>
                <w:kern w:val="0"/>
                <w:sz w:val="20"/>
                <w:szCs w:val="20"/>
              </w:rPr>
            </w:pPr>
          </w:p>
        </w:tc>
        <w:tc>
          <w:tcPr>
            <w:tcW w:w="1622" w:type="dxa"/>
            <w:tcBorders>
              <w:top w:val="nil"/>
              <w:left w:val="nil"/>
              <w:bottom w:val="single" w:color="000000" w:sz="8" w:space="0"/>
              <w:right w:val="single" w:color="000000" w:sz="8" w:space="0"/>
            </w:tcBorders>
            <w:vAlign w:val="center"/>
          </w:tcPr>
          <w:p w14:paraId="24FC058F">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★A0201060102激光打印机</w:t>
            </w:r>
          </w:p>
        </w:tc>
        <w:tc>
          <w:tcPr>
            <w:tcW w:w="4753" w:type="dxa"/>
            <w:tcBorders>
              <w:top w:val="nil"/>
              <w:left w:val="nil"/>
              <w:bottom w:val="single" w:color="000000" w:sz="8" w:space="0"/>
              <w:right w:val="single" w:color="000000" w:sz="8" w:space="0"/>
            </w:tcBorders>
            <w:vAlign w:val="center"/>
          </w:tcPr>
          <w:p w14:paraId="42CE1EB1">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《复印机、打印机和传真机能效限定值及能效等级》（GB21521）</w:t>
            </w:r>
          </w:p>
        </w:tc>
      </w:tr>
      <w:tr w14:paraId="5265D7EC">
        <w:tblPrEx>
          <w:tblCellMar>
            <w:top w:w="0" w:type="dxa"/>
            <w:left w:w="108" w:type="dxa"/>
            <w:bottom w:w="0" w:type="dxa"/>
            <w:right w:w="108" w:type="dxa"/>
          </w:tblCellMar>
        </w:tblPrEx>
        <w:trPr>
          <w:trHeight w:val="653" w:hRule="atLeast"/>
        </w:trPr>
        <w:tc>
          <w:tcPr>
            <w:tcW w:w="659" w:type="dxa"/>
            <w:vMerge w:val="continue"/>
            <w:tcBorders>
              <w:top w:val="nil"/>
              <w:left w:val="single" w:color="000000" w:sz="8" w:space="0"/>
              <w:bottom w:val="single" w:color="000000" w:sz="8" w:space="0"/>
              <w:right w:val="single" w:color="000000" w:sz="8" w:space="0"/>
            </w:tcBorders>
            <w:vAlign w:val="center"/>
          </w:tcPr>
          <w:p w14:paraId="2B4F1C94">
            <w:pPr>
              <w:widowControl/>
              <w:wordWrap w:val="0"/>
              <w:jc w:val="left"/>
              <w:rPr>
                <w:rFonts w:ascii="宋体" w:hAnsi="宋体" w:cs="宋体"/>
                <w:color w:val="auto"/>
                <w:kern w:val="0"/>
                <w:sz w:val="20"/>
                <w:szCs w:val="20"/>
              </w:rPr>
            </w:pPr>
          </w:p>
        </w:tc>
        <w:tc>
          <w:tcPr>
            <w:tcW w:w="1079" w:type="dxa"/>
            <w:vMerge w:val="continue"/>
            <w:tcBorders>
              <w:top w:val="nil"/>
              <w:left w:val="single" w:color="000000" w:sz="8" w:space="0"/>
              <w:bottom w:val="single" w:color="000000" w:sz="8" w:space="0"/>
              <w:right w:val="single" w:color="000000" w:sz="8" w:space="0"/>
            </w:tcBorders>
            <w:vAlign w:val="center"/>
          </w:tcPr>
          <w:p w14:paraId="37F872BE">
            <w:pPr>
              <w:widowControl/>
              <w:wordWrap w:val="0"/>
              <w:jc w:val="left"/>
              <w:rPr>
                <w:rFonts w:ascii="宋体" w:hAnsi="宋体" w:cs="宋体"/>
                <w:color w:val="auto"/>
                <w:kern w:val="0"/>
                <w:sz w:val="20"/>
                <w:szCs w:val="20"/>
              </w:rPr>
            </w:pPr>
          </w:p>
        </w:tc>
        <w:tc>
          <w:tcPr>
            <w:tcW w:w="1319" w:type="dxa"/>
            <w:vMerge w:val="continue"/>
            <w:tcBorders>
              <w:top w:val="nil"/>
              <w:left w:val="single" w:color="000000" w:sz="8" w:space="0"/>
              <w:bottom w:val="single" w:color="000000" w:sz="8" w:space="0"/>
              <w:right w:val="single" w:color="000000" w:sz="8" w:space="0"/>
            </w:tcBorders>
            <w:vAlign w:val="center"/>
          </w:tcPr>
          <w:p w14:paraId="16458CB6">
            <w:pPr>
              <w:widowControl/>
              <w:wordWrap w:val="0"/>
              <w:jc w:val="left"/>
              <w:rPr>
                <w:rFonts w:ascii="宋体" w:hAnsi="宋体" w:cs="宋体"/>
                <w:color w:val="auto"/>
                <w:kern w:val="0"/>
                <w:sz w:val="20"/>
                <w:szCs w:val="20"/>
              </w:rPr>
            </w:pPr>
          </w:p>
        </w:tc>
        <w:tc>
          <w:tcPr>
            <w:tcW w:w="1622" w:type="dxa"/>
            <w:tcBorders>
              <w:top w:val="nil"/>
              <w:left w:val="nil"/>
              <w:bottom w:val="single" w:color="000000" w:sz="8" w:space="0"/>
              <w:right w:val="single" w:color="000000" w:sz="8" w:space="0"/>
            </w:tcBorders>
            <w:vAlign w:val="center"/>
          </w:tcPr>
          <w:p w14:paraId="3E26A04B">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★A0201060104针式打印机</w:t>
            </w:r>
          </w:p>
        </w:tc>
        <w:tc>
          <w:tcPr>
            <w:tcW w:w="4753" w:type="dxa"/>
            <w:tcBorders>
              <w:top w:val="nil"/>
              <w:left w:val="nil"/>
              <w:bottom w:val="single" w:color="000000" w:sz="8" w:space="0"/>
              <w:right w:val="single" w:color="000000" w:sz="8" w:space="0"/>
            </w:tcBorders>
            <w:vAlign w:val="center"/>
          </w:tcPr>
          <w:p w14:paraId="66B78A83">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《复印机、打印机和传真机能效限定值及能效等级》（GB21521）</w:t>
            </w:r>
          </w:p>
        </w:tc>
      </w:tr>
      <w:tr w14:paraId="220A6D32">
        <w:tblPrEx>
          <w:tblCellMar>
            <w:top w:w="0" w:type="dxa"/>
            <w:left w:w="108" w:type="dxa"/>
            <w:bottom w:w="0" w:type="dxa"/>
            <w:right w:w="108" w:type="dxa"/>
          </w:tblCellMar>
        </w:tblPrEx>
        <w:trPr>
          <w:trHeight w:val="653" w:hRule="atLeast"/>
        </w:trPr>
        <w:tc>
          <w:tcPr>
            <w:tcW w:w="659" w:type="dxa"/>
            <w:vMerge w:val="continue"/>
            <w:tcBorders>
              <w:top w:val="nil"/>
              <w:left w:val="single" w:color="000000" w:sz="8" w:space="0"/>
              <w:bottom w:val="single" w:color="000000" w:sz="8" w:space="0"/>
              <w:right w:val="single" w:color="000000" w:sz="8" w:space="0"/>
            </w:tcBorders>
            <w:vAlign w:val="center"/>
          </w:tcPr>
          <w:p w14:paraId="244C3E48">
            <w:pPr>
              <w:widowControl/>
              <w:wordWrap w:val="0"/>
              <w:jc w:val="left"/>
              <w:rPr>
                <w:rFonts w:ascii="宋体" w:hAnsi="宋体" w:cs="宋体"/>
                <w:color w:val="auto"/>
                <w:kern w:val="0"/>
                <w:sz w:val="20"/>
                <w:szCs w:val="20"/>
              </w:rPr>
            </w:pPr>
          </w:p>
        </w:tc>
        <w:tc>
          <w:tcPr>
            <w:tcW w:w="1079" w:type="dxa"/>
            <w:vMerge w:val="continue"/>
            <w:tcBorders>
              <w:top w:val="nil"/>
              <w:left w:val="single" w:color="000000" w:sz="8" w:space="0"/>
              <w:bottom w:val="single" w:color="000000" w:sz="8" w:space="0"/>
              <w:right w:val="single" w:color="000000" w:sz="8" w:space="0"/>
            </w:tcBorders>
            <w:vAlign w:val="center"/>
          </w:tcPr>
          <w:p w14:paraId="31C6B460">
            <w:pPr>
              <w:widowControl/>
              <w:wordWrap w:val="0"/>
              <w:jc w:val="left"/>
              <w:rPr>
                <w:rFonts w:ascii="宋体" w:hAnsi="宋体" w:cs="宋体"/>
                <w:color w:val="auto"/>
                <w:kern w:val="0"/>
                <w:sz w:val="20"/>
                <w:szCs w:val="20"/>
              </w:rPr>
            </w:pPr>
          </w:p>
        </w:tc>
        <w:tc>
          <w:tcPr>
            <w:tcW w:w="1319" w:type="dxa"/>
            <w:tcBorders>
              <w:top w:val="nil"/>
              <w:left w:val="nil"/>
              <w:bottom w:val="single" w:color="000000" w:sz="8" w:space="0"/>
              <w:right w:val="single" w:color="000000" w:sz="8" w:space="0"/>
            </w:tcBorders>
            <w:vAlign w:val="center"/>
          </w:tcPr>
          <w:p w14:paraId="53F07123">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A02010604显示设备</w:t>
            </w:r>
          </w:p>
        </w:tc>
        <w:tc>
          <w:tcPr>
            <w:tcW w:w="1622" w:type="dxa"/>
            <w:tcBorders>
              <w:top w:val="nil"/>
              <w:left w:val="nil"/>
              <w:bottom w:val="single" w:color="000000" w:sz="8" w:space="0"/>
              <w:right w:val="single" w:color="000000" w:sz="8" w:space="0"/>
            </w:tcBorders>
            <w:vAlign w:val="center"/>
          </w:tcPr>
          <w:p w14:paraId="2A3A2D2B">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★A0201060401液晶显示器</w:t>
            </w:r>
          </w:p>
        </w:tc>
        <w:tc>
          <w:tcPr>
            <w:tcW w:w="4753" w:type="dxa"/>
            <w:tcBorders>
              <w:top w:val="nil"/>
              <w:left w:val="nil"/>
              <w:bottom w:val="single" w:color="000000" w:sz="8" w:space="0"/>
              <w:right w:val="single" w:color="000000" w:sz="8" w:space="0"/>
            </w:tcBorders>
            <w:vAlign w:val="center"/>
          </w:tcPr>
          <w:p w14:paraId="20A96B32">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《计算机显示器能效限定值及能效等级》（GB21520）</w:t>
            </w:r>
          </w:p>
        </w:tc>
      </w:tr>
      <w:tr w14:paraId="268E009B">
        <w:tblPrEx>
          <w:tblCellMar>
            <w:top w:w="0" w:type="dxa"/>
            <w:left w:w="108" w:type="dxa"/>
            <w:bottom w:w="0" w:type="dxa"/>
            <w:right w:w="108" w:type="dxa"/>
          </w:tblCellMar>
        </w:tblPrEx>
        <w:trPr>
          <w:trHeight w:val="1287" w:hRule="atLeast"/>
        </w:trPr>
        <w:tc>
          <w:tcPr>
            <w:tcW w:w="659" w:type="dxa"/>
            <w:vMerge w:val="continue"/>
            <w:tcBorders>
              <w:top w:val="nil"/>
              <w:left w:val="single" w:color="000000" w:sz="8" w:space="0"/>
              <w:bottom w:val="single" w:color="000000" w:sz="8" w:space="0"/>
              <w:right w:val="single" w:color="000000" w:sz="8" w:space="0"/>
            </w:tcBorders>
            <w:vAlign w:val="center"/>
          </w:tcPr>
          <w:p w14:paraId="46AB503E">
            <w:pPr>
              <w:widowControl/>
              <w:wordWrap w:val="0"/>
              <w:jc w:val="left"/>
              <w:rPr>
                <w:rFonts w:ascii="宋体" w:hAnsi="宋体" w:cs="宋体"/>
                <w:color w:val="auto"/>
                <w:kern w:val="0"/>
                <w:sz w:val="20"/>
                <w:szCs w:val="20"/>
              </w:rPr>
            </w:pPr>
          </w:p>
        </w:tc>
        <w:tc>
          <w:tcPr>
            <w:tcW w:w="1079" w:type="dxa"/>
            <w:vMerge w:val="continue"/>
            <w:tcBorders>
              <w:top w:val="nil"/>
              <w:left w:val="single" w:color="000000" w:sz="8" w:space="0"/>
              <w:bottom w:val="single" w:color="000000" w:sz="8" w:space="0"/>
              <w:right w:val="single" w:color="000000" w:sz="8" w:space="0"/>
            </w:tcBorders>
            <w:vAlign w:val="center"/>
          </w:tcPr>
          <w:p w14:paraId="4B18D179">
            <w:pPr>
              <w:widowControl/>
              <w:wordWrap w:val="0"/>
              <w:jc w:val="left"/>
              <w:rPr>
                <w:rFonts w:ascii="宋体" w:hAnsi="宋体" w:cs="宋体"/>
                <w:color w:val="auto"/>
                <w:kern w:val="0"/>
                <w:sz w:val="20"/>
                <w:szCs w:val="20"/>
              </w:rPr>
            </w:pPr>
          </w:p>
        </w:tc>
        <w:tc>
          <w:tcPr>
            <w:tcW w:w="1319" w:type="dxa"/>
            <w:tcBorders>
              <w:top w:val="nil"/>
              <w:left w:val="nil"/>
              <w:bottom w:val="single" w:color="000000" w:sz="8" w:space="0"/>
              <w:right w:val="single" w:color="000000" w:sz="8" w:space="0"/>
            </w:tcBorders>
            <w:vAlign w:val="center"/>
          </w:tcPr>
          <w:p w14:paraId="7D2A6C1D">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A02010609图形图像输入设备</w:t>
            </w:r>
          </w:p>
        </w:tc>
        <w:tc>
          <w:tcPr>
            <w:tcW w:w="1622" w:type="dxa"/>
            <w:tcBorders>
              <w:top w:val="nil"/>
              <w:left w:val="nil"/>
              <w:bottom w:val="single" w:color="000000" w:sz="8" w:space="0"/>
              <w:right w:val="single" w:color="000000" w:sz="8" w:space="0"/>
            </w:tcBorders>
            <w:vAlign w:val="center"/>
          </w:tcPr>
          <w:p w14:paraId="2DB36116">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A0201060901扫描仪</w:t>
            </w:r>
          </w:p>
        </w:tc>
        <w:tc>
          <w:tcPr>
            <w:tcW w:w="4753" w:type="dxa"/>
            <w:tcBorders>
              <w:top w:val="nil"/>
              <w:left w:val="nil"/>
              <w:bottom w:val="single" w:color="000000" w:sz="8" w:space="0"/>
              <w:right w:val="single" w:color="000000" w:sz="8" w:space="0"/>
            </w:tcBorders>
            <w:vAlign w:val="center"/>
          </w:tcPr>
          <w:p w14:paraId="75E6BA86">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参照《复印机、打印机和传真机能效限定值及能效等级》（GB21521中打印速度为15页/分的针式打印机相关要求中打印速度为15页/分的针式打印机相关要求</w:t>
            </w:r>
          </w:p>
        </w:tc>
      </w:tr>
      <w:tr w14:paraId="063B6AF8">
        <w:tblPrEx>
          <w:tblCellMar>
            <w:top w:w="0" w:type="dxa"/>
            <w:left w:w="108" w:type="dxa"/>
            <w:bottom w:w="0" w:type="dxa"/>
            <w:right w:w="108" w:type="dxa"/>
          </w:tblCellMar>
        </w:tblPrEx>
        <w:trPr>
          <w:trHeight w:val="653" w:hRule="atLeast"/>
        </w:trPr>
        <w:tc>
          <w:tcPr>
            <w:tcW w:w="659" w:type="dxa"/>
            <w:tcBorders>
              <w:top w:val="nil"/>
              <w:left w:val="single" w:color="000000" w:sz="8" w:space="0"/>
              <w:bottom w:val="single" w:color="000000" w:sz="8" w:space="0"/>
              <w:right w:val="single" w:color="000000" w:sz="8" w:space="0"/>
            </w:tcBorders>
            <w:vAlign w:val="center"/>
          </w:tcPr>
          <w:p w14:paraId="754FE8FD">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3</w:t>
            </w:r>
          </w:p>
        </w:tc>
        <w:tc>
          <w:tcPr>
            <w:tcW w:w="1079" w:type="dxa"/>
            <w:tcBorders>
              <w:top w:val="nil"/>
              <w:left w:val="nil"/>
              <w:bottom w:val="single" w:color="000000" w:sz="8" w:space="0"/>
              <w:right w:val="single" w:color="000000" w:sz="8" w:space="0"/>
            </w:tcBorders>
            <w:vAlign w:val="center"/>
          </w:tcPr>
          <w:p w14:paraId="087B7461">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A020202投影仪</w:t>
            </w:r>
          </w:p>
        </w:tc>
        <w:tc>
          <w:tcPr>
            <w:tcW w:w="1319" w:type="dxa"/>
            <w:tcBorders>
              <w:top w:val="nil"/>
              <w:left w:val="nil"/>
              <w:bottom w:val="single" w:color="000000" w:sz="8" w:space="0"/>
              <w:right w:val="single" w:color="000000" w:sz="8" w:space="0"/>
            </w:tcBorders>
            <w:vAlign w:val="center"/>
          </w:tcPr>
          <w:p w14:paraId="2CE0652E">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1622" w:type="dxa"/>
            <w:tcBorders>
              <w:top w:val="nil"/>
              <w:left w:val="nil"/>
              <w:bottom w:val="single" w:color="000000" w:sz="8" w:space="0"/>
              <w:right w:val="single" w:color="000000" w:sz="8" w:space="0"/>
            </w:tcBorders>
            <w:vAlign w:val="center"/>
          </w:tcPr>
          <w:p w14:paraId="00239723">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753" w:type="dxa"/>
            <w:tcBorders>
              <w:top w:val="nil"/>
              <w:left w:val="nil"/>
              <w:bottom w:val="single" w:color="000000" w:sz="8" w:space="0"/>
              <w:right w:val="single" w:color="000000" w:sz="8" w:space="0"/>
            </w:tcBorders>
            <w:vAlign w:val="center"/>
          </w:tcPr>
          <w:p w14:paraId="1F5CA321">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《投影机能效限定值及能效等级》（GB32028）</w:t>
            </w:r>
          </w:p>
        </w:tc>
      </w:tr>
      <w:tr w14:paraId="675754EF">
        <w:tblPrEx>
          <w:tblCellMar>
            <w:top w:w="0" w:type="dxa"/>
            <w:left w:w="108" w:type="dxa"/>
            <w:bottom w:w="0" w:type="dxa"/>
            <w:right w:w="108" w:type="dxa"/>
          </w:tblCellMar>
        </w:tblPrEx>
        <w:trPr>
          <w:trHeight w:val="970" w:hRule="atLeast"/>
        </w:trPr>
        <w:tc>
          <w:tcPr>
            <w:tcW w:w="659" w:type="dxa"/>
            <w:tcBorders>
              <w:top w:val="nil"/>
              <w:left w:val="single" w:color="000000" w:sz="8" w:space="0"/>
              <w:bottom w:val="single" w:color="000000" w:sz="8" w:space="0"/>
              <w:right w:val="single" w:color="000000" w:sz="8" w:space="0"/>
            </w:tcBorders>
            <w:vAlign w:val="center"/>
          </w:tcPr>
          <w:p w14:paraId="64B4C87E">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4</w:t>
            </w:r>
          </w:p>
        </w:tc>
        <w:tc>
          <w:tcPr>
            <w:tcW w:w="1079" w:type="dxa"/>
            <w:tcBorders>
              <w:top w:val="nil"/>
              <w:left w:val="nil"/>
              <w:bottom w:val="single" w:color="000000" w:sz="8" w:space="0"/>
              <w:right w:val="single" w:color="000000" w:sz="8" w:space="0"/>
            </w:tcBorders>
            <w:vAlign w:val="center"/>
          </w:tcPr>
          <w:p w14:paraId="5B284295">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A020204多功能一体机</w:t>
            </w:r>
          </w:p>
        </w:tc>
        <w:tc>
          <w:tcPr>
            <w:tcW w:w="1319" w:type="dxa"/>
            <w:tcBorders>
              <w:top w:val="nil"/>
              <w:left w:val="nil"/>
              <w:bottom w:val="single" w:color="000000" w:sz="8" w:space="0"/>
              <w:right w:val="single" w:color="000000" w:sz="8" w:space="0"/>
            </w:tcBorders>
            <w:vAlign w:val="center"/>
          </w:tcPr>
          <w:p w14:paraId="427EE49B">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1622" w:type="dxa"/>
            <w:tcBorders>
              <w:top w:val="nil"/>
              <w:left w:val="nil"/>
              <w:bottom w:val="single" w:color="000000" w:sz="8" w:space="0"/>
              <w:right w:val="single" w:color="000000" w:sz="8" w:space="0"/>
            </w:tcBorders>
            <w:vAlign w:val="center"/>
          </w:tcPr>
          <w:p w14:paraId="347F9D45">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753" w:type="dxa"/>
            <w:tcBorders>
              <w:top w:val="nil"/>
              <w:left w:val="nil"/>
              <w:bottom w:val="single" w:color="000000" w:sz="8" w:space="0"/>
              <w:right w:val="single" w:color="000000" w:sz="8" w:space="0"/>
            </w:tcBorders>
            <w:vAlign w:val="center"/>
          </w:tcPr>
          <w:p w14:paraId="62613799">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《复印机、打印机和传真机能效限定值及能效等级》（GB21521）</w:t>
            </w:r>
          </w:p>
        </w:tc>
      </w:tr>
      <w:tr w14:paraId="1DEC05EE">
        <w:tblPrEx>
          <w:tblCellMar>
            <w:top w:w="0" w:type="dxa"/>
            <w:left w:w="108" w:type="dxa"/>
            <w:bottom w:w="0" w:type="dxa"/>
            <w:right w:w="108" w:type="dxa"/>
          </w:tblCellMar>
        </w:tblPrEx>
        <w:trPr>
          <w:trHeight w:val="653" w:hRule="atLeast"/>
        </w:trPr>
        <w:tc>
          <w:tcPr>
            <w:tcW w:w="659" w:type="dxa"/>
            <w:tcBorders>
              <w:top w:val="nil"/>
              <w:left w:val="single" w:color="000000" w:sz="8" w:space="0"/>
              <w:bottom w:val="single" w:color="000000" w:sz="8" w:space="0"/>
              <w:right w:val="single" w:color="000000" w:sz="8" w:space="0"/>
            </w:tcBorders>
            <w:vAlign w:val="center"/>
          </w:tcPr>
          <w:p w14:paraId="14577CBB">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5</w:t>
            </w:r>
          </w:p>
        </w:tc>
        <w:tc>
          <w:tcPr>
            <w:tcW w:w="1079" w:type="dxa"/>
            <w:tcBorders>
              <w:top w:val="nil"/>
              <w:left w:val="nil"/>
              <w:bottom w:val="single" w:color="000000" w:sz="8" w:space="0"/>
              <w:right w:val="single" w:color="000000" w:sz="8" w:space="0"/>
            </w:tcBorders>
            <w:vAlign w:val="center"/>
          </w:tcPr>
          <w:p w14:paraId="4CB22038">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A020519泵</w:t>
            </w:r>
          </w:p>
        </w:tc>
        <w:tc>
          <w:tcPr>
            <w:tcW w:w="1319" w:type="dxa"/>
            <w:tcBorders>
              <w:top w:val="nil"/>
              <w:left w:val="nil"/>
              <w:bottom w:val="single" w:color="000000" w:sz="8" w:space="0"/>
              <w:right w:val="single" w:color="000000" w:sz="8" w:space="0"/>
            </w:tcBorders>
            <w:vAlign w:val="center"/>
          </w:tcPr>
          <w:p w14:paraId="617E9E33">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A02051901离心泵</w:t>
            </w:r>
          </w:p>
        </w:tc>
        <w:tc>
          <w:tcPr>
            <w:tcW w:w="1622" w:type="dxa"/>
            <w:tcBorders>
              <w:top w:val="nil"/>
              <w:left w:val="nil"/>
              <w:bottom w:val="single" w:color="000000" w:sz="8" w:space="0"/>
              <w:right w:val="single" w:color="000000" w:sz="8" w:space="0"/>
            </w:tcBorders>
            <w:vAlign w:val="center"/>
          </w:tcPr>
          <w:p w14:paraId="1FCBD745">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753" w:type="dxa"/>
            <w:tcBorders>
              <w:top w:val="nil"/>
              <w:left w:val="nil"/>
              <w:bottom w:val="single" w:color="000000" w:sz="8" w:space="0"/>
              <w:right w:val="single" w:color="000000" w:sz="8" w:space="0"/>
            </w:tcBorders>
            <w:vAlign w:val="center"/>
          </w:tcPr>
          <w:p w14:paraId="04591115">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《清水离心泵能效限定值及节能评价值》（GB19762）</w:t>
            </w:r>
          </w:p>
        </w:tc>
      </w:tr>
      <w:tr w14:paraId="428BBD2B">
        <w:tblPrEx>
          <w:tblCellMar>
            <w:top w:w="0" w:type="dxa"/>
            <w:left w:w="108" w:type="dxa"/>
            <w:bottom w:w="0" w:type="dxa"/>
            <w:right w:w="108" w:type="dxa"/>
          </w:tblCellMar>
        </w:tblPrEx>
        <w:trPr>
          <w:trHeight w:val="970" w:hRule="atLeast"/>
        </w:trPr>
        <w:tc>
          <w:tcPr>
            <w:tcW w:w="659" w:type="dxa"/>
            <w:vMerge w:val="restart"/>
            <w:tcBorders>
              <w:top w:val="nil"/>
              <w:left w:val="single" w:color="000000" w:sz="8" w:space="0"/>
              <w:bottom w:val="single" w:color="000000" w:sz="8" w:space="0"/>
              <w:right w:val="single" w:color="000000" w:sz="8" w:space="0"/>
            </w:tcBorders>
            <w:vAlign w:val="center"/>
          </w:tcPr>
          <w:p w14:paraId="55CCB536">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6</w:t>
            </w:r>
          </w:p>
        </w:tc>
        <w:tc>
          <w:tcPr>
            <w:tcW w:w="1079" w:type="dxa"/>
            <w:vMerge w:val="restart"/>
            <w:tcBorders>
              <w:top w:val="nil"/>
              <w:left w:val="single" w:color="000000" w:sz="8" w:space="0"/>
              <w:bottom w:val="single" w:color="000000" w:sz="8" w:space="0"/>
              <w:right w:val="single" w:color="000000" w:sz="8" w:space="0"/>
            </w:tcBorders>
            <w:vAlign w:val="center"/>
          </w:tcPr>
          <w:p w14:paraId="7EB22AB0">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A020523制冷空调设备</w:t>
            </w:r>
          </w:p>
        </w:tc>
        <w:tc>
          <w:tcPr>
            <w:tcW w:w="1319" w:type="dxa"/>
            <w:vMerge w:val="restart"/>
            <w:tcBorders>
              <w:top w:val="nil"/>
              <w:left w:val="single" w:color="000000" w:sz="8" w:space="0"/>
              <w:bottom w:val="single" w:color="000000" w:sz="8" w:space="0"/>
              <w:right w:val="single" w:color="000000" w:sz="8" w:space="0"/>
            </w:tcBorders>
            <w:vAlign w:val="center"/>
          </w:tcPr>
          <w:p w14:paraId="6701B423">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★A02052301制冷压缩机</w:t>
            </w:r>
          </w:p>
        </w:tc>
        <w:tc>
          <w:tcPr>
            <w:tcW w:w="1622" w:type="dxa"/>
            <w:tcBorders>
              <w:top w:val="nil"/>
              <w:left w:val="nil"/>
              <w:bottom w:val="single" w:color="000000" w:sz="8" w:space="0"/>
              <w:right w:val="single" w:color="000000" w:sz="8" w:space="0"/>
            </w:tcBorders>
            <w:vAlign w:val="center"/>
          </w:tcPr>
          <w:p w14:paraId="22F1D4FC">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冷水机组</w:t>
            </w:r>
          </w:p>
        </w:tc>
        <w:tc>
          <w:tcPr>
            <w:tcW w:w="4753" w:type="dxa"/>
            <w:tcBorders>
              <w:top w:val="nil"/>
              <w:left w:val="nil"/>
              <w:bottom w:val="single" w:color="000000" w:sz="8" w:space="0"/>
              <w:right w:val="single" w:color="000000" w:sz="8" w:space="0"/>
            </w:tcBorders>
            <w:vAlign w:val="center"/>
          </w:tcPr>
          <w:p w14:paraId="0768FEC2">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《冷水机组能效限定值及能效等级》（GB19577），《低环境温度空气源热泵（冷水）机组能效限定值及能效等级》（GB37480）</w:t>
            </w:r>
          </w:p>
        </w:tc>
      </w:tr>
      <w:tr w14:paraId="22042C30">
        <w:tblPrEx>
          <w:tblCellMar>
            <w:top w:w="0" w:type="dxa"/>
            <w:left w:w="108" w:type="dxa"/>
            <w:bottom w:w="0" w:type="dxa"/>
            <w:right w:w="108" w:type="dxa"/>
          </w:tblCellMar>
        </w:tblPrEx>
        <w:trPr>
          <w:trHeight w:val="653" w:hRule="atLeast"/>
        </w:trPr>
        <w:tc>
          <w:tcPr>
            <w:tcW w:w="659" w:type="dxa"/>
            <w:vMerge w:val="continue"/>
            <w:tcBorders>
              <w:top w:val="nil"/>
              <w:left w:val="single" w:color="000000" w:sz="8" w:space="0"/>
              <w:bottom w:val="single" w:color="000000" w:sz="8" w:space="0"/>
              <w:right w:val="single" w:color="000000" w:sz="8" w:space="0"/>
            </w:tcBorders>
            <w:vAlign w:val="center"/>
          </w:tcPr>
          <w:p w14:paraId="59D92791">
            <w:pPr>
              <w:widowControl/>
              <w:wordWrap w:val="0"/>
              <w:jc w:val="left"/>
              <w:rPr>
                <w:rFonts w:ascii="宋体" w:hAnsi="宋体" w:cs="宋体"/>
                <w:color w:val="auto"/>
                <w:kern w:val="0"/>
                <w:sz w:val="20"/>
                <w:szCs w:val="20"/>
              </w:rPr>
            </w:pPr>
          </w:p>
        </w:tc>
        <w:tc>
          <w:tcPr>
            <w:tcW w:w="1079" w:type="dxa"/>
            <w:vMerge w:val="continue"/>
            <w:tcBorders>
              <w:top w:val="nil"/>
              <w:left w:val="single" w:color="000000" w:sz="8" w:space="0"/>
              <w:bottom w:val="single" w:color="000000" w:sz="8" w:space="0"/>
              <w:right w:val="single" w:color="000000" w:sz="8" w:space="0"/>
            </w:tcBorders>
            <w:vAlign w:val="center"/>
          </w:tcPr>
          <w:p w14:paraId="3B63D144">
            <w:pPr>
              <w:widowControl/>
              <w:wordWrap w:val="0"/>
              <w:jc w:val="left"/>
              <w:rPr>
                <w:rFonts w:ascii="宋体" w:hAnsi="宋体" w:cs="宋体"/>
                <w:color w:val="auto"/>
                <w:kern w:val="0"/>
                <w:sz w:val="20"/>
                <w:szCs w:val="20"/>
              </w:rPr>
            </w:pPr>
          </w:p>
        </w:tc>
        <w:tc>
          <w:tcPr>
            <w:tcW w:w="1319" w:type="dxa"/>
            <w:vMerge w:val="continue"/>
            <w:tcBorders>
              <w:top w:val="nil"/>
              <w:left w:val="single" w:color="000000" w:sz="8" w:space="0"/>
              <w:bottom w:val="single" w:color="000000" w:sz="8" w:space="0"/>
              <w:right w:val="single" w:color="000000" w:sz="8" w:space="0"/>
            </w:tcBorders>
            <w:vAlign w:val="center"/>
          </w:tcPr>
          <w:p w14:paraId="79737D65">
            <w:pPr>
              <w:widowControl/>
              <w:wordWrap w:val="0"/>
              <w:jc w:val="left"/>
              <w:rPr>
                <w:rFonts w:ascii="宋体" w:hAnsi="宋体" w:cs="宋体"/>
                <w:color w:val="auto"/>
                <w:kern w:val="0"/>
                <w:sz w:val="20"/>
                <w:szCs w:val="20"/>
              </w:rPr>
            </w:pPr>
          </w:p>
        </w:tc>
        <w:tc>
          <w:tcPr>
            <w:tcW w:w="1622" w:type="dxa"/>
            <w:tcBorders>
              <w:top w:val="nil"/>
              <w:left w:val="nil"/>
              <w:bottom w:val="single" w:color="000000" w:sz="8" w:space="0"/>
              <w:right w:val="single" w:color="000000" w:sz="8" w:space="0"/>
            </w:tcBorders>
            <w:vAlign w:val="center"/>
          </w:tcPr>
          <w:p w14:paraId="6E8DD3BF">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水源热泵机组</w:t>
            </w:r>
          </w:p>
        </w:tc>
        <w:tc>
          <w:tcPr>
            <w:tcW w:w="4753" w:type="dxa"/>
            <w:tcBorders>
              <w:top w:val="nil"/>
              <w:left w:val="nil"/>
              <w:bottom w:val="single" w:color="000000" w:sz="8" w:space="0"/>
              <w:right w:val="single" w:color="000000" w:sz="8" w:space="0"/>
            </w:tcBorders>
            <w:vAlign w:val="center"/>
          </w:tcPr>
          <w:p w14:paraId="14904C90">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《水（地）源热泵机组能效限定值及能效等级》（GB30721）</w:t>
            </w:r>
          </w:p>
        </w:tc>
      </w:tr>
      <w:tr w14:paraId="5BBBB85D">
        <w:tblPrEx>
          <w:tblCellMar>
            <w:top w:w="0" w:type="dxa"/>
            <w:left w:w="108" w:type="dxa"/>
            <w:bottom w:w="0" w:type="dxa"/>
            <w:right w:w="108" w:type="dxa"/>
          </w:tblCellMar>
        </w:tblPrEx>
        <w:trPr>
          <w:trHeight w:val="653" w:hRule="atLeast"/>
        </w:trPr>
        <w:tc>
          <w:tcPr>
            <w:tcW w:w="659" w:type="dxa"/>
            <w:vMerge w:val="continue"/>
            <w:tcBorders>
              <w:top w:val="nil"/>
              <w:left w:val="single" w:color="000000" w:sz="8" w:space="0"/>
              <w:bottom w:val="single" w:color="000000" w:sz="8" w:space="0"/>
              <w:right w:val="single" w:color="000000" w:sz="8" w:space="0"/>
            </w:tcBorders>
            <w:vAlign w:val="center"/>
          </w:tcPr>
          <w:p w14:paraId="10A85955">
            <w:pPr>
              <w:widowControl/>
              <w:wordWrap w:val="0"/>
              <w:jc w:val="left"/>
              <w:rPr>
                <w:rFonts w:ascii="宋体" w:hAnsi="宋体" w:cs="宋体"/>
                <w:color w:val="auto"/>
                <w:kern w:val="0"/>
                <w:sz w:val="20"/>
                <w:szCs w:val="20"/>
              </w:rPr>
            </w:pPr>
          </w:p>
        </w:tc>
        <w:tc>
          <w:tcPr>
            <w:tcW w:w="1079" w:type="dxa"/>
            <w:vMerge w:val="continue"/>
            <w:tcBorders>
              <w:top w:val="nil"/>
              <w:left w:val="single" w:color="000000" w:sz="8" w:space="0"/>
              <w:bottom w:val="single" w:color="000000" w:sz="8" w:space="0"/>
              <w:right w:val="single" w:color="000000" w:sz="8" w:space="0"/>
            </w:tcBorders>
            <w:vAlign w:val="center"/>
          </w:tcPr>
          <w:p w14:paraId="598754F4">
            <w:pPr>
              <w:widowControl/>
              <w:wordWrap w:val="0"/>
              <w:jc w:val="left"/>
              <w:rPr>
                <w:rFonts w:ascii="宋体" w:hAnsi="宋体" w:cs="宋体"/>
                <w:color w:val="auto"/>
                <w:kern w:val="0"/>
                <w:sz w:val="20"/>
                <w:szCs w:val="20"/>
              </w:rPr>
            </w:pPr>
          </w:p>
        </w:tc>
        <w:tc>
          <w:tcPr>
            <w:tcW w:w="1319" w:type="dxa"/>
            <w:vMerge w:val="continue"/>
            <w:tcBorders>
              <w:top w:val="nil"/>
              <w:left w:val="single" w:color="000000" w:sz="8" w:space="0"/>
              <w:bottom w:val="single" w:color="000000" w:sz="8" w:space="0"/>
              <w:right w:val="single" w:color="000000" w:sz="8" w:space="0"/>
            </w:tcBorders>
            <w:vAlign w:val="center"/>
          </w:tcPr>
          <w:p w14:paraId="74185765">
            <w:pPr>
              <w:widowControl/>
              <w:wordWrap w:val="0"/>
              <w:jc w:val="left"/>
              <w:rPr>
                <w:rFonts w:ascii="宋体" w:hAnsi="宋体" w:cs="宋体"/>
                <w:color w:val="auto"/>
                <w:kern w:val="0"/>
                <w:sz w:val="20"/>
                <w:szCs w:val="20"/>
              </w:rPr>
            </w:pPr>
          </w:p>
        </w:tc>
        <w:tc>
          <w:tcPr>
            <w:tcW w:w="1622" w:type="dxa"/>
            <w:tcBorders>
              <w:top w:val="nil"/>
              <w:left w:val="nil"/>
              <w:bottom w:val="single" w:color="000000" w:sz="8" w:space="0"/>
              <w:right w:val="single" w:color="000000" w:sz="8" w:space="0"/>
            </w:tcBorders>
            <w:vAlign w:val="center"/>
          </w:tcPr>
          <w:p w14:paraId="03360BE7">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溴化锂吸收式冷水机组</w:t>
            </w:r>
          </w:p>
        </w:tc>
        <w:tc>
          <w:tcPr>
            <w:tcW w:w="4753" w:type="dxa"/>
            <w:tcBorders>
              <w:top w:val="nil"/>
              <w:left w:val="nil"/>
              <w:bottom w:val="single" w:color="000000" w:sz="8" w:space="0"/>
              <w:right w:val="single" w:color="000000" w:sz="8" w:space="0"/>
            </w:tcBorders>
            <w:vAlign w:val="center"/>
          </w:tcPr>
          <w:p w14:paraId="0727B0D8">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《溴化锂吸收式冷水机组能效限定值及能效等级》（GB29540）</w:t>
            </w:r>
          </w:p>
        </w:tc>
      </w:tr>
      <w:tr w14:paraId="6737F8D9">
        <w:tblPrEx>
          <w:tblCellMar>
            <w:top w:w="0" w:type="dxa"/>
            <w:left w:w="108" w:type="dxa"/>
            <w:bottom w:w="0" w:type="dxa"/>
            <w:right w:w="108" w:type="dxa"/>
          </w:tblCellMar>
        </w:tblPrEx>
        <w:trPr>
          <w:trHeight w:val="970" w:hRule="atLeast"/>
        </w:trPr>
        <w:tc>
          <w:tcPr>
            <w:tcW w:w="659" w:type="dxa"/>
            <w:vMerge w:val="continue"/>
            <w:tcBorders>
              <w:top w:val="nil"/>
              <w:left w:val="single" w:color="000000" w:sz="8" w:space="0"/>
              <w:bottom w:val="single" w:color="000000" w:sz="8" w:space="0"/>
              <w:right w:val="single" w:color="000000" w:sz="8" w:space="0"/>
            </w:tcBorders>
            <w:vAlign w:val="center"/>
          </w:tcPr>
          <w:p w14:paraId="0BB4B31B">
            <w:pPr>
              <w:widowControl/>
              <w:wordWrap w:val="0"/>
              <w:jc w:val="left"/>
              <w:rPr>
                <w:rFonts w:ascii="宋体" w:hAnsi="宋体" w:cs="宋体"/>
                <w:color w:val="auto"/>
                <w:kern w:val="0"/>
                <w:sz w:val="20"/>
                <w:szCs w:val="20"/>
              </w:rPr>
            </w:pPr>
          </w:p>
        </w:tc>
        <w:tc>
          <w:tcPr>
            <w:tcW w:w="1079" w:type="dxa"/>
            <w:vMerge w:val="continue"/>
            <w:tcBorders>
              <w:top w:val="nil"/>
              <w:left w:val="single" w:color="000000" w:sz="8" w:space="0"/>
              <w:bottom w:val="single" w:color="000000" w:sz="8" w:space="0"/>
              <w:right w:val="single" w:color="000000" w:sz="8" w:space="0"/>
            </w:tcBorders>
            <w:vAlign w:val="center"/>
          </w:tcPr>
          <w:p w14:paraId="6C11F4B9">
            <w:pPr>
              <w:widowControl/>
              <w:wordWrap w:val="0"/>
              <w:jc w:val="left"/>
              <w:rPr>
                <w:rFonts w:ascii="宋体" w:hAnsi="宋体" w:cs="宋体"/>
                <w:color w:val="auto"/>
                <w:kern w:val="0"/>
                <w:sz w:val="20"/>
                <w:szCs w:val="20"/>
              </w:rPr>
            </w:pPr>
          </w:p>
        </w:tc>
        <w:tc>
          <w:tcPr>
            <w:tcW w:w="1319" w:type="dxa"/>
            <w:vMerge w:val="restart"/>
            <w:tcBorders>
              <w:top w:val="nil"/>
              <w:left w:val="single" w:color="000000" w:sz="8" w:space="0"/>
              <w:bottom w:val="single" w:color="000000" w:sz="8" w:space="0"/>
              <w:right w:val="single" w:color="000000" w:sz="8" w:space="0"/>
            </w:tcBorders>
            <w:vAlign w:val="center"/>
          </w:tcPr>
          <w:p w14:paraId="7371D225">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★A02052305空调机组</w:t>
            </w:r>
          </w:p>
        </w:tc>
        <w:tc>
          <w:tcPr>
            <w:tcW w:w="1622" w:type="dxa"/>
            <w:tcBorders>
              <w:top w:val="nil"/>
              <w:left w:val="nil"/>
              <w:bottom w:val="single" w:color="000000" w:sz="8" w:space="0"/>
              <w:right w:val="single" w:color="000000" w:sz="8" w:space="0"/>
            </w:tcBorders>
            <w:vAlign w:val="center"/>
          </w:tcPr>
          <w:p w14:paraId="29B98182">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多联式空调（热泵）机组(制冷量&gt;14000W)</w:t>
            </w:r>
          </w:p>
        </w:tc>
        <w:tc>
          <w:tcPr>
            <w:tcW w:w="4753" w:type="dxa"/>
            <w:tcBorders>
              <w:top w:val="nil"/>
              <w:left w:val="nil"/>
              <w:bottom w:val="single" w:color="000000" w:sz="8" w:space="0"/>
              <w:right w:val="single" w:color="000000" w:sz="8" w:space="0"/>
            </w:tcBorders>
            <w:vAlign w:val="center"/>
          </w:tcPr>
          <w:p w14:paraId="2CEFB1DD">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《多联式空调（热泵）机组能效限定值及能源效率等级》（GB21454）</w:t>
            </w:r>
          </w:p>
        </w:tc>
      </w:tr>
      <w:tr w14:paraId="4508B6EB">
        <w:tblPrEx>
          <w:tblCellMar>
            <w:top w:w="0" w:type="dxa"/>
            <w:left w:w="108" w:type="dxa"/>
            <w:bottom w:w="0" w:type="dxa"/>
            <w:right w:w="108" w:type="dxa"/>
          </w:tblCellMar>
        </w:tblPrEx>
        <w:trPr>
          <w:trHeight w:val="970" w:hRule="atLeast"/>
        </w:trPr>
        <w:tc>
          <w:tcPr>
            <w:tcW w:w="659" w:type="dxa"/>
            <w:vMerge w:val="continue"/>
            <w:tcBorders>
              <w:top w:val="nil"/>
              <w:left w:val="single" w:color="000000" w:sz="8" w:space="0"/>
              <w:bottom w:val="single" w:color="000000" w:sz="8" w:space="0"/>
              <w:right w:val="single" w:color="000000" w:sz="8" w:space="0"/>
            </w:tcBorders>
            <w:vAlign w:val="center"/>
          </w:tcPr>
          <w:p w14:paraId="67D6BBD4">
            <w:pPr>
              <w:widowControl/>
              <w:wordWrap w:val="0"/>
              <w:jc w:val="left"/>
              <w:rPr>
                <w:rFonts w:ascii="宋体" w:hAnsi="宋体" w:cs="宋体"/>
                <w:color w:val="auto"/>
                <w:kern w:val="0"/>
                <w:sz w:val="20"/>
                <w:szCs w:val="20"/>
              </w:rPr>
            </w:pPr>
          </w:p>
        </w:tc>
        <w:tc>
          <w:tcPr>
            <w:tcW w:w="1079" w:type="dxa"/>
            <w:vMerge w:val="continue"/>
            <w:tcBorders>
              <w:top w:val="nil"/>
              <w:left w:val="single" w:color="000000" w:sz="8" w:space="0"/>
              <w:bottom w:val="single" w:color="000000" w:sz="8" w:space="0"/>
              <w:right w:val="single" w:color="000000" w:sz="8" w:space="0"/>
            </w:tcBorders>
            <w:vAlign w:val="center"/>
          </w:tcPr>
          <w:p w14:paraId="245C6E5C">
            <w:pPr>
              <w:widowControl/>
              <w:wordWrap w:val="0"/>
              <w:jc w:val="left"/>
              <w:rPr>
                <w:rFonts w:ascii="宋体" w:hAnsi="宋体" w:cs="宋体"/>
                <w:color w:val="auto"/>
                <w:kern w:val="0"/>
                <w:sz w:val="20"/>
                <w:szCs w:val="20"/>
              </w:rPr>
            </w:pPr>
          </w:p>
        </w:tc>
        <w:tc>
          <w:tcPr>
            <w:tcW w:w="1319" w:type="dxa"/>
            <w:vMerge w:val="continue"/>
            <w:tcBorders>
              <w:top w:val="nil"/>
              <w:left w:val="single" w:color="000000" w:sz="8" w:space="0"/>
              <w:bottom w:val="single" w:color="000000" w:sz="8" w:space="0"/>
              <w:right w:val="single" w:color="000000" w:sz="8" w:space="0"/>
            </w:tcBorders>
            <w:vAlign w:val="center"/>
          </w:tcPr>
          <w:p w14:paraId="5809C6DA">
            <w:pPr>
              <w:widowControl/>
              <w:wordWrap w:val="0"/>
              <w:jc w:val="left"/>
              <w:rPr>
                <w:rFonts w:ascii="宋体" w:hAnsi="宋体" w:cs="宋体"/>
                <w:color w:val="auto"/>
                <w:kern w:val="0"/>
                <w:sz w:val="20"/>
                <w:szCs w:val="20"/>
              </w:rPr>
            </w:pPr>
          </w:p>
        </w:tc>
        <w:tc>
          <w:tcPr>
            <w:tcW w:w="1622" w:type="dxa"/>
            <w:tcBorders>
              <w:top w:val="nil"/>
              <w:left w:val="nil"/>
              <w:bottom w:val="single" w:color="000000" w:sz="8" w:space="0"/>
              <w:right w:val="single" w:color="000000" w:sz="8" w:space="0"/>
            </w:tcBorders>
            <w:vAlign w:val="center"/>
          </w:tcPr>
          <w:p w14:paraId="5A0FBCFA">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单元式空气调节机(制冷量&gt;14000W</w:t>
            </w:r>
          </w:p>
        </w:tc>
        <w:tc>
          <w:tcPr>
            <w:tcW w:w="4753" w:type="dxa"/>
            <w:tcBorders>
              <w:top w:val="nil"/>
              <w:left w:val="nil"/>
              <w:bottom w:val="single" w:color="000000" w:sz="8" w:space="0"/>
              <w:right w:val="single" w:color="000000" w:sz="8" w:space="0"/>
            </w:tcBorders>
            <w:vAlign w:val="center"/>
          </w:tcPr>
          <w:p w14:paraId="0ABF09CB">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《单元式空气调节机能效限定值及能效等级》（GB19576）《风管送风式空调机组能效限定值及能效等级》（GB37479）</w:t>
            </w:r>
          </w:p>
        </w:tc>
      </w:tr>
      <w:tr w14:paraId="5C72A5E8">
        <w:tblPrEx>
          <w:tblCellMar>
            <w:top w:w="0" w:type="dxa"/>
            <w:left w:w="108" w:type="dxa"/>
            <w:bottom w:w="0" w:type="dxa"/>
            <w:right w:w="108" w:type="dxa"/>
          </w:tblCellMar>
        </w:tblPrEx>
        <w:trPr>
          <w:trHeight w:val="970" w:hRule="atLeast"/>
        </w:trPr>
        <w:tc>
          <w:tcPr>
            <w:tcW w:w="659" w:type="dxa"/>
            <w:vMerge w:val="continue"/>
            <w:tcBorders>
              <w:top w:val="nil"/>
              <w:left w:val="single" w:color="000000" w:sz="8" w:space="0"/>
              <w:bottom w:val="single" w:color="000000" w:sz="8" w:space="0"/>
              <w:right w:val="single" w:color="000000" w:sz="8" w:space="0"/>
            </w:tcBorders>
            <w:vAlign w:val="center"/>
          </w:tcPr>
          <w:p w14:paraId="7EFEB40B">
            <w:pPr>
              <w:widowControl/>
              <w:wordWrap w:val="0"/>
              <w:jc w:val="left"/>
              <w:rPr>
                <w:rFonts w:ascii="宋体" w:hAnsi="宋体" w:cs="宋体"/>
                <w:color w:val="auto"/>
                <w:kern w:val="0"/>
                <w:sz w:val="20"/>
                <w:szCs w:val="20"/>
              </w:rPr>
            </w:pPr>
          </w:p>
        </w:tc>
        <w:tc>
          <w:tcPr>
            <w:tcW w:w="1079" w:type="dxa"/>
            <w:vMerge w:val="continue"/>
            <w:tcBorders>
              <w:top w:val="nil"/>
              <w:left w:val="single" w:color="000000" w:sz="8" w:space="0"/>
              <w:bottom w:val="single" w:color="000000" w:sz="8" w:space="0"/>
              <w:right w:val="single" w:color="000000" w:sz="8" w:space="0"/>
            </w:tcBorders>
            <w:vAlign w:val="center"/>
          </w:tcPr>
          <w:p w14:paraId="241D1C9F">
            <w:pPr>
              <w:widowControl/>
              <w:wordWrap w:val="0"/>
              <w:jc w:val="left"/>
              <w:rPr>
                <w:rFonts w:ascii="宋体" w:hAnsi="宋体" w:cs="宋体"/>
                <w:color w:val="auto"/>
                <w:kern w:val="0"/>
                <w:sz w:val="20"/>
                <w:szCs w:val="20"/>
              </w:rPr>
            </w:pPr>
          </w:p>
        </w:tc>
        <w:tc>
          <w:tcPr>
            <w:tcW w:w="1319" w:type="dxa"/>
            <w:tcBorders>
              <w:top w:val="nil"/>
              <w:left w:val="nil"/>
              <w:bottom w:val="single" w:color="000000" w:sz="8" w:space="0"/>
              <w:right w:val="single" w:color="000000" w:sz="8" w:space="0"/>
            </w:tcBorders>
            <w:vAlign w:val="center"/>
          </w:tcPr>
          <w:p w14:paraId="6939BB9B">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★A02052309专用制冷、空调设备</w:t>
            </w:r>
          </w:p>
        </w:tc>
        <w:tc>
          <w:tcPr>
            <w:tcW w:w="1622" w:type="dxa"/>
            <w:tcBorders>
              <w:top w:val="nil"/>
              <w:left w:val="nil"/>
              <w:bottom w:val="single" w:color="000000" w:sz="8" w:space="0"/>
              <w:right w:val="single" w:color="000000" w:sz="8" w:space="0"/>
            </w:tcBorders>
            <w:vAlign w:val="center"/>
          </w:tcPr>
          <w:p w14:paraId="020214D4">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机房空调</w:t>
            </w:r>
          </w:p>
        </w:tc>
        <w:tc>
          <w:tcPr>
            <w:tcW w:w="4753" w:type="dxa"/>
            <w:tcBorders>
              <w:top w:val="nil"/>
              <w:left w:val="nil"/>
              <w:bottom w:val="single" w:color="000000" w:sz="8" w:space="0"/>
              <w:right w:val="single" w:color="000000" w:sz="8" w:space="0"/>
            </w:tcBorders>
            <w:vAlign w:val="center"/>
          </w:tcPr>
          <w:p w14:paraId="67E59BDE">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《单元式空气调节机能效限定值及能效等级》（GB19576）</w:t>
            </w:r>
          </w:p>
        </w:tc>
      </w:tr>
      <w:tr w14:paraId="62F1644E">
        <w:tblPrEx>
          <w:tblCellMar>
            <w:top w:w="0" w:type="dxa"/>
            <w:left w:w="108" w:type="dxa"/>
            <w:bottom w:w="0" w:type="dxa"/>
            <w:right w:w="108" w:type="dxa"/>
          </w:tblCellMar>
        </w:tblPrEx>
        <w:trPr>
          <w:trHeight w:val="970" w:hRule="atLeast"/>
        </w:trPr>
        <w:tc>
          <w:tcPr>
            <w:tcW w:w="659" w:type="dxa"/>
            <w:vMerge w:val="continue"/>
            <w:tcBorders>
              <w:top w:val="nil"/>
              <w:left w:val="single" w:color="000000" w:sz="8" w:space="0"/>
              <w:bottom w:val="single" w:color="000000" w:sz="8" w:space="0"/>
              <w:right w:val="single" w:color="000000" w:sz="8" w:space="0"/>
            </w:tcBorders>
            <w:vAlign w:val="center"/>
          </w:tcPr>
          <w:p w14:paraId="03364735">
            <w:pPr>
              <w:widowControl/>
              <w:wordWrap w:val="0"/>
              <w:jc w:val="left"/>
              <w:rPr>
                <w:rFonts w:ascii="宋体" w:hAnsi="宋体" w:cs="宋体"/>
                <w:color w:val="auto"/>
                <w:kern w:val="0"/>
                <w:sz w:val="20"/>
                <w:szCs w:val="20"/>
              </w:rPr>
            </w:pPr>
          </w:p>
        </w:tc>
        <w:tc>
          <w:tcPr>
            <w:tcW w:w="1079" w:type="dxa"/>
            <w:vMerge w:val="continue"/>
            <w:tcBorders>
              <w:top w:val="nil"/>
              <w:left w:val="single" w:color="000000" w:sz="8" w:space="0"/>
              <w:bottom w:val="single" w:color="000000" w:sz="8" w:space="0"/>
              <w:right w:val="single" w:color="000000" w:sz="8" w:space="0"/>
            </w:tcBorders>
            <w:vAlign w:val="center"/>
          </w:tcPr>
          <w:p w14:paraId="01027DD5">
            <w:pPr>
              <w:widowControl/>
              <w:wordWrap w:val="0"/>
              <w:jc w:val="left"/>
              <w:rPr>
                <w:rFonts w:ascii="宋体" w:hAnsi="宋体" w:cs="宋体"/>
                <w:color w:val="auto"/>
                <w:kern w:val="0"/>
                <w:sz w:val="20"/>
                <w:szCs w:val="20"/>
              </w:rPr>
            </w:pPr>
          </w:p>
        </w:tc>
        <w:tc>
          <w:tcPr>
            <w:tcW w:w="1319" w:type="dxa"/>
            <w:tcBorders>
              <w:top w:val="nil"/>
              <w:left w:val="nil"/>
              <w:bottom w:val="single" w:color="000000" w:sz="8" w:space="0"/>
              <w:right w:val="single" w:color="000000" w:sz="8" w:space="0"/>
            </w:tcBorders>
            <w:vAlign w:val="center"/>
          </w:tcPr>
          <w:p w14:paraId="3FC150CA">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A02052399其他制冷空调设备</w:t>
            </w:r>
          </w:p>
        </w:tc>
        <w:tc>
          <w:tcPr>
            <w:tcW w:w="1622" w:type="dxa"/>
            <w:tcBorders>
              <w:top w:val="nil"/>
              <w:left w:val="nil"/>
              <w:bottom w:val="single" w:color="000000" w:sz="8" w:space="0"/>
              <w:right w:val="single" w:color="000000" w:sz="8" w:space="0"/>
            </w:tcBorders>
            <w:vAlign w:val="center"/>
          </w:tcPr>
          <w:p w14:paraId="120CA182">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冷却塔</w:t>
            </w:r>
          </w:p>
        </w:tc>
        <w:tc>
          <w:tcPr>
            <w:tcW w:w="4753" w:type="dxa"/>
            <w:tcBorders>
              <w:top w:val="nil"/>
              <w:left w:val="nil"/>
              <w:bottom w:val="single" w:color="000000" w:sz="8" w:space="0"/>
              <w:right w:val="single" w:color="000000" w:sz="8" w:space="0"/>
            </w:tcBorders>
            <w:vAlign w:val="center"/>
          </w:tcPr>
          <w:p w14:paraId="7C3A081F">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《机械通风冷却塔第1部分：中小型开式冷却塔》（GB/T7190.1）；《机械通风冷却塔第2部分：大型开式冷却塔》（GB/T7190.2）</w:t>
            </w:r>
          </w:p>
        </w:tc>
      </w:tr>
      <w:tr w14:paraId="651E4712">
        <w:tblPrEx>
          <w:tblCellMar>
            <w:top w:w="0" w:type="dxa"/>
            <w:left w:w="108" w:type="dxa"/>
            <w:bottom w:w="0" w:type="dxa"/>
            <w:right w:w="108" w:type="dxa"/>
          </w:tblCellMar>
        </w:tblPrEx>
        <w:trPr>
          <w:trHeight w:val="653" w:hRule="atLeast"/>
        </w:trPr>
        <w:tc>
          <w:tcPr>
            <w:tcW w:w="659" w:type="dxa"/>
            <w:tcBorders>
              <w:top w:val="nil"/>
              <w:left w:val="single" w:color="000000" w:sz="8" w:space="0"/>
              <w:bottom w:val="single" w:color="000000" w:sz="8" w:space="0"/>
              <w:right w:val="single" w:color="000000" w:sz="8" w:space="0"/>
            </w:tcBorders>
            <w:vAlign w:val="center"/>
          </w:tcPr>
          <w:p w14:paraId="1D358EDF">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7</w:t>
            </w:r>
          </w:p>
        </w:tc>
        <w:tc>
          <w:tcPr>
            <w:tcW w:w="1079" w:type="dxa"/>
            <w:tcBorders>
              <w:top w:val="nil"/>
              <w:left w:val="nil"/>
              <w:bottom w:val="single" w:color="000000" w:sz="8" w:space="0"/>
              <w:right w:val="single" w:color="000000" w:sz="8" w:space="0"/>
            </w:tcBorders>
            <w:vAlign w:val="center"/>
          </w:tcPr>
          <w:p w14:paraId="52E6E883">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A020601电机</w:t>
            </w:r>
          </w:p>
        </w:tc>
        <w:tc>
          <w:tcPr>
            <w:tcW w:w="1319" w:type="dxa"/>
            <w:tcBorders>
              <w:top w:val="nil"/>
              <w:left w:val="nil"/>
              <w:bottom w:val="single" w:color="000000" w:sz="8" w:space="0"/>
              <w:right w:val="single" w:color="000000" w:sz="8" w:space="0"/>
            </w:tcBorders>
            <w:vAlign w:val="center"/>
          </w:tcPr>
          <w:p w14:paraId="73DD18CC">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1622" w:type="dxa"/>
            <w:tcBorders>
              <w:top w:val="nil"/>
              <w:left w:val="nil"/>
              <w:bottom w:val="single" w:color="000000" w:sz="8" w:space="0"/>
              <w:right w:val="single" w:color="000000" w:sz="8" w:space="0"/>
            </w:tcBorders>
            <w:vAlign w:val="center"/>
          </w:tcPr>
          <w:p w14:paraId="0D7A17E7">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753" w:type="dxa"/>
            <w:tcBorders>
              <w:top w:val="nil"/>
              <w:left w:val="nil"/>
              <w:bottom w:val="single" w:color="000000" w:sz="8" w:space="0"/>
              <w:right w:val="single" w:color="000000" w:sz="8" w:space="0"/>
            </w:tcBorders>
            <w:vAlign w:val="center"/>
          </w:tcPr>
          <w:p w14:paraId="170E1CFC">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《中小型三相异步电动机能效限定值及能效等级》（GB18613）</w:t>
            </w:r>
          </w:p>
        </w:tc>
      </w:tr>
      <w:tr w14:paraId="712159F6">
        <w:tblPrEx>
          <w:tblCellMar>
            <w:top w:w="0" w:type="dxa"/>
            <w:left w:w="108" w:type="dxa"/>
            <w:bottom w:w="0" w:type="dxa"/>
            <w:right w:w="108" w:type="dxa"/>
          </w:tblCellMar>
        </w:tblPrEx>
        <w:trPr>
          <w:trHeight w:val="653" w:hRule="atLeast"/>
        </w:trPr>
        <w:tc>
          <w:tcPr>
            <w:tcW w:w="659" w:type="dxa"/>
            <w:tcBorders>
              <w:top w:val="nil"/>
              <w:left w:val="single" w:color="000000" w:sz="8" w:space="0"/>
              <w:bottom w:val="single" w:color="000000" w:sz="8" w:space="0"/>
              <w:right w:val="single" w:color="000000" w:sz="8" w:space="0"/>
            </w:tcBorders>
            <w:vAlign w:val="center"/>
          </w:tcPr>
          <w:p w14:paraId="17DE47DA">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8</w:t>
            </w:r>
          </w:p>
        </w:tc>
        <w:tc>
          <w:tcPr>
            <w:tcW w:w="1079" w:type="dxa"/>
            <w:tcBorders>
              <w:top w:val="nil"/>
              <w:left w:val="nil"/>
              <w:bottom w:val="single" w:color="000000" w:sz="8" w:space="0"/>
              <w:right w:val="single" w:color="000000" w:sz="8" w:space="0"/>
            </w:tcBorders>
            <w:vAlign w:val="center"/>
          </w:tcPr>
          <w:p w14:paraId="61447A73">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A020602变压器</w:t>
            </w:r>
          </w:p>
        </w:tc>
        <w:tc>
          <w:tcPr>
            <w:tcW w:w="1319" w:type="dxa"/>
            <w:tcBorders>
              <w:top w:val="nil"/>
              <w:left w:val="nil"/>
              <w:bottom w:val="single" w:color="000000" w:sz="8" w:space="0"/>
              <w:right w:val="single" w:color="000000" w:sz="8" w:space="0"/>
            </w:tcBorders>
            <w:vAlign w:val="center"/>
          </w:tcPr>
          <w:p w14:paraId="52294124">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配电变压器</w:t>
            </w:r>
          </w:p>
        </w:tc>
        <w:tc>
          <w:tcPr>
            <w:tcW w:w="1622" w:type="dxa"/>
            <w:tcBorders>
              <w:top w:val="nil"/>
              <w:left w:val="nil"/>
              <w:bottom w:val="single" w:color="000000" w:sz="8" w:space="0"/>
              <w:right w:val="single" w:color="000000" w:sz="8" w:space="0"/>
            </w:tcBorders>
            <w:vAlign w:val="center"/>
          </w:tcPr>
          <w:p w14:paraId="0A2DF66C">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753" w:type="dxa"/>
            <w:tcBorders>
              <w:top w:val="nil"/>
              <w:left w:val="nil"/>
              <w:bottom w:val="single" w:color="000000" w:sz="8" w:space="0"/>
              <w:right w:val="single" w:color="000000" w:sz="8" w:space="0"/>
            </w:tcBorders>
            <w:vAlign w:val="center"/>
          </w:tcPr>
          <w:p w14:paraId="2109B3EA">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《三相配电变压器能效限定值及能效等级》（GB20052）</w:t>
            </w:r>
          </w:p>
        </w:tc>
      </w:tr>
      <w:tr w14:paraId="280B9C30">
        <w:tblPrEx>
          <w:tblCellMar>
            <w:top w:w="0" w:type="dxa"/>
            <w:left w:w="108" w:type="dxa"/>
            <w:bottom w:w="0" w:type="dxa"/>
            <w:right w:w="108" w:type="dxa"/>
          </w:tblCellMar>
        </w:tblPrEx>
        <w:trPr>
          <w:trHeight w:val="653" w:hRule="atLeast"/>
        </w:trPr>
        <w:tc>
          <w:tcPr>
            <w:tcW w:w="659" w:type="dxa"/>
            <w:tcBorders>
              <w:top w:val="nil"/>
              <w:left w:val="single" w:color="000000" w:sz="8" w:space="0"/>
              <w:bottom w:val="single" w:color="000000" w:sz="8" w:space="0"/>
              <w:right w:val="single" w:color="000000" w:sz="8" w:space="0"/>
            </w:tcBorders>
            <w:vAlign w:val="center"/>
          </w:tcPr>
          <w:p w14:paraId="7FF4D0D2">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9</w:t>
            </w:r>
          </w:p>
        </w:tc>
        <w:tc>
          <w:tcPr>
            <w:tcW w:w="1079" w:type="dxa"/>
            <w:tcBorders>
              <w:top w:val="nil"/>
              <w:left w:val="nil"/>
              <w:bottom w:val="single" w:color="000000" w:sz="8" w:space="0"/>
              <w:right w:val="single" w:color="000000" w:sz="8" w:space="0"/>
            </w:tcBorders>
            <w:vAlign w:val="center"/>
          </w:tcPr>
          <w:p w14:paraId="2D2786D2">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★A020609镇流器</w:t>
            </w:r>
          </w:p>
        </w:tc>
        <w:tc>
          <w:tcPr>
            <w:tcW w:w="1319" w:type="dxa"/>
            <w:tcBorders>
              <w:top w:val="nil"/>
              <w:left w:val="nil"/>
              <w:bottom w:val="single" w:color="000000" w:sz="8" w:space="0"/>
              <w:right w:val="single" w:color="000000" w:sz="8" w:space="0"/>
            </w:tcBorders>
            <w:vAlign w:val="center"/>
          </w:tcPr>
          <w:p w14:paraId="5A1C1298">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管型荧光灯镇流器</w:t>
            </w:r>
          </w:p>
        </w:tc>
        <w:tc>
          <w:tcPr>
            <w:tcW w:w="1622" w:type="dxa"/>
            <w:tcBorders>
              <w:top w:val="nil"/>
              <w:left w:val="nil"/>
              <w:bottom w:val="single" w:color="000000" w:sz="8" w:space="0"/>
              <w:right w:val="single" w:color="000000" w:sz="8" w:space="0"/>
            </w:tcBorders>
            <w:vAlign w:val="center"/>
          </w:tcPr>
          <w:p w14:paraId="10AF4819">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753" w:type="dxa"/>
            <w:tcBorders>
              <w:top w:val="nil"/>
              <w:left w:val="nil"/>
              <w:bottom w:val="single" w:color="000000" w:sz="8" w:space="0"/>
              <w:right w:val="single" w:color="000000" w:sz="8" w:space="0"/>
            </w:tcBorders>
            <w:vAlign w:val="center"/>
          </w:tcPr>
          <w:p w14:paraId="49313B24">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《管形荧光灯镇流器能效限定值及能效等级》（GB17896）</w:t>
            </w:r>
          </w:p>
        </w:tc>
      </w:tr>
      <w:tr w14:paraId="3A54DD4A">
        <w:tblPrEx>
          <w:tblCellMar>
            <w:top w:w="0" w:type="dxa"/>
            <w:left w:w="108" w:type="dxa"/>
            <w:bottom w:w="0" w:type="dxa"/>
            <w:right w:w="108" w:type="dxa"/>
          </w:tblCellMar>
        </w:tblPrEx>
        <w:trPr>
          <w:trHeight w:val="653" w:hRule="atLeast"/>
        </w:trPr>
        <w:tc>
          <w:tcPr>
            <w:tcW w:w="659" w:type="dxa"/>
            <w:vMerge w:val="restart"/>
            <w:tcBorders>
              <w:top w:val="nil"/>
              <w:left w:val="single" w:color="000000" w:sz="8" w:space="0"/>
              <w:bottom w:val="single" w:color="000000" w:sz="8" w:space="0"/>
              <w:right w:val="single" w:color="000000" w:sz="8" w:space="0"/>
            </w:tcBorders>
            <w:vAlign w:val="center"/>
          </w:tcPr>
          <w:p w14:paraId="63A6A004">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10</w:t>
            </w:r>
          </w:p>
        </w:tc>
        <w:tc>
          <w:tcPr>
            <w:tcW w:w="1079" w:type="dxa"/>
            <w:vMerge w:val="restart"/>
            <w:tcBorders>
              <w:top w:val="nil"/>
              <w:left w:val="single" w:color="000000" w:sz="8" w:space="0"/>
              <w:bottom w:val="single" w:color="000000" w:sz="8" w:space="0"/>
              <w:right w:val="single" w:color="000000" w:sz="8" w:space="0"/>
            </w:tcBorders>
            <w:vAlign w:val="center"/>
          </w:tcPr>
          <w:p w14:paraId="71FF8708">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A020618生活用电器</w:t>
            </w:r>
          </w:p>
        </w:tc>
        <w:tc>
          <w:tcPr>
            <w:tcW w:w="1319" w:type="dxa"/>
            <w:tcBorders>
              <w:top w:val="nil"/>
              <w:left w:val="nil"/>
              <w:bottom w:val="single" w:color="000000" w:sz="8" w:space="0"/>
              <w:right w:val="single" w:color="000000" w:sz="8" w:space="0"/>
            </w:tcBorders>
            <w:vAlign w:val="center"/>
          </w:tcPr>
          <w:p w14:paraId="6AB14574">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A0206180101电冰箱</w:t>
            </w:r>
          </w:p>
        </w:tc>
        <w:tc>
          <w:tcPr>
            <w:tcW w:w="1622" w:type="dxa"/>
            <w:tcBorders>
              <w:top w:val="nil"/>
              <w:left w:val="nil"/>
              <w:bottom w:val="single" w:color="000000" w:sz="8" w:space="0"/>
              <w:right w:val="single" w:color="000000" w:sz="8" w:space="0"/>
            </w:tcBorders>
            <w:vAlign w:val="center"/>
          </w:tcPr>
          <w:p w14:paraId="12C37E0A">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753" w:type="dxa"/>
            <w:tcBorders>
              <w:top w:val="nil"/>
              <w:left w:val="nil"/>
              <w:bottom w:val="single" w:color="000000" w:sz="8" w:space="0"/>
              <w:right w:val="single" w:color="000000" w:sz="8" w:space="0"/>
            </w:tcBorders>
            <w:vAlign w:val="center"/>
          </w:tcPr>
          <w:p w14:paraId="6F58EFD4">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《家用电冰箱耗电量限定值及能效等级》（GB12021.2）</w:t>
            </w:r>
          </w:p>
        </w:tc>
      </w:tr>
      <w:tr w14:paraId="21E2B66C">
        <w:tblPrEx>
          <w:tblCellMar>
            <w:top w:w="0" w:type="dxa"/>
            <w:left w:w="108" w:type="dxa"/>
            <w:bottom w:w="0" w:type="dxa"/>
            <w:right w:w="108" w:type="dxa"/>
          </w:tblCellMar>
        </w:tblPrEx>
        <w:trPr>
          <w:trHeight w:val="1287" w:hRule="atLeast"/>
        </w:trPr>
        <w:tc>
          <w:tcPr>
            <w:tcW w:w="659" w:type="dxa"/>
            <w:vMerge w:val="continue"/>
            <w:tcBorders>
              <w:top w:val="nil"/>
              <w:left w:val="single" w:color="000000" w:sz="8" w:space="0"/>
              <w:bottom w:val="single" w:color="000000" w:sz="8" w:space="0"/>
              <w:right w:val="single" w:color="000000" w:sz="8" w:space="0"/>
            </w:tcBorders>
            <w:vAlign w:val="center"/>
          </w:tcPr>
          <w:p w14:paraId="74D7B67B">
            <w:pPr>
              <w:widowControl/>
              <w:wordWrap w:val="0"/>
              <w:jc w:val="left"/>
              <w:rPr>
                <w:rFonts w:ascii="宋体" w:hAnsi="宋体" w:cs="宋体"/>
                <w:color w:val="auto"/>
                <w:kern w:val="0"/>
                <w:sz w:val="20"/>
                <w:szCs w:val="20"/>
              </w:rPr>
            </w:pPr>
          </w:p>
        </w:tc>
        <w:tc>
          <w:tcPr>
            <w:tcW w:w="1079" w:type="dxa"/>
            <w:vMerge w:val="continue"/>
            <w:tcBorders>
              <w:top w:val="nil"/>
              <w:left w:val="single" w:color="000000" w:sz="8" w:space="0"/>
              <w:bottom w:val="single" w:color="000000" w:sz="8" w:space="0"/>
              <w:right w:val="single" w:color="000000" w:sz="8" w:space="0"/>
            </w:tcBorders>
            <w:vAlign w:val="center"/>
          </w:tcPr>
          <w:p w14:paraId="45CE5234">
            <w:pPr>
              <w:widowControl/>
              <w:wordWrap w:val="0"/>
              <w:jc w:val="left"/>
              <w:rPr>
                <w:rFonts w:ascii="宋体" w:hAnsi="宋体" w:cs="宋体"/>
                <w:color w:val="auto"/>
                <w:kern w:val="0"/>
                <w:sz w:val="20"/>
                <w:szCs w:val="20"/>
              </w:rPr>
            </w:pPr>
          </w:p>
        </w:tc>
        <w:tc>
          <w:tcPr>
            <w:tcW w:w="1319" w:type="dxa"/>
            <w:vMerge w:val="restart"/>
            <w:tcBorders>
              <w:top w:val="nil"/>
              <w:left w:val="single" w:color="000000" w:sz="8" w:space="0"/>
              <w:bottom w:val="single" w:color="000000" w:sz="8" w:space="0"/>
              <w:right w:val="single" w:color="000000" w:sz="8" w:space="0"/>
            </w:tcBorders>
            <w:vAlign w:val="center"/>
          </w:tcPr>
          <w:p w14:paraId="6DD10BE9">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★A0206180203空调机</w:t>
            </w:r>
          </w:p>
        </w:tc>
        <w:tc>
          <w:tcPr>
            <w:tcW w:w="1622" w:type="dxa"/>
            <w:tcBorders>
              <w:top w:val="nil"/>
              <w:left w:val="nil"/>
              <w:bottom w:val="single" w:color="000000" w:sz="8" w:space="0"/>
              <w:right w:val="single" w:color="000000" w:sz="8" w:space="0"/>
            </w:tcBorders>
            <w:vAlign w:val="center"/>
          </w:tcPr>
          <w:p w14:paraId="0581F537">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房间空气调节器</w:t>
            </w:r>
          </w:p>
        </w:tc>
        <w:tc>
          <w:tcPr>
            <w:tcW w:w="4753" w:type="dxa"/>
            <w:tcBorders>
              <w:top w:val="nil"/>
              <w:left w:val="nil"/>
              <w:bottom w:val="single" w:color="000000" w:sz="8" w:space="0"/>
              <w:right w:val="single" w:color="000000" w:sz="8" w:space="0"/>
            </w:tcBorders>
            <w:vAlign w:val="center"/>
          </w:tcPr>
          <w:p w14:paraId="0679EA34">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《转速可控型房间空气调节器能效限定值及能效等级》（GB21455-2013），待2019年修订发布后，按《房间空气调节器能效限定值及能效等级》（GB21455-2019实施。</w:t>
            </w:r>
          </w:p>
        </w:tc>
      </w:tr>
      <w:tr w14:paraId="5F76EB7C">
        <w:tblPrEx>
          <w:tblCellMar>
            <w:top w:w="0" w:type="dxa"/>
            <w:left w:w="108" w:type="dxa"/>
            <w:bottom w:w="0" w:type="dxa"/>
            <w:right w:w="108" w:type="dxa"/>
          </w:tblCellMar>
        </w:tblPrEx>
        <w:trPr>
          <w:trHeight w:val="970" w:hRule="atLeast"/>
        </w:trPr>
        <w:tc>
          <w:tcPr>
            <w:tcW w:w="659" w:type="dxa"/>
            <w:vMerge w:val="continue"/>
            <w:tcBorders>
              <w:top w:val="nil"/>
              <w:left w:val="single" w:color="000000" w:sz="8" w:space="0"/>
              <w:bottom w:val="single" w:color="000000" w:sz="8" w:space="0"/>
              <w:right w:val="single" w:color="000000" w:sz="8" w:space="0"/>
            </w:tcBorders>
            <w:vAlign w:val="center"/>
          </w:tcPr>
          <w:p w14:paraId="010D56F2">
            <w:pPr>
              <w:widowControl/>
              <w:wordWrap w:val="0"/>
              <w:jc w:val="left"/>
              <w:rPr>
                <w:rFonts w:ascii="宋体" w:hAnsi="宋体" w:cs="宋体"/>
                <w:color w:val="auto"/>
                <w:kern w:val="0"/>
                <w:sz w:val="20"/>
                <w:szCs w:val="20"/>
              </w:rPr>
            </w:pPr>
          </w:p>
        </w:tc>
        <w:tc>
          <w:tcPr>
            <w:tcW w:w="1079" w:type="dxa"/>
            <w:vMerge w:val="continue"/>
            <w:tcBorders>
              <w:top w:val="nil"/>
              <w:left w:val="single" w:color="000000" w:sz="8" w:space="0"/>
              <w:bottom w:val="single" w:color="000000" w:sz="8" w:space="0"/>
              <w:right w:val="single" w:color="000000" w:sz="8" w:space="0"/>
            </w:tcBorders>
            <w:vAlign w:val="center"/>
          </w:tcPr>
          <w:p w14:paraId="55E12D71">
            <w:pPr>
              <w:widowControl/>
              <w:wordWrap w:val="0"/>
              <w:jc w:val="left"/>
              <w:rPr>
                <w:rFonts w:ascii="宋体" w:hAnsi="宋体" w:cs="宋体"/>
                <w:color w:val="auto"/>
                <w:kern w:val="0"/>
                <w:sz w:val="20"/>
                <w:szCs w:val="20"/>
              </w:rPr>
            </w:pPr>
          </w:p>
        </w:tc>
        <w:tc>
          <w:tcPr>
            <w:tcW w:w="1319" w:type="dxa"/>
            <w:vMerge w:val="continue"/>
            <w:tcBorders>
              <w:top w:val="nil"/>
              <w:left w:val="single" w:color="000000" w:sz="8" w:space="0"/>
              <w:bottom w:val="single" w:color="000000" w:sz="8" w:space="0"/>
              <w:right w:val="single" w:color="000000" w:sz="8" w:space="0"/>
            </w:tcBorders>
            <w:vAlign w:val="center"/>
          </w:tcPr>
          <w:p w14:paraId="17F90D17">
            <w:pPr>
              <w:widowControl/>
              <w:wordWrap w:val="0"/>
              <w:jc w:val="left"/>
              <w:rPr>
                <w:rFonts w:ascii="宋体" w:hAnsi="宋体" w:cs="宋体"/>
                <w:color w:val="auto"/>
                <w:kern w:val="0"/>
                <w:sz w:val="20"/>
                <w:szCs w:val="20"/>
              </w:rPr>
            </w:pPr>
          </w:p>
        </w:tc>
        <w:tc>
          <w:tcPr>
            <w:tcW w:w="1622" w:type="dxa"/>
            <w:tcBorders>
              <w:top w:val="nil"/>
              <w:left w:val="nil"/>
              <w:bottom w:val="single" w:color="000000" w:sz="8" w:space="0"/>
              <w:right w:val="single" w:color="000000" w:sz="8" w:space="0"/>
            </w:tcBorders>
            <w:vAlign w:val="center"/>
          </w:tcPr>
          <w:p w14:paraId="7405067B">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多联式空调（热泵）机组（制冷量≤14000W）</w:t>
            </w:r>
          </w:p>
        </w:tc>
        <w:tc>
          <w:tcPr>
            <w:tcW w:w="4753" w:type="dxa"/>
            <w:tcBorders>
              <w:top w:val="nil"/>
              <w:left w:val="nil"/>
              <w:bottom w:val="single" w:color="000000" w:sz="8" w:space="0"/>
              <w:right w:val="single" w:color="000000" w:sz="8" w:space="0"/>
            </w:tcBorders>
            <w:vAlign w:val="center"/>
          </w:tcPr>
          <w:p w14:paraId="5C99A2CD">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《多联式空调（热泵）机组能效限定值及能源效率等级》（GB21454）</w:t>
            </w:r>
          </w:p>
        </w:tc>
      </w:tr>
      <w:tr w14:paraId="61E720BB">
        <w:tblPrEx>
          <w:tblCellMar>
            <w:top w:w="0" w:type="dxa"/>
            <w:left w:w="108" w:type="dxa"/>
            <w:bottom w:w="0" w:type="dxa"/>
            <w:right w:w="108" w:type="dxa"/>
          </w:tblCellMar>
        </w:tblPrEx>
        <w:trPr>
          <w:trHeight w:val="970" w:hRule="atLeast"/>
        </w:trPr>
        <w:tc>
          <w:tcPr>
            <w:tcW w:w="659" w:type="dxa"/>
            <w:vMerge w:val="continue"/>
            <w:tcBorders>
              <w:top w:val="nil"/>
              <w:left w:val="single" w:color="000000" w:sz="8" w:space="0"/>
              <w:bottom w:val="single" w:color="000000" w:sz="8" w:space="0"/>
              <w:right w:val="single" w:color="000000" w:sz="8" w:space="0"/>
            </w:tcBorders>
            <w:vAlign w:val="center"/>
          </w:tcPr>
          <w:p w14:paraId="27671C18">
            <w:pPr>
              <w:widowControl/>
              <w:wordWrap w:val="0"/>
              <w:jc w:val="left"/>
              <w:rPr>
                <w:rFonts w:ascii="宋体" w:hAnsi="宋体" w:cs="宋体"/>
                <w:color w:val="auto"/>
                <w:kern w:val="0"/>
                <w:sz w:val="20"/>
                <w:szCs w:val="20"/>
              </w:rPr>
            </w:pPr>
          </w:p>
        </w:tc>
        <w:tc>
          <w:tcPr>
            <w:tcW w:w="1079" w:type="dxa"/>
            <w:vMerge w:val="continue"/>
            <w:tcBorders>
              <w:top w:val="nil"/>
              <w:left w:val="single" w:color="000000" w:sz="8" w:space="0"/>
              <w:bottom w:val="single" w:color="000000" w:sz="8" w:space="0"/>
              <w:right w:val="single" w:color="000000" w:sz="8" w:space="0"/>
            </w:tcBorders>
            <w:vAlign w:val="center"/>
          </w:tcPr>
          <w:p w14:paraId="19209A0F">
            <w:pPr>
              <w:widowControl/>
              <w:wordWrap w:val="0"/>
              <w:jc w:val="left"/>
              <w:rPr>
                <w:rFonts w:ascii="宋体" w:hAnsi="宋体" w:cs="宋体"/>
                <w:color w:val="auto"/>
                <w:kern w:val="0"/>
                <w:sz w:val="20"/>
                <w:szCs w:val="20"/>
              </w:rPr>
            </w:pPr>
          </w:p>
        </w:tc>
        <w:tc>
          <w:tcPr>
            <w:tcW w:w="1319" w:type="dxa"/>
            <w:vMerge w:val="continue"/>
            <w:tcBorders>
              <w:top w:val="nil"/>
              <w:left w:val="single" w:color="000000" w:sz="8" w:space="0"/>
              <w:bottom w:val="single" w:color="000000" w:sz="8" w:space="0"/>
              <w:right w:val="single" w:color="000000" w:sz="8" w:space="0"/>
            </w:tcBorders>
            <w:vAlign w:val="center"/>
          </w:tcPr>
          <w:p w14:paraId="0AC81D1F">
            <w:pPr>
              <w:widowControl/>
              <w:wordWrap w:val="0"/>
              <w:jc w:val="left"/>
              <w:rPr>
                <w:rFonts w:ascii="宋体" w:hAnsi="宋体" w:cs="宋体"/>
                <w:color w:val="auto"/>
                <w:kern w:val="0"/>
                <w:sz w:val="20"/>
                <w:szCs w:val="20"/>
              </w:rPr>
            </w:pPr>
          </w:p>
        </w:tc>
        <w:tc>
          <w:tcPr>
            <w:tcW w:w="1622" w:type="dxa"/>
            <w:tcBorders>
              <w:top w:val="nil"/>
              <w:left w:val="nil"/>
              <w:bottom w:val="single" w:color="000000" w:sz="8" w:space="0"/>
              <w:right w:val="single" w:color="000000" w:sz="8" w:space="0"/>
            </w:tcBorders>
            <w:vAlign w:val="center"/>
          </w:tcPr>
          <w:p w14:paraId="4F7266CF">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单元式空气调节机(制冷量≤14000W)</w:t>
            </w:r>
          </w:p>
        </w:tc>
        <w:tc>
          <w:tcPr>
            <w:tcW w:w="4753" w:type="dxa"/>
            <w:tcBorders>
              <w:top w:val="nil"/>
              <w:left w:val="nil"/>
              <w:bottom w:val="single" w:color="000000" w:sz="8" w:space="0"/>
              <w:right w:val="single" w:color="000000" w:sz="8" w:space="0"/>
            </w:tcBorders>
            <w:vAlign w:val="center"/>
          </w:tcPr>
          <w:p w14:paraId="2CF2A1DF">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《单元式空气调节机能效限定值及能源效率等级》（GB19576）《风管送风式空调机组能效限定值及能效等级》（GB37479）</w:t>
            </w:r>
          </w:p>
        </w:tc>
      </w:tr>
      <w:tr w14:paraId="011049A9">
        <w:tblPrEx>
          <w:tblCellMar>
            <w:top w:w="0" w:type="dxa"/>
            <w:left w:w="108" w:type="dxa"/>
            <w:bottom w:w="0" w:type="dxa"/>
            <w:right w:w="108" w:type="dxa"/>
          </w:tblCellMar>
        </w:tblPrEx>
        <w:trPr>
          <w:trHeight w:val="653" w:hRule="atLeast"/>
        </w:trPr>
        <w:tc>
          <w:tcPr>
            <w:tcW w:w="659" w:type="dxa"/>
            <w:vMerge w:val="continue"/>
            <w:tcBorders>
              <w:top w:val="nil"/>
              <w:left w:val="single" w:color="000000" w:sz="8" w:space="0"/>
              <w:bottom w:val="single" w:color="000000" w:sz="8" w:space="0"/>
              <w:right w:val="single" w:color="000000" w:sz="8" w:space="0"/>
            </w:tcBorders>
            <w:vAlign w:val="center"/>
          </w:tcPr>
          <w:p w14:paraId="177D01FD">
            <w:pPr>
              <w:widowControl/>
              <w:wordWrap w:val="0"/>
              <w:jc w:val="left"/>
              <w:rPr>
                <w:rFonts w:ascii="宋体" w:hAnsi="宋体" w:cs="宋体"/>
                <w:color w:val="auto"/>
                <w:kern w:val="0"/>
                <w:sz w:val="20"/>
                <w:szCs w:val="20"/>
              </w:rPr>
            </w:pPr>
          </w:p>
        </w:tc>
        <w:tc>
          <w:tcPr>
            <w:tcW w:w="1079" w:type="dxa"/>
            <w:vMerge w:val="continue"/>
            <w:tcBorders>
              <w:top w:val="nil"/>
              <w:left w:val="single" w:color="000000" w:sz="8" w:space="0"/>
              <w:bottom w:val="single" w:color="000000" w:sz="8" w:space="0"/>
              <w:right w:val="single" w:color="000000" w:sz="8" w:space="0"/>
            </w:tcBorders>
            <w:vAlign w:val="center"/>
          </w:tcPr>
          <w:p w14:paraId="7E369DBE">
            <w:pPr>
              <w:widowControl/>
              <w:wordWrap w:val="0"/>
              <w:jc w:val="left"/>
              <w:rPr>
                <w:rFonts w:ascii="宋体" w:hAnsi="宋体" w:cs="宋体"/>
                <w:color w:val="auto"/>
                <w:kern w:val="0"/>
                <w:sz w:val="20"/>
                <w:szCs w:val="20"/>
              </w:rPr>
            </w:pPr>
          </w:p>
        </w:tc>
        <w:tc>
          <w:tcPr>
            <w:tcW w:w="1319" w:type="dxa"/>
            <w:tcBorders>
              <w:top w:val="nil"/>
              <w:left w:val="nil"/>
              <w:bottom w:val="single" w:color="000000" w:sz="8" w:space="0"/>
              <w:right w:val="single" w:color="000000" w:sz="8" w:space="0"/>
            </w:tcBorders>
            <w:vAlign w:val="center"/>
          </w:tcPr>
          <w:p w14:paraId="5B68D228">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A0206180301洗衣机</w:t>
            </w:r>
          </w:p>
        </w:tc>
        <w:tc>
          <w:tcPr>
            <w:tcW w:w="1622" w:type="dxa"/>
            <w:tcBorders>
              <w:top w:val="nil"/>
              <w:left w:val="nil"/>
              <w:bottom w:val="single" w:color="000000" w:sz="8" w:space="0"/>
              <w:right w:val="single" w:color="000000" w:sz="8" w:space="0"/>
            </w:tcBorders>
            <w:vAlign w:val="center"/>
          </w:tcPr>
          <w:p w14:paraId="23890CE6">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753" w:type="dxa"/>
            <w:tcBorders>
              <w:top w:val="nil"/>
              <w:left w:val="nil"/>
              <w:bottom w:val="single" w:color="000000" w:sz="8" w:space="0"/>
              <w:right w:val="single" w:color="000000" w:sz="8" w:space="0"/>
            </w:tcBorders>
            <w:vAlign w:val="center"/>
          </w:tcPr>
          <w:p w14:paraId="3A806EE1">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《电动洗衣机能效水效限定值及等级》（GB12021.4）</w:t>
            </w:r>
          </w:p>
        </w:tc>
      </w:tr>
      <w:tr w14:paraId="3E258135">
        <w:tblPrEx>
          <w:tblCellMar>
            <w:top w:w="0" w:type="dxa"/>
            <w:left w:w="108" w:type="dxa"/>
            <w:bottom w:w="0" w:type="dxa"/>
            <w:right w:w="108" w:type="dxa"/>
          </w:tblCellMar>
        </w:tblPrEx>
        <w:trPr>
          <w:trHeight w:val="653" w:hRule="atLeast"/>
        </w:trPr>
        <w:tc>
          <w:tcPr>
            <w:tcW w:w="659" w:type="dxa"/>
            <w:vMerge w:val="continue"/>
            <w:tcBorders>
              <w:top w:val="nil"/>
              <w:left w:val="single" w:color="000000" w:sz="8" w:space="0"/>
              <w:bottom w:val="single" w:color="000000" w:sz="8" w:space="0"/>
              <w:right w:val="single" w:color="000000" w:sz="8" w:space="0"/>
            </w:tcBorders>
            <w:vAlign w:val="center"/>
          </w:tcPr>
          <w:p w14:paraId="1A8D606B">
            <w:pPr>
              <w:widowControl/>
              <w:wordWrap w:val="0"/>
              <w:jc w:val="left"/>
              <w:rPr>
                <w:rFonts w:ascii="宋体" w:hAnsi="宋体" w:cs="宋体"/>
                <w:color w:val="auto"/>
                <w:kern w:val="0"/>
                <w:sz w:val="20"/>
                <w:szCs w:val="20"/>
              </w:rPr>
            </w:pPr>
          </w:p>
        </w:tc>
        <w:tc>
          <w:tcPr>
            <w:tcW w:w="1079" w:type="dxa"/>
            <w:vMerge w:val="continue"/>
            <w:tcBorders>
              <w:top w:val="nil"/>
              <w:left w:val="single" w:color="000000" w:sz="8" w:space="0"/>
              <w:bottom w:val="single" w:color="000000" w:sz="8" w:space="0"/>
              <w:right w:val="single" w:color="000000" w:sz="8" w:space="0"/>
            </w:tcBorders>
            <w:vAlign w:val="center"/>
          </w:tcPr>
          <w:p w14:paraId="306E7BFE">
            <w:pPr>
              <w:widowControl/>
              <w:wordWrap w:val="0"/>
              <w:jc w:val="left"/>
              <w:rPr>
                <w:rFonts w:ascii="宋体" w:hAnsi="宋体" w:cs="宋体"/>
                <w:color w:val="auto"/>
                <w:kern w:val="0"/>
                <w:sz w:val="20"/>
                <w:szCs w:val="20"/>
              </w:rPr>
            </w:pPr>
          </w:p>
        </w:tc>
        <w:tc>
          <w:tcPr>
            <w:tcW w:w="1319" w:type="dxa"/>
            <w:vMerge w:val="restart"/>
            <w:tcBorders>
              <w:top w:val="nil"/>
              <w:left w:val="single" w:color="000000" w:sz="8" w:space="0"/>
              <w:bottom w:val="single" w:color="000000" w:sz="8" w:space="0"/>
              <w:right w:val="single" w:color="000000" w:sz="8" w:space="0"/>
            </w:tcBorders>
            <w:vAlign w:val="center"/>
          </w:tcPr>
          <w:p w14:paraId="27374F56">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A02061808热水器</w:t>
            </w:r>
          </w:p>
        </w:tc>
        <w:tc>
          <w:tcPr>
            <w:tcW w:w="1622" w:type="dxa"/>
            <w:tcBorders>
              <w:top w:val="nil"/>
              <w:left w:val="nil"/>
              <w:bottom w:val="single" w:color="000000" w:sz="8" w:space="0"/>
              <w:right w:val="single" w:color="000000" w:sz="8" w:space="0"/>
            </w:tcBorders>
            <w:vAlign w:val="center"/>
          </w:tcPr>
          <w:p w14:paraId="46F296B3">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★电热水器</w:t>
            </w:r>
          </w:p>
        </w:tc>
        <w:tc>
          <w:tcPr>
            <w:tcW w:w="4753" w:type="dxa"/>
            <w:tcBorders>
              <w:top w:val="nil"/>
              <w:left w:val="nil"/>
              <w:bottom w:val="single" w:color="000000" w:sz="8" w:space="0"/>
              <w:right w:val="single" w:color="000000" w:sz="8" w:space="0"/>
            </w:tcBorders>
            <w:vAlign w:val="center"/>
          </w:tcPr>
          <w:p w14:paraId="0729691C">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《储水式电热水器能效限定值及能效等级》（GB21519）</w:t>
            </w:r>
          </w:p>
        </w:tc>
      </w:tr>
      <w:tr w14:paraId="3733C2BC">
        <w:tblPrEx>
          <w:tblCellMar>
            <w:top w:w="0" w:type="dxa"/>
            <w:left w:w="108" w:type="dxa"/>
            <w:bottom w:w="0" w:type="dxa"/>
            <w:right w:w="108" w:type="dxa"/>
          </w:tblCellMar>
        </w:tblPrEx>
        <w:trPr>
          <w:trHeight w:val="653" w:hRule="atLeast"/>
        </w:trPr>
        <w:tc>
          <w:tcPr>
            <w:tcW w:w="659" w:type="dxa"/>
            <w:vMerge w:val="continue"/>
            <w:tcBorders>
              <w:top w:val="nil"/>
              <w:left w:val="single" w:color="000000" w:sz="8" w:space="0"/>
              <w:bottom w:val="single" w:color="000000" w:sz="8" w:space="0"/>
              <w:right w:val="single" w:color="000000" w:sz="8" w:space="0"/>
            </w:tcBorders>
            <w:vAlign w:val="center"/>
          </w:tcPr>
          <w:p w14:paraId="1F067E0C">
            <w:pPr>
              <w:widowControl/>
              <w:wordWrap w:val="0"/>
              <w:jc w:val="left"/>
              <w:rPr>
                <w:rFonts w:ascii="宋体" w:hAnsi="宋体" w:cs="宋体"/>
                <w:color w:val="auto"/>
                <w:kern w:val="0"/>
                <w:sz w:val="20"/>
                <w:szCs w:val="20"/>
              </w:rPr>
            </w:pPr>
          </w:p>
        </w:tc>
        <w:tc>
          <w:tcPr>
            <w:tcW w:w="1079" w:type="dxa"/>
            <w:vMerge w:val="continue"/>
            <w:tcBorders>
              <w:top w:val="nil"/>
              <w:left w:val="single" w:color="000000" w:sz="8" w:space="0"/>
              <w:bottom w:val="single" w:color="000000" w:sz="8" w:space="0"/>
              <w:right w:val="single" w:color="000000" w:sz="8" w:space="0"/>
            </w:tcBorders>
            <w:vAlign w:val="center"/>
          </w:tcPr>
          <w:p w14:paraId="7E20E3B1">
            <w:pPr>
              <w:widowControl/>
              <w:wordWrap w:val="0"/>
              <w:jc w:val="left"/>
              <w:rPr>
                <w:rFonts w:ascii="宋体" w:hAnsi="宋体" w:cs="宋体"/>
                <w:color w:val="auto"/>
                <w:kern w:val="0"/>
                <w:sz w:val="20"/>
                <w:szCs w:val="20"/>
              </w:rPr>
            </w:pPr>
          </w:p>
        </w:tc>
        <w:tc>
          <w:tcPr>
            <w:tcW w:w="1319" w:type="dxa"/>
            <w:vMerge w:val="continue"/>
            <w:tcBorders>
              <w:top w:val="nil"/>
              <w:left w:val="single" w:color="000000" w:sz="8" w:space="0"/>
              <w:bottom w:val="single" w:color="000000" w:sz="8" w:space="0"/>
              <w:right w:val="single" w:color="000000" w:sz="8" w:space="0"/>
            </w:tcBorders>
            <w:vAlign w:val="center"/>
          </w:tcPr>
          <w:p w14:paraId="449E3D5F">
            <w:pPr>
              <w:widowControl/>
              <w:wordWrap w:val="0"/>
              <w:jc w:val="left"/>
              <w:rPr>
                <w:rFonts w:ascii="宋体" w:hAnsi="宋体" w:cs="宋体"/>
                <w:color w:val="auto"/>
                <w:kern w:val="0"/>
                <w:sz w:val="20"/>
                <w:szCs w:val="20"/>
              </w:rPr>
            </w:pPr>
          </w:p>
        </w:tc>
        <w:tc>
          <w:tcPr>
            <w:tcW w:w="1622" w:type="dxa"/>
            <w:tcBorders>
              <w:top w:val="nil"/>
              <w:left w:val="nil"/>
              <w:bottom w:val="single" w:color="000000" w:sz="8" w:space="0"/>
              <w:right w:val="single" w:color="000000" w:sz="8" w:space="0"/>
            </w:tcBorders>
            <w:vAlign w:val="center"/>
          </w:tcPr>
          <w:p w14:paraId="17E00043">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燃气热水器</w:t>
            </w:r>
          </w:p>
        </w:tc>
        <w:tc>
          <w:tcPr>
            <w:tcW w:w="4753" w:type="dxa"/>
            <w:tcBorders>
              <w:top w:val="nil"/>
              <w:left w:val="nil"/>
              <w:bottom w:val="single" w:color="000000" w:sz="8" w:space="0"/>
              <w:right w:val="single" w:color="000000" w:sz="8" w:space="0"/>
            </w:tcBorders>
            <w:vAlign w:val="center"/>
          </w:tcPr>
          <w:p w14:paraId="42465392">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《家用燃气快速热水器和燃气采暖热水炉能效限定值及能效等级》（GB20665）</w:t>
            </w:r>
          </w:p>
        </w:tc>
      </w:tr>
      <w:tr w14:paraId="30E79635">
        <w:tblPrEx>
          <w:tblCellMar>
            <w:top w:w="0" w:type="dxa"/>
            <w:left w:w="108" w:type="dxa"/>
            <w:bottom w:w="0" w:type="dxa"/>
            <w:right w:w="108" w:type="dxa"/>
          </w:tblCellMar>
        </w:tblPrEx>
        <w:trPr>
          <w:trHeight w:val="653" w:hRule="atLeast"/>
        </w:trPr>
        <w:tc>
          <w:tcPr>
            <w:tcW w:w="659" w:type="dxa"/>
            <w:vMerge w:val="continue"/>
            <w:tcBorders>
              <w:top w:val="nil"/>
              <w:left w:val="single" w:color="000000" w:sz="8" w:space="0"/>
              <w:bottom w:val="single" w:color="000000" w:sz="8" w:space="0"/>
              <w:right w:val="single" w:color="000000" w:sz="8" w:space="0"/>
            </w:tcBorders>
            <w:vAlign w:val="center"/>
          </w:tcPr>
          <w:p w14:paraId="3E800238">
            <w:pPr>
              <w:widowControl/>
              <w:wordWrap w:val="0"/>
              <w:jc w:val="left"/>
              <w:rPr>
                <w:rFonts w:ascii="宋体" w:hAnsi="宋体" w:cs="宋体"/>
                <w:color w:val="auto"/>
                <w:kern w:val="0"/>
                <w:sz w:val="20"/>
                <w:szCs w:val="20"/>
              </w:rPr>
            </w:pPr>
          </w:p>
        </w:tc>
        <w:tc>
          <w:tcPr>
            <w:tcW w:w="1079" w:type="dxa"/>
            <w:vMerge w:val="continue"/>
            <w:tcBorders>
              <w:top w:val="nil"/>
              <w:left w:val="single" w:color="000000" w:sz="8" w:space="0"/>
              <w:bottom w:val="single" w:color="000000" w:sz="8" w:space="0"/>
              <w:right w:val="single" w:color="000000" w:sz="8" w:space="0"/>
            </w:tcBorders>
            <w:vAlign w:val="center"/>
          </w:tcPr>
          <w:p w14:paraId="425BBBA1">
            <w:pPr>
              <w:widowControl/>
              <w:wordWrap w:val="0"/>
              <w:jc w:val="left"/>
              <w:rPr>
                <w:rFonts w:ascii="宋体" w:hAnsi="宋体" w:cs="宋体"/>
                <w:color w:val="auto"/>
                <w:kern w:val="0"/>
                <w:sz w:val="20"/>
                <w:szCs w:val="20"/>
              </w:rPr>
            </w:pPr>
          </w:p>
        </w:tc>
        <w:tc>
          <w:tcPr>
            <w:tcW w:w="1319" w:type="dxa"/>
            <w:vMerge w:val="continue"/>
            <w:tcBorders>
              <w:top w:val="nil"/>
              <w:left w:val="single" w:color="000000" w:sz="8" w:space="0"/>
              <w:bottom w:val="single" w:color="000000" w:sz="8" w:space="0"/>
              <w:right w:val="single" w:color="000000" w:sz="8" w:space="0"/>
            </w:tcBorders>
            <w:vAlign w:val="center"/>
          </w:tcPr>
          <w:p w14:paraId="5D188DA3">
            <w:pPr>
              <w:widowControl/>
              <w:wordWrap w:val="0"/>
              <w:jc w:val="left"/>
              <w:rPr>
                <w:rFonts w:ascii="宋体" w:hAnsi="宋体" w:cs="宋体"/>
                <w:color w:val="auto"/>
                <w:kern w:val="0"/>
                <w:sz w:val="20"/>
                <w:szCs w:val="20"/>
              </w:rPr>
            </w:pPr>
          </w:p>
        </w:tc>
        <w:tc>
          <w:tcPr>
            <w:tcW w:w="1622" w:type="dxa"/>
            <w:tcBorders>
              <w:top w:val="nil"/>
              <w:left w:val="nil"/>
              <w:bottom w:val="single" w:color="000000" w:sz="8" w:space="0"/>
              <w:right w:val="single" w:color="000000" w:sz="8" w:space="0"/>
            </w:tcBorders>
            <w:vAlign w:val="center"/>
          </w:tcPr>
          <w:p w14:paraId="57AB6EF1">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热泵热水器</w:t>
            </w:r>
          </w:p>
        </w:tc>
        <w:tc>
          <w:tcPr>
            <w:tcW w:w="4753" w:type="dxa"/>
            <w:tcBorders>
              <w:top w:val="nil"/>
              <w:left w:val="nil"/>
              <w:bottom w:val="single" w:color="000000" w:sz="8" w:space="0"/>
              <w:right w:val="single" w:color="000000" w:sz="8" w:space="0"/>
            </w:tcBorders>
            <w:vAlign w:val="center"/>
          </w:tcPr>
          <w:p w14:paraId="120A156A">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《热泵热水机（器）能效限定值及能效等级》（GB29541）</w:t>
            </w:r>
          </w:p>
        </w:tc>
      </w:tr>
      <w:tr w14:paraId="66C243F0">
        <w:tblPrEx>
          <w:tblCellMar>
            <w:top w:w="0" w:type="dxa"/>
            <w:left w:w="108" w:type="dxa"/>
            <w:bottom w:w="0" w:type="dxa"/>
            <w:right w:w="108" w:type="dxa"/>
          </w:tblCellMar>
        </w:tblPrEx>
        <w:trPr>
          <w:trHeight w:val="653" w:hRule="atLeast"/>
        </w:trPr>
        <w:tc>
          <w:tcPr>
            <w:tcW w:w="659" w:type="dxa"/>
            <w:vMerge w:val="continue"/>
            <w:tcBorders>
              <w:top w:val="nil"/>
              <w:left w:val="single" w:color="000000" w:sz="8" w:space="0"/>
              <w:bottom w:val="single" w:color="000000" w:sz="8" w:space="0"/>
              <w:right w:val="single" w:color="000000" w:sz="8" w:space="0"/>
            </w:tcBorders>
            <w:vAlign w:val="center"/>
          </w:tcPr>
          <w:p w14:paraId="397C9B2C">
            <w:pPr>
              <w:widowControl/>
              <w:wordWrap w:val="0"/>
              <w:jc w:val="left"/>
              <w:rPr>
                <w:rFonts w:ascii="宋体" w:hAnsi="宋体" w:cs="宋体"/>
                <w:color w:val="auto"/>
                <w:kern w:val="0"/>
                <w:sz w:val="20"/>
                <w:szCs w:val="20"/>
              </w:rPr>
            </w:pPr>
          </w:p>
        </w:tc>
        <w:tc>
          <w:tcPr>
            <w:tcW w:w="1079" w:type="dxa"/>
            <w:vMerge w:val="continue"/>
            <w:tcBorders>
              <w:top w:val="nil"/>
              <w:left w:val="single" w:color="000000" w:sz="8" w:space="0"/>
              <w:bottom w:val="single" w:color="000000" w:sz="8" w:space="0"/>
              <w:right w:val="single" w:color="000000" w:sz="8" w:space="0"/>
            </w:tcBorders>
            <w:vAlign w:val="center"/>
          </w:tcPr>
          <w:p w14:paraId="51188778">
            <w:pPr>
              <w:widowControl/>
              <w:wordWrap w:val="0"/>
              <w:jc w:val="left"/>
              <w:rPr>
                <w:rFonts w:ascii="宋体" w:hAnsi="宋体" w:cs="宋体"/>
                <w:color w:val="auto"/>
                <w:kern w:val="0"/>
                <w:sz w:val="20"/>
                <w:szCs w:val="20"/>
              </w:rPr>
            </w:pPr>
          </w:p>
        </w:tc>
        <w:tc>
          <w:tcPr>
            <w:tcW w:w="1319" w:type="dxa"/>
            <w:vMerge w:val="continue"/>
            <w:tcBorders>
              <w:top w:val="nil"/>
              <w:left w:val="single" w:color="000000" w:sz="8" w:space="0"/>
              <w:bottom w:val="single" w:color="000000" w:sz="8" w:space="0"/>
              <w:right w:val="single" w:color="000000" w:sz="8" w:space="0"/>
            </w:tcBorders>
            <w:vAlign w:val="center"/>
          </w:tcPr>
          <w:p w14:paraId="11BA6B12">
            <w:pPr>
              <w:widowControl/>
              <w:wordWrap w:val="0"/>
              <w:jc w:val="left"/>
              <w:rPr>
                <w:rFonts w:ascii="宋体" w:hAnsi="宋体" w:cs="宋体"/>
                <w:color w:val="auto"/>
                <w:kern w:val="0"/>
                <w:sz w:val="20"/>
                <w:szCs w:val="20"/>
              </w:rPr>
            </w:pPr>
          </w:p>
        </w:tc>
        <w:tc>
          <w:tcPr>
            <w:tcW w:w="1622" w:type="dxa"/>
            <w:tcBorders>
              <w:top w:val="nil"/>
              <w:left w:val="nil"/>
              <w:bottom w:val="single" w:color="000000" w:sz="8" w:space="0"/>
              <w:right w:val="single" w:color="000000" w:sz="8" w:space="0"/>
            </w:tcBorders>
            <w:vAlign w:val="center"/>
          </w:tcPr>
          <w:p w14:paraId="365D0C51">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太阳能热水系统</w:t>
            </w:r>
          </w:p>
        </w:tc>
        <w:tc>
          <w:tcPr>
            <w:tcW w:w="4753" w:type="dxa"/>
            <w:tcBorders>
              <w:top w:val="nil"/>
              <w:left w:val="nil"/>
              <w:bottom w:val="single" w:color="000000" w:sz="8" w:space="0"/>
              <w:right w:val="single" w:color="000000" w:sz="8" w:space="0"/>
            </w:tcBorders>
            <w:vAlign w:val="center"/>
          </w:tcPr>
          <w:p w14:paraId="1633C1A5">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《家用太阳能热水系统能效限定值及能效等级》（GB26969）</w:t>
            </w:r>
          </w:p>
        </w:tc>
      </w:tr>
      <w:tr w14:paraId="0A50DE37">
        <w:tblPrEx>
          <w:tblCellMar>
            <w:top w:w="0" w:type="dxa"/>
            <w:left w:w="108" w:type="dxa"/>
            <w:bottom w:w="0" w:type="dxa"/>
            <w:right w:w="108" w:type="dxa"/>
          </w:tblCellMar>
        </w:tblPrEx>
        <w:trPr>
          <w:trHeight w:val="970" w:hRule="atLeast"/>
        </w:trPr>
        <w:tc>
          <w:tcPr>
            <w:tcW w:w="659" w:type="dxa"/>
            <w:vMerge w:val="restart"/>
            <w:tcBorders>
              <w:top w:val="nil"/>
              <w:left w:val="single" w:color="000000" w:sz="8" w:space="0"/>
              <w:bottom w:val="single" w:color="000000" w:sz="8" w:space="0"/>
              <w:right w:val="single" w:color="000000" w:sz="8" w:space="0"/>
            </w:tcBorders>
            <w:vAlign w:val="center"/>
          </w:tcPr>
          <w:p w14:paraId="462998FF">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11</w:t>
            </w:r>
          </w:p>
        </w:tc>
        <w:tc>
          <w:tcPr>
            <w:tcW w:w="1079" w:type="dxa"/>
            <w:vMerge w:val="restart"/>
            <w:tcBorders>
              <w:top w:val="nil"/>
              <w:left w:val="single" w:color="000000" w:sz="8" w:space="0"/>
              <w:bottom w:val="single" w:color="000000" w:sz="8" w:space="0"/>
              <w:right w:val="single" w:color="000000" w:sz="8" w:space="0"/>
            </w:tcBorders>
            <w:vAlign w:val="center"/>
          </w:tcPr>
          <w:p w14:paraId="60667329">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A020619照明设备</w:t>
            </w:r>
          </w:p>
        </w:tc>
        <w:tc>
          <w:tcPr>
            <w:tcW w:w="1319" w:type="dxa"/>
            <w:tcBorders>
              <w:top w:val="nil"/>
              <w:left w:val="nil"/>
              <w:bottom w:val="single" w:color="000000" w:sz="8" w:space="0"/>
              <w:right w:val="single" w:color="000000" w:sz="8" w:space="0"/>
            </w:tcBorders>
            <w:vAlign w:val="center"/>
          </w:tcPr>
          <w:p w14:paraId="1A25D19E">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★普通照明用双端荧光灯</w:t>
            </w:r>
          </w:p>
        </w:tc>
        <w:tc>
          <w:tcPr>
            <w:tcW w:w="1622" w:type="dxa"/>
            <w:tcBorders>
              <w:top w:val="nil"/>
              <w:left w:val="nil"/>
              <w:bottom w:val="single" w:color="000000" w:sz="8" w:space="0"/>
              <w:right w:val="single" w:color="000000" w:sz="8" w:space="0"/>
            </w:tcBorders>
            <w:vAlign w:val="center"/>
          </w:tcPr>
          <w:p w14:paraId="462746A3">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753" w:type="dxa"/>
            <w:tcBorders>
              <w:top w:val="nil"/>
              <w:left w:val="nil"/>
              <w:bottom w:val="single" w:color="000000" w:sz="8" w:space="0"/>
              <w:right w:val="single" w:color="000000" w:sz="8" w:space="0"/>
            </w:tcBorders>
            <w:vAlign w:val="center"/>
          </w:tcPr>
          <w:p w14:paraId="2FAFC59B">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《普通照明用双端荧光灯能效限定值及能效等级》（GB19043）</w:t>
            </w:r>
          </w:p>
        </w:tc>
      </w:tr>
      <w:tr w14:paraId="67894693">
        <w:tblPrEx>
          <w:tblCellMar>
            <w:top w:w="0" w:type="dxa"/>
            <w:left w:w="108" w:type="dxa"/>
            <w:bottom w:w="0" w:type="dxa"/>
            <w:right w:w="108" w:type="dxa"/>
          </w:tblCellMar>
        </w:tblPrEx>
        <w:trPr>
          <w:trHeight w:val="653" w:hRule="atLeast"/>
        </w:trPr>
        <w:tc>
          <w:tcPr>
            <w:tcW w:w="659" w:type="dxa"/>
            <w:vMerge w:val="continue"/>
            <w:tcBorders>
              <w:top w:val="nil"/>
              <w:left w:val="single" w:color="000000" w:sz="8" w:space="0"/>
              <w:bottom w:val="single" w:color="000000" w:sz="8" w:space="0"/>
              <w:right w:val="single" w:color="000000" w:sz="8" w:space="0"/>
            </w:tcBorders>
            <w:vAlign w:val="center"/>
          </w:tcPr>
          <w:p w14:paraId="1FA0411A">
            <w:pPr>
              <w:widowControl/>
              <w:wordWrap w:val="0"/>
              <w:jc w:val="left"/>
              <w:rPr>
                <w:rFonts w:ascii="宋体" w:hAnsi="宋体" w:cs="宋体"/>
                <w:color w:val="auto"/>
                <w:kern w:val="0"/>
                <w:sz w:val="20"/>
                <w:szCs w:val="20"/>
              </w:rPr>
            </w:pPr>
          </w:p>
        </w:tc>
        <w:tc>
          <w:tcPr>
            <w:tcW w:w="1079" w:type="dxa"/>
            <w:vMerge w:val="continue"/>
            <w:tcBorders>
              <w:top w:val="nil"/>
              <w:left w:val="single" w:color="000000" w:sz="8" w:space="0"/>
              <w:bottom w:val="single" w:color="000000" w:sz="8" w:space="0"/>
              <w:right w:val="single" w:color="000000" w:sz="8" w:space="0"/>
            </w:tcBorders>
            <w:vAlign w:val="center"/>
          </w:tcPr>
          <w:p w14:paraId="5B0FAC09">
            <w:pPr>
              <w:widowControl/>
              <w:wordWrap w:val="0"/>
              <w:jc w:val="left"/>
              <w:rPr>
                <w:rFonts w:ascii="宋体" w:hAnsi="宋体" w:cs="宋体"/>
                <w:color w:val="auto"/>
                <w:kern w:val="0"/>
                <w:sz w:val="20"/>
                <w:szCs w:val="20"/>
              </w:rPr>
            </w:pPr>
          </w:p>
        </w:tc>
        <w:tc>
          <w:tcPr>
            <w:tcW w:w="1319" w:type="dxa"/>
            <w:tcBorders>
              <w:top w:val="nil"/>
              <w:left w:val="nil"/>
              <w:bottom w:val="single" w:color="000000" w:sz="8" w:space="0"/>
              <w:right w:val="single" w:color="000000" w:sz="8" w:space="0"/>
            </w:tcBorders>
            <w:vAlign w:val="center"/>
          </w:tcPr>
          <w:p w14:paraId="4ECB86BF">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LED道路/隧道照明产品</w:t>
            </w:r>
          </w:p>
        </w:tc>
        <w:tc>
          <w:tcPr>
            <w:tcW w:w="1622" w:type="dxa"/>
            <w:tcBorders>
              <w:top w:val="nil"/>
              <w:left w:val="nil"/>
              <w:bottom w:val="single" w:color="000000" w:sz="8" w:space="0"/>
              <w:right w:val="single" w:color="000000" w:sz="8" w:space="0"/>
            </w:tcBorders>
            <w:vAlign w:val="center"/>
          </w:tcPr>
          <w:p w14:paraId="5FF3E914">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753" w:type="dxa"/>
            <w:tcBorders>
              <w:top w:val="nil"/>
              <w:left w:val="nil"/>
              <w:bottom w:val="single" w:color="000000" w:sz="8" w:space="0"/>
              <w:right w:val="single" w:color="000000" w:sz="8" w:space="0"/>
            </w:tcBorders>
            <w:vAlign w:val="center"/>
          </w:tcPr>
          <w:p w14:paraId="26DA743C">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《道路和隧道照明用LED灯具能效限定值及能效等级》（GB37478）</w:t>
            </w:r>
          </w:p>
        </w:tc>
      </w:tr>
      <w:tr w14:paraId="3944680A">
        <w:tblPrEx>
          <w:tblCellMar>
            <w:top w:w="0" w:type="dxa"/>
            <w:left w:w="108" w:type="dxa"/>
            <w:bottom w:w="0" w:type="dxa"/>
            <w:right w:w="108" w:type="dxa"/>
          </w:tblCellMar>
        </w:tblPrEx>
        <w:trPr>
          <w:trHeight w:val="653" w:hRule="atLeast"/>
        </w:trPr>
        <w:tc>
          <w:tcPr>
            <w:tcW w:w="659" w:type="dxa"/>
            <w:vMerge w:val="continue"/>
            <w:tcBorders>
              <w:top w:val="nil"/>
              <w:left w:val="single" w:color="000000" w:sz="8" w:space="0"/>
              <w:bottom w:val="single" w:color="000000" w:sz="8" w:space="0"/>
              <w:right w:val="single" w:color="000000" w:sz="8" w:space="0"/>
            </w:tcBorders>
            <w:vAlign w:val="center"/>
          </w:tcPr>
          <w:p w14:paraId="2177D1BF">
            <w:pPr>
              <w:widowControl/>
              <w:wordWrap w:val="0"/>
              <w:jc w:val="left"/>
              <w:rPr>
                <w:rFonts w:ascii="宋体" w:hAnsi="宋体" w:cs="宋体"/>
                <w:color w:val="auto"/>
                <w:kern w:val="0"/>
                <w:sz w:val="20"/>
                <w:szCs w:val="20"/>
              </w:rPr>
            </w:pPr>
          </w:p>
        </w:tc>
        <w:tc>
          <w:tcPr>
            <w:tcW w:w="1079" w:type="dxa"/>
            <w:vMerge w:val="continue"/>
            <w:tcBorders>
              <w:top w:val="nil"/>
              <w:left w:val="single" w:color="000000" w:sz="8" w:space="0"/>
              <w:bottom w:val="single" w:color="000000" w:sz="8" w:space="0"/>
              <w:right w:val="single" w:color="000000" w:sz="8" w:space="0"/>
            </w:tcBorders>
            <w:vAlign w:val="center"/>
          </w:tcPr>
          <w:p w14:paraId="02D4E667">
            <w:pPr>
              <w:widowControl/>
              <w:wordWrap w:val="0"/>
              <w:jc w:val="left"/>
              <w:rPr>
                <w:rFonts w:ascii="宋体" w:hAnsi="宋体" w:cs="宋体"/>
                <w:color w:val="auto"/>
                <w:kern w:val="0"/>
                <w:sz w:val="20"/>
                <w:szCs w:val="20"/>
              </w:rPr>
            </w:pPr>
          </w:p>
        </w:tc>
        <w:tc>
          <w:tcPr>
            <w:tcW w:w="1319" w:type="dxa"/>
            <w:tcBorders>
              <w:top w:val="nil"/>
              <w:left w:val="nil"/>
              <w:bottom w:val="single" w:color="000000" w:sz="8" w:space="0"/>
              <w:right w:val="single" w:color="000000" w:sz="8" w:space="0"/>
            </w:tcBorders>
            <w:vAlign w:val="center"/>
          </w:tcPr>
          <w:p w14:paraId="4D2364DB">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LED筒灯</w:t>
            </w:r>
          </w:p>
        </w:tc>
        <w:tc>
          <w:tcPr>
            <w:tcW w:w="1622" w:type="dxa"/>
            <w:tcBorders>
              <w:top w:val="nil"/>
              <w:left w:val="nil"/>
              <w:bottom w:val="single" w:color="000000" w:sz="8" w:space="0"/>
              <w:right w:val="single" w:color="000000" w:sz="8" w:space="0"/>
            </w:tcBorders>
            <w:vAlign w:val="center"/>
          </w:tcPr>
          <w:p w14:paraId="316C1856">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753" w:type="dxa"/>
            <w:tcBorders>
              <w:top w:val="nil"/>
              <w:left w:val="nil"/>
              <w:bottom w:val="single" w:color="000000" w:sz="8" w:space="0"/>
              <w:right w:val="single" w:color="000000" w:sz="8" w:space="0"/>
            </w:tcBorders>
            <w:vAlign w:val="center"/>
          </w:tcPr>
          <w:p w14:paraId="4626C9D7">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《室内照明用LED产品能效限定值及能效等级》（GB30255）</w:t>
            </w:r>
          </w:p>
        </w:tc>
      </w:tr>
      <w:tr w14:paraId="4BD12062">
        <w:tblPrEx>
          <w:tblCellMar>
            <w:top w:w="0" w:type="dxa"/>
            <w:left w:w="108" w:type="dxa"/>
            <w:bottom w:w="0" w:type="dxa"/>
            <w:right w:w="108" w:type="dxa"/>
          </w:tblCellMar>
        </w:tblPrEx>
        <w:trPr>
          <w:trHeight w:val="970" w:hRule="atLeast"/>
        </w:trPr>
        <w:tc>
          <w:tcPr>
            <w:tcW w:w="659" w:type="dxa"/>
            <w:vMerge w:val="continue"/>
            <w:tcBorders>
              <w:top w:val="nil"/>
              <w:left w:val="single" w:color="000000" w:sz="8" w:space="0"/>
              <w:bottom w:val="single" w:color="000000" w:sz="8" w:space="0"/>
              <w:right w:val="single" w:color="000000" w:sz="8" w:space="0"/>
            </w:tcBorders>
            <w:vAlign w:val="center"/>
          </w:tcPr>
          <w:p w14:paraId="371A884F">
            <w:pPr>
              <w:widowControl/>
              <w:wordWrap w:val="0"/>
              <w:jc w:val="left"/>
              <w:rPr>
                <w:rFonts w:ascii="宋体" w:hAnsi="宋体" w:cs="宋体"/>
                <w:color w:val="auto"/>
                <w:kern w:val="0"/>
                <w:sz w:val="20"/>
                <w:szCs w:val="20"/>
              </w:rPr>
            </w:pPr>
          </w:p>
        </w:tc>
        <w:tc>
          <w:tcPr>
            <w:tcW w:w="1079" w:type="dxa"/>
            <w:vMerge w:val="continue"/>
            <w:tcBorders>
              <w:top w:val="nil"/>
              <w:left w:val="single" w:color="000000" w:sz="8" w:space="0"/>
              <w:bottom w:val="single" w:color="000000" w:sz="8" w:space="0"/>
              <w:right w:val="single" w:color="000000" w:sz="8" w:space="0"/>
            </w:tcBorders>
            <w:vAlign w:val="center"/>
          </w:tcPr>
          <w:p w14:paraId="71794E16">
            <w:pPr>
              <w:widowControl/>
              <w:wordWrap w:val="0"/>
              <w:jc w:val="left"/>
              <w:rPr>
                <w:rFonts w:ascii="宋体" w:hAnsi="宋体" w:cs="宋体"/>
                <w:color w:val="auto"/>
                <w:kern w:val="0"/>
                <w:sz w:val="20"/>
                <w:szCs w:val="20"/>
              </w:rPr>
            </w:pPr>
          </w:p>
        </w:tc>
        <w:tc>
          <w:tcPr>
            <w:tcW w:w="1319" w:type="dxa"/>
            <w:tcBorders>
              <w:top w:val="nil"/>
              <w:left w:val="nil"/>
              <w:bottom w:val="single" w:color="000000" w:sz="8" w:space="0"/>
              <w:right w:val="single" w:color="000000" w:sz="8" w:space="0"/>
            </w:tcBorders>
            <w:vAlign w:val="center"/>
          </w:tcPr>
          <w:p w14:paraId="36834E0C">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普通照明用非定向自镇流LED灯</w:t>
            </w:r>
          </w:p>
        </w:tc>
        <w:tc>
          <w:tcPr>
            <w:tcW w:w="1622" w:type="dxa"/>
            <w:tcBorders>
              <w:top w:val="nil"/>
              <w:left w:val="nil"/>
              <w:bottom w:val="single" w:color="000000" w:sz="8" w:space="0"/>
              <w:right w:val="single" w:color="000000" w:sz="8" w:space="0"/>
            </w:tcBorders>
            <w:vAlign w:val="center"/>
          </w:tcPr>
          <w:p w14:paraId="292E2439">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753" w:type="dxa"/>
            <w:tcBorders>
              <w:top w:val="nil"/>
              <w:left w:val="nil"/>
              <w:bottom w:val="single" w:color="000000" w:sz="8" w:space="0"/>
              <w:right w:val="single" w:color="000000" w:sz="8" w:space="0"/>
            </w:tcBorders>
            <w:vAlign w:val="center"/>
          </w:tcPr>
          <w:p w14:paraId="2B2A1F43">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《室内照明用LED产品能效限定值及能效等级》（GB30255）</w:t>
            </w:r>
          </w:p>
        </w:tc>
      </w:tr>
      <w:tr w14:paraId="2EDFB1B7">
        <w:tblPrEx>
          <w:tblCellMar>
            <w:top w:w="0" w:type="dxa"/>
            <w:left w:w="108" w:type="dxa"/>
            <w:bottom w:w="0" w:type="dxa"/>
            <w:right w:w="108" w:type="dxa"/>
          </w:tblCellMar>
        </w:tblPrEx>
        <w:trPr>
          <w:trHeight w:val="970" w:hRule="atLeast"/>
        </w:trPr>
        <w:tc>
          <w:tcPr>
            <w:tcW w:w="659" w:type="dxa"/>
            <w:tcBorders>
              <w:top w:val="nil"/>
              <w:left w:val="single" w:color="000000" w:sz="8" w:space="0"/>
              <w:bottom w:val="single" w:color="000000" w:sz="8" w:space="0"/>
              <w:right w:val="single" w:color="000000" w:sz="8" w:space="0"/>
            </w:tcBorders>
            <w:vAlign w:val="center"/>
          </w:tcPr>
          <w:p w14:paraId="48A4E4EF">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12</w:t>
            </w:r>
          </w:p>
        </w:tc>
        <w:tc>
          <w:tcPr>
            <w:tcW w:w="1079" w:type="dxa"/>
            <w:tcBorders>
              <w:top w:val="nil"/>
              <w:left w:val="nil"/>
              <w:bottom w:val="single" w:color="000000" w:sz="8" w:space="0"/>
              <w:right w:val="single" w:color="000000" w:sz="8" w:space="0"/>
            </w:tcBorders>
            <w:vAlign w:val="center"/>
          </w:tcPr>
          <w:p w14:paraId="7C2AD911">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★A020910电视设备</w:t>
            </w:r>
          </w:p>
        </w:tc>
        <w:tc>
          <w:tcPr>
            <w:tcW w:w="1319" w:type="dxa"/>
            <w:tcBorders>
              <w:top w:val="nil"/>
              <w:left w:val="nil"/>
              <w:bottom w:val="single" w:color="000000" w:sz="8" w:space="0"/>
              <w:right w:val="single" w:color="000000" w:sz="8" w:space="0"/>
            </w:tcBorders>
            <w:vAlign w:val="center"/>
          </w:tcPr>
          <w:p w14:paraId="6666ED01">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A02091001普通电视设备（电视机）</w:t>
            </w:r>
          </w:p>
        </w:tc>
        <w:tc>
          <w:tcPr>
            <w:tcW w:w="1622" w:type="dxa"/>
            <w:tcBorders>
              <w:top w:val="nil"/>
              <w:left w:val="nil"/>
              <w:bottom w:val="single" w:color="000000" w:sz="8" w:space="0"/>
              <w:right w:val="single" w:color="000000" w:sz="8" w:space="0"/>
            </w:tcBorders>
            <w:vAlign w:val="center"/>
          </w:tcPr>
          <w:p w14:paraId="734FFB9D">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753" w:type="dxa"/>
            <w:tcBorders>
              <w:top w:val="nil"/>
              <w:left w:val="nil"/>
              <w:bottom w:val="single" w:color="000000" w:sz="8" w:space="0"/>
              <w:right w:val="single" w:color="000000" w:sz="8" w:space="0"/>
            </w:tcBorders>
            <w:vAlign w:val="center"/>
          </w:tcPr>
          <w:p w14:paraId="7CF8F476">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《平板电视能效限定值及能效等级》（GB24850）</w:t>
            </w:r>
          </w:p>
        </w:tc>
      </w:tr>
      <w:tr w14:paraId="7411C47A">
        <w:tblPrEx>
          <w:tblCellMar>
            <w:top w:w="0" w:type="dxa"/>
            <w:left w:w="108" w:type="dxa"/>
            <w:bottom w:w="0" w:type="dxa"/>
            <w:right w:w="108" w:type="dxa"/>
          </w:tblCellMar>
        </w:tblPrEx>
        <w:trPr>
          <w:trHeight w:val="1287" w:hRule="atLeast"/>
        </w:trPr>
        <w:tc>
          <w:tcPr>
            <w:tcW w:w="659" w:type="dxa"/>
            <w:tcBorders>
              <w:top w:val="nil"/>
              <w:left w:val="single" w:color="000000" w:sz="8" w:space="0"/>
              <w:bottom w:val="single" w:color="000000" w:sz="8" w:space="0"/>
              <w:right w:val="single" w:color="000000" w:sz="8" w:space="0"/>
            </w:tcBorders>
            <w:vAlign w:val="center"/>
          </w:tcPr>
          <w:p w14:paraId="6F5FBD51">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13</w:t>
            </w:r>
          </w:p>
        </w:tc>
        <w:tc>
          <w:tcPr>
            <w:tcW w:w="1079" w:type="dxa"/>
            <w:tcBorders>
              <w:top w:val="nil"/>
              <w:left w:val="nil"/>
              <w:bottom w:val="single" w:color="000000" w:sz="8" w:space="0"/>
              <w:right w:val="single" w:color="000000" w:sz="8" w:space="0"/>
            </w:tcBorders>
            <w:vAlign w:val="center"/>
          </w:tcPr>
          <w:p w14:paraId="089C4227">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★A020911视频设备</w:t>
            </w:r>
          </w:p>
        </w:tc>
        <w:tc>
          <w:tcPr>
            <w:tcW w:w="1319" w:type="dxa"/>
            <w:tcBorders>
              <w:top w:val="nil"/>
              <w:left w:val="nil"/>
              <w:bottom w:val="single" w:color="000000" w:sz="8" w:space="0"/>
              <w:right w:val="single" w:color="000000" w:sz="8" w:space="0"/>
            </w:tcBorders>
            <w:vAlign w:val="center"/>
          </w:tcPr>
          <w:p w14:paraId="64966821">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A02091107视频监控设备</w:t>
            </w:r>
          </w:p>
        </w:tc>
        <w:tc>
          <w:tcPr>
            <w:tcW w:w="1622" w:type="dxa"/>
            <w:tcBorders>
              <w:top w:val="nil"/>
              <w:left w:val="nil"/>
              <w:bottom w:val="single" w:color="000000" w:sz="8" w:space="0"/>
              <w:right w:val="single" w:color="000000" w:sz="8" w:space="0"/>
            </w:tcBorders>
            <w:vAlign w:val="center"/>
          </w:tcPr>
          <w:p w14:paraId="4E981BB1">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监视器</w:t>
            </w:r>
          </w:p>
        </w:tc>
        <w:tc>
          <w:tcPr>
            <w:tcW w:w="4753" w:type="dxa"/>
            <w:tcBorders>
              <w:top w:val="nil"/>
              <w:left w:val="nil"/>
              <w:bottom w:val="single" w:color="000000" w:sz="8" w:space="0"/>
              <w:right w:val="single" w:color="000000" w:sz="8" w:space="0"/>
            </w:tcBorders>
            <w:vAlign w:val="center"/>
          </w:tcPr>
          <w:p w14:paraId="6355A0CD">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以射频信号为主要信号输入的监视器应符合《平板电视能效限定值及能效等级》（GB24850），以数字信号为主要信号输入的监视器应符合《计算机显示器能效限定值及能效等级》（GB21520）</w:t>
            </w:r>
          </w:p>
        </w:tc>
      </w:tr>
      <w:tr w14:paraId="16775F4C">
        <w:tblPrEx>
          <w:tblCellMar>
            <w:top w:w="0" w:type="dxa"/>
            <w:left w:w="108" w:type="dxa"/>
            <w:bottom w:w="0" w:type="dxa"/>
            <w:right w:w="108" w:type="dxa"/>
          </w:tblCellMar>
        </w:tblPrEx>
        <w:trPr>
          <w:trHeight w:val="970" w:hRule="atLeast"/>
        </w:trPr>
        <w:tc>
          <w:tcPr>
            <w:tcW w:w="659" w:type="dxa"/>
            <w:tcBorders>
              <w:top w:val="nil"/>
              <w:left w:val="single" w:color="000000" w:sz="8" w:space="0"/>
              <w:bottom w:val="single" w:color="000000" w:sz="8" w:space="0"/>
              <w:right w:val="single" w:color="000000" w:sz="8" w:space="0"/>
            </w:tcBorders>
            <w:vAlign w:val="center"/>
          </w:tcPr>
          <w:p w14:paraId="4EB450A6">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14</w:t>
            </w:r>
          </w:p>
        </w:tc>
        <w:tc>
          <w:tcPr>
            <w:tcW w:w="1079" w:type="dxa"/>
            <w:tcBorders>
              <w:top w:val="nil"/>
              <w:left w:val="nil"/>
              <w:bottom w:val="single" w:color="000000" w:sz="8" w:space="0"/>
              <w:right w:val="single" w:color="000000" w:sz="8" w:space="0"/>
            </w:tcBorders>
            <w:vAlign w:val="center"/>
          </w:tcPr>
          <w:p w14:paraId="066BE453">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A031210饮食炊事机械</w:t>
            </w:r>
          </w:p>
        </w:tc>
        <w:tc>
          <w:tcPr>
            <w:tcW w:w="1319" w:type="dxa"/>
            <w:tcBorders>
              <w:top w:val="nil"/>
              <w:left w:val="nil"/>
              <w:bottom w:val="single" w:color="000000" w:sz="8" w:space="0"/>
              <w:right w:val="single" w:color="000000" w:sz="8" w:space="0"/>
            </w:tcBorders>
            <w:vAlign w:val="center"/>
          </w:tcPr>
          <w:p w14:paraId="76341CCB">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商用燃气灶具</w:t>
            </w:r>
          </w:p>
        </w:tc>
        <w:tc>
          <w:tcPr>
            <w:tcW w:w="1622" w:type="dxa"/>
            <w:tcBorders>
              <w:top w:val="nil"/>
              <w:left w:val="nil"/>
              <w:bottom w:val="single" w:color="000000" w:sz="8" w:space="0"/>
              <w:right w:val="single" w:color="000000" w:sz="8" w:space="0"/>
            </w:tcBorders>
            <w:vAlign w:val="center"/>
          </w:tcPr>
          <w:p w14:paraId="0202396D">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753" w:type="dxa"/>
            <w:tcBorders>
              <w:top w:val="nil"/>
              <w:left w:val="nil"/>
              <w:bottom w:val="single" w:color="000000" w:sz="8" w:space="0"/>
              <w:right w:val="single" w:color="000000" w:sz="8" w:space="0"/>
            </w:tcBorders>
            <w:vAlign w:val="center"/>
          </w:tcPr>
          <w:p w14:paraId="04AEF41D">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《商用燃气灶具能效限定值及能效等级》（GB30531）</w:t>
            </w:r>
          </w:p>
        </w:tc>
      </w:tr>
      <w:tr w14:paraId="1FF61E4B">
        <w:tblPrEx>
          <w:tblCellMar>
            <w:top w:w="0" w:type="dxa"/>
            <w:left w:w="108" w:type="dxa"/>
            <w:bottom w:w="0" w:type="dxa"/>
            <w:right w:w="108" w:type="dxa"/>
          </w:tblCellMar>
        </w:tblPrEx>
        <w:trPr>
          <w:trHeight w:val="346" w:hRule="atLeast"/>
        </w:trPr>
        <w:tc>
          <w:tcPr>
            <w:tcW w:w="659" w:type="dxa"/>
            <w:vMerge w:val="restart"/>
            <w:tcBorders>
              <w:top w:val="nil"/>
              <w:left w:val="single" w:color="000000" w:sz="8" w:space="0"/>
              <w:bottom w:val="single" w:color="000000" w:sz="8" w:space="0"/>
              <w:right w:val="single" w:color="000000" w:sz="8" w:space="0"/>
            </w:tcBorders>
            <w:vAlign w:val="center"/>
          </w:tcPr>
          <w:p w14:paraId="27877070">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15</w:t>
            </w:r>
          </w:p>
        </w:tc>
        <w:tc>
          <w:tcPr>
            <w:tcW w:w="1079" w:type="dxa"/>
            <w:vMerge w:val="restart"/>
            <w:tcBorders>
              <w:top w:val="nil"/>
              <w:left w:val="single" w:color="000000" w:sz="8" w:space="0"/>
              <w:bottom w:val="single" w:color="000000" w:sz="8" w:space="0"/>
              <w:right w:val="single" w:color="000000" w:sz="8" w:space="0"/>
            </w:tcBorders>
            <w:vAlign w:val="center"/>
          </w:tcPr>
          <w:p w14:paraId="21909C07">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★A060805便器</w:t>
            </w:r>
          </w:p>
        </w:tc>
        <w:tc>
          <w:tcPr>
            <w:tcW w:w="1319" w:type="dxa"/>
            <w:tcBorders>
              <w:top w:val="nil"/>
              <w:left w:val="nil"/>
              <w:bottom w:val="single" w:color="000000" w:sz="8" w:space="0"/>
              <w:right w:val="single" w:color="000000" w:sz="8" w:space="0"/>
            </w:tcBorders>
            <w:vAlign w:val="center"/>
          </w:tcPr>
          <w:p w14:paraId="0B7FBCAF">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坐便器</w:t>
            </w:r>
          </w:p>
        </w:tc>
        <w:tc>
          <w:tcPr>
            <w:tcW w:w="1622" w:type="dxa"/>
            <w:tcBorders>
              <w:top w:val="nil"/>
              <w:left w:val="nil"/>
              <w:bottom w:val="single" w:color="000000" w:sz="8" w:space="0"/>
              <w:right w:val="single" w:color="000000" w:sz="8" w:space="0"/>
            </w:tcBorders>
            <w:vAlign w:val="center"/>
          </w:tcPr>
          <w:p w14:paraId="1D791321">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753" w:type="dxa"/>
            <w:tcBorders>
              <w:top w:val="nil"/>
              <w:left w:val="nil"/>
              <w:bottom w:val="single" w:color="000000" w:sz="8" w:space="0"/>
              <w:right w:val="single" w:color="000000" w:sz="8" w:space="0"/>
            </w:tcBorders>
            <w:vAlign w:val="center"/>
          </w:tcPr>
          <w:p w14:paraId="7B0E36EB">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《坐便器水效限定值及水效等级》（GB25502）</w:t>
            </w:r>
          </w:p>
        </w:tc>
      </w:tr>
      <w:tr w14:paraId="4B3987BE">
        <w:tblPrEx>
          <w:tblCellMar>
            <w:top w:w="0" w:type="dxa"/>
            <w:left w:w="108" w:type="dxa"/>
            <w:bottom w:w="0" w:type="dxa"/>
            <w:right w:w="108" w:type="dxa"/>
          </w:tblCellMar>
        </w:tblPrEx>
        <w:trPr>
          <w:trHeight w:val="653" w:hRule="atLeast"/>
        </w:trPr>
        <w:tc>
          <w:tcPr>
            <w:tcW w:w="659" w:type="dxa"/>
            <w:vMerge w:val="continue"/>
            <w:tcBorders>
              <w:top w:val="nil"/>
              <w:left w:val="single" w:color="000000" w:sz="8" w:space="0"/>
              <w:bottom w:val="single" w:color="000000" w:sz="8" w:space="0"/>
              <w:right w:val="single" w:color="000000" w:sz="8" w:space="0"/>
            </w:tcBorders>
            <w:vAlign w:val="center"/>
          </w:tcPr>
          <w:p w14:paraId="0CBB16E0">
            <w:pPr>
              <w:widowControl/>
              <w:wordWrap w:val="0"/>
              <w:jc w:val="left"/>
              <w:rPr>
                <w:rFonts w:ascii="宋体" w:hAnsi="宋体" w:cs="宋体"/>
                <w:color w:val="auto"/>
                <w:kern w:val="0"/>
                <w:sz w:val="20"/>
                <w:szCs w:val="20"/>
              </w:rPr>
            </w:pPr>
          </w:p>
        </w:tc>
        <w:tc>
          <w:tcPr>
            <w:tcW w:w="1079" w:type="dxa"/>
            <w:vMerge w:val="continue"/>
            <w:tcBorders>
              <w:top w:val="nil"/>
              <w:left w:val="single" w:color="000000" w:sz="8" w:space="0"/>
              <w:bottom w:val="single" w:color="000000" w:sz="8" w:space="0"/>
              <w:right w:val="single" w:color="000000" w:sz="8" w:space="0"/>
            </w:tcBorders>
            <w:vAlign w:val="center"/>
          </w:tcPr>
          <w:p w14:paraId="1ED09122">
            <w:pPr>
              <w:widowControl/>
              <w:wordWrap w:val="0"/>
              <w:jc w:val="left"/>
              <w:rPr>
                <w:rFonts w:ascii="宋体" w:hAnsi="宋体" w:cs="宋体"/>
                <w:color w:val="auto"/>
                <w:kern w:val="0"/>
                <w:sz w:val="20"/>
                <w:szCs w:val="20"/>
              </w:rPr>
            </w:pPr>
          </w:p>
        </w:tc>
        <w:tc>
          <w:tcPr>
            <w:tcW w:w="1319" w:type="dxa"/>
            <w:tcBorders>
              <w:top w:val="nil"/>
              <w:left w:val="nil"/>
              <w:bottom w:val="single" w:color="000000" w:sz="8" w:space="0"/>
              <w:right w:val="single" w:color="000000" w:sz="8" w:space="0"/>
            </w:tcBorders>
            <w:vAlign w:val="center"/>
          </w:tcPr>
          <w:p w14:paraId="0FD80C11">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蹲便器</w:t>
            </w:r>
          </w:p>
        </w:tc>
        <w:tc>
          <w:tcPr>
            <w:tcW w:w="1622" w:type="dxa"/>
            <w:tcBorders>
              <w:top w:val="nil"/>
              <w:left w:val="nil"/>
              <w:bottom w:val="single" w:color="000000" w:sz="8" w:space="0"/>
              <w:right w:val="single" w:color="000000" w:sz="8" w:space="0"/>
            </w:tcBorders>
            <w:vAlign w:val="center"/>
          </w:tcPr>
          <w:p w14:paraId="3B9EE6EF">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753" w:type="dxa"/>
            <w:tcBorders>
              <w:top w:val="nil"/>
              <w:left w:val="nil"/>
              <w:bottom w:val="single" w:color="000000" w:sz="8" w:space="0"/>
              <w:right w:val="single" w:color="000000" w:sz="8" w:space="0"/>
            </w:tcBorders>
            <w:vAlign w:val="center"/>
          </w:tcPr>
          <w:p w14:paraId="06ECAEF3">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《蹲便器用水效率限定值及用水效率等级》（GB30717）</w:t>
            </w:r>
          </w:p>
        </w:tc>
      </w:tr>
      <w:tr w14:paraId="05412C2E">
        <w:tblPrEx>
          <w:tblCellMar>
            <w:top w:w="0" w:type="dxa"/>
            <w:left w:w="108" w:type="dxa"/>
            <w:bottom w:w="0" w:type="dxa"/>
            <w:right w:w="108" w:type="dxa"/>
          </w:tblCellMar>
        </w:tblPrEx>
        <w:trPr>
          <w:trHeight w:val="653" w:hRule="atLeast"/>
        </w:trPr>
        <w:tc>
          <w:tcPr>
            <w:tcW w:w="659" w:type="dxa"/>
            <w:vMerge w:val="continue"/>
            <w:tcBorders>
              <w:top w:val="nil"/>
              <w:left w:val="single" w:color="000000" w:sz="8" w:space="0"/>
              <w:bottom w:val="single" w:color="000000" w:sz="8" w:space="0"/>
              <w:right w:val="single" w:color="000000" w:sz="8" w:space="0"/>
            </w:tcBorders>
            <w:vAlign w:val="center"/>
          </w:tcPr>
          <w:p w14:paraId="7147CB90">
            <w:pPr>
              <w:widowControl/>
              <w:wordWrap w:val="0"/>
              <w:jc w:val="left"/>
              <w:rPr>
                <w:rFonts w:ascii="宋体" w:hAnsi="宋体" w:cs="宋体"/>
                <w:color w:val="auto"/>
                <w:kern w:val="0"/>
                <w:sz w:val="20"/>
                <w:szCs w:val="20"/>
              </w:rPr>
            </w:pPr>
          </w:p>
        </w:tc>
        <w:tc>
          <w:tcPr>
            <w:tcW w:w="1079" w:type="dxa"/>
            <w:vMerge w:val="continue"/>
            <w:tcBorders>
              <w:top w:val="nil"/>
              <w:left w:val="single" w:color="000000" w:sz="8" w:space="0"/>
              <w:bottom w:val="single" w:color="000000" w:sz="8" w:space="0"/>
              <w:right w:val="single" w:color="000000" w:sz="8" w:space="0"/>
            </w:tcBorders>
            <w:vAlign w:val="center"/>
          </w:tcPr>
          <w:p w14:paraId="3AB42299">
            <w:pPr>
              <w:widowControl/>
              <w:wordWrap w:val="0"/>
              <w:jc w:val="left"/>
              <w:rPr>
                <w:rFonts w:ascii="宋体" w:hAnsi="宋体" w:cs="宋体"/>
                <w:color w:val="auto"/>
                <w:kern w:val="0"/>
                <w:sz w:val="20"/>
                <w:szCs w:val="20"/>
              </w:rPr>
            </w:pPr>
          </w:p>
        </w:tc>
        <w:tc>
          <w:tcPr>
            <w:tcW w:w="1319" w:type="dxa"/>
            <w:tcBorders>
              <w:top w:val="nil"/>
              <w:left w:val="nil"/>
              <w:bottom w:val="single" w:color="000000" w:sz="8" w:space="0"/>
              <w:right w:val="single" w:color="000000" w:sz="8" w:space="0"/>
            </w:tcBorders>
            <w:vAlign w:val="center"/>
          </w:tcPr>
          <w:p w14:paraId="4B373CBE">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小便器</w:t>
            </w:r>
          </w:p>
        </w:tc>
        <w:tc>
          <w:tcPr>
            <w:tcW w:w="1622" w:type="dxa"/>
            <w:tcBorders>
              <w:top w:val="nil"/>
              <w:left w:val="nil"/>
              <w:bottom w:val="single" w:color="000000" w:sz="8" w:space="0"/>
              <w:right w:val="single" w:color="000000" w:sz="8" w:space="0"/>
            </w:tcBorders>
            <w:vAlign w:val="center"/>
          </w:tcPr>
          <w:p w14:paraId="762427F3">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753" w:type="dxa"/>
            <w:tcBorders>
              <w:top w:val="nil"/>
              <w:left w:val="nil"/>
              <w:bottom w:val="single" w:color="000000" w:sz="8" w:space="0"/>
              <w:right w:val="single" w:color="000000" w:sz="8" w:space="0"/>
            </w:tcBorders>
            <w:vAlign w:val="center"/>
          </w:tcPr>
          <w:p w14:paraId="66D0B29E">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《小便器用水效率限定值及用水效率等级》（GB28377）</w:t>
            </w:r>
          </w:p>
        </w:tc>
      </w:tr>
      <w:tr w14:paraId="4D34252C">
        <w:tblPrEx>
          <w:tblCellMar>
            <w:top w:w="0" w:type="dxa"/>
            <w:left w:w="108" w:type="dxa"/>
            <w:bottom w:w="0" w:type="dxa"/>
            <w:right w:w="108" w:type="dxa"/>
          </w:tblCellMar>
        </w:tblPrEx>
        <w:trPr>
          <w:trHeight w:val="653" w:hRule="atLeast"/>
        </w:trPr>
        <w:tc>
          <w:tcPr>
            <w:tcW w:w="659" w:type="dxa"/>
            <w:tcBorders>
              <w:top w:val="nil"/>
              <w:left w:val="single" w:color="000000" w:sz="8" w:space="0"/>
              <w:bottom w:val="single" w:color="000000" w:sz="8" w:space="0"/>
              <w:right w:val="single" w:color="000000" w:sz="8" w:space="0"/>
            </w:tcBorders>
            <w:vAlign w:val="center"/>
          </w:tcPr>
          <w:p w14:paraId="043D15BE">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16</w:t>
            </w:r>
          </w:p>
        </w:tc>
        <w:tc>
          <w:tcPr>
            <w:tcW w:w="1079" w:type="dxa"/>
            <w:tcBorders>
              <w:top w:val="nil"/>
              <w:left w:val="nil"/>
              <w:bottom w:val="single" w:color="000000" w:sz="8" w:space="0"/>
              <w:right w:val="single" w:color="000000" w:sz="8" w:space="0"/>
            </w:tcBorders>
            <w:vAlign w:val="center"/>
          </w:tcPr>
          <w:p w14:paraId="7D3C351B">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★A060806水嘴</w:t>
            </w:r>
          </w:p>
        </w:tc>
        <w:tc>
          <w:tcPr>
            <w:tcW w:w="1319" w:type="dxa"/>
            <w:tcBorders>
              <w:top w:val="nil"/>
              <w:left w:val="nil"/>
              <w:bottom w:val="single" w:color="000000" w:sz="8" w:space="0"/>
              <w:right w:val="single" w:color="000000" w:sz="8" w:space="0"/>
            </w:tcBorders>
            <w:vAlign w:val="center"/>
          </w:tcPr>
          <w:p w14:paraId="58820979">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1622" w:type="dxa"/>
            <w:tcBorders>
              <w:top w:val="nil"/>
              <w:left w:val="nil"/>
              <w:bottom w:val="single" w:color="000000" w:sz="8" w:space="0"/>
              <w:right w:val="single" w:color="000000" w:sz="8" w:space="0"/>
            </w:tcBorders>
            <w:vAlign w:val="center"/>
          </w:tcPr>
          <w:p w14:paraId="6A3FE37E">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753" w:type="dxa"/>
            <w:tcBorders>
              <w:top w:val="nil"/>
              <w:left w:val="nil"/>
              <w:bottom w:val="single" w:color="000000" w:sz="8" w:space="0"/>
              <w:right w:val="single" w:color="000000" w:sz="8" w:space="0"/>
            </w:tcBorders>
            <w:vAlign w:val="center"/>
          </w:tcPr>
          <w:p w14:paraId="0177C6F7">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《水嘴用水效率限定值及用水效率等级》（GB25501）</w:t>
            </w:r>
          </w:p>
        </w:tc>
      </w:tr>
      <w:tr w14:paraId="4C91AE13">
        <w:tblPrEx>
          <w:tblCellMar>
            <w:top w:w="0" w:type="dxa"/>
            <w:left w:w="108" w:type="dxa"/>
            <w:bottom w:w="0" w:type="dxa"/>
            <w:right w:w="108" w:type="dxa"/>
          </w:tblCellMar>
        </w:tblPrEx>
        <w:trPr>
          <w:trHeight w:val="970" w:hRule="atLeast"/>
        </w:trPr>
        <w:tc>
          <w:tcPr>
            <w:tcW w:w="659" w:type="dxa"/>
            <w:tcBorders>
              <w:top w:val="nil"/>
              <w:left w:val="single" w:color="000000" w:sz="8" w:space="0"/>
              <w:bottom w:val="single" w:color="000000" w:sz="8" w:space="0"/>
              <w:right w:val="single" w:color="000000" w:sz="8" w:space="0"/>
            </w:tcBorders>
            <w:vAlign w:val="center"/>
          </w:tcPr>
          <w:p w14:paraId="4FDC6ED6">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17</w:t>
            </w:r>
          </w:p>
        </w:tc>
        <w:tc>
          <w:tcPr>
            <w:tcW w:w="1079" w:type="dxa"/>
            <w:tcBorders>
              <w:top w:val="nil"/>
              <w:left w:val="nil"/>
              <w:bottom w:val="single" w:color="000000" w:sz="8" w:space="0"/>
              <w:right w:val="single" w:color="000000" w:sz="8" w:space="0"/>
            </w:tcBorders>
            <w:vAlign w:val="center"/>
          </w:tcPr>
          <w:p w14:paraId="44C6003E">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A060807便器冲洗阀</w:t>
            </w:r>
          </w:p>
        </w:tc>
        <w:tc>
          <w:tcPr>
            <w:tcW w:w="1319" w:type="dxa"/>
            <w:tcBorders>
              <w:top w:val="nil"/>
              <w:left w:val="nil"/>
              <w:bottom w:val="single" w:color="000000" w:sz="8" w:space="0"/>
              <w:right w:val="single" w:color="000000" w:sz="8" w:space="0"/>
            </w:tcBorders>
            <w:vAlign w:val="center"/>
          </w:tcPr>
          <w:p w14:paraId="30A2F789">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1622" w:type="dxa"/>
            <w:tcBorders>
              <w:top w:val="nil"/>
              <w:left w:val="nil"/>
              <w:bottom w:val="single" w:color="000000" w:sz="8" w:space="0"/>
              <w:right w:val="single" w:color="000000" w:sz="8" w:space="0"/>
            </w:tcBorders>
            <w:vAlign w:val="center"/>
          </w:tcPr>
          <w:p w14:paraId="0B1EF2ED">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753" w:type="dxa"/>
            <w:tcBorders>
              <w:top w:val="nil"/>
              <w:left w:val="nil"/>
              <w:bottom w:val="single" w:color="000000" w:sz="8" w:space="0"/>
              <w:right w:val="single" w:color="000000" w:sz="8" w:space="0"/>
            </w:tcBorders>
            <w:vAlign w:val="center"/>
          </w:tcPr>
          <w:p w14:paraId="5A544D85">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《便器冲洗阀用水效率限定值及用水效率等级》（GB28379）</w:t>
            </w:r>
          </w:p>
        </w:tc>
      </w:tr>
      <w:tr w14:paraId="482C3B5A">
        <w:tblPrEx>
          <w:tblCellMar>
            <w:top w:w="0" w:type="dxa"/>
            <w:left w:w="108" w:type="dxa"/>
            <w:bottom w:w="0" w:type="dxa"/>
            <w:right w:w="108" w:type="dxa"/>
          </w:tblCellMar>
        </w:tblPrEx>
        <w:trPr>
          <w:trHeight w:val="691" w:hRule="atLeast"/>
        </w:trPr>
        <w:tc>
          <w:tcPr>
            <w:tcW w:w="659" w:type="dxa"/>
            <w:tcBorders>
              <w:top w:val="nil"/>
              <w:left w:val="single" w:color="000000" w:sz="8" w:space="0"/>
              <w:bottom w:val="single" w:color="000000" w:sz="8" w:space="0"/>
              <w:right w:val="single" w:color="000000" w:sz="8" w:space="0"/>
            </w:tcBorders>
            <w:vAlign w:val="center"/>
          </w:tcPr>
          <w:p w14:paraId="077E2EB6">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18</w:t>
            </w:r>
          </w:p>
        </w:tc>
        <w:tc>
          <w:tcPr>
            <w:tcW w:w="1079" w:type="dxa"/>
            <w:tcBorders>
              <w:top w:val="nil"/>
              <w:left w:val="nil"/>
              <w:bottom w:val="single" w:color="000000" w:sz="8" w:space="0"/>
              <w:right w:val="single" w:color="000000" w:sz="8" w:space="0"/>
            </w:tcBorders>
            <w:vAlign w:val="center"/>
          </w:tcPr>
          <w:p w14:paraId="1515B3CD">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A060810淋浴器</w:t>
            </w:r>
          </w:p>
        </w:tc>
        <w:tc>
          <w:tcPr>
            <w:tcW w:w="1319" w:type="dxa"/>
            <w:tcBorders>
              <w:top w:val="nil"/>
              <w:left w:val="nil"/>
              <w:bottom w:val="single" w:color="000000" w:sz="8" w:space="0"/>
              <w:right w:val="single" w:color="000000" w:sz="8" w:space="0"/>
            </w:tcBorders>
            <w:vAlign w:val="center"/>
          </w:tcPr>
          <w:p w14:paraId="437D06F5">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1622" w:type="dxa"/>
            <w:tcBorders>
              <w:top w:val="nil"/>
              <w:left w:val="nil"/>
              <w:bottom w:val="single" w:color="000000" w:sz="8" w:space="0"/>
              <w:right w:val="single" w:color="000000" w:sz="8" w:space="0"/>
            </w:tcBorders>
            <w:vAlign w:val="center"/>
          </w:tcPr>
          <w:p w14:paraId="445B18B2">
            <w:pPr>
              <w:widowControl/>
              <w:wordWrap w:val="0"/>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753" w:type="dxa"/>
            <w:tcBorders>
              <w:top w:val="nil"/>
              <w:left w:val="nil"/>
              <w:bottom w:val="single" w:color="000000" w:sz="8" w:space="0"/>
              <w:right w:val="single" w:color="000000" w:sz="8" w:space="0"/>
            </w:tcBorders>
            <w:vAlign w:val="center"/>
          </w:tcPr>
          <w:p w14:paraId="4751C511">
            <w:pPr>
              <w:widowControl/>
              <w:wordWrap w:val="0"/>
              <w:jc w:val="left"/>
              <w:rPr>
                <w:rFonts w:ascii="宋体" w:hAnsi="宋体" w:cs="宋体"/>
                <w:color w:val="auto"/>
                <w:kern w:val="0"/>
                <w:sz w:val="20"/>
                <w:szCs w:val="20"/>
              </w:rPr>
            </w:pPr>
            <w:r>
              <w:rPr>
                <w:rFonts w:hint="eastAsia" w:ascii="宋体" w:hAnsi="宋体" w:cs="宋体"/>
                <w:color w:val="auto"/>
                <w:kern w:val="0"/>
                <w:sz w:val="20"/>
                <w:szCs w:val="20"/>
              </w:rPr>
              <w:t>《淋浴器用水效率限定值及用水效率等级》（GB28378）</w:t>
            </w:r>
          </w:p>
        </w:tc>
      </w:tr>
    </w:tbl>
    <w:p w14:paraId="15ACE40F">
      <w:pPr>
        <w:wordWrap w:val="0"/>
        <w:spacing w:line="360" w:lineRule="auto"/>
        <w:rPr>
          <w:rFonts w:ascii="宋体" w:hAnsi="宋体" w:cs="宋体"/>
          <w:color w:val="auto"/>
          <w:szCs w:val="21"/>
        </w:rPr>
      </w:pPr>
      <w:r>
        <w:rPr>
          <w:rFonts w:hint="eastAsia" w:ascii="宋体" w:hAnsi="宋体" w:cs="宋体"/>
          <w:color w:val="auto"/>
          <w:spacing w:val="-3"/>
          <w:szCs w:val="21"/>
        </w:rPr>
        <w:t>注：1.节能产品认证应依据相关国家标准的最新版本，依据国家标准中二级能效（水效）</w:t>
      </w:r>
      <w:r>
        <w:rPr>
          <w:rFonts w:hint="eastAsia" w:ascii="宋体" w:hAnsi="宋体" w:cs="宋体"/>
          <w:color w:val="auto"/>
          <w:szCs w:val="21"/>
        </w:rPr>
        <w:t>指标。</w:t>
      </w:r>
    </w:p>
    <w:p w14:paraId="075BDFDC">
      <w:pPr>
        <w:wordWrap w:val="0"/>
        <w:spacing w:line="360" w:lineRule="auto"/>
        <w:rPr>
          <w:rFonts w:ascii="宋体" w:hAnsi="宋体" w:cs="宋体"/>
          <w:b/>
          <w:bCs/>
          <w:color w:val="auto"/>
          <w:szCs w:val="21"/>
        </w:rPr>
      </w:pPr>
      <w:r>
        <w:rPr>
          <w:rFonts w:hint="eastAsia" w:ascii="宋体" w:hAnsi="宋体" w:cs="宋体"/>
          <w:color w:val="auto"/>
          <w:szCs w:val="21"/>
        </w:rPr>
        <w:t xml:space="preserve">    2</w:t>
      </w:r>
      <w:r>
        <w:rPr>
          <w:rFonts w:hint="eastAsia" w:ascii="宋体" w:hAnsi="宋体" w:cs="宋体"/>
          <w:b/>
          <w:bCs/>
          <w:color w:val="auto"/>
          <w:szCs w:val="21"/>
        </w:rPr>
        <w:t>.以“★”标注的为政府强制采购产品。</w:t>
      </w:r>
    </w:p>
    <w:p w14:paraId="26E6C837">
      <w:pPr>
        <w:wordWrap w:val="0"/>
        <w:spacing w:line="360" w:lineRule="auto"/>
        <w:jc w:val="left"/>
        <w:rPr>
          <w:rFonts w:hAnsi="宋体" w:cs="宋体"/>
          <w:color w:val="auto"/>
        </w:rPr>
        <w:sectPr>
          <w:footerReference r:id="rId9" w:type="default"/>
          <w:pgSz w:w="11905" w:h="16838"/>
          <w:pgMar w:top="1440" w:right="1417" w:bottom="1440" w:left="1417" w:header="850" w:footer="850" w:gutter="0"/>
          <w:pgNumType w:fmt="decimal"/>
          <w:cols w:space="720" w:num="1"/>
          <w:docGrid w:type="lines" w:linePitch="332" w:charSpace="0"/>
        </w:sectPr>
      </w:pPr>
    </w:p>
    <w:p w14:paraId="2B9886A2">
      <w:pPr>
        <w:wordWrap w:val="0"/>
        <w:spacing w:line="360" w:lineRule="auto"/>
        <w:jc w:val="left"/>
        <w:outlineLvl w:val="1"/>
        <w:rPr>
          <w:rFonts w:ascii="宋体" w:hAnsi="宋体" w:cs="宋体"/>
          <w:color w:val="auto"/>
          <w:sz w:val="32"/>
          <w:szCs w:val="32"/>
        </w:rPr>
      </w:pPr>
      <w:bookmarkStart w:id="57" w:name="_Toc29806"/>
      <w:bookmarkStart w:id="58" w:name="_Toc24206"/>
      <w:r>
        <w:rPr>
          <w:rFonts w:hint="eastAsia" w:ascii="宋体" w:hAnsi="宋体" w:cs="宋体"/>
          <w:color w:val="auto"/>
          <w:sz w:val="32"/>
          <w:szCs w:val="32"/>
        </w:rPr>
        <w:t>附件2：</w:t>
      </w:r>
      <w:bookmarkEnd w:id="57"/>
      <w:bookmarkEnd w:id="58"/>
    </w:p>
    <w:p w14:paraId="3C20938C">
      <w:pPr>
        <w:wordWrap w:val="0"/>
        <w:spacing w:line="360" w:lineRule="auto"/>
        <w:jc w:val="center"/>
        <w:rPr>
          <w:rFonts w:ascii="宋体" w:hAnsi="宋体" w:cs="宋体"/>
          <w:color w:val="auto"/>
          <w:sz w:val="40"/>
          <w:szCs w:val="40"/>
        </w:rPr>
      </w:pPr>
      <w:r>
        <w:rPr>
          <w:rFonts w:hint="eastAsia" w:ascii="宋体" w:hAnsi="宋体" w:cs="宋体"/>
          <w:color w:val="auto"/>
          <w:sz w:val="40"/>
          <w:szCs w:val="40"/>
        </w:rPr>
        <w:t>中小微企业划型标准</w:t>
      </w:r>
    </w:p>
    <w:tbl>
      <w:tblPr>
        <w:tblStyle w:val="25"/>
        <w:tblW w:w="9537" w:type="dxa"/>
        <w:tblInd w:w="0" w:type="dxa"/>
        <w:tblLayout w:type="fixed"/>
        <w:tblCellMar>
          <w:top w:w="0" w:type="dxa"/>
          <w:left w:w="108" w:type="dxa"/>
          <w:bottom w:w="0" w:type="dxa"/>
          <w:right w:w="108" w:type="dxa"/>
        </w:tblCellMar>
      </w:tblPr>
      <w:tblGrid>
        <w:gridCol w:w="2033"/>
        <w:gridCol w:w="1653"/>
        <w:gridCol w:w="1091"/>
        <w:gridCol w:w="1935"/>
        <w:gridCol w:w="1720"/>
        <w:gridCol w:w="1105"/>
      </w:tblGrid>
      <w:tr w14:paraId="240D4497">
        <w:tblPrEx>
          <w:tblCellMar>
            <w:top w:w="0" w:type="dxa"/>
            <w:left w:w="108" w:type="dxa"/>
            <w:bottom w:w="0" w:type="dxa"/>
            <w:right w:w="108" w:type="dxa"/>
          </w:tblCellMar>
        </w:tblPrEx>
        <w:trPr>
          <w:trHeight w:val="285" w:hRule="atLeast"/>
        </w:trPr>
        <w:tc>
          <w:tcPr>
            <w:tcW w:w="2033" w:type="dxa"/>
            <w:tcBorders>
              <w:top w:val="single" w:color="auto" w:sz="4" w:space="0"/>
              <w:left w:val="single" w:color="auto" w:sz="4" w:space="0"/>
              <w:bottom w:val="single" w:color="auto" w:sz="4" w:space="0"/>
              <w:right w:val="single" w:color="auto" w:sz="4" w:space="0"/>
            </w:tcBorders>
            <w:vAlign w:val="center"/>
          </w:tcPr>
          <w:p w14:paraId="2409DBCD">
            <w:pPr>
              <w:widowControl/>
              <w:wordWrap w:val="0"/>
              <w:jc w:val="left"/>
              <w:rPr>
                <w:rFonts w:ascii="宋体" w:hAnsi="宋体" w:cs="宋体"/>
                <w:b/>
                <w:color w:val="auto"/>
                <w:kern w:val="0"/>
                <w:szCs w:val="21"/>
              </w:rPr>
            </w:pPr>
            <w:r>
              <w:rPr>
                <w:rFonts w:hint="eastAsia" w:ascii="宋体" w:hAnsi="宋体" w:cs="宋体"/>
                <w:b/>
                <w:color w:val="auto"/>
                <w:kern w:val="0"/>
                <w:szCs w:val="21"/>
              </w:rPr>
              <w:t>行业名称</w:t>
            </w:r>
          </w:p>
        </w:tc>
        <w:tc>
          <w:tcPr>
            <w:tcW w:w="1653" w:type="dxa"/>
            <w:tcBorders>
              <w:top w:val="single" w:color="auto" w:sz="4" w:space="0"/>
              <w:left w:val="nil"/>
              <w:bottom w:val="single" w:color="auto" w:sz="4" w:space="0"/>
              <w:right w:val="single" w:color="auto" w:sz="4" w:space="0"/>
            </w:tcBorders>
            <w:vAlign w:val="center"/>
          </w:tcPr>
          <w:p w14:paraId="50BFA716">
            <w:pPr>
              <w:widowControl/>
              <w:wordWrap w:val="0"/>
              <w:jc w:val="left"/>
              <w:rPr>
                <w:rFonts w:ascii="宋体" w:hAnsi="宋体" w:cs="宋体"/>
                <w:b/>
                <w:color w:val="auto"/>
                <w:kern w:val="0"/>
                <w:szCs w:val="21"/>
              </w:rPr>
            </w:pPr>
            <w:r>
              <w:rPr>
                <w:rFonts w:hint="eastAsia" w:ascii="宋体" w:hAnsi="宋体" w:cs="宋体"/>
                <w:b/>
                <w:color w:val="auto"/>
                <w:kern w:val="0"/>
                <w:szCs w:val="21"/>
              </w:rPr>
              <w:t>指标名称</w:t>
            </w:r>
          </w:p>
        </w:tc>
        <w:tc>
          <w:tcPr>
            <w:tcW w:w="1091" w:type="dxa"/>
            <w:tcBorders>
              <w:top w:val="single" w:color="auto" w:sz="4" w:space="0"/>
              <w:left w:val="nil"/>
              <w:bottom w:val="single" w:color="auto" w:sz="4" w:space="0"/>
              <w:right w:val="single" w:color="auto" w:sz="4" w:space="0"/>
            </w:tcBorders>
            <w:vAlign w:val="center"/>
          </w:tcPr>
          <w:p w14:paraId="3172C0EA">
            <w:pPr>
              <w:widowControl/>
              <w:wordWrap w:val="0"/>
              <w:jc w:val="left"/>
              <w:rPr>
                <w:rFonts w:ascii="宋体" w:hAnsi="宋体" w:cs="宋体"/>
                <w:b/>
                <w:color w:val="auto"/>
                <w:kern w:val="0"/>
                <w:szCs w:val="21"/>
              </w:rPr>
            </w:pPr>
            <w:r>
              <w:rPr>
                <w:rFonts w:hint="eastAsia" w:ascii="宋体" w:hAnsi="宋体" w:cs="宋体"/>
                <w:b/>
                <w:color w:val="auto"/>
                <w:kern w:val="0"/>
                <w:szCs w:val="21"/>
              </w:rPr>
              <w:t>计量单位</w:t>
            </w:r>
          </w:p>
        </w:tc>
        <w:tc>
          <w:tcPr>
            <w:tcW w:w="1935" w:type="dxa"/>
            <w:tcBorders>
              <w:top w:val="single" w:color="auto" w:sz="4" w:space="0"/>
              <w:left w:val="nil"/>
              <w:bottom w:val="single" w:color="auto" w:sz="4" w:space="0"/>
              <w:right w:val="single" w:color="auto" w:sz="4" w:space="0"/>
            </w:tcBorders>
            <w:vAlign w:val="center"/>
          </w:tcPr>
          <w:p w14:paraId="636229AC">
            <w:pPr>
              <w:widowControl/>
              <w:wordWrap w:val="0"/>
              <w:jc w:val="left"/>
              <w:rPr>
                <w:rFonts w:ascii="宋体" w:hAnsi="宋体" w:cs="宋体"/>
                <w:b/>
                <w:color w:val="auto"/>
                <w:kern w:val="0"/>
                <w:szCs w:val="21"/>
              </w:rPr>
            </w:pPr>
            <w:r>
              <w:rPr>
                <w:rFonts w:hint="eastAsia" w:ascii="宋体" w:hAnsi="宋体" w:cs="宋体"/>
                <w:b/>
                <w:color w:val="auto"/>
                <w:kern w:val="0"/>
                <w:szCs w:val="21"/>
              </w:rPr>
              <w:t>中型</w:t>
            </w:r>
          </w:p>
        </w:tc>
        <w:tc>
          <w:tcPr>
            <w:tcW w:w="1720" w:type="dxa"/>
            <w:tcBorders>
              <w:top w:val="single" w:color="auto" w:sz="4" w:space="0"/>
              <w:left w:val="nil"/>
              <w:bottom w:val="single" w:color="auto" w:sz="4" w:space="0"/>
              <w:right w:val="single" w:color="auto" w:sz="4" w:space="0"/>
            </w:tcBorders>
            <w:vAlign w:val="center"/>
          </w:tcPr>
          <w:p w14:paraId="3532F657">
            <w:pPr>
              <w:widowControl/>
              <w:wordWrap w:val="0"/>
              <w:jc w:val="left"/>
              <w:rPr>
                <w:rFonts w:ascii="宋体" w:hAnsi="宋体" w:cs="宋体"/>
                <w:b/>
                <w:color w:val="auto"/>
                <w:kern w:val="0"/>
                <w:szCs w:val="21"/>
              </w:rPr>
            </w:pPr>
            <w:r>
              <w:rPr>
                <w:rFonts w:hint="eastAsia" w:ascii="宋体" w:hAnsi="宋体" w:cs="宋体"/>
                <w:b/>
                <w:color w:val="auto"/>
                <w:kern w:val="0"/>
                <w:szCs w:val="21"/>
              </w:rPr>
              <w:t>小型</w:t>
            </w:r>
          </w:p>
        </w:tc>
        <w:tc>
          <w:tcPr>
            <w:tcW w:w="1105" w:type="dxa"/>
            <w:tcBorders>
              <w:top w:val="single" w:color="auto" w:sz="4" w:space="0"/>
              <w:left w:val="nil"/>
              <w:bottom w:val="single" w:color="auto" w:sz="4" w:space="0"/>
              <w:right w:val="single" w:color="auto" w:sz="4" w:space="0"/>
            </w:tcBorders>
            <w:vAlign w:val="center"/>
          </w:tcPr>
          <w:p w14:paraId="4DCAB9F9">
            <w:pPr>
              <w:widowControl/>
              <w:wordWrap w:val="0"/>
              <w:jc w:val="left"/>
              <w:rPr>
                <w:rFonts w:ascii="宋体" w:hAnsi="宋体" w:cs="宋体"/>
                <w:b/>
                <w:color w:val="auto"/>
                <w:kern w:val="0"/>
                <w:szCs w:val="21"/>
              </w:rPr>
            </w:pPr>
            <w:r>
              <w:rPr>
                <w:rFonts w:hint="eastAsia" w:ascii="宋体" w:hAnsi="宋体" w:cs="宋体"/>
                <w:b/>
                <w:color w:val="auto"/>
                <w:kern w:val="0"/>
                <w:szCs w:val="21"/>
              </w:rPr>
              <w:t>微型</w:t>
            </w:r>
          </w:p>
        </w:tc>
      </w:tr>
      <w:tr w14:paraId="16AA7419">
        <w:tblPrEx>
          <w:tblCellMar>
            <w:top w:w="0" w:type="dxa"/>
            <w:left w:w="108" w:type="dxa"/>
            <w:bottom w:w="0" w:type="dxa"/>
            <w:right w:w="108" w:type="dxa"/>
          </w:tblCellMar>
        </w:tblPrEx>
        <w:trPr>
          <w:trHeight w:val="225" w:hRule="atLeast"/>
        </w:trPr>
        <w:tc>
          <w:tcPr>
            <w:tcW w:w="2033" w:type="dxa"/>
            <w:tcBorders>
              <w:top w:val="nil"/>
              <w:left w:val="single" w:color="auto" w:sz="4" w:space="0"/>
              <w:bottom w:val="single" w:color="auto" w:sz="4" w:space="0"/>
              <w:right w:val="single" w:color="auto" w:sz="4" w:space="0"/>
            </w:tcBorders>
            <w:vAlign w:val="bottom"/>
          </w:tcPr>
          <w:p w14:paraId="279F4358">
            <w:pPr>
              <w:widowControl/>
              <w:wordWrap w:val="0"/>
              <w:jc w:val="center"/>
              <w:rPr>
                <w:rFonts w:ascii="宋体" w:hAnsi="宋体" w:cs="宋体"/>
                <w:b/>
                <w:bCs/>
                <w:color w:val="auto"/>
                <w:kern w:val="0"/>
                <w:szCs w:val="21"/>
              </w:rPr>
            </w:pPr>
            <w:r>
              <w:rPr>
                <w:rFonts w:hint="eastAsia" w:ascii="宋体" w:hAnsi="宋体" w:cs="宋体"/>
                <w:b/>
                <w:bCs/>
                <w:color w:val="auto"/>
                <w:kern w:val="0"/>
                <w:szCs w:val="21"/>
              </w:rPr>
              <w:t>农、林、牧、渔</w:t>
            </w:r>
          </w:p>
        </w:tc>
        <w:tc>
          <w:tcPr>
            <w:tcW w:w="1653" w:type="dxa"/>
            <w:tcBorders>
              <w:top w:val="nil"/>
              <w:left w:val="nil"/>
              <w:bottom w:val="single" w:color="auto" w:sz="4" w:space="0"/>
              <w:right w:val="single" w:color="auto" w:sz="4" w:space="0"/>
            </w:tcBorders>
            <w:vAlign w:val="center"/>
          </w:tcPr>
          <w:p w14:paraId="082C13D1">
            <w:pPr>
              <w:widowControl/>
              <w:wordWrap w:val="0"/>
              <w:jc w:val="left"/>
              <w:rPr>
                <w:rFonts w:ascii="宋体" w:hAnsi="宋体" w:cs="宋体"/>
                <w:color w:val="auto"/>
                <w:kern w:val="0"/>
                <w:szCs w:val="21"/>
              </w:rPr>
            </w:pPr>
            <w:r>
              <w:rPr>
                <w:rFonts w:hint="eastAsia" w:ascii="宋体" w:hAnsi="宋体" w:cs="宋体"/>
                <w:color w:val="auto"/>
                <w:kern w:val="0"/>
                <w:szCs w:val="21"/>
              </w:rPr>
              <w:t>营业收入（Y）</w:t>
            </w:r>
          </w:p>
        </w:tc>
        <w:tc>
          <w:tcPr>
            <w:tcW w:w="1091" w:type="dxa"/>
            <w:tcBorders>
              <w:top w:val="nil"/>
              <w:left w:val="nil"/>
              <w:bottom w:val="single" w:color="auto" w:sz="4" w:space="0"/>
              <w:right w:val="single" w:color="auto" w:sz="4" w:space="0"/>
            </w:tcBorders>
            <w:vAlign w:val="center"/>
          </w:tcPr>
          <w:p w14:paraId="4CACC359">
            <w:pPr>
              <w:widowControl/>
              <w:wordWrap w:val="0"/>
              <w:jc w:val="left"/>
              <w:rPr>
                <w:rFonts w:ascii="宋体" w:hAnsi="宋体" w:cs="宋体"/>
                <w:color w:val="auto"/>
                <w:kern w:val="0"/>
                <w:szCs w:val="21"/>
              </w:rPr>
            </w:pPr>
            <w:r>
              <w:rPr>
                <w:rFonts w:hint="eastAsia" w:ascii="宋体" w:hAnsi="宋体" w:cs="宋体"/>
                <w:color w:val="auto"/>
                <w:kern w:val="0"/>
                <w:szCs w:val="21"/>
              </w:rPr>
              <w:t>万元</w:t>
            </w:r>
          </w:p>
        </w:tc>
        <w:tc>
          <w:tcPr>
            <w:tcW w:w="1935" w:type="dxa"/>
            <w:tcBorders>
              <w:top w:val="nil"/>
              <w:left w:val="nil"/>
              <w:bottom w:val="single" w:color="auto" w:sz="4" w:space="0"/>
              <w:right w:val="single" w:color="auto" w:sz="4" w:space="0"/>
            </w:tcBorders>
            <w:vAlign w:val="center"/>
          </w:tcPr>
          <w:p w14:paraId="72F748B9">
            <w:pPr>
              <w:widowControl/>
              <w:wordWrap w:val="0"/>
              <w:jc w:val="left"/>
              <w:rPr>
                <w:rFonts w:ascii="宋体" w:hAnsi="宋体" w:cs="宋体"/>
                <w:color w:val="auto"/>
                <w:kern w:val="0"/>
                <w:szCs w:val="21"/>
              </w:rPr>
            </w:pPr>
            <w:r>
              <w:rPr>
                <w:rFonts w:hint="eastAsia" w:ascii="宋体" w:hAnsi="宋体" w:cs="宋体"/>
                <w:color w:val="auto"/>
                <w:kern w:val="0"/>
                <w:szCs w:val="21"/>
              </w:rPr>
              <w:t>500≤Y＜20000</w:t>
            </w:r>
          </w:p>
        </w:tc>
        <w:tc>
          <w:tcPr>
            <w:tcW w:w="1720" w:type="dxa"/>
            <w:tcBorders>
              <w:top w:val="nil"/>
              <w:left w:val="nil"/>
              <w:bottom w:val="single" w:color="auto" w:sz="4" w:space="0"/>
              <w:right w:val="single" w:color="auto" w:sz="4" w:space="0"/>
            </w:tcBorders>
            <w:vAlign w:val="center"/>
          </w:tcPr>
          <w:p w14:paraId="45A5B5AA">
            <w:pPr>
              <w:widowControl/>
              <w:wordWrap w:val="0"/>
              <w:jc w:val="left"/>
              <w:rPr>
                <w:rFonts w:ascii="宋体" w:hAnsi="宋体" w:cs="宋体"/>
                <w:color w:val="auto"/>
                <w:kern w:val="0"/>
                <w:szCs w:val="21"/>
              </w:rPr>
            </w:pPr>
            <w:r>
              <w:rPr>
                <w:rFonts w:hint="eastAsia" w:ascii="宋体" w:hAnsi="宋体" w:cs="宋体"/>
                <w:color w:val="auto"/>
                <w:kern w:val="0"/>
                <w:szCs w:val="21"/>
              </w:rPr>
              <w:t>50≤Y＜500</w:t>
            </w:r>
          </w:p>
        </w:tc>
        <w:tc>
          <w:tcPr>
            <w:tcW w:w="1105" w:type="dxa"/>
            <w:tcBorders>
              <w:top w:val="nil"/>
              <w:left w:val="nil"/>
              <w:bottom w:val="single" w:color="auto" w:sz="4" w:space="0"/>
              <w:right w:val="single" w:color="auto" w:sz="4" w:space="0"/>
            </w:tcBorders>
            <w:vAlign w:val="center"/>
          </w:tcPr>
          <w:p w14:paraId="4C34EFAB">
            <w:pPr>
              <w:widowControl/>
              <w:wordWrap w:val="0"/>
              <w:jc w:val="left"/>
              <w:rPr>
                <w:rFonts w:ascii="宋体" w:hAnsi="宋体" w:cs="宋体"/>
                <w:color w:val="auto"/>
                <w:kern w:val="0"/>
                <w:szCs w:val="21"/>
              </w:rPr>
            </w:pPr>
            <w:r>
              <w:rPr>
                <w:rFonts w:hint="eastAsia" w:ascii="宋体" w:hAnsi="宋体" w:cs="宋体"/>
                <w:color w:val="auto"/>
                <w:kern w:val="0"/>
                <w:szCs w:val="21"/>
              </w:rPr>
              <w:t>Y＜50</w:t>
            </w:r>
          </w:p>
        </w:tc>
      </w:tr>
      <w:tr w14:paraId="33F957FE">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07CF0579">
            <w:pPr>
              <w:widowControl/>
              <w:wordWrap w:val="0"/>
              <w:jc w:val="center"/>
              <w:rPr>
                <w:rFonts w:ascii="宋体" w:hAnsi="宋体" w:cs="宋体"/>
                <w:b/>
                <w:bCs/>
                <w:color w:val="auto"/>
                <w:kern w:val="0"/>
                <w:szCs w:val="21"/>
              </w:rPr>
            </w:pPr>
            <w:r>
              <w:rPr>
                <w:rFonts w:hint="eastAsia" w:ascii="宋体" w:hAnsi="宋体" w:cs="宋体"/>
                <w:b/>
                <w:bCs/>
                <w:color w:val="auto"/>
                <w:kern w:val="0"/>
                <w:szCs w:val="21"/>
              </w:rPr>
              <w:t>工业</w:t>
            </w:r>
          </w:p>
        </w:tc>
        <w:tc>
          <w:tcPr>
            <w:tcW w:w="1653" w:type="dxa"/>
            <w:tcBorders>
              <w:top w:val="nil"/>
              <w:left w:val="nil"/>
              <w:bottom w:val="single" w:color="auto" w:sz="4" w:space="0"/>
              <w:right w:val="single" w:color="auto" w:sz="4" w:space="0"/>
            </w:tcBorders>
            <w:vAlign w:val="center"/>
          </w:tcPr>
          <w:p w14:paraId="43F5D96E">
            <w:pPr>
              <w:widowControl/>
              <w:wordWrap w:val="0"/>
              <w:jc w:val="left"/>
              <w:rPr>
                <w:rFonts w:ascii="宋体" w:hAnsi="宋体" w:cs="宋体"/>
                <w:color w:val="auto"/>
                <w:kern w:val="0"/>
                <w:szCs w:val="21"/>
              </w:rPr>
            </w:pPr>
            <w:r>
              <w:rPr>
                <w:rFonts w:hint="eastAsia" w:ascii="宋体" w:hAnsi="宋体" w:cs="宋体"/>
                <w:color w:val="auto"/>
                <w:kern w:val="0"/>
                <w:szCs w:val="21"/>
              </w:rPr>
              <w:t>从业人员（X）</w:t>
            </w:r>
          </w:p>
        </w:tc>
        <w:tc>
          <w:tcPr>
            <w:tcW w:w="1091" w:type="dxa"/>
            <w:tcBorders>
              <w:top w:val="nil"/>
              <w:left w:val="nil"/>
              <w:bottom w:val="single" w:color="auto" w:sz="4" w:space="0"/>
              <w:right w:val="single" w:color="auto" w:sz="4" w:space="0"/>
            </w:tcBorders>
            <w:vAlign w:val="center"/>
          </w:tcPr>
          <w:p w14:paraId="0A713C80">
            <w:pPr>
              <w:widowControl/>
              <w:wordWrap w:val="0"/>
              <w:jc w:val="left"/>
              <w:rPr>
                <w:rFonts w:ascii="宋体" w:hAnsi="宋体" w:cs="宋体"/>
                <w:color w:val="auto"/>
                <w:kern w:val="0"/>
                <w:szCs w:val="21"/>
              </w:rPr>
            </w:pPr>
            <w:r>
              <w:rPr>
                <w:rFonts w:hint="eastAsia" w:ascii="宋体" w:hAnsi="宋体" w:cs="宋体"/>
                <w:color w:val="auto"/>
                <w:kern w:val="0"/>
                <w:szCs w:val="21"/>
              </w:rPr>
              <w:t>人</w:t>
            </w:r>
          </w:p>
        </w:tc>
        <w:tc>
          <w:tcPr>
            <w:tcW w:w="1935" w:type="dxa"/>
            <w:tcBorders>
              <w:top w:val="nil"/>
              <w:left w:val="nil"/>
              <w:bottom w:val="single" w:color="auto" w:sz="4" w:space="0"/>
              <w:right w:val="single" w:color="auto" w:sz="4" w:space="0"/>
            </w:tcBorders>
            <w:vAlign w:val="center"/>
          </w:tcPr>
          <w:p w14:paraId="5592DB6A">
            <w:pPr>
              <w:widowControl/>
              <w:wordWrap w:val="0"/>
              <w:jc w:val="left"/>
              <w:rPr>
                <w:rFonts w:ascii="宋体" w:hAnsi="宋体" w:cs="宋体"/>
                <w:color w:val="auto"/>
                <w:kern w:val="0"/>
                <w:szCs w:val="21"/>
              </w:rPr>
            </w:pPr>
            <w:r>
              <w:rPr>
                <w:rFonts w:hint="eastAsia" w:ascii="宋体" w:hAnsi="宋体" w:cs="宋体"/>
                <w:color w:val="auto"/>
                <w:kern w:val="0"/>
                <w:szCs w:val="21"/>
              </w:rPr>
              <w:t>300≤X＜1000</w:t>
            </w:r>
          </w:p>
        </w:tc>
        <w:tc>
          <w:tcPr>
            <w:tcW w:w="1720" w:type="dxa"/>
            <w:tcBorders>
              <w:top w:val="nil"/>
              <w:left w:val="nil"/>
              <w:bottom w:val="single" w:color="auto" w:sz="4" w:space="0"/>
              <w:right w:val="single" w:color="auto" w:sz="4" w:space="0"/>
            </w:tcBorders>
            <w:vAlign w:val="center"/>
          </w:tcPr>
          <w:p w14:paraId="0E7243E5">
            <w:pPr>
              <w:widowControl/>
              <w:wordWrap w:val="0"/>
              <w:jc w:val="left"/>
              <w:rPr>
                <w:rFonts w:ascii="宋体" w:hAnsi="宋体" w:cs="宋体"/>
                <w:color w:val="auto"/>
                <w:kern w:val="0"/>
                <w:szCs w:val="21"/>
              </w:rPr>
            </w:pPr>
            <w:r>
              <w:rPr>
                <w:rFonts w:hint="eastAsia" w:ascii="宋体" w:hAnsi="宋体" w:cs="宋体"/>
                <w:color w:val="auto"/>
                <w:kern w:val="0"/>
                <w:szCs w:val="21"/>
              </w:rPr>
              <w:t>20≤X＜300</w:t>
            </w:r>
          </w:p>
        </w:tc>
        <w:tc>
          <w:tcPr>
            <w:tcW w:w="1105" w:type="dxa"/>
            <w:tcBorders>
              <w:top w:val="nil"/>
              <w:left w:val="nil"/>
              <w:bottom w:val="single" w:color="auto" w:sz="4" w:space="0"/>
              <w:right w:val="single" w:color="auto" w:sz="4" w:space="0"/>
            </w:tcBorders>
            <w:vAlign w:val="center"/>
          </w:tcPr>
          <w:p w14:paraId="0C8D175C">
            <w:pPr>
              <w:widowControl/>
              <w:wordWrap w:val="0"/>
              <w:jc w:val="left"/>
              <w:rPr>
                <w:rFonts w:ascii="宋体" w:hAnsi="宋体" w:cs="宋体"/>
                <w:color w:val="auto"/>
                <w:kern w:val="0"/>
                <w:szCs w:val="21"/>
              </w:rPr>
            </w:pPr>
            <w:r>
              <w:rPr>
                <w:rFonts w:hint="eastAsia" w:ascii="宋体" w:hAnsi="宋体" w:cs="宋体"/>
                <w:color w:val="auto"/>
                <w:kern w:val="0"/>
                <w:szCs w:val="21"/>
              </w:rPr>
              <w:t>X＜20</w:t>
            </w:r>
          </w:p>
        </w:tc>
      </w:tr>
      <w:tr w14:paraId="1FD4D674">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5D8E3554">
            <w:pPr>
              <w:widowControl/>
              <w:wordWrap w:val="0"/>
              <w:jc w:val="left"/>
              <w:rPr>
                <w:rFonts w:ascii="宋体" w:hAnsi="宋体" w:cs="宋体"/>
                <w:b/>
                <w:bCs/>
                <w:color w:val="auto"/>
                <w:kern w:val="0"/>
                <w:szCs w:val="21"/>
              </w:rPr>
            </w:pPr>
          </w:p>
        </w:tc>
        <w:tc>
          <w:tcPr>
            <w:tcW w:w="1653" w:type="dxa"/>
            <w:tcBorders>
              <w:top w:val="nil"/>
              <w:left w:val="nil"/>
              <w:bottom w:val="single" w:color="auto" w:sz="4" w:space="0"/>
              <w:right w:val="single" w:color="auto" w:sz="4" w:space="0"/>
            </w:tcBorders>
            <w:vAlign w:val="center"/>
          </w:tcPr>
          <w:p w14:paraId="4D54C3EF">
            <w:pPr>
              <w:widowControl/>
              <w:wordWrap w:val="0"/>
              <w:jc w:val="left"/>
              <w:rPr>
                <w:rFonts w:ascii="宋体" w:hAnsi="宋体" w:cs="宋体"/>
                <w:color w:val="auto"/>
                <w:kern w:val="0"/>
                <w:szCs w:val="21"/>
              </w:rPr>
            </w:pPr>
            <w:r>
              <w:rPr>
                <w:rFonts w:hint="eastAsia" w:ascii="宋体" w:hAnsi="宋体" w:cs="宋体"/>
                <w:color w:val="auto"/>
                <w:kern w:val="0"/>
                <w:szCs w:val="21"/>
              </w:rPr>
              <w:t>营业收入（Y）</w:t>
            </w:r>
          </w:p>
        </w:tc>
        <w:tc>
          <w:tcPr>
            <w:tcW w:w="1091" w:type="dxa"/>
            <w:tcBorders>
              <w:top w:val="nil"/>
              <w:left w:val="nil"/>
              <w:bottom w:val="single" w:color="auto" w:sz="4" w:space="0"/>
              <w:right w:val="single" w:color="auto" w:sz="4" w:space="0"/>
            </w:tcBorders>
            <w:vAlign w:val="center"/>
          </w:tcPr>
          <w:p w14:paraId="1D841AA6">
            <w:pPr>
              <w:widowControl/>
              <w:wordWrap w:val="0"/>
              <w:jc w:val="left"/>
              <w:rPr>
                <w:rFonts w:ascii="宋体" w:hAnsi="宋体" w:cs="宋体"/>
                <w:color w:val="auto"/>
                <w:kern w:val="0"/>
                <w:szCs w:val="21"/>
              </w:rPr>
            </w:pPr>
            <w:r>
              <w:rPr>
                <w:rFonts w:hint="eastAsia" w:ascii="宋体" w:hAnsi="宋体" w:cs="宋体"/>
                <w:color w:val="auto"/>
                <w:kern w:val="0"/>
                <w:szCs w:val="21"/>
              </w:rPr>
              <w:t>万元</w:t>
            </w:r>
          </w:p>
        </w:tc>
        <w:tc>
          <w:tcPr>
            <w:tcW w:w="1935" w:type="dxa"/>
            <w:tcBorders>
              <w:top w:val="nil"/>
              <w:left w:val="nil"/>
              <w:bottom w:val="single" w:color="auto" w:sz="4" w:space="0"/>
              <w:right w:val="single" w:color="auto" w:sz="4" w:space="0"/>
            </w:tcBorders>
            <w:vAlign w:val="center"/>
          </w:tcPr>
          <w:p w14:paraId="29EE4845">
            <w:pPr>
              <w:widowControl/>
              <w:wordWrap w:val="0"/>
              <w:jc w:val="left"/>
              <w:rPr>
                <w:rFonts w:ascii="宋体" w:hAnsi="宋体" w:cs="宋体"/>
                <w:color w:val="auto"/>
                <w:kern w:val="0"/>
                <w:szCs w:val="21"/>
              </w:rPr>
            </w:pPr>
            <w:r>
              <w:rPr>
                <w:rFonts w:hint="eastAsia" w:ascii="宋体" w:hAnsi="宋体" w:cs="宋体"/>
                <w:color w:val="auto"/>
                <w:kern w:val="0"/>
                <w:szCs w:val="21"/>
              </w:rPr>
              <w:t>2000≤Y＜40000</w:t>
            </w:r>
          </w:p>
        </w:tc>
        <w:tc>
          <w:tcPr>
            <w:tcW w:w="1720" w:type="dxa"/>
            <w:tcBorders>
              <w:top w:val="nil"/>
              <w:left w:val="nil"/>
              <w:bottom w:val="single" w:color="auto" w:sz="4" w:space="0"/>
              <w:right w:val="single" w:color="auto" w:sz="4" w:space="0"/>
            </w:tcBorders>
            <w:vAlign w:val="center"/>
          </w:tcPr>
          <w:p w14:paraId="0B3D2598">
            <w:pPr>
              <w:widowControl/>
              <w:wordWrap w:val="0"/>
              <w:jc w:val="left"/>
              <w:rPr>
                <w:rFonts w:ascii="宋体" w:hAnsi="宋体" w:cs="宋体"/>
                <w:color w:val="auto"/>
                <w:kern w:val="0"/>
                <w:szCs w:val="21"/>
              </w:rPr>
            </w:pPr>
            <w:r>
              <w:rPr>
                <w:rFonts w:hint="eastAsia" w:ascii="宋体" w:hAnsi="宋体" w:cs="宋体"/>
                <w:color w:val="auto"/>
                <w:kern w:val="0"/>
                <w:szCs w:val="21"/>
              </w:rPr>
              <w:t>300≤Y＜2000</w:t>
            </w:r>
          </w:p>
        </w:tc>
        <w:tc>
          <w:tcPr>
            <w:tcW w:w="1105" w:type="dxa"/>
            <w:tcBorders>
              <w:top w:val="nil"/>
              <w:left w:val="nil"/>
              <w:bottom w:val="single" w:color="auto" w:sz="4" w:space="0"/>
              <w:right w:val="single" w:color="auto" w:sz="4" w:space="0"/>
            </w:tcBorders>
            <w:vAlign w:val="center"/>
          </w:tcPr>
          <w:p w14:paraId="25C9C833">
            <w:pPr>
              <w:widowControl/>
              <w:wordWrap w:val="0"/>
              <w:jc w:val="left"/>
              <w:rPr>
                <w:rFonts w:ascii="宋体" w:hAnsi="宋体" w:cs="宋体"/>
                <w:color w:val="auto"/>
                <w:kern w:val="0"/>
                <w:szCs w:val="21"/>
              </w:rPr>
            </w:pPr>
            <w:r>
              <w:rPr>
                <w:rFonts w:hint="eastAsia" w:ascii="宋体" w:hAnsi="宋体" w:cs="宋体"/>
                <w:color w:val="auto"/>
                <w:kern w:val="0"/>
                <w:szCs w:val="21"/>
              </w:rPr>
              <w:t>Y＜300</w:t>
            </w:r>
          </w:p>
        </w:tc>
      </w:tr>
      <w:tr w14:paraId="7EC30825">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71EA9C9B">
            <w:pPr>
              <w:widowControl/>
              <w:wordWrap w:val="0"/>
              <w:jc w:val="center"/>
              <w:rPr>
                <w:rFonts w:ascii="宋体" w:hAnsi="宋体" w:cs="宋体"/>
                <w:b/>
                <w:bCs/>
                <w:color w:val="auto"/>
                <w:kern w:val="0"/>
                <w:szCs w:val="21"/>
              </w:rPr>
            </w:pPr>
            <w:r>
              <w:rPr>
                <w:rFonts w:hint="eastAsia" w:ascii="宋体" w:hAnsi="宋体" w:cs="宋体"/>
                <w:b/>
                <w:bCs/>
                <w:color w:val="auto"/>
                <w:kern w:val="0"/>
                <w:szCs w:val="21"/>
              </w:rPr>
              <w:t>建筑业</w:t>
            </w:r>
          </w:p>
        </w:tc>
        <w:tc>
          <w:tcPr>
            <w:tcW w:w="1653" w:type="dxa"/>
            <w:tcBorders>
              <w:top w:val="nil"/>
              <w:left w:val="nil"/>
              <w:bottom w:val="single" w:color="auto" w:sz="4" w:space="0"/>
              <w:right w:val="single" w:color="auto" w:sz="4" w:space="0"/>
            </w:tcBorders>
            <w:vAlign w:val="center"/>
          </w:tcPr>
          <w:p w14:paraId="49A5BE47">
            <w:pPr>
              <w:widowControl/>
              <w:wordWrap w:val="0"/>
              <w:jc w:val="left"/>
              <w:rPr>
                <w:rFonts w:ascii="宋体" w:hAnsi="宋体" w:cs="宋体"/>
                <w:color w:val="auto"/>
                <w:kern w:val="0"/>
                <w:szCs w:val="21"/>
              </w:rPr>
            </w:pPr>
            <w:r>
              <w:rPr>
                <w:rFonts w:hint="eastAsia" w:ascii="宋体" w:hAnsi="宋体" w:cs="宋体"/>
                <w:color w:val="auto"/>
                <w:kern w:val="0"/>
                <w:szCs w:val="21"/>
              </w:rPr>
              <w:t>营业收入（Y）</w:t>
            </w:r>
          </w:p>
        </w:tc>
        <w:tc>
          <w:tcPr>
            <w:tcW w:w="1091" w:type="dxa"/>
            <w:tcBorders>
              <w:top w:val="nil"/>
              <w:left w:val="nil"/>
              <w:bottom w:val="single" w:color="auto" w:sz="4" w:space="0"/>
              <w:right w:val="single" w:color="auto" w:sz="4" w:space="0"/>
            </w:tcBorders>
            <w:vAlign w:val="center"/>
          </w:tcPr>
          <w:p w14:paraId="413682F9">
            <w:pPr>
              <w:widowControl/>
              <w:wordWrap w:val="0"/>
              <w:jc w:val="left"/>
              <w:rPr>
                <w:rFonts w:ascii="宋体" w:hAnsi="宋体" w:cs="宋体"/>
                <w:color w:val="auto"/>
                <w:kern w:val="0"/>
                <w:szCs w:val="21"/>
              </w:rPr>
            </w:pPr>
            <w:r>
              <w:rPr>
                <w:rFonts w:hint="eastAsia" w:ascii="宋体" w:hAnsi="宋体" w:cs="宋体"/>
                <w:color w:val="auto"/>
                <w:kern w:val="0"/>
                <w:szCs w:val="21"/>
              </w:rPr>
              <w:t>万元</w:t>
            </w:r>
          </w:p>
        </w:tc>
        <w:tc>
          <w:tcPr>
            <w:tcW w:w="1935" w:type="dxa"/>
            <w:tcBorders>
              <w:top w:val="nil"/>
              <w:left w:val="nil"/>
              <w:bottom w:val="single" w:color="auto" w:sz="4" w:space="0"/>
              <w:right w:val="single" w:color="auto" w:sz="4" w:space="0"/>
            </w:tcBorders>
            <w:vAlign w:val="center"/>
          </w:tcPr>
          <w:p w14:paraId="13FFF20E">
            <w:pPr>
              <w:widowControl/>
              <w:wordWrap w:val="0"/>
              <w:jc w:val="left"/>
              <w:rPr>
                <w:rFonts w:ascii="宋体" w:hAnsi="宋体" w:cs="宋体"/>
                <w:color w:val="auto"/>
                <w:kern w:val="0"/>
                <w:szCs w:val="21"/>
              </w:rPr>
            </w:pPr>
            <w:r>
              <w:rPr>
                <w:rFonts w:hint="eastAsia" w:ascii="宋体" w:hAnsi="宋体" w:cs="宋体"/>
                <w:color w:val="auto"/>
                <w:kern w:val="0"/>
                <w:szCs w:val="21"/>
              </w:rPr>
              <w:t>6000≤Y＜80000</w:t>
            </w:r>
          </w:p>
        </w:tc>
        <w:tc>
          <w:tcPr>
            <w:tcW w:w="1720" w:type="dxa"/>
            <w:tcBorders>
              <w:top w:val="nil"/>
              <w:left w:val="nil"/>
              <w:bottom w:val="single" w:color="auto" w:sz="4" w:space="0"/>
              <w:right w:val="single" w:color="auto" w:sz="4" w:space="0"/>
            </w:tcBorders>
            <w:vAlign w:val="center"/>
          </w:tcPr>
          <w:p w14:paraId="6727D973">
            <w:pPr>
              <w:widowControl/>
              <w:wordWrap w:val="0"/>
              <w:jc w:val="left"/>
              <w:rPr>
                <w:rFonts w:ascii="宋体" w:hAnsi="宋体" w:cs="宋体"/>
                <w:color w:val="auto"/>
                <w:kern w:val="0"/>
                <w:szCs w:val="21"/>
              </w:rPr>
            </w:pPr>
            <w:r>
              <w:rPr>
                <w:rFonts w:hint="eastAsia" w:ascii="宋体" w:hAnsi="宋体" w:cs="宋体"/>
                <w:color w:val="auto"/>
                <w:kern w:val="0"/>
                <w:szCs w:val="21"/>
              </w:rPr>
              <w:t>300≤Y＜6000</w:t>
            </w:r>
          </w:p>
        </w:tc>
        <w:tc>
          <w:tcPr>
            <w:tcW w:w="1105" w:type="dxa"/>
            <w:tcBorders>
              <w:top w:val="nil"/>
              <w:left w:val="nil"/>
              <w:bottom w:val="single" w:color="auto" w:sz="4" w:space="0"/>
              <w:right w:val="single" w:color="auto" w:sz="4" w:space="0"/>
            </w:tcBorders>
            <w:vAlign w:val="center"/>
          </w:tcPr>
          <w:p w14:paraId="409D0C20">
            <w:pPr>
              <w:widowControl/>
              <w:wordWrap w:val="0"/>
              <w:jc w:val="left"/>
              <w:rPr>
                <w:rFonts w:ascii="宋体" w:hAnsi="宋体" w:cs="宋体"/>
                <w:color w:val="auto"/>
                <w:kern w:val="0"/>
                <w:szCs w:val="21"/>
              </w:rPr>
            </w:pPr>
            <w:r>
              <w:rPr>
                <w:rFonts w:hint="eastAsia" w:ascii="宋体" w:hAnsi="宋体" w:cs="宋体"/>
                <w:color w:val="auto"/>
                <w:kern w:val="0"/>
                <w:szCs w:val="21"/>
              </w:rPr>
              <w:t>Y＜300</w:t>
            </w:r>
          </w:p>
        </w:tc>
      </w:tr>
      <w:tr w14:paraId="709DA47C">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1053B53D">
            <w:pPr>
              <w:widowControl/>
              <w:wordWrap w:val="0"/>
              <w:jc w:val="left"/>
              <w:rPr>
                <w:rFonts w:ascii="宋体" w:hAnsi="宋体" w:cs="宋体"/>
                <w:b/>
                <w:bCs/>
                <w:color w:val="auto"/>
                <w:kern w:val="0"/>
                <w:szCs w:val="21"/>
              </w:rPr>
            </w:pPr>
          </w:p>
        </w:tc>
        <w:tc>
          <w:tcPr>
            <w:tcW w:w="1653" w:type="dxa"/>
            <w:tcBorders>
              <w:top w:val="nil"/>
              <w:left w:val="nil"/>
              <w:bottom w:val="single" w:color="auto" w:sz="4" w:space="0"/>
              <w:right w:val="single" w:color="auto" w:sz="4" w:space="0"/>
            </w:tcBorders>
            <w:vAlign w:val="center"/>
          </w:tcPr>
          <w:p w14:paraId="6B551D21">
            <w:pPr>
              <w:widowControl/>
              <w:wordWrap w:val="0"/>
              <w:jc w:val="left"/>
              <w:rPr>
                <w:rFonts w:ascii="宋体" w:hAnsi="宋体" w:cs="宋体"/>
                <w:color w:val="auto"/>
                <w:kern w:val="0"/>
                <w:szCs w:val="21"/>
              </w:rPr>
            </w:pPr>
            <w:r>
              <w:rPr>
                <w:rFonts w:hint="eastAsia" w:ascii="宋体" w:hAnsi="宋体" w:cs="宋体"/>
                <w:color w:val="auto"/>
                <w:kern w:val="0"/>
                <w:szCs w:val="21"/>
              </w:rPr>
              <w:t>资产总额（Z）</w:t>
            </w:r>
          </w:p>
        </w:tc>
        <w:tc>
          <w:tcPr>
            <w:tcW w:w="1091" w:type="dxa"/>
            <w:tcBorders>
              <w:top w:val="nil"/>
              <w:left w:val="nil"/>
              <w:bottom w:val="single" w:color="auto" w:sz="4" w:space="0"/>
              <w:right w:val="single" w:color="auto" w:sz="4" w:space="0"/>
            </w:tcBorders>
            <w:vAlign w:val="center"/>
          </w:tcPr>
          <w:p w14:paraId="6492E0E9">
            <w:pPr>
              <w:widowControl/>
              <w:wordWrap w:val="0"/>
              <w:jc w:val="left"/>
              <w:rPr>
                <w:rFonts w:ascii="宋体" w:hAnsi="宋体" w:cs="宋体"/>
                <w:color w:val="auto"/>
                <w:kern w:val="0"/>
                <w:szCs w:val="21"/>
              </w:rPr>
            </w:pPr>
            <w:r>
              <w:rPr>
                <w:rFonts w:hint="eastAsia" w:ascii="宋体" w:hAnsi="宋体" w:cs="宋体"/>
                <w:color w:val="auto"/>
                <w:kern w:val="0"/>
                <w:szCs w:val="21"/>
              </w:rPr>
              <w:t>万元</w:t>
            </w:r>
          </w:p>
        </w:tc>
        <w:tc>
          <w:tcPr>
            <w:tcW w:w="1935" w:type="dxa"/>
            <w:tcBorders>
              <w:top w:val="nil"/>
              <w:left w:val="nil"/>
              <w:bottom w:val="single" w:color="auto" w:sz="4" w:space="0"/>
              <w:right w:val="single" w:color="auto" w:sz="4" w:space="0"/>
            </w:tcBorders>
            <w:vAlign w:val="center"/>
          </w:tcPr>
          <w:p w14:paraId="3FC11FB2">
            <w:pPr>
              <w:widowControl/>
              <w:wordWrap w:val="0"/>
              <w:jc w:val="left"/>
              <w:rPr>
                <w:rFonts w:ascii="宋体" w:hAnsi="宋体" w:cs="宋体"/>
                <w:color w:val="auto"/>
                <w:kern w:val="0"/>
                <w:szCs w:val="21"/>
              </w:rPr>
            </w:pPr>
            <w:r>
              <w:rPr>
                <w:rFonts w:hint="eastAsia" w:ascii="宋体" w:hAnsi="宋体" w:cs="宋体"/>
                <w:color w:val="auto"/>
                <w:kern w:val="0"/>
                <w:szCs w:val="21"/>
              </w:rPr>
              <w:t>5000≤Z＜80000</w:t>
            </w:r>
          </w:p>
        </w:tc>
        <w:tc>
          <w:tcPr>
            <w:tcW w:w="1720" w:type="dxa"/>
            <w:tcBorders>
              <w:top w:val="nil"/>
              <w:left w:val="nil"/>
              <w:bottom w:val="single" w:color="auto" w:sz="4" w:space="0"/>
              <w:right w:val="single" w:color="auto" w:sz="4" w:space="0"/>
            </w:tcBorders>
            <w:vAlign w:val="center"/>
          </w:tcPr>
          <w:p w14:paraId="46C09CF4">
            <w:pPr>
              <w:widowControl/>
              <w:wordWrap w:val="0"/>
              <w:jc w:val="left"/>
              <w:rPr>
                <w:rFonts w:ascii="宋体" w:hAnsi="宋体" w:cs="宋体"/>
                <w:color w:val="auto"/>
                <w:kern w:val="0"/>
                <w:szCs w:val="21"/>
              </w:rPr>
            </w:pPr>
            <w:r>
              <w:rPr>
                <w:rFonts w:hint="eastAsia" w:ascii="宋体" w:hAnsi="宋体" w:cs="宋体"/>
                <w:color w:val="auto"/>
                <w:kern w:val="0"/>
                <w:szCs w:val="21"/>
              </w:rPr>
              <w:t>300≤Z＜5000</w:t>
            </w:r>
          </w:p>
        </w:tc>
        <w:tc>
          <w:tcPr>
            <w:tcW w:w="1105" w:type="dxa"/>
            <w:tcBorders>
              <w:top w:val="nil"/>
              <w:left w:val="nil"/>
              <w:bottom w:val="single" w:color="auto" w:sz="4" w:space="0"/>
              <w:right w:val="single" w:color="auto" w:sz="4" w:space="0"/>
            </w:tcBorders>
            <w:vAlign w:val="center"/>
          </w:tcPr>
          <w:p w14:paraId="1C2D5A41">
            <w:pPr>
              <w:widowControl/>
              <w:wordWrap w:val="0"/>
              <w:jc w:val="left"/>
              <w:rPr>
                <w:rFonts w:ascii="宋体" w:hAnsi="宋体" w:cs="宋体"/>
                <w:color w:val="auto"/>
                <w:kern w:val="0"/>
                <w:szCs w:val="21"/>
              </w:rPr>
            </w:pPr>
            <w:r>
              <w:rPr>
                <w:rFonts w:hint="eastAsia" w:ascii="宋体" w:hAnsi="宋体" w:cs="宋体"/>
                <w:color w:val="auto"/>
                <w:kern w:val="0"/>
                <w:szCs w:val="21"/>
              </w:rPr>
              <w:t>Z＜300</w:t>
            </w:r>
          </w:p>
        </w:tc>
      </w:tr>
      <w:tr w14:paraId="0080A7C9">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57D99D67">
            <w:pPr>
              <w:widowControl/>
              <w:wordWrap w:val="0"/>
              <w:jc w:val="center"/>
              <w:rPr>
                <w:rFonts w:ascii="宋体" w:hAnsi="宋体" w:cs="宋体"/>
                <w:b/>
                <w:bCs/>
                <w:color w:val="auto"/>
                <w:kern w:val="0"/>
                <w:szCs w:val="21"/>
              </w:rPr>
            </w:pPr>
            <w:r>
              <w:rPr>
                <w:rFonts w:hint="eastAsia" w:ascii="宋体" w:hAnsi="宋体" w:cs="宋体"/>
                <w:b/>
                <w:bCs/>
                <w:color w:val="auto"/>
                <w:kern w:val="0"/>
                <w:szCs w:val="21"/>
              </w:rPr>
              <w:t>批发业</w:t>
            </w:r>
          </w:p>
        </w:tc>
        <w:tc>
          <w:tcPr>
            <w:tcW w:w="1653" w:type="dxa"/>
            <w:tcBorders>
              <w:top w:val="nil"/>
              <w:left w:val="nil"/>
              <w:bottom w:val="single" w:color="auto" w:sz="4" w:space="0"/>
              <w:right w:val="single" w:color="auto" w:sz="4" w:space="0"/>
            </w:tcBorders>
            <w:vAlign w:val="center"/>
          </w:tcPr>
          <w:p w14:paraId="4E3A9728">
            <w:pPr>
              <w:widowControl/>
              <w:wordWrap w:val="0"/>
              <w:jc w:val="left"/>
              <w:rPr>
                <w:rFonts w:ascii="宋体" w:hAnsi="宋体" w:cs="宋体"/>
                <w:color w:val="auto"/>
                <w:kern w:val="0"/>
                <w:szCs w:val="21"/>
              </w:rPr>
            </w:pPr>
            <w:r>
              <w:rPr>
                <w:rFonts w:hint="eastAsia" w:ascii="宋体" w:hAnsi="宋体" w:cs="宋体"/>
                <w:color w:val="auto"/>
                <w:kern w:val="0"/>
                <w:szCs w:val="21"/>
              </w:rPr>
              <w:t>从业人员（X）</w:t>
            </w:r>
          </w:p>
        </w:tc>
        <w:tc>
          <w:tcPr>
            <w:tcW w:w="1091" w:type="dxa"/>
            <w:tcBorders>
              <w:top w:val="nil"/>
              <w:left w:val="nil"/>
              <w:bottom w:val="single" w:color="auto" w:sz="4" w:space="0"/>
              <w:right w:val="single" w:color="auto" w:sz="4" w:space="0"/>
            </w:tcBorders>
            <w:vAlign w:val="center"/>
          </w:tcPr>
          <w:p w14:paraId="6A5601EC">
            <w:pPr>
              <w:widowControl/>
              <w:wordWrap w:val="0"/>
              <w:jc w:val="left"/>
              <w:rPr>
                <w:rFonts w:ascii="宋体" w:hAnsi="宋体" w:cs="宋体"/>
                <w:color w:val="auto"/>
                <w:kern w:val="0"/>
                <w:szCs w:val="21"/>
              </w:rPr>
            </w:pPr>
            <w:r>
              <w:rPr>
                <w:rFonts w:hint="eastAsia" w:ascii="宋体" w:hAnsi="宋体" w:cs="宋体"/>
                <w:color w:val="auto"/>
                <w:kern w:val="0"/>
                <w:szCs w:val="21"/>
              </w:rPr>
              <w:t>人</w:t>
            </w:r>
          </w:p>
        </w:tc>
        <w:tc>
          <w:tcPr>
            <w:tcW w:w="1935" w:type="dxa"/>
            <w:tcBorders>
              <w:top w:val="nil"/>
              <w:left w:val="nil"/>
              <w:bottom w:val="single" w:color="auto" w:sz="4" w:space="0"/>
              <w:right w:val="single" w:color="auto" w:sz="4" w:space="0"/>
            </w:tcBorders>
            <w:vAlign w:val="center"/>
          </w:tcPr>
          <w:p w14:paraId="27727718">
            <w:pPr>
              <w:widowControl/>
              <w:wordWrap w:val="0"/>
              <w:jc w:val="left"/>
              <w:rPr>
                <w:rFonts w:ascii="宋体" w:hAnsi="宋体" w:cs="宋体"/>
                <w:color w:val="auto"/>
                <w:kern w:val="0"/>
                <w:szCs w:val="21"/>
              </w:rPr>
            </w:pPr>
            <w:r>
              <w:rPr>
                <w:rFonts w:hint="eastAsia" w:ascii="宋体" w:hAnsi="宋体" w:cs="宋体"/>
                <w:color w:val="auto"/>
                <w:kern w:val="0"/>
                <w:szCs w:val="21"/>
              </w:rPr>
              <w:t>20≤X＜200</w:t>
            </w:r>
          </w:p>
        </w:tc>
        <w:tc>
          <w:tcPr>
            <w:tcW w:w="1720" w:type="dxa"/>
            <w:tcBorders>
              <w:top w:val="nil"/>
              <w:left w:val="nil"/>
              <w:bottom w:val="single" w:color="auto" w:sz="4" w:space="0"/>
              <w:right w:val="single" w:color="auto" w:sz="4" w:space="0"/>
            </w:tcBorders>
            <w:vAlign w:val="center"/>
          </w:tcPr>
          <w:p w14:paraId="7CC83B8B">
            <w:pPr>
              <w:widowControl/>
              <w:wordWrap w:val="0"/>
              <w:jc w:val="left"/>
              <w:rPr>
                <w:rFonts w:ascii="宋体" w:hAnsi="宋体" w:cs="宋体"/>
                <w:color w:val="auto"/>
                <w:kern w:val="0"/>
                <w:szCs w:val="21"/>
              </w:rPr>
            </w:pPr>
            <w:r>
              <w:rPr>
                <w:rFonts w:hint="eastAsia" w:ascii="宋体" w:hAnsi="宋体" w:cs="宋体"/>
                <w:color w:val="auto"/>
                <w:kern w:val="0"/>
                <w:szCs w:val="21"/>
              </w:rPr>
              <w:t>5≤X＜20</w:t>
            </w:r>
          </w:p>
        </w:tc>
        <w:tc>
          <w:tcPr>
            <w:tcW w:w="1105" w:type="dxa"/>
            <w:tcBorders>
              <w:top w:val="nil"/>
              <w:left w:val="nil"/>
              <w:bottom w:val="single" w:color="auto" w:sz="4" w:space="0"/>
              <w:right w:val="single" w:color="auto" w:sz="4" w:space="0"/>
            </w:tcBorders>
            <w:vAlign w:val="center"/>
          </w:tcPr>
          <w:p w14:paraId="775A9EF6">
            <w:pPr>
              <w:widowControl/>
              <w:wordWrap w:val="0"/>
              <w:jc w:val="left"/>
              <w:rPr>
                <w:rFonts w:ascii="宋体" w:hAnsi="宋体" w:cs="宋体"/>
                <w:color w:val="auto"/>
                <w:kern w:val="0"/>
                <w:szCs w:val="21"/>
              </w:rPr>
            </w:pPr>
            <w:r>
              <w:rPr>
                <w:rFonts w:hint="eastAsia" w:ascii="宋体" w:hAnsi="宋体" w:cs="宋体"/>
                <w:color w:val="auto"/>
                <w:kern w:val="0"/>
                <w:szCs w:val="21"/>
              </w:rPr>
              <w:t>X＜5</w:t>
            </w:r>
          </w:p>
        </w:tc>
      </w:tr>
      <w:tr w14:paraId="0BFFC56A">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0072F99A">
            <w:pPr>
              <w:widowControl/>
              <w:wordWrap w:val="0"/>
              <w:jc w:val="left"/>
              <w:rPr>
                <w:rFonts w:ascii="宋体" w:hAnsi="宋体" w:cs="宋体"/>
                <w:b/>
                <w:bCs/>
                <w:color w:val="auto"/>
                <w:kern w:val="0"/>
                <w:szCs w:val="21"/>
              </w:rPr>
            </w:pPr>
          </w:p>
        </w:tc>
        <w:tc>
          <w:tcPr>
            <w:tcW w:w="1653" w:type="dxa"/>
            <w:tcBorders>
              <w:top w:val="nil"/>
              <w:left w:val="nil"/>
              <w:bottom w:val="single" w:color="auto" w:sz="4" w:space="0"/>
              <w:right w:val="single" w:color="auto" w:sz="4" w:space="0"/>
            </w:tcBorders>
            <w:vAlign w:val="center"/>
          </w:tcPr>
          <w:p w14:paraId="6CCF5901">
            <w:pPr>
              <w:widowControl/>
              <w:wordWrap w:val="0"/>
              <w:jc w:val="left"/>
              <w:rPr>
                <w:rFonts w:ascii="宋体" w:hAnsi="宋体" w:cs="宋体"/>
                <w:color w:val="auto"/>
                <w:kern w:val="0"/>
                <w:szCs w:val="21"/>
              </w:rPr>
            </w:pPr>
            <w:r>
              <w:rPr>
                <w:rFonts w:hint="eastAsia" w:ascii="宋体" w:hAnsi="宋体" w:cs="宋体"/>
                <w:color w:val="auto"/>
                <w:kern w:val="0"/>
                <w:szCs w:val="21"/>
              </w:rPr>
              <w:t>营业收入（Y）</w:t>
            </w:r>
          </w:p>
        </w:tc>
        <w:tc>
          <w:tcPr>
            <w:tcW w:w="1091" w:type="dxa"/>
            <w:tcBorders>
              <w:top w:val="nil"/>
              <w:left w:val="nil"/>
              <w:bottom w:val="single" w:color="auto" w:sz="4" w:space="0"/>
              <w:right w:val="single" w:color="auto" w:sz="4" w:space="0"/>
            </w:tcBorders>
            <w:vAlign w:val="center"/>
          </w:tcPr>
          <w:p w14:paraId="6A083DFF">
            <w:pPr>
              <w:widowControl/>
              <w:wordWrap w:val="0"/>
              <w:jc w:val="left"/>
              <w:rPr>
                <w:rFonts w:ascii="宋体" w:hAnsi="宋体" w:cs="宋体"/>
                <w:color w:val="auto"/>
                <w:kern w:val="0"/>
                <w:szCs w:val="21"/>
              </w:rPr>
            </w:pPr>
            <w:r>
              <w:rPr>
                <w:rFonts w:hint="eastAsia" w:ascii="宋体" w:hAnsi="宋体" w:cs="宋体"/>
                <w:color w:val="auto"/>
                <w:kern w:val="0"/>
                <w:szCs w:val="21"/>
              </w:rPr>
              <w:t>万元</w:t>
            </w:r>
          </w:p>
        </w:tc>
        <w:tc>
          <w:tcPr>
            <w:tcW w:w="1935" w:type="dxa"/>
            <w:tcBorders>
              <w:top w:val="nil"/>
              <w:left w:val="nil"/>
              <w:bottom w:val="single" w:color="auto" w:sz="4" w:space="0"/>
              <w:right w:val="single" w:color="auto" w:sz="4" w:space="0"/>
            </w:tcBorders>
            <w:vAlign w:val="center"/>
          </w:tcPr>
          <w:p w14:paraId="74B5DC2E">
            <w:pPr>
              <w:widowControl/>
              <w:wordWrap w:val="0"/>
              <w:jc w:val="left"/>
              <w:rPr>
                <w:rFonts w:ascii="宋体" w:hAnsi="宋体" w:cs="宋体"/>
                <w:color w:val="auto"/>
                <w:kern w:val="0"/>
                <w:szCs w:val="21"/>
              </w:rPr>
            </w:pPr>
            <w:r>
              <w:rPr>
                <w:rFonts w:hint="eastAsia" w:ascii="宋体" w:hAnsi="宋体" w:cs="宋体"/>
                <w:color w:val="auto"/>
                <w:kern w:val="0"/>
                <w:szCs w:val="21"/>
              </w:rPr>
              <w:t>5000≤Y＜40000</w:t>
            </w:r>
          </w:p>
        </w:tc>
        <w:tc>
          <w:tcPr>
            <w:tcW w:w="1720" w:type="dxa"/>
            <w:tcBorders>
              <w:top w:val="nil"/>
              <w:left w:val="nil"/>
              <w:bottom w:val="single" w:color="auto" w:sz="4" w:space="0"/>
              <w:right w:val="single" w:color="auto" w:sz="4" w:space="0"/>
            </w:tcBorders>
            <w:vAlign w:val="center"/>
          </w:tcPr>
          <w:p w14:paraId="29ED5763">
            <w:pPr>
              <w:widowControl/>
              <w:wordWrap w:val="0"/>
              <w:jc w:val="left"/>
              <w:rPr>
                <w:rFonts w:ascii="宋体" w:hAnsi="宋体" w:cs="宋体"/>
                <w:color w:val="auto"/>
                <w:kern w:val="0"/>
                <w:szCs w:val="21"/>
              </w:rPr>
            </w:pPr>
            <w:r>
              <w:rPr>
                <w:rFonts w:hint="eastAsia" w:ascii="宋体" w:hAnsi="宋体" w:cs="宋体"/>
                <w:color w:val="auto"/>
                <w:kern w:val="0"/>
                <w:szCs w:val="21"/>
              </w:rPr>
              <w:t>1000≤Y＜5000</w:t>
            </w:r>
          </w:p>
        </w:tc>
        <w:tc>
          <w:tcPr>
            <w:tcW w:w="1105" w:type="dxa"/>
            <w:tcBorders>
              <w:top w:val="nil"/>
              <w:left w:val="nil"/>
              <w:bottom w:val="single" w:color="auto" w:sz="4" w:space="0"/>
              <w:right w:val="single" w:color="auto" w:sz="4" w:space="0"/>
            </w:tcBorders>
            <w:vAlign w:val="center"/>
          </w:tcPr>
          <w:p w14:paraId="4CC1434D">
            <w:pPr>
              <w:widowControl/>
              <w:wordWrap w:val="0"/>
              <w:jc w:val="left"/>
              <w:rPr>
                <w:rFonts w:ascii="宋体" w:hAnsi="宋体" w:cs="宋体"/>
                <w:color w:val="auto"/>
                <w:kern w:val="0"/>
                <w:szCs w:val="21"/>
              </w:rPr>
            </w:pPr>
            <w:r>
              <w:rPr>
                <w:rFonts w:hint="eastAsia" w:ascii="宋体" w:hAnsi="宋体" w:cs="宋体"/>
                <w:color w:val="auto"/>
                <w:kern w:val="0"/>
                <w:szCs w:val="21"/>
              </w:rPr>
              <w:t>Y＜1000</w:t>
            </w:r>
          </w:p>
        </w:tc>
      </w:tr>
      <w:tr w14:paraId="02399669">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2A79967D">
            <w:pPr>
              <w:widowControl/>
              <w:wordWrap w:val="0"/>
              <w:jc w:val="center"/>
              <w:rPr>
                <w:rFonts w:ascii="宋体" w:hAnsi="宋体" w:cs="宋体"/>
                <w:b/>
                <w:bCs/>
                <w:color w:val="auto"/>
                <w:kern w:val="0"/>
                <w:szCs w:val="21"/>
              </w:rPr>
            </w:pPr>
            <w:r>
              <w:rPr>
                <w:rFonts w:hint="eastAsia" w:ascii="宋体" w:hAnsi="宋体" w:cs="宋体"/>
                <w:b/>
                <w:bCs/>
                <w:color w:val="auto"/>
                <w:kern w:val="0"/>
                <w:szCs w:val="21"/>
              </w:rPr>
              <w:t>零售业</w:t>
            </w:r>
          </w:p>
        </w:tc>
        <w:tc>
          <w:tcPr>
            <w:tcW w:w="1653" w:type="dxa"/>
            <w:tcBorders>
              <w:top w:val="nil"/>
              <w:left w:val="nil"/>
              <w:bottom w:val="single" w:color="auto" w:sz="4" w:space="0"/>
              <w:right w:val="single" w:color="auto" w:sz="4" w:space="0"/>
            </w:tcBorders>
            <w:vAlign w:val="center"/>
          </w:tcPr>
          <w:p w14:paraId="2047F17A">
            <w:pPr>
              <w:widowControl/>
              <w:wordWrap w:val="0"/>
              <w:jc w:val="left"/>
              <w:rPr>
                <w:rFonts w:ascii="宋体" w:hAnsi="宋体" w:cs="宋体"/>
                <w:color w:val="auto"/>
                <w:kern w:val="0"/>
                <w:szCs w:val="21"/>
              </w:rPr>
            </w:pPr>
            <w:r>
              <w:rPr>
                <w:rFonts w:hint="eastAsia" w:ascii="宋体" w:hAnsi="宋体" w:cs="宋体"/>
                <w:color w:val="auto"/>
                <w:kern w:val="0"/>
                <w:szCs w:val="21"/>
              </w:rPr>
              <w:t>从业人员（X）</w:t>
            </w:r>
          </w:p>
        </w:tc>
        <w:tc>
          <w:tcPr>
            <w:tcW w:w="1091" w:type="dxa"/>
            <w:tcBorders>
              <w:top w:val="nil"/>
              <w:left w:val="nil"/>
              <w:bottom w:val="single" w:color="auto" w:sz="4" w:space="0"/>
              <w:right w:val="single" w:color="auto" w:sz="4" w:space="0"/>
            </w:tcBorders>
            <w:vAlign w:val="center"/>
          </w:tcPr>
          <w:p w14:paraId="613C2430">
            <w:pPr>
              <w:widowControl/>
              <w:wordWrap w:val="0"/>
              <w:jc w:val="left"/>
              <w:rPr>
                <w:rFonts w:ascii="宋体" w:hAnsi="宋体" w:cs="宋体"/>
                <w:color w:val="auto"/>
                <w:kern w:val="0"/>
                <w:szCs w:val="21"/>
              </w:rPr>
            </w:pPr>
            <w:r>
              <w:rPr>
                <w:rFonts w:hint="eastAsia" w:ascii="宋体" w:hAnsi="宋体" w:cs="宋体"/>
                <w:color w:val="auto"/>
                <w:kern w:val="0"/>
                <w:szCs w:val="21"/>
              </w:rPr>
              <w:t>人</w:t>
            </w:r>
          </w:p>
        </w:tc>
        <w:tc>
          <w:tcPr>
            <w:tcW w:w="1935" w:type="dxa"/>
            <w:tcBorders>
              <w:top w:val="nil"/>
              <w:left w:val="nil"/>
              <w:bottom w:val="single" w:color="auto" w:sz="4" w:space="0"/>
              <w:right w:val="single" w:color="auto" w:sz="4" w:space="0"/>
            </w:tcBorders>
            <w:vAlign w:val="center"/>
          </w:tcPr>
          <w:p w14:paraId="4B4FCFE3">
            <w:pPr>
              <w:widowControl/>
              <w:wordWrap w:val="0"/>
              <w:jc w:val="left"/>
              <w:rPr>
                <w:rFonts w:ascii="宋体" w:hAnsi="宋体" w:cs="宋体"/>
                <w:color w:val="auto"/>
                <w:kern w:val="0"/>
                <w:szCs w:val="21"/>
              </w:rPr>
            </w:pPr>
            <w:r>
              <w:rPr>
                <w:rFonts w:hint="eastAsia" w:ascii="宋体" w:hAnsi="宋体" w:cs="宋体"/>
                <w:color w:val="auto"/>
                <w:kern w:val="0"/>
                <w:szCs w:val="21"/>
              </w:rPr>
              <w:t>50≤X＜300</w:t>
            </w:r>
          </w:p>
        </w:tc>
        <w:tc>
          <w:tcPr>
            <w:tcW w:w="1720" w:type="dxa"/>
            <w:tcBorders>
              <w:top w:val="nil"/>
              <w:left w:val="nil"/>
              <w:bottom w:val="single" w:color="auto" w:sz="4" w:space="0"/>
              <w:right w:val="single" w:color="auto" w:sz="4" w:space="0"/>
            </w:tcBorders>
            <w:vAlign w:val="center"/>
          </w:tcPr>
          <w:p w14:paraId="7F9CFAC3">
            <w:pPr>
              <w:widowControl/>
              <w:wordWrap w:val="0"/>
              <w:jc w:val="left"/>
              <w:rPr>
                <w:rFonts w:ascii="宋体" w:hAnsi="宋体" w:cs="宋体"/>
                <w:color w:val="auto"/>
                <w:kern w:val="0"/>
                <w:szCs w:val="21"/>
              </w:rPr>
            </w:pPr>
            <w:r>
              <w:rPr>
                <w:rFonts w:hint="eastAsia" w:ascii="宋体" w:hAnsi="宋体" w:cs="宋体"/>
                <w:color w:val="auto"/>
                <w:kern w:val="0"/>
                <w:szCs w:val="21"/>
              </w:rPr>
              <w:t>10≤X＜50</w:t>
            </w:r>
          </w:p>
        </w:tc>
        <w:tc>
          <w:tcPr>
            <w:tcW w:w="1105" w:type="dxa"/>
            <w:tcBorders>
              <w:top w:val="nil"/>
              <w:left w:val="nil"/>
              <w:bottom w:val="single" w:color="auto" w:sz="4" w:space="0"/>
              <w:right w:val="single" w:color="auto" w:sz="4" w:space="0"/>
            </w:tcBorders>
            <w:vAlign w:val="center"/>
          </w:tcPr>
          <w:p w14:paraId="08DD649E">
            <w:pPr>
              <w:widowControl/>
              <w:wordWrap w:val="0"/>
              <w:jc w:val="left"/>
              <w:rPr>
                <w:rFonts w:ascii="宋体" w:hAnsi="宋体" w:cs="宋体"/>
                <w:color w:val="auto"/>
                <w:kern w:val="0"/>
                <w:szCs w:val="21"/>
              </w:rPr>
            </w:pPr>
            <w:r>
              <w:rPr>
                <w:rFonts w:hint="eastAsia" w:ascii="宋体" w:hAnsi="宋体" w:cs="宋体"/>
                <w:color w:val="auto"/>
                <w:kern w:val="0"/>
                <w:szCs w:val="21"/>
              </w:rPr>
              <w:t>X＜10</w:t>
            </w:r>
          </w:p>
        </w:tc>
      </w:tr>
      <w:tr w14:paraId="733FC842">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136718F3">
            <w:pPr>
              <w:widowControl/>
              <w:wordWrap w:val="0"/>
              <w:jc w:val="left"/>
              <w:rPr>
                <w:rFonts w:ascii="宋体" w:hAnsi="宋体" w:cs="宋体"/>
                <w:b/>
                <w:bCs/>
                <w:color w:val="auto"/>
                <w:kern w:val="0"/>
                <w:szCs w:val="21"/>
              </w:rPr>
            </w:pPr>
          </w:p>
        </w:tc>
        <w:tc>
          <w:tcPr>
            <w:tcW w:w="1653" w:type="dxa"/>
            <w:tcBorders>
              <w:top w:val="nil"/>
              <w:left w:val="nil"/>
              <w:bottom w:val="single" w:color="auto" w:sz="4" w:space="0"/>
              <w:right w:val="single" w:color="auto" w:sz="4" w:space="0"/>
            </w:tcBorders>
            <w:vAlign w:val="center"/>
          </w:tcPr>
          <w:p w14:paraId="6DC57E6C">
            <w:pPr>
              <w:widowControl/>
              <w:wordWrap w:val="0"/>
              <w:jc w:val="left"/>
              <w:rPr>
                <w:rFonts w:ascii="宋体" w:hAnsi="宋体" w:cs="宋体"/>
                <w:color w:val="auto"/>
                <w:kern w:val="0"/>
                <w:szCs w:val="21"/>
              </w:rPr>
            </w:pPr>
            <w:r>
              <w:rPr>
                <w:rFonts w:hint="eastAsia" w:ascii="宋体" w:hAnsi="宋体" w:cs="宋体"/>
                <w:color w:val="auto"/>
                <w:kern w:val="0"/>
                <w:szCs w:val="21"/>
              </w:rPr>
              <w:t>营业收入（Y）</w:t>
            </w:r>
          </w:p>
        </w:tc>
        <w:tc>
          <w:tcPr>
            <w:tcW w:w="1091" w:type="dxa"/>
            <w:tcBorders>
              <w:top w:val="nil"/>
              <w:left w:val="nil"/>
              <w:bottom w:val="single" w:color="auto" w:sz="4" w:space="0"/>
              <w:right w:val="single" w:color="auto" w:sz="4" w:space="0"/>
            </w:tcBorders>
            <w:vAlign w:val="center"/>
          </w:tcPr>
          <w:p w14:paraId="0BA1B20A">
            <w:pPr>
              <w:widowControl/>
              <w:wordWrap w:val="0"/>
              <w:jc w:val="left"/>
              <w:rPr>
                <w:rFonts w:ascii="宋体" w:hAnsi="宋体" w:cs="宋体"/>
                <w:color w:val="auto"/>
                <w:kern w:val="0"/>
                <w:szCs w:val="21"/>
              </w:rPr>
            </w:pPr>
            <w:r>
              <w:rPr>
                <w:rFonts w:hint="eastAsia" w:ascii="宋体" w:hAnsi="宋体" w:cs="宋体"/>
                <w:color w:val="auto"/>
                <w:kern w:val="0"/>
                <w:szCs w:val="21"/>
              </w:rPr>
              <w:t>万元</w:t>
            </w:r>
          </w:p>
        </w:tc>
        <w:tc>
          <w:tcPr>
            <w:tcW w:w="1935" w:type="dxa"/>
            <w:tcBorders>
              <w:top w:val="nil"/>
              <w:left w:val="nil"/>
              <w:bottom w:val="single" w:color="auto" w:sz="4" w:space="0"/>
              <w:right w:val="single" w:color="auto" w:sz="4" w:space="0"/>
            </w:tcBorders>
            <w:vAlign w:val="center"/>
          </w:tcPr>
          <w:p w14:paraId="362B6B4F">
            <w:pPr>
              <w:widowControl/>
              <w:wordWrap w:val="0"/>
              <w:jc w:val="left"/>
              <w:rPr>
                <w:rFonts w:ascii="宋体" w:hAnsi="宋体" w:cs="宋体"/>
                <w:color w:val="auto"/>
                <w:kern w:val="0"/>
                <w:szCs w:val="21"/>
              </w:rPr>
            </w:pPr>
            <w:r>
              <w:rPr>
                <w:rFonts w:hint="eastAsia" w:ascii="宋体" w:hAnsi="宋体" w:cs="宋体"/>
                <w:color w:val="auto"/>
                <w:kern w:val="0"/>
                <w:szCs w:val="21"/>
              </w:rPr>
              <w:t>500≤Y＜20000</w:t>
            </w:r>
          </w:p>
        </w:tc>
        <w:tc>
          <w:tcPr>
            <w:tcW w:w="1720" w:type="dxa"/>
            <w:tcBorders>
              <w:top w:val="nil"/>
              <w:left w:val="nil"/>
              <w:bottom w:val="single" w:color="auto" w:sz="4" w:space="0"/>
              <w:right w:val="single" w:color="auto" w:sz="4" w:space="0"/>
            </w:tcBorders>
            <w:vAlign w:val="center"/>
          </w:tcPr>
          <w:p w14:paraId="3A08A094">
            <w:pPr>
              <w:widowControl/>
              <w:wordWrap w:val="0"/>
              <w:jc w:val="left"/>
              <w:rPr>
                <w:rFonts w:ascii="宋体" w:hAnsi="宋体" w:cs="宋体"/>
                <w:color w:val="auto"/>
                <w:kern w:val="0"/>
                <w:szCs w:val="21"/>
              </w:rPr>
            </w:pPr>
            <w:r>
              <w:rPr>
                <w:rFonts w:hint="eastAsia" w:ascii="宋体" w:hAnsi="宋体" w:cs="宋体"/>
                <w:color w:val="auto"/>
                <w:kern w:val="0"/>
                <w:szCs w:val="21"/>
              </w:rPr>
              <w:t>100≤Y＜500</w:t>
            </w:r>
          </w:p>
        </w:tc>
        <w:tc>
          <w:tcPr>
            <w:tcW w:w="1105" w:type="dxa"/>
            <w:tcBorders>
              <w:top w:val="nil"/>
              <w:left w:val="nil"/>
              <w:bottom w:val="single" w:color="auto" w:sz="4" w:space="0"/>
              <w:right w:val="single" w:color="auto" w:sz="4" w:space="0"/>
            </w:tcBorders>
            <w:vAlign w:val="center"/>
          </w:tcPr>
          <w:p w14:paraId="0D9B9D4A">
            <w:pPr>
              <w:widowControl/>
              <w:wordWrap w:val="0"/>
              <w:jc w:val="left"/>
              <w:rPr>
                <w:rFonts w:ascii="宋体" w:hAnsi="宋体" w:cs="宋体"/>
                <w:color w:val="auto"/>
                <w:kern w:val="0"/>
                <w:szCs w:val="21"/>
              </w:rPr>
            </w:pPr>
            <w:r>
              <w:rPr>
                <w:rFonts w:hint="eastAsia" w:ascii="宋体" w:hAnsi="宋体" w:cs="宋体"/>
                <w:color w:val="auto"/>
                <w:kern w:val="0"/>
                <w:szCs w:val="21"/>
              </w:rPr>
              <w:t>Y＜100</w:t>
            </w:r>
          </w:p>
        </w:tc>
      </w:tr>
      <w:tr w14:paraId="42EC1ADB">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5CC06570">
            <w:pPr>
              <w:widowControl/>
              <w:wordWrap w:val="0"/>
              <w:jc w:val="center"/>
              <w:rPr>
                <w:rFonts w:ascii="宋体" w:hAnsi="宋体" w:cs="宋体"/>
                <w:b/>
                <w:bCs/>
                <w:color w:val="auto"/>
                <w:kern w:val="0"/>
                <w:szCs w:val="21"/>
              </w:rPr>
            </w:pPr>
            <w:r>
              <w:rPr>
                <w:rFonts w:hint="eastAsia" w:ascii="宋体" w:hAnsi="宋体" w:cs="宋体"/>
                <w:b/>
                <w:bCs/>
                <w:color w:val="auto"/>
                <w:kern w:val="0"/>
                <w:szCs w:val="21"/>
              </w:rPr>
              <w:t>交通运输业</w:t>
            </w:r>
          </w:p>
        </w:tc>
        <w:tc>
          <w:tcPr>
            <w:tcW w:w="1653" w:type="dxa"/>
            <w:tcBorders>
              <w:top w:val="nil"/>
              <w:left w:val="nil"/>
              <w:bottom w:val="single" w:color="auto" w:sz="4" w:space="0"/>
              <w:right w:val="single" w:color="auto" w:sz="4" w:space="0"/>
            </w:tcBorders>
            <w:vAlign w:val="center"/>
          </w:tcPr>
          <w:p w14:paraId="1C68880B">
            <w:pPr>
              <w:widowControl/>
              <w:wordWrap w:val="0"/>
              <w:jc w:val="left"/>
              <w:rPr>
                <w:rFonts w:ascii="宋体" w:hAnsi="宋体" w:cs="宋体"/>
                <w:color w:val="auto"/>
                <w:kern w:val="0"/>
                <w:szCs w:val="21"/>
              </w:rPr>
            </w:pPr>
            <w:r>
              <w:rPr>
                <w:rFonts w:hint="eastAsia" w:ascii="宋体" w:hAnsi="宋体" w:cs="宋体"/>
                <w:color w:val="auto"/>
                <w:kern w:val="0"/>
                <w:szCs w:val="21"/>
              </w:rPr>
              <w:t>从业人员（X）</w:t>
            </w:r>
          </w:p>
        </w:tc>
        <w:tc>
          <w:tcPr>
            <w:tcW w:w="1091" w:type="dxa"/>
            <w:tcBorders>
              <w:top w:val="nil"/>
              <w:left w:val="nil"/>
              <w:bottom w:val="single" w:color="auto" w:sz="4" w:space="0"/>
              <w:right w:val="single" w:color="auto" w:sz="4" w:space="0"/>
            </w:tcBorders>
            <w:vAlign w:val="center"/>
          </w:tcPr>
          <w:p w14:paraId="1CA33E68">
            <w:pPr>
              <w:widowControl/>
              <w:wordWrap w:val="0"/>
              <w:jc w:val="left"/>
              <w:rPr>
                <w:rFonts w:ascii="宋体" w:hAnsi="宋体" w:cs="宋体"/>
                <w:color w:val="auto"/>
                <w:kern w:val="0"/>
                <w:szCs w:val="21"/>
              </w:rPr>
            </w:pPr>
            <w:r>
              <w:rPr>
                <w:rFonts w:hint="eastAsia" w:ascii="宋体" w:hAnsi="宋体" w:cs="宋体"/>
                <w:color w:val="auto"/>
                <w:kern w:val="0"/>
                <w:szCs w:val="21"/>
              </w:rPr>
              <w:t>人</w:t>
            </w:r>
          </w:p>
        </w:tc>
        <w:tc>
          <w:tcPr>
            <w:tcW w:w="1935" w:type="dxa"/>
            <w:tcBorders>
              <w:top w:val="nil"/>
              <w:left w:val="nil"/>
              <w:bottom w:val="single" w:color="auto" w:sz="4" w:space="0"/>
              <w:right w:val="single" w:color="auto" w:sz="4" w:space="0"/>
            </w:tcBorders>
            <w:vAlign w:val="center"/>
          </w:tcPr>
          <w:p w14:paraId="77210232">
            <w:pPr>
              <w:widowControl/>
              <w:wordWrap w:val="0"/>
              <w:jc w:val="left"/>
              <w:rPr>
                <w:rFonts w:ascii="宋体" w:hAnsi="宋体" w:cs="宋体"/>
                <w:color w:val="auto"/>
                <w:kern w:val="0"/>
                <w:szCs w:val="21"/>
              </w:rPr>
            </w:pPr>
            <w:r>
              <w:rPr>
                <w:rFonts w:hint="eastAsia" w:ascii="宋体" w:hAnsi="宋体" w:cs="宋体"/>
                <w:color w:val="auto"/>
                <w:kern w:val="0"/>
                <w:szCs w:val="21"/>
              </w:rPr>
              <w:t>300≤X＜1000</w:t>
            </w:r>
          </w:p>
        </w:tc>
        <w:tc>
          <w:tcPr>
            <w:tcW w:w="1720" w:type="dxa"/>
            <w:tcBorders>
              <w:top w:val="nil"/>
              <w:left w:val="nil"/>
              <w:bottom w:val="single" w:color="auto" w:sz="4" w:space="0"/>
              <w:right w:val="single" w:color="auto" w:sz="4" w:space="0"/>
            </w:tcBorders>
            <w:vAlign w:val="center"/>
          </w:tcPr>
          <w:p w14:paraId="6A36559A">
            <w:pPr>
              <w:widowControl/>
              <w:wordWrap w:val="0"/>
              <w:jc w:val="left"/>
              <w:rPr>
                <w:rFonts w:ascii="宋体" w:hAnsi="宋体" w:cs="宋体"/>
                <w:color w:val="auto"/>
                <w:kern w:val="0"/>
                <w:szCs w:val="21"/>
              </w:rPr>
            </w:pPr>
            <w:r>
              <w:rPr>
                <w:rFonts w:hint="eastAsia" w:ascii="宋体" w:hAnsi="宋体" w:cs="宋体"/>
                <w:color w:val="auto"/>
                <w:kern w:val="0"/>
                <w:szCs w:val="21"/>
              </w:rPr>
              <w:t>20≤X＜300</w:t>
            </w:r>
          </w:p>
        </w:tc>
        <w:tc>
          <w:tcPr>
            <w:tcW w:w="1105" w:type="dxa"/>
            <w:tcBorders>
              <w:top w:val="nil"/>
              <w:left w:val="nil"/>
              <w:bottom w:val="single" w:color="auto" w:sz="4" w:space="0"/>
              <w:right w:val="single" w:color="auto" w:sz="4" w:space="0"/>
            </w:tcBorders>
            <w:vAlign w:val="center"/>
          </w:tcPr>
          <w:p w14:paraId="56A6E04E">
            <w:pPr>
              <w:widowControl/>
              <w:wordWrap w:val="0"/>
              <w:jc w:val="left"/>
              <w:rPr>
                <w:rFonts w:ascii="宋体" w:hAnsi="宋体" w:cs="宋体"/>
                <w:color w:val="auto"/>
                <w:kern w:val="0"/>
                <w:szCs w:val="21"/>
              </w:rPr>
            </w:pPr>
            <w:r>
              <w:rPr>
                <w:rFonts w:hint="eastAsia" w:ascii="宋体" w:hAnsi="宋体" w:cs="宋体"/>
                <w:color w:val="auto"/>
                <w:kern w:val="0"/>
                <w:szCs w:val="21"/>
              </w:rPr>
              <w:t>X＜20</w:t>
            </w:r>
          </w:p>
        </w:tc>
      </w:tr>
      <w:tr w14:paraId="0BF4CB2B">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53A31B40">
            <w:pPr>
              <w:widowControl/>
              <w:wordWrap w:val="0"/>
              <w:jc w:val="left"/>
              <w:rPr>
                <w:rFonts w:ascii="宋体" w:hAnsi="宋体" w:cs="宋体"/>
                <w:b/>
                <w:bCs/>
                <w:color w:val="auto"/>
                <w:kern w:val="0"/>
                <w:szCs w:val="21"/>
              </w:rPr>
            </w:pPr>
          </w:p>
        </w:tc>
        <w:tc>
          <w:tcPr>
            <w:tcW w:w="1653" w:type="dxa"/>
            <w:tcBorders>
              <w:top w:val="nil"/>
              <w:left w:val="nil"/>
              <w:bottom w:val="single" w:color="auto" w:sz="4" w:space="0"/>
              <w:right w:val="single" w:color="auto" w:sz="4" w:space="0"/>
            </w:tcBorders>
            <w:vAlign w:val="center"/>
          </w:tcPr>
          <w:p w14:paraId="291A3B89">
            <w:pPr>
              <w:widowControl/>
              <w:wordWrap w:val="0"/>
              <w:jc w:val="left"/>
              <w:rPr>
                <w:rFonts w:ascii="宋体" w:hAnsi="宋体" w:cs="宋体"/>
                <w:color w:val="auto"/>
                <w:kern w:val="0"/>
                <w:szCs w:val="21"/>
              </w:rPr>
            </w:pPr>
            <w:r>
              <w:rPr>
                <w:rFonts w:hint="eastAsia" w:ascii="宋体" w:hAnsi="宋体" w:cs="宋体"/>
                <w:color w:val="auto"/>
                <w:kern w:val="0"/>
                <w:szCs w:val="21"/>
              </w:rPr>
              <w:t>营业收入（Y）</w:t>
            </w:r>
          </w:p>
        </w:tc>
        <w:tc>
          <w:tcPr>
            <w:tcW w:w="1091" w:type="dxa"/>
            <w:tcBorders>
              <w:top w:val="nil"/>
              <w:left w:val="nil"/>
              <w:bottom w:val="single" w:color="auto" w:sz="4" w:space="0"/>
              <w:right w:val="single" w:color="auto" w:sz="4" w:space="0"/>
            </w:tcBorders>
            <w:vAlign w:val="center"/>
          </w:tcPr>
          <w:p w14:paraId="2FFBA154">
            <w:pPr>
              <w:widowControl/>
              <w:wordWrap w:val="0"/>
              <w:jc w:val="left"/>
              <w:rPr>
                <w:rFonts w:ascii="宋体" w:hAnsi="宋体" w:cs="宋体"/>
                <w:color w:val="auto"/>
                <w:kern w:val="0"/>
                <w:szCs w:val="21"/>
              </w:rPr>
            </w:pPr>
            <w:r>
              <w:rPr>
                <w:rFonts w:hint="eastAsia" w:ascii="宋体" w:hAnsi="宋体" w:cs="宋体"/>
                <w:color w:val="auto"/>
                <w:kern w:val="0"/>
                <w:szCs w:val="21"/>
              </w:rPr>
              <w:t>万元</w:t>
            </w:r>
          </w:p>
        </w:tc>
        <w:tc>
          <w:tcPr>
            <w:tcW w:w="1935" w:type="dxa"/>
            <w:tcBorders>
              <w:top w:val="nil"/>
              <w:left w:val="nil"/>
              <w:bottom w:val="single" w:color="auto" w:sz="4" w:space="0"/>
              <w:right w:val="single" w:color="auto" w:sz="4" w:space="0"/>
            </w:tcBorders>
            <w:vAlign w:val="center"/>
          </w:tcPr>
          <w:p w14:paraId="7DF4E2BE">
            <w:pPr>
              <w:widowControl/>
              <w:wordWrap w:val="0"/>
              <w:jc w:val="left"/>
              <w:rPr>
                <w:rFonts w:ascii="宋体" w:hAnsi="宋体" w:cs="宋体"/>
                <w:color w:val="auto"/>
                <w:kern w:val="0"/>
                <w:szCs w:val="21"/>
              </w:rPr>
            </w:pPr>
            <w:r>
              <w:rPr>
                <w:rFonts w:hint="eastAsia" w:ascii="宋体" w:hAnsi="宋体" w:cs="宋体"/>
                <w:color w:val="auto"/>
                <w:kern w:val="0"/>
                <w:szCs w:val="21"/>
              </w:rPr>
              <w:t>3000≤Y＜30000</w:t>
            </w:r>
          </w:p>
        </w:tc>
        <w:tc>
          <w:tcPr>
            <w:tcW w:w="1720" w:type="dxa"/>
            <w:tcBorders>
              <w:top w:val="nil"/>
              <w:left w:val="nil"/>
              <w:bottom w:val="single" w:color="auto" w:sz="4" w:space="0"/>
              <w:right w:val="single" w:color="auto" w:sz="4" w:space="0"/>
            </w:tcBorders>
            <w:vAlign w:val="center"/>
          </w:tcPr>
          <w:p w14:paraId="7482D370">
            <w:pPr>
              <w:widowControl/>
              <w:wordWrap w:val="0"/>
              <w:jc w:val="left"/>
              <w:rPr>
                <w:rFonts w:ascii="宋体" w:hAnsi="宋体" w:cs="宋体"/>
                <w:color w:val="auto"/>
                <w:kern w:val="0"/>
                <w:szCs w:val="21"/>
              </w:rPr>
            </w:pPr>
            <w:r>
              <w:rPr>
                <w:rFonts w:hint="eastAsia" w:ascii="宋体" w:hAnsi="宋体" w:cs="宋体"/>
                <w:color w:val="auto"/>
                <w:kern w:val="0"/>
                <w:szCs w:val="21"/>
              </w:rPr>
              <w:t>200≤Y＜3000</w:t>
            </w:r>
          </w:p>
        </w:tc>
        <w:tc>
          <w:tcPr>
            <w:tcW w:w="1105" w:type="dxa"/>
            <w:tcBorders>
              <w:top w:val="nil"/>
              <w:left w:val="nil"/>
              <w:bottom w:val="single" w:color="auto" w:sz="4" w:space="0"/>
              <w:right w:val="single" w:color="auto" w:sz="4" w:space="0"/>
            </w:tcBorders>
            <w:vAlign w:val="center"/>
          </w:tcPr>
          <w:p w14:paraId="460BD937">
            <w:pPr>
              <w:widowControl/>
              <w:wordWrap w:val="0"/>
              <w:jc w:val="left"/>
              <w:rPr>
                <w:rFonts w:ascii="宋体" w:hAnsi="宋体" w:cs="宋体"/>
                <w:color w:val="auto"/>
                <w:kern w:val="0"/>
                <w:szCs w:val="21"/>
              </w:rPr>
            </w:pPr>
            <w:r>
              <w:rPr>
                <w:rFonts w:hint="eastAsia" w:ascii="宋体" w:hAnsi="宋体" w:cs="宋体"/>
                <w:color w:val="auto"/>
                <w:kern w:val="0"/>
                <w:szCs w:val="21"/>
              </w:rPr>
              <w:t>Y＜200</w:t>
            </w:r>
          </w:p>
        </w:tc>
      </w:tr>
      <w:tr w14:paraId="72A6C8A3">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2F914B77">
            <w:pPr>
              <w:widowControl/>
              <w:wordWrap w:val="0"/>
              <w:jc w:val="center"/>
              <w:rPr>
                <w:rFonts w:ascii="宋体" w:hAnsi="宋体" w:cs="宋体"/>
                <w:b/>
                <w:bCs/>
                <w:color w:val="auto"/>
                <w:kern w:val="0"/>
                <w:szCs w:val="21"/>
              </w:rPr>
            </w:pPr>
            <w:r>
              <w:rPr>
                <w:rFonts w:hint="eastAsia" w:ascii="宋体" w:hAnsi="宋体" w:cs="宋体"/>
                <w:b/>
                <w:bCs/>
                <w:color w:val="auto"/>
                <w:kern w:val="0"/>
                <w:szCs w:val="21"/>
              </w:rPr>
              <w:t>仓储业</w:t>
            </w:r>
          </w:p>
        </w:tc>
        <w:tc>
          <w:tcPr>
            <w:tcW w:w="1653" w:type="dxa"/>
            <w:tcBorders>
              <w:top w:val="nil"/>
              <w:left w:val="nil"/>
              <w:bottom w:val="single" w:color="auto" w:sz="4" w:space="0"/>
              <w:right w:val="single" w:color="auto" w:sz="4" w:space="0"/>
            </w:tcBorders>
            <w:vAlign w:val="center"/>
          </w:tcPr>
          <w:p w14:paraId="3ABBD008">
            <w:pPr>
              <w:widowControl/>
              <w:wordWrap w:val="0"/>
              <w:jc w:val="left"/>
              <w:rPr>
                <w:rFonts w:ascii="宋体" w:hAnsi="宋体" w:cs="宋体"/>
                <w:color w:val="auto"/>
                <w:kern w:val="0"/>
                <w:szCs w:val="21"/>
              </w:rPr>
            </w:pPr>
            <w:r>
              <w:rPr>
                <w:rFonts w:hint="eastAsia" w:ascii="宋体" w:hAnsi="宋体" w:cs="宋体"/>
                <w:color w:val="auto"/>
                <w:kern w:val="0"/>
                <w:szCs w:val="21"/>
              </w:rPr>
              <w:t>从业人员（X）</w:t>
            </w:r>
          </w:p>
        </w:tc>
        <w:tc>
          <w:tcPr>
            <w:tcW w:w="1091" w:type="dxa"/>
            <w:tcBorders>
              <w:top w:val="nil"/>
              <w:left w:val="nil"/>
              <w:bottom w:val="single" w:color="auto" w:sz="4" w:space="0"/>
              <w:right w:val="single" w:color="auto" w:sz="4" w:space="0"/>
            </w:tcBorders>
            <w:vAlign w:val="center"/>
          </w:tcPr>
          <w:p w14:paraId="1636FCB2">
            <w:pPr>
              <w:widowControl/>
              <w:wordWrap w:val="0"/>
              <w:jc w:val="left"/>
              <w:rPr>
                <w:rFonts w:ascii="宋体" w:hAnsi="宋体" w:cs="宋体"/>
                <w:color w:val="auto"/>
                <w:kern w:val="0"/>
                <w:szCs w:val="21"/>
              </w:rPr>
            </w:pPr>
            <w:r>
              <w:rPr>
                <w:rFonts w:hint="eastAsia" w:ascii="宋体" w:hAnsi="宋体" w:cs="宋体"/>
                <w:color w:val="auto"/>
                <w:kern w:val="0"/>
                <w:szCs w:val="21"/>
              </w:rPr>
              <w:t>人</w:t>
            </w:r>
          </w:p>
        </w:tc>
        <w:tc>
          <w:tcPr>
            <w:tcW w:w="1935" w:type="dxa"/>
            <w:tcBorders>
              <w:top w:val="nil"/>
              <w:left w:val="nil"/>
              <w:bottom w:val="single" w:color="auto" w:sz="4" w:space="0"/>
              <w:right w:val="single" w:color="auto" w:sz="4" w:space="0"/>
            </w:tcBorders>
            <w:vAlign w:val="center"/>
          </w:tcPr>
          <w:p w14:paraId="2A190AFE">
            <w:pPr>
              <w:widowControl/>
              <w:wordWrap w:val="0"/>
              <w:jc w:val="left"/>
              <w:rPr>
                <w:rFonts w:ascii="宋体" w:hAnsi="宋体" w:cs="宋体"/>
                <w:color w:val="auto"/>
                <w:kern w:val="0"/>
                <w:szCs w:val="21"/>
              </w:rPr>
            </w:pPr>
            <w:r>
              <w:rPr>
                <w:rFonts w:hint="eastAsia" w:ascii="宋体" w:hAnsi="宋体" w:cs="宋体"/>
                <w:color w:val="auto"/>
                <w:kern w:val="0"/>
                <w:szCs w:val="21"/>
              </w:rPr>
              <w:t>100≤X＜200</w:t>
            </w:r>
          </w:p>
        </w:tc>
        <w:tc>
          <w:tcPr>
            <w:tcW w:w="1720" w:type="dxa"/>
            <w:tcBorders>
              <w:top w:val="nil"/>
              <w:left w:val="nil"/>
              <w:bottom w:val="single" w:color="auto" w:sz="4" w:space="0"/>
              <w:right w:val="single" w:color="auto" w:sz="4" w:space="0"/>
            </w:tcBorders>
            <w:vAlign w:val="center"/>
          </w:tcPr>
          <w:p w14:paraId="23C2F103">
            <w:pPr>
              <w:widowControl/>
              <w:wordWrap w:val="0"/>
              <w:jc w:val="left"/>
              <w:rPr>
                <w:rFonts w:ascii="宋体" w:hAnsi="宋体" w:cs="宋体"/>
                <w:color w:val="auto"/>
                <w:kern w:val="0"/>
                <w:szCs w:val="21"/>
              </w:rPr>
            </w:pPr>
            <w:r>
              <w:rPr>
                <w:rFonts w:hint="eastAsia" w:ascii="宋体" w:hAnsi="宋体" w:cs="宋体"/>
                <w:color w:val="auto"/>
                <w:kern w:val="0"/>
                <w:szCs w:val="21"/>
              </w:rPr>
              <w:t>20≤X＜100</w:t>
            </w:r>
          </w:p>
        </w:tc>
        <w:tc>
          <w:tcPr>
            <w:tcW w:w="1105" w:type="dxa"/>
            <w:tcBorders>
              <w:top w:val="nil"/>
              <w:left w:val="nil"/>
              <w:bottom w:val="single" w:color="auto" w:sz="4" w:space="0"/>
              <w:right w:val="single" w:color="auto" w:sz="4" w:space="0"/>
            </w:tcBorders>
            <w:vAlign w:val="center"/>
          </w:tcPr>
          <w:p w14:paraId="45D56807">
            <w:pPr>
              <w:widowControl/>
              <w:wordWrap w:val="0"/>
              <w:jc w:val="left"/>
              <w:rPr>
                <w:rFonts w:ascii="宋体" w:hAnsi="宋体" w:cs="宋体"/>
                <w:color w:val="auto"/>
                <w:kern w:val="0"/>
                <w:szCs w:val="21"/>
              </w:rPr>
            </w:pPr>
            <w:r>
              <w:rPr>
                <w:rFonts w:hint="eastAsia" w:ascii="宋体" w:hAnsi="宋体" w:cs="宋体"/>
                <w:color w:val="auto"/>
                <w:kern w:val="0"/>
                <w:szCs w:val="21"/>
              </w:rPr>
              <w:t>X＜20</w:t>
            </w:r>
          </w:p>
        </w:tc>
      </w:tr>
      <w:tr w14:paraId="63A10550">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569F7E18">
            <w:pPr>
              <w:widowControl/>
              <w:wordWrap w:val="0"/>
              <w:jc w:val="left"/>
              <w:rPr>
                <w:rFonts w:ascii="宋体" w:hAnsi="宋体" w:cs="宋体"/>
                <w:b/>
                <w:bCs/>
                <w:color w:val="auto"/>
                <w:kern w:val="0"/>
                <w:szCs w:val="21"/>
              </w:rPr>
            </w:pPr>
          </w:p>
        </w:tc>
        <w:tc>
          <w:tcPr>
            <w:tcW w:w="1653" w:type="dxa"/>
            <w:tcBorders>
              <w:top w:val="nil"/>
              <w:left w:val="nil"/>
              <w:bottom w:val="single" w:color="auto" w:sz="4" w:space="0"/>
              <w:right w:val="single" w:color="auto" w:sz="4" w:space="0"/>
            </w:tcBorders>
            <w:vAlign w:val="center"/>
          </w:tcPr>
          <w:p w14:paraId="6DC015D0">
            <w:pPr>
              <w:widowControl/>
              <w:wordWrap w:val="0"/>
              <w:jc w:val="left"/>
              <w:rPr>
                <w:rFonts w:ascii="宋体" w:hAnsi="宋体" w:cs="宋体"/>
                <w:color w:val="auto"/>
                <w:kern w:val="0"/>
                <w:szCs w:val="21"/>
              </w:rPr>
            </w:pPr>
            <w:r>
              <w:rPr>
                <w:rFonts w:hint="eastAsia" w:ascii="宋体" w:hAnsi="宋体" w:cs="宋体"/>
                <w:color w:val="auto"/>
                <w:kern w:val="0"/>
                <w:szCs w:val="21"/>
              </w:rPr>
              <w:t>营业收入（Y）</w:t>
            </w:r>
          </w:p>
        </w:tc>
        <w:tc>
          <w:tcPr>
            <w:tcW w:w="1091" w:type="dxa"/>
            <w:tcBorders>
              <w:top w:val="nil"/>
              <w:left w:val="nil"/>
              <w:bottom w:val="single" w:color="auto" w:sz="4" w:space="0"/>
              <w:right w:val="single" w:color="auto" w:sz="4" w:space="0"/>
            </w:tcBorders>
            <w:vAlign w:val="center"/>
          </w:tcPr>
          <w:p w14:paraId="2E5BC5A5">
            <w:pPr>
              <w:widowControl/>
              <w:wordWrap w:val="0"/>
              <w:jc w:val="left"/>
              <w:rPr>
                <w:rFonts w:ascii="宋体" w:hAnsi="宋体" w:cs="宋体"/>
                <w:color w:val="auto"/>
                <w:kern w:val="0"/>
                <w:szCs w:val="21"/>
              </w:rPr>
            </w:pPr>
            <w:r>
              <w:rPr>
                <w:rFonts w:hint="eastAsia" w:ascii="宋体" w:hAnsi="宋体" w:cs="宋体"/>
                <w:color w:val="auto"/>
                <w:kern w:val="0"/>
                <w:szCs w:val="21"/>
              </w:rPr>
              <w:t>万元</w:t>
            </w:r>
          </w:p>
        </w:tc>
        <w:tc>
          <w:tcPr>
            <w:tcW w:w="1935" w:type="dxa"/>
            <w:tcBorders>
              <w:top w:val="nil"/>
              <w:left w:val="nil"/>
              <w:bottom w:val="single" w:color="auto" w:sz="4" w:space="0"/>
              <w:right w:val="single" w:color="auto" w:sz="4" w:space="0"/>
            </w:tcBorders>
            <w:vAlign w:val="center"/>
          </w:tcPr>
          <w:p w14:paraId="03FADF68">
            <w:pPr>
              <w:widowControl/>
              <w:wordWrap w:val="0"/>
              <w:jc w:val="left"/>
              <w:rPr>
                <w:rFonts w:ascii="宋体" w:hAnsi="宋体" w:cs="宋体"/>
                <w:color w:val="auto"/>
                <w:kern w:val="0"/>
                <w:szCs w:val="21"/>
              </w:rPr>
            </w:pPr>
            <w:r>
              <w:rPr>
                <w:rFonts w:hint="eastAsia" w:ascii="宋体" w:hAnsi="宋体" w:cs="宋体"/>
                <w:color w:val="auto"/>
                <w:kern w:val="0"/>
                <w:szCs w:val="21"/>
              </w:rPr>
              <w:t>1000≤Y＜30000</w:t>
            </w:r>
          </w:p>
        </w:tc>
        <w:tc>
          <w:tcPr>
            <w:tcW w:w="1720" w:type="dxa"/>
            <w:tcBorders>
              <w:top w:val="nil"/>
              <w:left w:val="nil"/>
              <w:bottom w:val="single" w:color="auto" w:sz="4" w:space="0"/>
              <w:right w:val="single" w:color="auto" w:sz="4" w:space="0"/>
            </w:tcBorders>
            <w:vAlign w:val="center"/>
          </w:tcPr>
          <w:p w14:paraId="1B7B4A27">
            <w:pPr>
              <w:widowControl/>
              <w:wordWrap w:val="0"/>
              <w:jc w:val="left"/>
              <w:rPr>
                <w:rFonts w:ascii="宋体" w:hAnsi="宋体" w:cs="宋体"/>
                <w:color w:val="auto"/>
                <w:kern w:val="0"/>
                <w:szCs w:val="21"/>
              </w:rPr>
            </w:pPr>
            <w:r>
              <w:rPr>
                <w:rFonts w:hint="eastAsia" w:ascii="宋体" w:hAnsi="宋体" w:cs="宋体"/>
                <w:color w:val="auto"/>
                <w:kern w:val="0"/>
                <w:szCs w:val="21"/>
              </w:rPr>
              <w:t>100≤Y＜1000</w:t>
            </w:r>
          </w:p>
        </w:tc>
        <w:tc>
          <w:tcPr>
            <w:tcW w:w="1105" w:type="dxa"/>
            <w:tcBorders>
              <w:top w:val="nil"/>
              <w:left w:val="nil"/>
              <w:bottom w:val="single" w:color="auto" w:sz="4" w:space="0"/>
              <w:right w:val="single" w:color="auto" w:sz="4" w:space="0"/>
            </w:tcBorders>
            <w:vAlign w:val="center"/>
          </w:tcPr>
          <w:p w14:paraId="02AFCD64">
            <w:pPr>
              <w:widowControl/>
              <w:wordWrap w:val="0"/>
              <w:jc w:val="left"/>
              <w:rPr>
                <w:rFonts w:ascii="宋体" w:hAnsi="宋体" w:cs="宋体"/>
                <w:color w:val="auto"/>
                <w:kern w:val="0"/>
                <w:szCs w:val="21"/>
              </w:rPr>
            </w:pPr>
            <w:r>
              <w:rPr>
                <w:rFonts w:hint="eastAsia" w:ascii="宋体" w:hAnsi="宋体" w:cs="宋体"/>
                <w:color w:val="auto"/>
                <w:kern w:val="0"/>
                <w:szCs w:val="21"/>
              </w:rPr>
              <w:t>Y＜100</w:t>
            </w:r>
          </w:p>
        </w:tc>
      </w:tr>
      <w:tr w14:paraId="3557CD80">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3A0E9C29">
            <w:pPr>
              <w:widowControl/>
              <w:wordWrap w:val="0"/>
              <w:jc w:val="center"/>
              <w:rPr>
                <w:rFonts w:ascii="宋体" w:hAnsi="宋体" w:cs="宋体"/>
                <w:b/>
                <w:bCs/>
                <w:color w:val="auto"/>
                <w:kern w:val="0"/>
                <w:szCs w:val="21"/>
              </w:rPr>
            </w:pPr>
            <w:r>
              <w:rPr>
                <w:rFonts w:hint="eastAsia" w:ascii="宋体" w:hAnsi="宋体" w:cs="宋体"/>
                <w:b/>
                <w:bCs/>
                <w:color w:val="auto"/>
                <w:kern w:val="0"/>
                <w:szCs w:val="21"/>
              </w:rPr>
              <w:t>邮政业</w:t>
            </w:r>
          </w:p>
        </w:tc>
        <w:tc>
          <w:tcPr>
            <w:tcW w:w="1653" w:type="dxa"/>
            <w:tcBorders>
              <w:top w:val="nil"/>
              <w:left w:val="nil"/>
              <w:bottom w:val="single" w:color="auto" w:sz="4" w:space="0"/>
              <w:right w:val="single" w:color="auto" w:sz="4" w:space="0"/>
            </w:tcBorders>
            <w:vAlign w:val="center"/>
          </w:tcPr>
          <w:p w14:paraId="014E933A">
            <w:pPr>
              <w:widowControl/>
              <w:wordWrap w:val="0"/>
              <w:jc w:val="left"/>
              <w:rPr>
                <w:rFonts w:ascii="宋体" w:hAnsi="宋体" w:cs="宋体"/>
                <w:color w:val="auto"/>
                <w:kern w:val="0"/>
                <w:szCs w:val="21"/>
              </w:rPr>
            </w:pPr>
            <w:r>
              <w:rPr>
                <w:rFonts w:hint="eastAsia" w:ascii="宋体" w:hAnsi="宋体" w:cs="宋体"/>
                <w:color w:val="auto"/>
                <w:kern w:val="0"/>
                <w:szCs w:val="21"/>
              </w:rPr>
              <w:t>从业人员（X）</w:t>
            </w:r>
          </w:p>
        </w:tc>
        <w:tc>
          <w:tcPr>
            <w:tcW w:w="1091" w:type="dxa"/>
            <w:tcBorders>
              <w:top w:val="nil"/>
              <w:left w:val="nil"/>
              <w:bottom w:val="single" w:color="auto" w:sz="4" w:space="0"/>
              <w:right w:val="single" w:color="auto" w:sz="4" w:space="0"/>
            </w:tcBorders>
            <w:vAlign w:val="center"/>
          </w:tcPr>
          <w:p w14:paraId="4493C2A8">
            <w:pPr>
              <w:widowControl/>
              <w:wordWrap w:val="0"/>
              <w:jc w:val="left"/>
              <w:rPr>
                <w:rFonts w:ascii="宋体" w:hAnsi="宋体" w:cs="宋体"/>
                <w:color w:val="auto"/>
                <w:kern w:val="0"/>
                <w:szCs w:val="21"/>
              </w:rPr>
            </w:pPr>
            <w:r>
              <w:rPr>
                <w:rFonts w:hint="eastAsia" w:ascii="宋体" w:hAnsi="宋体" w:cs="宋体"/>
                <w:color w:val="auto"/>
                <w:kern w:val="0"/>
                <w:szCs w:val="21"/>
              </w:rPr>
              <w:t>人</w:t>
            </w:r>
          </w:p>
        </w:tc>
        <w:tc>
          <w:tcPr>
            <w:tcW w:w="1935" w:type="dxa"/>
            <w:tcBorders>
              <w:top w:val="nil"/>
              <w:left w:val="nil"/>
              <w:bottom w:val="single" w:color="auto" w:sz="4" w:space="0"/>
              <w:right w:val="single" w:color="auto" w:sz="4" w:space="0"/>
            </w:tcBorders>
            <w:vAlign w:val="center"/>
          </w:tcPr>
          <w:p w14:paraId="73B1A3C3">
            <w:pPr>
              <w:widowControl/>
              <w:wordWrap w:val="0"/>
              <w:jc w:val="left"/>
              <w:rPr>
                <w:rFonts w:ascii="宋体" w:hAnsi="宋体" w:cs="宋体"/>
                <w:color w:val="auto"/>
                <w:kern w:val="0"/>
                <w:szCs w:val="21"/>
              </w:rPr>
            </w:pPr>
            <w:r>
              <w:rPr>
                <w:rFonts w:hint="eastAsia" w:ascii="宋体" w:hAnsi="宋体" w:cs="宋体"/>
                <w:color w:val="auto"/>
                <w:kern w:val="0"/>
                <w:szCs w:val="21"/>
              </w:rPr>
              <w:t>300≤X＜1000</w:t>
            </w:r>
          </w:p>
        </w:tc>
        <w:tc>
          <w:tcPr>
            <w:tcW w:w="1720" w:type="dxa"/>
            <w:tcBorders>
              <w:top w:val="nil"/>
              <w:left w:val="nil"/>
              <w:bottom w:val="single" w:color="auto" w:sz="4" w:space="0"/>
              <w:right w:val="single" w:color="auto" w:sz="4" w:space="0"/>
            </w:tcBorders>
            <w:vAlign w:val="center"/>
          </w:tcPr>
          <w:p w14:paraId="225AEEC4">
            <w:pPr>
              <w:widowControl/>
              <w:wordWrap w:val="0"/>
              <w:jc w:val="left"/>
              <w:rPr>
                <w:rFonts w:ascii="宋体" w:hAnsi="宋体" w:cs="宋体"/>
                <w:color w:val="auto"/>
                <w:kern w:val="0"/>
                <w:szCs w:val="21"/>
              </w:rPr>
            </w:pPr>
            <w:r>
              <w:rPr>
                <w:rFonts w:hint="eastAsia" w:ascii="宋体" w:hAnsi="宋体" w:cs="宋体"/>
                <w:color w:val="auto"/>
                <w:kern w:val="0"/>
                <w:szCs w:val="21"/>
              </w:rPr>
              <w:t>20≤X＜300</w:t>
            </w:r>
          </w:p>
        </w:tc>
        <w:tc>
          <w:tcPr>
            <w:tcW w:w="1105" w:type="dxa"/>
            <w:tcBorders>
              <w:top w:val="nil"/>
              <w:left w:val="nil"/>
              <w:bottom w:val="single" w:color="auto" w:sz="4" w:space="0"/>
              <w:right w:val="single" w:color="auto" w:sz="4" w:space="0"/>
            </w:tcBorders>
            <w:vAlign w:val="center"/>
          </w:tcPr>
          <w:p w14:paraId="121ED47F">
            <w:pPr>
              <w:widowControl/>
              <w:wordWrap w:val="0"/>
              <w:jc w:val="left"/>
              <w:rPr>
                <w:rFonts w:ascii="宋体" w:hAnsi="宋体" w:cs="宋体"/>
                <w:color w:val="auto"/>
                <w:kern w:val="0"/>
                <w:szCs w:val="21"/>
              </w:rPr>
            </w:pPr>
            <w:r>
              <w:rPr>
                <w:rFonts w:hint="eastAsia" w:ascii="宋体" w:hAnsi="宋体" w:cs="宋体"/>
                <w:color w:val="auto"/>
                <w:kern w:val="0"/>
                <w:szCs w:val="21"/>
              </w:rPr>
              <w:t>X＜20</w:t>
            </w:r>
          </w:p>
        </w:tc>
      </w:tr>
      <w:tr w14:paraId="06D222D9">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1E8F6E04">
            <w:pPr>
              <w:widowControl/>
              <w:wordWrap w:val="0"/>
              <w:jc w:val="left"/>
              <w:rPr>
                <w:rFonts w:ascii="宋体" w:hAnsi="宋体" w:cs="宋体"/>
                <w:b/>
                <w:bCs/>
                <w:color w:val="auto"/>
                <w:kern w:val="0"/>
                <w:szCs w:val="21"/>
              </w:rPr>
            </w:pPr>
          </w:p>
        </w:tc>
        <w:tc>
          <w:tcPr>
            <w:tcW w:w="1653" w:type="dxa"/>
            <w:tcBorders>
              <w:top w:val="nil"/>
              <w:left w:val="nil"/>
              <w:bottom w:val="single" w:color="auto" w:sz="4" w:space="0"/>
              <w:right w:val="single" w:color="auto" w:sz="4" w:space="0"/>
            </w:tcBorders>
            <w:vAlign w:val="center"/>
          </w:tcPr>
          <w:p w14:paraId="44B597D4">
            <w:pPr>
              <w:widowControl/>
              <w:wordWrap w:val="0"/>
              <w:jc w:val="left"/>
              <w:rPr>
                <w:rFonts w:ascii="宋体" w:hAnsi="宋体" w:cs="宋体"/>
                <w:color w:val="auto"/>
                <w:kern w:val="0"/>
                <w:szCs w:val="21"/>
              </w:rPr>
            </w:pPr>
            <w:r>
              <w:rPr>
                <w:rFonts w:hint="eastAsia" w:ascii="宋体" w:hAnsi="宋体" w:cs="宋体"/>
                <w:color w:val="auto"/>
                <w:kern w:val="0"/>
                <w:szCs w:val="21"/>
              </w:rPr>
              <w:t>营业收入（Y）</w:t>
            </w:r>
          </w:p>
        </w:tc>
        <w:tc>
          <w:tcPr>
            <w:tcW w:w="1091" w:type="dxa"/>
            <w:tcBorders>
              <w:top w:val="nil"/>
              <w:left w:val="nil"/>
              <w:bottom w:val="single" w:color="auto" w:sz="4" w:space="0"/>
              <w:right w:val="single" w:color="auto" w:sz="4" w:space="0"/>
            </w:tcBorders>
            <w:vAlign w:val="center"/>
          </w:tcPr>
          <w:p w14:paraId="4F564B93">
            <w:pPr>
              <w:widowControl/>
              <w:wordWrap w:val="0"/>
              <w:jc w:val="left"/>
              <w:rPr>
                <w:rFonts w:ascii="宋体" w:hAnsi="宋体" w:cs="宋体"/>
                <w:color w:val="auto"/>
                <w:kern w:val="0"/>
                <w:szCs w:val="21"/>
              </w:rPr>
            </w:pPr>
            <w:r>
              <w:rPr>
                <w:rFonts w:hint="eastAsia" w:ascii="宋体" w:hAnsi="宋体" w:cs="宋体"/>
                <w:color w:val="auto"/>
                <w:kern w:val="0"/>
                <w:szCs w:val="21"/>
              </w:rPr>
              <w:t>万元</w:t>
            </w:r>
          </w:p>
        </w:tc>
        <w:tc>
          <w:tcPr>
            <w:tcW w:w="1935" w:type="dxa"/>
            <w:tcBorders>
              <w:top w:val="nil"/>
              <w:left w:val="nil"/>
              <w:bottom w:val="single" w:color="auto" w:sz="4" w:space="0"/>
              <w:right w:val="single" w:color="auto" w:sz="4" w:space="0"/>
            </w:tcBorders>
            <w:vAlign w:val="center"/>
          </w:tcPr>
          <w:p w14:paraId="2A32D641">
            <w:pPr>
              <w:widowControl/>
              <w:wordWrap w:val="0"/>
              <w:jc w:val="left"/>
              <w:rPr>
                <w:rFonts w:ascii="宋体" w:hAnsi="宋体" w:cs="宋体"/>
                <w:color w:val="auto"/>
                <w:kern w:val="0"/>
                <w:szCs w:val="21"/>
              </w:rPr>
            </w:pPr>
            <w:r>
              <w:rPr>
                <w:rFonts w:hint="eastAsia" w:ascii="宋体" w:hAnsi="宋体" w:cs="宋体"/>
                <w:color w:val="auto"/>
                <w:kern w:val="0"/>
                <w:szCs w:val="21"/>
              </w:rPr>
              <w:t>2000≤Y＜30000</w:t>
            </w:r>
          </w:p>
        </w:tc>
        <w:tc>
          <w:tcPr>
            <w:tcW w:w="1720" w:type="dxa"/>
            <w:tcBorders>
              <w:top w:val="nil"/>
              <w:left w:val="nil"/>
              <w:bottom w:val="single" w:color="auto" w:sz="4" w:space="0"/>
              <w:right w:val="single" w:color="auto" w:sz="4" w:space="0"/>
            </w:tcBorders>
            <w:vAlign w:val="center"/>
          </w:tcPr>
          <w:p w14:paraId="49825D28">
            <w:pPr>
              <w:widowControl/>
              <w:wordWrap w:val="0"/>
              <w:jc w:val="left"/>
              <w:rPr>
                <w:rFonts w:ascii="宋体" w:hAnsi="宋体" w:cs="宋体"/>
                <w:color w:val="auto"/>
                <w:kern w:val="0"/>
                <w:szCs w:val="21"/>
              </w:rPr>
            </w:pPr>
            <w:r>
              <w:rPr>
                <w:rFonts w:hint="eastAsia" w:ascii="宋体" w:hAnsi="宋体" w:cs="宋体"/>
                <w:color w:val="auto"/>
                <w:kern w:val="0"/>
                <w:szCs w:val="21"/>
              </w:rPr>
              <w:t>100≤Y＜2000</w:t>
            </w:r>
          </w:p>
        </w:tc>
        <w:tc>
          <w:tcPr>
            <w:tcW w:w="1105" w:type="dxa"/>
            <w:tcBorders>
              <w:top w:val="nil"/>
              <w:left w:val="nil"/>
              <w:bottom w:val="single" w:color="auto" w:sz="4" w:space="0"/>
              <w:right w:val="single" w:color="auto" w:sz="4" w:space="0"/>
            </w:tcBorders>
            <w:vAlign w:val="center"/>
          </w:tcPr>
          <w:p w14:paraId="20AB753F">
            <w:pPr>
              <w:widowControl/>
              <w:wordWrap w:val="0"/>
              <w:jc w:val="left"/>
              <w:rPr>
                <w:rFonts w:ascii="宋体" w:hAnsi="宋体" w:cs="宋体"/>
                <w:color w:val="auto"/>
                <w:kern w:val="0"/>
                <w:szCs w:val="21"/>
              </w:rPr>
            </w:pPr>
            <w:r>
              <w:rPr>
                <w:rFonts w:hint="eastAsia" w:ascii="宋体" w:hAnsi="宋体" w:cs="宋体"/>
                <w:color w:val="auto"/>
                <w:kern w:val="0"/>
                <w:szCs w:val="21"/>
              </w:rPr>
              <w:t>Y＜100</w:t>
            </w:r>
          </w:p>
        </w:tc>
      </w:tr>
      <w:tr w14:paraId="6923A213">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12B98782">
            <w:pPr>
              <w:widowControl/>
              <w:wordWrap w:val="0"/>
              <w:jc w:val="center"/>
              <w:rPr>
                <w:rFonts w:ascii="宋体" w:hAnsi="宋体" w:cs="宋体"/>
                <w:b/>
                <w:bCs/>
                <w:color w:val="auto"/>
                <w:kern w:val="0"/>
                <w:szCs w:val="21"/>
              </w:rPr>
            </w:pPr>
            <w:r>
              <w:rPr>
                <w:rFonts w:hint="eastAsia" w:ascii="宋体" w:hAnsi="宋体" w:cs="宋体"/>
                <w:b/>
                <w:bCs/>
                <w:color w:val="auto"/>
                <w:kern w:val="0"/>
                <w:szCs w:val="21"/>
              </w:rPr>
              <w:t>住宿业</w:t>
            </w:r>
          </w:p>
        </w:tc>
        <w:tc>
          <w:tcPr>
            <w:tcW w:w="1653" w:type="dxa"/>
            <w:tcBorders>
              <w:top w:val="nil"/>
              <w:left w:val="nil"/>
              <w:bottom w:val="single" w:color="auto" w:sz="4" w:space="0"/>
              <w:right w:val="single" w:color="auto" w:sz="4" w:space="0"/>
            </w:tcBorders>
            <w:vAlign w:val="center"/>
          </w:tcPr>
          <w:p w14:paraId="1B586DF1">
            <w:pPr>
              <w:widowControl/>
              <w:wordWrap w:val="0"/>
              <w:jc w:val="left"/>
              <w:rPr>
                <w:rFonts w:ascii="宋体" w:hAnsi="宋体" w:cs="宋体"/>
                <w:color w:val="auto"/>
                <w:kern w:val="0"/>
                <w:szCs w:val="21"/>
              </w:rPr>
            </w:pPr>
            <w:r>
              <w:rPr>
                <w:rFonts w:hint="eastAsia" w:ascii="宋体" w:hAnsi="宋体" w:cs="宋体"/>
                <w:color w:val="auto"/>
                <w:kern w:val="0"/>
                <w:szCs w:val="21"/>
              </w:rPr>
              <w:t>从业人员（X）</w:t>
            </w:r>
          </w:p>
        </w:tc>
        <w:tc>
          <w:tcPr>
            <w:tcW w:w="1091" w:type="dxa"/>
            <w:tcBorders>
              <w:top w:val="nil"/>
              <w:left w:val="nil"/>
              <w:bottom w:val="single" w:color="auto" w:sz="4" w:space="0"/>
              <w:right w:val="single" w:color="auto" w:sz="4" w:space="0"/>
            </w:tcBorders>
            <w:vAlign w:val="center"/>
          </w:tcPr>
          <w:p w14:paraId="6AE819F8">
            <w:pPr>
              <w:widowControl/>
              <w:wordWrap w:val="0"/>
              <w:jc w:val="left"/>
              <w:rPr>
                <w:rFonts w:ascii="宋体" w:hAnsi="宋体" w:cs="宋体"/>
                <w:color w:val="auto"/>
                <w:kern w:val="0"/>
                <w:szCs w:val="21"/>
              </w:rPr>
            </w:pPr>
            <w:r>
              <w:rPr>
                <w:rFonts w:hint="eastAsia" w:ascii="宋体" w:hAnsi="宋体" w:cs="宋体"/>
                <w:color w:val="auto"/>
                <w:kern w:val="0"/>
                <w:szCs w:val="21"/>
              </w:rPr>
              <w:t>人</w:t>
            </w:r>
          </w:p>
        </w:tc>
        <w:tc>
          <w:tcPr>
            <w:tcW w:w="1935" w:type="dxa"/>
            <w:tcBorders>
              <w:top w:val="nil"/>
              <w:left w:val="nil"/>
              <w:bottom w:val="single" w:color="auto" w:sz="4" w:space="0"/>
              <w:right w:val="single" w:color="auto" w:sz="4" w:space="0"/>
            </w:tcBorders>
            <w:vAlign w:val="center"/>
          </w:tcPr>
          <w:p w14:paraId="664AE6E5">
            <w:pPr>
              <w:widowControl/>
              <w:wordWrap w:val="0"/>
              <w:jc w:val="left"/>
              <w:rPr>
                <w:rFonts w:ascii="宋体" w:hAnsi="宋体" w:cs="宋体"/>
                <w:color w:val="auto"/>
                <w:kern w:val="0"/>
                <w:szCs w:val="21"/>
              </w:rPr>
            </w:pPr>
            <w:r>
              <w:rPr>
                <w:rFonts w:hint="eastAsia" w:ascii="宋体" w:hAnsi="宋体" w:cs="宋体"/>
                <w:color w:val="auto"/>
                <w:kern w:val="0"/>
                <w:szCs w:val="21"/>
              </w:rPr>
              <w:t>100≤X＜300</w:t>
            </w:r>
          </w:p>
        </w:tc>
        <w:tc>
          <w:tcPr>
            <w:tcW w:w="1720" w:type="dxa"/>
            <w:tcBorders>
              <w:top w:val="nil"/>
              <w:left w:val="nil"/>
              <w:bottom w:val="single" w:color="auto" w:sz="4" w:space="0"/>
              <w:right w:val="single" w:color="auto" w:sz="4" w:space="0"/>
            </w:tcBorders>
            <w:vAlign w:val="center"/>
          </w:tcPr>
          <w:p w14:paraId="3235BDF9">
            <w:pPr>
              <w:widowControl/>
              <w:wordWrap w:val="0"/>
              <w:jc w:val="left"/>
              <w:rPr>
                <w:rFonts w:ascii="宋体" w:hAnsi="宋体" w:cs="宋体"/>
                <w:color w:val="auto"/>
                <w:kern w:val="0"/>
                <w:szCs w:val="21"/>
              </w:rPr>
            </w:pPr>
            <w:r>
              <w:rPr>
                <w:rFonts w:hint="eastAsia" w:ascii="宋体" w:hAnsi="宋体" w:cs="宋体"/>
                <w:color w:val="auto"/>
                <w:kern w:val="0"/>
                <w:szCs w:val="21"/>
              </w:rPr>
              <w:t>10≤X＜100</w:t>
            </w:r>
          </w:p>
        </w:tc>
        <w:tc>
          <w:tcPr>
            <w:tcW w:w="1105" w:type="dxa"/>
            <w:tcBorders>
              <w:top w:val="nil"/>
              <w:left w:val="nil"/>
              <w:bottom w:val="single" w:color="auto" w:sz="4" w:space="0"/>
              <w:right w:val="single" w:color="auto" w:sz="4" w:space="0"/>
            </w:tcBorders>
            <w:vAlign w:val="center"/>
          </w:tcPr>
          <w:p w14:paraId="2592A945">
            <w:pPr>
              <w:widowControl/>
              <w:wordWrap w:val="0"/>
              <w:jc w:val="left"/>
              <w:rPr>
                <w:rFonts w:ascii="宋体" w:hAnsi="宋体" w:cs="宋体"/>
                <w:color w:val="auto"/>
                <w:kern w:val="0"/>
                <w:szCs w:val="21"/>
              </w:rPr>
            </w:pPr>
            <w:r>
              <w:rPr>
                <w:rFonts w:hint="eastAsia" w:ascii="宋体" w:hAnsi="宋体" w:cs="宋体"/>
                <w:color w:val="auto"/>
                <w:kern w:val="0"/>
                <w:szCs w:val="21"/>
              </w:rPr>
              <w:t>X＜10</w:t>
            </w:r>
          </w:p>
        </w:tc>
      </w:tr>
      <w:tr w14:paraId="6F9BDF54">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4F97D642">
            <w:pPr>
              <w:widowControl/>
              <w:wordWrap w:val="0"/>
              <w:jc w:val="left"/>
              <w:rPr>
                <w:rFonts w:ascii="宋体" w:hAnsi="宋体" w:cs="宋体"/>
                <w:b/>
                <w:bCs/>
                <w:color w:val="auto"/>
                <w:kern w:val="0"/>
                <w:szCs w:val="21"/>
              </w:rPr>
            </w:pPr>
          </w:p>
        </w:tc>
        <w:tc>
          <w:tcPr>
            <w:tcW w:w="1653" w:type="dxa"/>
            <w:tcBorders>
              <w:top w:val="nil"/>
              <w:left w:val="nil"/>
              <w:bottom w:val="single" w:color="auto" w:sz="4" w:space="0"/>
              <w:right w:val="single" w:color="auto" w:sz="4" w:space="0"/>
            </w:tcBorders>
            <w:vAlign w:val="center"/>
          </w:tcPr>
          <w:p w14:paraId="614581D0">
            <w:pPr>
              <w:widowControl/>
              <w:wordWrap w:val="0"/>
              <w:jc w:val="left"/>
              <w:rPr>
                <w:rFonts w:ascii="宋体" w:hAnsi="宋体" w:cs="宋体"/>
                <w:color w:val="auto"/>
                <w:kern w:val="0"/>
                <w:szCs w:val="21"/>
              </w:rPr>
            </w:pPr>
            <w:r>
              <w:rPr>
                <w:rFonts w:hint="eastAsia" w:ascii="宋体" w:hAnsi="宋体" w:cs="宋体"/>
                <w:color w:val="auto"/>
                <w:kern w:val="0"/>
                <w:szCs w:val="21"/>
              </w:rPr>
              <w:t>营业收入（Y）</w:t>
            </w:r>
          </w:p>
        </w:tc>
        <w:tc>
          <w:tcPr>
            <w:tcW w:w="1091" w:type="dxa"/>
            <w:tcBorders>
              <w:top w:val="nil"/>
              <w:left w:val="nil"/>
              <w:bottom w:val="single" w:color="auto" w:sz="4" w:space="0"/>
              <w:right w:val="single" w:color="auto" w:sz="4" w:space="0"/>
            </w:tcBorders>
            <w:vAlign w:val="center"/>
          </w:tcPr>
          <w:p w14:paraId="00BCFB11">
            <w:pPr>
              <w:widowControl/>
              <w:wordWrap w:val="0"/>
              <w:jc w:val="left"/>
              <w:rPr>
                <w:rFonts w:ascii="宋体" w:hAnsi="宋体" w:cs="宋体"/>
                <w:color w:val="auto"/>
                <w:kern w:val="0"/>
                <w:szCs w:val="21"/>
              </w:rPr>
            </w:pPr>
            <w:r>
              <w:rPr>
                <w:rFonts w:hint="eastAsia" w:ascii="宋体" w:hAnsi="宋体" w:cs="宋体"/>
                <w:color w:val="auto"/>
                <w:kern w:val="0"/>
                <w:szCs w:val="21"/>
              </w:rPr>
              <w:t>万元</w:t>
            </w:r>
          </w:p>
        </w:tc>
        <w:tc>
          <w:tcPr>
            <w:tcW w:w="1935" w:type="dxa"/>
            <w:tcBorders>
              <w:top w:val="nil"/>
              <w:left w:val="nil"/>
              <w:bottom w:val="single" w:color="auto" w:sz="4" w:space="0"/>
              <w:right w:val="single" w:color="auto" w:sz="4" w:space="0"/>
            </w:tcBorders>
            <w:vAlign w:val="center"/>
          </w:tcPr>
          <w:p w14:paraId="070CBFCD">
            <w:pPr>
              <w:widowControl/>
              <w:wordWrap w:val="0"/>
              <w:jc w:val="left"/>
              <w:rPr>
                <w:rFonts w:ascii="宋体" w:hAnsi="宋体" w:cs="宋体"/>
                <w:color w:val="auto"/>
                <w:kern w:val="0"/>
                <w:szCs w:val="21"/>
              </w:rPr>
            </w:pPr>
            <w:r>
              <w:rPr>
                <w:rFonts w:hint="eastAsia" w:ascii="宋体" w:hAnsi="宋体" w:cs="宋体"/>
                <w:color w:val="auto"/>
                <w:kern w:val="0"/>
                <w:szCs w:val="21"/>
              </w:rPr>
              <w:t>2000≤Y＜10000</w:t>
            </w:r>
          </w:p>
        </w:tc>
        <w:tc>
          <w:tcPr>
            <w:tcW w:w="1720" w:type="dxa"/>
            <w:tcBorders>
              <w:top w:val="nil"/>
              <w:left w:val="nil"/>
              <w:bottom w:val="single" w:color="auto" w:sz="4" w:space="0"/>
              <w:right w:val="single" w:color="auto" w:sz="4" w:space="0"/>
            </w:tcBorders>
            <w:vAlign w:val="center"/>
          </w:tcPr>
          <w:p w14:paraId="18A97332">
            <w:pPr>
              <w:widowControl/>
              <w:wordWrap w:val="0"/>
              <w:jc w:val="left"/>
              <w:rPr>
                <w:rFonts w:ascii="宋体" w:hAnsi="宋体" w:cs="宋体"/>
                <w:color w:val="auto"/>
                <w:kern w:val="0"/>
                <w:szCs w:val="21"/>
              </w:rPr>
            </w:pPr>
            <w:r>
              <w:rPr>
                <w:rFonts w:hint="eastAsia" w:ascii="宋体" w:hAnsi="宋体" w:cs="宋体"/>
                <w:color w:val="auto"/>
                <w:kern w:val="0"/>
                <w:szCs w:val="21"/>
              </w:rPr>
              <w:t>100≤Y＜2000</w:t>
            </w:r>
          </w:p>
        </w:tc>
        <w:tc>
          <w:tcPr>
            <w:tcW w:w="1105" w:type="dxa"/>
            <w:tcBorders>
              <w:top w:val="nil"/>
              <w:left w:val="nil"/>
              <w:bottom w:val="single" w:color="auto" w:sz="4" w:space="0"/>
              <w:right w:val="single" w:color="auto" w:sz="4" w:space="0"/>
            </w:tcBorders>
            <w:vAlign w:val="center"/>
          </w:tcPr>
          <w:p w14:paraId="73CC52AD">
            <w:pPr>
              <w:widowControl/>
              <w:wordWrap w:val="0"/>
              <w:jc w:val="left"/>
              <w:rPr>
                <w:rFonts w:ascii="宋体" w:hAnsi="宋体" w:cs="宋体"/>
                <w:color w:val="auto"/>
                <w:kern w:val="0"/>
                <w:szCs w:val="21"/>
              </w:rPr>
            </w:pPr>
            <w:r>
              <w:rPr>
                <w:rFonts w:hint="eastAsia" w:ascii="宋体" w:hAnsi="宋体" w:cs="宋体"/>
                <w:color w:val="auto"/>
                <w:kern w:val="0"/>
                <w:szCs w:val="21"/>
              </w:rPr>
              <w:t>Y＜100</w:t>
            </w:r>
          </w:p>
        </w:tc>
      </w:tr>
      <w:tr w14:paraId="58CD86E0">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624FF024">
            <w:pPr>
              <w:widowControl/>
              <w:wordWrap w:val="0"/>
              <w:jc w:val="center"/>
              <w:rPr>
                <w:rFonts w:ascii="宋体" w:hAnsi="宋体" w:cs="宋体"/>
                <w:b/>
                <w:bCs/>
                <w:color w:val="auto"/>
                <w:kern w:val="0"/>
                <w:szCs w:val="21"/>
              </w:rPr>
            </w:pPr>
            <w:r>
              <w:rPr>
                <w:rFonts w:hint="eastAsia" w:ascii="宋体" w:hAnsi="宋体" w:cs="宋体"/>
                <w:b/>
                <w:bCs/>
                <w:color w:val="auto"/>
                <w:kern w:val="0"/>
                <w:szCs w:val="21"/>
              </w:rPr>
              <w:t>餐饮业</w:t>
            </w:r>
          </w:p>
        </w:tc>
        <w:tc>
          <w:tcPr>
            <w:tcW w:w="1653" w:type="dxa"/>
            <w:tcBorders>
              <w:top w:val="nil"/>
              <w:left w:val="nil"/>
              <w:bottom w:val="single" w:color="auto" w:sz="4" w:space="0"/>
              <w:right w:val="single" w:color="auto" w:sz="4" w:space="0"/>
            </w:tcBorders>
            <w:vAlign w:val="center"/>
          </w:tcPr>
          <w:p w14:paraId="5249AD0E">
            <w:pPr>
              <w:widowControl/>
              <w:wordWrap w:val="0"/>
              <w:jc w:val="left"/>
              <w:rPr>
                <w:rFonts w:ascii="宋体" w:hAnsi="宋体" w:cs="宋体"/>
                <w:color w:val="auto"/>
                <w:kern w:val="0"/>
                <w:szCs w:val="21"/>
              </w:rPr>
            </w:pPr>
            <w:r>
              <w:rPr>
                <w:rFonts w:hint="eastAsia" w:ascii="宋体" w:hAnsi="宋体" w:cs="宋体"/>
                <w:color w:val="auto"/>
                <w:kern w:val="0"/>
                <w:szCs w:val="21"/>
              </w:rPr>
              <w:t>从业人员（X）</w:t>
            </w:r>
          </w:p>
        </w:tc>
        <w:tc>
          <w:tcPr>
            <w:tcW w:w="1091" w:type="dxa"/>
            <w:tcBorders>
              <w:top w:val="nil"/>
              <w:left w:val="nil"/>
              <w:bottom w:val="single" w:color="auto" w:sz="4" w:space="0"/>
              <w:right w:val="single" w:color="auto" w:sz="4" w:space="0"/>
            </w:tcBorders>
            <w:vAlign w:val="center"/>
          </w:tcPr>
          <w:p w14:paraId="5742E09E">
            <w:pPr>
              <w:widowControl/>
              <w:wordWrap w:val="0"/>
              <w:jc w:val="left"/>
              <w:rPr>
                <w:rFonts w:ascii="宋体" w:hAnsi="宋体" w:cs="宋体"/>
                <w:color w:val="auto"/>
                <w:kern w:val="0"/>
                <w:szCs w:val="21"/>
              </w:rPr>
            </w:pPr>
            <w:r>
              <w:rPr>
                <w:rFonts w:hint="eastAsia" w:ascii="宋体" w:hAnsi="宋体" w:cs="宋体"/>
                <w:color w:val="auto"/>
                <w:kern w:val="0"/>
                <w:szCs w:val="21"/>
              </w:rPr>
              <w:t>人</w:t>
            </w:r>
          </w:p>
        </w:tc>
        <w:tc>
          <w:tcPr>
            <w:tcW w:w="1935" w:type="dxa"/>
            <w:tcBorders>
              <w:top w:val="nil"/>
              <w:left w:val="nil"/>
              <w:bottom w:val="single" w:color="auto" w:sz="4" w:space="0"/>
              <w:right w:val="single" w:color="auto" w:sz="4" w:space="0"/>
            </w:tcBorders>
            <w:vAlign w:val="center"/>
          </w:tcPr>
          <w:p w14:paraId="5D689379">
            <w:pPr>
              <w:widowControl/>
              <w:wordWrap w:val="0"/>
              <w:jc w:val="left"/>
              <w:rPr>
                <w:rFonts w:ascii="宋体" w:hAnsi="宋体" w:cs="宋体"/>
                <w:color w:val="auto"/>
                <w:kern w:val="0"/>
                <w:szCs w:val="21"/>
              </w:rPr>
            </w:pPr>
            <w:r>
              <w:rPr>
                <w:rFonts w:hint="eastAsia" w:ascii="宋体" w:hAnsi="宋体" w:cs="宋体"/>
                <w:color w:val="auto"/>
                <w:kern w:val="0"/>
                <w:szCs w:val="21"/>
              </w:rPr>
              <w:t>100≤X＜300</w:t>
            </w:r>
          </w:p>
        </w:tc>
        <w:tc>
          <w:tcPr>
            <w:tcW w:w="1720" w:type="dxa"/>
            <w:tcBorders>
              <w:top w:val="nil"/>
              <w:left w:val="nil"/>
              <w:bottom w:val="single" w:color="auto" w:sz="4" w:space="0"/>
              <w:right w:val="single" w:color="auto" w:sz="4" w:space="0"/>
            </w:tcBorders>
            <w:vAlign w:val="center"/>
          </w:tcPr>
          <w:p w14:paraId="209D7A93">
            <w:pPr>
              <w:widowControl/>
              <w:wordWrap w:val="0"/>
              <w:jc w:val="left"/>
              <w:rPr>
                <w:rFonts w:ascii="宋体" w:hAnsi="宋体" w:cs="宋体"/>
                <w:color w:val="auto"/>
                <w:kern w:val="0"/>
                <w:szCs w:val="21"/>
              </w:rPr>
            </w:pPr>
            <w:r>
              <w:rPr>
                <w:rFonts w:hint="eastAsia" w:ascii="宋体" w:hAnsi="宋体" w:cs="宋体"/>
                <w:color w:val="auto"/>
                <w:kern w:val="0"/>
                <w:szCs w:val="21"/>
              </w:rPr>
              <w:t>10≤X＜100</w:t>
            </w:r>
          </w:p>
        </w:tc>
        <w:tc>
          <w:tcPr>
            <w:tcW w:w="1105" w:type="dxa"/>
            <w:tcBorders>
              <w:top w:val="nil"/>
              <w:left w:val="nil"/>
              <w:bottom w:val="single" w:color="auto" w:sz="4" w:space="0"/>
              <w:right w:val="single" w:color="auto" w:sz="4" w:space="0"/>
            </w:tcBorders>
            <w:vAlign w:val="center"/>
          </w:tcPr>
          <w:p w14:paraId="210796BC">
            <w:pPr>
              <w:widowControl/>
              <w:wordWrap w:val="0"/>
              <w:jc w:val="left"/>
              <w:rPr>
                <w:rFonts w:ascii="宋体" w:hAnsi="宋体" w:cs="宋体"/>
                <w:color w:val="auto"/>
                <w:kern w:val="0"/>
                <w:szCs w:val="21"/>
              </w:rPr>
            </w:pPr>
            <w:r>
              <w:rPr>
                <w:rFonts w:hint="eastAsia" w:ascii="宋体" w:hAnsi="宋体" w:cs="宋体"/>
                <w:color w:val="auto"/>
                <w:kern w:val="0"/>
                <w:szCs w:val="21"/>
              </w:rPr>
              <w:t>X＜10</w:t>
            </w:r>
          </w:p>
        </w:tc>
      </w:tr>
      <w:tr w14:paraId="3718D9BE">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032366A3">
            <w:pPr>
              <w:widowControl/>
              <w:wordWrap w:val="0"/>
              <w:jc w:val="left"/>
              <w:rPr>
                <w:rFonts w:ascii="宋体" w:hAnsi="宋体" w:cs="宋体"/>
                <w:b/>
                <w:bCs/>
                <w:color w:val="auto"/>
                <w:kern w:val="0"/>
                <w:szCs w:val="21"/>
              </w:rPr>
            </w:pPr>
          </w:p>
        </w:tc>
        <w:tc>
          <w:tcPr>
            <w:tcW w:w="1653" w:type="dxa"/>
            <w:tcBorders>
              <w:top w:val="nil"/>
              <w:left w:val="nil"/>
              <w:bottom w:val="single" w:color="auto" w:sz="4" w:space="0"/>
              <w:right w:val="single" w:color="auto" w:sz="4" w:space="0"/>
            </w:tcBorders>
            <w:vAlign w:val="center"/>
          </w:tcPr>
          <w:p w14:paraId="2A76E8AA">
            <w:pPr>
              <w:widowControl/>
              <w:wordWrap w:val="0"/>
              <w:jc w:val="left"/>
              <w:rPr>
                <w:rFonts w:ascii="宋体" w:hAnsi="宋体" w:cs="宋体"/>
                <w:color w:val="auto"/>
                <w:kern w:val="0"/>
                <w:szCs w:val="21"/>
              </w:rPr>
            </w:pPr>
            <w:r>
              <w:rPr>
                <w:rFonts w:hint="eastAsia" w:ascii="宋体" w:hAnsi="宋体" w:cs="宋体"/>
                <w:color w:val="auto"/>
                <w:kern w:val="0"/>
                <w:szCs w:val="21"/>
              </w:rPr>
              <w:t>营业收入（Y）</w:t>
            </w:r>
          </w:p>
        </w:tc>
        <w:tc>
          <w:tcPr>
            <w:tcW w:w="1091" w:type="dxa"/>
            <w:tcBorders>
              <w:top w:val="nil"/>
              <w:left w:val="nil"/>
              <w:bottom w:val="single" w:color="auto" w:sz="4" w:space="0"/>
              <w:right w:val="single" w:color="auto" w:sz="4" w:space="0"/>
            </w:tcBorders>
            <w:vAlign w:val="center"/>
          </w:tcPr>
          <w:p w14:paraId="78490DCB">
            <w:pPr>
              <w:widowControl/>
              <w:wordWrap w:val="0"/>
              <w:jc w:val="left"/>
              <w:rPr>
                <w:rFonts w:ascii="宋体" w:hAnsi="宋体" w:cs="宋体"/>
                <w:color w:val="auto"/>
                <w:kern w:val="0"/>
                <w:szCs w:val="21"/>
              </w:rPr>
            </w:pPr>
            <w:r>
              <w:rPr>
                <w:rFonts w:hint="eastAsia" w:ascii="宋体" w:hAnsi="宋体" w:cs="宋体"/>
                <w:color w:val="auto"/>
                <w:kern w:val="0"/>
                <w:szCs w:val="21"/>
              </w:rPr>
              <w:t>万元</w:t>
            </w:r>
          </w:p>
        </w:tc>
        <w:tc>
          <w:tcPr>
            <w:tcW w:w="1935" w:type="dxa"/>
            <w:tcBorders>
              <w:top w:val="nil"/>
              <w:left w:val="nil"/>
              <w:bottom w:val="single" w:color="auto" w:sz="4" w:space="0"/>
              <w:right w:val="single" w:color="auto" w:sz="4" w:space="0"/>
            </w:tcBorders>
            <w:vAlign w:val="center"/>
          </w:tcPr>
          <w:p w14:paraId="6B5D2DCB">
            <w:pPr>
              <w:widowControl/>
              <w:wordWrap w:val="0"/>
              <w:jc w:val="left"/>
              <w:rPr>
                <w:rFonts w:ascii="宋体" w:hAnsi="宋体" w:cs="宋体"/>
                <w:color w:val="auto"/>
                <w:kern w:val="0"/>
                <w:szCs w:val="21"/>
              </w:rPr>
            </w:pPr>
            <w:r>
              <w:rPr>
                <w:rFonts w:hint="eastAsia" w:ascii="宋体" w:hAnsi="宋体" w:cs="宋体"/>
                <w:color w:val="auto"/>
                <w:kern w:val="0"/>
                <w:szCs w:val="21"/>
              </w:rPr>
              <w:t>2000≤Y＜10000</w:t>
            </w:r>
          </w:p>
        </w:tc>
        <w:tc>
          <w:tcPr>
            <w:tcW w:w="1720" w:type="dxa"/>
            <w:tcBorders>
              <w:top w:val="nil"/>
              <w:left w:val="nil"/>
              <w:bottom w:val="single" w:color="auto" w:sz="4" w:space="0"/>
              <w:right w:val="single" w:color="auto" w:sz="4" w:space="0"/>
            </w:tcBorders>
            <w:vAlign w:val="center"/>
          </w:tcPr>
          <w:p w14:paraId="0EBEA7FA">
            <w:pPr>
              <w:widowControl/>
              <w:wordWrap w:val="0"/>
              <w:jc w:val="left"/>
              <w:rPr>
                <w:rFonts w:ascii="宋体" w:hAnsi="宋体" w:cs="宋体"/>
                <w:color w:val="auto"/>
                <w:kern w:val="0"/>
                <w:szCs w:val="21"/>
              </w:rPr>
            </w:pPr>
            <w:r>
              <w:rPr>
                <w:rFonts w:hint="eastAsia" w:ascii="宋体" w:hAnsi="宋体" w:cs="宋体"/>
                <w:color w:val="auto"/>
                <w:kern w:val="0"/>
                <w:szCs w:val="21"/>
              </w:rPr>
              <w:t>100≤Y＜2000</w:t>
            </w:r>
          </w:p>
        </w:tc>
        <w:tc>
          <w:tcPr>
            <w:tcW w:w="1105" w:type="dxa"/>
            <w:tcBorders>
              <w:top w:val="nil"/>
              <w:left w:val="nil"/>
              <w:bottom w:val="single" w:color="auto" w:sz="4" w:space="0"/>
              <w:right w:val="single" w:color="auto" w:sz="4" w:space="0"/>
            </w:tcBorders>
            <w:vAlign w:val="center"/>
          </w:tcPr>
          <w:p w14:paraId="6D70E4CF">
            <w:pPr>
              <w:widowControl/>
              <w:wordWrap w:val="0"/>
              <w:jc w:val="left"/>
              <w:rPr>
                <w:rFonts w:ascii="宋体" w:hAnsi="宋体" w:cs="宋体"/>
                <w:color w:val="auto"/>
                <w:kern w:val="0"/>
                <w:szCs w:val="21"/>
              </w:rPr>
            </w:pPr>
            <w:r>
              <w:rPr>
                <w:rFonts w:hint="eastAsia" w:ascii="宋体" w:hAnsi="宋体" w:cs="宋体"/>
                <w:color w:val="auto"/>
                <w:kern w:val="0"/>
                <w:szCs w:val="21"/>
              </w:rPr>
              <w:t>Y＜100</w:t>
            </w:r>
          </w:p>
        </w:tc>
      </w:tr>
      <w:tr w14:paraId="7F43701E">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2191AC5B">
            <w:pPr>
              <w:widowControl/>
              <w:wordWrap w:val="0"/>
              <w:jc w:val="center"/>
              <w:rPr>
                <w:rFonts w:ascii="宋体" w:hAnsi="宋体" w:cs="宋体"/>
                <w:b/>
                <w:bCs/>
                <w:color w:val="auto"/>
                <w:kern w:val="0"/>
                <w:szCs w:val="21"/>
              </w:rPr>
            </w:pPr>
            <w:r>
              <w:rPr>
                <w:rFonts w:hint="eastAsia" w:ascii="宋体" w:hAnsi="宋体" w:cs="宋体"/>
                <w:b/>
                <w:bCs/>
                <w:color w:val="auto"/>
                <w:kern w:val="0"/>
                <w:szCs w:val="21"/>
              </w:rPr>
              <w:t>信息传输业</w:t>
            </w:r>
          </w:p>
        </w:tc>
        <w:tc>
          <w:tcPr>
            <w:tcW w:w="1653" w:type="dxa"/>
            <w:tcBorders>
              <w:top w:val="nil"/>
              <w:left w:val="nil"/>
              <w:bottom w:val="single" w:color="auto" w:sz="4" w:space="0"/>
              <w:right w:val="single" w:color="auto" w:sz="4" w:space="0"/>
            </w:tcBorders>
            <w:vAlign w:val="center"/>
          </w:tcPr>
          <w:p w14:paraId="6DC92F7D">
            <w:pPr>
              <w:widowControl/>
              <w:wordWrap w:val="0"/>
              <w:jc w:val="left"/>
              <w:rPr>
                <w:rFonts w:ascii="宋体" w:hAnsi="宋体" w:cs="宋体"/>
                <w:color w:val="auto"/>
                <w:kern w:val="0"/>
                <w:szCs w:val="21"/>
              </w:rPr>
            </w:pPr>
            <w:r>
              <w:rPr>
                <w:rFonts w:hint="eastAsia" w:ascii="宋体" w:hAnsi="宋体" w:cs="宋体"/>
                <w:color w:val="auto"/>
                <w:kern w:val="0"/>
                <w:szCs w:val="21"/>
              </w:rPr>
              <w:t>从业人员（X）</w:t>
            </w:r>
          </w:p>
        </w:tc>
        <w:tc>
          <w:tcPr>
            <w:tcW w:w="1091" w:type="dxa"/>
            <w:tcBorders>
              <w:top w:val="nil"/>
              <w:left w:val="nil"/>
              <w:bottom w:val="single" w:color="auto" w:sz="4" w:space="0"/>
              <w:right w:val="single" w:color="auto" w:sz="4" w:space="0"/>
            </w:tcBorders>
            <w:vAlign w:val="center"/>
          </w:tcPr>
          <w:p w14:paraId="676006A1">
            <w:pPr>
              <w:widowControl/>
              <w:wordWrap w:val="0"/>
              <w:jc w:val="left"/>
              <w:rPr>
                <w:rFonts w:ascii="宋体" w:hAnsi="宋体" w:cs="宋体"/>
                <w:color w:val="auto"/>
                <w:kern w:val="0"/>
                <w:szCs w:val="21"/>
              </w:rPr>
            </w:pPr>
            <w:r>
              <w:rPr>
                <w:rFonts w:hint="eastAsia" w:ascii="宋体" w:hAnsi="宋体" w:cs="宋体"/>
                <w:color w:val="auto"/>
                <w:kern w:val="0"/>
                <w:szCs w:val="21"/>
              </w:rPr>
              <w:t>人</w:t>
            </w:r>
          </w:p>
        </w:tc>
        <w:tc>
          <w:tcPr>
            <w:tcW w:w="1935" w:type="dxa"/>
            <w:tcBorders>
              <w:top w:val="nil"/>
              <w:left w:val="nil"/>
              <w:bottom w:val="single" w:color="auto" w:sz="4" w:space="0"/>
              <w:right w:val="single" w:color="auto" w:sz="4" w:space="0"/>
            </w:tcBorders>
            <w:vAlign w:val="center"/>
          </w:tcPr>
          <w:p w14:paraId="06F43A50">
            <w:pPr>
              <w:widowControl/>
              <w:wordWrap w:val="0"/>
              <w:jc w:val="left"/>
              <w:rPr>
                <w:rFonts w:ascii="宋体" w:hAnsi="宋体" w:cs="宋体"/>
                <w:color w:val="auto"/>
                <w:kern w:val="0"/>
                <w:szCs w:val="21"/>
              </w:rPr>
            </w:pPr>
            <w:r>
              <w:rPr>
                <w:rFonts w:hint="eastAsia" w:ascii="宋体" w:hAnsi="宋体" w:cs="宋体"/>
                <w:color w:val="auto"/>
                <w:kern w:val="0"/>
                <w:szCs w:val="21"/>
              </w:rPr>
              <w:t>100≤X＜2000</w:t>
            </w:r>
          </w:p>
        </w:tc>
        <w:tc>
          <w:tcPr>
            <w:tcW w:w="1720" w:type="dxa"/>
            <w:tcBorders>
              <w:top w:val="nil"/>
              <w:left w:val="nil"/>
              <w:bottom w:val="single" w:color="auto" w:sz="4" w:space="0"/>
              <w:right w:val="single" w:color="auto" w:sz="4" w:space="0"/>
            </w:tcBorders>
            <w:vAlign w:val="center"/>
          </w:tcPr>
          <w:p w14:paraId="13E9ACCD">
            <w:pPr>
              <w:widowControl/>
              <w:wordWrap w:val="0"/>
              <w:jc w:val="left"/>
              <w:rPr>
                <w:rFonts w:ascii="宋体" w:hAnsi="宋体" w:cs="宋体"/>
                <w:color w:val="auto"/>
                <w:kern w:val="0"/>
                <w:szCs w:val="21"/>
              </w:rPr>
            </w:pPr>
            <w:r>
              <w:rPr>
                <w:rFonts w:hint="eastAsia" w:ascii="宋体" w:hAnsi="宋体" w:cs="宋体"/>
                <w:color w:val="auto"/>
                <w:kern w:val="0"/>
                <w:szCs w:val="21"/>
              </w:rPr>
              <w:t>10≤X＜100</w:t>
            </w:r>
          </w:p>
        </w:tc>
        <w:tc>
          <w:tcPr>
            <w:tcW w:w="1105" w:type="dxa"/>
            <w:tcBorders>
              <w:top w:val="nil"/>
              <w:left w:val="nil"/>
              <w:bottom w:val="single" w:color="auto" w:sz="4" w:space="0"/>
              <w:right w:val="single" w:color="auto" w:sz="4" w:space="0"/>
            </w:tcBorders>
            <w:vAlign w:val="center"/>
          </w:tcPr>
          <w:p w14:paraId="4A353DC7">
            <w:pPr>
              <w:widowControl/>
              <w:wordWrap w:val="0"/>
              <w:jc w:val="left"/>
              <w:rPr>
                <w:rFonts w:ascii="宋体" w:hAnsi="宋体" w:cs="宋体"/>
                <w:color w:val="auto"/>
                <w:kern w:val="0"/>
                <w:szCs w:val="21"/>
              </w:rPr>
            </w:pPr>
            <w:r>
              <w:rPr>
                <w:rFonts w:hint="eastAsia" w:ascii="宋体" w:hAnsi="宋体" w:cs="宋体"/>
                <w:color w:val="auto"/>
                <w:kern w:val="0"/>
                <w:szCs w:val="21"/>
              </w:rPr>
              <w:t>X＜10</w:t>
            </w:r>
          </w:p>
        </w:tc>
      </w:tr>
      <w:tr w14:paraId="1DC8C86F">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0A6709A6">
            <w:pPr>
              <w:widowControl/>
              <w:wordWrap w:val="0"/>
              <w:jc w:val="left"/>
              <w:rPr>
                <w:rFonts w:ascii="宋体" w:hAnsi="宋体" w:cs="宋体"/>
                <w:b/>
                <w:bCs/>
                <w:color w:val="auto"/>
                <w:kern w:val="0"/>
                <w:szCs w:val="21"/>
              </w:rPr>
            </w:pPr>
          </w:p>
        </w:tc>
        <w:tc>
          <w:tcPr>
            <w:tcW w:w="1653" w:type="dxa"/>
            <w:tcBorders>
              <w:top w:val="nil"/>
              <w:left w:val="nil"/>
              <w:bottom w:val="single" w:color="auto" w:sz="4" w:space="0"/>
              <w:right w:val="single" w:color="auto" w:sz="4" w:space="0"/>
            </w:tcBorders>
            <w:vAlign w:val="center"/>
          </w:tcPr>
          <w:p w14:paraId="64B40FEE">
            <w:pPr>
              <w:widowControl/>
              <w:wordWrap w:val="0"/>
              <w:jc w:val="left"/>
              <w:rPr>
                <w:rFonts w:ascii="宋体" w:hAnsi="宋体" w:cs="宋体"/>
                <w:color w:val="auto"/>
                <w:kern w:val="0"/>
                <w:szCs w:val="21"/>
              </w:rPr>
            </w:pPr>
            <w:r>
              <w:rPr>
                <w:rFonts w:hint="eastAsia" w:ascii="宋体" w:hAnsi="宋体" w:cs="宋体"/>
                <w:color w:val="auto"/>
                <w:kern w:val="0"/>
                <w:szCs w:val="21"/>
              </w:rPr>
              <w:t>营业收入（Y）</w:t>
            </w:r>
          </w:p>
        </w:tc>
        <w:tc>
          <w:tcPr>
            <w:tcW w:w="1091" w:type="dxa"/>
            <w:tcBorders>
              <w:top w:val="nil"/>
              <w:left w:val="nil"/>
              <w:bottom w:val="single" w:color="auto" w:sz="4" w:space="0"/>
              <w:right w:val="single" w:color="auto" w:sz="4" w:space="0"/>
            </w:tcBorders>
            <w:vAlign w:val="center"/>
          </w:tcPr>
          <w:p w14:paraId="0698F1CA">
            <w:pPr>
              <w:widowControl/>
              <w:wordWrap w:val="0"/>
              <w:jc w:val="left"/>
              <w:rPr>
                <w:rFonts w:ascii="宋体" w:hAnsi="宋体" w:cs="宋体"/>
                <w:color w:val="auto"/>
                <w:kern w:val="0"/>
                <w:szCs w:val="21"/>
              </w:rPr>
            </w:pPr>
            <w:r>
              <w:rPr>
                <w:rFonts w:hint="eastAsia" w:ascii="宋体" w:hAnsi="宋体" w:cs="宋体"/>
                <w:color w:val="auto"/>
                <w:kern w:val="0"/>
                <w:szCs w:val="21"/>
              </w:rPr>
              <w:t>万元</w:t>
            </w:r>
          </w:p>
        </w:tc>
        <w:tc>
          <w:tcPr>
            <w:tcW w:w="1935" w:type="dxa"/>
            <w:tcBorders>
              <w:top w:val="nil"/>
              <w:left w:val="nil"/>
              <w:bottom w:val="single" w:color="auto" w:sz="4" w:space="0"/>
              <w:right w:val="single" w:color="auto" w:sz="4" w:space="0"/>
            </w:tcBorders>
            <w:vAlign w:val="center"/>
          </w:tcPr>
          <w:p w14:paraId="5D30F79C">
            <w:pPr>
              <w:widowControl/>
              <w:wordWrap w:val="0"/>
              <w:jc w:val="left"/>
              <w:rPr>
                <w:rFonts w:ascii="宋体" w:hAnsi="宋体" w:cs="宋体"/>
                <w:color w:val="auto"/>
                <w:kern w:val="0"/>
                <w:szCs w:val="21"/>
              </w:rPr>
            </w:pPr>
            <w:r>
              <w:rPr>
                <w:rFonts w:hint="eastAsia" w:ascii="宋体" w:hAnsi="宋体" w:cs="宋体"/>
                <w:color w:val="auto"/>
                <w:kern w:val="0"/>
                <w:szCs w:val="21"/>
              </w:rPr>
              <w:t>1000≤Y＜100000</w:t>
            </w:r>
          </w:p>
        </w:tc>
        <w:tc>
          <w:tcPr>
            <w:tcW w:w="1720" w:type="dxa"/>
            <w:tcBorders>
              <w:top w:val="nil"/>
              <w:left w:val="nil"/>
              <w:bottom w:val="single" w:color="auto" w:sz="4" w:space="0"/>
              <w:right w:val="single" w:color="auto" w:sz="4" w:space="0"/>
            </w:tcBorders>
            <w:vAlign w:val="center"/>
          </w:tcPr>
          <w:p w14:paraId="6DDFC37D">
            <w:pPr>
              <w:widowControl/>
              <w:wordWrap w:val="0"/>
              <w:jc w:val="left"/>
              <w:rPr>
                <w:rFonts w:ascii="宋体" w:hAnsi="宋体" w:cs="宋体"/>
                <w:color w:val="auto"/>
                <w:kern w:val="0"/>
                <w:szCs w:val="21"/>
              </w:rPr>
            </w:pPr>
            <w:r>
              <w:rPr>
                <w:rFonts w:hint="eastAsia" w:ascii="宋体" w:hAnsi="宋体" w:cs="宋体"/>
                <w:color w:val="auto"/>
                <w:kern w:val="0"/>
                <w:szCs w:val="21"/>
              </w:rPr>
              <w:t>100≤Y＜1000</w:t>
            </w:r>
          </w:p>
        </w:tc>
        <w:tc>
          <w:tcPr>
            <w:tcW w:w="1105" w:type="dxa"/>
            <w:tcBorders>
              <w:top w:val="nil"/>
              <w:left w:val="nil"/>
              <w:bottom w:val="single" w:color="auto" w:sz="4" w:space="0"/>
              <w:right w:val="single" w:color="auto" w:sz="4" w:space="0"/>
            </w:tcBorders>
            <w:vAlign w:val="center"/>
          </w:tcPr>
          <w:p w14:paraId="1CB76DAB">
            <w:pPr>
              <w:widowControl/>
              <w:wordWrap w:val="0"/>
              <w:jc w:val="left"/>
              <w:rPr>
                <w:rFonts w:ascii="宋体" w:hAnsi="宋体" w:cs="宋体"/>
                <w:color w:val="auto"/>
                <w:kern w:val="0"/>
                <w:szCs w:val="21"/>
              </w:rPr>
            </w:pPr>
            <w:r>
              <w:rPr>
                <w:rFonts w:hint="eastAsia" w:ascii="宋体" w:hAnsi="宋体" w:cs="宋体"/>
                <w:color w:val="auto"/>
                <w:kern w:val="0"/>
                <w:szCs w:val="21"/>
              </w:rPr>
              <w:t>Y＜100</w:t>
            </w:r>
          </w:p>
        </w:tc>
      </w:tr>
      <w:tr w14:paraId="7908CA41">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21919272">
            <w:pPr>
              <w:widowControl/>
              <w:wordWrap w:val="0"/>
              <w:jc w:val="center"/>
              <w:rPr>
                <w:rFonts w:ascii="宋体" w:hAnsi="宋体" w:cs="宋体"/>
                <w:b/>
                <w:bCs/>
                <w:color w:val="auto"/>
                <w:kern w:val="0"/>
                <w:szCs w:val="21"/>
              </w:rPr>
            </w:pPr>
            <w:r>
              <w:rPr>
                <w:rFonts w:hint="eastAsia" w:ascii="宋体" w:hAnsi="宋体" w:cs="宋体"/>
                <w:b/>
                <w:bCs/>
                <w:color w:val="auto"/>
                <w:kern w:val="0"/>
                <w:szCs w:val="21"/>
              </w:rPr>
              <w:t>软件和信息技术服务业</w:t>
            </w:r>
          </w:p>
        </w:tc>
        <w:tc>
          <w:tcPr>
            <w:tcW w:w="1653" w:type="dxa"/>
            <w:tcBorders>
              <w:top w:val="nil"/>
              <w:left w:val="nil"/>
              <w:bottom w:val="single" w:color="auto" w:sz="4" w:space="0"/>
              <w:right w:val="single" w:color="auto" w:sz="4" w:space="0"/>
            </w:tcBorders>
            <w:vAlign w:val="center"/>
          </w:tcPr>
          <w:p w14:paraId="06617FC6">
            <w:pPr>
              <w:widowControl/>
              <w:wordWrap w:val="0"/>
              <w:jc w:val="left"/>
              <w:rPr>
                <w:rFonts w:ascii="宋体" w:hAnsi="宋体" w:cs="宋体"/>
                <w:color w:val="auto"/>
                <w:kern w:val="0"/>
                <w:szCs w:val="21"/>
              </w:rPr>
            </w:pPr>
            <w:r>
              <w:rPr>
                <w:rFonts w:hint="eastAsia" w:ascii="宋体" w:hAnsi="宋体" w:cs="宋体"/>
                <w:color w:val="auto"/>
                <w:kern w:val="0"/>
                <w:szCs w:val="21"/>
              </w:rPr>
              <w:t>从业人员（X）</w:t>
            </w:r>
          </w:p>
        </w:tc>
        <w:tc>
          <w:tcPr>
            <w:tcW w:w="1091" w:type="dxa"/>
            <w:tcBorders>
              <w:top w:val="nil"/>
              <w:left w:val="nil"/>
              <w:bottom w:val="single" w:color="auto" w:sz="4" w:space="0"/>
              <w:right w:val="single" w:color="auto" w:sz="4" w:space="0"/>
            </w:tcBorders>
            <w:vAlign w:val="center"/>
          </w:tcPr>
          <w:p w14:paraId="5F1B7B9F">
            <w:pPr>
              <w:widowControl/>
              <w:wordWrap w:val="0"/>
              <w:jc w:val="left"/>
              <w:rPr>
                <w:rFonts w:ascii="宋体" w:hAnsi="宋体" w:cs="宋体"/>
                <w:color w:val="auto"/>
                <w:kern w:val="0"/>
                <w:szCs w:val="21"/>
              </w:rPr>
            </w:pPr>
            <w:r>
              <w:rPr>
                <w:rFonts w:hint="eastAsia" w:ascii="宋体" w:hAnsi="宋体" w:cs="宋体"/>
                <w:color w:val="auto"/>
                <w:kern w:val="0"/>
                <w:szCs w:val="21"/>
              </w:rPr>
              <w:t>人</w:t>
            </w:r>
          </w:p>
        </w:tc>
        <w:tc>
          <w:tcPr>
            <w:tcW w:w="1935" w:type="dxa"/>
            <w:tcBorders>
              <w:top w:val="nil"/>
              <w:left w:val="nil"/>
              <w:bottom w:val="single" w:color="auto" w:sz="4" w:space="0"/>
              <w:right w:val="single" w:color="auto" w:sz="4" w:space="0"/>
            </w:tcBorders>
            <w:vAlign w:val="center"/>
          </w:tcPr>
          <w:p w14:paraId="2FF45D19">
            <w:pPr>
              <w:widowControl/>
              <w:wordWrap w:val="0"/>
              <w:jc w:val="left"/>
              <w:rPr>
                <w:rFonts w:ascii="宋体" w:hAnsi="宋体" w:cs="宋体"/>
                <w:color w:val="auto"/>
                <w:kern w:val="0"/>
                <w:szCs w:val="21"/>
              </w:rPr>
            </w:pPr>
            <w:r>
              <w:rPr>
                <w:rFonts w:hint="eastAsia" w:ascii="宋体" w:hAnsi="宋体" w:cs="宋体"/>
                <w:color w:val="auto"/>
                <w:kern w:val="0"/>
                <w:szCs w:val="21"/>
              </w:rPr>
              <w:t>100≤X＜300</w:t>
            </w:r>
          </w:p>
        </w:tc>
        <w:tc>
          <w:tcPr>
            <w:tcW w:w="1720" w:type="dxa"/>
            <w:tcBorders>
              <w:top w:val="nil"/>
              <w:left w:val="nil"/>
              <w:bottom w:val="single" w:color="auto" w:sz="4" w:space="0"/>
              <w:right w:val="single" w:color="auto" w:sz="4" w:space="0"/>
            </w:tcBorders>
            <w:vAlign w:val="center"/>
          </w:tcPr>
          <w:p w14:paraId="5F531A28">
            <w:pPr>
              <w:widowControl/>
              <w:wordWrap w:val="0"/>
              <w:jc w:val="left"/>
              <w:rPr>
                <w:rFonts w:ascii="宋体" w:hAnsi="宋体" w:cs="宋体"/>
                <w:color w:val="auto"/>
                <w:kern w:val="0"/>
                <w:szCs w:val="21"/>
              </w:rPr>
            </w:pPr>
            <w:r>
              <w:rPr>
                <w:rFonts w:hint="eastAsia" w:ascii="宋体" w:hAnsi="宋体" w:cs="宋体"/>
                <w:color w:val="auto"/>
                <w:kern w:val="0"/>
                <w:szCs w:val="21"/>
              </w:rPr>
              <w:t>10≤X＜100</w:t>
            </w:r>
          </w:p>
        </w:tc>
        <w:tc>
          <w:tcPr>
            <w:tcW w:w="1105" w:type="dxa"/>
            <w:tcBorders>
              <w:top w:val="nil"/>
              <w:left w:val="nil"/>
              <w:bottom w:val="single" w:color="auto" w:sz="4" w:space="0"/>
              <w:right w:val="single" w:color="auto" w:sz="4" w:space="0"/>
            </w:tcBorders>
            <w:vAlign w:val="center"/>
          </w:tcPr>
          <w:p w14:paraId="7AAC8264">
            <w:pPr>
              <w:widowControl/>
              <w:wordWrap w:val="0"/>
              <w:jc w:val="left"/>
              <w:rPr>
                <w:rFonts w:ascii="宋体" w:hAnsi="宋体" w:cs="宋体"/>
                <w:color w:val="auto"/>
                <w:kern w:val="0"/>
                <w:szCs w:val="21"/>
              </w:rPr>
            </w:pPr>
            <w:r>
              <w:rPr>
                <w:rFonts w:hint="eastAsia" w:ascii="宋体" w:hAnsi="宋体" w:cs="宋体"/>
                <w:color w:val="auto"/>
                <w:kern w:val="0"/>
                <w:szCs w:val="21"/>
              </w:rPr>
              <w:t>X＜10</w:t>
            </w:r>
          </w:p>
        </w:tc>
      </w:tr>
      <w:tr w14:paraId="29F58FF3">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4F3F859C">
            <w:pPr>
              <w:widowControl/>
              <w:wordWrap w:val="0"/>
              <w:jc w:val="left"/>
              <w:rPr>
                <w:rFonts w:ascii="宋体" w:hAnsi="宋体" w:cs="宋体"/>
                <w:b/>
                <w:bCs/>
                <w:color w:val="auto"/>
                <w:kern w:val="0"/>
                <w:szCs w:val="21"/>
              </w:rPr>
            </w:pPr>
          </w:p>
        </w:tc>
        <w:tc>
          <w:tcPr>
            <w:tcW w:w="1653" w:type="dxa"/>
            <w:tcBorders>
              <w:top w:val="nil"/>
              <w:left w:val="nil"/>
              <w:bottom w:val="single" w:color="auto" w:sz="4" w:space="0"/>
              <w:right w:val="single" w:color="auto" w:sz="4" w:space="0"/>
            </w:tcBorders>
            <w:vAlign w:val="center"/>
          </w:tcPr>
          <w:p w14:paraId="4C0005C4">
            <w:pPr>
              <w:widowControl/>
              <w:wordWrap w:val="0"/>
              <w:jc w:val="left"/>
              <w:rPr>
                <w:rFonts w:ascii="宋体" w:hAnsi="宋体" w:cs="宋体"/>
                <w:color w:val="auto"/>
                <w:kern w:val="0"/>
                <w:szCs w:val="21"/>
              </w:rPr>
            </w:pPr>
            <w:r>
              <w:rPr>
                <w:rFonts w:hint="eastAsia" w:ascii="宋体" w:hAnsi="宋体" w:cs="宋体"/>
                <w:color w:val="auto"/>
                <w:kern w:val="0"/>
                <w:szCs w:val="21"/>
              </w:rPr>
              <w:t>营业收入（Y）</w:t>
            </w:r>
          </w:p>
        </w:tc>
        <w:tc>
          <w:tcPr>
            <w:tcW w:w="1091" w:type="dxa"/>
            <w:tcBorders>
              <w:top w:val="nil"/>
              <w:left w:val="nil"/>
              <w:bottom w:val="single" w:color="auto" w:sz="4" w:space="0"/>
              <w:right w:val="single" w:color="auto" w:sz="4" w:space="0"/>
            </w:tcBorders>
            <w:vAlign w:val="center"/>
          </w:tcPr>
          <w:p w14:paraId="5D9D8523">
            <w:pPr>
              <w:widowControl/>
              <w:wordWrap w:val="0"/>
              <w:jc w:val="left"/>
              <w:rPr>
                <w:rFonts w:ascii="宋体" w:hAnsi="宋体" w:cs="宋体"/>
                <w:color w:val="auto"/>
                <w:kern w:val="0"/>
                <w:szCs w:val="21"/>
              </w:rPr>
            </w:pPr>
            <w:r>
              <w:rPr>
                <w:rFonts w:hint="eastAsia" w:ascii="宋体" w:hAnsi="宋体" w:cs="宋体"/>
                <w:color w:val="auto"/>
                <w:kern w:val="0"/>
                <w:szCs w:val="21"/>
              </w:rPr>
              <w:t>万元</w:t>
            </w:r>
          </w:p>
        </w:tc>
        <w:tc>
          <w:tcPr>
            <w:tcW w:w="1935" w:type="dxa"/>
            <w:tcBorders>
              <w:top w:val="nil"/>
              <w:left w:val="nil"/>
              <w:bottom w:val="single" w:color="auto" w:sz="4" w:space="0"/>
              <w:right w:val="single" w:color="auto" w:sz="4" w:space="0"/>
            </w:tcBorders>
            <w:vAlign w:val="center"/>
          </w:tcPr>
          <w:p w14:paraId="4457D85B">
            <w:pPr>
              <w:widowControl/>
              <w:wordWrap w:val="0"/>
              <w:jc w:val="left"/>
              <w:rPr>
                <w:rFonts w:ascii="宋体" w:hAnsi="宋体" w:cs="宋体"/>
                <w:color w:val="auto"/>
                <w:kern w:val="0"/>
                <w:szCs w:val="21"/>
              </w:rPr>
            </w:pPr>
            <w:r>
              <w:rPr>
                <w:rFonts w:hint="eastAsia" w:ascii="宋体" w:hAnsi="宋体" w:cs="宋体"/>
                <w:color w:val="auto"/>
                <w:kern w:val="0"/>
                <w:szCs w:val="21"/>
              </w:rPr>
              <w:t>1000≤Y＜10000</w:t>
            </w:r>
          </w:p>
        </w:tc>
        <w:tc>
          <w:tcPr>
            <w:tcW w:w="1720" w:type="dxa"/>
            <w:tcBorders>
              <w:top w:val="nil"/>
              <w:left w:val="nil"/>
              <w:bottom w:val="single" w:color="auto" w:sz="4" w:space="0"/>
              <w:right w:val="single" w:color="auto" w:sz="4" w:space="0"/>
            </w:tcBorders>
            <w:vAlign w:val="center"/>
          </w:tcPr>
          <w:p w14:paraId="5BF5367F">
            <w:pPr>
              <w:widowControl/>
              <w:wordWrap w:val="0"/>
              <w:jc w:val="left"/>
              <w:rPr>
                <w:rFonts w:ascii="宋体" w:hAnsi="宋体" w:cs="宋体"/>
                <w:color w:val="auto"/>
                <w:kern w:val="0"/>
                <w:szCs w:val="21"/>
              </w:rPr>
            </w:pPr>
            <w:r>
              <w:rPr>
                <w:rFonts w:hint="eastAsia" w:ascii="宋体" w:hAnsi="宋体" w:cs="宋体"/>
                <w:color w:val="auto"/>
                <w:kern w:val="0"/>
                <w:szCs w:val="21"/>
              </w:rPr>
              <w:t>50≤Y＜1000</w:t>
            </w:r>
          </w:p>
        </w:tc>
        <w:tc>
          <w:tcPr>
            <w:tcW w:w="1105" w:type="dxa"/>
            <w:tcBorders>
              <w:top w:val="nil"/>
              <w:left w:val="nil"/>
              <w:bottom w:val="single" w:color="auto" w:sz="4" w:space="0"/>
              <w:right w:val="single" w:color="auto" w:sz="4" w:space="0"/>
            </w:tcBorders>
            <w:vAlign w:val="center"/>
          </w:tcPr>
          <w:p w14:paraId="73C73EA6">
            <w:pPr>
              <w:widowControl/>
              <w:wordWrap w:val="0"/>
              <w:jc w:val="left"/>
              <w:rPr>
                <w:rFonts w:ascii="宋体" w:hAnsi="宋体" w:cs="宋体"/>
                <w:color w:val="auto"/>
                <w:kern w:val="0"/>
                <w:szCs w:val="21"/>
              </w:rPr>
            </w:pPr>
            <w:r>
              <w:rPr>
                <w:rFonts w:hint="eastAsia" w:ascii="宋体" w:hAnsi="宋体" w:cs="宋体"/>
                <w:color w:val="auto"/>
                <w:kern w:val="0"/>
                <w:szCs w:val="21"/>
              </w:rPr>
              <w:t>Y＜50</w:t>
            </w:r>
          </w:p>
        </w:tc>
      </w:tr>
      <w:tr w14:paraId="309F3E20">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1A7371BC">
            <w:pPr>
              <w:widowControl/>
              <w:wordWrap w:val="0"/>
              <w:jc w:val="center"/>
              <w:rPr>
                <w:rFonts w:ascii="宋体" w:hAnsi="宋体" w:cs="宋体"/>
                <w:b/>
                <w:bCs/>
                <w:color w:val="auto"/>
                <w:kern w:val="0"/>
                <w:szCs w:val="21"/>
              </w:rPr>
            </w:pPr>
            <w:r>
              <w:rPr>
                <w:rFonts w:hint="eastAsia" w:ascii="宋体" w:hAnsi="宋体" w:cs="宋体"/>
                <w:b/>
                <w:bCs/>
                <w:color w:val="auto"/>
                <w:kern w:val="0"/>
                <w:szCs w:val="21"/>
              </w:rPr>
              <w:t>房地产开发经营</w:t>
            </w:r>
          </w:p>
        </w:tc>
        <w:tc>
          <w:tcPr>
            <w:tcW w:w="1653" w:type="dxa"/>
            <w:tcBorders>
              <w:top w:val="nil"/>
              <w:left w:val="nil"/>
              <w:bottom w:val="single" w:color="auto" w:sz="4" w:space="0"/>
              <w:right w:val="single" w:color="auto" w:sz="4" w:space="0"/>
            </w:tcBorders>
            <w:vAlign w:val="center"/>
          </w:tcPr>
          <w:p w14:paraId="43C92DAA">
            <w:pPr>
              <w:widowControl/>
              <w:wordWrap w:val="0"/>
              <w:jc w:val="left"/>
              <w:rPr>
                <w:rFonts w:ascii="宋体" w:hAnsi="宋体" w:cs="宋体"/>
                <w:color w:val="auto"/>
                <w:kern w:val="0"/>
                <w:szCs w:val="21"/>
              </w:rPr>
            </w:pPr>
            <w:r>
              <w:rPr>
                <w:rFonts w:hint="eastAsia" w:ascii="宋体" w:hAnsi="宋体" w:cs="宋体"/>
                <w:color w:val="auto"/>
                <w:kern w:val="0"/>
                <w:szCs w:val="21"/>
              </w:rPr>
              <w:t>营业收入（Y）</w:t>
            </w:r>
          </w:p>
        </w:tc>
        <w:tc>
          <w:tcPr>
            <w:tcW w:w="1091" w:type="dxa"/>
            <w:tcBorders>
              <w:top w:val="nil"/>
              <w:left w:val="nil"/>
              <w:bottom w:val="single" w:color="auto" w:sz="4" w:space="0"/>
              <w:right w:val="single" w:color="auto" w:sz="4" w:space="0"/>
            </w:tcBorders>
            <w:vAlign w:val="center"/>
          </w:tcPr>
          <w:p w14:paraId="454156F4">
            <w:pPr>
              <w:widowControl/>
              <w:wordWrap w:val="0"/>
              <w:jc w:val="left"/>
              <w:rPr>
                <w:rFonts w:ascii="宋体" w:hAnsi="宋体" w:cs="宋体"/>
                <w:color w:val="auto"/>
                <w:kern w:val="0"/>
                <w:szCs w:val="21"/>
              </w:rPr>
            </w:pPr>
            <w:r>
              <w:rPr>
                <w:rFonts w:hint="eastAsia" w:ascii="宋体" w:hAnsi="宋体" w:cs="宋体"/>
                <w:color w:val="auto"/>
                <w:kern w:val="0"/>
                <w:szCs w:val="21"/>
              </w:rPr>
              <w:t>万元</w:t>
            </w:r>
          </w:p>
        </w:tc>
        <w:tc>
          <w:tcPr>
            <w:tcW w:w="1935" w:type="dxa"/>
            <w:tcBorders>
              <w:top w:val="nil"/>
              <w:left w:val="nil"/>
              <w:bottom w:val="single" w:color="auto" w:sz="4" w:space="0"/>
              <w:right w:val="single" w:color="auto" w:sz="4" w:space="0"/>
            </w:tcBorders>
            <w:vAlign w:val="center"/>
          </w:tcPr>
          <w:p w14:paraId="53BD051C">
            <w:pPr>
              <w:widowControl/>
              <w:wordWrap w:val="0"/>
              <w:jc w:val="left"/>
              <w:rPr>
                <w:rFonts w:ascii="宋体" w:hAnsi="宋体" w:cs="宋体"/>
                <w:color w:val="auto"/>
                <w:kern w:val="0"/>
                <w:szCs w:val="21"/>
              </w:rPr>
            </w:pPr>
            <w:r>
              <w:rPr>
                <w:rFonts w:hint="eastAsia" w:ascii="宋体" w:hAnsi="宋体" w:cs="宋体"/>
                <w:color w:val="auto"/>
                <w:kern w:val="0"/>
                <w:szCs w:val="21"/>
              </w:rPr>
              <w:t>1000≤Y＜200000</w:t>
            </w:r>
          </w:p>
        </w:tc>
        <w:tc>
          <w:tcPr>
            <w:tcW w:w="1720" w:type="dxa"/>
            <w:tcBorders>
              <w:top w:val="nil"/>
              <w:left w:val="nil"/>
              <w:bottom w:val="single" w:color="auto" w:sz="4" w:space="0"/>
              <w:right w:val="single" w:color="auto" w:sz="4" w:space="0"/>
            </w:tcBorders>
            <w:vAlign w:val="center"/>
          </w:tcPr>
          <w:p w14:paraId="245C6A6C">
            <w:pPr>
              <w:widowControl/>
              <w:wordWrap w:val="0"/>
              <w:jc w:val="left"/>
              <w:rPr>
                <w:rFonts w:ascii="宋体" w:hAnsi="宋体" w:cs="宋体"/>
                <w:color w:val="auto"/>
                <w:kern w:val="0"/>
                <w:szCs w:val="21"/>
              </w:rPr>
            </w:pPr>
            <w:r>
              <w:rPr>
                <w:rFonts w:hint="eastAsia" w:ascii="宋体" w:hAnsi="宋体" w:cs="宋体"/>
                <w:color w:val="auto"/>
                <w:kern w:val="0"/>
                <w:szCs w:val="21"/>
              </w:rPr>
              <w:t>100≤X＜1000</w:t>
            </w:r>
          </w:p>
        </w:tc>
        <w:tc>
          <w:tcPr>
            <w:tcW w:w="1105" w:type="dxa"/>
            <w:tcBorders>
              <w:top w:val="nil"/>
              <w:left w:val="nil"/>
              <w:bottom w:val="single" w:color="auto" w:sz="4" w:space="0"/>
              <w:right w:val="single" w:color="auto" w:sz="4" w:space="0"/>
            </w:tcBorders>
            <w:vAlign w:val="center"/>
          </w:tcPr>
          <w:p w14:paraId="0000F90D">
            <w:pPr>
              <w:widowControl/>
              <w:wordWrap w:val="0"/>
              <w:jc w:val="left"/>
              <w:rPr>
                <w:rFonts w:ascii="宋体" w:hAnsi="宋体" w:cs="宋体"/>
                <w:color w:val="auto"/>
                <w:kern w:val="0"/>
                <w:szCs w:val="21"/>
              </w:rPr>
            </w:pPr>
            <w:r>
              <w:rPr>
                <w:rFonts w:hint="eastAsia" w:ascii="宋体" w:hAnsi="宋体" w:cs="宋体"/>
                <w:color w:val="auto"/>
                <w:kern w:val="0"/>
                <w:szCs w:val="21"/>
              </w:rPr>
              <w:t>X＜100</w:t>
            </w:r>
          </w:p>
        </w:tc>
      </w:tr>
      <w:tr w14:paraId="2F0EFF58">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6D7ADE90">
            <w:pPr>
              <w:widowControl/>
              <w:wordWrap w:val="0"/>
              <w:jc w:val="left"/>
              <w:rPr>
                <w:rFonts w:ascii="宋体" w:hAnsi="宋体" w:cs="宋体"/>
                <w:b/>
                <w:bCs/>
                <w:color w:val="auto"/>
                <w:kern w:val="0"/>
                <w:szCs w:val="21"/>
              </w:rPr>
            </w:pPr>
          </w:p>
        </w:tc>
        <w:tc>
          <w:tcPr>
            <w:tcW w:w="1653" w:type="dxa"/>
            <w:tcBorders>
              <w:top w:val="nil"/>
              <w:left w:val="nil"/>
              <w:bottom w:val="single" w:color="auto" w:sz="4" w:space="0"/>
              <w:right w:val="single" w:color="auto" w:sz="4" w:space="0"/>
            </w:tcBorders>
            <w:vAlign w:val="center"/>
          </w:tcPr>
          <w:p w14:paraId="2FF72635">
            <w:pPr>
              <w:widowControl/>
              <w:wordWrap w:val="0"/>
              <w:jc w:val="left"/>
              <w:rPr>
                <w:rFonts w:ascii="宋体" w:hAnsi="宋体" w:cs="宋体"/>
                <w:color w:val="auto"/>
                <w:kern w:val="0"/>
                <w:szCs w:val="21"/>
              </w:rPr>
            </w:pPr>
            <w:r>
              <w:rPr>
                <w:rFonts w:hint="eastAsia" w:ascii="宋体" w:hAnsi="宋体" w:cs="宋体"/>
                <w:color w:val="auto"/>
                <w:kern w:val="0"/>
                <w:szCs w:val="21"/>
              </w:rPr>
              <w:t>资产总额（Z）</w:t>
            </w:r>
          </w:p>
        </w:tc>
        <w:tc>
          <w:tcPr>
            <w:tcW w:w="1091" w:type="dxa"/>
            <w:tcBorders>
              <w:top w:val="nil"/>
              <w:left w:val="nil"/>
              <w:bottom w:val="single" w:color="auto" w:sz="4" w:space="0"/>
              <w:right w:val="single" w:color="auto" w:sz="4" w:space="0"/>
            </w:tcBorders>
            <w:vAlign w:val="center"/>
          </w:tcPr>
          <w:p w14:paraId="0A357D35">
            <w:pPr>
              <w:widowControl/>
              <w:wordWrap w:val="0"/>
              <w:jc w:val="left"/>
              <w:rPr>
                <w:rFonts w:ascii="宋体" w:hAnsi="宋体" w:cs="宋体"/>
                <w:color w:val="auto"/>
                <w:kern w:val="0"/>
                <w:szCs w:val="21"/>
              </w:rPr>
            </w:pPr>
            <w:r>
              <w:rPr>
                <w:rFonts w:hint="eastAsia" w:ascii="宋体" w:hAnsi="宋体" w:cs="宋体"/>
                <w:color w:val="auto"/>
                <w:kern w:val="0"/>
                <w:szCs w:val="21"/>
              </w:rPr>
              <w:t>万元</w:t>
            </w:r>
          </w:p>
        </w:tc>
        <w:tc>
          <w:tcPr>
            <w:tcW w:w="1935" w:type="dxa"/>
            <w:tcBorders>
              <w:top w:val="nil"/>
              <w:left w:val="nil"/>
              <w:bottom w:val="single" w:color="auto" w:sz="4" w:space="0"/>
              <w:right w:val="single" w:color="auto" w:sz="4" w:space="0"/>
            </w:tcBorders>
            <w:vAlign w:val="center"/>
          </w:tcPr>
          <w:p w14:paraId="51B3CE2F">
            <w:pPr>
              <w:widowControl/>
              <w:wordWrap w:val="0"/>
              <w:jc w:val="left"/>
              <w:rPr>
                <w:rFonts w:ascii="宋体" w:hAnsi="宋体" w:cs="宋体"/>
                <w:color w:val="auto"/>
                <w:kern w:val="0"/>
                <w:szCs w:val="21"/>
              </w:rPr>
            </w:pPr>
            <w:r>
              <w:rPr>
                <w:rFonts w:hint="eastAsia" w:ascii="宋体" w:hAnsi="宋体" w:cs="宋体"/>
                <w:color w:val="auto"/>
                <w:kern w:val="0"/>
                <w:szCs w:val="21"/>
              </w:rPr>
              <w:t>5000≤Z＜10000</w:t>
            </w:r>
          </w:p>
        </w:tc>
        <w:tc>
          <w:tcPr>
            <w:tcW w:w="1720" w:type="dxa"/>
            <w:tcBorders>
              <w:top w:val="nil"/>
              <w:left w:val="nil"/>
              <w:bottom w:val="single" w:color="auto" w:sz="4" w:space="0"/>
              <w:right w:val="single" w:color="auto" w:sz="4" w:space="0"/>
            </w:tcBorders>
            <w:vAlign w:val="center"/>
          </w:tcPr>
          <w:p w14:paraId="6CC6280D">
            <w:pPr>
              <w:widowControl/>
              <w:wordWrap w:val="0"/>
              <w:jc w:val="left"/>
              <w:rPr>
                <w:rFonts w:ascii="宋体" w:hAnsi="宋体" w:cs="宋体"/>
                <w:color w:val="auto"/>
                <w:kern w:val="0"/>
                <w:szCs w:val="21"/>
              </w:rPr>
            </w:pPr>
            <w:r>
              <w:rPr>
                <w:rFonts w:hint="eastAsia" w:ascii="宋体" w:hAnsi="宋体" w:cs="宋体"/>
                <w:color w:val="auto"/>
                <w:kern w:val="0"/>
                <w:szCs w:val="21"/>
              </w:rPr>
              <w:t>2000≤Y＜5000</w:t>
            </w:r>
          </w:p>
        </w:tc>
        <w:tc>
          <w:tcPr>
            <w:tcW w:w="1105" w:type="dxa"/>
            <w:tcBorders>
              <w:top w:val="nil"/>
              <w:left w:val="nil"/>
              <w:bottom w:val="single" w:color="auto" w:sz="4" w:space="0"/>
              <w:right w:val="single" w:color="auto" w:sz="4" w:space="0"/>
            </w:tcBorders>
            <w:vAlign w:val="center"/>
          </w:tcPr>
          <w:p w14:paraId="7EC8D9DE">
            <w:pPr>
              <w:widowControl/>
              <w:wordWrap w:val="0"/>
              <w:jc w:val="left"/>
              <w:rPr>
                <w:rFonts w:ascii="宋体" w:hAnsi="宋体" w:cs="宋体"/>
                <w:color w:val="auto"/>
                <w:kern w:val="0"/>
                <w:szCs w:val="21"/>
              </w:rPr>
            </w:pPr>
            <w:r>
              <w:rPr>
                <w:rFonts w:hint="eastAsia" w:ascii="宋体" w:hAnsi="宋体" w:cs="宋体"/>
                <w:color w:val="auto"/>
                <w:kern w:val="0"/>
                <w:szCs w:val="21"/>
              </w:rPr>
              <w:t>Y＜2000</w:t>
            </w:r>
          </w:p>
        </w:tc>
      </w:tr>
      <w:tr w14:paraId="1F3EF639">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54101D1A">
            <w:pPr>
              <w:widowControl/>
              <w:wordWrap w:val="0"/>
              <w:jc w:val="center"/>
              <w:rPr>
                <w:rFonts w:ascii="宋体" w:hAnsi="宋体" w:cs="宋体"/>
                <w:b/>
                <w:bCs/>
                <w:color w:val="auto"/>
                <w:kern w:val="0"/>
                <w:szCs w:val="21"/>
              </w:rPr>
            </w:pPr>
            <w:r>
              <w:rPr>
                <w:rFonts w:hint="eastAsia" w:ascii="宋体" w:hAnsi="宋体" w:cs="宋体"/>
                <w:b/>
                <w:bCs/>
                <w:color w:val="auto"/>
                <w:kern w:val="0"/>
                <w:szCs w:val="21"/>
              </w:rPr>
              <w:t>物业管理</w:t>
            </w:r>
          </w:p>
        </w:tc>
        <w:tc>
          <w:tcPr>
            <w:tcW w:w="1653" w:type="dxa"/>
            <w:tcBorders>
              <w:top w:val="nil"/>
              <w:left w:val="nil"/>
              <w:bottom w:val="single" w:color="auto" w:sz="4" w:space="0"/>
              <w:right w:val="single" w:color="auto" w:sz="4" w:space="0"/>
            </w:tcBorders>
            <w:vAlign w:val="center"/>
          </w:tcPr>
          <w:p w14:paraId="5D242459">
            <w:pPr>
              <w:widowControl/>
              <w:wordWrap w:val="0"/>
              <w:jc w:val="left"/>
              <w:rPr>
                <w:rFonts w:ascii="宋体" w:hAnsi="宋体" w:cs="宋体"/>
                <w:color w:val="auto"/>
                <w:kern w:val="0"/>
                <w:szCs w:val="21"/>
              </w:rPr>
            </w:pPr>
            <w:r>
              <w:rPr>
                <w:rFonts w:hint="eastAsia" w:ascii="宋体" w:hAnsi="宋体" w:cs="宋体"/>
                <w:color w:val="auto"/>
                <w:kern w:val="0"/>
                <w:szCs w:val="21"/>
              </w:rPr>
              <w:t>从业人员（X）</w:t>
            </w:r>
          </w:p>
        </w:tc>
        <w:tc>
          <w:tcPr>
            <w:tcW w:w="1091" w:type="dxa"/>
            <w:tcBorders>
              <w:top w:val="nil"/>
              <w:left w:val="nil"/>
              <w:bottom w:val="single" w:color="auto" w:sz="4" w:space="0"/>
              <w:right w:val="single" w:color="auto" w:sz="4" w:space="0"/>
            </w:tcBorders>
            <w:vAlign w:val="center"/>
          </w:tcPr>
          <w:p w14:paraId="5057CAEC">
            <w:pPr>
              <w:widowControl/>
              <w:wordWrap w:val="0"/>
              <w:jc w:val="left"/>
              <w:rPr>
                <w:rFonts w:ascii="宋体" w:hAnsi="宋体" w:cs="宋体"/>
                <w:color w:val="auto"/>
                <w:kern w:val="0"/>
                <w:szCs w:val="21"/>
              </w:rPr>
            </w:pPr>
            <w:r>
              <w:rPr>
                <w:rFonts w:hint="eastAsia" w:ascii="宋体" w:hAnsi="宋体" w:cs="宋体"/>
                <w:color w:val="auto"/>
                <w:kern w:val="0"/>
                <w:szCs w:val="21"/>
              </w:rPr>
              <w:t>人</w:t>
            </w:r>
          </w:p>
        </w:tc>
        <w:tc>
          <w:tcPr>
            <w:tcW w:w="1935" w:type="dxa"/>
            <w:tcBorders>
              <w:top w:val="nil"/>
              <w:left w:val="nil"/>
              <w:bottom w:val="single" w:color="auto" w:sz="4" w:space="0"/>
              <w:right w:val="single" w:color="auto" w:sz="4" w:space="0"/>
            </w:tcBorders>
            <w:vAlign w:val="center"/>
          </w:tcPr>
          <w:p w14:paraId="236FFB4D">
            <w:pPr>
              <w:widowControl/>
              <w:wordWrap w:val="0"/>
              <w:jc w:val="left"/>
              <w:rPr>
                <w:rFonts w:ascii="宋体" w:hAnsi="宋体" w:cs="宋体"/>
                <w:color w:val="auto"/>
                <w:kern w:val="0"/>
                <w:szCs w:val="21"/>
              </w:rPr>
            </w:pPr>
            <w:r>
              <w:rPr>
                <w:rFonts w:hint="eastAsia" w:ascii="宋体" w:hAnsi="宋体" w:cs="宋体"/>
                <w:color w:val="auto"/>
                <w:kern w:val="0"/>
                <w:szCs w:val="21"/>
              </w:rPr>
              <w:t>300≤X＜1000</w:t>
            </w:r>
          </w:p>
        </w:tc>
        <w:tc>
          <w:tcPr>
            <w:tcW w:w="1720" w:type="dxa"/>
            <w:tcBorders>
              <w:top w:val="nil"/>
              <w:left w:val="nil"/>
              <w:bottom w:val="single" w:color="auto" w:sz="4" w:space="0"/>
              <w:right w:val="single" w:color="auto" w:sz="4" w:space="0"/>
            </w:tcBorders>
            <w:vAlign w:val="center"/>
          </w:tcPr>
          <w:p w14:paraId="5D908418">
            <w:pPr>
              <w:widowControl/>
              <w:wordWrap w:val="0"/>
              <w:jc w:val="left"/>
              <w:rPr>
                <w:rFonts w:ascii="宋体" w:hAnsi="宋体" w:cs="宋体"/>
                <w:color w:val="auto"/>
                <w:kern w:val="0"/>
                <w:szCs w:val="21"/>
              </w:rPr>
            </w:pPr>
            <w:r>
              <w:rPr>
                <w:rFonts w:hint="eastAsia" w:ascii="宋体" w:hAnsi="宋体" w:cs="宋体"/>
                <w:color w:val="auto"/>
                <w:kern w:val="0"/>
                <w:szCs w:val="21"/>
              </w:rPr>
              <w:t>100≤X＜300</w:t>
            </w:r>
          </w:p>
        </w:tc>
        <w:tc>
          <w:tcPr>
            <w:tcW w:w="1105" w:type="dxa"/>
            <w:tcBorders>
              <w:top w:val="nil"/>
              <w:left w:val="nil"/>
              <w:bottom w:val="single" w:color="auto" w:sz="4" w:space="0"/>
              <w:right w:val="single" w:color="auto" w:sz="4" w:space="0"/>
            </w:tcBorders>
            <w:vAlign w:val="center"/>
          </w:tcPr>
          <w:p w14:paraId="6F66C117">
            <w:pPr>
              <w:widowControl/>
              <w:wordWrap w:val="0"/>
              <w:jc w:val="left"/>
              <w:rPr>
                <w:rFonts w:ascii="宋体" w:hAnsi="宋体" w:cs="宋体"/>
                <w:color w:val="auto"/>
                <w:kern w:val="0"/>
                <w:szCs w:val="21"/>
              </w:rPr>
            </w:pPr>
            <w:r>
              <w:rPr>
                <w:rFonts w:hint="eastAsia" w:ascii="宋体" w:hAnsi="宋体" w:cs="宋体"/>
                <w:color w:val="auto"/>
                <w:kern w:val="0"/>
                <w:szCs w:val="21"/>
              </w:rPr>
              <w:t>X＜100</w:t>
            </w:r>
          </w:p>
        </w:tc>
      </w:tr>
      <w:tr w14:paraId="6C599EC4">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2B08A7AD">
            <w:pPr>
              <w:widowControl/>
              <w:wordWrap w:val="0"/>
              <w:jc w:val="left"/>
              <w:rPr>
                <w:rFonts w:ascii="宋体" w:hAnsi="宋体" w:cs="宋体"/>
                <w:b/>
                <w:bCs/>
                <w:color w:val="auto"/>
                <w:kern w:val="0"/>
                <w:szCs w:val="21"/>
              </w:rPr>
            </w:pPr>
          </w:p>
        </w:tc>
        <w:tc>
          <w:tcPr>
            <w:tcW w:w="1653" w:type="dxa"/>
            <w:tcBorders>
              <w:top w:val="nil"/>
              <w:left w:val="nil"/>
              <w:bottom w:val="single" w:color="auto" w:sz="4" w:space="0"/>
              <w:right w:val="single" w:color="auto" w:sz="4" w:space="0"/>
            </w:tcBorders>
            <w:vAlign w:val="center"/>
          </w:tcPr>
          <w:p w14:paraId="2EDC0F5A">
            <w:pPr>
              <w:widowControl/>
              <w:wordWrap w:val="0"/>
              <w:jc w:val="left"/>
              <w:rPr>
                <w:rFonts w:ascii="宋体" w:hAnsi="宋体" w:cs="宋体"/>
                <w:color w:val="auto"/>
                <w:kern w:val="0"/>
                <w:szCs w:val="21"/>
              </w:rPr>
            </w:pPr>
            <w:r>
              <w:rPr>
                <w:rFonts w:hint="eastAsia" w:ascii="宋体" w:hAnsi="宋体" w:cs="宋体"/>
                <w:color w:val="auto"/>
                <w:kern w:val="0"/>
                <w:szCs w:val="21"/>
              </w:rPr>
              <w:t>营业收入（Y）</w:t>
            </w:r>
          </w:p>
        </w:tc>
        <w:tc>
          <w:tcPr>
            <w:tcW w:w="1091" w:type="dxa"/>
            <w:tcBorders>
              <w:top w:val="nil"/>
              <w:left w:val="nil"/>
              <w:bottom w:val="single" w:color="auto" w:sz="4" w:space="0"/>
              <w:right w:val="single" w:color="auto" w:sz="4" w:space="0"/>
            </w:tcBorders>
            <w:vAlign w:val="center"/>
          </w:tcPr>
          <w:p w14:paraId="58902F5A">
            <w:pPr>
              <w:widowControl/>
              <w:wordWrap w:val="0"/>
              <w:jc w:val="left"/>
              <w:rPr>
                <w:rFonts w:ascii="宋体" w:hAnsi="宋体" w:cs="宋体"/>
                <w:color w:val="auto"/>
                <w:kern w:val="0"/>
                <w:szCs w:val="21"/>
              </w:rPr>
            </w:pPr>
            <w:r>
              <w:rPr>
                <w:rFonts w:hint="eastAsia" w:ascii="宋体" w:hAnsi="宋体" w:cs="宋体"/>
                <w:color w:val="auto"/>
                <w:kern w:val="0"/>
                <w:szCs w:val="21"/>
              </w:rPr>
              <w:t>万元</w:t>
            </w:r>
          </w:p>
        </w:tc>
        <w:tc>
          <w:tcPr>
            <w:tcW w:w="1935" w:type="dxa"/>
            <w:tcBorders>
              <w:top w:val="nil"/>
              <w:left w:val="nil"/>
              <w:bottom w:val="single" w:color="auto" w:sz="4" w:space="0"/>
              <w:right w:val="single" w:color="auto" w:sz="4" w:space="0"/>
            </w:tcBorders>
            <w:vAlign w:val="center"/>
          </w:tcPr>
          <w:p w14:paraId="728936CD">
            <w:pPr>
              <w:widowControl/>
              <w:wordWrap w:val="0"/>
              <w:jc w:val="left"/>
              <w:rPr>
                <w:rFonts w:ascii="宋体" w:hAnsi="宋体" w:cs="宋体"/>
                <w:color w:val="auto"/>
                <w:kern w:val="0"/>
                <w:szCs w:val="21"/>
              </w:rPr>
            </w:pPr>
            <w:r>
              <w:rPr>
                <w:rFonts w:hint="eastAsia" w:ascii="宋体" w:hAnsi="宋体" w:cs="宋体"/>
                <w:color w:val="auto"/>
                <w:kern w:val="0"/>
                <w:szCs w:val="21"/>
              </w:rPr>
              <w:t>1000≤Y＜5000</w:t>
            </w:r>
          </w:p>
        </w:tc>
        <w:tc>
          <w:tcPr>
            <w:tcW w:w="1720" w:type="dxa"/>
            <w:tcBorders>
              <w:top w:val="nil"/>
              <w:left w:val="nil"/>
              <w:bottom w:val="single" w:color="auto" w:sz="4" w:space="0"/>
              <w:right w:val="single" w:color="auto" w:sz="4" w:space="0"/>
            </w:tcBorders>
            <w:vAlign w:val="center"/>
          </w:tcPr>
          <w:p w14:paraId="13A40450">
            <w:pPr>
              <w:widowControl/>
              <w:wordWrap w:val="0"/>
              <w:jc w:val="left"/>
              <w:rPr>
                <w:rFonts w:ascii="宋体" w:hAnsi="宋体" w:cs="宋体"/>
                <w:color w:val="auto"/>
                <w:kern w:val="0"/>
                <w:szCs w:val="21"/>
              </w:rPr>
            </w:pPr>
            <w:r>
              <w:rPr>
                <w:rFonts w:hint="eastAsia" w:ascii="宋体" w:hAnsi="宋体" w:cs="宋体"/>
                <w:color w:val="auto"/>
                <w:kern w:val="0"/>
                <w:szCs w:val="21"/>
              </w:rPr>
              <w:t>500≤Y＜1000</w:t>
            </w:r>
          </w:p>
        </w:tc>
        <w:tc>
          <w:tcPr>
            <w:tcW w:w="1105" w:type="dxa"/>
            <w:tcBorders>
              <w:top w:val="nil"/>
              <w:left w:val="nil"/>
              <w:bottom w:val="single" w:color="auto" w:sz="4" w:space="0"/>
              <w:right w:val="single" w:color="auto" w:sz="4" w:space="0"/>
            </w:tcBorders>
            <w:vAlign w:val="center"/>
          </w:tcPr>
          <w:p w14:paraId="6C5A679F">
            <w:pPr>
              <w:widowControl/>
              <w:wordWrap w:val="0"/>
              <w:jc w:val="left"/>
              <w:rPr>
                <w:rFonts w:ascii="宋体" w:hAnsi="宋体" w:cs="宋体"/>
                <w:color w:val="auto"/>
                <w:kern w:val="0"/>
                <w:szCs w:val="21"/>
              </w:rPr>
            </w:pPr>
            <w:r>
              <w:rPr>
                <w:rFonts w:hint="eastAsia" w:ascii="宋体" w:hAnsi="宋体" w:cs="宋体"/>
                <w:color w:val="auto"/>
                <w:kern w:val="0"/>
                <w:szCs w:val="21"/>
              </w:rPr>
              <w:t>Y＜500</w:t>
            </w:r>
          </w:p>
        </w:tc>
      </w:tr>
      <w:tr w14:paraId="50B60ACB">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17DC0CA7">
            <w:pPr>
              <w:widowControl/>
              <w:wordWrap w:val="0"/>
              <w:jc w:val="center"/>
              <w:rPr>
                <w:rFonts w:ascii="宋体" w:hAnsi="宋体" w:cs="宋体"/>
                <w:b/>
                <w:bCs/>
                <w:color w:val="auto"/>
                <w:kern w:val="0"/>
                <w:szCs w:val="21"/>
              </w:rPr>
            </w:pPr>
            <w:r>
              <w:rPr>
                <w:rFonts w:hint="eastAsia" w:ascii="宋体" w:hAnsi="宋体" w:cs="宋体"/>
                <w:b/>
                <w:bCs/>
                <w:color w:val="auto"/>
                <w:kern w:val="0"/>
                <w:szCs w:val="21"/>
              </w:rPr>
              <w:t>租赁和商务服务业</w:t>
            </w:r>
          </w:p>
        </w:tc>
        <w:tc>
          <w:tcPr>
            <w:tcW w:w="1653" w:type="dxa"/>
            <w:tcBorders>
              <w:top w:val="nil"/>
              <w:left w:val="nil"/>
              <w:bottom w:val="single" w:color="auto" w:sz="4" w:space="0"/>
              <w:right w:val="single" w:color="auto" w:sz="4" w:space="0"/>
            </w:tcBorders>
            <w:vAlign w:val="center"/>
          </w:tcPr>
          <w:p w14:paraId="77FDEA79">
            <w:pPr>
              <w:widowControl/>
              <w:wordWrap w:val="0"/>
              <w:jc w:val="left"/>
              <w:rPr>
                <w:rFonts w:ascii="宋体" w:hAnsi="宋体" w:cs="宋体"/>
                <w:color w:val="auto"/>
                <w:kern w:val="0"/>
                <w:szCs w:val="21"/>
              </w:rPr>
            </w:pPr>
            <w:r>
              <w:rPr>
                <w:rFonts w:hint="eastAsia" w:ascii="宋体" w:hAnsi="宋体" w:cs="宋体"/>
                <w:color w:val="auto"/>
                <w:kern w:val="0"/>
                <w:szCs w:val="21"/>
              </w:rPr>
              <w:t>从业人员（X）</w:t>
            </w:r>
          </w:p>
        </w:tc>
        <w:tc>
          <w:tcPr>
            <w:tcW w:w="1091" w:type="dxa"/>
            <w:tcBorders>
              <w:top w:val="nil"/>
              <w:left w:val="nil"/>
              <w:bottom w:val="single" w:color="auto" w:sz="4" w:space="0"/>
              <w:right w:val="single" w:color="auto" w:sz="4" w:space="0"/>
            </w:tcBorders>
            <w:vAlign w:val="center"/>
          </w:tcPr>
          <w:p w14:paraId="584F40BC">
            <w:pPr>
              <w:widowControl/>
              <w:wordWrap w:val="0"/>
              <w:jc w:val="left"/>
              <w:rPr>
                <w:rFonts w:ascii="宋体" w:hAnsi="宋体" w:cs="宋体"/>
                <w:color w:val="auto"/>
                <w:kern w:val="0"/>
                <w:szCs w:val="21"/>
              </w:rPr>
            </w:pPr>
            <w:r>
              <w:rPr>
                <w:rFonts w:hint="eastAsia" w:ascii="宋体" w:hAnsi="宋体" w:cs="宋体"/>
                <w:color w:val="auto"/>
                <w:kern w:val="0"/>
                <w:szCs w:val="21"/>
              </w:rPr>
              <w:t>人</w:t>
            </w:r>
          </w:p>
        </w:tc>
        <w:tc>
          <w:tcPr>
            <w:tcW w:w="1935" w:type="dxa"/>
            <w:tcBorders>
              <w:top w:val="nil"/>
              <w:left w:val="nil"/>
              <w:bottom w:val="single" w:color="auto" w:sz="4" w:space="0"/>
              <w:right w:val="single" w:color="auto" w:sz="4" w:space="0"/>
            </w:tcBorders>
            <w:vAlign w:val="center"/>
          </w:tcPr>
          <w:p w14:paraId="5354D0E2">
            <w:pPr>
              <w:widowControl/>
              <w:wordWrap w:val="0"/>
              <w:jc w:val="left"/>
              <w:rPr>
                <w:rFonts w:ascii="宋体" w:hAnsi="宋体" w:cs="宋体"/>
                <w:color w:val="auto"/>
                <w:kern w:val="0"/>
                <w:szCs w:val="21"/>
              </w:rPr>
            </w:pPr>
            <w:r>
              <w:rPr>
                <w:rFonts w:hint="eastAsia" w:ascii="宋体" w:hAnsi="宋体" w:cs="宋体"/>
                <w:color w:val="auto"/>
                <w:kern w:val="0"/>
                <w:szCs w:val="21"/>
              </w:rPr>
              <w:t>100≤X＜300</w:t>
            </w:r>
          </w:p>
        </w:tc>
        <w:tc>
          <w:tcPr>
            <w:tcW w:w="1720" w:type="dxa"/>
            <w:tcBorders>
              <w:top w:val="nil"/>
              <w:left w:val="nil"/>
              <w:bottom w:val="single" w:color="auto" w:sz="4" w:space="0"/>
              <w:right w:val="single" w:color="auto" w:sz="4" w:space="0"/>
            </w:tcBorders>
            <w:vAlign w:val="center"/>
          </w:tcPr>
          <w:p w14:paraId="25DD9A69">
            <w:pPr>
              <w:widowControl/>
              <w:wordWrap w:val="0"/>
              <w:jc w:val="left"/>
              <w:rPr>
                <w:rFonts w:ascii="宋体" w:hAnsi="宋体" w:cs="宋体"/>
                <w:color w:val="auto"/>
                <w:kern w:val="0"/>
                <w:szCs w:val="21"/>
              </w:rPr>
            </w:pPr>
            <w:r>
              <w:rPr>
                <w:rFonts w:hint="eastAsia" w:ascii="宋体" w:hAnsi="宋体" w:cs="宋体"/>
                <w:color w:val="auto"/>
                <w:kern w:val="0"/>
                <w:szCs w:val="21"/>
              </w:rPr>
              <w:t>10≤X＜100</w:t>
            </w:r>
          </w:p>
        </w:tc>
        <w:tc>
          <w:tcPr>
            <w:tcW w:w="1105" w:type="dxa"/>
            <w:tcBorders>
              <w:top w:val="nil"/>
              <w:left w:val="nil"/>
              <w:bottom w:val="single" w:color="auto" w:sz="4" w:space="0"/>
              <w:right w:val="single" w:color="auto" w:sz="4" w:space="0"/>
            </w:tcBorders>
            <w:vAlign w:val="center"/>
          </w:tcPr>
          <w:p w14:paraId="25C650CF">
            <w:pPr>
              <w:widowControl/>
              <w:wordWrap w:val="0"/>
              <w:jc w:val="left"/>
              <w:rPr>
                <w:rFonts w:ascii="宋体" w:hAnsi="宋体" w:cs="宋体"/>
                <w:color w:val="auto"/>
                <w:kern w:val="0"/>
                <w:szCs w:val="21"/>
              </w:rPr>
            </w:pPr>
            <w:r>
              <w:rPr>
                <w:rFonts w:hint="eastAsia" w:ascii="宋体" w:hAnsi="宋体" w:cs="宋体"/>
                <w:color w:val="auto"/>
                <w:kern w:val="0"/>
                <w:szCs w:val="21"/>
              </w:rPr>
              <w:t>X＜10</w:t>
            </w:r>
          </w:p>
        </w:tc>
      </w:tr>
      <w:tr w14:paraId="312E0DDA">
        <w:tblPrEx>
          <w:tblCellMar>
            <w:top w:w="0" w:type="dxa"/>
            <w:left w:w="108" w:type="dxa"/>
            <w:bottom w:w="0" w:type="dxa"/>
            <w:right w:w="108" w:type="dxa"/>
          </w:tblCellMar>
        </w:tblPrEx>
        <w:trPr>
          <w:trHeight w:val="90" w:hRule="atLeast"/>
        </w:trPr>
        <w:tc>
          <w:tcPr>
            <w:tcW w:w="2033" w:type="dxa"/>
            <w:vMerge w:val="continue"/>
            <w:tcBorders>
              <w:top w:val="nil"/>
              <w:left w:val="single" w:color="auto" w:sz="4" w:space="0"/>
              <w:bottom w:val="single" w:color="auto" w:sz="4" w:space="0"/>
              <w:right w:val="single" w:color="auto" w:sz="4" w:space="0"/>
            </w:tcBorders>
            <w:vAlign w:val="center"/>
          </w:tcPr>
          <w:p w14:paraId="5E738864">
            <w:pPr>
              <w:widowControl/>
              <w:wordWrap w:val="0"/>
              <w:jc w:val="left"/>
              <w:rPr>
                <w:rFonts w:ascii="宋体" w:hAnsi="宋体" w:cs="宋体"/>
                <w:b/>
                <w:bCs/>
                <w:color w:val="auto"/>
                <w:kern w:val="0"/>
                <w:szCs w:val="21"/>
              </w:rPr>
            </w:pPr>
          </w:p>
        </w:tc>
        <w:tc>
          <w:tcPr>
            <w:tcW w:w="1653" w:type="dxa"/>
            <w:tcBorders>
              <w:top w:val="nil"/>
              <w:left w:val="nil"/>
              <w:bottom w:val="single" w:color="auto" w:sz="4" w:space="0"/>
              <w:right w:val="single" w:color="auto" w:sz="4" w:space="0"/>
            </w:tcBorders>
            <w:vAlign w:val="center"/>
          </w:tcPr>
          <w:p w14:paraId="0D3A24FD">
            <w:pPr>
              <w:widowControl/>
              <w:wordWrap w:val="0"/>
              <w:jc w:val="left"/>
              <w:rPr>
                <w:rFonts w:ascii="宋体" w:hAnsi="宋体" w:cs="宋体"/>
                <w:color w:val="auto"/>
                <w:kern w:val="0"/>
                <w:szCs w:val="21"/>
              </w:rPr>
            </w:pPr>
            <w:r>
              <w:rPr>
                <w:rFonts w:hint="eastAsia" w:ascii="宋体" w:hAnsi="宋体" w:cs="宋体"/>
                <w:color w:val="auto"/>
                <w:kern w:val="0"/>
                <w:szCs w:val="21"/>
              </w:rPr>
              <w:t>资产总额（Z）</w:t>
            </w:r>
          </w:p>
        </w:tc>
        <w:tc>
          <w:tcPr>
            <w:tcW w:w="1091" w:type="dxa"/>
            <w:tcBorders>
              <w:top w:val="nil"/>
              <w:left w:val="nil"/>
              <w:bottom w:val="single" w:color="auto" w:sz="4" w:space="0"/>
              <w:right w:val="single" w:color="auto" w:sz="4" w:space="0"/>
            </w:tcBorders>
            <w:vAlign w:val="center"/>
          </w:tcPr>
          <w:p w14:paraId="3F6C9410">
            <w:pPr>
              <w:widowControl/>
              <w:wordWrap w:val="0"/>
              <w:jc w:val="left"/>
              <w:rPr>
                <w:rFonts w:ascii="宋体" w:hAnsi="宋体" w:cs="宋体"/>
                <w:color w:val="auto"/>
                <w:kern w:val="0"/>
                <w:szCs w:val="21"/>
              </w:rPr>
            </w:pPr>
            <w:r>
              <w:rPr>
                <w:rFonts w:hint="eastAsia" w:ascii="宋体" w:hAnsi="宋体" w:cs="宋体"/>
                <w:color w:val="auto"/>
                <w:kern w:val="0"/>
                <w:szCs w:val="21"/>
              </w:rPr>
              <w:t>万元</w:t>
            </w:r>
          </w:p>
        </w:tc>
        <w:tc>
          <w:tcPr>
            <w:tcW w:w="1935" w:type="dxa"/>
            <w:tcBorders>
              <w:top w:val="nil"/>
              <w:left w:val="nil"/>
              <w:bottom w:val="single" w:color="auto" w:sz="4" w:space="0"/>
              <w:right w:val="single" w:color="auto" w:sz="4" w:space="0"/>
            </w:tcBorders>
            <w:vAlign w:val="center"/>
          </w:tcPr>
          <w:p w14:paraId="63F037E1">
            <w:pPr>
              <w:widowControl/>
              <w:wordWrap w:val="0"/>
              <w:jc w:val="left"/>
              <w:rPr>
                <w:rFonts w:ascii="宋体" w:hAnsi="宋体" w:cs="宋体"/>
                <w:color w:val="auto"/>
                <w:kern w:val="0"/>
                <w:szCs w:val="21"/>
              </w:rPr>
            </w:pPr>
            <w:r>
              <w:rPr>
                <w:rFonts w:hint="eastAsia" w:ascii="宋体" w:hAnsi="宋体" w:cs="宋体"/>
                <w:color w:val="auto"/>
                <w:kern w:val="0"/>
                <w:szCs w:val="21"/>
              </w:rPr>
              <w:t>8000≤Z＜120000</w:t>
            </w:r>
          </w:p>
        </w:tc>
        <w:tc>
          <w:tcPr>
            <w:tcW w:w="1720" w:type="dxa"/>
            <w:tcBorders>
              <w:top w:val="nil"/>
              <w:left w:val="nil"/>
              <w:bottom w:val="single" w:color="auto" w:sz="4" w:space="0"/>
              <w:right w:val="single" w:color="auto" w:sz="4" w:space="0"/>
            </w:tcBorders>
            <w:vAlign w:val="center"/>
          </w:tcPr>
          <w:p w14:paraId="4F1DDF89">
            <w:pPr>
              <w:widowControl/>
              <w:wordWrap w:val="0"/>
              <w:jc w:val="left"/>
              <w:rPr>
                <w:rFonts w:ascii="宋体" w:hAnsi="宋体" w:cs="宋体"/>
                <w:color w:val="auto"/>
                <w:kern w:val="0"/>
                <w:szCs w:val="21"/>
              </w:rPr>
            </w:pPr>
            <w:r>
              <w:rPr>
                <w:rFonts w:hint="eastAsia" w:ascii="宋体" w:hAnsi="宋体" w:cs="宋体"/>
                <w:color w:val="auto"/>
                <w:kern w:val="0"/>
                <w:szCs w:val="21"/>
              </w:rPr>
              <w:t>100≤Z＜8000</w:t>
            </w:r>
          </w:p>
        </w:tc>
        <w:tc>
          <w:tcPr>
            <w:tcW w:w="1105" w:type="dxa"/>
            <w:tcBorders>
              <w:top w:val="nil"/>
              <w:left w:val="nil"/>
              <w:bottom w:val="single" w:color="auto" w:sz="4" w:space="0"/>
              <w:right w:val="single" w:color="auto" w:sz="4" w:space="0"/>
            </w:tcBorders>
            <w:vAlign w:val="center"/>
          </w:tcPr>
          <w:p w14:paraId="7624D737">
            <w:pPr>
              <w:widowControl/>
              <w:wordWrap w:val="0"/>
              <w:jc w:val="left"/>
              <w:rPr>
                <w:rFonts w:ascii="宋体" w:hAnsi="宋体" w:cs="宋体"/>
                <w:color w:val="auto"/>
                <w:kern w:val="0"/>
                <w:szCs w:val="21"/>
              </w:rPr>
            </w:pPr>
            <w:r>
              <w:rPr>
                <w:rFonts w:hint="eastAsia" w:ascii="宋体" w:hAnsi="宋体" w:cs="宋体"/>
                <w:color w:val="auto"/>
                <w:kern w:val="0"/>
                <w:szCs w:val="21"/>
              </w:rPr>
              <w:t>Y＜100</w:t>
            </w:r>
          </w:p>
        </w:tc>
      </w:tr>
      <w:tr w14:paraId="477C7E11">
        <w:tblPrEx>
          <w:tblCellMar>
            <w:top w:w="0" w:type="dxa"/>
            <w:left w:w="108" w:type="dxa"/>
            <w:bottom w:w="0" w:type="dxa"/>
            <w:right w:w="108" w:type="dxa"/>
          </w:tblCellMar>
        </w:tblPrEx>
        <w:trPr>
          <w:trHeight w:val="225" w:hRule="atLeast"/>
        </w:trPr>
        <w:tc>
          <w:tcPr>
            <w:tcW w:w="2033" w:type="dxa"/>
            <w:tcBorders>
              <w:top w:val="nil"/>
              <w:left w:val="single" w:color="auto" w:sz="4" w:space="0"/>
              <w:bottom w:val="single" w:color="auto" w:sz="4" w:space="0"/>
              <w:right w:val="single" w:color="auto" w:sz="4" w:space="0"/>
            </w:tcBorders>
            <w:vAlign w:val="bottom"/>
          </w:tcPr>
          <w:p w14:paraId="7D3D417D">
            <w:pPr>
              <w:widowControl/>
              <w:wordWrap w:val="0"/>
              <w:jc w:val="center"/>
              <w:rPr>
                <w:rFonts w:ascii="宋体" w:hAnsi="宋体" w:cs="宋体"/>
                <w:b/>
                <w:bCs/>
                <w:color w:val="auto"/>
                <w:kern w:val="0"/>
                <w:szCs w:val="21"/>
              </w:rPr>
            </w:pPr>
            <w:r>
              <w:rPr>
                <w:rFonts w:hint="eastAsia" w:ascii="宋体" w:hAnsi="宋体" w:cs="宋体"/>
                <w:b/>
                <w:bCs/>
                <w:color w:val="auto"/>
                <w:kern w:val="0"/>
                <w:szCs w:val="21"/>
              </w:rPr>
              <w:t>其他未列明行业</w:t>
            </w:r>
          </w:p>
        </w:tc>
        <w:tc>
          <w:tcPr>
            <w:tcW w:w="1653" w:type="dxa"/>
            <w:tcBorders>
              <w:top w:val="nil"/>
              <w:left w:val="nil"/>
              <w:bottom w:val="single" w:color="auto" w:sz="4" w:space="0"/>
              <w:right w:val="single" w:color="auto" w:sz="4" w:space="0"/>
            </w:tcBorders>
            <w:vAlign w:val="center"/>
          </w:tcPr>
          <w:p w14:paraId="5AC1F2EF">
            <w:pPr>
              <w:widowControl/>
              <w:wordWrap w:val="0"/>
              <w:jc w:val="left"/>
              <w:rPr>
                <w:rFonts w:ascii="宋体" w:hAnsi="宋体" w:cs="宋体"/>
                <w:color w:val="auto"/>
                <w:kern w:val="0"/>
                <w:szCs w:val="21"/>
              </w:rPr>
            </w:pPr>
            <w:r>
              <w:rPr>
                <w:rFonts w:hint="eastAsia" w:ascii="宋体" w:hAnsi="宋体" w:cs="宋体"/>
                <w:color w:val="auto"/>
                <w:kern w:val="0"/>
                <w:szCs w:val="21"/>
              </w:rPr>
              <w:t>从业人员（X）</w:t>
            </w:r>
          </w:p>
        </w:tc>
        <w:tc>
          <w:tcPr>
            <w:tcW w:w="1091" w:type="dxa"/>
            <w:tcBorders>
              <w:top w:val="nil"/>
              <w:left w:val="nil"/>
              <w:bottom w:val="single" w:color="auto" w:sz="4" w:space="0"/>
              <w:right w:val="single" w:color="auto" w:sz="4" w:space="0"/>
            </w:tcBorders>
            <w:vAlign w:val="center"/>
          </w:tcPr>
          <w:p w14:paraId="7C54BD16">
            <w:pPr>
              <w:widowControl/>
              <w:wordWrap w:val="0"/>
              <w:jc w:val="left"/>
              <w:rPr>
                <w:rFonts w:ascii="宋体" w:hAnsi="宋体" w:cs="宋体"/>
                <w:color w:val="auto"/>
                <w:kern w:val="0"/>
                <w:szCs w:val="21"/>
              </w:rPr>
            </w:pPr>
            <w:r>
              <w:rPr>
                <w:rFonts w:hint="eastAsia" w:ascii="宋体" w:hAnsi="宋体" w:cs="宋体"/>
                <w:color w:val="auto"/>
                <w:kern w:val="0"/>
                <w:szCs w:val="21"/>
              </w:rPr>
              <w:t>人</w:t>
            </w:r>
          </w:p>
        </w:tc>
        <w:tc>
          <w:tcPr>
            <w:tcW w:w="1935" w:type="dxa"/>
            <w:tcBorders>
              <w:top w:val="nil"/>
              <w:left w:val="nil"/>
              <w:bottom w:val="single" w:color="auto" w:sz="4" w:space="0"/>
              <w:right w:val="single" w:color="auto" w:sz="4" w:space="0"/>
            </w:tcBorders>
            <w:vAlign w:val="center"/>
          </w:tcPr>
          <w:p w14:paraId="63C9B05E">
            <w:pPr>
              <w:widowControl/>
              <w:wordWrap w:val="0"/>
              <w:jc w:val="left"/>
              <w:rPr>
                <w:rFonts w:ascii="宋体" w:hAnsi="宋体" w:cs="宋体"/>
                <w:color w:val="auto"/>
                <w:kern w:val="0"/>
                <w:szCs w:val="21"/>
              </w:rPr>
            </w:pPr>
            <w:r>
              <w:rPr>
                <w:rFonts w:hint="eastAsia" w:ascii="宋体" w:hAnsi="宋体" w:cs="宋体"/>
                <w:color w:val="auto"/>
                <w:kern w:val="0"/>
                <w:szCs w:val="21"/>
              </w:rPr>
              <w:t>100≤X＜300</w:t>
            </w:r>
          </w:p>
        </w:tc>
        <w:tc>
          <w:tcPr>
            <w:tcW w:w="1720" w:type="dxa"/>
            <w:tcBorders>
              <w:top w:val="nil"/>
              <w:left w:val="nil"/>
              <w:bottom w:val="single" w:color="auto" w:sz="4" w:space="0"/>
              <w:right w:val="single" w:color="auto" w:sz="4" w:space="0"/>
            </w:tcBorders>
            <w:vAlign w:val="center"/>
          </w:tcPr>
          <w:p w14:paraId="24743469">
            <w:pPr>
              <w:widowControl/>
              <w:wordWrap w:val="0"/>
              <w:jc w:val="left"/>
              <w:rPr>
                <w:rFonts w:ascii="宋体" w:hAnsi="宋体" w:cs="宋体"/>
                <w:color w:val="auto"/>
                <w:kern w:val="0"/>
                <w:szCs w:val="21"/>
              </w:rPr>
            </w:pPr>
            <w:r>
              <w:rPr>
                <w:rFonts w:hint="eastAsia" w:ascii="宋体" w:hAnsi="宋体" w:cs="宋体"/>
                <w:color w:val="auto"/>
                <w:kern w:val="0"/>
                <w:szCs w:val="21"/>
              </w:rPr>
              <w:t>10≤X＜100</w:t>
            </w:r>
          </w:p>
        </w:tc>
        <w:tc>
          <w:tcPr>
            <w:tcW w:w="1105" w:type="dxa"/>
            <w:tcBorders>
              <w:top w:val="nil"/>
              <w:left w:val="nil"/>
              <w:bottom w:val="single" w:color="auto" w:sz="4" w:space="0"/>
              <w:right w:val="single" w:color="auto" w:sz="4" w:space="0"/>
            </w:tcBorders>
            <w:vAlign w:val="center"/>
          </w:tcPr>
          <w:p w14:paraId="0107A9BA">
            <w:pPr>
              <w:widowControl/>
              <w:wordWrap w:val="0"/>
              <w:jc w:val="left"/>
              <w:rPr>
                <w:rFonts w:ascii="宋体" w:hAnsi="宋体" w:cs="宋体"/>
                <w:color w:val="auto"/>
                <w:kern w:val="0"/>
                <w:szCs w:val="21"/>
              </w:rPr>
            </w:pPr>
            <w:r>
              <w:rPr>
                <w:rFonts w:hint="eastAsia" w:ascii="宋体" w:hAnsi="宋体" w:cs="宋体"/>
                <w:color w:val="auto"/>
                <w:kern w:val="0"/>
                <w:szCs w:val="21"/>
              </w:rPr>
              <w:t>X＜10</w:t>
            </w:r>
          </w:p>
        </w:tc>
      </w:tr>
    </w:tbl>
    <w:p w14:paraId="60767591">
      <w:pPr>
        <w:wordWrap w:val="0"/>
        <w:spacing w:line="360" w:lineRule="auto"/>
        <w:ind w:firstLine="525" w:firstLineChars="250"/>
        <w:rPr>
          <w:rFonts w:ascii="宋体" w:hAnsi="宋体" w:cs="宋体"/>
          <w:color w:val="auto"/>
          <w:szCs w:val="21"/>
        </w:rPr>
      </w:pPr>
      <w:r>
        <w:rPr>
          <w:rFonts w:hint="eastAsia" w:ascii="宋体" w:hAnsi="宋体" w:cs="宋体"/>
          <w:color w:val="auto"/>
          <w:szCs w:val="21"/>
        </w:rPr>
        <w:t>说明：上述标准参照《关于印发中小企业划型标准规定的通知》（工信部联企业[2011]300号），大型、中型和小型企业须同时满足所列指标的下限，否则下划一档；微型企业只须满足所列指标中的一项即可。</w:t>
      </w:r>
    </w:p>
    <w:p w14:paraId="7A1EB1AA">
      <w:pPr>
        <w:spacing w:line="360" w:lineRule="auto"/>
        <w:ind w:firstLine="525" w:firstLineChars="250"/>
        <w:rPr>
          <w:rFonts w:ascii="仿宋_GB2312" w:hAnsi="仿宋" w:eastAsia="仿宋_GB2312"/>
          <w:color w:val="auto"/>
          <w:szCs w:val="21"/>
        </w:rPr>
      </w:pPr>
    </w:p>
    <w:p w14:paraId="23356289">
      <w:pPr>
        <w:spacing w:line="360" w:lineRule="auto"/>
        <w:jc w:val="center"/>
        <w:outlineLvl w:val="0"/>
        <w:rPr>
          <w:b/>
          <w:color w:val="auto"/>
          <w:sz w:val="36"/>
          <w:szCs w:val="20"/>
        </w:rPr>
        <w:sectPr>
          <w:footerReference r:id="rId10" w:type="default"/>
          <w:pgSz w:w="11906" w:h="16838"/>
          <w:pgMar w:top="1134" w:right="1474" w:bottom="1134" w:left="1474" w:header="851" w:footer="851" w:gutter="0"/>
          <w:pgNumType w:fmt="decimal"/>
          <w:cols w:space="720" w:num="1"/>
          <w:docGrid w:linePitch="312" w:charSpace="0"/>
        </w:sectPr>
      </w:pPr>
    </w:p>
    <w:bookmarkEnd w:id="39"/>
    <w:bookmarkEnd w:id="40"/>
    <w:p w14:paraId="57ECA9E9">
      <w:pPr>
        <w:pStyle w:val="3"/>
        <w:keepNext w:val="0"/>
        <w:keepLines w:val="0"/>
        <w:jc w:val="center"/>
        <w:rPr>
          <w:color w:val="auto"/>
        </w:rPr>
      </w:pPr>
      <w:bookmarkStart w:id="59" w:name="_Toc16535"/>
      <w:bookmarkStart w:id="60" w:name="_Toc28542"/>
      <w:r>
        <w:rPr>
          <w:rFonts w:hint="eastAsia"/>
          <w:color w:val="auto"/>
        </w:rPr>
        <w:t>第三章投标人须知</w:t>
      </w:r>
      <w:bookmarkEnd w:id="59"/>
      <w:bookmarkEnd w:id="60"/>
    </w:p>
    <w:p w14:paraId="24C6817F">
      <w:pPr>
        <w:jc w:val="center"/>
        <w:rPr>
          <w:color w:val="auto"/>
          <w:sz w:val="36"/>
          <w:szCs w:val="36"/>
        </w:rPr>
      </w:pPr>
      <w:bookmarkStart w:id="61" w:name="_Toc254970526"/>
      <w:bookmarkStart w:id="62" w:name="_Toc254970667"/>
      <w:r>
        <w:rPr>
          <w:rFonts w:hint="eastAsia"/>
          <w:color w:val="auto"/>
          <w:sz w:val="36"/>
          <w:szCs w:val="36"/>
        </w:rPr>
        <w:t>投标人须知前附表</w:t>
      </w:r>
      <w:bookmarkEnd w:id="61"/>
      <w:bookmarkEnd w:id="62"/>
    </w:p>
    <w:tbl>
      <w:tblPr>
        <w:tblStyle w:val="25"/>
        <w:tblW w:w="9565"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68"/>
        <w:gridCol w:w="8597"/>
      </w:tblGrid>
      <w:tr w14:paraId="46D45B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68" w:type="dxa"/>
            <w:tcBorders>
              <w:top w:val="single" w:color="auto" w:sz="4" w:space="0"/>
              <w:left w:val="single" w:color="auto" w:sz="4" w:space="0"/>
              <w:bottom w:val="single" w:color="auto" w:sz="4" w:space="0"/>
              <w:right w:val="single" w:color="auto" w:sz="4" w:space="0"/>
            </w:tcBorders>
            <w:vAlign w:val="center"/>
          </w:tcPr>
          <w:p w14:paraId="67EDF4AD">
            <w:pPr>
              <w:snapToGrid w:val="0"/>
              <w:spacing w:line="360" w:lineRule="auto"/>
              <w:jc w:val="center"/>
              <w:rPr>
                <w:rFonts w:ascii="宋体" w:hAnsi="宋体"/>
                <w:color w:val="auto"/>
                <w:szCs w:val="21"/>
              </w:rPr>
            </w:pPr>
            <w:r>
              <w:rPr>
                <w:rFonts w:hint="eastAsia" w:ascii="宋体" w:hAnsi="宋体"/>
                <w:color w:val="auto"/>
                <w:szCs w:val="21"/>
              </w:rPr>
              <w:t>条款号</w:t>
            </w:r>
          </w:p>
        </w:tc>
        <w:tc>
          <w:tcPr>
            <w:tcW w:w="8597" w:type="dxa"/>
            <w:tcBorders>
              <w:top w:val="single" w:color="auto" w:sz="4" w:space="0"/>
              <w:left w:val="single" w:color="auto" w:sz="4" w:space="0"/>
              <w:bottom w:val="single" w:color="auto" w:sz="4" w:space="0"/>
              <w:right w:val="single" w:color="auto" w:sz="4" w:space="0"/>
            </w:tcBorders>
            <w:vAlign w:val="center"/>
          </w:tcPr>
          <w:p w14:paraId="478FF598">
            <w:pPr>
              <w:snapToGrid w:val="0"/>
              <w:spacing w:line="360" w:lineRule="auto"/>
              <w:jc w:val="center"/>
              <w:rPr>
                <w:rFonts w:ascii="宋体" w:hAnsi="宋体"/>
                <w:color w:val="auto"/>
                <w:szCs w:val="21"/>
              </w:rPr>
            </w:pPr>
            <w:r>
              <w:rPr>
                <w:rFonts w:hint="eastAsia" w:ascii="宋体" w:hAnsi="宋体"/>
                <w:color w:val="auto"/>
                <w:szCs w:val="21"/>
              </w:rPr>
              <w:t>编列内容</w:t>
            </w:r>
          </w:p>
        </w:tc>
      </w:tr>
      <w:tr w14:paraId="71C289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68" w:type="dxa"/>
            <w:tcBorders>
              <w:top w:val="single" w:color="auto" w:sz="4" w:space="0"/>
              <w:left w:val="single" w:color="auto" w:sz="4" w:space="0"/>
              <w:bottom w:val="single" w:color="auto" w:sz="4" w:space="0"/>
              <w:right w:val="single" w:color="auto" w:sz="4" w:space="0"/>
            </w:tcBorders>
            <w:vAlign w:val="center"/>
          </w:tcPr>
          <w:p w14:paraId="3F55DBD8">
            <w:pPr>
              <w:spacing w:line="400" w:lineRule="exact"/>
              <w:jc w:val="center"/>
              <w:rPr>
                <w:rFonts w:ascii="宋体" w:hAnsi="宋体"/>
                <w:color w:val="auto"/>
                <w:szCs w:val="21"/>
              </w:rPr>
            </w:pPr>
            <w:r>
              <w:rPr>
                <w:rFonts w:hint="eastAsia" w:ascii="宋体" w:hAnsi="宋体"/>
                <w:color w:val="auto"/>
                <w:szCs w:val="21"/>
              </w:rPr>
              <w:t>3</w:t>
            </w:r>
          </w:p>
        </w:tc>
        <w:tc>
          <w:tcPr>
            <w:tcW w:w="8597" w:type="dxa"/>
            <w:tcBorders>
              <w:top w:val="single" w:color="auto" w:sz="4" w:space="0"/>
              <w:left w:val="single" w:color="auto" w:sz="4" w:space="0"/>
              <w:bottom w:val="single" w:color="auto" w:sz="4" w:space="0"/>
              <w:right w:val="single" w:color="auto" w:sz="4" w:space="0"/>
            </w:tcBorders>
            <w:vAlign w:val="center"/>
          </w:tcPr>
          <w:p w14:paraId="3CFEB4DD">
            <w:pPr>
              <w:snapToGrid w:val="0"/>
              <w:spacing w:line="360" w:lineRule="auto"/>
              <w:jc w:val="left"/>
              <w:rPr>
                <w:rFonts w:ascii="宋体" w:hAnsi="宋体"/>
                <w:color w:val="auto"/>
                <w:szCs w:val="21"/>
              </w:rPr>
            </w:pPr>
            <w:r>
              <w:rPr>
                <w:rFonts w:hint="eastAsia" w:ascii="宋体" w:hAnsi="宋体"/>
                <w:color w:val="auto"/>
                <w:szCs w:val="21"/>
              </w:rPr>
              <w:t>投标人的资格要求详见招标公告。</w:t>
            </w:r>
          </w:p>
        </w:tc>
      </w:tr>
      <w:tr w14:paraId="77CB33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68" w:type="dxa"/>
            <w:tcBorders>
              <w:top w:val="single" w:color="auto" w:sz="4" w:space="0"/>
              <w:left w:val="single" w:color="auto" w:sz="4" w:space="0"/>
              <w:bottom w:val="single" w:color="auto" w:sz="4" w:space="0"/>
              <w:right w:val="single" w:color="auto" w:sz="4" w:space="0"/>
            </w:tcBorders>
            <w:vAlign w:val="center"/>
          </w:tcPr>
          <w:p w14:paraId="5FDA3BF8">
            <w:pPr>
              <w:spacing w:line="360" w:lineRule="auto"/>
              <w:jc w:val="center"/>
              <w:rPr>
                <w:rFonts w:ascii="宋体" w:hAnsi="宋体"/>
                <w:color w:val="auto"/>
                <w:szCs w:val="21"/>
              </w:rPr>
            </w:pPr>
            <w:bookmarkStart w:id="63" w:name="_9.2"/>
            <w:bookmarkEnd w:id="63"/>
            <w:bookmarkStart w:id="64" w:name="_8.1"/>
            <w:bookmarkEnd w:id="64"/>
            <w:bookmarkStart w:id="65" w:name="_5"/>
            <w:bookmarkEnd w:id="65"/>
            <w:r>
              <w:rPr>
                <w:rFonts w:hint="eastAsia" w:ascii="宋体" w:hAnsi="宋体"/>
                <w:color w:val="auto"/>
                <w:szCs w:val="21"/>
              </w:rPr>
              <w:t>6.1</w:t>
            </w:r>
          </w:p>
        </w:tc>
        <w:tc>
          <w:tcPr>
            <w:tcW w:w="8597" w:type="dxa"/>
            <w:tcBorders>
              <w:top w:val="single" w:color="auto" w:sz="4" w:space="0"/>
              <w:left w:val="single" w:color="auto" w:sz="4" w:space="0"/>
              <w:bottom w:val="single" w:color="auto" w:sz="4" w:space="0"/>
              <w:right w:val="single" w:color="auto" w:sz="4" w:space="0"/>
            </w:tcBorders>
            <w:vAlign w:val="center"/>
          </w:tcPr>
          <w:p w14:paraId="7ACBAAEE">
            <w:pPr>
              <w:pStyle w:val="10"/>
              <w:spacing w:line="360" w:lineRule="auto"/>
              <w:rPr>
                <w:rFonts w:ascii="宋体" w:hAnsi="宋体"/>
                <w:color w:val="auto"/>
                <w:szCs w:val="21"/>
              </w:rPr>
            </w:pPr>
            <w:r>
              <w:rPr>
                <w:rFonts w:hint="eastAsia" w:ascii="宋体" w:hAnsi="宋体"/>
                <w:color w:val="auto"/>
                <w:szCs w:val="21"/>
              </w:rPr>
              <w:t>本项目是否接受联合体投标：详见“招标公告”。</w:t>
            </w:r>
          </w:p>
        </w:tc>
      </w:tr>
      <w:tr w14:paraId="5A8522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68" w:type="dxa"/>
            <w:tcBorders>
              <w:top w:val="single" w:color="auto" w:sz="4" w:space="0"/>
              <w:left w:val="single" w:color="auto" w:sz="4" w:space="0"/>
              <w:bottom w:val="single" w:color="auto" w:sz="4" w:space="0"/>
              <w:right w:val="single" w:color="auto" w:sz="4" w:space="0"/>
            </w:tcBorders>
            <w:vAlign w:val="center"/>
          </w:tcPr>
          <w:p w14:paraId="5DB0E191">
            <w:pPr>
              <w:spacing w:line="360" w:lineRule="auto"/>
              <w:jc w:val="center"/>
              <w:rPr>
                <w:rFonts w:ascii="宋体" w:hAnsi="宋体"/>
                <w:color w:val="auto"/>
                <w:szCs w:val="21"/>
              </w:rPr>
            </w:pPr>
            <w:r>
              <w:rPr>
                <w:rFonts w:hint="eastAsia" w:ascii="宋体" w:hAnsi="宋体"/>
                <w:color w:val="auto"/>
                <w:szCs w:val="21"/>
              </w:rPr>
              <w:t>6.2</w:t>
            </w:r>
          </w:p>
        </w:tc>
        <w:tc>
          <w:tcPr>
            <w:tcW w:w="8597" w:type="dxa"/>
            <w:tcBorders>
              <w:top w:val="single" w:color="auto" w:sz="4" w:space="0"/>
              <w:left w:val="single" w:color="auto" w:sz="4" w:space="0"/>
              <w:bottom w:val="single" w:color="auto" w:sz="4" w:space="0"/>
              <w:right w:val="single" w:color="auto" w:sz="4" w:space="0"/>
            </w:tcBorders>
            <w:vAlign w:val="center"/>
          </w:tcPr>
          <w:p w14:paraId="53F2A812">
            <w:pPr>
              <w:pStyle w:val="10"/>
              <w:spacing w:line="360" w:lineRule="auto"/>
              <w:rPr>
                <w:rFonts w:ascii="宋体" w:hAnsi="宋体"/>
                <w:color w:val="auto"/>
                <w:szCs w:val="21"/>
              </w:rPr>
            </w:pPr>
            <w:bookmarkStart w:id="66" w:name="_Hlk54105293"/>
            <w:r>
              <w:rPr>
                <w:rFonts w:hint="eastAsia" w:ascii="宋体" w:hAnsi="宋体" w:cs="宋体"/>
                <w:color w:val="auto"/>
                <w:szCs w:val="21"/>
              </w:rPr>
              <w:t>如接受联合体投标，</w:t>
            </w:r>
            <w:bookmarkEnd w:id="66"/>
            <w:r>
              <w:rPr>
                <w:rFonts w:hint="eastAsia" w:ascii="宋体" w:hAnsi="宋体" w:cs="宋体"/>
                <w:color w:val="auto"/>
                <w:szCs w:val="21"/>
              </w:rPr>
              <w:t>联合体投标要求如下：/</w:t>
            </w:r>
          </w:p>
        </w:tc>
      </w:tr>
      <w:tr w14:paraId="03ABEE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68" w:type="dxa"/>
            <w:tcBorders>
              <w:top w:val="single" w:color="auto" w:sz="4" w:space="0"/>
              <w:left w:val="single" w:color="auto" w:sz="4" w:space="0"/>
              <w:bottom w:val="single" w:color="auto" w:sz="4" w:space="0"/>
              <w:right w:val="single" w:color="auto" w:sz="4" w:space="0"/>
            </w:tcBorders>
            <w:vAlign w:val="center"/>
          </w:tcPr>
          <w:p w14:paraId="140EA7B6">
            <w:pPr>
              <w:spacing w:line="360" w:lineRule="auto"/>
              <w:jc w:val="center"/>
              <w:rPr>
                <w:rFonts w:ascii="宋体" w:hAnsi="宋体"/>
                <w:color w:val="auto"/>
                <w:szCs w:val="21"/>
              </w:rPr>
            </w:pPr>
            <w:r>
              <w:rPr>
                <w:rFonts w:hint="eastAsia" w:ascii="宋体" w:hAnsi="宋体"/>
                <w:color w:val="auto"/>
                <w:szCs w:val="21"/>
              </w:rPr>
              <w:t>7.1</w:t>
            </w:r>
          </w:p>
        </w:tc>
        <w:tc>
          <w:tcPr>
            <w:tcW w:w="8597" w:type="dxa"/>
            <w:tcBorders>
              <w:top w:val="single" w:color="auto" w:sz="4" w:space="0"/>
              <w:left w:val="single" w:color="auto" w:sz="4" w:space="0"/>
              <w:bottom w:val="single" w:color="auto" w:sz="4" w:space="0"/>
              <w:right w:val="single" w:color="auto" w:sz="4" w:space="0"/>
            </w:tcBorders>
            <w:vAlign w:val="center"/>
          </w:tcPr>
          <w:p w14:paraId="2CA4910A">
            <w:pPr>
              <w:pStyle w:val="10"/>
              <w:spacing w:line="360" w:lineRule="auto"/>
              <w:rPr>
                <w:rFonts w:ascii="宋体" w:hAnsi="宋体"/>
                <w:color w:val="auto"/>
                <w:szCs w:val="21"/>
                <w:u w:val="single"/>
              </w:rPr>
            </w:pPr>
            <w:r>
              <w:rPr>
                <w:rFonts w:hint="eastAsia" w:ascii="宋体" w:hAnsi="宋体"/>
                <w:color w:val="auto"/>
                <w:szCs w:val="21"/>
              </w:rPr>
              <w:t>不允许分包</w:t>
            </w:r>
          </w:p>
        </w:tc>
      </w:tr>
      <w:tr w14:paraId="5495E5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68" w:type="dxa"/>
            <w:vMerge w:val="restart"/>
            <w:tcBorders>
              <w:top w:val="single" w:color="auto" w:sz="4" w:space="0"/>
              <w:left w:val="single" w:color="auto" w:sz="4" w:space="0"/>
              <w:right w:val="single" w:color="auto" w:sz="4" w:space="0"/>
            </w:tcBorders>
            <w:vAlign w:val="center"/>
          </w:tcPr>
          <w:p w14:paraId="135D6D40">
            <w:pPr>
              <w:spacing w:line="360" w:lineRule="auto"/>
              <w:jc w:val="center"/>
              <w:rPr>
                <w:rFonts w:ascii="宋体" w:hAnsi="宋体"/>
                <w:color w:val="auto"/>
                <w:szCs w:val="21"/>
              </w:rPr>
            </w:pPr>
            <w:r>
              <w:rPr>
                <w:rFonts w:hint="eastAsia" w:ascii="宋体" w:hAnsi="宋体"/>
                <w:color w:val="auto"/>
                <w:szCs w:val="21"/>
              </w:rPr>
              <w:t>11.4</w:t>
            </w:r>
          </w:p>
        </w:tc>
        <w:tc>
          <w:tcPr>
            <w:tcW w:w="8597" w:type="dxa"/>
            <w:tcBorders>
              <w:top w:val="single" w:color="auto" w:sz="4" w:space="0"/>
              <w:left w:val="single" w:color="auto" w:sz="4" w:space="0"/>
              <w:bottom w:val="single" w:color="auto" w:sz="4" w:space="0"/>
              <w:right w:val="single" w:color="auto" w:sz="4" w:space="0"/>
            </w:tcBorders>
            <w:vAlign w:val="center"/>
          </w:tcPr>
          <w:p w14:paraId="07C38E4B">
            <w:pPr>
              <w:snapToGrid w:val="0"/>
              <w:spacing w:line="360" w:lineRule="auto"/>
              <w:rPr>
                <w:rFonts w:ascii="宋体" w:hAnsi="宋体"/>
                <w:color w:val="auto"/>
                <w:szCs w:val="21"/>
              </w:rPr>
            </w:pPr>
            <w:r>
              <w:rPr>
                <w:rFonts w:hint="eastAsia" w:ascii="宋体" w:hAnsi="宋体"/>
                <w:color w:val="auto"/>
                <w:szCs w:val="21"/>
              </w:rPr>
              <w:t>不组织现场考察</w:t>
            </w:r>
          </w:p>
        </w:tc>
      </w:tr>
      <w:tr w14:paraId="7DAAD4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68" w:type="dxa"/>
            <w:vMerge w:val="continue"/>
            <w:tcBorders>
              <w:left w:val="single" w:color="auto" w:sz="4" w:space="0"/>
              <w:bottom w:val="single" w:color="auto" w:sz="4" w:space="0"/>
              <w:right w:val="single" w:color="auto" w:sz="4" w:space="0"/>
            </w:tcBorders>
            <w:vAlign w:val="center"/>
          </w:tcPr>
          <w:p w14:paraId="0800D241">
            <w:pPr>
              <w:spacing w:line="360" w:lineRule="auto"/>
              <w:jc w:val="center"/>
              <w:rPr>
                <w:rFonts w:ascii="宋体" w:hAnsi="宋体"/>
                <w:color w:val="auto"/>
                <w:szCs w:val="21"/>
              </w:rPr>
            </w:pPr>
          </w:p>
        </w:tc>
        <w:tc>
          <w:tcPr>
            <w:tcW w:w="8597" w:type="dxa"/>
            <w:tcBorders>
              <w:top w:val="single" w:color="auto" w:sz="4" w:space="0"/>
              <w:left w:val="single" w:color="auto" w:sz="4" w:space="0"/>
              <w:bottom w:val="single" w:color="auto" w:sz="4" w:space="0"/>
              <w:right w:val="single" w:color="auto" w:sz="4" w:space="0"/>
            </w:tcBorders>
            <w:vAlign w:val="center"/>
          </w:tcPr>
          <w:p w14:paraId="53A41E2C">
            <w:pPr>
              <w:snapToGrid w:val="0"/>
              <w:spacing w:line="360" w:lineRule="auto"/>
              <w:rPr>
                <w:rFonts w:ascii="宋体" w:hAnsi="宋体"/>
                <w:color w:val="auto"/>
                <w:szCs w:val="21"/>
              </w:rPr>
            </w:pPr>
            <w:r>
              <w:rPr>
                <w:rFonts w:hint="eastAsia" w:ascii="宋体" w:hAnsi="宋体" w:cs="宋体"/>
                <w:color w:val="auto"/>
                <w:szCs w:val="21"/>
              </w:rPr>
              <w:t>不组织召开开标前答疑会</w:t>
            </w:r>
          </w:p>
        </w:tc>
      </w:tr>
      <w:tr w14:paraId="34CD87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68" w:type="dxa"/>
            <w:vMerge w:val="restart"/>
            <w:tcBorders>
              <w:top w:val="single" w:color="auto" w:sz="4" w:space="0"/>
              <w:left w:val="single" w:color="auto" w:sz="4" w:space="0"/>
              <w:right w:val="single" w:color="auto" w:sz="4" w:space="0"/>
            </w:tcBorders>
            <w:vAlign w:val="center"/>
          </w:tcPr>
          <w:p w14:paraId="0D88255C">
            <w:pPr>
              <w:spacing w:line="360" w:lineRule="auto"/>
              <w:jc w:val="center"/>
              <w:rPr>
                <w:rFonts w:ascii="宋体" w:hAnsi="宋体"/>
                <w:color w:val="auto"/>
                <w:szCs w:val="21"/>
              </w:rPr>
            </w:pPr>
            <w:bookmarkStart w:id="67" w:name="_13.1"/>
            <w:bookmarkEnd w:id="67"/>
            <w:r>
              <w:rPr>
                <w:rFonts w:hint="eastAsia" w:ascii="宋体" w:hAnsi="宋体"/>
                <w:color w:val="auto"/>
                <w:szCs w:val="21"/>
              </w:rPr>
              <w:t>13.</w:t>
            </w:r>
            <w:bookmarkStart w:id="68" w:name="_Hlt19632543"/>
            <w:r>
              <w:rPr>
                <w:rFonts w:hint="eastAsia" w:ascii="宋体" w:hAnsi="宋体"/>
                <w:color w:val="auto"/>
                <w:szCs w:val="21"/>
              </w:rPr>
              <w:t>1</w:t>
            </w:r>
            <w:bookmarkEnd w:id="68"/>
          </w:p>
        </w:tc>
        <w:tc>
          <w:tcPr>
            <w:tcW w:w="8597" w:type="dxa"/>
            <w:tcBorders>
              <w:top w:val="single" w:color="auto" w:sz="4" w:space="0"/>
              <w:left w:val="single" w:color="auto" w:sz="4" w:space="0"/>
              <w:bottom w:val="single" w:color="auto" w:sz="4" w:space="0"/>
              <w:right w:val="single" w:color="auto" w:sz="4" w:space="0"/>
            </w:tcBorders>
            <w:vAlign w:val="center"/>
          </w:tcPr>
          <w:p w14:paraId="6B5AD8DD">
            <w:pPr>
              <w:snapToGrid w:val="0"/>
              <w:spacing w:line="360" w:lineRule="auto"/>
              <w:jc w:val="left"/>
              <w:rPr>
                <w:rFonts w:ascii="宋体" w:hAnsi="宋体" w:cs="Courier New"/>
                <w:b/>
                <w:color w:val="auto"/>
                <w:szCs w:val="21"/>
              </w:rPr>
            </w:pPr>
            <w:r>
              <w:rPr>
                <w:rFonts w:hint="eastAsia" w:ascii="宋体" w:hAnsi="宋体" w:cs="Courier New"/>
                <w:b/>
                <w:color w:val="auto"/>
                <w:szCs w:val="21"/>
              </w:rPr>
              <w:t>报价文件：</w:t>
            </w:r>
          </w:p>
          <w:p w14:paraId="6944714B">
            <w:pPr>
              <w:tabs>
                <w:tab w:val="left" w:pos="0"/>
              </w:tabs>
              <w:snapToGrid w:val="0"/>
              <w:spacing w:line="360" w:lineRule="auto"/>
              <w:ind w:left="425" w:leftChars="104" w:hanging="207" w:hangingChars="99"/>
              <w:jc w:val="left"/>
              <w:rPr>
                <w:rFonts w:ascii="宋体" w:hAnsi="宋体"/>
                <w:color w:val="auto"/>
                <w:szCs w:val="21"/>
              </w:rPr>
            </w:pPr>
            <w:r>
              <w:rPr>
                <w:rFonts w:ascii="宋体" w:hAnsi="宋体"/>
                <w:bCs/>
                <w:color w:val="auto"/>
                <w:szCs w:val="21"/>
              </w:rPr>
              <w:t>1.</w:t>
            </w:r>
            <w:r>
              <w:rPr>
                <w:rFonts w:hint="eastAsia" w:ascii="宋体" w:hAnsi="宋体"/>
                <w:bCs/>
                <w:color w:val="auto"/>
                <w:szCs w:val="21"/>
              </w:rPr>
              <w:t>投标函</w:t>
            </w:r>
            <w:r>
              <w:rPr>
                <w:rFonts w:hint="eastAsia" w:ascii="宋体" w:hAnsi="宋体"/>
                <w:color w:val="auto"/>
                <w:szCs w:val="21"/>
              </w:rPr>
              <w:t>（格式后附）；</w:t>
            </w:r>
            <w:r>
              <w:rPr>
                <w:rFonts w:hint="eastAsia" w:ascii="宋体" w:hAnsi="宋体"/>
                <w:b/>
                <w:color w:val="auto"/>
                <w:szCs w:val="21"/>
              </w:rPr>
              <w:t>（必须提供，否则作无效投标处理）</w:t>
            </w:r>
          </w:p>
          <w:p w14:paraId="7038392F">
            <w:pPr>
              <w:tabs>
                <w:tab w:val="left" w:pos="0"/>
              </w:tabs>
              <w:snapToGrid w:val="0"/>
              <w:spacing w:line="360" w:lineRule="auto"/>
              <w:ind w:left="425" w:leftChars="104" w:hanging="207" w:hangingChars="99"/>
              <w:jc w:val="left"/>
              <w:rPr>
                <w:rFonts w:ascii="宋体" w:hAnsi="宋体"/>
                <w:color w:val="auto"/>
                <w:szCs w:val="21"/>
              </w:rPr>
            </w:pPr>
            <w:r>
              <w:rPr>
                <w:rFonts w:ascii="宋体" w:hAnsi="宋体"/>
                <w:bCs/>
                <w:color w:val="auto"/>
                <w:szCs w:val="21"/>
              </w:rPr>
              <w:t>2.</w:t>
            </w:r>
            <w:r>
              <w:rPr>
                <w:rFonts w:hint="eastAsia" w:ascii="宋体" w:hAnsi="宋体"/>
                <w:bCs/>
                <w:color w:val="auto"/>
                <w:szCs w:val="21"/>
              </w:rPr>
              <w:t>开标一览表</w:t>
            </w:r>
            <w:r>
              <w:rPr>
                <w:rFonts w:hint="eastAsia" w:ascii="宋体" w:hAnsi="宋体"/>
                <w:color w:val="auto"/>
                <w:szCs w:val="21"/>
              </w:rPr>
              <w:t>（格式后附）； （</w:t>
            </w:r>
            <w:r>
              <w:rPr>
                <w:rFonts w:hint="eastAsia" w:ascii="宋体" w:hAnsi="宋体"/>
                <w:b/>
                <w:color w:val="auto"/>
                <w:szCs w:val="21"/>
              </w:rPr>
              <w:t>必须提供，否则作无效投标处理</w:t>
            </w:r>
            <w:r>
              <w:rPr>
                <w:rFonts w:hint="eastAsia" w:ascii="宋体" w:hAnsi="宋体"/>
                <w:color w:val="auto"/>
                <w:szCs w:val="21"/>
              </w:rPr>
              <w:t>）</w:t>
            </w:r>
          </w:p>
          <w:p w14:paraId="66367D91">
            <w:pPr>
              <w:tabs>
                <w:tab w:val="left" w:pos="0"/>
              </w:tabs>
              <w:snapToGrid w:val="0"/>
              <w:spacing w:line="360" w:lineRule="auto"/>
              <w:ind w:left="425" w:leftChars="104" w:hanging="207" w:hangingChars="99"/>
              <w:jc w:val="left"/>
              <w:rPr>
                <w:rFonts w:ascii="宋体" w:hAnsi="宋体"/>
                <w:color w:val="auto"/>
                <w:szCs w:val="21"/>
              </w:rPr>
            </w:pPr>
            <w:r>
              <w:rPr>
                <w:rFonts w:ascii="宋体" w:hAnsi="宋体"/>
                <w:bCs/>
                <w:color w:val="auto"/>
                <w:szCs w:val="21"/>
              </w:rPr>
              <w:t>3.</w:t>
            </w:r>
            <w:r>
              <w:rPr>
                <w:rFonts w:hint="eastAsia" w:ascii="宋体" w:hAnsi="宋体"/>
                <w:bCs/>
                <w:color w:val="auto"/>
                <w:szCs w:val="21"/>
              </w:rPr>
              <w:t>投标人针对报价需要说明的其他文件和说明（格式自拟）</w:t>
            </w:r>
            <w:r>
              <w:rPr>
                <w:rFonts w:hint="eastAsia" w:ascii="宋体" w:hAnsi="宋体"/>
                <w:color w:val="auto"/>
                <w:szCs w:val="21"/>
              </w:rPr>
              <w:t>。</w:t>
            </w:r>
          </w:p>
          <w:p w14:paraId="17C61990">
            <w:pPr>
              <w:snapToGrid w:val="0"/>
              <w:spacing w:line="360" w:lineRule="auto"/>
              <w:ind w:left="427" w:leftChars="104" w:hanging="209" w:hangingChars="99"/>
              <w:jc w:val="left"/>
              <w:rPr>
                <w:rFonts w:ascii="宋体" w:hAnsi="宋体"/>
                <w:color w:val="auto"/>
                <w:szCs w:val="21"/>
              </w:rPr>
            </w:pPr>
            <w:r>
              <w:rPr>
                <w:rFonts w:hint="eastAsia" w:ascii="宋体" w:hAnsi="宋体"/>
                <w:b/>
                <w:bCs/>
                <w:color w:val="auto"/>
                <w:szCs w:val="21"/>
              </w:rPr>
              <w:t>注：投标函、开标一览表必须由法定代表人或者委托代理人在规定签章处逐一签字</w:t>
            </w:r>
            <w:r>
              <w:rPr>
                <w:rFonts w:hint="eastAsia" w:ascii="宋体" w:hAnsi="宋体"/>
                <w:b/>
                <w:bCs/>
                <w:color w:val="auto"/>
                <w:szCs w:val="21"/>
                <w:lang w:eastAsia="zh-CN"/>
              </w:rPr>
              <w:t>（</w:t>
            </w:r>
            <w:r>
              <w:rPr>
                <w:rFonts w:hint="eastAsia" w:ascii="宋体" w:hAnsi="宋体"/>
                <w:b/>
                <w:bCs/>
                <w:color w:val="auto"/>
                <w:szCs w:val="21"/>
                <w:lang w:val="en-US" w:eastAsia="zh-CN"/>
              </w:rPr>
              <w:t>或</w:t>
            </w:r>
            <w:r>
              <w:rPr>
                <w:rFonts w:hint="eastAsia" w:ascii="宋体" w:hAnsi="宋体"/>
                <w:b/>
                <w:bCs/>
                <w:color w:val="auto"/>
                <w:szCs w:val="21"/>
              </w:rPr>
              <w:t>电子签名</w:t>
            </w:r>
            <w:r>
              <w:rPr>
                <w:rFonts w:hint="eastAsia" w:ascii="宋体" w:hAnsi="宋体"/>
                <w:b/>
                <w:bCs/>
                <w:color w:val="auto"/>
                <w:szCs w:val="21"/>
                <w:lang w:eastAsia="zh-CN"/>
              </w:rPr>
              <w:t>）</w:t>
            </w:r>
            <w:r>
              <w:rPr>
                <w:rFonts w:hint="eastAsia" w:ascii="宋体" w:hAnsi="宋体"/>
                <w:b/>
                <w:bCs/>
                <w:color w:val="auto"/>
                <w:szCs w:val="21"/>
              </w:rPr>
              <w:t>并加盖投标人公章</w:t>
            </w:r>
            <w:r>
              <w:rPr>
                <w:rFonts w:hint="eastAsia" w:ascii="宋体" w:hAnsi="宋体"/>
                <w:b/>
                <w:bCs/>
                <w:color w:val="auto"/>
                <w:szCs w:val="21"/>
                <w:lang w:eastAsia="zh-CN"/>
              </w:rPr>
              <w:t>（</w:t>
            </w:r>
            <w:r>
              <w:rPr>
                <w:rFonts w:hint="eastAsia" w:ascii="宋体" w:hAnsi="宋体"/>
                <w:b/>
                <w:bCs/>
                <w:color w:val="auto"/>
                <w:szCs w:val="21"/>
                <w:lang w:val="en-US" w:eastAsia="zh-CN"/>
              </w:rPr>
              <w:t>或</w:t>
            </w:r>
            <w:r>
              <w:rPr>
                <w:rFonts w:hint="eastAsia" w:ascii="宋体" w:hAnsi="宋体"/>
                <w:b/>
                <w:bCs/>
                <w:color w:val="auto"/>
                <w:szCs w:val="21"/>
              </w:rPr>
              <w:t>电子签章</w:t>
            </w:r>
            <w:r>
              <w:rPr>
                <w:rFonts w:hint="eastAsia" w:ascii="宋体" w:hAnsi="宋体"/>
                <w:b/>
                <w:bCs/>
                <w:color w:val="auto"/>
                <w:szCs w:val="21"/>
                <w:lang w:eastAsia="zh-CN"/>
              </w:rPr>
              <w:t>）</w:t>
            </w:r>
            <w:r>
              <w:rPr>
                <w:rFonts w:hint="eastAsia" w:ascii="宋体" w:hAnsi="宋体"/>
                <w:b/>
                <w:bCs/>
                <w:color w:val="auto"/>
                <w:szCs w:val="21"/>
              </w:rPr>
              <w:t>，否则</w:t>
            </w:r>
            <w:r>
              <w:rPr>
                <w:rFonts w:hint="eastAsia" w:ascii="宋体" w:hAnsi="宋体" w:cs="Courier New"/>
                <w:b/>
                <w:color w:val="auto"/>
                <w:szCs w:val="21"/>
              </w:rPr>
              <w:t>作无效投标处理</w:t>
            </w:r>
            <w:r>
              <w:rPr>
                <w:rFonts w:hint="eastAsia" w:ascii="宋体" w:hAnsi="宋体"/>
                <w:b/>
                <w:bCs/>
                <w:color w:val="auto"/>
                <w:szCs w:val="21"/>
              </w:rPr>
              <w:t>。</w:t>
            </w:r>
          </w:p>
        </w:tc>
      </w:tr>
      <w:tr w14:paraId="593682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68" w:type="dxa"/>
            <w:vMerge w:val="continue"/>
            <w:tcBorders>
              <w:left w:val="single" w:color="auto" w:sz="4" w:space="0"/>
              <w:right w:val="single" w:color="auto" w:sz="4" w:space="0"/>
            </w:tcBorders>
            <w:vAlign w:val="center"/>
          </w:tcPr>
          <w:p w14:paraId="7AFD0D35">
            <w:pPr>
              <w:spacing w:line="360" w:lineRule="auto"/>
              <w:rPr>
                <w:rFonts w:ascii="宋体" w:hAnsi="宋体"/>
                <w:color w:val="auto"/>
                <w:szCs w:val="21"/>
              </w:rPr>
            </w:pPr>
            <w:bookmarkStart w:id="69" w:name="_13.2"/>
            <w:bookmarkEnd w:id="69"/>
          </w:p>
        </w:tc>
        <w:tc>
          <w:tcPr>
            <w:tcW w:w="8597" w:type="dxa"/>
            <w:tcBorders>
              <w:top w:val="single" w:color="auto" w:sz="4" w:space="0"/>
              <w:left w:val="single" w:color="auto" w:sz="4" w:space="0"/>
              <w:bottom w:val="single" w:color="auto" w:sz="4" w:space="0"/>
              <w:right w:val="single" w:color="auto" w:sz="4" w:space="0"/>
            </w:tcBorders>
            <w:vAlign w:val="center"/>
          </w:tcPr>
          <w:p w14:paraId="1EBA9FCD">
            <w:pPr>
              <w:snapToGrid w:val="0"/>
              <w:spacing w:line="360" w:lineRule="auto"/>
              <w:jc w:val="left"/>
              <w:rPr>
                <w:rFonts w:ascii="宋体" w:hAnsi="宋体" w:cs="Courier New"/>
                <w:b/>
                <w:color w:val="auto"/>
                <w:szCs w:val="21"/>
              </w:rPr>
            </w:pPr>
            <w:r>
              <w:rPr>
                <w:rFonts w:hint="eastAsia" w:ascii="宋体" w:hAnsi="宋体" w:cs="Courier New"/>
                <w:b/>
                <w:color w:val="auto"/>
                <w:szCs w:val="21"/>
              </w:rPr>
              <w:t>资格证明文件</w:t>
            </w:r>
          </w:p>
          <w:p w14:paraId="7D71E698">
            <w:pPr>
              <w:snapToGrid w:val="0"/>
              <w:spacing w:line="360" w:lineRule="auto"/>
              <w:ind w:firstLine="420" w:firstLineChars="200"/>
              <w:jc w:val="left"/>
              <w:rPr>
                <w:rFonts w:ascii="宋体" w:hAnsi="宋体"/>
                <w:color w:val="auto"/>
                <w:szCs w:val="21"/>
              </w:rPr>
            </w:pPr>
            <w:r>
              <w:rPr>
                <w:rFonts w:ascii="宋体" w:hAnsi="宋体"/>
                <w:bCs/>
                <w:color w:val="auto"/>
                <w:szCs w:val="21"/>
              </w:rPr>
              <w:t>1.</w:t>
            </w:r>
            <w:r>
              <w:rPr>
                <w:rFonts w:hint="eastAsia" w:ascii="宋体" w:hAnsi="宋体"/>
                <w:bCs/>
                <w:color w:val="auto"/>
                <w:szCs w:val="21"/>
              </w:rPr>
              <w:t>投</w:t>
            </w:r>
            <w:r>
              <w:rPr>
                <w:rFonts w:hint="eastAsia" w:ascii="宋体" w:hAnsi="宋体"/>
                <w:color w:val="auto"/>
                <w:szCs w:val="21"/>
              </w:rPr>
              <w:t>标人为法人或者其他组织的，提供营业执照等证明文件</w:t>
            </w:r>
            <w:r>
              <w:rPr>
                <w:rFonts w:hint="eastAsia" w:ascii="宋体" w:hAnsi="宋体" w:cs="宋体"/>
                <w:color w:val="auto"/>
                <w:szCs w:val="21"/>
              </w:rPr>
              <w:t>（如营业执照或者事业单位法人证书或者</w:t>
            </w:r>
            <w:r>
              <w:rPr>
                <w:rStyle w:val="32"/>
                <w:color w:val="auto"/>
                <w:sz w:val="21"/>
                <w:szCs w:val="21"/>
              </w:rPr>
              <w:t>执业许可证</w:t>
            </w:r>
            <w:r>
              <w:rPr>
                <w:rFonts w:hint="eastAsia" w:ascii="宋体" w:hAnsi="宋体" w:cs="宋体"/>
                <w:color w:val="auto"/>
                <w:szCs w:val="21"/>
              </w:rPr>
              <w:t>等）</w:t>
            </w:r>
            <w:r>
              <w:rPr>
                <w:rFonts w:hint="eastAsia" w:ascii="宋体" w:hAnsi="宋体"/>
                <w:color w:val="auto"/>
                <w:szCs w:val="21"/>
              </w:rPr>
              <w:t>，投标人为自然人的，提供身份证</w:t>
            </w:r>
            <w:r>
              <w:rPr>
                <w:rFonts w:hint="eastAsia" w:ascii="宋体" w:hAnsi="宋体" w:cs="宋体"/>
                <w:color w:val="auto"/>
                <w:szCs w:val="21"/>
              </w:rPr>
              <w:t>复印件</w:t>
            </w:r>
            <w:r>
              <w:rPr>
                <w:rFonts w:hint="eastAsia" w:ascii="宋体" w:hAnsi="宋体"/>
                <w:color w:val="auto"/>
                <w:szCs w:val="21"/>
              </w:rPr>
              <w:t>；（</w:t>
            </w:r>
            <w:r>
              <w:rPr>
                <w:rFonts w:hint="eastAsia" w:ascii="宋体" w:hAnsi="宋体"/>
                <w:b/>
                <w:color w:val="auto"/>
                <w:szCs w:val="21"/>
              </w:rPr>
              <w:t>必须提供，否则作无效投标处理</w:t>
            </w:r>
            <w:r>
              <w:rPr>
                <w:rFonts w:hint="eastAsia" w:ascii="宋体" w:hAnsi="宋体"/>
                <w:color w:val="auto"/>
                <w:szCs w:val="21"/>
              </w:rPr>
              <w:t>）</w:t>
            </w:r>
          </w:p>
          <w:p w14:paraId="3128EADB">
            <w:pPr>
              <w:snapToGrid w:val="0"/>
              <w:spacing w:line="360" w:lineRule="auto"/>
              <w:ind w:firstLine="420" w:firstLineChars="200"/>
              <w:jc w:val="left"/>
              <w:rPr>
                <w:rFonts w:ascii="宋体" w:hAnsi="宋体" w:cs="宋体"/>
                <w:color w:val="auto"/>
                <w:szCs w:val="21"/>
              </w:rPr>
            </w:pPr>
            <w:r>
              <w:rPr>
                <w:rFonts w:ascii="宋体" w:hAnsi="宋体"/>
                <w:bCs/>
                <w:color w:val="auto"/>
                <w:szCs w:val="21"/>
              </w:rPr>
              <w:t>2.</w:t>
            </w:r>
            <w:r>
              <w:rPr>
                <w:rFonts w:hint="eastAsia" w:ascii="宋体" w:hAnsi="宋体" w:cs="宋体"/>
                <w:bCs/>
                <w:color w:val="auto"/>
                <w:szCs w:val="21"/>
              </w:rPr>
              <w:t>投标</w:t>
            </w:r>
            <w:r>
              <w:rPr>
                <w:rFonts w:hint="eastAsia" w:ascii="宋体" w:hAnsi="宋体" w:cs="宋体"/>
                <w:color w:val="auto"/>
                <w:szCs w:val="21"/>
              </w:rPr>
              <w:t>人依法缴纳税收的相关材料</w:t>
            </w:r>
            <w:r>
              <w:rPr>
                <w:rFonts w:hint="eastAsia" w:ascii="宋体" w:hAnsi="宋体"/>
                <w:color w:val="auto"/>
                <w:szCs w:val="21"/>
              </w:rPr>
              <w:t>（</w:t>
            </w:r>
            <w:r>
              <w:rPr>
                <w:rFonts w:hint="eastAsia" w:ascii="宋体" w:hAnsi="宋体"/>
                <w:b/>
                <w:color w:val="auto"/>
                <w:szCs w:val="21"/>
              </w:rPr>
              <w:t>必须提供，否则作无效投标处理</w:t>
            </w:r>
            <w:r>
              <w:rPr>
                <w:rFonts w:hint="eastAsia" w:ascii="宋体" w:hAnsi="宋体"/>
                <w:color w:val="auto"/>
                <w:szCs w:val="21"/>
              </w:rPr>
              <w:t>）</w:t>
            </w:r>
          </w:p>
          <w:p w14:paraId="29145AEA">
            <w:pPr>
              <w:snapToGrid w:val="0"/>
              <w:spacing w:line="360" w:lineRule="auto"/>
              <w:ind w:firstLine="420" w:firstLineChars="200"/>
              <w:jc w:val="left"/>
              <w:rPr>
                <w:rFonts w:ascii="宋体" w:hAnsi="宋体" w:cs="宋体"/>
                <w:color w:val="auto"/>
                <w:szCs w:val="21"/>
              </w:rPr>
            </w:pPr>
            <w:r>
              <w:rPr>
                <w:rFonts w:hint="eastAsia" w:ascii="宋体" w:hAnsi="宋体" w:cs="宋体"/>
                <w:color w:val="auto"/>
                <w:szCs w:val="21"/>
              </w:rPr>
              <w:t>【</w:t>
            </w:r>
            <w:r>
              <w:rPr>
                <w:rFonts w:hint="eastAsia" w:ascii="宋体" w:hAnsi="宋体" w:cs="宋体"/>
                <w:color w:val="auto"/>
                <w:szCs w:val="21"/>
                <w:u w:val="single"/>
              </w:rPr>
              <w:t xml:space="preserve"> 202</w:t>
            </w:r>
            <w:r>
              <w:rPr>
                <w:rFonts w:hint="eastAsia" w:ascii="宋体" w:hAnsi="宋体" w:cs="宋体"/>
                <w:color w:val="auto"/>
                <w:szCs w:val="21"/>
                <w:u w:val="single"/>
                <w:lang w:val="en-US" w:eastAsia="zh-CN"/>
              </w:rPr>
              <w:t>6</w:t>
            </w:r>
            <w:r>
              <w:rPr>
                <w:rFonts w:hint="eastAsia" w:ascii="宋体" w:hAnsi="宋体" w:cs="宋体"/>
                <w:color w:val="auto"/>
                <w:szCs w:val="21"/>
                <w:u w:val="single"/>
              </w:rPr>
              <w:t xml:space="preserve"> 年 1 月 </w:t>
            </w:r>
            <w:r>
              <w:rPr>
                <w:rFonts w:hint="eastAsia" w:ascii="宋体" w:hAnsi="宋体" w:cs="宋体"/>
                <w:color w:val="auto"/>
                <w:szCs w:val="21"/>
              </w:rPr>
              <w:t>以来</w:t>
            </w:r>
            <w:r>
              <w:rPr>
                <w:rFonts w:hint="eastAsia" w:ascii="宋体" w:hAnsi="宋体" w:cs="宋体"/>
                <w:color w:val="auto"/>
                <w:szCs w:val="21"/>
                <w:lang w:val="en-US" w:eastAsia="zh-CN"/>
              </w:rPr>
              <w:t>任意1</w:t>
            </w:r>
            <w:r>
              <w:rPr>
                <w:rFonts w:hint="eastAsia" w:ascii="宋体" w:hAnsi="宋体" w:cs="宋体"/>
                <w:color w:val="auto"/>
                <w:szCs w:val="21"/>
                <w:u w:val="single"/>
              </w:rPr>
              <w:t xml:space="preserve">个月 </w:t>
            </w:r>
            <w:r>
              <w:rPr>
                <w:rFonts w:hint="eastAsia" w:ascii="宋体" w:hAnsi="宋体" w:cs="宋体"/>
                <w:color w:val="auto"/>
                <w:szCs w:val="21"/>
              </w:rPr>
              <w:t>的依法缴纳税收的凭据复印件；依法免税的供应商，必须提供相应文件证明其依法免税。从取得营业执照时间起到投标文件提交截止时间为止不足要求月数的，只需提供从取得营业执照起的依法缴纳税收相应证明文件】；</w:t>
            </w:r>
          </w:p>
          <w:p w14:paraId="6503B051">
            <w:pPr>
              <w:snapToGrid w:val="0"/>
              <w:spacing w:line="360" w:lineRule="auto"/>
              <w:ind w:firstLine="420" w:firstLineChars="200"/>
              <w:jc w:val="left"/>
              <w:rPr>
                <w:rFonts w:ascii="宋体" w:hAnsi="宋体" w:cs="宋体"/>
                <w:color w:val="auto"/>
                <w:szCs w:val="21"/>
              </w:rPr>
            </w:pPr>
            <w:r>
              <w:rPr>
                <w:rFonts w:ascii="宋体" w:hAnsi="宋体"/>
                <w:bCs/>
                <w:color w:val="auto"/>
                <w:szCs w:val="21"/>
              </w:rPr>
              <w:t>3.</w:t>
            </w:r>
            <w:r>
              <w:rPr>
                <w:rFonts w:hint="eastAsia" w:ascii="宋体" w:hAnsi="宋体" w:cs="宋体"/>
                <w:bCs/>
                <w:color w:val="auto"/>
                <w:szCs w:val="21"/>
              </w:rPr>
              <w:t>投</w:t>
            </w:r>
            <w:r>
              <w:rPr>
                <w:rFonts w:hint="eastAsia" w:ascii="宋体" w:hAnsi="宋体" w:cs="宋体"/>
                <w:color w:val="auto"/>
                <w:szCs w:val="21"/>
              </w:rPr>
              <w:t>标人依法缴纳社会保障资金的相关材料</w:t>
            </w:r>
            <w:r>
              <w:rPr>
                <w:rFonts w:hint="eastAsia" w:ascii="宋体" w:hAnsi="宋体"/>
                <w:color w:val="auto"/>
                <w:szCs w:val="21"/>
              </w:rPr>
              <w:t>（</w:t>
            </w:r>
            <w:r>
              <w:rPr>
                <w:rFonts w:hint="eastAsia" w:ascii="宋体" w:hAnsi="宋体"/>
                <w:b/>
                <w:color w:val="auto"/>
                <w:szCs w:val="21"/>
              </w:rPr>
              <w:t>必须提供，否则作无效投标处理</w:t>
            </w:r>
            <w:r>
              <w:rPr>
                <w:rFonts w:hint="eastAsia" w:ascii="宋体" w:hAnsi="宋体"/>
                <w:color w:val="auto"/>
                <w:szCs w:val="21"/>
              </w:rPr>
              <w:t>）</w:t>
            </w:r>
          </w:p>
          <w:p w14:paraId="3733047D">
            <w:pPr>
              <w:snapToGrid w:val="0"/>
              <w:spacing w:line="360" w:lineRule="auto"/>
              <w:ind w:firstLine="420" w:firstLineChars="200"/>
              <w:jc w:val="left"/>
              <w:rPr>
                <w:rFonts w:ascii="宋体" w:hAnsi="宋体"/>
                <w:color w:val="auto"/>
                <w:szCs w:val="21"/>
              </w:rPr>
            </w:pPr>
            <w:r>
              <w:rPr>
                <w:rFonts w:hint="eastAsia" w:ascii="宋体" w:hAnsi="宋体" w:cs="宋体"/>
                <w:color w:val="auto"/>
                <w:szCs w:val="21"/>
              </w:rPr>
              <w:t>【</w:t>
            </w:r>
            <w:r>
              <w:rPr>
                <w:rFonts w:hint="eastAsia" w:ascii="宋体" w:hAnsi="宋体" w:cs="宋体"/>
                <w:color w:val="auto"/>
                <w:szCs w:val="21"/>
                <w:u w:val="single"/>
              </w:rPr>
              <w:t xml:space="preserve"> 202</w:t>
            </w:r>
            <w:r>
              <w:rPr>
                <w:rFonts w:hint="eastAsia" w:ascii="宋体" w:hAnsi="宋体" w:cs="宋体"/>
                <w:color w:val="auto"/>
                <w:szCs w:val="21"/>
                <w:u w:val="single"/>
                <w:lang w:val="en-US" w:eastAsia="zh-CN"/>
              </w:rPr>
              <w:t>6</w:t>
            </w:r>
            <w:r>
              <w:rPr>
                <w:rFonts w:hint="eastAsia" w:ascii="宋体" w:hAnsi="宋体" w:cs="宋体"/>
                <w:color w:val="auto"/>
                <w:szCs w:val="21"/>
                <w:u w:val="single"/>
              </w:rPr>
              <w:t xml:space="preserve"> 年 1 月</w:t>
            </w:r>
            <w:r>
              <w:rPr>
                <w:rFonts w:hint="eastAsia" w:ascii="宋体" w:hAnsi="宋体" w:cs="宋体"/>
                <w:color w:val="auto"/>
                <w:szCs w:val="21"/>
              </w:rPr>
              <w:t>以来</w:t>
            </w:r>
            <w:r>
              <w:rPr>
                <w:rFonts w:hint="eastAsia" w:ascii="宋体" w:hAnsi="宋体" w:cs="宋体"/>
                <w:color w:val="auto"/>
                <w:szCs w:val="21"/>
                <w:lang w:val="en-US" w:eastAsia="zh-CN"/>
              </w:rPr>
              <w:t>任意1</w:t>
            </w:r>
            <w:r>
              <w:rPr>
                <w:rFonts w:hint="eastAsia" w:ascii="宋体" w:hAnsi="宋体" w:cs="宋体"/>
                <w:color w:val="auto"/>
                <w:szCs w:val="21"/>
                <w:u w:val="single"/>
              </w:rPr>
              <w:t xml:space="preserve">个月 </w:t>
            </w:r>
            <w:r>
              <w:rPr>
                <w:rFonts w:hint="eastAsia" w:ascii="宋体" w:hAnsi="宋体" w:cs="宋体"/>
                <w:color w:val="auto"/>
                <w:szCs w:val="21"/>
              </w:rPr>
              <w:t>的依法缴纳社会保障资金的缴费凭证（专用收据或者社会保险缴纳清单）复印件；</w:t>
            </w:r>
            <w:r>
              <w:rPr>
                <w:rFonts w:hint="eastAsia" w:ascii="宋体" w:hAnsi="宋体"/>
                <w:color w:val="auto"/>
                <w:szCs w:val="21"/>
              </w:rPr>
              <w:t>依法不需要缴纳社会保障资金的供应商，必须提供相应文件证明不需要缴纳社会保障资金。</w:t>
            </w:r>
            <w:r>
              <w:rPr>
                <w:rFonts w:hint="eastAsia" w:ascii="宋体" w:hAnsi="宋体" w:cs="宋体"/>
                <w:color w:val="auto"/>
                <w:szCs w:val="21"/>
              </w:rPr>
              <w:t>从取得营业执照时间起到投标文件提交截止时间为止不足要求月数的只需提供从取得营业执照起的依法缴纳社会保障资金的</w:t>
            </w:r>
            <w:r>
              <w:rPr>
                <w:rFonts w:hint="eastAsia" w:ascii="宋体" w:hAnsi="宋体"/>
                <w:color w:val="auto"/>
                <w:szCs w:val="21"/>
              </w:rPr>
              <w:t>相应证明文件</w:t>
            </w:r>
            <w:r>
              <w:rPr>
                <w:rFonts w:hint="eastAsia" w:ascii="宋体" w:hAnsi="宋体" w:cs="宋体"/>
                <w:color w:val="auto"/>
                <w:szCs w:val="21"/>
              </w:rPr>
              <w:t>】</w:t>
            </w:r>
            <w:r>
              <w:rPr>
                <w:rFonts w:hint="eastAsia" w:ascii="宋体" w:hAnsi="宋体"/>
                <w:color w:val="auto"/>
                <w:szCs w:val="21"/>
              </w:rPr>
              <w:t>；</w:t>
            </w:r>
          </w:p>
          <w:p w14:paraId="7A2BA521">
            <w:pPr>
              <w:snapToGrid w:val="0"/>
              <w:spacing w:line="360" w:lineRule="auto"/>
              <w:ind w:firstLine="420" w:firstLineChars="200"/>
              <w:jc w:val="left"/>
              <w:rPr>
                <w:rFonts w:ascii="宋体" w:hAnsi="宋体"/>
                <w:color w:val="auto"/>
                <w:szCs w:val="21"/>
              </w:rPr>
            </w:pPr>
            <w:r>
              <w:rPr>
                <w:rFonts w:ascii="宋体" w:hAnsi="宋体"/>
                <w:bCs/>
                <w:color w:val="auto"/>
                <w:szCs w:val="21"/>
              </w:rPr>
              <w:t>4.</w:t>
            </w:r>
            <w:r>
              <w:rPr>
                <w:rFonts w:hint="eastAsia" w:ascii="宋体" w:hAnsi="宋体" w:cs="宋体"/>
                <w:bCs/>
                <w:color w:val="auto"/>
                <w:szCs w:val="21"/>
              </w:rPr>
              <w:t>投标</w:t>
            </w:r>
            <w:r>
              <w:rPr>
                <w:rFonts w:hint="eastAsia" w:ascii="宋体" w:hAnsi="宋体" w:cs="宋体"/>
                <w:color w:val="auto"/>
                <w:szCs w:val="21"/>
              </w:rPr>
              <w:t>人财务状况报告</w:t>
            </w:r>
            <w:r>
              <w:rPr>
                <w:rFonts w:hint="eastAsia" w:ascii="宋体" w:hAnsi="宋体"/>
                <w:color w:val="auto"/>
                <w:szCs w:val="21"/>
              </w:rPr>
              <w:t>（</w:t>
            </w:r>
            <w:r>
              <w:rPr>
                <w:rFonts w:hint="eastAsia" w:ascii="宋体" w:hAnsi="宋体"/>
                <w:b/>
                <w:color w:val="auto"/>
                <w:szCs w:val="21"/>
              </w:rPr>
              <w:t>必须提供，否则作无效投标处理</w:t>
            </w:r>
            <w:r>
              <w:rPr>
                <w:rFonts w:hint="eastAsia" w:ascii="宋体" w:hAnsi="宋体"/>
                <w:color w:val="auto"/>
                <w:szCs w:val="21"/>
              </w:rPr>
              <w:t>）</w:t>
            </w:r>
          </w:p>
          <w:p w14:paraId="1EEEE254">
            <w:pPr>
              <w:snapToGrid w:val="0"/>
              <w:spacing w:line="360" w:lineRule="auto"/>
              <w:ind w:firstLine="420" w:firstLineChars="200"/>
              <w:jc w:val="left"/>
              <w:rPr>
                <w:rFonts w:ascii="宋体" w:hAnsi="宋体" w:cs="宋体"/>
                <w:color w:val="auto"/>
                <w:szCs w:val="21"/>
              </w:rPr>
            </w:pPr>
            <w:r>
              <w:rPr>
                <w:rFonts w:hint="eastAsia" w:ascii="宋体" w:hAnsi="宋体" w:cs="宋体"/>
                <w:color w:val="auto"/>
                <w:szCs w:val="21"/>
              </w:rPr>
              <w:t>【</w:t>
            </w:r>
            <w:r>
              <w:rPr>
                <w:rFonts w:hint="eastAsia" w:ascii="宋体" w:hAnsi="宋体"/>
                <w:bCs/>
                <w:color w:val="auto"/>
                <w:szCs w:val="21"/>
                <w:highlight w:val="none"/>
                <w:u w:val="single"/>
                <w:lang w:val="en-US" w:eastAsia="zh-CN"/>
              </w:rPr>
              <w:t>2025年</w:t>
            </w:r>
            <w:r>
              <w:rPr>
                <w:rFonts w:hint="eastAsia" w:ascii="宋体" w:hAnsi="宋体" w:cs="宋体"/>
                <w:color w:val="auto"/>
                <w:szCs w:val="21"/>
                <w:u w:val="single"/>
              </w:rPr>
              <w:t>度</w:t>
            </w:r>
            <w:r>
              <w:rPr>
                <w:rFonts w:hint="eastAsia" w:ascii="宋体" w:hAnsi="宋体" w:cs="宋体"/>
                <w:color w:val="auto"/>
                <w:szCs w:val="21"/>
              </w:rPr>
              <w:t>财务报表复印件或者银行出具的资信证明；投标人属于成立时间在规定年度之后的法人或其他组织，需提供成立之日起至投标截止时间前的月报表或银行出具的资信证明；资信证明应在有效期内，未注明有效期的，银行出具时间至投标截止时间不超过一年】</w:t>
            </w:r>
            <w:r>
              <w:rPr>
                <w:rFonts w:hint="eastAsia" w:ascii="宋体" w:hAnsi="宋体"/>
                <w:color w:val="auto"/>
                <w:szCs w:val="21"/>
              </w:rPr>
              <w:t>；</w:t>
            </w:r>
          </w:p>
          <w:p w14:paraId="1EBCAD3F">
            <w:pPr>
              <w:snapToGrid w:val="0"/>
              <w:spacing w:line="360" w:lineRule="auto"/>
              <w:ind w:firstLine="420" w:firstLineChars="200"/>
              <w:jc w:val="left"/>
              <w:rPr>
                <w:rFonts w:ascii="宋体" w:hAnsi="宋体"/>
                <w:color w:val="auto"/>
                <w:szCs w:val="21"/>
              </w:rPr>
            </w:pPr>
            <w:r>
              <w:rPr>
                <w:rFonts w:ascii="宋体" w:hAnsi="宋体"/>
                <w:bCs/>
                <w:color w:val="auto"/>
                <w:szCs w:val="21"/>
              </w:rPr>
              <w:t>5.</w:t>
            </w:r>
            <w:r>
              <w:rPr>
                <w:rFonts w:hint="eastAsia" w:ascii="宋体" w:hAnsi="宋体"/>
                <w:bCs/>
                <w:color w:val="auto"/>
                <w:szCs w:val="21"/>
              </w:rPr>
              <w:t>投</w:t>
            </w:r>
            <w:r>
              <w:rPr>
                <w:rFonts w:hint="eastAsia" w:ascii="宋体" w:hAnsi="宋体"/>
                <w:color w:val="auto"/>
                <w:szCs w:val="21"/>
              </w:rPr>
              <w:t>标人直接控股、管理关系信息表（格式后附）；（</w:t>
            </w:r>
            <w:r>
              <w:rPr>
                <w:rFonts w:hint="eastAsia" w:ascii="宋体" w:hAnsi="宋体"/>
                <w:b/>
                <w:color w:val="auto"/>
                <w:szCs w:val="21"/>
              </w:rPr>
              <w:t>必须提供，否则作无效投标处理</w:t>
            </w:r>
            <w:r>
              <w:rPr>
                <w:rFonts w:hint="eastAsia" w:ascii="宋体" w:hAnsi="宋体"/>
                <w:color w:val="auto"/>
                <w:szCs w:val="21"/>
              </w:rPr>
              <w:t>）</w:t>
            </w:r>
          </w:p>
          <w:p w14:paraId="3B10CA8C">
            <w:pPr>
              <w:snapToGrid w:val="0"/>
              <w:spacing w:line="360" w:lineRule="auto"/>
              <w:ind w:firstLine="420" w:firstLineChars="200"/>
              <w:jc w:val="left"/>
              <w:rPr>
                <w:rFonts w:ascii="宋体" w:hAnsi="宋体"/>
                <w:bCs/>
                <w:color w:val="auto"/>
                <w:szCs w:val="21"/>
              </w:rPr>
            </w:pPr>
            <w:r>
              <w:rPr>
                <w:rFonts w:ascii="宋体" w:hAnsi="宋体"/>
                <w:bCs/>
                <w:color w:val="auto"/>
                <w:szCs w:val="21"/>
              </w:rPr>
              <w:t>6.</w:t>
            </w:r>
            <w:r>
              <w:rPr>
                <w:rFonts w:hint="eastAsia" w:ascii="宋体" w:hAnsi="宋体"/>
                <w:color w:val="auto"/>
                <w:szCs w:val="21"/>
              </w:rPr>
              <w:t>所投货物若属于医疗器械管理范畴，按照国家《医疗器械监督管理条例》，应符合以下条件:①投标人为所投货物的制造商，其所投货物若属于第二类或第</w:t>
            </w:r>
            <w:r>
              <w:rPr>
                <w:rFonts w:hint="eastAsia" w:ascii="宋体" w:hAnsi="宋体"/>
                <w:color w:val="auto"/>
                <w:szCs w:val="21"/>
                <w:lang w:val="en-US" w:eastAsia="zh-CN"/>
              </w:rPr>
              <w:t>三</w:t>
            </w:r>
            <w:r>
              <w:rPr>
                <w:rFonts w:hint="eastAsia" w:ascii="宋体" w:hAnsi="宋体"/>
                <w:color w:val="auto"/>
                <w:szCs w:val="21"/>
              </w:rPr>
              <w:t>类医疗器械的，应提供相应货物的有效《医疗器械生产许可证》。②投标人非所投货物的制造商，其所投货物若属于第二类或第三类医疗器械，须提供相应货物的有效《医疗器械经营企业许可证》（按《医疗器械监督管理条例》免于经营备案和无需办理医疗器械经营许可或者备案的情形除外）。③投标货物属于《医疗器械监督管理条例》规定的第二类或第三类医疗器械产品应提供该货物的有效《医器械注册证》。</w:t>
            </w:r>
          </w:p>
          <w:p w14:paraId="063953CD">
            <w:pPr>
              <w:snapToGrid w:val="0"/>
              <w:spacing w:line="360" w:lineRule="auto"/>
              <w:ind w:firstLine="420" w:firstLineChars="200"/>
              <w:jc w:val="left"/>
              <w:rPr>
                <w:rFonts w:ascii="宋体" w:hAnsi="宋体"/>
                <w:color w:val="auto"/>
                <w:szCs w:val="21"/>
              </w:rPr>
            </w:pPr>
            <w:r>
              <w:rPr>
                <w:rFonts w:hint="eastAsia" w:ascii="宋体" w:hAnsi="宋体"/>
                <w:bCs/>
                <w:color w:val="auto"/>
                <w:szCs w:val="21"/>
                <w:lang w:val="en-US" w:eastAsia="zh-CN"/>
              </w:rPr>
              <w:t>7.</w:t>
            </w:r>
            <w:r>
              <w:rPr>
                <w:rFonts w:hint="eastAsia" w:ascii="宋体" w:hAnsi="宋体"/>
                <w:bCs/>
                <w:color w:val="auto"/>
                <w:szCs w:val="21"/>
              </w:rPr>
              <w:t>投</w:t>
            </w:r>
            <w:r>
              <w:rPr>
                <w:rFonts w:hint="eastAsia" w:ascii="宋体" w:hAnsi="宋体"/>
                <w:color w:val="auto"/>
                <w:szCs w:val="21"/>
              </w:rPr>
              <w:t>标声明（格式后附）；（</w:t>
            </w:r>
            <w:r>
              <w:rPr>
                <w:rFonts w:hint="eastAsia" w:ascii="宋体" w:hAnsi="宋体"/>
                <w:b/>
                <w:color w:val="auto"/>
                <w:szCs w:val="21"/>
              </w:rPr>
              <w:t>必须提供，否则作无效投标处理</w:t>
            </w:r>
            <w:r>
              <w:rPr>
                <w:rFonts w:hint="eastAsia" w:ascii="宋体" w:hAnsi="宋体"/>
                <w:color w:val="auto"/>
                <w:szCs w:val="21"/>
              </w:rPr>
              <w:t>）</w:t>
            </w:r>
          </w:p>
          <w:p w14:paraId="7A9E7469">
            <w:pPr>
              <w:snapToGrid w:val="0"/>
              <w:spacing w:line="360" w:lineRule="auto"/>
              <w:ind w:firstLine="420" w:firstLineChars="200"/>
              <w:jc w:val="left"/>
              <w:rPr>
                <w:rFonts w:ascii="宋体" w:hAnsi="宋体"/>
                <w:bCs/>
                <w:color w:val="auto"/>
                <w:szCs w:val="21"/>
              </w:rPr>
            </w:pPr>
            <w:r>
              <w:rPr>
                <w:rFonts w:hint="eastAsia" w:ascii="宋体" w:hAnsi="宋体"/>
                <w:bCs/>
                <w:color w:val="auto"/>
                <w:szCs w:val="21"/>
                <w:lang w:val="en-US" w:eastAsia="zh-CN"/>
              </w:rPr>
              <w:t>8</w:t>
            </w:r>
            <w:r>
              <w:rPr>
                <w:rFonts w:ascii="宋体" w:hAnsi="宋体"/>
                <w:bCs/>
                <w:color w:val="auto"/>
                <w:szCs w:val="21"/>
              </w:rPr>
              <w:t>.</w:t>
            </w:r>
            <w:r>
              <w:rPr>
                <w:rFonts w:hint="eastAsia" w:ascii="宋体" w:hAnsi="宋体"/>
                <w:bCs/>
                <w:color w:val="auto"/>
                <w:szCs w:val="21"/>
              </w:rPr>
              <w:t>中小企业声明函；【</w:t>
            </w:r>
            <w:r>
              <w:rPr>
                <w:rFonts w:hint="eastAsia" w:ascii="宋体" w:hAnsi="宋体"/>
                <w:b/>
                <w:bCs w:val="0"/>
                <w:color w:val="auto"/>
                <w:szCs w:val="21"/>
                <w:lang w:val="en-US" w:eastAsia="zh-CN"/>
              </w:rPr>
              <w:t>如有请提供</w:t>
            </w:r>
            <w:r>
              <w:rPr>
                <w:rFonts w:hint="eastAsia" w:ascii="宋体" w:hAnsi="宋体"/>
                <w:bCs/>
                <w:color w:val="auto"/>
                <w:szCs w:val="21"/>
              </w:rPr>
              <w:t>】</w:t>
            </w:r>
          </w:p>
          <w:p w14:paraId="06B241F6">
            <w:pPr>
              <w:snapToGrid w:val="0"/>
              <w:spacing w:line="360" w:lineRule="auto"/>
              <w:ind w:firstLine="420" w:firstLineChars="200"/>
              <w:jc w:val="left"/>
              <w:rPr>
                <w:rFonts w:ascii="宋体" w:hAnsi="宋体"/>
                <w:color w:val="auto"/>
                <w:szCs w:val="21"/>
              </w:rPr>
            </w:pPr>
            <w:r>
              <w:rPr>
                <w:rFonts w:hint="eastAsia" w:ascii="宋体" w:hAnsi="宋体"/>
                <w:bCs/>
                <w:color w:val="auto"/>
                <w:szCs w:val="21"/>
                <w:lang w:val="en-US" w:eastAsia="zh-CN"/>
              </w:rPr>
              <w:t>9.</w:t>
            </w:r>
            <w:r>
              <w:rPr>
                <w:rFonts w:hint="eastAsia" w:ascii="宋体" w:hAnsi="宋体"/>
                <w:bCs/>
                <w:color w:val="auto"/>
                <w:szCs w:val="21"/>
              </w:rPr>
              <w:t>除招</w:t>
            </w:r>
            <w:r>
              <w:rPr>
                <w:rFonts w:hint="eastAsia" w:ascii="宋体" w:hAnsi="宋体"/>
                <w:color w:val="auto"/>
                <w:szCs w:val="21"/>
              </w:rPr>
              <w:t>标文件规定必须提供以外，投标人认为需要提供的其他证明材料。</w:t>
            </w:r>
          </w:p>
          <w:p w14:paraId="6A98A7FC">
            <w:pPr>
              <w:snapToGrid w:val="0"/>
              <w:spacing w:line="360" w:lineRule="auto"/>
              <w:jc w:val="left"/>
              <w:rPr>
                <w:rFonts w:ascii="宋体" w:hAnsi="宋体" w:cs="Courier New"/>
                <w:b/>
                <w:color w:val="auto"/>
                <w:szCs w:val="21"/>
              </w:rPr>
            </w:pPr>
            <w:r>
              <w:rPr>
                <w:rFonts w:hint="eastAsia" w:ascii="宋体" w:hAnsi="宋体"/>
                <w:b/>
                <w:bCs/>
                <w:color w:val="auto"/>
                <w:szCs w:val="21"/>
              </w:rPr>
              <w:t>注：1.</w:t>
            </w:r>
            <w:r>
              <w:rPr>
                <w:rFonts w:hint="eastAsia" w:ascii="宋体" w:hAnsi="宋体"/>
                <w:b/>
                <w:bCs/>
                <w:color w:val="auto"/>
                <w:spacing w:val="-6"/>
                <w:szCs w:val="21"/>
              </w:rPr>
              <w:t>以上标明“必须提供”的材料属于复印件的，必须加盖投标人公章</w:t>
            </w:r>
            <w:r>
              <w:rPr>
                <w:rFonts w:hint="eastAsia" w:ascii="宋体" w:hAnsi="宋体"/>
                <w:b/>
                <w:bCs/>
                <w:color w:val="auto"/>
                <w:spacing w:val="-6"/>
                <w:szCs w:val="21"/>
                <w:lang w:eastAsia="zh-CN"/>
              </w:rPr>
              <w:t>（</w:t>
            </w:r>
            <w:r>
              <w:rPr>
                <w:rFonts w:hint="eastAsia" w:ascii="宋体" w:hAnsi="宋体"/>
                <w:b/>
                <w:bCs/>
                <w:color w:val="auto"/>
                <w:spacing w:val="-6"/>
                <w:szCs w:val="21"/>
              </w:rPr>
              <w:t>或电子公章</w:t>
            </w:r>
            <w:r>
              <w:rPr>
                <w:rFonts w:hint="eastAsia" w:ascii="宋体" w:hAnsi="宋体"/>
                <w:b/>
                <w:bCs/>
                <w:color w:val="auto"/>
                <w:spacing w:val="-6"/>
                <w:szCs w:val="21"/>
                <w:lang w:eastAsia="zh-CN"/>
              </w:rPr>
              <w:t>）</w:t>
            </w:r>
            <w:r>
              <w:rPr>
                <w:rFonts w:hint="eastAsia" w:ascii="宋体" w:hAnsi="宋体"/>
                <w:b/>
                <w:bCs/>
                <w:color w:val="auto"/>
                <w:spacing w:val="-6"/>
                <w:szCs w:val="21"/>
              </w:rPr>
              <w:t>，否则</w:t>
            </w:r>
            <w:r>
              <w:rPr>
                <w:rFonts w:hint="eastAsia" w:ascii="宋体" w:hAnsi="宋体" w:cs="Courier New"/>
                <w:b/>
                <w:color w:val="auto"/>
                <w:spacing w:val="-6"/>
                <w:szCs w:val="21"/>
              </w:rPr>
              <w:t>作无效投标处理。</w:t>
            </w:r>
          </w:p>
          <w:p w14:paraId="023384AC">
            <w:pPr>
              <w:snapToGrid w:val="0"/>
              <w:spacing w:line="360" w:lineRule="auto"/>
              <w:ind w:firstLine="422" w:firstLineChars="200"/>
              <w:jc w:val="left"/>
              <w:rPr>
                <w:rFonts w:ascii="宋体" w:hAnsi="宋体"/>
                <w:b/>
                <w:bCs/>
                <w:color w:val="auto"/>
                <w:szCs w:val="21"/>
              </w:rPr>
            </w:pPr>
            <w:r>
              <w:rPr>
                <w:rFonts w:hint="eastAsia" w:ascii="宋体" w:hAnsi="宋体" w:cs="Courier New"/>
                <w:b/>
                <w:color w:val="auto"/>
                <w:szCs w:val="21"/>
              </w:rPr>
              <w:t>2.</w:t>
            </w:r>
            <w:r>
              <w:rPr>
                <w:rFonts w:hint="eastAsia" w:ascii="宋体" w:hAnsi="宋体"/>
                <w:b/>
                <w:bCs/>
                <w:color w:val="auto"/>
                <w:szCs w:val="21"/>
              </w:rPr>
              <w:t>投标声明必须由法定代表人或者委托代理人在规定签章处签字</w:t>
            </w:r>
            <w:r>
              <w:rPr>
                <w:rFonts w:hint="eastAsia" w:ascii="宋体" w:hAnsi="宋体"/>
                <w:b/>
                <w:bCs/>
                <w:color w:val="auto"/>
                <w:szCs w:val="21"/>
                <w:lang w:eastAsia="zh-CN"/>
              </w:rPr>
              <w:t>（</w:t>
            </w:r>
            <w:r>
              <w:rPr>
                <w:rFonts w:hint="eastAsia" w:ascii="宋体" w:hAnsi="宋体"/>
                <w:b/>
                <w:bCs/>
                <w:color w:val="auto"/>
                <w:szCs w:val="21"/>
                <w:lang w:val="en-US" w:eastAsia="zh-CN"/>
              </w:rPr>
              <w:t>或电子签名</w:t>
            </w:r>
            <w:r>
              <w:rPr>
                <w:rFonts w:hint="eastAsia" w:ascii="宋体" w:hAnsi="宋体"/>
                <w:b/>
                <w:bCs/>
                <w:color w:val="auto"/>
                <w:szCs w:val="21"/>
                <w:lang w:eastAsia="zh-CN"/>
              </w:rPr>
              <w:t>）</w:t>
            </w:r>
            <w:r>
              <w:rPr>
                <w:rFonts w:hint="eastAsia" w:ascii="宋体" w:hAnsi="宋体"/>
                <w:b/>
                <w:bCs/>
                <w:color w:val="auto"/>
                <w:szCs w:val="21"/>
              </w:rPr>
              <w:t>并加盖投标人公章</w:t>
            </w:r>
            <w:r>
              <w:rPr>
                <w:rFonts w:hint="eastAsia" w:ascii="宋体" w:hAnsi="宋体"/>
                <w:b/>
                <w:bCs/>
                <w:color w:val="auto"/>
                <w:szCs w:val="21"/>
                <w:lang w:eastAsia="zh-CN"/>
              </w:rPr>
              <w:t>（</w:t>
            </w:r>
            <w:r>
              <w:rPr>
                <w:rFonts w:hint="eastAsia" w:ascii="宋体" w:hAnsi="宋体"/>
                <w:b/>
                <w:bCs/>
                <w:color w:val="auto"/>
                <w:szCs w:val="21"/>
              </w:rPr>
              <w:t>或电子公章</w:t>
            </w:r>
            <w:r>
              <w:rPr>
                <w:rFonts w:hint="eastAsia" w:ascii="宋体" w:hAnsi="宋体"/>
                <w:b/>
                <w:bCs/>
                <w:color w:val="auto"/>
                <w:szCs w:val="21"/>
                <w:lang w:eastAsia="zh-CN"/>
              </w:rPr>
              <w:t>）</w:t>
            </w:r>
            <w:r>
              <w:rPr>
                <w:rFonts w:hint="eastAsia" w:ascii="宋体" w:hAnsi="宋体"/>
                <w:b/>
                <w:bCs/>
                <w:color w:val="auto"/>
                <w:szCs w:val="21"/>
              </w:rPr>
              <w:t>，否则作无效投标处理。</w:t>
            </w:r>
          </w:p>
          <w:p w14:paraId="2BD99A70">
            <w:pPr>
              <w:snapToGrid w:val="0"/>
              <w:spacing w:line="360" w:lineRule="auto"/>
              <w:ind w:firstLine="422" w:firstLineChars="200"/>
              <w:jc w:val="left"/>
              <w:rPr>
                <w:rFonts w:ascii="宋体" w:hAnsi="宋体"/>
                <w:b/>
                <w:bCs/>
                <w:color w:val="auto"/>
                <w:szCs w:val="21"/>
              </w:rPr>
            </w:pPr>
            <w:r>
              <w:rPr>
                <w:rFonts w:hint="eastAsia" w:ascii="宋体" w:hAnsi="宋体"/>
                <w:b/>
                <w:bCs/>
                <w:color w:val="auto"/>
                <w:szCs w:val="21"/>
              </w:rPr>
              <w:t>3.投标人直接控股、管理关系信息表必须由法定代表人或者委托代理人在规定签章处签字</w:t>
            </w:r>
            <w:r>
              <w:rPr>
                <w:rFonts w:hint="eastAsia" w:ascii="宋体" w:hAnsi="宋体"/>
                <w:b/>
                <w:bCs/>
                <w:color w:val="auto"/>
                <w:szCs w:val="21"/>
                <w:lang w:eastAsia="zh-CN"/>
              </w:rPr>
              <w:t>（</w:t>
            </w:r>
            <w:r>
              <w:rPr>
                <w:rFonts w:hint="eastAsia" w:ascii="宋体" w:hAnsi="宋体"/>
                <w:b/>
                <w:bCs/>
                <w:color w:val="auto"/>
                <w:szCs w:val="21"/>
                <w:lang w:val="en-US" w:eastAsia="zh-CN"/>
              </w:rPr>
              <w:t>或电子签名</w:t>
            </w:r>
            <w:r>
              <w:rPr>
                <w:rFonts w:hint="eastAsia" w:ascii="宋体" w:hAnsi="宋体"/>
                <w:b/>
                <w:bCs/>
                <w:color w:val="auto"/>
                <w:szCs w:val="21"/>
                <w:lang w:eastAsia="zh-CN"/>
              </w:rPr>
              <w:t>）</w:t>
            </w:r>
            <w:r>
              <w:rPr>
                <w:rFonts w:hint="eastAsia" w:ascii="宋体" w:hAnsi="宋体"/>
                <w:b/>
                <w:bCs/>
                <w:color w:val="auto"/>
                <w:szCs w:val="21"/>
              </w:rPr>
              <w:t>并加盖投标人公章</w:t>
            </w:r>
            <w:r>
              <w:rPr>
                <w:rFonts w:hint="eastAsia" w:ascii="宋体" w:hAnsi="宋体"/>
                <w:b/>
                <w:bCs/>
                <w:color w:val="auto"/>
                <w:szCs w:val="21"/>
                <w:lang w:eastAsia="zh-CN"/>
              </w:rPr>
              <w:t>（</w:t>
            </w:r>
            <w:r>
              <w:rPr>
                <w:rFonts w:hint="eastAsia" w:ascii="宋体" w:hAnsi="宋体"/>
                <w:b/>
                <w:bCs/>
                <w:color w:val="auto"/>
                <w:szCs w:val="21"/>
              </w:rPr>
              <w:t>或电子公章</w:t>
            </w:r>
            <w:r>
              <w:rPr>
                <w:rFonts w:hint="eastAsia" w:ascii="宋体" w:hAnsi="宋体"/>
                <w:b/>
                <w:bCs/>
                <w:color w:val="auto"/>
                <w:szCs w:val="21"/>
                <w:lang w:eastAsia="zh-CN"/>
              </w:rPr>
              <w:t>）</w:t>
            </w:r>
            <w:r>
              <w:rPr>
                <w:rFonts w:hint="eastAsia" w:ascii="宋体" w:hAnsi="宋体"/>
                <w:b/>
                <w:bCs/>
                <w:color w:val="auto"/>
                <w:szCs w:val="21"/>
              </w:rPr>
              <w:t>，否则</w:t>
            </w:r>
            <w:r>
              <w:rPr>
                <w:rFonts w:hint="eastAsia" w:ascii="宋体" w:hAnsi="宋体" w:cs="Courier New"/>
                <w:b/>
                <w:color w:val="auto"/>
                <w:szCs w:val="21"/>
              </w:rPr>
              <w:t>作无效投标处理</w:t>
            </w:r>
            <w:r>
              <w:rPr>
                <w:rFonts w:hint="eastAsia" w:ascii="宋体" w:hAnsi="宋体"/>
                <w:b/>
                <w:bCs/>
                <w:color w:val="auto"/>
                <w:szCs w:val="21"/>
              </w:rPr>
              <w:t>。</w:t>
            </w:r>
          </w:p>
        </w:tc>
      </w:tr>
      <w:tr w14:paraId="04716D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0" w:hRule="atLeast"/>
        </w:trPr>
        <w:tc>
          <w:tcPr>
            <w:tcW w:w="968" w:type="dxa"/>
            <w:vMerge w:val="continue"/>
            <w:tcBorders>
              <w:left w:val="single" w:color="auto" w:sz="4" w:space="0"/>
              <w:right w:val="single" w:color="auto" w:sz="4" w:space="0"/>
            </w:tcBorders>
            <w:vAlign w:val="center"/>
          </w:tcPr>
          <w:p w14:paraId="1B62BA83">
            <w:pPr>
              <w:spacing w:line="360" w:lineRule="auto"/>
              <w:rPr>
                <w:rFonts w:ascii="宋体" w:hAnsi="宋体"/>
                <w:color w:val="auto"/>
                <w:szCs w:val="21"/>
              </w:rPr>
            </w:pPr>
            <w:bookmarkStart w:id="70" w:name="_13.3"/>
            <w:bookmarkEnd w:id="70"/>
          </w:p>
        </w:tc>
        <w:tc>
          <w:tcPr>
            <w:tcW w:w="8597" w:type="dxa"/>
            <w:tcBorders>
              <w:top w:val="single" w:color="auto" w:sz="4" w:space="0"/>
              <w:left w:val="single" w:color="auto" w:sz="4" w:space="0"/>
              <w:bottom w:val="single" w:color="auto" w:sz="4" w:space="0"/>
              <w:right w:val="single" w:color="auto" w:sz="4" w:space="0"/>
            </w:tcBorders>
            <w:vAlign w:val="center"/>
          </w:tcPr>
          <w:p w14:paraId="305FF3B6">
            <w:pPr>
              <w:snapToGrid w:val="0"/>
              <w:spacing w:line="360" w:lineRule="auto"/>
              <w:jc w:val="left"/>
              <w:rPr>
                <w:rFonts w:ascii="宋体" w:hAnsi="宋体" w:cs="Courier New"/>
                <w:b/>
                <w:color w:val="auto"/>
                <w:szCs w:val="21"/>
              </w:rPr>
            </w:pPr>
            <w:r>
              <w:rPr>
                <w:rFonts w:hint="eastAsia" w:ascii="宋体" w:hAnsi="宋体" w:cs="Courier New"/>
                <w:b/>
                <w:color w:val="auto"/>
                <w:szCs w:val="21"/>
              </w:rPr>
              <w:t>商务技术文件：</w:t>
            </w:r>
          </w:p>
          <w:p w14:paraId="2527E355">
            <w:pPr>
              <w:snapToGrid w:val="0"/>
              <w:spacing w:line="360" w:lineRule="auto"/>
              <w:ind w:left="413"/>
              <w:jc w:val="left"/>
              <w:rPr>
                <w:rFonts w:ascii="宋体" w:hAnsi="宋体"/>
                <w:color w:val="auto"/>
                <w:szCs w:val="21"/>
              </w:rPr>
            </w:pPr>
            <w:r>
              <w:rPr>
                <w:rFonts w:hint="eastAsia" w:ascii="宋体" w:hAnsi="宋体"/>
                <w:color w:val="auto"/>
                <w:szCs w:val="21"/>
              </w:rPr>
              <w:t>1.无串通投标行为的承诺函（格式后附）；（</w:t>
            </w:r>
            <w:r>
              <w:rPr>
                <w:rFonts w:hint="eastAsia" w:ascii="宋体" w:hAnsi="宋体"/>
                <w:b/>
                <w:color w:val="auto"/>
                <w:szCs w:val="21"/>
              </w:rPr>
              <w:t>必须提供，否则作无效投标处理</w:t>
            </w:r>
            <w:r>
              <w:rPr>
                <w:rFonts w:hint="eastAsia" w:ascii="宋体" w:hAnsi="宋体"/>
                <w:color w:val="auto"/>
                <w:szCs w:val="21"/>
              </w:rPr>
              <w:t>）</w:t>
            </w:r>
          </w:p>
          <w:p w14:paraId="1A2EB74D">
            <w:pPr>
              <w:snapToGrid w:val="0"/>
              <w:spacing w:line="360" w:lineRule="auto"/>
              <w:ind w:left="0" w:firstLine="420" w:firstLineChars="200"/>
              <w:jc w:val="left"/>
              <w:rPr>
                <w:rFonts w:ascii="宋体" w:hAnsi="宋体"/>
                <w:color w:val="auto"/>
                <w:szCs w:val="21"/>
              </w:rPr>
            </w:pPr>
            <w:r>
              <w:rPr>
                <w:rFonts w:hint="eastAsia" w:ascii="宋体" w:hAnsi="宋体"/>
                <w:color w:val="auto"/>
                <w:szCs w:val="21"/>
              </w:rPr>
              <w:t>2.法定代表人身份证明及法定代表人有效身份证正反面复印件（格式后附）；（</w:t>
            </w:r>
            <w:r>
              <w:rPr>
                <w:rFonts w:hint="eastAsia" w:ascii="宋体" w:hAnsi="宋体" w:cs="宋体"/>
                <w:b/>
                <w:bCs/>
                <w:color w:val="auto"/>
                <w:szCs w:val="21"/>
              </w:rPr>
              <w:t>除自然人投标外</w:t>
            </w:r>
            <w:r>
              <w:rPr>
                <w:rFonts w:hint="eastAsia" w:ascii="宋体" w:hAnsi="宋体"/>
                <w:b/>
                <w:color w:val="auto"/>
                <w:szCs w:val="21"/>
              </w:rPr>
              <w:t>必须提供，否则作无效投标处理</w:t>
            </w:r>
            <w:r>
              <w:rPr>
                <w:rFonts w:hint="eastAsia" w:ascii="宋体" w:hAnsi="宋体"/>
                <w:color w:val="auto"/>
                <w:szCs w:val="21"/>
              </w:rPr>
              <w:t>）</w:t>
            </w:r>
          </w:p>
          <w:p w14:paraId="1517DFD5">
            <w:pPr>
              <w:spacing w:line="360" w:lineRule="auto"/>
              <w:ind w:firstLine="420" w:firstLineChars="200"/>
              <w:jc w:val="left"/>
              <w:rPr>
                <w:rFonts w:ascii="宋体" w:hAnsi="宋体" w:cs="宋体"/>
                <w:color w:val="auto"/>
                <w:szCs w:val="21"/>
              </w:rPr>
            </w:pPr>
            <w:r>
              <w:rPr>
                <w:rFonts w:hint="eastAsia" w:ascii="宋体" w:hAnsi="宋体" w:cs="宋体"/>
                <w:color w:val="auto"/>
                <w:szCs w:val="21"/>
              </w:rPr>
              <w:t>3.授权委托书原件、委托代理人身份证正反面复印件（格式后附）</w:t>
            </w:r>
            <w:r>
              <w:rPr>
                <w:rFonts w:hint="eastAsia" w:ascii="宋体" w:hAnsi="宋体" w:cs="宋体"/>
                <w:b/>
                <w:bCs/>
                <w:color w:val="auto"/>
                <w:szCs w:val="21"/>
              </w:rPr>
              <w:t>（委托代理时必须提供）</w:t>
            </w:r>
          </w:p>
          <w:p w14:paraId="5606A514">
            <w:pPr>
              <w:snapToGrid w:val="0"/>
              <w:spacing w:line="360" w:lineRule="auto"/>
              <w:ind w:left="413"/>
              <w:jc w:val="left"/>
              <w:rPr>
                <w:rFonts w:ascii="宋体" w:hAnsi="宋体"/>
                <w:color w:val="auto"/>
                <w:szCs w:val="21"/>
                <w:highlight w:val="none"/>
              </w:rPr>
            </w:pPr>
            <w:r>
              <w:rPr>
                <w:rFonts w:hint="eastAsia" w:ascii="宋体" w:hAnsi="宋体"/>
                <w:color w:val="auto"/>
                <w:szCs w:val="21"/>
                <w:highlight w:val="none"/>
              </w:rPr>
              <w:t>4</w:t>
            </w:r>
            <w:r>
              <w:rPr>
                <w:rFonts w:ascii="宋体" w:hAnsi="宋体"/>
                <w:color w:val="auto"/>
                <w:szCs w:val="21"/>
                <w:highlight w:val="none"/>
              </w:rPr>
              <w:t>.</w:t>
            </w:r>
            <w:r>
              <w:rPr>
                <w:rFonts w:hint="eastAsia" w:ascii="宋体" w:hAnsi="宋体"/>
                <w:color w:val="auto"/>
                <w:szCs w:val="21"/>
                <w:highlight w:val="none"/>
              </w:rPr>
              <w:t>商务条款偏离表（格式后附）；（</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477D17FC">
            <w:pPr>
              <w:snapToGrid w:val="0"/>
              <w:spacing w:line="360" w:lineRule="auto"/>
              <w:ind w:left="413"/>
              <w:jc w:val="left"/>
              <w:rPr>
                <w:rFonts w:ascii="宋体" w:hAnsi="宋体"/>
                <w:color w:val="auto"/>
                <w:szCs w:val="21"/>
                <w:highlight w:val="none"/>
              </w:rPr>
            </w:pPr>
            <w:r>
              <w:rPr>
                <w:rFonts w:hint="eastAsia" w:ascii="宋体" w:hAnsi="宋体"/>
                <w:color w:val="auto"/>
                <w:szCs w:val="21"/>
                <w:highlight w:val="none"/>
              </w:rPr>
              <w:t>5.售后服务</w:t>
            </w:r>
            <w:r>
              <w:rPr>
                <w:rFonts w:hint="eastAsia" w:ascii="宋体" w:hAnsi="宋体"/>
                <w:color w:val="auto"/>
                <w:szCs w:val="21"/>
                <w:highlight w:val="none"/>
                <w:lang w:val="en-US" w:eastAsia="zh-CN"/>
              </w:rPr>
              <w:t>方案</w:t>
            </w:r>
            <w:r>
              <w:rPr>
                <w:rFonts w:hint="eastAsia" w:ascii="宋体" w:hAnsi="宋体"/>
                <w:color w:val="auto"/>
                <w:szCs w:val="21"/>
                <w:highlight w:val="none"/>
              </w:rPr>
              <w:t>（格式自拟）；</w:t>
            </w:r>
            <w:r>
              <w:rPr>
                <w:rFonts w:hint="eastAsia" w:ascii="宋体" w:hAnsi="宋体"/>
                <w:b/>
                <w:color w:val="auto"/>
                <w:szCs w:val="21"/>
                <w:highlight w:val="none"/>
              </w:rPr>
              <w:t>（如有，请提供）</w:t>
            </w:r>
          </w:p>
          <w:p w14:paraId="48B86DF6">
            <w:pPr>
              <w:snapToGrid w:val="0"/>
              <w:spacing w:line="360" w:lineRule="auto"/>
              <w:ind w:left="420"/>
              <w:jc w:val="left"/>
              <w:rPr>
                <w:rFonts w:ascii="宋体" w:hAnsi="宋体"/>
                <w:color w:val="auto"/>
                <w:szCs w:val="21"/>
                <w:highlight w:val="none"/>
              </w:rPr>
            </w:pPr>
            <w:r>
              <w:rPr>
                <w:rFonts w:hint="eastAsia" w:ascii="宋体" w:hAnsi="宋体"/>
                <w:color w:val="auto"/>
                <w:szCs w:val="21"/>
                <w:highlight w:val="none"/>
              </w:rPr>
              <w:t>6.设备性能配置清单（格式后附）；（</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5AA8D55D">
            <w:pPr>
              <w:snapToGrid w:val="0"/>
              <w:spacing w:line="360" w:lineRule="auto"/>
              <w:ind w:left="413"/>
              <w:jc w:val="left"/>
              <w:rPr>
                <w:rFonts w:ascii="宋体" w:hAnsi="宋体"/>
                <w:color w:val="auto"/>
                <w:szCs w:val="21"/>
                <w:highlight w:val="none"/>
              </w:rPr>
            </w:pPr>
            <w:r>
              <w:rPr>
                <w:rFonts w:hint="eastAsia" w:ascii="宋体" w:hAnsi="宋体"/>
                <w:color w:val="auto"/>
                <w:szCs w:val="21"/>
                <w:highlight w:val="none"/>
              </w:rPr>
              <w:t>7.技术偏离表（格式后附）；（</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4F8BB465">
            <w:pPr>
              <w:snapToGrid w:val="0"/>
              <w:spacing w:line="360" w:lineRule="auto"/>
              <w:ind w:left="420"/>
              <w:jc w:val="left"/>
              <w:rPr>
                <w:rFonts w:ascii="宋体" w:hAnsi="宋体"/>
                <w:b/>
                <w:color w:val="auto"/>
                <w:szCs w:val="21"/>
                <w:highlight w:val="none"/>
              </w:rPr>
            </w:pPr>
            <w:r>
              <w:rPr>
                <w:rFonts w:hint="eastAsia" w:ascii="宋体" w:hAnsi="宋体"/>
                <w:color w:val="auto"/>
                <w:szCs w:val="21"/>
                <w:highlight w:val="none"/>
              </w:rPr>
              <w:t>8.项目实施方案（格式自拟）；</w:t>
            </w:r>
            <w:r>
              <w:rPr>
                <w:rFonts w:hint="eastAsia" w:ascii="宋体" w:hAnsi="宋体"/>
                <w:b/>
                <w:color w:val="auto"/>
                <w:szCs w:val="21"/>
                <w:highlight w:val="none"/>
              </w:rPr>
              <w:t>（如有，请提供）</w:t>
            </w:r>
          </w:p>
          <w:p w14:paraId="21BCFE58">
            <w:pPr>
              <w:snapToGrid w:val="0"/>
              <w:spacing w:line="360" w:lineRule="auto"/>
              <w:ind w:left="420"/>
              <w:jc w:val="left"/>
              <w:rPr>
                <w:rFonts w:hint="eastAsia" w:ascii="宋体" w:hAnsi="宋体"/>
                <w:color w:val="auto"/>
                <w:szCs w:val="21"/>
                <w:highlight w:val="none"/>
              </w:rPr>
            </w:pPr>
            <w:r>
              <w:rPr>
                <w:rFonts w:hint="eastAsia" w:ascii="宋体" w:hAnsi="宋体"/>
                <w:color w:val="auto"/>
                <w:szCs w:val="21"/>
                <w:highlight w:val="none"/>
              </w:rPr>
              <w:t>9.培训方案（格式自拟）；</w:t>
            </w:r>
            <w:r>
              <w:rPr>
                <w:rFonts w:hint="eastAsia" w:ascii="宋体" w:hAnsi="宋体"/>
                <w:b/>
                <w:color w:val="auto"/>
                <w:szCs w:val="21"/>
                <w:highlight w:val="none"/>
              </w:rPr>
              <w:t>（如有，请提供）</w:t>
            </w:r>
          </w:p>
          <w:p w14:paraId="1642F314">
            <w:pPr>
              <w:snapToGrid w:val="0"/>
              <w:spacing w:line="360" w:lineRule="auto"/>
              <w:ind w:left="420"/>
              <w:jc w:val="left"/>
              <w:rPr>
                <w:rFonts w:ascii="宋体" w:hAnsi="宋体"/>
                <w:color w:val="auto"/>
                <w:szCs w:val="21"/>
                <w:highlight w:val="none"/>
              </w:rPr>
            </w:pPr>
            <w:r>
              <w:rPr>
                <w:rFonts w:hint="eastAsia" w:ascii="宋体" w:hAnsi="宋体"/>
                <w:color w:val="auto"/>
                <w:szCs w:val="21"/>
                <w:highlight w:val="none"/>
                <w:lang w:val="en-US" w:eastAsia="zh-CN"/>
              </w:rPr>
              <w:t>10.信誉业绩</w:t>
            </w:r>
            <w:r>
              <w:rPr>
                <w:rFonts w:hint="eastAsia" w:ascii="宋体" w:hAnsi="宋体"/>
                <w:color w:val="auto"/>
                <w:szCs w:val="21"/>
                <w:highlight w:val="none"/>
              </w:rPr>
              <w:t>证明文件（格式后附）；</w:t>
            </w:r>
            <w:r>
              <w:rPr>
                <w:rFonts w:hint="eastAsia" w:ascii="宋体" w:hAnsi="宋体"/>
                <w:b/>
                <w:color w:val="auto"/>
                <w:szCs w:val="21"/>
                <w:highlight w:val="none"/>
              </w:rPr>
              <w:t>（如有，请提供）</w:t>
            </w:r>
          </w:p>
          <w:p w14:paraId="577A93C3">
            <w:pPr>
              <w:snapToGrid w:val="0"/>
              <w:spacing w:line="360" w:lineRule="auto"/>
              <w:ind w:left="420"/>
              <w:jc w:val="left"/>
              <w:rPr>
                <w:rFonts w:ascii="宋体" w:hAnsi="宋体"/>
                <w:b/>
                <w:color w:val="auto"/>
                <w:szCs w:val="21"/>
                <w:highlight w:val="none"/>
              </w:rPr>
            </w:pPr>
            <w:r>
              <w:rPr>
                <w:rFonts w:hint="eastAsia" w:ascii="宋体" w:hAnsi="宋体"/>
                <w:bCs/>
                <w:color w:val="auto"/>
                <w:szCs w:val="21"/>
                <w:highlight w:val="none"/>
              </w:rPr>
              <w:t>1</w:t>
            </w:r>
            <w:r>
              <w:rPr>
                <w:rFonts w:hint="eastAsia" w:ascii="宋体" w:hAnsi="宋体"/>
                <w:bCs/>
                <w:color w:val="auto"/>
                <w:szCs w:val="21"/>
                <w:highlight w:val="none"/>
                <w:lang w:eastAsia="zh-CN"/>
              </w:rPr>
              <w:t>1</w:t>
            </w:r>
            <w:r>
              <w:rPr>
                <w:rFonts w:hint="eastAsia" w:ascii="宋体" w:hAnsi="宋体"/>
                <w:bCs/>
                <w:color w:val="auto"/>
                <w:szCs w:val="21"/>
                <w:highlight w:val="none"/>
              </w:rPr>
              <w:t>.项目实施人员一览表（格式自拟）；</w:t>
            </w:r>
            <w:r>
              <w:rPr>
                <w:rFonts w:hint="eastAsia" w:ascii="宋体" w:hAnsi="宋体"/>
                <w:b/>
                <w:color w:val="auto"/>
                <w:szCs w:val="21"/>
                <w:highlight w:val="none"/>
              </w:rPr>
              <w:t>（如有，请提供）</w:t>
            </w:r>
          </w:p>
          <w:p w14:paraId="5B1D810A">
            <w:pPr>
              <w:snapToGrid w:val="0"/>
              <w:spacing w:line="360" w:lineRule="auto"/>
              <w:ind w:left="42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2</w:t>
            </w:r>
            <w:r>
              <w:rPr>
                <w:rFonts w:hint="eastAsia" w:ascii="宋体" w:hAnsi="宋体"/>
                <w:color w:val="auto"/>
                <w:szCs w:val="21"/>
                <w:highlight w:val="none"/>
              </w:rPr>
              <w:t>.选配件、专用耗材、售后服务优惠表格式（格式后附）</w:t>
            </w:r>
            <w:r>
              <w:rPr>
                <w:rFonts w:hint="eastAsia" w:ascii="宋体" w:hAnsi="宋体"/>
                <w:b/>
                <w:bCs/>
                <w:color w:val="auto"/>
                <w:szCs w:val="21"/>
                <w:highlight w:val="none"/>
              </w:rPr>
              <w:t>（如有，请提供）</w:t>
            </w:r>
          </w:p>
          <w:p w14:paraId="0F700359">
            <w:pPr>
              <w:snapToGrid w:val="0"/>
              <w:spacing w:line="360" w:lineRule="auto"/>
              <w:ind w:left="42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3</w:t>
            </w:r>
            <w:r>
              <w:rPr>
                <w:rFonts w:hint="eastAsia" w:ascii="宋体" w:hAnsi="宋体"/>
                <w:color w:val="auto"/>
                <w:szCs w:val="21"/>
                <w:highlight w:val="none"/>
              </w:rPr>
              <w:t>.</w:t>
            </w:r>
            <w:r>
              <w:rPr>
                <w:rFonts w:hint="eastAsia" w:ascii="宋体" w:hAnsi="宋体" w:cs="宋体"/>
                <w:color w:val="auto"/>
                <w:szCs w:val="21"/>
                <w:highlight w:val="none"/>
              </w:rPr>
              <w:t>符合政府采购政策价格扣除证明材料（格式后附）；</w:t>
            </w:r>
            <w:r>
              <w:rPr>
                <w:rFonts w:hint="eastAsia" w:hAnsi="宋体"/>
                <w:b/>
                <w:color w:val="auto"/>
                <w:kern w:val="0"/>
                <w:highlight w:val="none"/>
              </w:rPr>
              <w:t>（如有，请提供）</w:t>
            </w:r>
          </w:p>
          <w:p w14:paraId="6CBA1F06">
            <w:pPr>
              <w:snapToGrid w:val="0"/>
              <w:spacing w:line="360" w:lineRule="auto"/>
              <w:ind w:left="413"/>
              <w:jc w:val="left"/>
              <w:rPr>
                <w:rFonts w:ascii="宋体" w:hAnsi="宋体"/>
                <w:color w:val="auto"/>
                <w:szCs w:val="21"/>
              </w:rPr>
            </w:pPr>
            <w:r>
              <w:rPr>
                <w:rFonts w:hint="eastAsia" w:ascii="宋体" w:hAnsi="宋体"/>
                <w:color w:val="auto"/>
                <w:szCs w:val="21"/>
                <w:highlight w:val="none"/>
              </w:rPr>
              <w:t>1</w:t>
            </w:r>
            <w:r>
              <w:rPr>
                <w:rFonts w:hint="eastAsia" w:ascii="宋体" w:hAnsi="宋体"/>
                <w:color w:val="auto"/>
                <w:szCs w:val="21"/>
                <w:highlight w:val="none"/>
                <w:lang w:eastAsia="zh-CN"/>
              </w:rPr>
              <w:t>4</w:t>
            </w:r>
            <w:r>
              <w:rPr>
                <w:rFonts w:hint="eastAsia" w:ascii="宋体" w:hAnsi="宋体"/>
                <w:color w:val="auto"/>
                <w:szCs w:val="21"/>
                <w:highlight w:val="none"/>
              </w:rPr>
              <w:t>.除招标文件规定必须提供以外，投标人认为需要提供的其他证明材料（格式自</w:t>
            </w:r>
            <w:r>
              <w:rPr>
                <w:rFonts w:hint="eastAsia" w:ascii="宋体" w:hAnsi="宋体"/>
                <w:color w:val="auto"/>
                <w:szCs w:val="21"/>
              </w:rPr>
              <w:t>拟）。（投标人根据“第二章 采购需求”及“第四章 评标方法及评标标准”提供有关证明材料）。</w:t>
            </w:r>
          </w:p>
          <w:p w14:paraId="49B3FB3B">
            <w:pPr>
              <w:snapToGrid w:val="0"/>
              <w:spacing w:line="360" w:lineRule="auto"/>
              <w:jc w:val="left"/>
              <w:rPr>
                <w:rFonts w:ascii="宋体" w:hAnsi="宋体"/>
                <w:b/>
                <w:bCs/>
                <w:color w:val="auto"/>
                <w:szCs w:val="21"/>
              </w:rPr>
            </w:pPr>
            <w:r>
              <w:rPr>
                <w:rFonts w:hint="eastAsia" w:ascii="宋体" w:hAnsi="宋体"/>
                <w:b/>
                <w:bCs/>
                <w:color w:val="auto"/>
                <w:szCs w:val="21"/>
              </w:rPr>
              <w:t>注：1.法定代表人授权委托书必须由法定代表人及委托代理人签字</w:t>
            </w:r>
            <w:r>
              <w:rPr>
                <w:rFonts w:hint="eastAsia" w:ascii="宋体" w:hAnsi="宋体"/>
                <w:b/>
                <w:bCs/>
                <w:color w:val="auto"/>
                <w:szCs w:val="21"/>
                <w:lang w:eastAsia="zh-CN"/>
              </w:rPr>
              <w:t>（</w:t>
            </w:r>
            <w:r>
              <w:rPr>
                <w:rFonts w:hint="eastAsia" w:ascii="宋体" w:hAnsi="宋体"/>
                <w:b/>
                <w:bCs/>
                <w:color w:val="auto"/>
                <w:szCs w:val="21"/>
                <w:lang w:val="en-US" w:eastAsia="zh-CN"/>
              </w:rPr>
              <w:t>或电子签名</w:t>
            </w:r>
            <w:r>
              <w:rPr>
                <w:rFonts w:hint="eastAsia" w:ascii="宋体" w:hAnsi="宋体"/>
                <w:b/>
                <w:bCs/>
                <w:color w:val="auto"/>
                <w:szCs w:val="21"/>
                <w:lang w:eastAsia="zh-CN"/>
              </w:rPr>
              <w:t>）</w:t>
            </w:r>
            <w:r>
              <w:rPr>
                <w:rFonts w:hint="eastAsia" w:ascii="宋体" w:hAnsi="宋体"/>
                <w:b/>
                <w:bCs/>
                <w:color w:val="auto"/>
                <w:szCs w:val="21"/>
              </w:rPr>
              <w:t>，并加盖投标人公章</w:t>
            </w:r>
            <w:r>
              <w:rPr>
                <w:rFonts w:hint="eastAsia" w:ascii="宋体" w:hAnsi="宋体"/>
                <w:b/>
                <w:bCs/>
                <w:color w:val="auto"/>
                <w:szCs w:val="21"/>
                <w:lang w:eastAsia="zh-CN"/>
              </w:rPr>
              <w:t>（</w:t>
            </w:r>
            <w:r>
              <w:rPr>
                <w:rFonts w:hint="eastAsia" w:ascii="宋体" w:hAnsi="宋体"/>
                <w:b/>
                <w:bCs/>
                <w:color w:val="auto"/>
                <w:szCs w:val="21"/>
              </w:rPr>
              <w:t>或电子公章</w:t>
            </w:r>
            <w:r>
              <w:rPr>
                <w:rFonts w:hint="eastAsia" w:ascii="宋体" w:hAnsi="宋体"/>
                <w:b/>
                <w:bCs/>
                <w:color w:val="auto"/>
                <w:szCs w:val="21"/>
                <w:lang w:eastAsia="zh-CN"/>
              </w:rPr>
              <w:t>）</w:t>
            </w:r>
            <w:r>
              <w:rPr>
                <w:rFonts w:hint="eastAsia" w:ascii="宋体" w:hAnsi="宋体"/>
                <w:b/>
                <w:bCs/>
                <w:color w:val="auto"/>
                <w:szCs w:val="21"/>
              </w:rPr>
              <w:t>，否则作无效投标处理。</w:t>
            </w:r>
          </w:p>
          <w:p w14:paraId="62EF4282">
            <w:pPr>
              <w:snapToGrid w:val="0"/>
              <w:spacing w:line="360" w:lineRule="auto"/>
              <w:ind w:firstLine="422" w:firstLineChars="200"/>
              <w:jc w:val="left"/>
              <w:rPr>
                <w:rFonts w:ascii="宋体" w:hAnsi="宋体" w:cs="Courier New"/>
                <w:b/>
                <w:color w:val="auto"/>
                <w:szCs w:val="21"/>
              </w:rPr>
            </w:pPr>
            <w:r>
              <w:rPr>
                <w:rFonts w:hint="eastAsia" w:ascii="宋体" w:hAnsi="宋体"/>
                <w:b/>
                <w:bCs/>
                <w:color w:val="auto"/>
                <w:szCs w:val="21"/>
              </w:rPr>
              <w:t>2.以上标明“必须提供”的材料属于复印件的，必须加盖投标人公章</w:t>
            </w:r>
            <w:r>
              <w:rPr>
                <w:rFonts w:hint="eastAsia" w:ascii="宋体" w:hAnsi="宋体"/>
                <w:b/>
                <w:bCs/>
                <w:color w:val="auto"/>
                <w:szCs w:val="21"/>
                <w:lang w:eastAsia="zh-CN"/>
              </w:rPr>
              <w:t>（</w:t>
            </w:r>
            <w:r>
              <w:rPr>
                <w:rFonts w:hint="eastAsia" w:ascii="宋体" w:hAnsi="宋体"/>
                <w:b/>
                <w:bCs/>
                <w:color w:val="auto"/>
                <w:szCs w:val="21"/>
              </w:rPr>
              <w:t>或电子公章</w:t>
            </w:r>
            <w:r>
              <w:rPr>
                <w:rFonts w:hint="eastAsia" w:ascii="宋体" w:hAnsi="宋体"/>
                <w:b/>
                <w:bCs/>
                <w:color w:val="auto"/>
                <w:szCs w:val="21"/>
                <w:lang w:eastAsia="zh-CN"/>
              </w:rPr>
              <w:t>）</w:t>
            </w:r>
            <w:r>
              <w:rPr>
                <w:rFonts w:hint="eastAsia" w:ascii="宋体" w:hAnsi="宋体"/>
                <w:b/>
                <w:bCs/>
                <w:color w:val="auto"/>
                <w:szCs w:val="21"/>
              </w:rPr>
              <w:t>，否则</w:t>
            </w:r>
            <w:r>
              <w:rPr>
                <w:rFonts w:hint="eastAsia" w:ascii="宋体" w:hAnsi="宋体" w:cs="Courier New"/>
                <w:b/>
                <w:color w:val="auto"/>
                <w:szCs w:val="21"/>
              </w:rPr>
              <w:t>作无效投标处理</w:t>
            </w:r>
            <w:r>
              <w:rPr>
                <w:rFonts w:hint="eastAsia" w:ascii="宋体" w:hAnsi="宋体"/>
                <w:b/>
                <w:bCs/>
                <w:color w:val="auto"/>
                <w:szCs w:val="21"/>
              </w:rPr>
              <w:t>。</w:t>
            </w:r>
          </w:p>
        </w:tc>
      </w:tr>
      <w:tr w14:paraId="79EF72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68" w:type="dxa"/>
            <w:tcBorders>
              <w:top w:val="single" w:color="auto" w:sz="4" w:space="0"/>
              <w:left w:val="single" w:color="auto" w:sz="4" w:space="0"/>
              <w:bottom w:val="single" w:color="auto" w:sz="4" w:space="0"/>
              <w:right w:val="single" w:color="auto" w:sz="4" w:space="0"/>
            </w:tcBorders>
            <w:vAlign w:val="center"/>
          </w:tcPr>
          <w:p w14:paraId="4228B611">
            <w:pPr>
              <w:spacing w:line="360" w:lineRule="auto"/>
              <w:rPr>
                <w:rFonts w:ascii="宋体" w:hAnsi="宋体"/>
                <w:color w:val="auto"/>
                <w:szCs w:val="21"/>
              </w:rPr>
            </w:pPr>
            <w:bookmarkStart w:id="71" w:name="_16.2"/>
            <w:bookmarkEnd w:id="71"/>
            <w:bookmarkStart w:id="72" w:name="_13.5"/>
            <w:bookmarkEnd w:id="72"/>
            <w:bookmarkStart w:id="73" w:name="_13.4"/>
            <w:bookmarkEnd w:id="73"/>
            <w:r>
              <w:rPr>
                <w:rFonts w:hint="eastAsia" w:ascii="宋体" w:hAnsi="宋体"/>
                <w:color w:val="auto"/>
                <w:szCs w:val="21"/>
              </w:rPr>
              <w:t>16</w:t>
            </w:r>
            <w:bookmarkStart w:id="74" w:name="_Hlt19194066"/>
            <w:bookmarkStart w:id="75" w:name="_Hlt19693758"/>
            <w:bookmarkStart w:id="76" w:name="_Hlt19693759"/>
            <w:bookmarkStart w:id="77" w:name="_Hlt19194067"/>
            <w:r>
              <w:rPr>
                <w:rFonts w:hint="eastAsia" w:ascii="宋体" w:hAnsi="宋体"/>
                <w:color w:val="auto"/>
                <w:szCs w:val="21"/>
              </w:rPr>
              <w:t>.</w:t>
            </w:r>
            <w:bookmarkEnd w:id="74"/>
            <w:bookmarkEnd w:id="75"/>
            <w:bookmarkEnd w:id="76"/>
            <w:bookmarkEnd w:id="77"/>
            <w:r>
              <w:rPr>
                <w:rFonts w:hint="eastAsia" w:ascii="宋体" w:hAnsi="宋体"/>
                <w:color w:val="auto"/>
                <w:szCs w:val="21"/>
              </w:rPr>
              <w:t>2</w:t>
            </w:r>
          </w:p>
        </w:tc>
        <w:tc>
          <w:tcPr>
            <w:tcW w:w="8597" w:type="dxa"/>
            <w:tcBorders>
              <w:top w:val="single" w:color="auto" w:sz="4" w:space="0"/>
              <w:left w:val="single" w:color="auto" w:sz="4" w:space="0"/>
              <w:bottom w:val="single" w:color="auto" w:sz="4" w:space="0"/>
              <w:right w:val="single" w:color="auto" w:sz="4" w:space="0"/>
            </w:tcBorders>
            <w:vAlign w:val="center"/>
          </w:tcPr>
          <w:p w14:paraId="7EE5DD16">
            <w:pPr>
              <w:snapToGrid w:val="0"/>
              <w:spacing w:line="360" w:lineRule="auto"/>
              <w:rPr>
                <w:rFonts w:ascii="宋体" w:hAnsi="宋体"/>
                <w:bCs/>
                <w:color w:val="auto"/>
                <w:szCs w:val="21"/>
              </w:rPr>
            </w:pPr>
            <w:r>
              <w:rPr>
                <w:rFonts w:hint="eastAsia" w:ascii="宋体" w:hAnsi="宋体"/>
                <w:bCs/>
                <w:color w:val="auto"/>
                <w:szCs w:val="21"/>
              </w:rPr>
              <w:t>投标报价包含货物、货物标准附件、备品备件、专用工具、设备安装辅材、施工辅材、包装、运输、装卸、保险、货到就位的各种费用以及安装、调试等本采购文件所列设备材料需进行补充完善才能完成本项目的功能配置或实际采购中产品材料有任何遗漏的费用（含本项目需要但本文件中未列出的设备材料、功能配置）、税金、售后服务、技术培训及其他所有成本费用，以及合同明示或暗示的所有责任、义务和一般风险等一切费用。</w:t>
            </w:r>
          </w:p>
          <w:p w14:paraId="30FB398F">
            <w:pPr>
              <w:snapToGrid w:val="0"/>
              <w:spacing w:line="360" w:lineRule="auto"/>
              <w:rPr>
                <w:rFonts w:ascii="宋体" w:hAnsi="宋体"/>
                <w:b/>
                <w:color w:val="auto"/>
                <w:szCs w:val="21"/>
              </w:rPr>
            </w:pPr>
            <w:r>
              <w:rPr>
                <w:rFonts w:hint="eastAsia" w:ascii="宋体" w:hAnsi="宋体"/>
                <w:b/>
                <w:color w:val="auto"/>
                <w:szCs w:val="21"/>
              </w:rPr>
              <w:t>☑投标报价包含验收费用</w:t>
            </w:r>
          </w:p>
          <w:p w14:paraId="287A2AE1">
            <w:pPr>
              <w:snapToGrid w:val="0"/>
              <w:spacing w:line="360" w:lineRule="auto"/>
              <w:rPr>
                <w:rFonts w:ascii="宋体" w:hAnsi="宋体"/>
                <w:b/>
                <w:color w:val="auto"/>
                <w:szCs w:val="21"/>
              </w:rPr>
            </w:pPr>
            <w:r>
              <w:rPr>
                <w:rFonts w:hint="eastAsia" w:ascii="宋体" w:hAnsi="宋体"/>
                <w:b/>
                <w:color w:val="auto"/>
                <w:szCs w:val="21"/>
              </w:rPr>
              <w:t>□投标报价不包含验收费用</w:t>
            </w:r>
          </w:p>
        </w:tc>
      </w:tr>
      <w:tr w14:paraId="2FF92B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68" w:type="dxa"/>
            <w:tcBorders>
              <w:top w:val="single" w:color="auto" w:sz="4" w:space="0"/>
              <w:left w:val="single" w:color="auto" w:sz="4" w:space="0"/>
              <w:bottom w:val="single" w:color="auto" w:sz="4" w:space="0"/>
              <w:right w:val="single" w:color="auto" w:sz="4" w:space="0"/>
            </w:tcBorders>
            <w:vAlign w:val="center"/>
          </w:tcPr>
          <w:p w14:paraId="419EC988">
            <w:pPr>
              <w:spacing w:line="360" w:lineRule="auto"/>
              <w:rPr>
                <w:rFonts w:ascii="宋体" w:hAnsi="宋体"/>
                <w:color w:val="auto"/>
                <w:szCs w:val="21"/>
              </w:rPr>
            </w:pPr>
            <w:bookmarkStart w:id="78" w:name="_17.1"/>
            <w:bookmarkEnd w:id="78"/>
            <w:r>
              <w:rPr>
                <w:rFonts w:hint="eastAsia" w:ascii="宋体" w:hAnsi="宋体"/>
                <w:color w:val="auto"/>
                <w:szCs w:val="21"/>
              </w:rPr>
              <w:t>17.</w:t>
            </w:r>
            <w:r>
              <w:rPr>
                <w:rFonts w:ascii="宋体" w:hAnsi="宋体"/>
                <w:color w:val="auto"/>
                <w:szCs w:val="21"/>
              </w:rPr>
              <w:t>2</w:t>
            </w:r>
          </w:p>
        </w:tc>
        <w:tc>
          <w:tcPr>
            <w:tcW w:w="8597" w:type="dxa"/>
            <w:tcBorders>
              <w:top w:val="single" w:color="auto" w:sz="4" w:space="0"/>
              <w:left w:val="single" w:color="auto" w:sz="4" w:space="0"/>
              <w:bottom w:val="single" w:color="auto" w:sz="4" w:space="0"/>
              <w:right w:val="single" w:color="auto" w:sz="4" w:space="0"/>
            </w:tcBorders>
            <w:vAlign w:val="center"/>
          </w:tcPr>
          <w:p w14:paraId="53ABC3E7">
            <w:pPr>
              <w:snapToGrid w:val="0"/>
              <w:spacing w:line="360" w:lineRule="auto"/>
              <w:rPr>
                <w:rFonts w:ascii="宋体" w:hAnsi="宋体"/>
                <w:color w:val="auto"/>
                <w:szCs w:val="21"/>
              </w:rPr>
            </w:pPr>
            <w:r>
              <w:rPr>
                <w:rFonts w:hint="eastAsia" w:ascii="宋体" w:hAnsi="宋体"/>
                <w:color w:val="auto"/>
                <w:szCs w:val="21"/>
              </w:rPr>
              <w:t>投标有效期：自投标截止之日起</w:t>
            </w:r>
            <w:r>
              <w:rPr>
                <w:rFonts w:hint="eastAsia" w:ascii="宋体" w:hAnsi="宋体"/>
                <w:color w:val="auto"/>
                <w:szCs w:val="21"/>
                <w:u w:val="single"/>
              </w:rPr>
              <w:t>90</w:t>
            </w:r>
            <w:r>
              <w:rPr>
                <w:rFonts w:hint="eastAsia" w:ascii="宋体" w:hAnsi="宋体"/>
                <w:color w:val="auto"/>
                <w:szCs w:val="21"/>
              </w:rPr>
              <w:t>日。</w:t>
            </w:r>
          </w:p>
        </w:tc>
      </w:tr>
      <w:tr w14:paraId="1ABD22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68" w:type="dxa"/>
            <w:tcBorders>
              <w:top w:val="single" w:color="auto" w:sz="4" w:space="0"/>
              <w:left w:val="single" w:color="auto" w:sz="4" w:space="0"/>
              <w:bottom w:val="single" w:color="auto" w:sz="4" w:space="0"/>
              <w:right w:val="single" w:color="auto" w:sz="4" w:space="0"/>
            </w:tcBorders>
            <w:vAlign w:val="center"/>
          </w:tcPr>
          <w:p w14:paraId="6312083D">
            <w:pPr>
              <w:spacing w:line="360" w:lineRule="auto"/>
              <w:rPr>
                <w:rFonts w:ascii="宋体" w:hAnsi="宋体"/>
                <w:color w:val="auto"/>
                <w:szCs w:val="21"/>
              </w:rPr>
            </w:pPr>
            <w:bookmarkStart w:id="79" w:name="_18"/>
            <w:bookmarkEnd w:id="79"/>
            <w:r>
              <w:rPr>
                <w:rFonts w:hint="eastAsia" w:ascii="宋体" w:hAnsi="宋体"/>
                <w:color w:val="auto"/>
                <w:szCs w:val="21"/>
              </w:rPr>
              <w:t>18</w:t>
            </w:r>
            <w:r>
              <w:rPr>
                <w:rFonts w:ascii="宋体" w:hAnsi="宋体"/>
                <w:color w:val="auto"/>
                <w:szCs w:val="21"/>
              </w:rPr>
              <w:t>.1</w:t>
            </w:r>
          </w:p>
        </w:tc>
        <w:tc>
          <w:tcPr>
            <w:tcW w:w="8597" w:type="dxa"/>
            <w:tcBorders>
              <w:top w:val="single" w:color="auto" w:sz="4" w:space="0"/>
              <w:left w:val="single" w:color="auto" w:sz="4" w:space="0"/>
              <w:bottom w:val="single" w:color="auto" w:sz="4" w:space="0"/>
              <w:right w:val="single" w:color="auto" w:sz="4" w:space="0"/>
            </w:tcBorders>
            <w:vAlign w:val="center"/>
          </w:tcPr>
          <w:p w14:paraId="0797AB2F">
            <w:pPr>
              <w:autoSpaceDE w:val="0"/>
              <w:autoSpaceDN w:val="0"/>
              <w:snapToGrid w:val="0"/>
              <w:spacing w:line="360" w:lineRule="auto"/>
              <w:textAlignment w:val="bottom"/>
              <w:rPr>
                <w:rFonts w:ascii="宋体" w:hAnsi="宋体"/>
                <w:b/>
                <w:color w:val="auto"/>
                <w:szCs w:val="21"/>
              </w:rPr>
            </w:pPr>
            <w:r>
              <w:rPr>
                <w:rFonts w:hint="eastAsia" w:ascii="宋体" w:hAnsi="宋体"/>
                <w:color w:val="auto"/>
                <w:szCs w:val="21"/>
              </w:rPr>
              <w:t>☑本项目不收取投标保证金。</w:t>
            </w:r>
          </w:p>
        </w:tc>
      </w:tr>
      <w:tr w14:paraId="15F355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68" w:type="dxa"/>
            <w:tcBorders>
              <w:top w:val="single" w:color="auto" w:sz="4" w:space="0"/>
              <w:left w:val="single" w:color="auto" w:sz="4" w:space="0"/>
              <w:bottom w:val="single" w:color="auto" w:sz="4" w:space="0"/>
              <w:right w:val="single" w:color="auto" w:sz="4" w:space="0"/>
            </w:tcBorders>
            <w:vAlign w:val="center"/>
          </w:tcPr>
          <w:p w14:paraId="2FE0C94E">
            <w:pPr>
              <w:spacing w:line="360" w:lineRule="auto"/>
              <w:rPr>
                <w:rFonts w:ascii="宋体" w:hAnsi="宋体"/>
                <w:color w:val="auto"/>
                <w:szCs w:val="21"/>
              </w:rPr>
            </w:pPr>
            <w:bookmarkStart w:id="80" w:name="_19.2"/>
            <w:bookmarkEnd w:id="80"/>
            <w:r>
              <w:rPr>
                <w:rFonts w:hint="eastAsia" w:ascii="宋体" w:hAnsi="宋体"/>
                <w:color w:val="auto"/>
                <w:szCs w:val="21"/>
              </w:rPr>
              <w:t>19.1</w:t>
            </w:r>
          </w:p>
        </w:tc>
        <w:tc>
          <w:tcPr>
            <w:tcW w:w="8597" w:type="dxa"/>
            <w:tcBorders>
              <w:top w:val="single" w:color="auto" w:sz="4" w:space="0"/>
              <w:left w:val="single" w:color="auto" w:sz="4" w:space="0"/>
              <w:bottom w:val="single" w:color="auto" w:sz="4" w:space="0"/>
              <w:right w:val="single" w:color="auto" w:sz="4" w:space="0"/>
            </w:tcBorders>
            <w:vAlign w:val="center"/>
          </w:tcPr>
          <w:p w14:paraId="735B69E2">
            <w:pPr>
              <w:autoSpaceDE w:val="0"/>
              <w:autoSpaceDN w:val="0"/>
              <w:snapToGrid w:val="0"/>
              <w:spacing w:line="360" w:lineRule="auto"/>
              <w:textAlignment w:val="bottom"/>
              <w:rPr>
                <w:rFonts w:ascii="宋体" w:hAnsi="宋体" w:cs="宋体"/>
                <w:b/>
                <w:bCs/>
                <w:color w:val="auto"/>
                <w:szCs w:val="21"/>
              </w:rPr>
            </w:pPr>
            <w:r>
              <w:rPr>
                <w:rFonts w:hint="eastAsia" w:ascii="宋体" w:hAnsi="宋体" w:cs="宋体"/>
                <w:b/>
                <w:bCs/>
                <w:color w:val="auto"/>
                <w:szCs w:val="21"/>
              </w:rPr>
              <w:t>投标文件编制要求：</w:t>
            </w:r>
          </w:p>
          <w:p w14:paraId="21565F25">
            <w:pPr>
              <w:autoSpaceDE w:val="0"/>
              <w:autoSpaceDN w:val="0"/>
              <w:snapToGrid w:val="0"/>
              <w:spacing w:line="360" w:lineRule="auto"/>
              <w:textAlignment w:val="bottom"/>
              <w:rPr>
                <w:rFonts w:ascii="宋体" w:hAnsi="宋体"/>
                <w:color w:val="auto"/>
                <w:szCs w:val="21"/>
              </w:rPr>
            </w:pPr>
            <w:r>
              <w:rPr>
                <w:rFonts w:hint="eastAsia" w:ascii="宋体" w:hAnsi="宋体" w:cs="宋体"/>
                <w:color w:val="auto"/>
                <w:szCs w:val="21"/>
              </w:rPr>
              <w:t>投标文件应按报价文件、资格证明文件、商务技术文件分别编制，分别生成电子文件。</w:t>
            </w:r>
          </w:p>
        </w:tc>
      </w:tr>
      <w:tr w14:paraId="2D2FE1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4" w:hRule="atLeast"/>
        </w:trPr>
        <w:tc>
          <w:tcPr>
            <w:tcW w:w="968" w:type="dxa"/>
            <w:tcBorders>
              <w:top w:val="single" w:color="auto" w:sz="4" w:space="0"/>
              <w:left w:val="single" w:color="auto" w:sz="4" w:space="0"/>
              <w:bottom w:val="single" w:color="auto" w:sz="4" w:space="0"/>
              <w:right w:val="single" w:color="auto" w:sz="4" w:space="0"/>
            </w:tcBorders>
            <w:vAlign w:val="center"/>
          </w:tcPr>
          <w:p w14:paraId="06ADA00B">
            <w:pPr>
              <w:spacing w:line="360" w:lineRule="auto"/>
              <w:rPr>
                <w:rFonts w:ascii="宋体" w:hAnsi="宋体"/>
                <w:color w:val="auto"/>
                <w:szCs w:val="21"/>
              </w:rPr>
            </w:pPr>
            <w:bookmarkStart w:id="81" w:name="_21.1"/>
            <w:bookmarkEnd w:id="81"/>
            <w:r>
              <w:rPr>
                <w:rFonts w:hint="eastAsia" w:ascii="宋体" w:hAnsi="宋体"/>
                <w:color w:val="auto"/>
                <w:szCs w:val="21"/>
              </w:rPr>
              <w:t>21.1</w:t>
            </w:r>
          </w:p>
        </w:tc>
        <w:tc>
          <w:tcPr>
            <w:tcW w:w="8597" w:type="dxa"/>
            <w:tcBorders>
              <w:top w:val="single" w:color="auto" w:sz="4" w:space="0"/>
              <w:left w:val="single" w:color="auto" w:sz="4" w:space="0"/>
              <w:bottom w:val="single" w:color="auto" w:sz="4" w:space="0"/>
              <w:right w:val="single" w:color="auto" w:sz="4" w:space="0"/>
            </w:tcBorders>
            <w:vAlign w:val="center"/>
          </w:tcPr>
          <w:p w14:paraId="3BB678E5">
            <w:pPr>
              <w:snapToGrid w:val="0"/>
              <w:spacing w:line="360" w:lineRule="auto"/>
              <w:rPr>
                <w:rFonts w:ascii="宋体" w:hAnsi="宋体"/>
                <w:color w:val="auto"/>
                <w:szCs w:val="21"/>
                <w:u w:val="single"/>
              </w:rPr>
            </w:pPr>
            <w:r>
              <w:rPr>
                <w:rFonts w:hint="eastAsia" w:ascii="宋体" w:hAnsi="宋体"/>
                <w:color w:val="auto"/>
                <w:szCs w:val="21"/>
              </w:rPr>
              <w:t>1.投标截止时间：详见招标公告</w:t>
            </w:r>
          </w:p>
          <w:p w14:paraId="23717A50">
            <w:pPr>
              <w:snapToGrid w:val="0"/>
              <w:spacing w:line="360" w:lineRule="auto"/>
              <w:rPr>
                <w:rFonts w:ascii="宋体" w:hAnsi="宋体"/>
                <w:color w:val="auto"/>
                <w:szCs w:val="21"/>
              </w:rPr>
            </w:pPr>
            <w:r>
              <w:rPr>
                <w:rFonts w:hint="eastAsia" w:ascii="宋体" w:hAnsi="宋体"/>
                <w:color w:val="auto"/>
                <w:szCs w:val="21"/>
              </w:rPr>
              <w:t>2.投标文件提交起止时间：详见招标公告</w:t>
            </w:r>
          </w:p>
          <w:p w14:paraId="4889D7CD">
            <w:pPr>
              <w:snapToGrid w:val="0"/>
              <w:spacing w:line="360" w:lineRule="auto"/>
              <w:rPr>
                <w:rFonts w:ascii="宋体" w:hAnsi="宋体"/>
                <w:color w:val="auto"/>
                <w:szCs w:val="21"/>
              </w:rPr>
            </w:pPr>
            <w:r>
              <w:rPr>
                <w:rFonts w:hint="eastAsia" w:ascii="宋体" w:hAnsi="宋体"/>
                <w:color w:val="auto"/>
                <w:szCs w:val="21"/>
              </w:rPr>
              <w:t>3.投标地点：详见招标公告</w:t>
            </w:r>
          </w:p>
        </w:tc>
      </w:tr>
      <w:tr w14:paraId="5D16AE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68" w:type="dxa"/>
            <w:tcBorders>
              <w:top w:val="single" w:color="auto" w:sz="4" w:space="0"/>
              <w:left w:val="single" w:color="auto" w:sz="4" w:space="0"/>
              <w:bottom w:val="single" w:color="auto" w:sz="4" w:space="0"/>
              <w:right w:val="single" w:color="auto" w:sz="4" w:space="0"/>
            </w:tcBorders>
            <w:vAlign w:val="center"/>
          </w:tcPr>
          <w:p w14:paraId="1C553B07">
            <w:pPr>
              <w:spacing w:line="360" w:lineRule="auto"/>
              <w:rPr>
                <w:rFonts w:ascii="宋体" w:hAnsi="宋体"/>
                <w:color w:val="auto"/>
                <w:szCs w:val="21"/>
              </w:rPr>
            </w:pPr>
            <w:bookmarkStart w:id="82" w:name="_23"/>
            <w:bookmarkEnd w:id="82"/>
            <w:r>
              <w:rPr>
                <w:rFonts w:hint="eastAsia" w:ascii="宋体" w:hAnsi="宋体"/>
                <w:color w:val="auto"/>
                <w:szCs w:val="21"/>
              </w:rPr>
              <w:t>23</w:t>
            </w:r>
          </w:p>
        </w:tc>
        <w:tc>
          <w:tcPr>
            <w:tcW w:w="8597" w:type="dxa"/>
            <w:tcBorders>
              <w:top w:val="single" w:color="auto" w:sz="4" w:space="0"/>
              <w:left w:val="single" w:color="auto" w:sz="4" w:space="0"/>
              <w:bottom w:val="single" w:color="auto" w:sz="4" w:space="0"/>
              <w:right w:val="single" w:color="auto" w:sz="4" w:space="0"/>
            </w:tcBorders>
            <w:vAlign w:val="center"/>
          </w:tcPr>
          <w:p w14:paraId="11CBA1FD">
            <w:pPr>
              <w:snapToGrid w:val="0"/>
              <w:spacing w:line="360" w:lineRule="auto"/>
              <w:rPr>
                <w:rFonts w:ascii="宋体" w:hAnsi="宋体"/>
                <w:color w:val="auto"/>
                <w:szCs w:val="21"/>
              </w:rPr>
            </w:pPr>
            <w:r>
              <w:rPr>
                <w:rFonts w:hint="eastAsia" w:ascii="宋体" w:hAnsi="宋体"/>
                <w:color w:val="auto"/>
                <w:szCs w:val="21"/>
              </w:rPr>
              <w:t>1.开标时间：详见招标公告</w:t>
            </w:r>
          </w:p>
          <w:p w14:paraId="5C820AC4">
            <w:pPr>
              <w:snapToGrid w:val="0"/>
              <w:spacing w:line="360" w:lineRule="auto"/>
              <w:rPr>
                <w:rFonts w:ascii="宋体" w:hAnsi="宋体"/>
                <w:color w:val="auto"/>
                <w:szCs w:val="21"/>
              </w:rPr>
            </w:pPr>
            <w:r>
              <w:rPr>
                <w:rFonts w:hint="eastAsia" w:ascii="宋体" w:hAnsi="宋体"/>
                <w:color w:val="auto"/>
                <w:szCs w:val="21"/>
              </w:rPr>
              <w:t>2.开标地点：详见招标公告</w:t>
            </w:r>
          </w:p>
        </w:tc>
      </w:tr>
      <w:tr w14:paraId="129F35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68" w:type="dxa"/>
            <w:tcBorders>
              <w:top w:val="single" w:color="auto" w:sz="4" w:space="0"/>
              <w:left w:val="single" w:color="auto" w:sz="4" w:space="0"/>
              <w:bottom w:val="single" w:color="auto" w:sz="4" w:space="0"/>
              <w:right w:val="single" w:color="auto" w:sz="4" w:space="0"/>
            </w:tcBorders>
            <w:vAlign w:val="center"/>
          </w:tcPr>
          <w:p w14:paraId="7E33176D">
            <w:pPr>
              <w:spacing w:line="360" w:lineRule="auto"/>
              <w:rPr>
                <w:rFonts w:ascii="宋体" w:hAnsi="宋体"/>
                <w:color w:val="auto"/>
                <w:szCs w:val="21"/>
              </w:rPr>
            </w:pPr>
            <w:bookmarkStart w:id="83" w:name="_25.3"/>
            <w:bookmarkEnd w:id="83"/>
            <w:r>
              <w:rPr>
                <w:rFonts w:hint="eastAsia" w:ascii="宋体" w:hAnsi="宋体"/>
                <w:color w:val="auto"/>
                <w:szCs w:val="21"/>
              </w:rPr>
              <w:t>25.3（2）</w:t>
            </w:r>
          </w:p>
        </w:tc>
        <w:tc>
          <w:tcPr>
            <w:tcW w:w="8597" w:type="dxa"/>
            <w:tcBorders>
              <w:top w:val="single" w:color="auto" w:sz="4" w:space="0"/>
              <w:left w:val="single" w:color="auto" w:sz="4" w:space="0"/>
              <w:bottom w:val="single" w:color="auto" w:sz="4" w:space="0"/>
              <w:right w:val="single" w:color="auto" w:sz="4" w:space="0"/>
            </w:tcBorders>
            <w:vAlign w:val="center"/>
          </w:tcPr>
          <w:p w14:paraId="43D99D54">
            <w:pPr>
              <w:snapToGrid w:val="0"/>
              <w:spacing w:line="360" w:lineRule="auto"/>
              <w:rPr>
                <w:rFonts w:ascii="宋体" w:hAnsi="宋体"/>
                <w:color w:val="auto"/>
                <w:szCs w:val="21"/>
              </w:rPr>
            </w:pPr>
            <w:r>
              <w:rPr>
                <w:rFonts w:hint="eastAsia" w:ascii="宋体" w:hAnsi="宋体"/>
                <w:color w:val="auto"/>
                <w:szCs w:val="21"/>
              </w:rPr>
              <w:t>采购人或者采购代理机构在资格审查结束前，对投标人进行信用查询。</w:t>
            </w:r>
          </w:p>
          <w:p w14:paraId="3702A695">
            <w:pPr>
              <w:snapToGrid w:val="0"/>
              <w:spacing w:line="360" w:lineRule="auto"/>
              <w:rPr>
                <w:rFonts w:ascii="宋体" w:hAnsi="宋体"/>
                <w:color w:val="auto"/>
                <w:szCs w:val="21"/>
              </w:rPr>
            </w:pPr>
            <w:r>
              <w:rPr>
                <w:rFonts w:hint="eastAsia" w:ascii="宋体" w:hAnsi="宋体"/>
                <w:b/>
                <w:bCs/>
                <w:color w:val="auto"/>
                <w:szCs w:val="21"/>
              </w:rPr>
              <w:t>查询渠道：</w:t>
            </w:r>
            <w:r>
              <w:rPr>
                <w:rFonts w:hint="eastAsia" w:ascii="宋体" w:hAnsi="宋体"/>
                <w:color w:val="auto"/>
                <w:szCs w:val="21"/>
              </w:rPr>
              <w:t>“信用中国”网站(www.creditchina.gov.cn) 、中国政府采购网(www.ccgp.gov.cn)》。</w:t>
            </w:r>
          </w:p>
          <w:p w14:paraId="3AB57115">
            <w:pPr>
              <w:snapToGrid w:val="0"/>
              <w:spacing w:line="360" w:lineRule="auto"/>
              <w:rPr>
                <w:rFonts w:ascii="宋体" w:hAnsi="宋体"/>
                <w:color w:val="auto"/>
                <w:szCs w:val="21"/>
              </w:rPr>
            </w:pPr>
            <w:r>
              <w:rPr>
                <w:rFonts w:hint="eastAsia" w:ascii="宋体" w:hAnsi="宋体"/>
                <w:b/>
                <w:bCs/>
                <w:color w:val="auto"/>
                <w:szCs w:val="21"/>
              </w:rPr>
              <w:t>信用查询截止时点：</w:t>
            </w:r>
            <w:r>
              <w:rPr>
                <w:rFonts w:hint="eastAsia" w:ascii="宋体" w:hAnsi="宋体"/>
                <w:color w:val="auto"/>
                <w:szCs w:val="21"/>
              </w:rPr>
              <w:t>资格审查结束前</w:t>
            </w:r>
          </w:p>
          <w:p w14:paraId="4612A948">
            <w:pPr>
              <w:snapToGrid w:val="0"/>
              <w:spacing w:line="360" w:lineRule="auto"/>
              <w:rPr>
                <w:rFonts w:ascii="宋体" w:hAnsi="宋体"/>
                <w:color w:val="auto"/>
                <w:szCs w:val="21"/>
              </w:rPr>
            </w:pPr>
            <w:r>
              <w:rPr>
                <w:rFonts w:hint="eastAsia" w:ascii="宋体" w:hAnsi="宋体"/>
                <w:b/>
                <w:bCs/>
                <w:color w:val="auto"/>
                <w:szCs w:val="21"/>
              </w:rPr>
              <w:t>查询记录和证据留存方式：</w:t>
            </w:r>
            <w:r>
              <w:rPr>
                <w:rFonts w:hint="eastAsia" w:ascii="宋体" w:hAnsi="宋体"/>
                <w:color w:val="auto"/>
                <w:szCs w:val="21"/>
              </w:rPr>
              <w:t>在查询网站中直接打印查询记录，打印材料作为评审资料保存。</w:t>
            </w:r>
          </w:p>
          <w:p w14:paraId="01D67CB3">
            <w:pPr>
              <w:snapToGrid w:val="0"/>
              <w:spacing w:line="360" w:lineRule="auto"/>
              <w:rPr>
                <w:rFonts w:ascii="宋体" w:hAnsi="宋体"/>
                <w:b/>
                <w:color w:val="auto"/>
                <w:szCs w:val="21"/>
              </w:rPr>
            </w:pPr>
            <w:r>
              <w:rPr>
                <w:rFonts w:hint="eastAsia" w:ascii="宋体" w:hAnsi="宋体"/>
                <w:b/>
                <w:bCs/>
                <w:color w:val="auto"/>
                <w:szCs w:val="21"/>
              </w:rPr>
              <w:t>信用信息使用规则：</w:t>
            </w:r>
            <w:r>
              <w:rPr>
                <w:rFonts w:hint="eastAsia" w:ascii="宋体" w:hAnsi="宋体"/>
                <w:color w:val="auto"/>
                <w:szCs w:val="21"/>
              </w:rPr>
              <w:t>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采购人或者采购代理机构</w:t>
            </w:r>
            <w:r>
              <w:rPr>
                <w:rFonts w:hint="eastAsia"/>
                <w:color w:val="auto"/>
                <w:sz w:val="22"/>
                <w:szCs w:val="22"/>
              </w:rPr>
              <w:t>应当拒绝其参与政府采购活动</w:t>
            </w:r>
            <w:r>
              <w:rPr>
                <w:rFonts w:hint="eastAsia" w:ascii="宋体" w:hAnsi="宋体"/>
                <w:color w:val="auto"/>
                <w:szCs w:val="21"/>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080D82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68" w:type="dxa"/>
            <w:tcBorders>
              <w:top w:val="single" w:color="auto" w:sz="4" w:space="0"/>
              <w:left w:val="single" w:color="auto" w:sz="4" w:space="0"/>
              <w:bottom w:val="single" w:color="auto" w:sz="4" w:space="0"/>
              <w:right w:val="single" w:color="auto" w:sz="4" w:space="0"/>
            </w:tcBorders>
            <w:vAlign w:val="center"/>
          </w:tcPr>
          <w:p w14:paraId="08C2DA9D">
            <w:pPr>
              <w:spacing w:line="360" w:lineRule="auto"/>
              <w:rPr>
                <w:rFonts w:ascii="宋体" w:hAnsi="宋体"/>
                <w:color w:val="auto"/>
                <w:szCs w:val="21"/>
              </w:rPr>
            </w:pPr>
            <w:bookmarkStart w:id="84" w:name="_26"/>
            <w:bookmarkEnd w:id="84"/>
            <w:r>
              <w:rPr>
                <w:rFonts w:hint="eastAsia" w:ascii="宋体" w:hAnsi="宋体"/>
                <w:color w:val="auto"/>
                <w:szCs w:val="21"/>
              </w:rPr>
              <w:t>26</w:t>
            </w:r>
          </w:p>
        </w:tc>
        <w:tc>
          <w:tcPr>
            <w:tcW w:w="8597" w:type="dxa"/>
            <w:tcBorders>
              <w:top w:val="single" w:color="auto" w:sz="4" w:space="0"/>
              <w:left w:val="single" w:color="auto" w:sz="4" w:space="0"/>
              <w:bottom w:val="single" w:color="auto" w:sz="4" w:space="0"/>
              <w:right w:val="single" w:color="auto" w:sz="4" w:space="0"/>
            </w:tcBorders>
            <w:vAlign w:val="center"/>
          </w:tcPr>
          <w:p w14:paraId="61FF8DD3">
            <w:pPr>
              <w:autoSpaceDE w:val="0"/>
              <w:autoSpaceDN w:val="0"/>
              <w:snapToGrid w:val="0"/>
              <w:spacing w:line="360" w:lineRule="auto"/>
              <w:textAlignment w:val="bottom"/>
              <w:rPr>
                <w:rFonts w:ascii="宋体" w:hAnsi="宋体"/>
                <w:color w:val="auto"/>
                <w:szCs w:val="21"/>
              </w:rPr>
            </w:pPr>
            <w:r>
              <w:rPr>
                <w:rFonts w:hint="eastAsia" w:ascii="宋体" w:hAnsi="宋体"/>
                <w:color w:val="auto"/>
                <w:szCs w:val="21"/>
              </w:rPr>
              <w:t>评标委员会的人数：</w:t>
            </w:r>
            <w:r>
              <w:rPr>
                <w:rFonts w:hint="eastAsia" w:ascii="宋体" w:hAnsi="宋体"/>
                <w:color w:val="auto"/>
                <w:szCs w:val="21"/>
                <w:u w:val="single"/>
              </w:rPr>
              <w:t xml:space="preserve">  5 </w:t>
            </w:r>
            <w:r>
              <w:rPr>
                <w:rFonts w:hint="eastAsia" w:ascii="宋体" w:hAnsi="宋体"/>
                <w:color w:val="auto"/>
                <w:szCs w:val="21"/>
              </w:rPr>
              <w:t>人</w:t>
            </w:r>
          </w:p>
        </w:tc>
      </w:tr>
      <w:tr w14:paraId="21C15A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68" w:type="dxa"/>
            <w:tcBorders>
              <w:top w:val="single" w:color="auto" w:sz="4" w:space="0"/>
              <w:left w:val="single" w:color="auto" w:sz="4" w:space="0"/>
              <w:bottom w:val="single" w:color="auto" w:sz="4" w:space="0"/>
              <w:right w:val="single" w:color="auto" w:sz="4" w:space="0"/>
            </w:tcBorders>
            <w:vAlign w:val="center"/>
          </w:tcPr>
          <w:p w14:paraId="2180C7B2">
            <w:pPr>
              <w:spacing w:line="360" w:lineRule="auto"/>
              <w:rPr>
                <w:rFonts w:ascii="宋体" w:hAnsi="宋体"/>
                <w:color w:val="auto"/>
                <w:szCs w:val="21"/>
              </w:rPr>
            </w:pPr>
            <w:bookmarkStart w:id="85" w:name="_28.3"/>
            <w:bookmarkEnd w:id="85"/>
            <w:r>
              <w:rPr>
                <w:rFonts w:ascii="宋体" w:hAnsi="宋体"/>
                <w:color w:val="auto"/>
                <w:szCs w:val="21"/>
              </w:rPr>
              <w:t>29.1</w:t>
            </w:r>
          </w:p>
        </w:tc>
        <w:tc>
          <w:tcPr>
            <w:tcW w:w="8597" w:type="dxa"/>
            <w:tcBorders>
              <w:top w:val="single" w:color="auto" w:sz="4" w:space="0"/>
              <w:left w:val="single" w:color="auto" w:sz="4" w:space="0"/>
              <w:bottom w:val="single" w:color="auto" w:sz="4" w:space="0"/>
              <w:right w:val="single" w:color="auto" w:sz="4" w:space="0"/>
            </w:tcBorders>
            <w:vAlign w:val="center"/>
          </w:tcPr>
          <w:p w14:paraId="18726713">
            <w:pPr>
              <w:autoSpaceDE w:val="0"/>
              <w:autoSpaceDN w:val="0"/>
              <w:snapToGrid w:val="0"/>
              <w:spacing w:line="360" w:lineRule="auto"/>
              <w:textAlignment w:val="bottom"/>
              <w:rPr>
                <w:rFonts w:ascii="宋体" w:hAnsi="宋体"/>
                <w:color w:val="auto"/>
                <w:szCs w:val="21"/>
              </w:rPr>
            </w:pPr>
            <w:r>
              <w:rPr>
                <w:rFonts w:hint="eastAsia" w:ascii="宋体" w:hAnsi="宋体"/>
                <w:color w:val="auto"/>
                <w:szCs w:val="21"/>
              </w:rPr>
              <w:t>评标方法：</w:t>
            </w:r>
          </w:p>
          <w:p w14:paraId="49058B2C">
            <w:pPr>
              <w:autoSpaceDE w:val="0"/>
              <w:autoSpaceDN w:val="0"/>
              <w:snapToGrid w:val="0"/>
              <w:spacing w:line="360" w:lineRule="auto"/>
              <w:textAlignment w:val="bottom"/>
              <w:rPr>
                <w:rFonts w:ascii="宋体" w:hAnsi="宋体"/>
                <w:color w:val="auto"/>
                <w:szCs w:val="21"/>
              </w:rPr>
            </w:pPr>
            <w:r>
              <w:rPr>
                <w:rFonts w:hint="eastAsia" w:ascii="宋体" w:hAnsi="宋体"/>
                <w:color w:val="auto"/>
                <w:szCs w:val="21"/>
              </w:rPr>
              <w:t>☑综合评分法</w:t>
            </w:r>
          </w:p>
          <w:p w14:paraId="48222DA0">
            <w:pPr>
              <w:autoSpaceDE w:val="0"/>
              <w:autoSpaceDN w:val="0"/>
              <w:snapToGrid w:val="0"/>
              <w:spacing w:line="360" w:lineRule="auto"/>
              <w:textAlignment w:val="bottom"/>
              <w:rPr>
                <w:rFonts w:ascii="宋体" w:hAnsi="宋体"/>
                <w:color w:val="auto"/>
                <w:szCs w:val="21"/>
              </w:rPr>
            </w:pPr>
            <w:r>
              <w:rPr>
                <w:rFonts w:hint="eastAsia" w:ascii="宋体" w:hAnsi="宋体"/>
                <w:color w:val="auto"/>
                <w:szCs w:val="21"/>
              </w:rPr>
              <w:t>□最低评标价法</w:t>
            </w:r>
          </w:p>
        </w:tc>
      </w:tr>
      <w:tr w14:paraId="718A23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68" w:type="dxa"/>
            <w:tcBorders>
              <w:top w:val="single" w:color="auto" w:sz="4" w:space="0"/>
              <w:left w:val="single" w:color="auto" w:sz="4" w:space="0"/>
              <w:bottom w:val="single" w:color="auto" w:sz="4" w:space="0"/>
              <w:right w:val="single" w:color="auto" w:sz="4" w:space="0"/>
            </w:tcBorders>
            <w:vAlign w:val="center"/>
          </w:tcPr>
          <w:p w14:paraId="46EBCE43">
            <w:pPr>
              <w:spacing w:line="360" w:lineRule="auto"/>
              <w:rPr>
                <w:rFonts w:ascii="宋体" w:hAnsi="宋体"/>
                <w:color w:val="auto"/>
                <w:szCs w:val="21"/>
              </w:rPr>
            </w:pPr>
            <w:r>
              <w:rPr>
                <w:rFonts w:hint="eastAsia" w:ascii="宋体" w:hAnsi="宋体" w:cs="宋体"/>
                <w:color w:val="auto"/>
                <w:szCs w:val="21"/>
                <w:highlight w:val="none"/>
              </w:rPr>
              <w:t>29.2</w:t>
            </w:r>
          </w:p>
        </w:tc>
        <w:tc>
          <w:tcPr>
            <w:tcW w:w="8597" w:type="dxa"/>
            <w:tcBorders>
              <w:top w:val="single" w:color="auto" w:sz="4" w:space="0"/>
              <w:left w:val="single" w:color="auto" w:sz="4" w:space="0"/>
              <w:bottom w:val="single" w:color="auto" w:sz="4" w:space="0"/>
              <w:right w:val="single" w:color="auto" w:sz="4" w:space="0"/>
            </w:tcBorders>
            <w:vAlign w:val="center"/>
          </w:tcPr>
          <w:p w14:paraId="02248111">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商务条款评审中允许负偏离的条款数为</w:t>
            </w:r>
            <w:r>
              <w:rPr>
                <w:rFonts w:hint="eastAsia" w:ascii="宋体" w:hAnsi="宋体" w:cs="宋体"/>
                <w:color w:val="auto"/>
                <w:szCs w:val="21"/>
                <w:highlight w:val="none"/>
                <w:u w:val="single"/>
              </w:rPr>
              <w:t xml:space="preserve">  0  </w:t>
            </w:r>
            <w:r>
              <w:rPr>
                <w:rFonts w:hint="eastAsia" w:ascii="宋体" w:hAnsi="宋体" w:cs="宋体"/>
                <w:color w:val="auto"/>
                <w:szCs w:val="21"/>
                <w:highlight w:val="none"/>
              </w:rPr>
              <w:t>项。</w:t>
            </w:r>
          </w:p>
          <w:p w14:paraId="5DB97F20">
            <w:pPr>
              <w:snapToGrid w:val="0"/>
              <w:spacing w:line="360" w:lineRule="auto"/>
              <w:rPr>
                <w:rFonts w:hint="eastAsia" w:ascii="宋体" w:hAnsi="宋体"/>
                <w:color w:val="auto"/>
                <w:szCs w:val="21"/>
              </w:rPr>
            </w:pPr>
            <w:r>
              <w:rPr>
                <w:rFonts w:hint="eastAsia" w:ascii="宋体" w:hAnsi="宋体" w:cs="宋体"/>
                <w:b/>
                <w:bCs/>
                <w:color w:val="auto"/>
                <w:szCs w:val="21"/>
                <w:highlight w:val="none"/>
              </w:rPr>
              <w:t>技术需求评审中允许负偏离的条款数为</w:t>
            </w:r>
            <w:r>
              <w:rPr>
                <w:rFonts w:hint="eastAsia" w:ascii="宋体" w:hAnsi="宋体" w:cs="宋体"/>
                <w:color w:val="auto"/>
                <w:szCs w:val="21"/>
                <w:highlight w:val="none"/>
              </w:rPr>
              <w:t>“采购需求及评审程序和评定成交的标准”</w:t>
            </w:r>
            <w:r>
              <w:rPr>
                <w:rFonts w:hint="eastAsia" w:ascii="宋体" w:hAnsi="宋体" w:cs="宋体"/>
                <w:b/>
                <w:bCs/>
                <w:color w:val="auto"/>
                <w:szCs w:val="21"/>
                <w:highlight w:val="none"/>
              </w:rPr>
              <w:t>。</w:t>
            </w:r>
          </w:p>
        </w:tc>
      </w:tr>
      <w:tr w14:paraId="46246E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68" w:type="dxa"/>
            <w:tcBorders>
              <w:top w:val="single" w:color="auto" w:sz="4" w:space="0"/>
              <w:left w:val="single" w:color="auto" w:sz="4" w:space="0"/>
              <w:bottom w:val="single" w:color="auto" w:sz="4" w:space="0"/>
              <w:right w:val="single" w:color="auto" w:sz="4" w:space="0"/>
            </w:tcBorders>
            <w:vAlign w:val="center"/>
          </w:tcPr>
          <w:p w14:paraId="4DB8CD92">
            <w:pPr>
              <w:spacing w:line="360" w:lineRule="auto"/>
              <w:rPr>
                <w:rFonts w:ascii="宋体" w:hAnsi="宋体"/>
                <w:color w:val="auto"/>
                <w:szCs w:val="21"/>
              </w:rPr>
            </w:pPr>
            <w:bookmarkStart w:id="86" w:name="_29.2.2（2）"/>
            <w:bookmarkEnd w:id="86"/>
            <w:r>
              <w:rPr>
                <w:rFonts w:hint="eastAsia" w:ascii="宋体" w:hAnsi="宋体"/>
                <w:color w:val="auto"/>
                <w:szCs w:val="21"/>
              </w:rPr>
              <w:t>30</w:t>
            </w:r>
            <w:r>
              <w:rPr>
                <w:rFonts w:ascii="宋体" w:hAnsi="宋体"/>
                <w:color w:val="auto"/>
                <w:szCs w:val="21"/>
              </w:rPr>
              <w:t>.1</w:t>
            </w:r>
          </w:p>
        </w:tc>
        <w:tc>
          <w:tcPr>
            <w:tcW w:w="8597" w:type="dxa"/>
            <w:tcBorders>
              <w:top w:val="single" w:color="auto" w:sz="4" w:space="0"/>
              <w:left w:val="single" w:color="auto" w:sz="4" w:space="0"/>
              <w:bottom w:val="single" w:color="auto" w:sz="4" w:space="0"/>
              <w:right w:val="single" w:color="auto" w:sz="4" w:space="0"/>
            </w:tcBorders>
            <w:vAlign w:val="center"/>
          </w:tcPr>
          <w:p w14:paraId="15E077C7">
            <w:pPr>
              <w:autoSpaceDE w:val="0"/>
              <w:autoSpaceDN w:val="0"/>
              <w:snapToGrid w:val="0"/>
              <w:spacing w:line="360" w:lineRule="auto"/>
              <w:textAlignment w:val="bottom"/>
              <w:rPr>
                <w:rFonts w:ascii="宋体" w:hAnsi="宋体"/>
                <w:color w:val="auto"/>
                <w:szCs w:val="21"/>
              </w:rPr>
            </w:pPr>
            <w:r>
              <w:rPr>
                <w:rFonts w:hint="eastAsia" w:ascii="宋体" w:hAnsi="宋体"/>
                <w:color w:val="auto"/>
                <w:szCs w:val="21"/>
              </w:rPr>
              <w:t>采购人确定中标人时，出现中标候选人并列的情形，采购人按以下的方式确定中标人：</w:t>
            </w:r>
          </w:p>
          <w:p w14:paraId="416E4C56">
            <w:pPr>
              <w:autoSpaceDE w:val="0"/>
              <w:autoSpaceDN w:val="0"/>
              <w:snapToGrid w:val="0"/>
              <w:spacing w:line="360" w:lineRule="auto"/>
              <w:textAlignment w:val="bottom"/>
              <w:rPr>
                <w:rFonts w:ascii="宋体" w:hAnsi="宋体"/>
                <w:color w:val="auto"/>
                <w:szCs w:val="21"/>
              </w:rPr>
            </w:pPr>
            <w:r>
              <w:rPr>
                <w:rFonts w:hint="eastAsia" w:ascii="宋体" w:hAnsi="宋体"/>
                <w:color w:val="auto"/>
                <w:szCs w:val="21"/>
              </w:rPr>
              <w:t>☑</w:t>
            </w:r>
            <w:r>
              <w:rPr>
                <w:rFonts w:hint="eastAsia" w:ascii="宋体" w:hAnsi="宋体" w:cs="宋体"/>
                <w:b/>
                <w:color w:val="auto"/>
                <w:szCs w:val="21"/>
              </w:rPr>
              <w:t>依次按投标报价低的优先、技术评分高的优先、商务评分高的优先的顺序确定；</w:t>
            </w:r>
          </w:p>
          <w:p w14:paraId="7558CDBA">
            <w:pPr>
              <w:snapToGrid w:val="0"/>
              <w:spacing w:line="360" w:lineRule="auto"/>
              <w:rPr>
                <w:rFonts w:ascii="宋体" w:hAnsi="宋体"/>
                <w:b/>
                <w:color w:val="auto"/>
                <w:szCs w:val="21"/>
              </w:rPr>
            </w:pPr>
            <w:r>
              <w:rPr>
                <w:rFonts w:hint="eastAsia" w:ascii="宋体" w:hAnsi="宋体"/>
                <w:color w:val="auto"/>
                <w:szCs w:val="21"/>
              </w:rPr>
              <w:t>□随机抽取</w:t>
            </w:r>
          </w:p>
        </w:tc>
      </w:tr>
      <w:tr w14:paraId="344BDE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68" w:type="dxa"/>
            <w:tcBorders>
              <w:top w:val="single" w:color="auto" w:sz="4" w:space="0"/>
              <w:left w:val="single" w:color="auto" w:sz="4" w:space="0"/>
              <w:bottom w:val="single" w:color="auto" w:sz="4" w:space="0"/>
              <w:right w:val="single" w:color="auto" w:sz="4" w:space="0"/>
            </w:tcBorders>
            <w:vAlign w:val="center"/>
          </w:tcPr>
          <w:p w14:paraId="602FB0FD">
            <w:pPr>
              <w:spacing w:line="360" w:lineRule="auto"/>
              <w:rPr>
                <w:rFonts w:ascii="宋体" w:hAnsi="宋体"/>
                <w:color w:val="auto"/>
                <w:szCs w:val="21"/>
              </w:rPr>
            </w:pPr>
            <w:bookmarkStart w:id="87" w:name="_39.1"/>
            <w:bookmarkEnd w:id="87"/>
            <w:r>
              <w:rPr>
                <w:rFonts w:hint="eastAsia" w:ascii="宋体" w:hAnsi="宋体"/>
                <w:color w:val="auto"/>
                <w:szCs w:val="21"/>
              </w:rPr>
              <w:t>35</w:t>
            </w:r>
            <w:r>
              <w:rPr>
                <w:rFonts w:ascii="宋体" w:hAnsi="宋体"/>
                <w:color w:val="auto"/>
                <w:szCs w:val="21"/>
              </w:rPr>
              <w:t>.1</w:t>
            </w:r>
          </w:p>
        </w:tc>
        <w:tc>
          <w:tcPr>
            <w:tcW w:w="8597" w:type="dxa"/>
            <w:tcBorders>
              <w:top w:val="single" w:color="auto" w:sz="4" w:space="0"/>
              <w:left w:val="single" w:color="auto" w:sz="4" w:space="0"/>
              <w:bottom w:val="single" w:color="auto" w:sz="4" w:space="0"/>
              <w:right w:val="single" w:color="auto" w:sz="4" w:space="0"/>
            </w:tcBorders>
            <w:vAlign w:val="center"/>
          </w:tcPr>
          <w:p w14:paraId="6F39EBCC">
            <w:pPr>
              <w:autoSpaceDE w:val="0"/>
              <w:autoSpaceDN w:val="0"/>
              <w:snapToGrid w:val="0"/>
              <w:spacing w:line="400" w:lineRule="exact"/>
              <w:textAlignment w:val="bottom"/>
              <w:rPr>
                <w:rFonts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本项目不收取履约保证金。</w:t>
            </w:r>
          </w:p>
          <w:p w14:paraId="71851D99">
            <w:pPr>
              <w:autoSpaceDE w:val="0"/>
              <w:autoSpaceDN w:val="0"/>
              <w:snapToGrid w:val="0"/>
              <w:spacing w:line="400" w:lineRule="exact"/>
              <w:textAlignment w:val="bottom"/>
              <w:rPr>
                <w:rFonts w:ascii="宋体" w:hAnsi="宋体"/>
                <w:color w:val="auto"/>
                <w:szCs w:val="21"/>
              </w:rPr>
            </w:pPr>
            <w:r>
              <w:rPr>
                <w:rFonts w:hint="eastAsia" w:ascii="MS Mincho" w:hAnsi="MS Mincho" w:cs="MS Mincho"/>
                <w:color w:val="auto"/>
                <w:szCs w:val="21"/>
                <w:lang w:eastAsia="zh-CN"/>
              </w:rPr>
              <w:t>□</w:t>
            </w:r>
            <w:r>
              <w:rPr>
                <w:rFonts w:hint="eastAsia" w:ascii="宋体" w:hAnsi="宋体"/>
                <w:color w:val="auto"/>
                <w:szCs w:val="21"/>
              </w:rPr>
              <w:t>本项目收取履约保证金，具体规定如下：</w:t>
            </w:r>
          </w:p>
          <w:p w14:paraId="53CFA0CA">
            <w:pPr>
              <w:pStyle w:val="10"/>
              <w:spacing w:after="120" w:line="400" w:lineRule="exact"/>
              <w:rPr>
                <w:rFonts w:ascii="宋体" w:hAnsi="宋体"/>
                <w:color w:val="auto"/>
                <w:szCs w:val="21"/>
              </w:rPr>
            </w:pPr>
            <w:r>
              <w:rPr>
                <w:rFonts w:hint="eastAsia" w:ascii="宋体" w:hAnsi="宋体"/>
                <w:color w:val="auto"/>
                <w:szCs w:val="21"/>
              </w:rPr>
              <w:t>履约保证金金额：</w:t>
            </w:r>
            <w:r>
              <w:rPr>
                <w:rFonts w:hint="eastAsia" w:ascii="宋体" w:hAnsi="宋体" w:cs="宋体"/>
                <w:color w:val="auto"/>
                <w:szCs w:val="21"/>
              </w:rPr>
              <w:t>中标人在中标通知书发出后25日内且必须在签订合同前向采购人以银行转账、支票、汇票、本票或者银行、保险机构出具的保函等非现金方式一次性缴纳中标金额的5%（中标人为中小微企业时为中标金额的2%）作为履约保证金。</w:t>
            </w:r>
          </w:p>
          <w:p w14:paraId="655A4129">
            <w:pPr>
              <w:autoSpaceDE w:val="0"/>
              <w:autoSpaceDN w:val="0"/>
              <w:snapToGrid w:val="0"/>
              <w:spacing w:line="400" w:lineRule="exact"/>
              <w:textAlignment w:val="bottom"/>
              <w:rPr>
                <w:rFonts w:ascii="宋体" w:hAnsi="宋体"/>
                <w:color w:val="auto"/>
                <w:szCs w:val="21"/>
              </w:rPr>
            </w:pPr>
            <w:r>
              <w:rPr>
                <w:rFonts w:hint="eastAsia" w:ascii="宋体" w:hAnsi="宋体"/>
                <w:color w:val="auto"/>
                <w:szCs w:val="21"/>
              </w:rPr>
              <w:t>履约保证金退付方式：（1）履约保证金待履行完合同约定的权利义务事项后（中标人承诺质保期满）且不存在争议的，采购人在5个工作日内无息返还履约保证金。由招标人凭《广西壮族自治区政府采购项目合同验收书》（详见桂财采〔2015〕22号）向采购人申请办理履约保证金退还手续。</w:t>
            </w:r>
          </w:p>
          <w:p w14:paraId="01EDF2C8">
            <w:pPr>
              <w:autoSpaceDE w:val="0"/>
              <w:autoSpaceDN w:val="0"/>
              <w:snapToGrid w:val="0"/>
              <w:spacing w:line="400" w:lineRule="exact"/>
              <w:textAlignment w:val="bottom"/>
              <w:rPr>
                <w:rFonts w:ascii="宋体" w:hAnsi="宋体"/>
                <w:color w:val="auto"/>
                <w:szCs w:val="21"/>
              </w:rPr>
            </w:pPr>
            <w:r>
              <w:rPr>
                <w:rFonts w:hint="eastAsia" w:ascii="宋体" w:hAnsi="宋体"/>
                <w:color w:val="auto"/>
                <w:szCs w:val="21"/>
              </w:rPr>
              <w:t>（2）在履约保证金退还日期前，若成交供应商的开户名称、开户银行、账号有变动的，请以书面形式通知履约保证金收取单位，否则由此产生的后果由成交供应商自负。</w:t>
            </w:r>
          </w:p>
          <w:p w14:paraId="1F137418">
            <w:pPr>
              <w:autoSpaceDE w:val="0"/>
              <w:autoSpaceDN w:val="0"/>
              <w:snapToGrid w:val="0"/>
              <w:spacing w:line="400" w:lineRule="exact"/>
              <w:textAlignment w:val="bottom"/>
              <w:rPr>
                <w:rFonts w:ascii="宋体" w:hAnsi="宋体"/>
                <w:color w:val="auto"/>
                <w:szCs w:val="21"/>
              </w:rPr>
            </w:pPr>
            <w:r>
              <w:rPr>
                <w:rFonts w:hint="eastAsia" w:ascii="宋体" w:hAnsi="宋体"/>
                <w:color w:val="auto"/>
                <w:szCs w:val="21"/>
              </w:rPr>
              <w:t>（3）成交供应商在签订合同后存在违约情形的，履约保证金不予退还。履约保证金不足以赔偿损失的，按实际损失赔偿。</w:t>
            </w:r>
          </w:p>
          <w:p w14:paraId="1D6E1873">
            <w:pPr>
              <w:autoSpaceDE w:val="0"/>
              <w:autoSpaceDN w:val="0"/>
              <w:snapToGrid w:val="0"/>
              <w:spacing w:line="360" w:lineRule="exact"/>
              <w:textAlignment w:val="bottom"/>
              <w:rPr>
                <w:rFonts w:ascii="宋体"/>
                <w:color w:val="auto"/>
              </w:rPr>
            </w:pPr>
            <w:r>
              <w:rPr>
                <w:rFonts w:hint="eastAsia" w:ascii="宋体" w:hAnsi="宋体" w:cs="宋体"/>
                <w:color w:val="auto"/>
                <w:kern w:val="0"/>
                <w:szCs w:val="21"/>
              </w:rPr>
              <w:t>履约保证金指定</w:t>
            </w:r>
            <w:r>
              <w:rPr>
                <w:rFonts w:hint="eastAsia" w:ascii="宋体" w:hAnsi="宋体" w:cs="宋体"/>
                <w:color w:val="auto"/>
              </w:rPr>
              <w:t>账户：</w:t>
            </w:r>
          </w:p>
          <w:p w14:paraId="4DF070AC">
            <w:pPr>
              <w:spacing w:line="400" w:lineRule="exact"/>
              <w:jc w:val="left"/>
              <w:rPr>
                <w:rFonts w:hint="eastAsia" w:ascii="宋体" w:hAnsi="宋体" w:eastAsia="宋体" w:cs="宋体"/>
                <w:color w:val="auto"/>
                <w:lang w:eastAsia="zh-CN"/>
              </w:rPr>
            </w:pPr>
            <w:r>
              <w:rPr>
                <w:rFonts w:hint="eastAsia" w:ascii="宋体" w:hAnsi="宋体" w:cs="宋体"/>
                <w:color w:val="auto"/>
              </w:rPr>
              <w:t>开户名称：</w:t>
            </w:r>
            <w:r>
              <w:rPr>
                <w:rFonts w:hint="eastAsia" w:ascii="宋体" w:hAnsi="宋体" w:cs="宋体"/>
                <w:color w:val="auto"/>
                <w:lang w:val="en-US" w:eastAsia="zh-CN"/>
              </w:rPr>
              <w:t>/</w:t>
            </w:r>
          </w:p>
          <w:p w14:paraId="096B8D2A">
            <w:pPr>
              <w:spacing w:line="400" w:lineRule="exact"/>
              <w:jc w:val="left"/>
              <w:rPr>
                <w:rFonts w:hint="eastAsia" w:ascii="宋体" w:hAnsi="宋体" w:eastAsia="宋体" w:cs="宋体"/>
                <w:color w:val="auto"/>
                <w:lang w:eastAsia="zh-CN"/>
              </w:rPr>
            </w:pPr>
            <w:r>
              <w:rPr>
                <w:rFonts w:hint="eastAsia" w:ascii="宋体" w:hAnsi="宋体" w:cs="宋体"/>
                <w:color w:val="auto"/>
              </w:rPr>
              <w:t>开户银行：</w:t>
            </w:r>
            <w:r>
              <w:rPr>
                <w:rFonts w:hint="eastAsia" w:ascii="宋体" w:hAnsi="宋体" w:cs="宋体"/>
                <w:color w:val="auto"/>
                <w:lang w:val="en-US" w:eastAsia="zh-CN"/>
              </w:rPr>
              <w:t>/</w:t>
            </w:r>
          </w:p>
          <w:p w14:paraId="4CB0DAED">
            <w:pPr>
              <w:spacing w:line="400" w:lineRule="exact"/>
              <w:jc w:val="left"/>
              <w:rPr>
                <w:rFonts w:hint="eastAsia" w:ascii="宋体" w:hAnsi="宋体" w:eastAsia="宋体" w:cs="宋体"/>
                <w:color w:val="auto"/>
                <w:lang w:eastAsia="zh-CN"/>
              </w:rPr>
            </w:pPr>
            <w:r>
              <w:rPr>
                <w:rFonts w:hint="eastAsia" w:ascii="宋体" w:hAnsi="宋体" w:cs="宋体"/>
                <w:color w:val="auto"/>
              </w:rPr>
              <w:t>银行账号：</w:t>
            </w:r>
            <w:r>
              <w:rPr>
                <w:rFonts w:hint="eastAsia" w:ascii="宋体" w:hAnsi="宋体" w:cs="宋体"/>
                <w:color w:val="auto"/>
                <w:lang w:val="en-US" w:eastAsia="zh-CN"/>
              </w:rPr>
              <w:t>/</w:t>
            </w:r>
          </w:p>
          <w:p w14:paraId="035DE1B4">
            <w:pPr>
              <w:spacing w:line="400" w:lineRule="exact"/>
              <w:jc w:val="left"/>
              <w:rPr>
                <w:rFonts w:ascii="宋体" w:hAnsi="宋体" w:cs="Courier New"/>
                <w:color w:val="auto"/>
                <w:szCs w:val="21"/>
              </w:rPr>
            </w:pPr>
            <w:r>
              <w:rPr>
                <w:rFonts w:ascii="宋体" w:hAnsi="宋体" w:cs="Courier New"/>
                <w:color w:val="auto"/>
                <w:szCs w:val="21"/>
              </w:rPr>
              <w:t>备注：</w:t>
            </w:r>
          </w:p>
          <w:p w14:paraId="490A50C7">
            <w:pPr>
              <w:spacing w:line="400" w:lineRule="exact"/>
              <w:jc w:val="left"/>
              <w:rPr>
                <w:rFonts w:ascii="宋体" w:hAnsi="宋体"/>
                <w:b/>
                <w:color w:val="auto"/>
                <w:szCs w:val="21"/>
              </w:rPr>
            </w:pPr>
            <w:r>
              <w:rPr>
                <w:rFonts w:ascii="宋体" w:hAnsi="宋体"/>
                <w:b/>
                <w:color w:val="auto"/>
                <w:szCs w:val="21"/>
              </w:rPr>
              <w:t>1.</w:t>
            </w:r>
            <w:r>
              <w:rPr>
                <w:rFonts w:hint="eastAsia" w:ascii="宋体" w:hAnsi="宋体"/>
                <w:b/>
                <w:color w:val="auto"/>
                <w:szCs w:val="21"/>
              </w:rPr>
              <w:t>根据《广西壮族自治区财政厅关于进一步发挥政府采购政策功能促进企业发展的通知》（桂财采〔2022〕30号）规定，对中小企业收取的履约保证金数额不得超过政府采购合同金额的2%。采购人可根据供应商的资信等情况减免履约保证金。</w:t>
            </w:r>
          </w:p>
          <w:p w14:paraId="3C81F601">
            <w:pPr>
              <w:spacing w:line="400" w:lineRule="exact"/>
              <w:jc w:val="left"/>
              <w:rPr>
                <w:rFonts w:ascii="宋体" w:hAnsi="宋体"/>
                <w:b/>
                <w:color w:val="auto"/>
                <w:szCs w:val="21"/>
              </w:rPr>
            </w:pPr>
            <w:r>
              <w:rPr>
                <w:rFonts w:ascii="宋体" w:hAnsi="宋体"/>
                <w:b/>
                <w:color w:val="auto"/>
                <w:szCs w:val="21"/>
              </w:rPr>
              <w:t>2.</w:t>
            </w:r>
            <w:r>
              <w:rPr>
                <w:rFonts w:hint="eastAsia" w:ascii="宋体" w:hAnsi="宋体"/>
                <w:b/>
                <w:color w:val="auto"/>
                <w:szCs w:val="21"/>
              </w:rPr>
              <w:t>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p w14:paraId="253A2E95">
            <w:pPr>
              <w:spacing w:line="400" w:lineRule="exact"/>
              <w:jc w:val="left"/>
              <w:rPr>
                <w:color w:val="auto"/>
              </w:rPr>
            </w:pPr>
            <w:r>
              <w:rPr>
                <w:rFonts w:ascii="宋体" w:hAnsi="宋体"/>
                <w:b/>
                <w:color w:val="auto"/>
                <w:szCs w:val="21"/>
              </w:rPr>
              <w:t>3.采用银行、保险机构出具的保函的，必须为无条件保函，否则不予签订合同。</w:t>
            </w:r>
          </w:p>
        </w:tc>
      </w:tr>
      <w:tr w14:paraId="59287B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68" w:type="dxa"/>
            <w:tcBorders>
              <w:top w:val="single" w:color="auto" w:sz="4" w:space="0"/>
              <w:left w:val="single" w:color="auto" w:sz="4" w:space="0"/>
              <w:bottom w:val="single" w:color="auto" w:sz="4" w:space="0"/>
              <w:right w:val="single" w:color="auto" w:sz="4" w:space="0"/>
            </w:tcBorders>
            <w:vAlign w:val="center"/>
          </w:tcPr>
          <w:p w14:paraId="4A49219C">
            <w:pPr>
              <w:spacing w:line="360" w:lineRule="auto"/>
              <w:rPr>
                <w:rFonts w:ascii="宋体" w:hAnsi="宋体"/>
                <w:color w:val="auto"/>
                <w:szCs w:val="21"/>
              </w:rPr>
            </w:pPr>
            <w:bookmarkStart w:id="88" w:name="_40.1"/>
            <w:bookmarkEnd w:id="88"/>
            <w:r>
              <w:rPr>
                <w:rFonts w:hint="eastAsia" w:ascii="宋体" w:hAnsi="宋体"/>
                <w:color w:val="auto"/>
                <w:szCs w:val="21"/>
              </w:rPr>
              <w:t>36.1</w:t>
            </w:r>
          </w:p>
        </w:tc>
        <w:tc>
          <w:tcPr>
            <w:tcW w:w="8597" w:type="dxa"/>
            <w:tcBorders>
              <w:top w:val="single" w:color="auto" w:sz="4" w:space="0"/>
              <w:left w:val="single" w:color="auto" w:sz="4" w:space="0"/>
              <w:bottom w:val="single" w:color="auto" w:sz="4" w:space="0"/>
              <w:right w:val="single" w:color="auto" w:sz="4" w:space="0"/>
            </w:tcBorders>
            <w:vAlign w:val="center"/>
          </w:tcPr>
          <w:p w14:paraId="13E09DF6">
            <w:pPr>
              <w:autoSpaceDE w:val="0"/>
              <w:autoSpaceDN w:val="0"/>
              <w:snapToGrid w:val="0"/>
              <w:spacing w:line="360" w:lineRule="auto"/>
              <w:textAlignment w:val="bottom"/>
              <w:rPr>
                <w:rFonts w:ascii="宋体" w:hAnsi="宋体"/>
                <w:color w:val="auto"/>
                <w:szCs w:val="21"/>
              </w:rPr>
            </w:pPr>
            <w:r>
              <w:rPr>
                <w:rFonts w:hint="eastAsia" w:ascii="宋体" w:hAnsi="宋体"/>
                <w:color w:val="auto"/>
                <w:szCs w:val="21"/>
              </w:rPr>
              <w:t xml:space="preserve">签订合同携带的证明材料： </w:t>
            </w:r>
          </w:p>
          <w:p w14:paraId="2A644341">
            <w:pPr>
              <w:autoSpaceDE w:val="0"/>
              <w:autoSpaceDN w:val="0"/>
              <w:snapToGrid w:val="0"/>
              <w:spacing w:line="360" w:lineRule="auto"/>
              <w:textAlignment w:val="bottom"/>
              <w:rPr>
                <w:rFonts w:ascii="宋体" w:hAnsi="宋体"/>
                <w:color w:val="auto"/>
                <w:szCs w:val="21"/>
              </w:rPr>
            </w:pPr>
            <w:r>
              <w:rPr>
                <w:rFonts w:hint="eastAsia" w:ascii="宋体" w:hAnsi="宋体"/>
                <w:color w:val="auto"/>
                <w:szCs w:val="21"/>
              </w:rPr>
              <w:t>委托代理人负责签订合同的，须携带授权委托书及委托代理人身份证原件等其他资格证件。</w:t>
            </w:r>
          </w:p>
          <w:p w14:paraId="2F9D42F8">
            <w:pPr>
              <w:autoSpaceDE w:val="0"/>
              <w:autoSpaceDN w:val="0"/>
              <w:snapToGrid w:val="0"/>
              <w:spacing w:line="360" w:lineRule="auto"/>
              <w:textAlignment w:val="bottom"/>
              <w:rPr>
                <w:rFonts w:ascii="宋体" w:hAnsi="宋体"/>
                <w:color w:val="auto"/>
                <w:szCs w:val="21"/>
              </w:rPr>
            </w:pPr>
            <w:r>
              <w:rPr>
                <w:rFonts w:hint="eastAsia" w:ascii="宋体" w:hAnsi="宋体"/>
                <w:color w:val="auto"/>
                <w:szCs w:val="21"/>
              </w:rPr>
              <w:t>法定代表人负责签订合同的，须携带法定代表人身份证明原件及身份证原件等其他证明材料。</w:t>
            </w:r>
          </w:p>
        </w:tc>
      </w:tr>
      <w:tr w14:paraId="395828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68" w:type="dxa"/>
            <w:tcBorders>
              <w:top w:val="single" w:color="auto" w:sz="4" w:space="0"/>
              <w:left w:val="single" w:color="auto" w:sz="4" w:space="0"/>
              <w:bottom w:val="single" w:color="auto" w:sz="4" w:space="0"/>
              <w:right w:val="single" w:color="auto" w:sz="4" w:space="0"/>
            </w:tcBorders>
            <w:vAlign w:val="center"/>
          </w:tcPr>
          <w:p w14:paraId="24CF214E">
            <w:pPr>
              <w:spacing w:line="360" w:lineRule="auto"/>
              <w:rPr>
                <w:rFonts w:ascii="宋体" w:hAnsi="宋体"/>
                <w:color w:val="auto"/>
                <w:szCs w:val="21"/>
              </w:rPr>
            </w:pPr>
            <w:r>
              <w:rPr>
                <w:rFonts w:hint="eastAsia" w:ascii="宋体" w:hAnsi="宋体"/>
                <w:color w:val="auto"/>
                <w:szCs w:val="21"/>
              </w:rPr>
              <w:t>3</w:t>
            </w:r>
            <w:r>
              <w:rPr>
                <w:rFonts w:ascii="宋体" w:hAnsi="宋体"/>
                <w:color w:val="auto"/>
                <w:szCs w:val="21"/>
              </w:rPr>
              <w:t>8.2</w:t>
            </w:r>
          </w:p>
        </w:tc>
        <w:tc>
          <w:tcPr>
            <w:tcW w:w="8597" w:type="dxa"/>
            <w:tcBorders>
              <w:top w:val="single" w:color="auto" w:sz="4" w:space="0"/>
              <w:left w:val="single" w:color="auto" w:sz="4" w:space="0"/>
              <w:bottom w:val="single" w:color="auto" w:sz="4" w:space="0"/>
              <w:right w:val="single" w:color="auto" w:sz="4" w:space="0"/>
            </w:tcBorders>
            <w:vAlign w:val="center"/>
          </w:tcPr>
          <w:p w14:paraId="2050303C">
            <w:pPr>
              <w:snapToGrid w:val="0"/>
              <w:spacing w:line="360" w:lineRule="auto"/>
              <w:rPr>
                <w:rFonts w:ascii="宋体" w:hAnsi="宋体"/>
                <w:color w:val="auto"/>
                <w:szCs w:val="21"/>
              </w:rPr>
            </w:pPr>
            <w:r>
              <w:rPr>
                <w:rFonts w:hint="eastAsia" w:ascii="宋体" w:hAnsi="宋体"/>
                <w:color w:val="auto"/>
                <w:szCs w:val="21"/>
              </w:rPr>
              <w:t>接收质疑函方式：以书面形式</w:t>
            </w:r>
          </w:p>
          <w:p w14:paraId="7744AC32">
            <w:pPr>
              <w:snapToGrid w:val="0"/>
              <w:spacing w:line="360" w:lineRule="auto"/>
              <w:rPr>
                <w:rFonts w:ascii="宋体" w:hAnsi="宋体"/>
                <w:color w:val="auto"/>
                <w:szCs w:val="21"/>
              </w:rPr>
            </w:pPr>
            <w:r>
              <w:rPr>
                <w:rFonts w:hint="eastAsia" w:ascii="宋体" w:hAnsi="宋体"/>
                <w:color w:val="auto"/>
                <w:szCs w:val="21"/>
              </w:rPr>
              <w:t>质疑联系部门及联系方式：</w:t>
            </w:r>
            <w:r>
              <w:rPr>
                <w:rFonts w:hint="eastAsia" w:ascii="宋体" w:hAnsi="宋体"/>
                <w:color w:val="auto"/>
                <w:szCs w:val="21"/>
                <w:u w:val="single"/>
              </w:rPr>
              <w:t xml:space="preserve"> 建银工程咨询有限责任公司</w:t>
            </w:r>
            <w:r>
              <w:rPr>
                <w:rFonts w:hint="eastAsia" w:ascii="宋体" w:hAnsi="宋体"/>
                <w:color w:val="auto"/>
                <w:szCs w:val="21"/>
              </w:rPr>
              <w:t>，</w:t>
            </w:r>
          </w:p>
          <w:p w14:paraId="0D6007B9">
            <w:pPr>
              <w:snapToGrid w:val="0"/>
              <w:spacing w:line="360" w:lineRule="auto"/>
              <w:rPr>
                <w:rFonts w:ascii="宋体" w:hAnsi="宋体"/>
                <w:color w:val="auto"/>
                <w:szCs w:val="21"/>
              </w:rPr>
            </w:pPr>
            <w:r>
              <w:rPr>
                <w:rFonts w:ascii="宋体" w:hAnsi="宋体"/>
                <w:color w:val="auto"/>
                <w:szCs w:val="21"/>
              </w:rPr>
              <w:t>联系电话</w:t>
            </w:r>
            <w:r>
              <w:rPr>
                <w:rFonts w:hint="eastAsia" w:ascii="宋体" w:hAnsi="宋体"/>
                <w:color w:val="auto"/>
                <w:szCs w:val="21"/>
              </w:rPr>
              <w:t>：</w:t>
            </w:r>
            <w:r>
              <w:rPr>
                <w:rFonts w:hint="eastAsia" w:ascii="宋体" w:hAnsi="宋体" w:cs="宋体"/>
                <w:color w:val="auto"/>
                <w:szCs w:val="21"/>
                <w:u w:val="single"/>
              </w:rPr>
              <w:t>0773-2834827</w:t>
            </w:r>
            <w:r>
              <w:rPr>
                <w:rFonts w:hint="eastAsia" w:ascii="宋体" w:hAnsi="宋体"/>
                <w:color w:val="auto"/>
                <w:szCs w:val="21"/>
              </w:rPr>
              <w:t>，</w:t>
            </w:r>
          </w:p>
          <w:p w14:paraId="159FBCC5">
            <w:pPr>
              <w:snapToGrid w:val="0"/>
              <w:spacing w:line="360" w:lineRule="auto"/>
              <w:rPr>
                <w:rFonts w:ascii="宋体" w:hAnsi="宋体"/>
                <w:color w:val="auto"/>
                <w:szCs w:val="21"/>
              </w:rPr>
            </w:pPr>
            <w:r>
              <w:rPr>
                <w:rFonts w:ascii="宋体" w:hAnsi="宋体"/>
                <w:color w:val="auto"/>
                <w:szCs w:val="21"/>
              </w:rPr>
              <w:t>通讯地址</w:t>
            </w:r>
            <w:r>
              <w:rPr>
                <w:rFonts w:hint="eastAsia" w:ascii="宋体" w:hAnsi="宋体" w:cs="Helvetica"/>
                <w:color w:val="auto"/>
                <w:szCs w:val="21"/>
              </w:rPr>
              <w:t>：</w:t>
            </w:r>
            <w:r>
              <w:rPr>
                <w:rFonts w:hint="eastAsia" w:ascii="宋体" w:hAnsi="宋体" w:cs="Helvetica"/>
                <w:color w:val="auto"/>
                <w:szCs w:val="21"/>
                <w:u w:val="single"/>
              </w:rPr>
              <w:t>桂林市解放西路3-5号五楼</w:t>
            </w:r>
          </w:p>
          <w:p w14:paraId="02E6A1B1">
            <w:pPr>
              <w:autoSpaceDE w:val="0"/>
              <w:autoSpaceDN w:val="0"/>
              <w:snapToGrid w:val="0"/>
              <w:spacing w:line="360" w:lineRule="auto"/>
              <w:textAlignment w:val="bottom"/>
              <w:rPr>
                <w:rFonts w:ascii="宋体" w:hAnsi="宋体"/>
                <w:color w:val="auto"/>
                <w:szCs w:val="21"/>
              </w:rPr>
            </w:pPr>
            <w:r>
              <w:rPr>
                <w:rFonts w:hint="eastAsia" w:hAnsi="宋体"/>
                <w:color w:val="auto"/>
              </w:rPr>
              <w:t>现场提交质疑办理业务时间：每天9时00分到12时00分，15时00分到17时30分，业务时间以外、双休日和法定节假日不办理业务。</w:t>
            </w:r>
          </w:p>
        </w:tc>
      </w:tr>
      <w:tr w14:paraId="13CBEE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68" w:type="dxa"/>
            <w:tcBorders>
              <w:top w:val="single" w:color="auto" w:sz="4" w:space="0"/>
              <w:left w:val="single" w:color="auto" w:sz="4" w:space="0"/>
              <w:bottom w:val="single" w:color="auto" w:sz="4" w:space="0"/>
              <w:right w:val="single" w:color="auto" w:sz="4" w:space="0"/>
            </w:tcBorders>
            <w:vAlign w:val="center"/>
          </w:tcPr>
          <w:p w14:paraId="44A23EE4">
            <w:pPr>
              <w:spacing w:line="360" w:lineRule="auto"/>
              <w:rPr>
                <w:rFonts w:ascii="宋体" w:hAnsi="宋体"/>
                <w:color w:val="auto"/>
                <w:szCs w:val="21"/>
              </w:rPr>
            </w:pPr>
            <w:bookmarkStart w:id="89" w:name="_41"/>
            <w:bookmarkEnd w:id="89"/>
            <w:bookmarkStart w:id="90" w:name="_42"/>
            <w:bookmarkEnd w:id="90"/>
            <w:r>
              <w:rPr>
                <w:rFonts w:hint="eastAsia" w:ascii="宋体" w:hAnsi="宋体"/>
                <w:color w:val="auto"/>
                <w:szCs w:val="21"/>
              </w:rPr>
              <w:t>40</w:t>
            </w:r>
            <w:r>
              <w:rPr>
                <w:rFonts w:ascii="宋体" w:hAnsi="宋体"/>
                <w:color w:val="auto"/>
                <w:szCs w:val="21"/>
              </w:rPr>
              <w:t>.1</w:t>
            </w:r>
          </w:p>
        </w:tc>
        <w:tc>
          <w:tcPr>
            <w:tcW w:w="8597" w:type="dxa"/>
            <w:tcBorders>
              <w:top w:val="single" w:color="auto" w:sz="4" w:space="0"/>
              <w:left w:val="single" w:color="auto" w:sz="4" w:space="0"/>
              <w:bottom w:val="single" w:color="auto" w:sz="4" w:space="0"/>
              <w:right w:val="single" w:color="auto" w:sz="4" w:space="0"/>
            </w:tcBorders>
            <w:vAlign w:val="center"/>
          </w:tcPr>
          <w:p w14:paraId="6D6DC0D1">
            <w:pPr>
              <w:pStyle w:val="15"/>
              <w:snapToGrid w:val="0"/>
              <w:spacing w:line="360" w:lineRule="auto"/>
              <w:rPr>
                <w:rFonts w:hAnsi="宋体" w:cs="宋体"/>
                <w:color w:val="auto"/>
                <w:sz w:val="21"/>
              </w:rPr>
            </w:pPr>
            <w:r>
              <w:rPr>
                <w:rFonts w:hint="eastAsia" w:hAnsi="宋体" w:cs="宋体"/>
                <w:color w:val="auto"/>
                <w:sz w:val="21"/>
              </w:rPr>
              <w:t>1.采购代理费支付方式：</w:t>
            </w:r>
          </w:p>
          <w:p w14:paraId="0CF15790">
            <w:pPr>
              <w:pStyle w:val="15"/>
              <w:snapToGrid w:val="0"/>
              <w:spacing w:line="360" w:lineRule="auto"/>
              <w:rPr>
                <w:rFonts w:hAnsi="宋体" w:cs="宋体"/>
                <w:color w:val="auto"/>
                <w:sz w:val="21"/>
              </w:rPr>
            </w:pPr>
            <w:r>
              <w:rPr>
                <w:rFonts w:hint="eastAsia" w:hAnsi="宋体" w:cs="宋体"/>
                <w:color w:val="auto"/>
                <w:sz w:val="21"/>
              </w:rPr>
              <w:t>☑本项目代理服务费由</w:t>
            </w:r>
            <w:r>
              <w:rPr>
                <w:rFonts w:hint="eastAsia" w:hAnsi="宋体" w:cs="宋体"/>
                <w:color w:val="auto"/>
                <w:sz w:val="21"/>
                <w:u w:val="single"/>
              </w:rPr>
              <w:t>中标人</w:t>
            </w:r>
            <w:r>
              <w:rPr>
                <w:rFonts w:hint="eastAsia" w:hAnsi="宋体" w:cs="宋体"/>
                <w:color w:val="auto"/>
                <w:sz w:val="21"/>
              </w:rPr>
              <w:t>在领取中标通知书前，一次性向采购代理机构支付。</w:t>
            </w:r>
          </w:p>
          <w:p w14:paraId="12459F12">
            <w:pPr>
              <w:pStyle w:val="15"/>
              <w:snapToGrid w:val="0"/>
              <w:spacing w:line="360" w:lineRule="auto"/>
              <w:rPr>
                <w:rFonts w:hAnsi="宋体" w:cs="宋体"/>
                <w:color w:val="auto"/>
                <w:sz w:val="21"/>
              </w:rPr>
            </w:pPr>
            <w:r>
              <w:rPr>
                <w:rFonts w:hint="eastAsia" w:hAnsi="宋体" w:cs="宋体"/>
                <w:color w:val="auto"/>
                <w:sz w:val="21"/>
              </w:rPr>
              <w:t>□采购人支付。</w:t>
            </w:r>
          </w:p>
          <w:p w14:paraId="1695A989">
            <w:pPr>
              <w:pStyle w:val="15"/>
              <w:snapToGrid w:val="0"/>
              <w:spacing w:line="360" w:lineRule="auto"/>
              <w:rPr>
                <w:rFonts w:hAnsi="宋体" w:cs="宋体"/>
                <w:color w:val="auto"/>
                <w:sz w:val="21"/>
              </w:rPr>
            </w:pPr>
            <w:r>
              <w:rPr>
                <w:rFonts w:hint="eastAsia" w:hAnsi="宋体" w:cs="宋体"/>
                <w:color w:val="auto"/>
                <w:sz w:val="21"/>
              </w:rPr>
              <w:t>2.采购代理费收取标准：</w:t>
            </w:r>
          </w:p>
          <w:p w14:paraId="74466E7A">
            <w:pPr>
              <w:pStyle w:val="15"/>
              <w:snapToGrid w:val="0"/>
              <w:spacing w:line="360" w:lineRule="auto"/>
              <w:rPr>
                <w:rFonts w:hAnsi="宋体" w:cs="宋体"/>
                <w:color w:val="auto"/>
                <w:sz w:val="21"/>
              </w:rPr>
            </w:pPr>
            <w:r>
              <w:rPr>
                <w:rFonts w:hint="eastAsia" w:hAnsi="宋体" w:cs="宋体"/>
                <w:color w:val="auto"/>
                <w:sz w:val="21"/>
              </w:rPr>
              <w:t>☑以（☑中标金额/□采购预算/</w:t>
            </w:r>
            <w:r>
              <w:rPr>
                <w:rFonts w:hint="eastAsia" w:hAnsi="宋体" w:cs="宋体"/>
                <w:color w:val="auto"/>
                <w:sz w:val="21"/>
                <w:lang w:eastAsia="zh-CN"/>
              </w:rPr>
              <w:t>□</w:t>
            </w:r>
            <w:r>
              <w:rPr>
                <w:rFonts w:hint="eastAsia" w:hAnsi="宋体" w:cs="宋体"/>
                <w:color w:val="auto"/>
                <w:sz w:val="21"/>
              </w:rPr>
              <w:t>暂定中标金额/□其他）为计费额，按本须知正文第40.</w:t>
            </w:r>
            <w:r>
              <w:rPr>
                <w:rFonts w:hAnsi="宋体" w:cs="宋体"/>
                <w:color w:val="auto"/>
                <w:sz w:val="21"/>
              </w:rPr>
              <w:t>2</w:t>
            </w:r>
            <w:r>
              <w:rPr>
                <w:rFonts w:hint="eastAsia" w:hAnsi="宋体" w:cs="宋体"/>
                <w:color w:val="auto"/>
                <w:sz w:val="21"/>
              </w:rPr>
              <w:t>条规定的收费计算标准（☑货物招标/□服务招标/□工程招标）按照原国家计委关于《招标代理服务收费管理暂行办法》的通知（计价格〔2002〕1980号）、《国家发展改革委办公厅关于招标代理服务收费有关问题的通知》（发改办价格［2003］857号）以及《国家发展改革委关于降低部分建设项目收费标准规范收费行为等有关问题的通知》（发改价格〔2011〕534号）规定</w:t>
            </w:r>
            <w:r>
              <w:rPr>
                <w:rFonts w:hint="eastAsia" w:hAnsi="宋体" w:cs="宋体"/>
                <w:color w:val="auto"/>
                <w:sz w:val="21"/>
                <w:lang w:val="en-US" w:eastAsia="zh-CN"/>
              </w:rPr>
              <w:t>36</w:t>
            </w:r>
            <w:r>
              <w:rPr>
                <w:rFonts w:hint="eastAsia" w:hAnsi="宋体" w:cs="宋体"/>
                <w:color w:val="auto"/>
                <w:sz w:val="21"/>
              </w:rPr>
              <w:t>%收取，采用差额定率累进法计算。低于人民币贰仟肆佰元（¥</w:t>
            </w:r>
            <w:r>
              <w:rPr>
                <w:rFonts w:hint="eastAsia" w:hAnsi="宋体" w:cs="宋体"/>
                <w:color w:val="auto"/>
                <w:sz w:val="21"/>
                <w:lang w:val="en-US" w:eastAsia="zh-CN"/>
              </w:rPr>
              <w:t>24</w:t>
            </w:r>
            <w:r>
              <w:rPr>
                <w:rFonts w:hint="eastAsia" w:hAnsi="宋体" w:cs="宋体"/>
                <w:color w:val="auto"/>
                <w:sz w:val="21"/>
              </w:rPr>
              <w:t>00.00）按贰仟肆佰元（¥</w:t>
            </w:r>
            <w:r>
              <w:rPr>
                <w:rFonts w:hint="eastAsia" w:hAnsi="宋体" w:cs="宋体"/>
                <w:color w:val="auto"/>
                <w:sz w:val="21"/>
                <w:lang w:val="en-US" w:eastAsia="zh-CN"/>
              </w:rPr>
              <w:t>24</w:t>
            </w:r>
            <w:r>
              <w:rPr>
                <w:rFonts w:hint="eastAsia" w:hAnsi="宋体" w:cs="宋体"/>
                <w:color w:val="auto"/>
                <w:sz w:val="21"/>
              </w:rPr>
              <w:t>00.00）收取。</w:t>
            </w:r>
          </w:p>
          <w:p w14:paraId="74DFE92D">
            <w:pPr>
              <w:pStyle w:val="15"/>
              <w:snapToGrid w:val="0"/>
              <w:spacing w:line="360" w:lineRule="auto"/>
              <w:rPr>
                <w:rFonts w:hAnsi="宋体" w:cs="宋体"/>
                <w:color w:val="auto"/>
                <w:sz w:val="21"/>
                <w:u w:val="single"/>
              </w:rPr>
            </w:pPr>
            <w:r>
              <w:rPr>
                <w:rFonts w:hint="eastAsia" w:hAnsi="宋体" w:cs="宋体"/>
                <w:color w:val="auto"/>
                <w:sz w:val="21"/>
              </w:rPr>
              <w:t>□固定采购代理收费</w:t>
            </w:r>
            <w:r>
              <w:rPr>
                <w:rFonts w:hint="eastAsia" w:hAnsi="宋体" w:cs="宋体"/>
                <w:color w:val="auto"/>
                <w:sz w:val="21"/>
                <w:u w:val="single"/>
              </w:rPr>
              <w:t xml:space="preserve">              。</w:t>
            </w:r>
          </w:p>
          <w:p w14:paraId="1E4D292A">
            <w:pPr>
              <w:pStyle w:val="15"/>
              <w:snapToGrid w:val="0"/>
              <w:spacing w:line="360" w:lineRule="auto"/>
              <w:rPr>
                <w:rFonts w:hAnsi="宋体" w:cs="宋体"/>
                <w:color w:val="auto"/>
                <w:sz w:val="21"/>
              </w:rPr>
            </w:pPr>
            <w:r>
              <w:rPr>
                <w:rFonts w:hint="eastAsia" w:hAnsi="宋体" w:cs="宋体"/>
                <w:color w:val="auto"/>
                <w:sz w:val="21"/>
              </w:rPr>
              <w:t>3</w:t>
            </w:r>
            <w:r>
              <w:rPr>
                <w:rFonts w:hAnsi="宋体" w:cs="宋体"/>
                <w:color w:val="auto"/>
                <w:sz w:val="21"/>
              </w:rPr>
              <w:t>.</w:t>
            </w:r>
            <w:r>
              <w:rPr>
                <w:rFonts w:hint="eastAsia" w:hAnsi="宋体" w:cs="宋体"/>
                <w:color w:val="auto"/>
                <w:sz w:val="21"/>
              </w:rPr>
              <w:t xml:space="preserve">账户名称： </w:t>
            </w:r>
          </w:p>
          <w:p w14:paraId="70FABEFC">
            <w:pPr>
              <w:pStyle w:val="15"/>
              <w:snapToGrid w:val="0"/>
              <w:spacing w:line="360" w:lineRule="auto"/>
              <w:rPr>
                <w:rFonts w:hAnsi="宋体" w:cs="宋体"/>
                <w:color w:val="auto"/>
                <w:sz w:val="21"/>
              </w:rPr>
            </w:pPr>
            <w:r>
              <w:rPr>
                <w:rFonts w:hint="eastAsia" w:hAnsi="宋体" w:cs="宋体"/>
                <w:color w:val="auto"/>
                <w:sz w:val="21"/>
              </w:rPr>
              <w:t>开户名称：建银工程咨询有限责任公司桂林分公司</w:t>
            </w:r>
          </w:p>
          <w:p w14:paraId="2400E5AC">
            <w:pPr>
              <w:pStyle w:val="15"/>
              <w:snapToGrid w:val="0"/>
              <w:spacing w:line="360" w:lineRule="auto"/>
              <w:rPr>
                <w:rFonts w:hAnsi="宋体" w:cs="宋体"/>
                <w:color w:val="auto"/>
                <w:sz w:val="21"/>
              </w:rPr>
            </w:pPr>
            <w:r>
              <w:rPr>
                <w:rFonts w:hint="eastAsia" w:hAnsi="宋体" w:cs="宋体"/>
                <w:color w:val="auto"/>
                <w:sz w:val="21"/>
              </w:rPr>
              <w:t>开户银行：建行桂林分行叠彩支行</w:t>
            </w:r>
          </w:p>
          <w:p w14:paraId="7E34090B">
            <w:pPr>
              <w:pStyle w:val="15"/>
              <w:snapToGrid w:val="0"/>
              <w:spacing w:line="360" w:lineRule="auto"/>
              <w:rPr>
                <w:rFonts w:hAnsi="宋体"/>
                <w:color w:val="auto"/>
                <w:sz w:val="21"/>
              </w:rPr>
            </w:pPr>
            <w:r>
              <w:rPr>
                <w:rFonts w:hint="eastAsia" w:hAnsi="宋体" w:cs="宋体"/>
                <w:color w:val="auto"/>
                <w:sz w:val="21"/>
              </w:rPr>
              <w:t>开户账号：4505 0163 5410 0000 0034</w:t>
            </w:r>
            <w:r>
              <w:rPr>
                <w:rFonts w:hint="eastAsia" w:hAnsi="宋体" w:cs="宋体"/>
                <w:color w:val="auto"/>
                <w:sz w:val="21"/>
              </w:rPr>
              <w:tab/>
            </w:r>
          </w:p>
        </w:tc>
      </w:tr>
      <w:tr w14:paraId="3BC05E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68" w:type="dxa"/>
            <w:tcBorders>
              <w:top w:val="single" w:color="auto" w:sz="4" w:space="0"/>
              <w:left w:val="single" w:color="auto" w:sz="4" w:space="0"/>
              <w:bottom w:val="single" w:color="auto" w:sz="4" w:space="0"/>
              <w:right w:val="single" w:color="auto" w:sz="4" w:space="0"/>
            </w:tcBorders>
            <w:vAlign w:val="center"/>
          </w:tcPr>
          <w:p w14:paraId="3E26000A">
            <w:pPr>
              <w:snapToGrid w:val="0"/>
              <w:spacing w:line="360" w:lineRule="auto"/>
              <w:jc w:val="center"/>
              <w:rPr>
                <w:rFonts w:ascii="宋体" w:hAnsi="宋体"/>
                <w:color w:val="auto"/>
                <w:szCs w:val="21"/>
              </w:rPr>
            </w:pPr>
            <w:r>
              <w:rPr>
                <w:rFonts w:ascii="宋体" w:hAnsi="宋体"/>
                <w:color w:val="auto"/>
                <w:szCs w:val="21"/>
              </w:rPr>
              <w:t>4</w:t>
            </w:r>
            <w:r>
              <w:rPr>
                <w:rFonts w:hint="eastAsia" w:ascii="宋体" w:hAnsi="宋体"/>
                <w:color w:val="auto"/>
                <w:szCs w:val="21"/>
              </w:rPr>
              <w:t>1</w:t>
            </w:r>
            <w:r>
              <w:rPr>
                <w:rFonts w:ascii="宋体" w:hAnsi="宋体"/>
                <w:color w:val="auto"/>
                <w:szCs w:val="21"/>
              </w:rPr>
              <w:t>.1</w:t>
            </w:r>
          </w:p>
        </w:tc>
        <w:tc>
          <w:tcPr>
            <w:tcW w:w="8597" w:type="dxa"/>
            <w:tcBorders>
              <w:top w:val="single" w:color="auto" w:sz="4" w:space="0"/>
              <w:left w:val="single" w:color="auto" w:sz="4" w:space="0"/>
              <w:bottom w:val="single" w:color="auto" w:sz="4" w:space="0"/>
              <w:right w:val="single" w:color="auto" w:sz="4" w:space="0"/>
            </w:tcBorders>
            <w:vAlign w:val="center"/>
          </w:tcPr>
          <w:p w14:paraId="4B81C117">
            <w:pPr>
              <w:snapToGrid w:val="0"/>
              <w:spacing w:line="460" w:lineRule="exact"/>
              <w:rPr>
                <w:rFonts w:ascii="宋体" w:hAnsi="宋体"/>
                <w:b/>
                <w:color w:val="auto"/>
                <w:szCs w:val="21"/>
              </w:rPr>
            </w:pPr>
            <w:r>
              <w:rPr>
                <w:rFonts w:hint="eastAsia" w:ascii="宋体" w:hAnsi="宋体"/>
                <w:b/>
                <w:color w:val="auto"/>
                <w:szCs w:val="21"/>
              </w:rPr>
              <w:t>解释权：</w:t>
            </w:r>
            <w:r>
              <w:rPr>
                <w:rFonts w:ascii="宋体" w:hAnsi="宋体"/>
                <w:color w:val="auto"/>
                <w:szCs w:val="21"/>
              </w:rPr>
              <w:t>构成本招标文件的各个组成文件应互为解释，互为说明；除招标文件中有特别规定外，仅适用于招标投标阶段的规定，按</w:t>
            </w:r>
            <w:r>
              <w:rPr>
                <w:rFonts w:hint="eastAsia" w:ascii="宋体" w:hAnsi="宋体"/>
                <w:color w:val="auto"/>
                <w:szCs w:val="21"/>
              </w:rPr>
              <w:t>更正公告（澄清公告）</w:t>
            </w:r>
            <w:r>
              <w:rPr>
                <w:rFonts w:ascii="宋体" w:hAnsi="宋体"/>
                <w:color w:val="auto"/>
                <w:szCs w:val="21"/>
              </w:rPr>
              <w:t>、招标公告、</w:t>
            </w:r>
            <w:r>
              <w:rPr>
                <w:rFonts w:hint="eastAsia" w:ascii="宋体" w:hAnsi="宋体"/>
                <w:color w:val="auto"/>
                <w:szCs w:val="21"/>
              </w:rPr>
              <w:t>采购需求、</w:t>
            </w:r>
            <w:r>
              <w:rPr>
                <w:rFonts w:ascii="宋体" w:hAnsi="宋体"/>
                <w:color w:val="auto"/>
                <w:szCs w:val="21"/>
              </w:rPr>
              <w:t>投标人须知、</w:t>
            </w:r>
            <w:r>
              <w:rPr>
                <w:rFonts w:hint="eastAsia" w:ascii="宋体" w:hAnsi="宋体"/>
                <w:color w:val="auto"/>
                <w:szCs w:val="21"/>
              </w:rPr>
              <w:t>评标方法及评标标准</w:t>
            </w:r>
            <w:r>
              <w:rPr>
                <w:rFonts w:ascii="宋体" w:hAnsi="宋体"/>
                <w:color w:val="auto"/>
                <w:szCs w:val="21"/>
              </w:rPr>
              <w:t>、</w:t>
            </w:r>
            <w:r>
              <w:rPr>
                <w:rFonts w:hint="eastAsia" w:ascii="宋体" w:hAnsi="宋体"/>
                <w:color w:val="auto"/>
                <w:szCs w:val="21"/>
              </w:rPr>
              <w:t>拟签订的合同文本、</w:t>
            </w:r>
            <w:r>
              <w:rPr>
                <w:rFonts w:ascii="宋体" w:hAnsi="宋体"/>
                <w:color w:val="auto"/>
                <w:szCs w:val="21"/>
              </w:rPr>
              <w:t>投标文件格式的先后顺序解释；同一组成文件中就同一事项的规定或者约定不一致的，以编排顺序在后者为准；同一组成文件不同版本之间有不一致的，以形成时间在后者为准；</w:t>
            </w:r>
            <w:r>
              <w:rPr>
                <w:rFonts w:hint="eastAsia" w:ascii="宋体" w:hAnsi="宋体"/>
                <w:color w:val="auto"/>
                <w:szCs w:val="21"/>
              </w:rPr>
              <w:t>更正公告（澄清公告）</w:t>
            </w:r>
            <w:r>
              <w:rPr>
                <w:rFonts w:ascii="宋体" w:hAnsi="宋体"/>
                <w:color w:val="auto"/>
                <w:szCs w:val="21"/>
              </w:rPr>
              <w:t>与同步更新的招标文件不一致时以</w:t>
            </w:r>
            <w:r>
              <w:rPr>
                <w:rFonts w:hint="eastAsia" w:ascii="宋体" w:hAnsi="宋体"/>
                <w:color w:val="auto"/>
                <w:szCs w:val="21"/>
              </w:rPr>
              <w:t>更正公告（澄清公告）</w:t>
            </w:r>
            <w:r>
              <w:rPr>
                <w:rFonts w:ascii="宋体" w:hAnsi="宋体"/>
                <w:color w:val="auto"/>
                <w:szCs w:val="21"/>
              </w:rPr>
              <w:t>为准。按本款前述规定仍不能形成结论的</w:t>
            </w:r>
            <w:r>
              <w:rPr>
                <w:rFonts w:ascii="宋体" w:hAnsi="宋体"/>
                <w:b/>
                <w:color w:val="auto"/>
                <w:szCs w:val="21"/>
              </w:rPr>
              <w:t>，由</w:t>
            </w:r>
            <w:r>
              <w:rPr>
                <w:rFonts w:hint="eastAsia" w:ascii="宋体" w:hAnsi="宋体"/>
                <w:b/>
                <w:color w:val="auto"/>
                <w:szCs w:val="21"/>
              </w:rPr>
              <w:t>采购</w:t>
            </w:r>
            <w:r>
              <w:rPr>
                <w:rFonts w:ascii="宋体" w:hAnsi="宋体"/>
                <w:b/>
                <w:color w:val="auto"/>
                <w:szCs w:val="21"/>
              </w:rPr>
              <w:t>人</w:t>
            </w:r>
            <w:r>
              <w:rPr>
                <w:rFonts w:hint="eastAsia" w:ascii="宋体" w:hAnsi="宋体"/>
                <w:b/>
                <w:color w:val="auto"/>
                <w:szCs w:val="21"/>
              </w:rPr>
              <w:t>或者采购代理机构</w:t>
            </w:r>
            <w:r>
              <w:rPr>
                <w:rFonts w:ascii="宋体" w:hAnsi="宋体"/>
                <w:b/>
                <w:color w:val="auto"/>
                <w:szCs w:val="21"/>
              </w:rPr>
              <w:t>负责解释。</w:t>
            </w:r>
          </w:p>
          <w:p w14:paraId="179606F7">
            <w:pPr>
              <w:snapToGrid w:val="0"/>
              <w:spacing w:line="460" w:lineRule="exact"/>
              <w:rPr>
                <w:rFonts w:ascii="宋体" w:hAnsi="宋体"/>
                <w:b/>
                <w:color w:val="auto"/>
                <w:szCs w:val="21"/>
              </w:rPr>
            </w:pPr>
            <w:r>
              <w:rPr>
                <w:rFonts w:hint="eastAsia" w:ascii="宋体" w:hAnsi="宋体"/>
                <w:b/>
                <w:color w:val="auto"/>
                <w:szCs w:val="21"/>
              </w:rPr>
              <w:t>法律责任：</w:t>
            </w:r>
          </w:p>
          <w:p w14:paraId="6F9A2B5A">
            <w:pPr>
              <w:snapToGrid w:val="0"/>
              <w:spacing w:line="460" w:lineRule="exact"/>
              <w:rPr>
                <w:rFonts w:ascii="宋体" w:hAnsi="宋体"/>
                <w:color w:val="auto"/>
                <w:szCs w:val="21"/>
              </w:rPr>
            </w:pPr>
            <w:r>
              <w:rPr>
                <w:rFonts w:hint="eastAsia" w:ascii="宋体" w:hAnsi="宋体"/>
                <w:color w:val="auto"/>
                <w:szCs w:val="21"/>
              </w:rPr>
              <w:t>1.本采购文件根据《中华人民共和国政府采购法》、《中华人民共和国民法典》；《中华人民共和国政府采购法实施条例》、《政府采购非招标采购方式管理办法》等有关法律、法规编制，参与本项目的各政府采购当事人依法享有上述法律法规所赋予的权利与义务。</w:t>
            </w:r>
          </w:p>
        </w:tc>
      </w:tr>
      <w:tr w14:paraId="08B6DD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68" w:type="dxa"/>
            <w:tcBorders>
              <w:top w:val="single" w:color="auto" w:sz="4" w:space="0"/>
              <w:left w:val="single" w:color="auto" w:sz="4" w:space="0"/>
              <w:bottom w:val="single" w:color="auto" w:sz="4" w:space="0"/>
              <w:right w:val="single" w:color="auto" w:sz="4" w:space="0"/>
            </w:tcBorders>
            <w:vAlign w:val="center"/>
          </w:tcPr>
          <w:p w14:paraId="3EDD3DD8">
            <w:pPr>
              <w:snapToGrid w:val="0"/>
              <w:spacing w:line="360" w:lineRule="auto"/>
              <w:jc w:val="center"/>
              <w:rPr>
                <w:rFonts w:ascii="宋体" w:hAnsi="宋体"/>
                <w:color w:val="auto"/>
                <w:szCs w:val="21"/>
              </w:rPr>
            </w:pPr>
            <w:r>
              <w:rPr>
                <w:rFonts w:ascii="宋体" w:hAnsi="宋体"/>
                <w:color w:val="auto"/>
                <w:szCs w:val="21"/>
              </w:rPr>
              <w:t>4</w:t>
            </w:r>
            <w:r>
              <w:rPr>
                <w:rFonts w:hint="eastAsia" w:ascii="宋体" w:hAnsi="宋体"/>
                <w:color w:val="auto"/>
                <w:szCs w:val="21"/>
              </w:rPr>
              <w:t>1</w:t>
            </w:r>
            <w:r>
              <w:rPr>
                <w:rFonts w:ascii="宋体" w:hAnsi="宋体"/>
                <w:color w:val="auto"/>
                <w:szCs w:val="21"/>
              </w:rPr>
              <w:t>.2</w:t>
            </w:r>
          </w:p>
        </w:tc>
        <w:tc>
          <w:tcPr>
            <w:tcW w:w="8597" w:type="dxa"/>
            <w:tcBorders>
              <w:top w:val="single" w:color="auto" w:sz="4" w:space="0"/>
              <w:left w:val="single" w:color="auto" w:sz="4" w:space="0"/>
              <w:bottom w:val="single" w:color="auto" w:sz="4" w:space="0"/>
              <w:right w:val="single" w:color="auto" w:sz="4" w:space="0"/>
            </w:tcBorders>
            <w:vAlign w:val="center"/>
          </w:tcPr>
          <w:p w14:paraId="7E6C4491">
            <w:pPr>
              <w:pStyle w:val="15"/>
              <w:snapToGrid w:val="0"/>
              <w:spacing w:line="360" w:lineRule="auto"/>
              <w:rPr>
                <w:rFonts w:hAnsi="宋体" w:cs="宋体"/>
                <w:color w:val="auto"/>
                <w:sz w:val="21"/>
              </w:rPr>
            </w:pPr>
            <w:r>
              <w:rPr>
                <w:rFonts w:hint="eastAsia" w:hAnsi="宋体" w:cs="宋体"/>
                <w:color w:val="auto"/>
                <w:sz w:val="21"/>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133418CF">
            <w:pPr>
              <w:pStyle w:val="15"/>
              <w:snapToGrid w:val="0"/>
              <w:spacing w:line="360" w:lineRule="auto"/>
              <w:rPr>
                <w:rFonts w:hAnsi="宋体" w:cs="宋体"/>
                <w:color w:val="auto"/>
                <w:sz w:val="21"/>
              </w:rPr>
            </w:pPr>
            <w:r>
              <w:rPr>
                <w:rFonts w:hint="eastAsia" w:hAnsi="宋体" w:cs="宋体"/>
                <w:color w:val="auto"/>
                <w:sz w:val="21"/>
              </w:rPr>
              <w:t>2.投标人为其他组织或者自然人时，本招标文件规定的法定代表人指负责人或者自然人。本招标文件所称负责人是指参加投标的其他组织营业执照上的负责人，本招标文件所称自然人指参与投标的自然人本人。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33E0FBD4">
            <w:pPr>
              <w:pStyle w:val="15"/>
              <w:snapToGrid w:val="0"/>
              <w:spacing w:line="360" w:lineRule="auto"/>
              <w:rPr>
                <w:rFonts w:hAnsi="宋体" w:cs="宋体"/>
                <w:color w:val="auto"/>
                <w:sz w:val="21"/>
              </w:rPr>
            </w:pPr>
            <w:r>
              <w:rPr>
                <w:rFonts w:hint="eastAsia" w:hAnsi="宋体" w:cs="宋体"/>
                <w:color w:val="auto"/>
                <w:sz w:val="21"/>
              </w:rPr>
              <w:t>3.本招标文件中描述投标人的“签字”是指投标人的法定代表人或者委托代理人亲自在文件规定签署处亲笔写上个人的名字的行为，私章、签字章、印鉴、影印等其他形式均不能代替亲笔签字。</w:t>
            </w:r>
          </w:p>
          <w:p w14:paraId="21B7E108">
            <w:pPr>
              <w:pStyle w:val="15"/>
              <w:snapToGrid w:val="0"/>
              <w:spacing w:line="360" w:lineRule="auto"/>
              <w:rPr>
                <w:rFonts w:hAnsi="宋体" w:cs="宋体"/>
                <w:color w:val="auto"/>
                <w:sz w:val="21"/>
              </w:rPr>
            </w:pPr>
            <w:r>
              <w:rPr>
                <w:rFonts w:hint="eastAsia" w:hAnsi="宋体" w:cs="宋体"/>
                <w:color w:val="auto"/>
                <w:sz w:val="21"/>
              </w:rPr>
              <w:t>4.自然人投标的，招标文件规定盖公章处由自然人摁手指指印。</w:t>
            </w:r>
          </w:p>
          <w:p w14:paraId="51D84B35">
            <w:pPr>
              <w:spacing w:line="360" w:lineRule="auto"/>
              <w:jc w:val="left"/>
              <w:rPr>
                <w:rFonts w:ascii="宋体" w:hAnsi="宋体"/>
                <w:color w:val="auto"/>
                <w:szCs w:val="21"/>
              </w:rPr>
            </w:pPr>
            <w:r>
              <w:rPr>
                <w:rFonts w:hint="eastAsia" w:ascii="宋体" w:hAnsi="宋体" w:cs="宋体"/>
                <w:color w:val="auto"/>
                <w:szCs w:val="21"/>
              </w:rPr>
              <w:t>5.本招标文件所称的“以上”“以下”“以内”“届满”，包括本数；所称的“不满”“超过”“以外”，不包括本数。</w:t>
            </w:r>
          </w:p>
        </w:tc>
      </w:tr>
      <w:tr w14:paraId="2CE616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68" w:type="dxa"/>
            <w:tcBorders>
              <w:top w:val="single" w:color="auto" w:sz="4" w:space="0"/>
              <w:left w:val="single" w:color="auto" w:sz="4" w:space="0"/>
              <w:bottom w:val="single" w:color="auto" w:sz="4" w:space="0"/>
              <w:right w:val="single" w:color="auto" w:sz="4" w:space="0"/>
            </w:tcBorders>
            <w:vAlign w:val="center"/>
          </w:tcPr>
          <w:p w14:paraId="155FA5B6">
            <w:pPr>
              <w:snapToGrid w:val="0"/>
              <w:spacing w:line="360" w:lineRule="auto"/>
              <w:jc w:val="center"/>
              <w:rPr>
                <w:rFonts w:hint="default" w:ascii="宋体" w:hAnsi="宋体" w:eastAsia="宋体"/>
                <w:color w:val="auto"/>
                <w:szCs w:val="21"/>
                <w:lang w:val="en-US" w:eastAsia="zh-CN"/>
              </w:rPr>
            </w:pPr>
            <w:r>
              <w:rPr>
                <w:rFonts w:hint="eastAsia" w:ascii="宋体" w:hAnsi="宋体"/>
                <w:color w:val="auto"/>
                <w:szCs w:val="21"/>
                <w:lang w:val="en-US" w:eastAsia="zh-CN"/>
              </w:rPr>
              <w:t>41.4</w:t>
            </w:r>
          </w:p>
        </w:tc>
        <w:tc>
          <w:tcPr>
            <w:tcW w:w="8597" w:type="dxa"/>
            <w:tcBorders>
              <w:top w:val="single" w:color="auto" w:sz="4" w:space="0"/>
              <w:left w:val="single" w:color="auto" w:sz="4" w:space="0"/>
              <w:bottom w:val="single" w:color="auto" w:sz="4" w:space="0"/>
              <w:right w:val="single" w:color="auto" w:sz="4" w:space="0"/>
            </w:tcBorders>
            <w:vAlign w:val="center"/>
          </w:tcPr>
          <w:p w14:paraId="0E2BA752">
            <w:pPr>
              <w:spacing w:line="360" w:lineRule="auto"/>
              <w:jc w:val="left"/>
              <w:rPr>
                <w:rFonts w:hint="eastAsia" w:ascii="宋体" w:hAnsi="宋体" w:cs="宋体"/>
                <w:color w:val="auto"/>
                <w:szCs w:val="21"/>
              </w:rPr>
            </w:pPr>
            <w:r>
              <w:rPr>
                <w:rFonts w:hint="eastAsia" w:ascii="宋体" w:hAnsi="宋体" w:cs="宋体"/>
                <w:color w:val="auto"/>
                <w:kern w:val="0"/>
                <w:szCs w:val="21"/>
              </w:rPr>
              <w:t>监督部门监督管理机构：广西壮族自治区财政厅政府采购监督管理处电话：0771-5331544</w:t>
            </w:r>
            <w:r>
              <w:rPr>
                <w:rFonts w:hint="eastAsia" w:ascii="宋体" w:hAnsi="宋体" w:cs="宋体"/>
                <w:color w:val="auto"/>
                <w:kern w:val="0"/>
                <w:szCs w:val="21"/>
                <w:lang w:eastAsia="zh-CN"/>
              </w:rPr>
              <w:t>。</w:t>
            </w:r>
          </w:p>
        </w:tc>
      </w:tr>
    </w:tbl>
    <w:p w14:paraId="54EEBD96">
      <w:pPr>
        <w:snapToGrid w:val="0"/>
        <w:rPr>
          <w:rFonts w:ascii="宋体" w:hAnsi="宋体"/>
          <w:color w:val="auto"/>
          <w:sz w:val="24"/>
          <w:szCs w:val="20"/>
        </w:rPr>
      </w:pPr>
    </w:p>
    <w:p w14:paraId="67E0D561">
      <w:pPr>
        <w:pStyle w:val="4"/>
        <w:keepNext w:val="0"/>
        <w:keepLines w:val="0"/>
        <w:jc w:val="center"/>
        <w:rPr>
          <w:color w:val="auto"/>
        </w:rPr>
      </w:pPr>
      <w:r>
        <w:rPr>
          <w:rFonts w:hint="eastAsia"/>
          <w:color w:val="auto"/>
        </w:rPr>
        <w:br w:type="page"/>
      </w:r>
      <w:r>
        <w:rPr>
          <w:rFonts w:hint="eastAsia"/>
          <w:color w:val="auto"/>
        </w:rPr>
        <w:t>投标人须知正文</w:t>
      </w:r>
    </w:p>
    <w:p w14:paraId="51BD39C4">
      <w:pPr>
        <w:pStyle w:val="4"/>
        <w:keepNext w:val="0"/>
        <w:keepLines w:val="0"/>
        <w:jc w:val="center"/>
        <w:rPr>
          <w:color w:val="auto"/>
        </w:rPr>
      </w:pPr>
      <w:r>
        <w:rPr>
          <w:rFonts w:hint="eastAsia"/>
          <w:color w:val="auto"/>
        </w:rPr>
        <w:t>一、总则</w:t>
      </w:r>
    </w:p>
    <w:p w14:paraId="1B97A216">
      <w:pPr>
        <w:pStyle w:val="6"/>
        <w:keepNext w:val="0"/>
        <w:keepLines w:val="0"/>
        <w:spacing w:before="0" w:after="0" w:line="360" w:lineRule="auto"/>
        <w:ind w:left="420" w:leftChars="200"/>
        <w:rPr>
          <w:rFonts w:ascii="黑体" w:hAnsi="黑体" w:eastAsia="黑体"/>
          <w:color w:val="auto"/>
          <w:sz w:val="24"/>
        </w:rPr>
      </w:pPr>
      <w:bookmarkStart w:id="91" w:name="_Toc254970668"/>
      <w:bookmarkStart w:id="92" w:name="_Toc254970527"/>
      <w:r>
        <w:rPr>
          <w:rFonts w:hint="eastAsia" w:ascii="黑体" w:hAnsi="黑体" w:eastAsia="黑体"/>
          <w:color w:val="auto"/>
          <w:sz w:val="24"/>
        </w:rPr>
        <w:t>1.适用范围</w:t>
      </w:r>
      <w:bookmarkEnd w:id="91"/>
      <w:bookmarkEnd w:id="92"/>
    </w:p>
    <w:p w14:paraId="2043A524">
      <w:pPr>
        <w:snapToGrid w:val="0"/>
        <w:spacing w:line="360" w:lineRule="auto"/>
        <w:ind w:firstLine="420" w:firstLineChars="200"/>
        <w:jc w:val="left"/>
        <w:rPr>
          <w:rFonts w:ascii="宋体" w:hAnsi="宋体"/>
          <w:color w:val="auto"/>
          <w:szCs w:val="21"/>
        </w:rPr>
      </w:pPr>
      <w:r>
        <w:rPr>
          <w:rFonts w:hint="eastAsia" w:ascii="宋体" w:hAnsi="宋体"/>
          <w:color w:val="auto"/>
          <w:szCs w:val="21"/>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5BDA7D17">
      <w:pPr>
        <w:snapToGrid w:val="0"/>
        <w:spacing w:line="360" w:lineRule="auto"/>
        <w:ind w:firstLine="420" w:firstLineChars="200"/>
        <w:jc w:val="left"/>
        <w:rPr>
          <w:rFonts w:ascii="宋体" w:hAnsi="宋体"/>
          <w:color w:val="auto"/>
          <w:szCs w:val="21"/>
        </w:rPr>
      </w:pPr>
      <w:r>
        <w:rPr>
          <w:rFonts w:hint="eastAsia" w:ascii="宋体" w:hAnsi="宋体"/>
          <w:color w:val="auto"/>
          <w:szCs w:val="21"/>
        </w:rPr>
        <w:t>1.2本招标文件</w:t>
      </w:r>
      <w:r>
        <w:rPr>
          <w:rFonts w:hint="eastAsia" w:ascii="宋体" w:hAnsi="宋体" w:cs="宋体"/>
          <w:color w:val="auto"/>
          <w:spacing w:val="-6"/>
          <w:szCs w:val="21"/>
        </w:rPr>
        <w:t>适用于本项目的所有采购程序和环节（法律、法规另有规定的，从其规定）。</w:t>
      </w:r>
    </w:p>
    <w:p w14:paraId="34F8FAFE">
      <w:pPr>
        <w:pStyle w:val="6"/>
        <w:keepNext w:val="0"/>
        <w:keepLines w:val="0"/>
        <w:spacing w:before="0" w:after="0" w:line="360" w:lineRule="auto"/>
        <w:ind w:left="420" w:leftChars="200"/>
        <w:rPr>
          <w:rFonts w:ascii="黑体" w:hAnsi="黑体" w:eastAsia="黑体"/>
          <w:color w:val="auto"/>
          <w:sz w:val="24"/>
        </w:rPr>
      </w:pPr>
      <w:bookmarkStart w:id="93" w:name="_Toc254970528"/>
      <w:bookmarkStart w:id="94" w:name="_Toc254970669"/>
      <w:r>
        <w:rPr>
          <w:rFonts w:hint="eastAsia" w:ascii="黑体" w:hAnsi="黑体" w:eastAsia="黑体"/>
          <w:color w:val="auto"/>
          <w:sz w:val="24"/>
        </w:rPr>
        <w:t>2.定义</w:t>
      </w:r>
      <w:bookmarkEnd w:id="93"/>
      <w:bookmarkEnd w:id="94"/>
    </w:p>
    <w:p w14:paraId="7A3AB572">
      <w:pPr>
        <w:pStyle w:val="6"/>
        <w:keepNext w:val="0"/>
        <w:keepLines w:val="0"/>
        <w:spacing w:before="0" w:after="0" w:line="360" w:lineRule="auto"/>
        <w:ind w:left="420" w:leftChars="200"/>
        <w:rPr>
          <w:rFonts w:ascii="宋体" w:hAnsi="宋体"/>
          <w:b w:val="0"/>
          <w:color w:val="auto"/>
          <w:sz w:val="21"/>
          <w:szCs w:val="21"/>
        </w:rPr>
      </w:pPr>
      <w:r>
        <w:rPr>
          <w:rFonts w:hint="eastAsia" w:ascii="宋体" w:hAnsi="宋体"/>
          <w:b w:val="0"/>
          <w:color w:val="auto"/>
          <w:sz w:val="21"/>
          <w:szCs w:val="21"/>
        </w:rPr>
        <w:t>2.1“采购人”是指依法进行政府采购的国家机关、事业单位、团体组织。</w:t>
      </w:r>
    </w:p>
    <w:p w14:paraId="027C5004">
      <w:pPr>
        <w:pStyle w:val="6"/>
        <w:keepNext w:val="0"/>
        <w:keepLines w:val="0"/>
        <w:spacing w:before="0" w:after="0" w:line="360" w:lineRule="auto"/>
        <w:ind w:left="420" w:leftChars="200"/>
        <w:rPr>
          <w:rFonts w:ascii="宋体" w:hAnsi="宋体"/>
          <w:b w:val="0"/>
          <w:color w:val="auto"/>
          <w:sz w:val="21"/>
          <w:szCs w:val="21"/>
        </w:rPr>
      </w:pPr>
      <w:r>
        <w:rPr>
          <w:rFonts w:hint="eastAsia" w:ascii="宋体" w:hAnsi="宋体"/>
          <w:b w:val="0"/>
          <w:color w:val="auto"/>
          <w:sz w:val="21"/>
          <w:szCs w:val="21"/>
        </w:rPr>
        <w:t>2.2“采购代理机构”是指政府采购代理机构（以下简称采购代理机构）是指集中采购机构以外、受采购人委托从事政府采购代理业务的社会中介机构。</w:t>
      </w:r>
    </w:p>
    <w:p w14:paraId="04FCD35F">
      <w:pPr>
        <w:pStyle w:val="6"/>
        <w:keepNext w:val="0"/>
        <w:keepLines w:val="0"/>
        <w:spacing w:before="0" w:after="0" w:line="360" w:lineRule="auto"/>
        <w:ind w:left="420" w:leftChars="200"/>
        <w:rPr>
          <w:rFonts w:ascii="宋体" w:hAnsi="宋体"/>
          <w:b w:val="0"/>
          <w:color w:val="auto"/>
          <w:sz w:val="21"/>
          <w:szCs w:val="21"/>
        </w:rPr>
      </w:pPr>
      <w:r>
        <w:rPr>
          <w:rFonts w:hint="eastAsia" w:ascii="宋体" w:hAnsi="宋体"/>
          <w:b w:val="0"/>
          <w:color w:val="auto"/>
          <w:sz w:val="21"/>
          <w:szCs w:val="21"/>
        </w:rPr>
        <w:t>2.3“供应商”是指向采购人提供货物、工程或者服务的法人、其他组织或者自然人。</w:t>
      </w:r>
    </w:p>
    <w:p w14:paraId="7C0CC8CF">
      <w:pPr>
        <w:pStyle w:val="7"/>
        <w:spacing w:line="360" w:lineRule="auto"/>
        <w:rPr>
          <w:rFonts w:ascii="宋体" w:hAnsi="宋体"/>
          <w:color w:val="auto"/>
          <w:szCs w:val="21"/>
        </w:rPr>
      </w:pPr>
      <w:r>
        <w:rPr>
          <w:rFonts w:hint="eastAsia" w:ascii="宋体" w:hAnsi="宋体"/>
          <w:color w:val="auto"/>
          <w:szCs w:val="21"/>
        </w:rPr>
        <w:t>2.4“投标人”是指响应招标、参加投标竞争的法人、非法人组织或者自然人。</w:t>
      </w:r>
    </w:p>
    <w:p w14:paraId="47F05089">
      <w:pPr>
        <w:pStyle w:val="6"/>
        <w:keepNext w:val="0"/>
        <w:keepLines w:val="0"/>
        <w:spacing w:before="0" w:after="0" w:line="360" w:lineRule="auto"/>
        <w:ind w:firstLine="420" w:firstLineChars="200"/>
        <w:rPr>
          <w:rFonts w:ascii="宋体" w:hAnsi="宋体"/>
          <w:b w:val="0"/>
          <w:color w:val="auto"/>
          <w:sz w:val="21"/>
          <w:szCs w:val="21"/>
        </w:rPr>
      </w:pPr>
      <w:r>
        <w:rPr>
          <w:rFonts w:hint="eastAsia" w:ascii="宋体" w:hAnsi="宋体"/>
          <w:b w:val="0"/>
          <w:color w:val="auto"/>
          <w:sz w:val="21"/>
          <w:szCs w:val="21"/>
        </w:rPr>
        <w:t>2.5“货物”是指各种形态和种类的物品，包括原材料、燃料、设备、产品等。</w:t>
      </w:r>
    </w:p>
    <w:p w14:paraId="174EE674">
      <w:pPr>
        <w:pStyle w:val="6"/>
        <w:keepNext w:val="0"/>
        <w:keepLines w:val="0"/>
        <w:spacing w:before="0" w:after="0" w:line="360" w:lineRule="auto"/>
        <w:ind w:firstLine="420" w:firstLineChars="200"/>
        <w:rPr>
          <w:rFonts w:ascii="宋体" w:hAnsi="宋体"/>
          <w:b w:val="0"/>
          <w:color w:val="auto"/>
          <w:sz w:val="21"/>
          <w:szCs w:val="21"/>
        </w:rPr>
      </w:pPr>
      <w:r>
        <w:rPr>
          <w:rFonts w:hint="eastAsia" w:ascii="宋体" w:hAnsi="宋体"/>
          <w:b w:val="0"/>
          <w:color w:val="auto"/>
          <w:sz w:val="21"/>
          <w:szCs w:val="21"/>
        </w:rPr>
        <w:t>2.6“售后服务” 是指商品出售以后所提供的各种服务，包含但不限于投标人须承担的备品备件、包装、运输、装卸、保险、货到就位以及安装、调试、培训、保修以及其他各种服务。</w:t>
      </w:r>
    </w:p>
    <w:p w14:paraId="6F3567FD">
      <w:pPr>
        <w:pStyle w:val="6"/>
        <w:keepNext w:val="0"/>
        <w:keepLines w:val="0"/>
        <w:spacing w:before="0" w:after="0" w:line="360" w:lineRule="auto"/>
        <w:rPr>
          <w:rFonts w:ascii="宋体" w:hAnsi="宋体"/>
          <w:b w:val="0"/>
          <w:color w:val="auto"/>
          <w:sz w:val="21"/>
          <w:szCs w:val="21"/>
        </w:rPr>
      </w:pPr>
      <w:r>
        <w:rPr>
          <w:rFonts w:hint="eastAsia" w:ascii="宋体" w:hAnsi="宋体"/>
          <w:b w:val="0"/>
          <w:color w:val="auto"/>
          <w:sz w:val="21"/>
          <w:szCs w:val="21"/>
        </w:rPr>
        <w:t xml:space="preserve">    2.7“书面形式”是指合同书、信件和数据电文（包括电报、电传、传真、电子数据交换和电子邮件）等可以有形地表现所载内容的形式。</w:t>
      </w:r>
    </w:p>
    <w:p w14:paraId="26FA9469">
      <w:pPr>
        <w:pStyle w:val="6"/>
        <w:keepNext w:val="0"/>
        <w:keepLines w:val="0"/>
        <w:spacing w:before="0" w:after="0" w:line="360" w:lineRule="auto"/>
        <w:ind w:firstLine="420" w:firstLineChars="200"/>
        <w:rPr>
          <w:rFonts w:ascii="宋体" w:hAnsi="宋体"/>
          <w:b w:val="0"/>
          <w:color w:val="auto"/>
          <w:sz w:val="21"/>
          <w:szCs w:val="21"/>
        </w:rPr>
      </w:pPr>
      <w:r>
        <w:rPr>
          <w:rFonts w:hint="eastAsia" w:ascii="宋体" w:hAnsi="宋体"/>
          <w:b w:val="0"/>
          <w:color w:val="auto"/>
          <w:sz w:val="21"/>
          <w:szCs w:val="21"/>
        </w:rPr>
        <w:t>2.8“实质性要求”是指招标文件中已经指明不满足则投标无效的条款，或者不能负偏离的条款，或者采购需求中带“▲”的条款。</w:t>
      </w:r>
    </w:p>
    <w:p w14:paraId="59614CDA">
      <w:pPr>
        <w:snapToGrid w:val="0"/>
        <w:spacing w:line="360" w:lineRule="auto"/>
        <w:ind w:firstLine="420" w:firstLineChars="200"/>
        <w:jc w:val="left"/>
        <w:rPr>
          <w:rFonts w:ascii="宋体" w:hAnsi="宋体" w:cs="宋体"/>
          <w:color w:val="auto"/>
          <w:szCs w:val="21"/>
        </w:rPr>
      </w:pPr>
      <w:r>
        <w:rPr>
          <w:rFonts w:hint="eastAsia" w:ascii="宋体" w:hAnsi="宋体"/>
          <w:color w:val="auto"/>
          <w:szCs w:val="21"/>
        </w:rPr>
        <w:t xml:space="preserve">2.9 </w:t>
      </w:r>
      <w:r>
        <w:rPr>
          <w:rFonts w:hint="eastAsia" w:ascii="宋体" w:hAnsi="宋体" w:cs="宋体"/>
          <w:color w:val="auto"/>
          <w:szCs w:val="21"/>
        </w:rPr>
        <w:t>“正偏离”，是指投标文件对招标文件“采购需求”中有关条款作出的响应优于条款要求并有利于采购人的情形。</w:t>
      </w:r>
    </w:p>
    <w:p w14:paraId="5E0AEE82">
      <w:pPr>
        <w:snapToGrid w:val="0"/>
        <w:spacing w:line="360" w:lineRule="auto"/>
        <w:ind w:firstLine="420" w:firstLineChars="200"/>
        <w:jc w:val="left"/>
        <w:rPr>
          <w:rFonts w:ascii="宋体" w:hAnsi="宋体" w:cs="宋体"/>
          <w:color w:val="auto"/>
          <w:szCs w:val="21"/>
        </w:rPr>
      </w:pPr>
      <w:r>
        <w:rPr>
          <w:rFonts w:ascii="宋体" w:hAnsi="宋体" w:cs="宋体"/>
          <w:color w:val="auto"/>
          <w:szCs w:val="21"/>
        </w:rPr>
        <w:t>2.10</w:t>
      </w:r>
      <w:r>
        <w:rPr>
          <w:rFonts w:hint="eastAsia" w:ascii="宋体" w:hAnsi="宋体" w:cs="宋体"/>
          <w:color w:val="auto"/>
          <w:szCs w:val="21"/>
        </w:rPr>
        <w:t>“负偏离”，是指投标文件对招标文件“采购需求”中有关条款作出的响应不满足条款要求，导致采购人要求不能得到满足的情形。</w:t>
      </w:r>
    </w:p>
    <w:p w14:paraId="7B91B3B2">
      <w:pPr>
        <w:snapToGrid w:val="0"/>
        <w:spacing w:line="360" w:lineRule="auto"/>
        <w:ind w:firstLine="420" w:firstLineChars="200"/>
        <w:jc w:val="left"/>
        <w:rPr>
          <w:rFonts w:ascii="宋体" w:hAnsi="宋体" w:cs="宋体"/>
          <w:color w:val="auto"/>
          <w:szCs w:val="21"/>
        </w:rPr>
      </w:pPr>
      <w:r>
        <w:rPr>
          <w:rFonts w:hint="eastAsia" w:ascii="宋体" w:hAnsi="宋体"/>
          <w:color w:val="auto"/>
          <w:szCs w:val="21"/>
        </w:rPr>
        <w:t>2.1</w:t>
      </w:r>
      <w:r>
        <w:rPr>
          <w:rFonts w:ascii="宋体" w:hAnsi="宋体"/>
          <w:color w:val="auto"/>
          <w:szCs w:val="21"/>
        </w:rPr>
        <w:t>1</w:t>
      </w:r>
      <w:r>
        <w:rPr>
          <w:rFonts w:hint="eastAsia" w:ascii="宋体" w:hAnsi="宋体" w:cs="宋体"/>
          <w:color w:val="auto"/>
          <w:szCs w:val="21"/>
        </w:rPr>
        <w:t>“允许负偏离的条款”是指采购需求中的不属于“实质性要求”的条款。</w:t>
      </w:r>
      <w:bookmarkStart w:id="95" w:name="_Toc254970670"/>
      <w:bookmarkStart w:id="96" w:name="_Toc254970529"/>
    </w:p>
    <w:p w14:paraId="7821A3C5">
      <w:pPr>
        <w:pStyle w:val="6"/>
        <w:keepNext w:val="0"/>
        <w:keepLines w:val="0"/>
        <w:spacing w:before="0" w:after="0" w:line="360" w:lineRule="auto"/>
        <w:ind w:left="420" w:leftChars="200"/>
        <w:rPr>
          <w:rFonts w:ascii="黑体" w:hAnsi="黑体" w:eastAsia="黑体"/>
          <w:color w:val="auto"/>
          <w:sz w:val="24"/>
        </w:rPr>
      </w:pPr>
      <w:r>
        <w:rPr>
          <w:rFonts w:hint="eastAsia" w:ascii="黑体" w:hAnsi="黑体" w:eastAsia="黑体"/>
          <w:color w:val="auto"/>
          <w:sz w:val="24"/>
        </w:rPr>
        <w:t>3.</w:t>
      </w:r>
      <w:bookmarkEnd w:id="95"/>
      <w:bookmarkEnd w:id="96"/>
      <w:r>
        <w:rPr>
          <w:rFonts w:hint="eastAsia" w:ascii="黑体" w:hAnsi="黑体" w:eastAsia="黑体"/>
          <w:color w:val="auto"/>
          <w:sz w:val="24"/>
        </w:rPr>
        <w:t>投标人的资格要求</w:t>
      </w:r>
    </w:p>
    <w:p w14:paraId="5C2752EA">
      <w:pPr>
        <w:snapToGrid w:val="0"/>
        <w:spacing w:line="360" w:lineRule="auto"/>
        <w:ind w:firstLine="420" w:firstLineChars="200"/>
        <w:jc w:val="left"/>
        <w:rPr>
          <w:rFonts w:ascii="宋体" w:hAnsi="宋体"/>
          <w:color w:val="auto"/>
          <w:szCs w:val="21"/>
        </w:rPr>
      </w:pPr>
      <w:r>
        <w:rPr>
          <w:rFonts w:hint="eastAsia" w:ascii="宋体" w:hAnsi="宋体"/>
          <w:color w:val="auto"/>
          <w:szCs w:val="21"/>
        </w:rPr>
        <w:t>投标人的资格要求详见“招标公告”。</w:t>
      </w:r>
    </w:p>
    <w:p w14:paraId="555E1051">
      <w:pPr>
        <w:pStyle w:val="6"/>
        <w:keepNext w:val="0"/>
        <w:keepLines w:val="0"/>
        <w:spacing w:before="0" w:after="0" w:line="360" w:lineRule="auto"/>
        <w:ind w:left="420" w:leftChars="200"/>
        <w:rPr>
          <w:rFonts w:ascii="黑体" w:hAnsi="黑体" w:eastAsia="黑体"/>
          <w:color w:val="auto"/>
          <w:sz w:val="24"/>
        </w:rPr>
      </w:pPr>
      <w:bookmarkStart w:id="97" w:name="_Toc254970671"/>
      <w:bookmarkStart w:id="98" w:name="_Toc254970530"/>
      <w:r>
        <w:rPr>
          <w:rFonts w:hint="eastAsia" w:ascii="黑体" w:hAnsi="黑体" w:eastAsia="黑体"/>
          <w:color w:val="auto"/>
          <w:sz w:val="24"/>
        </w:rPr>
        <w:t>4.投标委托</w:t>
      </w:r>
      <w:bookmarkEnd w:id="97"/>
      <w:bookmarkEnd w:id="98"/>
    </w:p>
    <w:p w14:paraId="5093F2C0">
      <w:pPr>
        <w:snapToGrid w:val="0"/>
        <w:spacing w:line="360" w:lineRule="auto"/>
        <w:ind w:firstLine="420" w:firstLineChars="200"/>
        <w:jc w:val="left"/>
        <w:rPr>
          <w:rFonts w:ascii="宋体" w:hAnsi="宋体"/>
          <w:color w:val="auto"/>
          <w:szCs w:val="21"/>
        </w:rPr>
      </w:pPr>
      <w:r>
        <w:rPr>
          <w:rFonts w:hint="eastAsia" w:ascii="宋体" w:hAnsi="宋体"/>
          <w:color w:val="auto"/>
          <w:szCs w:val="21"/>
        </w:rPr>
        <w:t>投标人代表参加投标活动过程中必须携带个人有效身份证件。如投标人代表不是法定代表人，须持有法定代表人授权委托书（正本用原件，副本用复印件，按第六章要求格式填写）。</w:t>
      </w:r>
    </w:p>
    <w:p w14:paraId="445C8544">
      <w:pPr>
        <w:pStyle w:val="6"/>
        <w:keepNext w:val="0"/>
        <w:keepLines w:val="0"/>
        <w:spacing w:before="0" w:after="0" w:line="360" w:lineRule="auto"/>
        <w:ind w:left="420" w:leftChars="200"/>
        <w:rPr>
          <w:rFonts w:ascii="黑体" w:hAnsi="黑体" w:eastAsia="黑体"/>
          <w:color w:val="auto"/>
          <w:sz w:val="24"/>
        </w:rPr>
      </w:pPr>
      <w:bookmarkStart w:id="99" w:name="_5.投标费用"/>
      <w:bookmarkEnd w:id="99"/>
      <w:bookmarkStart w:id="100" w:name="_Toc254970531"/>
      <w:bookmarkStart w:id="101" w:name="_Toc254970672"/>
      <w:r>
        <w:rPr>
          <w:rFonts w:hint="eastAsia" w:ascii="黑体" w:hAnsi="黑体" w:eastAsia="黑体"/>
          <w:color w:val="auto"/>
          <w:sz w:val="24"/>
        </w:rPr>
        <w:t>5.投标费用</w:t>
      </w:r>
      <w:bookmarkEnd w:id="100"/>
      <w:bookmarkEnd w:id="101"/>
    </w:p>
    <w:p w14:paraId="78D5C450">
      <w:pPr>
        <w:snapToGrid w:val="0"/>
        <w:spacing w:line="360" w:lineRule="auto"/>
        <w:ind w:firstLine="420" w:firstLineChars="200"/>
        <w:jc w:val="left"/>
        <w:rPr>
          <w:rFonts w:ascii="宋体" w:hAnsi="宋体"/>
          <w:color w:val="auto"/>
          <w:szCs w:val="21"/>
        </w:rPr>
      </w:pPr>
      <w:r>
        <w:rPr>
          <w:rFonts w:hint="eastAsia" w:ascii="宋体" w:hAnsi="宋体" w:cs="宋体"/>
          <w:color w:val="auto"/>
          <w:szCs w:val="21"/>
        </w:rPr>
        <w:t>投标费用：投标人应承担参与本次采购活动有关的所有费用，包括但不限于获取招标文件、勘查现场、编制和提交投标文件、参加澄清说明、签订合同等，不论投标结果如何，均应自行承担。</w:t>
      </w:r>
    </w:p>
    <w:p w14:paraId="69DC07FD">
      <w:pPr>
        <w:pStyle w:val="6"/>
        <w:keepNext w:val="0"/>
        <w:keepLines w:val="0"/>
        <w:spacing w:before="0" w:after="0" w:line="360" w:lineRule="auto"/>
        <w:ind w:left="420" w:leftChars="200"/>
        <w:rPr>
          <w:rFonts w:ascii="黑体" w:hAnsi="黑体" w:eastAsia="黑体"/>
          <w:color w:val="auto"/>
          <w:sz w:val="24"/>
        </w:rPr>
      </w:pPr>
      <w:r>
        <w:rPr>
          <w:rFonts w:hint="eastAsia" w:ascii="黑体" w:hAnsi="黑体" w:eastAsia="黑体"/>
          <w:color w:val="auto"/>
          <w:sz w:val="24"/>
        </w:rPr>
        <w:t>6.联合体投标</w:t>
      </w:r>
    </w:p>
    <w:p w14:paraId="7C3CD849">
      <w:pPr>
        <w:snapToGrid w:val="0"/>
        <w:spacing w:line="360" w:lineRule="auto"/>
        <w:ind w:firstLine="420" w:firstLineChars="200"/>
        <w:jc w:val="left"/>
        <w:rPr>
          <w:rFonts w:ascii="宋体" w:hAnsi="宋体"/>
          <w:color w:val="auto"/>
          <w:szCs w:val="21"/>
        </w:rPr>
      </w:pPr>
      <w:r>
        <w:rPr>
          <w:rFonts w:hint="eastAsia" w:ascii="宋体" w:hAnsi="宋体"/>
          <w:color w:val="auto"/>
          <w:szCs w:val="21"/>
        </w:rPr>
        <w:t>6.1本项目是否接受联合体投标，详见“投标人须知前附表”。</w:t>
      </w:r>
    </w:p>
    <w:p w14:paraId="1CE03B0E">
      <w:pPr>
        <w:snapToGrid w:val="0"/>
        <w:spacing w:line="360" w:lineRule="auto"/>
        <w:ind w:firstLine="420" w:firstLineChars="200"/>
        <w:jc w:val="left"/>
        <w:rPr>
          <w:rFonts w:ascii="宋体" w:hAnsi="宋体"/>
          <w:bCs/>
          <w:color w:val="auto"/>
          <w:szCs w:val="21"/>
        </w:rPr>
      </w:pPr>
      <w:r>
        <w:rPr>
          <w:rFonts w:hint="eastAsia" w:ascii="宋体" w:hAnsi="宋体"/>
          <w:bCs/>
          <w:color w:val="auto"/>
          <w:szCs w:val="21"/>
        </w:rPr>
        <w:t>6.2如接受联合体投标，联合体投标要求详见“投标人须知前附表”。</w:t>
      </w:r>
    </w:p>
    <w:p w14:paraId="2DFEF0F8">
      <w:pPr>
        <w:snapToGrid w:val="0"/>
        <w:spacing w:line="360" w:lineRule="auto"/>
        <w:ind w:firstLine="420" w:firstLineChars="200"/>
        <w:jc w:val="left"/>
        <w:rPr>
          <w:rFonts w:ascii="宋体" w:hAnsi="宋体"/>
          <w:bCs/>
          <w:color w:val="auto"/>
          <w:szCs w:val="21"/>
        </w:rPr>
      </w:pPr>
      <w:r>
        <w:rPr>
          <w:rFonts w:hint="eastAsia" w:ascii="宋体" w:hAnsi="宋体"/>
          <w:bCs/>
          <w:color w:val="auto"/>
          <w:szCs w:val="21"/>
        </w:rPr>
        <w:t>6.3根据《政府采购促进中小企业发展管理办法》（财库[2020]46号）第九条、《广西壮族自治区财政厅关于进一步发挥政府采购政策功能促进企业发展的通知》（桂财采〔2022〕30号）及《广西壮族自治区财政厅 广西壮族自治区工业和信息化厅转发财政部 工业和信息化部政府采购促进中小企业发展管理办法的通知》（桂财采〔2021〕70号）规定，接受大中型企业与小微企业组成联合体的采购项目，对于联合协议约定小微企业的合同份额占到合同总金额 30%以上的，采购人、采购代理机构应当对联合体的报价给予6%（工程项目为 1%—2%）的扣除，用扣除后的价格参加评审。组成联合体的小微企业与联合体内其他企业、分包企业之间存在直接控股、管理关系的，不享受价格扣除优惠政策。</w:t>
      </w:r>
    </w:p>
    <w:p w14:paraId="685EDC60">
      <w:pPr>
        <w:pStyle w:val="6"/>
        <w:keepNext w:val="0"/>
        <w:keepLines w:val="0"/>
        <w:spacing w:before="0" w:after="0" w:line="360" w:lineRule="auto"/>
        <w:ind w:left="420" w:leftChars="200"/>
        <w:rPr>
          <w:rFonts w:ascii="黑体" w:hAnsi="黑体" w:eastAsia="黑体"/>
          <w:color w:val="auto"/>
          <w:sz w:val="24"/>
        </w:rPr>
      </w:pPr>
      <w:r>
        <w:rPr>
          <w:rFonts w:hint="eastAsia" w:ascii="黑体" w:hAnsi="黑体" w:eastAsia="黑体"/>
          <w:color w:val="auto"/>
          <w:sz w:val="24"/>
        </w:rPr>
        <w:t xml:space="preserve">7.转包与分包             </w:t>
      </w:r>
    </w:p>
    <w:p w14:paraId="77EA5713">
      <w:pPr>
        <w:snapToGrid w:val="0"/>
        <w:spacing w:line="360" w:lineRule="auto"/>
        <w:ind w:firstLine="420" w:firstLineChars="200"/>
        <w:jc w:val="left"/>
        <w:rPr>
          <w:rFonts w:ascii="宋体" w:hAnsi="宋体"/>
          <w:color w:val="auto"/>
          <w:szCs w:val="21"/>
        </w:rPr>
      </w:pPr>
      <w:r>
        <w:rPr>
          <w:rFonts w:hint="eastAsia" w:ascii="宋体" w:hAnsi="宋体"/>
          <w:color w:val="auto"/>
          <w:szCs w:val="21"/>
        </w:rPr>
        <w:t>7.1本项目不允许转包。</w:t>
      </w:r>
    </w:p>
    <w:p w14:paraId="79A82AB5">
      <w:pPr>
        <w:snapToGrid w:val="0"/>
        <w:spacing w:line="360" w:lineRule="auto"/>
        <w:ind w:firstLine="420" w:firstLineChars="200"/>
        <w:jc w:val="left"/>
        <w:rPr>
          <w:rFonts w:ascii="宋体" w:hAnsi="宋体"/>
          <w:bCs/>
          <w:color w:val="auto"/>
          <w:szCs w:val="21"/>
        </w:rPr>
      </w:pPr>
      <w:r>
        <w:rPr>
          <w:rFonts w:hint="eastAsia" w:ascii="宋体" w:hAnsi="宋体"/>
          <w:color w:val="auto"/>
          <w:szCs w:val="21"/>
        </w:rPr>
        <w:t>7.2本项目是否允许分包详见</w:t>
      </w:r>
      <w:r>
        <w:rPr>
          <w:rFonts w:hint="eastAsia" w:ascii="宋体" w:hAnsi="宋体"/>
          <w:bCs/>
          <w:color w:val="auto"/>
          <w:szCs w:val="21"/>
        </w:rPr>
        <w:t>“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5781C37D">
      <w:pPr>
        <w:snapToGrid w:val="0"/>
        <w:spacing w:line="360" w:lineRule="auto"/>
        <w:ind w:firstLine="420" w:firstLineChars="200"/>
        <w:jc w:val="left"/>
        <w:rPr>
          <w:rFonts w:ascii="宋体" w:hAnsi="宋体"/>
          <w:bCs/>
          <w:color w:val="auto"/>
          <w:szCs w:val="21"/>
        </w:rPr>
      </w:pPr>
      <w:r>
        <w:rPr>
          <w:rFonts w:hint="eastAsia" w:ascii="宋体" w:hAnsi="宋体"/>
          <w:bCs/>
          <w:color w:val="auto"/>
          <w:szCs w:val="21"/>
        </w:rPr>
        <w:t>7.3</w:t>
      </w:r>
      <w:r>
        <w:rPr>
          <w:rFonts w:hint="eastAsia" w:ascii="宋体" w:hAnsi="宋体" w:cs="宋体"/>
          <w:bCs/>
          <w:color w:val="auto"/>
          <w:szCs w:val="21"/>
        </w:rPr>
        <w:t>按照《政府采购促进中小企业发展管理办法》（财库〔2020〕46号）的规定，依据该办法规定享受扶持政策获得政府采购合同的，小微企业不得将合同分包给大中型企业，中型企业不得将合同分包给大型企业。</w:t>
      </w:r>
    </w:p>
    <w:p w14:paraId="2CC32210">
      <w:pPr>
        <w:pStyle w:val="6"/>
        <w:keepNext w:val="0"/>
        <w:keepLines w:val="0"/>
        <w:spacing w:before="0" w:after="0" w:line="360" w:lineRule="auto"/>
        <w:ind w:left="420" w:leftChars="200"/>
        <w:rPr>
          <w:rFonts w:ascii="黑体" w:hAnsi="黑体" w:eastAsia="黑体"/>
          <w:color w:val="auto"/>
          <w:sz w:val="24"/>
        </w:rPr>
      </w:pPr>
      <w:bookmarkStart w:id="102" w:name="_Toc254970673"/>
      <w:bookmarkStart w:id="103" w:name="_Toc254970532"/>
      <w:r>
        <w:rPr>
          <w:rFonts w:hint="eastAsia" w:ascii="黑体" w:hAnsi="黑体" w:eastAsia="黑体"/>
          <w:color w:val="auto"/>
          <w:sz w:val="24"/>
        </w:rPr>
        <w:t>8.特别说明：</w:t>
      </w:r>
      <w:bookmarkEnd w:id="102"/>
      <w:bookmarkEnd w:id="103"/>
    </w:p>
    <w:p w14:paraId="1E01A538">
      <w:pPr>
        <w:pStyle w:val="6"/>
        <w:keepNext w:val="0"/>
        <w:keepLines w:val="0"/>
        <w:spacing w:before="0" w:after="0" w:line="360" w:lineRule="auto"/>
        <w:ind w:firstLine="422" w:firstLineChars="200"/>
        <w:rPr>
          <w:rFonts w:ascii="宋体" w:hAnsi="宋体"/>
          <w:color w:val="auto"/>
          <w:sz w:val="21"/>
          <w:szCs w:val="21"/>
        </w:rPr>
      </w:pPr>
      <w:bookmarkStart w:id="104" w:name="_8.1提供相同品牌产品且通过资格审查、符合性审查的不同投标人参加同一合"/>
      <w:bookmarkEnd w:id="104"/>
      <w:r>
        <w:rPr>
          <w:rFonts w:ascii="宋体" w:hAnsi="宋体"/>
          <w:color w:val="auto"/>
          <w:sz w:val="21"/>
          <w:szCs w:val="21"/>
        </w:rPr>
        <w:fldChar w:fldCharType="begin"/>
      </w:r>
      <w:r>
        <w:rPr>
          <w:rFonts w:ascii="宋体" w:hAnsi="宋体"/>
          <w:color w:val="auto"/>
          <w:sz w:val="21"/>
          <w:szCs w:val="21"/>
        </w:rPr>
        <w:instrText xml:space="preserve"> HYPERLINK  \l "_8.1" </w:instrText>
      </w:r>
      <w:r>
        <w:rPr>
          <w:rFonts w:ascii="宋体" w:hAnsi="宋体"/>
          <w:color w:val="auto"/>
          <w:sz w:val="21"/>
          <w:szCs w:val="21"/>
        </w:rPr>
        <w:fldChar w:fldCharType="separate"/>
      </w:r>
      <w:r>
        <w:rPr>
          <w:rFonts w:hint="eastAsia" w:ascii="宋体" w:hAnsi="宋体"/>
          <w:color w:val="auto"/>
          <w:sz w:val="21"/>
          <w:szCs w:val="21"/>
        </w:rPr>
        <w:t>8.1</w:t>
      </w:r>
      <w:r>
        <w:rPr>
          <w:rFonts w:ascii="宋体" w:hAnsi="宋体"/>
          <w:color w:val="auto"/>
          <w:sz w:val="21"/>
          <w:szCs w:val="21"/>
        </w:rPr>
        <w:fldChar w:fldCharType="end"/>
      </w:r>
      <w:r>
        <w:rPr>
          <w:rFonts w:hint="eastAsia" w:ascii="宋体" w:hAnsi="宋体"/>
          <w:color w:val="auto"/>
          <w:sz w:val="21"/>
          <w:szCs w:val="21"/>
        </w:rPr>
        <w:t>提供相同品牌产品且通过资格审查、符合性审查的不同投标人参加同一合同项下投标的，按一家投标人计算，评审后得分最高的同品牌投标人获得中标人推荐资格；评审得分相同的，由采购人或者采购人委托评标委员会采取随机抽取的方式确定一个投标人获得中标人推荐资格，其他同品牌投标人不作为中标候选人。</w:t>
      </w:r>
    </w:p>
    <w:p w14:paraId="59883E31">
      <w:pPr>
        <w:pStyle w:val="15"/>
        <w:snapToGrid w:val="0"/>
        <w:spacing w:line="360" w:lineRule="auto"/>
        <w:ind w:left="2" w:leftChars="1" w:firstLine="422" w:firstLineChars="200"/>
        <w:rPr>
          <w:rFonts w:hAnsi="宋体"/>
          <w:b/>
          <w:color w:val="auto"/>
          <w:kern w:val="2"/>
          <w:sz w:val="21"/>
        </w:rPr>
      </w:pPr>
      <w:r>
        <w:rPr>
          <w:rFonts w:hint="eastAsia" w:hAnsi="宋体"/>
          <w:b/>
          <w:color w:val="auto"/>
          <w:kern w:val="2"/>
          <w:sz w:val="21"/>
        </w:rPr>
        <w:t>非单一产品采购项目，多家投标人提供的核心产品品牌相同的，按前款规定处理。</w:t>
      </w:r>
    </w:p>
    <w:p w14:paraId="34BE3EE4">
      <w:pPr>
        <w:pStyle w:val="6"/>
        <w:keepNext w:val="0"/>
        <w:keepLines w:val="0"/>
        <w:spacing w:before="0" w:after="0" w:line="360" w:lineRule="auto"/>
        <w:ind w:firstLine="369" w:firstLineChars="175"/>
        <w:rPr>
          <w:rFonts w:ascii="宋体" w:hAnsi="宋体"/>
          <w:color w:val="auto"/>
          <w:sz w:val="21"/>
          <w:szCs w:val="21"/>
        </w:rPr>
      </w:pPr>
      <w:r>
        <w:rPr>
          <w:rFonts w:hint="eastAsia" w:ascii="宋体" w:hAnsi="宋体"/>
          <w:color w:val="auto"/>
          <w:sz w:val="21"/>
          <w:szCs w:val="21"/>
        </w:rPr>
        <w:t>8.2如果本招标文件要求投标人提供资格、信誉、荣誉、业绩与企业认证等材料的，则投标人所提供的以上材料必须为投标人所拥有。</w:t>
      </w:r>
    </w:p>
    <w:p w14:paraId="02BB9F12">
      <w:pPr>
        <w:pStyle w:val="6"/>
        <w:keepNext w:val="0"/>
        <w:keepLines w:val="0"/>
        <w:spacing w:before="0" w:after="0" w:line="360" w:lineRule="auto"/>
        <w:ind w:firstLine="369" w:firstLineChars="175"/>
        <w:rPr>
          <w:rFonts w:ascii="宋体" w:hAnsi="宋体"/>
          <w:color w:val="auto"/>
          <w:sz w:val="21"/>
          <w:szCs w:val="21"/>
        </w:rPr>
      </w:pPr>
      <w:r>
        <w:rPr>
          <w:rFonts w:hint="eastAsia" w:ascii="宋体" w:hAnsi="宋体"/>
          <w:color w:val="auto"/>
          <w:sz w:val="21"/>
          <w:szCs w:val="21"/>
        </w:rPr>
        <w:t>8.3投标人应仔细阅读招标文件的所有内容，按照招标文件的要求提交投标文件，并对所提供的全部资料的真实性承担法律责任。</w:t>
      </w:r>
    </w:p>
    <w:p w14:paraId="53D420CC">
      <w:pPr>
        <w:pStyle w:val="6"/>
        <w:keepNext w:val="0"/>
        <w:keepLines w:val="0"/>
        <w:spacing w:before="0" w:after="0" w:line="360" w:lineRule="auto"/>
        <w:ind w:firstLine="369" w:firstLineChars="175"/>
        <w:rPr>
          <w:rFonts w:ascii="宋体" w:hAnsi="宋体"/>
          <w:color w:val="auto"/>
          <w:sz w:val="21"/>
          <w:szCs w:val="21"/>
        </w:rPr>
      </w:pPr>
      <w:r>
        <w:rPr>
          <w:rFonts w:hint="eastAsia" w:ascii="宋体" w:hAnsi="宋体"/>
          <w:color w:val="auto"/>
          <w:sz w:val="21"/>
          <w:szCs w:val="21"/>
        </w:rPr>
        <w:t>8.4投标人在投标活动中提供任何虚假材料，将报监管部门查处；中标后发现的，中标人须依照《中华人民共和国消费者权益保护法》规定赔偿采购人，且民事赔偿并不免除违法投标人的行政与刑事责任。</w:t>
      </w:r>
    </w:p>
    <w:p w14:paraId="32E4E090">
      <w:pPr>
        <w:pStyle w:val="6"/>
        <w:keepNext w:val="0"/>
        <w:keepLines w:val="0"/>
        <w:spacing w:before="0" w:after="0" w:line="360" w:lineRule="auto"/>
        <w:ind w:left="420" w:leftChars="200"/>
        <w:rPr>
          <w:rFonts w:ascii="黑体" w:hAnsi="黑体" w:eastAsia="黑体"/>
          <w:color w:val="auto"/>
          <w:sz w:val="24"/>
        </w:rPr>
      </w:pPr>
      <w:r>
        <w:rPr>
          <w:rFonts w:ascii="黑体" w:hAnsi="黑体" w:eastAsia="黑体"/>
          <w:color w:val="auto"/>
          <w:sz w:val="24"/>
        </w:rPr>
        <w:t>9.</w:t>
      </w:r>
      <w:r>
        <w:rPr>
          <w:rFonts w:hint="eastAsia" w:ascii="黑体" w:hAnsi="黑体" w:eastAsia="黑体"/>
          <w:color w:val="auto"/>
          <w:sz w:val="24"/>
        </w:rPr>
        <w:t>回避与串通投标</w:t>
      </w:r>
    </w:p>
    <w:p w14:paraId="320F9672">
      <w:pPr>
        <w:pStyle w:val="6"/>
        <w:keepNext w:val="0"/>
        <w:keepLines w:val="0"/>
        <w:spacing w:before="0" w:after="0" w:line="360" w:lineRule="auto"/>
        <w:ind w:firstLine="369" w:firstLineChars="175"/>
        <w:rPr>
          <w:rFonts w:ascii="宋体" w:hAnsi="宋体"/>
          <w:color w:val="auto"/>
          <w:sz w:val="21"/>
          <w:szCs w:val="21"/>
        </w:rPr>
      </w:pPr>
      <w:r>
        <w:rPr>
          <w:rFonts w:hint="eastAsia" w:ascii="宋体" w:hAnsi="宋体"/>
          <w:color w:val="auto"/>
          <w:sz w:val="21"/>
          <w:szCs w:val="21"/>
        </w:rPr>
        <w:t>9</w:t>
      </w:r>
      <w:r>
        <w:rPr>
          <w:rFonts w:ascii="宋体" w:hAnsi="宋体"/>
          <w:color w:val="auto"/>
          <w:sz w:val="21"/>
          <w:szCs w:val="21"/>
        </w:rPr>
        <w:t>.1在政府采购活动中，采购人员及相关人员与</w:t>
      </w:r>
      <w:r>
        <w:rPr>
          <w:rFonts w:hint="eastAsia" w:ascii="宋体" w:hAnsi="宋体"/>
          <w:color w:val="auto"/>
          <w:sz w:val="21"/>
          <w:szCs w:val="21"/>
        </w:rPr>
        <w:t>供应商</w:t>
      </w:r>
      <w:r>
        <w:rPr>
          <w:rFonts w:ascii="宋体" w:hAnsi="宋体"/>
          <w:color w:val="auto"/>
          <w:sz w:val="21"/>
          <w:szCs w:val="21"/>
        </w:rPr>
        <w:t>有下列利害关系之一的，应当回避：</w:t>
      </w:r>
    </w:p>
    <w:p w14:paraId="6339F89A">
      <w:pPr>
        <w:pStyle w:val="15"/>
        <w:snapToGrid w:val="0"/>
        <w:spacing w:line="360" w:lineRule="auto"/>
        <w:ind w:left="2" w:leftChars="1" w:firstLine="422" w:firstLineChars="200"/>
        <w:rPr>
          <w:rFonts w:hAnsi="宋体"/>
          <w:b/>
          <w:color w:val="auto"/>
          <w:kern w:val="2"/>
          <w:sz w:val="21"/>
        </w:rPr>
      </w:pPr>
      <w:r>
        <w:rPr>
          <w:rFonts w:hAnsi="宋体"/>
          <w:b/>
          <w:color w:val="auto"/>
          <w:kern w:val="2"/>
          <w:sz w:val="21"/>
        </w:rPr>
        <w:t>（</w:t>
      </w:r>
      <w:r>
        <w:rPr>
          <w:rFonts w:hint="eastAsia" w:hAnsi="宋体"/>
          <w:b/>
          <w:color w:val="auto"/>
          <w:kern w:val="2"/>
          <w:sz w:val="21"/>
        </w:rPr>
        <w:t>1</w:t>
      </w:r>
      <w:r>
        <w:rPr>
          <w:rFonts w:hAnsi="宋体"/>
          <w:b/>
          <w:color w:val="auto"/>
          <w:kern w:val="2"/>
          <w:sz w:val="21"/>
        </w:rPr>
        <w:t>）参加采购活动前3年内与</w:t>
      </w:r>
      <w:r>
        <w:rPr>
          <w:rFonts w:hint="eastAsia" w:hAnsi="宋体"/>
          <w:b/>
          <w:color w:val="auto"/>
          <w:kern w:val="2"/>
          <w:sz w:val="21"/>
        </w:rPr>
        <w:t>供应商</w:t>
      </w:r>
      <w:r>
        <w:rPr>
          <w:rFonts w:hAnsi="宋体"/>
          <w:b/>
          <w:color w:val="auto"/>
          <w:kern w:val="2"/>
          <w:sz w:val="21"/>
        </w:rPr>
        <w:t>存在劳动关系；</w:t>
      </w:r>
    </w:p>
    <w:p w14:paraId="4619C663">
      <w:pPr>
        <w:pStyle w:val="15"/>
        <w:snapToGrid w:val="0"/>
        <w:spacing w:line="360" w:lineRule="auto"/>
        <w:ind w:left="2" w:leftChars="1" w:firstLine="422" w:firstLineChars="200"/>
        <w:rPr>
          <w:rFonts w:hAnsi="宋体"/>
          <w:b/>
          <w:color w:val="auto"/>
          <w:kern w:val="2"/>
          <w:sz w:val="21"/>
        </w:rPr>
      </w:pPr>
      <w:r>
        <w:rPr>
          <w:rFonts w:hAnsi="宋体"/>
          <w:b/>
          <w:color w:val="auto"/>
          <w:kern w:val="2"/>
          <w:sz w:val="21"/>
        </w:rPr>
        <w:t>（</w:t>
      </w:r>
      <w:r>
        <w:rPr>
          <w:rFonts w:hint="eastAsia" w:hAnsi="宋体"/>
          <w:b/>
          <w:color w:val="auto"/>
          <w:kern w:val="2"/>
          <w:sz w:val="21"/>
        </w:rPr>
        <w:t>2</w:t>
      </w:r>
      <w:r>
        <w:rPr>
          <w:rFonts w:hAnsi="宋体"/>
          <w:b/>
          <w:color w:val="auto"/>
          <w:kern w:val="2"/>
          <w:sz w:val="21"/>
        </w:rPr>
        <w:t>）参加采购活动前3年内担任</w:t>
      </w:r>
      <w:r>
        <w:rPr>
          <w:rFonts w:hint="eastAsia" w:hAnsi="宋体"/>
          <w:b/>
          <w:color w:val="auto"/>
          <w:kern w:val="2"/>
          <w:sz w:val="21"/>
        </w:rPr>
        <w:t>供应商</w:t>
      </w:r>
      <w:r>
        <w:rPr>
          <w:rFonts w:hAnsi="宋体"/>
          <w:b/>
          <w:color w:val="auto"/>
          <w:kern w:val="2"/>
          <w:sz w:val="21"/>
        </w:rPr>
        <w:t>的董事、监事；</w:t>
      </w:r>
    </w:p>
    <w:p w14:paraId="7DE973E3">
      <w:pPr>
        <w:pStyle w:val="15"/>
        <w:snapToGrid w:val="0"/>
        <w:spacing w:line="360" w:lineRule="auto"/>
        <w:ind w:left="2" w:leftChars="1" w:firstLine="422" w:firstLineChars="200"/>
        <w:rPr>
          <w:rFonts w:hAnsi="宋体"/>
          <w:b/>
          <w:color w:val="auto"/>
          <w:kern w:val="2"/>
          <w:sz w:val="21"/>
        </w:rPr>
      </w:pPr>
      <w:r>
        <w:rPr>
          <w:rFonts w:hAnsi="宋体"/>
          <w:b/>
          <w:color w:val="auto"/>
          <w:kern w:val="2"/>
          <w:sz w:val="21"/>
        </w:rPr>
        <w:t>（</w:t>
      </w:r>
      <w:r>
        <w:rPr>
          <w:rFonts w:hint="eastAsia" w:hAnsi="宋体"/>
          <w:b/>
          <w:color w:val="auto"/>
          <w:kern w:val="2"/>
          <w:sz w:val="21"/>
        </w:rPr>
        <w:t>3</w:t>
      </w:r>
      <w:r>
        <w:rPr>
          <w:rFonts w:hAnsi="宋体"/>
          <w:b/>
          <w:color w:val="auto"/>
          <w:kern w:val="2"/>
          <w:sz w:val="21"/>
        </w:rPr>
        <w:t>）参加采购活动前3年内是</w:t>
      </w:r>
      <w:r>
        <w:rPr>
          <w:rFonts w:hint="eastAsia" w:hAnsi="宋体"/>
          <w:b/>
          <w:color w:val="auto"/>
          <w:kern w:val="2"/>
          <w:sz w:val="21"/>
        </w:rPr>
        <w:t>供应商</w:t>
      </w:r>
      <w:r>
        <w:rPr>
          <w:rFonts w:hAnsi="宋体"/>
          <w:b/>
          <w:color w:val="auto"/>
          <w:kern w:val="2"/>
          <w:sz w:val="21"/>
        </w:rPr>
        <w:t>的控股股东或者实际控制人；</w:t>
      </w:r>
    </w:p>
    <w:p w14:paraId="6385F441">
      <w:pPr>
        <w:pStyle w:val="15"/>
        <w:snapToGrid w:val="0"/>
        <w:spacing w:line="360" w:lineRule="auto"/>
        <w:ind w:left="2" w:leftChars="1" w:firstLine="422" w:firstLineChars="200"/>
        <w:rPr>
          <w:rFonts w:hAnsi="宋体"/>
          <w:b/>
          <w:color w:val="auto"/>
          <w:kern w:val="2"/>
          <w:sz w:val="21"/>
        </w:rPr>
      </w:pPr>
      <w:r>
        <w:rPr>
          <w:rFonts w:hAnsi="宋体"/>
          <w:b/>
          <w:color w:val="auto"/>
          <w:kern w:val="2"/>
          <w:sz w:val="21"/>
        </w:rPr>
        <w:t>（</w:t>
      </w:r>
      <w:r>
        <w:rPr>
          <w:rFonts w:hint="eastAsia" w:hAnsi="宋体"/>
          <w:b/>
          <w:color w:val="auto"/>
          <w:kern w:val="2"/>
          <w:sz w:val="21"/>
        </w:rPr>
        <w:t>4</w:t>
      </w:r>
      <w:r>
        <w:rPr>
          <w:rFonts w:hAnsi="宋体"/>
          <w:b/>
          <w:color w:val="auto"/>
          <w:kern w:val="2"/>
          <w:sz w:val="21"/>
        </w:rPr>
        <w:t>）与</w:t>
      </w:r>
      <w:r>
        <w:rPr>
          <w:rFonts w:hint="eastAsia" w:hAnsi="宋体"/>
          <w:b/>
          <w:color w:val="auto"/>
          <w:kern w:val="2"/>
          <w:sz w:val="21"/>
        </w:rPr>
        <w:t>供应商</w:t>
      </w:r>
      <w:r>
        <w:rPr>
          <w:rFonts w:hAnsi="宋体"/>
          <w:b/>
          <w:color w:val="auto"/>
          <w:kern w:val="2"/>
          <w:sz w:val="21"/>
        </w:rPr>
        <w:t>的法定代表人或者负责人有夫妻、直系血亲、三代以内旁系血亲或者近姻亲关系；</w:t>
      </w:r>
    </w:p>
    <w:p w14:paraId="35396D96">
      <w:pPr>
        <w:pStyle w:val="15"/>
        <w:snapToGrid w:val="0"/>
        <w:spacing w:line="360" w:lineRule="auto"/>
        <w:ind w:left="2" w:leftChars="1" w:firstLine="422" w:firstLineChars="200"/>
        <w:rPr>
          <w:rFonts w:hAnsi="宋体"/>
          <w:b/>
          <w:color w:val="auto"/>
          <w:kern w:val="2"/>
          <w:sz w:val="21"/>
        </w:rPr>
      </w:pPr>
      <w:r>
        <w:rPr>
          <w:rFonts w:hAnsi="宋体"/>
          <w:b/>
          <w:color w:val="auto"/>
          <w:kern w:val="2"/>
          <w:sz w:val="21"/>
        </w:rPr>
        <w:t>（</w:t>
      </w:r>
      <w:r>
        <w:rPr>
          <w:rFonts w:hint="eastAsia" w:hAnsi="宋体"/>
          <w:b/>
          <w:color w:val="auto"/>
          <w:kern w:val="2"/>
          <w:sz w:val="21"/>
        </w:rPr>
        <w:t>5</w:t>
      </w:r>
      <w:r>
        <w:rPr>
          <w:rFonts w:hAnsi="宋体"/>
          <w:b/>
          <w:color w:val="auto"/>
          <w:kern w:val="2"/>
          <w:sz w:val="21"/>
        </w:rPr>
        <w:t>）与</w:t>
      </w:r>
      <w:r>
        <w:rPr>
          <w:rFonts w:hint="eastAsia" w:hAnsi="宋体"/>
          <w:b/>
          <w:color w:val="auto"/>
          <w:kern w:val="2"/>
          <w:sz w:val="21"/>
        </w:rPr>
        <w:t>供应商</w:t>
      </w:r>
      <w:r>
        <w:rPr>
          <w:rFonts w:hAnsi="宋体"/>
          <w:b/>
          <w:color w:val="auto"/>
          <w:kern w:val="2"/>
          <w:sz w:val="21"/>
        </w:rPr>
        <w:t>有其他可能影响政府采购活动公平、公正进行的关系。</w:t>
      </w:r>
    </w:p>
    <w:p w14:paraId="49509EC7">
      <w:pPr>
        <w:pStyle w:val="15"/>
        <w:snapToGrid w:val="0"/>
        <w:spacing w:line="360" w:lineRule="auto"/>
        <w:ind w:left="2" w:leftChars="1" w:firstLine="422" w:firstLineChars="200"/>
        <w:rPr>
          <w:rFonts w:hAnsi="宋体"/>
          <w:b/>
          <w:color w:val="auto"/>
          <w:kern w:val="2"/>
          <w:sz w:val="21"/>
        </w:rPr>
      </w:pPr>
      <w:r>
        <w:rPr>
          <w:rFonts w:hint="eastAsia" w:hAnsi="宋体"/>
          <w:b/>
          <w:color w:val="auto"/>
          <w:kern w:val="2"/>
          <w:sz w:val="21"/>
        </w:rPr>
        <w:t>供应商</w:t>
      </w:r>
      <w:r>
        <w:rPr>
          <w:rFonts w:hAnsi="宋体"/>
          <w:b/>
          <w:color w:val="auto"/>
          <w:kern w:val="2"/>
          <w:sz w:val="21"/>
        </w:rPr>
        <w:t>认为采购人员及相关人员与其他</w:t>
      </w:r>
      <w:r>
        <w:rPr>
          <w:rFonts w:hint="eastAsia" w:hAnsi="宋体"/>
          <w:b/>
          <w:color w:val="auto"/>
          <w:kern w:val="2"/>
          <w:sz w:val="21"/>
        </w:rPr>
        <w:t>供应商</w:t>
      </w:r>
      <w:r>
        <w:rPr>
          <w:rFonts w:hAnsi="宋体"/>
          <w:b/>
          <w:color w:val="auto"/>
          <w:kern w:val="2"/>
          <w:sz w:val="21"/>
        </w:rPr>
        <w:t>有利害关系的，可以向采购人或者采购代理机构书面提出回避申请，并说明理由。采购人或者采购代理机构应当及时询问被申请回避人员，有利害关系的被申请回避人员应当回避。</w:t>
      </w:r>
    </w:p>
    <w:p w14:paraId="50D77D53">
      <w:pPr>
        <w:pStyle w:val="6"/>
        <w:keepNext w:val="0"/>
        <w:keepLines w:val="0"/>
        <w:spacing w:before="0" w:after="0" w:line="360" w:lineRule="auto"/>
        <w:ind w:left="420" w:leftChars="200"/>
        <w:rPr>
          <w:rFonts w:ascii="宋体" w:hAnsi="宋体"/>
          <w:color w:val="auto"/>
          <w:sz w:val="21"/>
          <w:szCs w:val="21"/>
        </w:rPr>
      </w:pPr>
      <w:r>
        <w:rPr>
          <w:rFonts w:ascii="宋体" w:hAnsi="宋体"/>
          <w:color w:val="auto"/>
          <w:sz w:val="21"/>
          <w:szCs w:val="21"/>
        </w:rPr>
        <w:t>9.2</w:t>
      </w:r>
      <w:r>
        <w:rPr>
          <w:rFonts w:hint="eastAsia" w:ascii="宋体" w:hAnsi="宋体"/>
          <w:color w:val="auto"/>
          <w:sz w:val="21"/>
          <w:szCs w:val="21"/>
        </w:rPr>
        <w:t>有下列情形之一的视为投标人相互串通投标，投标文件将被视为无效：</w:t>
      </w:r>
    </w:p>
    <w:p w14:paraId="77E0CCA6">
      <w:pPr>
        <w:pStyle w:val="15"/>
        <w:snapToGrid w:val="0"/>
        <w:spacing w:line="360" w:lineRule="auto"/>
        <w:ind w:left="2" w:leftChars="1" w:firstLine="422" w:firstLineChars="200"/>
        <w:rPr>
          <w:rFonts w:hAnsi="宋体"/>
          <w:b/>
          <w:color w:val="auto"/>
          <w:kern w:val="2"/>
          <w:sz w:val="21"/>
        </w:rPr>
      </w:pPr>
      <w:r>
        <w:rPr>
          <w:rFonts w:hint="eastAsia" w:hAnsi="宋体"/>
          <w:b/>
          <w:color w:val="auto"/>
          <w:kern w:val="2"/>
          <w:sz w:val="21"/>
        </w:rPr>
        <w:t>（1）不同投标人的投标文件由同一单位或者个人编制；或者不同投标人报名的IP地址一致的；</w:t>
      </w:r>
    </w:p>
    <w:p w14:paraId="13A89FFA">
      <w:pPr>
        <w:pStyle w:val="15"/>
        <w:snapToGrid w:val="0"/>
        <w:spacing w:line="360" w:lineRule="auto"/>
        <w:ind w:left="2" w:leftChars="1" w:firstLine="422" w:firstLineChars="200"/>
        <w:rPr>
          <w:rFonts w:hAnsi="宋体"/>
          <w:b/>
          <w:color w:val="auto"/>
          <w:kern w:val="2"/>
          <w:sz w:val="21"/>
        </w:rPr>
      </w:pPr>
      <w:r>
        <w:rPr>
          <w:rFonts w:hint="eastAsia" w:hAnsi="宋体"/>
          <w:b/>
          <w:color w:val="auto"/>
          <w:kern w:val="2"/>
          <w:sz w:val="21"/>
        </w:rPr>
        <w:t>（2）不同投标人委托同一单位或者个人办理投标事宜；</w:t>
      </w:r>
    </w:p>
    <w:p w14:paraId="794F35E8">
      <w:pPr>
        <w:pStyle w:val="15"/>
        <w:snapToGrid w:val="0"/>
        <w:spacing w:line="360" w:lineRule="auto"/>
        <w:ind w:left="2" w:leftChars="1" w:firstLine="422" w:firstLineChars="200"/>
        <w:rPr>
          <w:rFonts w:hAnsi="宋体"/>
          <w:b/>
          <w:color w:val="auto"/>
          <w:kern w:val="2"/>
          <w:sz w:val="21"/>
        </w:rPr>
      </w:pPr>
      <w:r>
        <w:rPr>
          <w:rFonts w:hint="eastAsia" w:hAnsi="宋体"/>
          <w:b/>
          <w:color w:val="auto"/>
          <w:kern w:val="2"/>
          <w:sz w:val="21"/>
        </w:rPr>
        <w:t>（3）不同的投标人的投标文件载明的项目管理员为同一个人；</w:t>
      </w:r>
    </w:p>
    <w:p w14:paraId="3367801A">
      <w:pPr>
        <w:pStyle w:val="15"/>
        <w:snapToGrid w:val="0"/>
        <w:spacing w:line="360" w:lineRule="auto"/>
        <w:ind w:left="2" w:leftChars="1" w:firstLine="422" w:firstLineChars="200"/>
        <w:rPr>
          <w:rFonts w:hAnsi="宋体"/>
          <w:b/>
          <w:color w:val="auto"/>
          <w:kern w:val="2"/>
          <w:sz w:val="21"/>
        </w:rPr>
      </w:pPr>
      <w:r>
        <w:rPr>
          <w:rFonts w:hint="eastAsia" w:hAnsi="宋体"/>
          <w:b/>
          <w:color w:val="auto"/>
          <w:kern w:val="2"/>
          <w:sz w:val="21"/>
        </w:rPr>
        <w:t>（4）不同投标人的投标文件异常一致或者投标报价呈规律性差异；</w:t>
      </w:r>
    </w:p>
    <w:p w14:paraId="2C069DE6">
      <w:pPr>
        <w:pStyle w:val="15"/>
        <w:snapToGrid w:val="0"/>
        <w:spacing w:line="360" w:lineRule="auto"/>
        <w:ind w:left="2" w:leftChars="1" w:firstLine="422" w:firstLineChars="200"/>
        <w:rPr>
          <w:rFonts w:hAnsi="宋体"/>
          <w:b/>
          <w:color w:val="auto"/>
          <w:kern w:val="2"/>
          <w:sz w:val="21"/>
        </w:rPr>
      </w:pPr>
      <w:r>
        <w:rPr>
          <w:rFonts w:hint="eastAsia" w:hAnsi="宋体"/>
          <w:b/>
          <w:color w:val="auto"/>
          <w:kern w:val="2"/>
          <w:sz w:val="21"/>
        </w:rPr>
        <w:t>（5）不同投标人的投标保证金从同一单位或者个人账户转出。</w:t>
      </w:r>
    </w:p>
    <w:p w14:paraId="53FF4DF7">
      <w:pPr>
        <w:pStyle w:val="6"/>
        <w:keepNext w:val="0"/>
        <w:keepLines w:val="0"/>
        <w:spacing w:before="0" w:after="0" w:line="360" w:lineRule="auto"/>
        <w:ind w:left="420" w:leftChars="200"/>
        <w:rPr>
          <w:rFonts w:ascii="宋体" w:hAnsi="宋体"/>
          <w:color w:val="auto"/>
          <w:sz w:val="21"/>
          <w:szCs w:val="21"/>
        </w:rPr>
      </w:pPr>
      <w:r>
        <w:rPr>
          <w:rFonts w:ascii="宋体" w:hAnsi="宋体"/>
          <w:color w:val="auto"/>
          <w:sz w:val="21"/>
          <w:szCs w:val="21"/>
        </w:rPr>
        <w:t>9.3</w:t>
      </w:r>
      <w:r>
        <w:rPr>
          <w:rFonts w:hint="eastAsia" w:ascii="宋体" w:hAnsi="宋体"/>
          <w:color w:val="auto"/>
          <w:sz w:val="21"/>
          <w:szCs w:val="21"/>
        </w:rPr>
        <w:t>供应商有下列情形之一的，属于恶意串通行为，将报同级监督管理部门：</w:t>
      </w:r>
    </w:p>
    <w:p w14:paraId="40FAF42E">
      <w:pPr>
        <w:pStyle w:val="15"/>
        <w:snapToGrid w:val="0"/>
        <w:spacing w:line="360" w:lineRule="auto"/>
        <w:ind w:left="2" w:leftChars="1" w:firstLine="422" w:firstLineChars="200"/>
        <w:rPr>
          <w:rFonts w:hAnsi="宋体"/>
          <w:b/>
          <w:color w:val="auto"/>
          <w:kern w:val="2"/>
          <w:sz w:val="21"/>
        </w:rPr>
      </w:pPr>
      <w:r>
        <w:rPr>
          <w:rFonts w:hint="eastAsia" w:hAnsi="宋体"/>
          <w:b/>
          <w:color w:val="auto"/>
          <w:kern w:val="2"/>
          <w:sz w:val="21"/>
        </w:rPr>
        <w:t>（1）供应商直接或者间接从采购人或者采购代理机构处获得其他供应商的相关信息并修改其投标文件或者响应文件；</w:t>
      </w:r>
    </w:p>
    <w:p w14:paraId="19956414">
      <w:pPr>
        <w:pStyle w:val="15"/>
        <w:snapToGrid w:val="0"/>
        <w:spacing w:line="360" w:lineRule="auto"/>
        <w:ind w:left="2" w:leftChars="1" w:firstLine="422" w:firstLineChars="200"/>
        <w:rPr>
          <w:rFonts w:hAnsi="宋体"/>
          <w:b/>
          <w:color w:val="auto"/>
          <w:kern w:val="2"/>
          <w:sz w:val="21"/>
        </w:rPr>
      </w:pPr>
      <w:r>
        <w:rPr>
          <w:rFonts w:hint="eastAsia" w:hAnsi="宋体"/>
          <w:b/>
          <w:color w:val="auto"/>
          <w:kern w:val="2"/>
          <w:sz w:val="21"/>
        </w:rPr>
        <w:t>（2）供应商按照采购人或者采购代理机构的授意撤换、修改投标文件或者响应文件；</w:t>
      </w:r>
    </w:p>
    <w:p w14:paraId="7D88528A">
      <w:pPr>
        <w:pStyle w:val="15"/>
        <w:snapToGrid w:val="0"/>
        <w:spacing w:line="360" w:lineRule="auto"/>
        <w:ind w:left="2" w:leftChars="1" w:firstLine="422" w:firstLineChars="200"/>
        <w:rPr>
          <w:rFonts w:hAnsi="宋体"/>
          <w:b/>
          <w:color w:val="auto"/>
          <w:kern w:val="2"/>
          <w:sz w:val="21"/>
        </w:rPr>
      </w:pPr>
      <w:r>
        <w:rPr>
          <w:rFonts w:hint="eastAsia" w:hAnsi="宋体"/>
          <w:b/>
          <w:color w:val="auto"/>
          <w:kern w:val="2"/>
          <w:sz w:val="21"/>
        </w:rPr>
        <w:t>（3）供应商之间协商报价、技术方案等投标文件或者响应文件的实质性内容；</w:t>
      </w:r>
    </w:p>
    <w:p w14:paraId="74DD19CB">
      <w:pPr>
        <w:pStyle w:val="15"/>
        <w:snapToGrid w:val="0"/>
        <w:spacing w:line="360" w:lineRule="auto"/>
        <w:ind w:left="2" w:leftChars="1" w:firstLine="422" w:firstLineChars="200"/>
        <w:rPr>
          <w:rFonts w:hAnsi="宋体"/>
          <w:b/>
          <w:color w:val="auto"/>
          <w:kern w:val="2"/>
          <w:sz w:val="21"/>
        </w:rPr>
      </w:pPr>
      <w:r>
        <w:rPr>
          <w:rFonts w:hint="eastAsia" w:hAnsi="宋体"/>
          <w:b/>
          <w:color w:val="auto"/>
          <w:kern w:val="2"/>
          <w:sz w:val="21"/>
        </w:rPr>
        <w:t>（4）属于同一集团、协会、商会等组织成员的供应商按照该组织要求协同参加政府采购活动；</w:t>
      </w:r>
    </w:p>
    <w:p w14:paraId="6400A8FF">
      <w:pPr>
        <w:pStyle w:val="15"/>
        <w:snapToGrid w:val="0"/>
        <w:spacing w:line="360" w:lineRule="auto"/>
        <w:ind w:left="2" w:leftChars="1" w:firstLine="422" w:firstLineChars="200"/>
        <w:rPr>
          <w:rFonts w:hAnsi="宋体"/>
          <w:b/>
          <w:color w:val="auto"/>
          <w:kern w:val="2"/>
          <w:sz w:val="21"/>
        </w:rPr>
      </w:pPr>
      <w:r>
        <w:rPr>
          <w:rFonts w:hint="eastAsia" w:hAnsi="宋体"/>
          <w:b/>
          <w:color w:val="auto"/>
          <w:kern w:val="2"/>
          <w:sz w:val="21"/>
        </w:rPr>
        <w:t>（5）供应商之间事先约定一致抬高或者压低投标报价，或者在招标项目中事先约定轮流以高价位或者低价位中标，或者事先约定由某一特定供应商中标，然后再参加投标；</w:t>
      </w:r>
    </w:p>
    <w:p w14:paraId="57C4E11C">
      <w:pPr>
        <w:pStyle w:val="15"/>
        <w:snapToGrid w:val="0"/>
        <w:spacing w:line="360" w:lineRule="auto"/>
        <w:ind w:left="2" w:leftChars="1" w:firstLine="422" w:firstLineChars="200"/>
        <w:rPr>
          <w:rFonts w:hAnsi="宋体"/>
          <w:b/>
          <w:color w:val="auto"/>
          <w:kern w:val="2"/>
          <w:sz w:val="21"/>
        </w:rPr>
      </w:pPr>
      <w:r>
        <w:rPr>
          <w:rFonts w:hint="eastAsia" w:hAnsi="宋体"/>
          <w:b/>
          <w:color w:val="auto"/>
          <w:kern w:val="2"/>
          <w:sz w:val="21"/>
        </w:rPr>
        <w:t>（6）供应商之间商定部分供应商放弃参加政府采购活动或者放弃中标；</w:t>
      </w:r>
    </w:p>
    <w:p w14:paraId="0378F023">
      <w:pPr>
        <w:pStyle w:val="15"/>
        <w:snapToGrid w:val="0"/>
        <w:spacing w:line="360" w:lineRule="auto"/>
        <w:ind w:left="2" w:leftChars="1" w:firstLine="422" w:firstLineChars="200"/>
        <w:rPr>
          <w:rFonts w:hAnsi="宋体"/>
          <w:b/>
          <w:color w:val="auto"/>
          <w:kern w:val="2"/>
          <w:sz w:val="21"/>
        </w:rPr>
      </w:pPr>
      <w:r>
        <w:rPr>
          <w:rFonts w:hint="eastAsia" w:hAnsi="宋体"/>
          <w:b/>
          <w:color w:val="auto"/>
          <w:kern w:val="2"/>
          <w:sz w:val="21"/>
        </w:rPr>
        <w:t>（7）供应商与采购人或者采购代理机构之间、供应商相互之间，为谋求特定供应商中标或者排斥其他供应商的其他串通行为。</w:t>
      </w:r>
    </w:p>
    <w:p w14:paraId="6C5BC3CD">
      <w:pPr>
        <w:snapToGrid w:val="0"/>
        <w:spacing w:line="380" w:lineRule="exact"/>
        <w:ind w:left="2" w:leftChars="1" w:firstLine="422" w:firstLineChars="200"/>
        <w:rPr>
          <w:rFonts w:ascii="宋体" w:hAnsi="宋体" w:cs="宋体"/>
          <w:b/>
          <w:color w:val="auto"/>
          <w:szCs w:val="21"/>
        </w:rPr>
      </w:pPr>
      <w:r>
        <w:rPr>
          <w:rFonts w:hint="eastAsia" w:ascii="宋体" w:hAnsi="宋体" w:cs="宋体"/>
          <w:b/>
          <w:color w:val="auto"/>
          <w:szCs w:val="21"/>
        </w:rPr>
        <w:t>9.4关联供应商不得参加同一合同项下政府采购活动，否则投标文件将被视为无效：</w:t>
      </w:r>
    </w:p>
    <w:p w14:paraId="7526A370">
      <w:pPr>
        <w:snapToGrid w:val="0"/>
        <w:spacing w:line="380" w:lineRule="exact"/>
        <w:ind w:left="2" w:leftChars="1" w:firstLine="420" w:firstLineChars="200"/>
        <w:rPr>
          <w:rFonts w:ascii="宋体" w:hAnsi="宋体" w:cs="宋体"/>
          <w:bCs/>
          <w:color w:val="auto"/>
          <w:szCs w:val="21"/>
        </w:rPr>
      </w:pPr>
      <w:r>
        <w:rPr>
          <w:rFonts w:hint="eastAsia" w:ascii="宋体" w:hAnsi="宋体" w:cs="宋体"/>
          <w:bCs/>
          <w:color w:val="auto"/>
          <w:szCs w:val="21"/>
        </w:rPr>
        <w:t>单位负责人为同一人或者存在直接控股、管理关系的不同的供应商，不得参加同一合同项下的政府采购活动</w:t>
      </w:r>
      <w:r>
        <w:rPr>
          <w:rFonts w:hint="eastAsia" w:ascii="宋体" w:hAnsi="宋体" w:cs="宋体"/>
          <w:bCs/>
          <w:color w:val="auto"/>
          <w:szCs w:val="21"/>
          <w:lang w:eastAsia="zh-CN"/>
        </w:rPr>
        <w:t>。</w:t>
      </w:r>
    </w:p>
    <w:p w14:paraId="3271030B">
      <w:pPr>
        <w:pStyle w:val="4"/>
        <w:keepNext w:val="0"/>
        <w:keepLines w:val="0"/>
        <w:jc w:val="center"/>
        <w:rPr>
          <w:color w:val="auto"/>
        </w:rPr>
      </w:pPr>
      <w:bookmarkStart w:id="105" w:name="_Toc254970534"/>
      <w:bookmarkStart w:id="106" w:name="_Toc254970675"/>
      <w:r>
        <w:rPr>
          <w:rFonts w:hint="eastAsia"/>
          <w:color w:val="auto"/>
        </w:rPr>
        <w:t>二、招标文件</w:t>
      </w:r>
      <w:bookmarkEnd w:id="105"/>
      <w:bookmarkEnd w:id="106"/>
    </w:p>
    <w:p w14:paraId="025D2CDF">
      <w:pPr>
        <w:pStyle w:val="6"/>
        <w:keepNext w:val="0"/>
        <w:keepLines w:val="0"/>
        <w:spacing w:before="0" w:after="0" w:line="360" w:lineRule="auto"/>
        <w:ind w:left="420" w:leftChars="200"/>
        <w:rPr>
          <w:rFonts w:ascii="黑体" w:hAnsi="黑体" w:eastAsia="黑体"/>
          <w:color w:val="auto"/>
          <w:sz w:val="24"/>
        </w:rPr>
      </w:pPr>
      <w:r>
        <w:rPr>
          <w:rFonts w:hint="eastAsia" w:ascii="黑体" w:hAnsi="黑体" w:eastAsia="黑体"/>
          <w:color w:val="auto"/>
          <w:sz w:val="24"/>
        </w:rPr>
        <w:t>10.招标文件的组成</w:t>
      </w:r>
    </w:p>
    <w:p w14:paraId="5622DF1F">
      <w:pPr>
        <w:pStyle w:val="6"/>
        <w:keepNext w:val="0"/>
        <w:keepLines w:val="0"/>
        <w:spacing w:before="0" w:after="0" w:line="360" w:lineRule="auto"/>
        <w:ind w:left="420" w:leftChars="200"/>
        <w:rPr>
          <w:rFonts w:ascii="宋体" w:hAnsi="宋体"/>
          <w:b w:val="0"/>
          <w:color w:val="auto"/>
          <w:kern w:val="0"/>
          <w:sz w:val="21"/>
          <w:szCs w:val="21"/>
        </w:rPr>
      </w:pPr>
      <w:r>
        <w:rPr>
          <w:rFonts w:hint="eastAsia" w:ascii="宋体" w:hAnsi="宋体"/>
          <w:b w:val="0"/>
          <w:color w:val="auto"/>
          <w:kern w:val="0"/>
          <w:sz w:val="21"/>
          <w:szCs w:val="21"/>
        </w:rPr>
        <w:t>第一章 招标公告；</w:t>
      </w:r>
    </w:p>
    <w:p w14:paraId="70225C07">
      <w:pPr>
        <w:pStyle w:val="6"/>
        <w:keepNext w:val="0"/>
        <w:keepLines w:val="0"/>
        <w:spacing w:before="0" w:after="0" w:line="360" w:lineRule="auto"/>
        <w:ind w:left="420" w:leftChars="200"/>
        <w:rPr>
          <w:rFonts w:ascii="宋体" w:hAnsi="宋体"/>
          <w:b w:val="0"/>
          <w:color w:val="auto"/>
          <w:kern w:val="0"/>
          <w:sz w:val="21"/>
          <w:szCs w:val="21"/>
        </w:rPr>
      </w:pPr>
      <w:r>
        <w:rPr>
          <w:rFonts w:hint="eastAsia" w:ascii="宋体" w:hAnsi="宋体"/>
          <w:b w:val="0"/>
          <w:color w:val="auto"/>
          <w:kern w:val="0"/>
          <w:sz w:val="21"/>
          <w:szCs w:val="21"/>
        </w:rPr>
        <w:t xml:space="preserve">第二章 采购需求； </w:t>
      </w:r>
    </w:p>
    <w:p w14:paraId="69AFE79E">
      <w:pPr>
        <w:pStyle w:val="6"/>
        <w:keepNext w:val="0"/>
        <w:keepLines w:val="0"/>
        <w:spacing w:before="0" w:after="0" w:line="360" w:lineRule="auto"/>
        <w:ind w:left="420" w:leftChars="200"/>
        <w:rPr>
          <w:rFonts w:ascii="宋体" w:hAnsi="宋体"/>
          <w:b w:val="0"/>
          <w:color w:val="auto"/>
          <w:kern w:val="0"/>
          <w:sz w:val="21"/>
          <w:szCs w:val="21"/>
        </w:rPr>
      </w:pPr>
      <w:r>
        <w:rPr>
          <w:rFonts w:hint="eastAsia" w:ascii="宋体" w:hAnsi="宋体"/>
          <w:b w:val="0"/>
          <w:color w:val="auto"/>
          <w:kern w:val="0"/>
          <w:sz w:val="21"/>
          <w:szCs w:val="21"/>
        </w:rPr>
        <w:t>第三章 投标人须知；</w:t>
      </w:r>
    </w:p>
    <w:p w14:paraId="26EA208C">
      <w:pPr>
        <w:pStyle w:val="6"/>
        <w:keepNext w:val="0"/>
        <w:keepLines w:val="0"/>
        <w:spacing w:before="0" w:after="0" w:line="360" w:lineRule="auto"/>
        <w:ind w:left="420" w:leftChars="200"/>
        <w:rPr>
          <w:rFonts w:ascii="宋体" w:hAnsi="宋体"/>
          <w:b w:val="0"/>
          <w:color w:val="auto"/>
          <w:kern w:val="0"/>
          <w:sz w:val="21"/>
          <w:szCs w:val="21"/>
        </w:rPr>
      </w:pPr>
      <w:r>
        <w:rPr>
          <w:rFonts w:hint="eastAsia" w:ascii="宋体" w:hAnsi="宋体"/>
          <w:b w:val="0"/>
          <w:color w:val="auto"/>
          <w:kern w:val="0"/>
          <w:sz w:val="21"/>
          <w:szCs w:val="21"/>
        </w:rPr>
        <w:t>第四章 评标方法及评标标准；</w:t>
      </w:r>
    </w:p>
    <w:p w14:paraId="02C1B5D5">
      <w:pPr>
        <w:pStyle w:val="6"/>
        <w:keepNext w:val="0"/>
        <w:keepLines w:val="0"/>
        <w:spacing w:before="0" w:after="0" w:line="360" w:lineRule="auto"/>
        <w:ind w:left="420" w:leftChars="200"/>
        <w:rPr>
          <w:rFonts w:ascii="宋体" w:hAnsi="宋体"/>
          <w:b w:val="0"/>
          <w:color w:val="auto"/>
          <w:kern w:val="0"/>
          <w:sz w:val="21"/>
          <w:szCs w:val="21"/>
        </w:rPr>
      </w:pPr>
      <w:r>
        <w:rPr>
          <w:rFonts w:hint="eastAsia" w:ascii="宋体" w:hAnsi="宋体"/>
          <w:b w:val="0"/>
          <w:color w:val="auto"/>
          <w:kern w:val="0"/>
          <w:sz w:val="21"/>
          <w:szCs w:val="21"/>
        </w:rPr>
        <w:t>第五章 拟签订的合同文本；</w:t>
      </w:r>
    </w:p>
    <w:p w14:paraId="2699FC8E">
      <w:pPr>
        <w:pStyle w:val="6"/>
        <w:keepNext w:val="0"/>
        <w:keepLines w:val="0"/>
        <w:spacing w:before="0" w:after="0" w:line="360" w:lineRule="auto"/>
        <w:ind w:left="420" w:leftChars="200"/>
        <w:rPr>
          <w:rFonts w:ascii="宋体" w:hAnsi="宋体"/>
          <w:b w:val="0"/>
          <w:color w:val="auto"/>
          <w:kern w:val="0"/>
          <w:sz w:val="21"/>
          <w:szCs w:val="21"/>
        </w:rPr>
      </w:pPr>
      <w:r>
        <w:rPr>
          <w:rFonts w:hint="eastAsia" w:ascii="宋体" w:hAnsi="宋体"/>
          <w:b w:val="0"/>
          <w:color w:val="auto"/>
          <w:kern w:val="0"/>
          <w:sz w:val="21"/>
          <w:szCs w:val="21"/>
        </w:rPr>
        <w:t>第六章 投标文件格式；</w:t>
      </w:r>
    </w:p>
    <w:p w14:paraId="62671A15">
      <w:pPr>
        <w:pStyle w:val="6"/>
        <w:keepNext w:val="0"/>
        <w:keepLines w:val="0"/>
        <w:spacing w:before="0" w:after="0" w:line="360" w:lineRule="auto"/>
        <w:ind w:left="420" w:leftChars="200"/>
        <w:rPr>
          <w:rFonts w:ascii="宋体" w:hAnsi="宋体"/>
          <w:b w:val="0"/>
          <w:color w:val="auto"/>
          <w:kern w:val="0"/>
          <w:sz w:val="21"/>
          <w:szCs w:val="21"/>
        </w:rPr>
      </w:pPr>
      <w:r>
        <w:rPr>
          <w:rFonts w:hint="eastAsia" w:ascii="宋体" w:hAnsi="宋体"/>
          <w:b w:val="0"/>
          <w:color w:val="auto"/>
          <w:kern w:val="0"/>
          <w:sz w:val="21"/>
          <w:szCs w:val="21"/>
        </w:rPr>
        <w:t>第七章 其他文书、文件格式</w:t>
      </w:r>
    </w:p>
    <w:p w14:paraId="497BF474">
      <w:pPr>
        <w:pStyle w:val="6"/>
        <w:keepNext w:val="0"/>
        <w:keepLines w:val="0"/>
        <w:spacing w:before="0" w:after="0" w:line="360" w:lineRule="auto"/>
        <w:ind w:firstLine="420" w:firstLineChars="200"/>
        <w:rPr>
          <w:rFonts w:ascii="宋体" w:hAnsi="宋体"/>
          <w:b w:val="0"/>
          <w:color w:val="auto"/>
          <w:kern w:val="0"/>
          <w:sz w:val="21"/>
          <w:szCs w:val="21"/>
        </w:rPr>
      </w:pPr>
      <w:r>
        <w:rPr>
          <w:rFonts w:hint="eastAsia" w:ascii="宋体" w:hAnsi="宋体"/>
          <w:b w:val="0"/>
          <w:color w:val="auto"/>
          <w:kern w:val="0"/>
          <w:sz w:val="21"/>
          <w:szCs w:val="21"/>
        </w:rPr>
        <w:t>根据本章第11.1项的规定对公开招标文件所做的澄清、修改，构成招标文件的组成部分。当公开招标文件与招标文件的澄清和修改就同一内容的表述不一致时，以最后澄清或修改公告为准</w:t>
      </w:r>
      <w:r>
        <w:rPr>
          <w:rFonts w:hint="eastAsia" w:ascii="宋体" w:hAnsi="宋体"/>
          <w:b w:val="0"/>
          <w:color w:val="auto"/>
          <w:kern w:val="0"/>
          <w:sz w:val="21"/>
          <w:szCs w:val="21"/>
          <w:lang w:eastAsia="zh-CN"/>
        </w:rPr>
        <w:t>。</w:t>
      </w:r>
    </w:p>
    <w:p w14:paraId="5B4D24A9">
      <w:pPr>
        <w:pStyle w:val="7"/>
        <w:rPr>
          <w:color w:val="auto"/>
        </w:rPr>
      </w:pPr>
    </w:p>
    <w:p w14:paraId="6994A0DC">
      <w:pPr>
        <w:pStyle w:val="6"/>
        <w:keepNext w:val="0"/>
        <w:keepLines w:val="0"/>
        <w:spacing w:before="0" w:after="0" w:line="360" w:lineRule="auto"/>
        <w:ind w:left="420" w:leftChars="200"/>
        <w:rPr>
          <w:rFonts w:ascii="黑体" w:hAnsi="黑体" w:eastAsia="黑体"/>
          <w:color w:val="auto"/>
          <w:sz w:val="24"/>
        </w:rPr>
      </w:pPr>
      <w:r>
        <w:rPr>
          <w:rFonts w:hint="eastAsia" w:ascii="黑体" w:hAnsi="黑体" w:eastAsia="黑体"/>
          <w:color w:val="auto"/>
          <w:sz w:val="24"/>
        </w:rPr>
        <w:t>11.招标文件的澄清、修改 、现场考察和答疑会</w:t>
      </w:r>
    </w:p>
    <w:p w14:paraId="6F8C90AC">
      <w:pPr>
        <w:pStyle w:val="6"/>
        <w:keepNext w:val="0"/>
        <w:keepLines w:val="0"/>
        <w:spacing w:before="0" w:after="0" w:line="360" w:lineRule="auto"/>
        <w:ind w:firstLine="315" w:firstLineChars="150"/>
        <w:rPr>
          <w:rFonts w:ascii="宋体" w:hAnsi="宋体"/>
          <w:b w:val="0"/>
          <w:color w:val="auto"/>
          <w:sz w:val="21"/>
          <w:szCs w:val="21"/>
        </w:rPr>
      </w:pPr>
      <w:r>
        <w:rPr>
          <w:rFonts w:hint="eastAsia" w:ascii="宋体" w:hAnsi="宋体"/>
          <w:b w:val="0"/>
          <w:color w:val="auto"/>
          <w:sz w:val="21"/>
          <w:szCs w:val="21"/>
        </w:rPr>
        <w:t>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6E4B5212">
      <w:pPr>
        <w:spacing w:line="360" w:lineRule="auto"/>
        <w:ind w:firstLine="420" w:firstLineChars="200"/>
        <w:rPr>
          <w:color w:val="auto"/>
        </w:rPr>
      </w:pPr>
      <w:r>
        <w:rPr>
          <w:rFonts w:hint="eastAsia" w:ascii="宋体" w:hAnsi="宋体" w:cs="宋体"/>
          <w:color w:val="auto"/>
          <w:szCs w:val="21"/>
        </w:rPr>
        <w:t>11.2投标人应认真审阅本公开招标文件，如有疑问，或发现其中有误或有要求不合理的，应在投标人须知前附表规定的</w:t>
      </w:r>
      <w:r>
        <w:rPr>
          <w:rFonts w:hint="eastAsia" w:ascii="宋体" w:hAnsi="宋体" w:cs="宋体"/>
          <w:color w:val="auto"/>
          <w:kern w:val="0"/>
          <w:szCs w:val="21"/>
        </w:rPr>
        <w:t>投标截止时间</w:t>
      </w:r>
      <w:r>
        <w:rPr>
          <w:rFonts w:hint="eastAsia" w:ascii="宋体" w:hAnsi="宋体" w:cs="宋体"/>
          <w:color w:val="auto"/>
          <w:szCs w:val="21"/>
        </w:rPr>
        <w:t>前以书面形式要求采购人或采购代理机构对招标文件予以澄清；否则，由此产生的后果由投标人自行负责。</w:t>
      </w:r>
    </w:p>
    <w:p w14:paraId="58F1DD7C">
      <w:pPr>
        <w:pStyle w:val="15"/>
        <w:snapToGrid w:val="0"/>
        <w:spacing w:line="360" w:lineRule="auto"/>
        <w:ind w:firstLine="420" w:firstLineChars="200"/>
        <w:rPr>
          <w:rFonts w:hAnsi="宋体"/>
          <w:color w:val="auto"/>
          <w:sz w:val="21"/>
        </w:rPr>
      </w:pPr>
      <w:r>
        <w:rPr>
          <w:rFonts w:hint="eastAsia" w:hAnsi="宋体"/>
          <w:color w:val="auto"/>
          <w:sz w:val="21"/>
        </w:rPr>
        <w:t>11.3澄清或者修改的内容可能影响投标文件编制的，采购人或者采购代理机构应当在投标截止时间至少15日前，以书面形式通知</w:t>
      </w:r>
      <w:r>
        <w:rPr>
          <w:rFonts w:hint="eastAsia" w:hAnsi="宋体" w:cs="宋体"/>
          <w:color w:val="auto"/>
          <w:sz w:val="21"/>
        </w:rPr>
        <w:t>(在“招标公告”规定信息发布媒体上发布更正公告)</w:t>
      </w:r>
      <w:r>
        <w:rPr>
          <w:rFonts w:hint="eastAsia" w:hAnsi="宋体"/>
          <w:color w:val="auto"/>
          <w:sz w:val="21"/>
        </w:rPr>
        <w:t>所有获取招标文件的潜在投标人；不足15日的，采购人或者采购代理机构应当顺延提交投标文件的截止时间。</w:t>
      </w:r>
    </w:p>
    <w:p w14:paraId="5A6CE4DA">
      <w:pPr>
        <w:pStyle w:val="15"/>
        <w:snapToGrid w:val="0"/>
        <w:spacing w:line="360" w:lineRule="auto"/>
        <w:ind w:firstLine="420" w:firstLineChars="200"/>
        <w:rPr>
          <w:rFonts w:hAnsi="宋体"/>
          <w:color w:val="auto"/>
          <w:sz w:val="21"/>
        </w:rPr>
      </w:pPr>
      <w:r>
        <w:rPr>
          <w:rFonts w:hint="eastAsia" w:hAnsi="宋体"/>
          <w:color w:val="auto"/>
          <w:sz w:val="21"/>
        </w:rPr>
        <w:t>1</w:t>
      </w:r>
      <w:r>
        <w:rPr>
          <w:rFonts w:hAnsi="宋体"/>
          <w:color w:val="auto"/>
          <w:sz w:val="21"/>
        </w:rPr>
        <w:t>1.</w:t>
      </w:r>
      <w:bookmarkStart w:id="107" w:name="_Hlk53134511"/>
      <w:r>
        <w:rPr>
          <w:rFonts w:hint="eastAsia" w:hAnsi="宋体"/>
          <w:color w:val="auto"/>
          <w:sz w:val="21"/>
        </w:rPr>
        <w:t>4采购人或者采购代理机构可以在招标文件提供期限截止后，组织已获取招标文件的潜在投标人现场考察或者召开开标前答疑会，具体详见“投标人须知前附表”。</w:t>
      </w:r>
    </w:p>
    <w:bookmarkEnd w:id="107"/>
    <w:p w14:paraId="63347B7B">
      <w:pPr>
        <w:pStyle w:val="4"/>
        <w:keepNext w:val="0"/>
        <w:keepLines w:val="0"/>
        <w:jc w:val="center"/>
        <w:rPr>
          <w:color w:val="auto"/>
        </w:rPr>
      </w:pPr>
      <w:bookmarkStart w:id="108" w:name="_Toc254970535"/>
      <w:bookmarkStart w:id="109" w:name="_Toc254970676"/>
      <w:r>
        <w:rPr>
          <w:rFonts w:hint="eastAsia"/>
          <w:color w:val="auto"/>
        </w:rPr>
        <w:t>三、投标文件的编制</w:t>
      </w:r>
      <w:bookmarkEnd w:id="108"/>
      <w:bookmarkEnd w:id="109"/>
    </w:p>
    <w:p w14:paraId="2075D791">
      <w:pPr>
        <w:pStyle w:val="6"/>
        <w:keepNext w:val="0"/>
        <w:keepLines w:val="0"/>
        <w:spacing w:before="0" w:after="0" w:line="360" w:lineRule="auto"/>
        <w:ind w:left="420" w:leftChars="200"/>
        <w:rPr>
          <w:rFonts w:ascii="黑体" w:hAnsi="黑体" w:eastAsia="黑体"/>
          <w:color w:val="auto"/>
          <w:sz w:val="24"/>
        </w:rPr>
      </w:pPr>
      <w:bookmarkStart w:id="110" w:name="_Toc254970677"/>
      <w:bookmarkStart w:id="111" w:name="_Toc254970536"/>
      <w:r>
        <w:rPr>
          <w:rFonts w:hint="eastAsia" w:ascii="黑体" w:hAnsi="黑体" w:eastAsia="黑体"/>
          <w:color w:val="auto"/>
          <w:sz w:val="24"/>
        </w:rPr>
        <w:t>12.投标文件的编制原则</w:t>
      </w:r>
    </w:p>
    <w:p w14:paraId="517C4471">
      <w:pPr>
        <w:snapToGrid w:val="0"/>
        <w:spacing w:line="360" w:lineRule="auto"/>
        <w:ind w:firstLine="420"/>
        <w:jc w:val="left"/>
        <w:rPr>
          <w:rFonts w:ascii="宋体" w:hAnsi="宋体" w:cs="Courier New"/>
          <w:color w:val="auto"/>
          <w:szCs w:val="21"/>
        </w:rPr>
      </w:pPr>
      <w:r>
        <w:rPr>
          <w:rFonts w:ascii="宋体" w:hAnsi="宋体"/>
          <w:color w:val="auto"/>
          <w:szCs w:val="21"/>
        </w:rPr>
        <w:t>投标人必须按照招标文件的要求编制投标文件。投标文件必须对招标文件提出的要求和条件作出明确响应。</w:t>
      </w:r>
    </w:p>
    <w:p w14:paraId="5B56ED24">
      <w:pPr>
        <w:pStyle w:val="6"/>
        <w:keepNext w:val="0"/>
        <w:keepLines w:val="0"/>
        <w:spacing w:before="0" w:after="0" w:line="360" w:lineRule="auto"/>
        <w:ind w:left="420" w:leftChars="200"/>
        <w:rPr>
          <w:rFonts w:ascii="黑体" w:hAnsi="黑体" w:eastAsia="黑体"/>
          <w:color w:val="auto"/>
          <w:sz w:val="24"/>
        </w:rPr>
      </w:pPr>
      <w:r>
        <w:rPr>
          <w:rFonts w:hint="eastAsia" w:ascii="黑体" w:hAnsi="黑体" w:eastAsia="黑体"/>
          <w:color w:val="auto"/>
          <w:sz w:val="24"/>
        </w:rPr>
        <w:t>13.投标文件的组成</w:t>
      </w:r>
      <w:bookmarkEnd w:id="110"/>
      <w:bookmarkEnd w:id="111"/>
    </w:p>
    <w:p w14:paraId="01DEBD34">
      <w:pPr>
        <w:snapToGrid w:val="0"/>
        <w:spacing w:line="360" w:lineRule="auto"/>
        <w:ind w:firstLine="420" w:firstLineChars="200"/>
        <w:jc w:val="left"/>
        <w:rPr>
          <w:rFonts w:ascii="宋体" w:hAnsi="宋体"/>
          <w:color w:val="auto"/>
          <w:szCs w:val="21"/>
        </w:rPr>
      </w:pPr>
      <w:r>
        <w:rPr>
          <w:rFonts w:hint="eastAsia" w:ascii="宋体" w:hAnsi="宋体"/>
          <w:color w:val="auto"/>
          <w:szCs w:val="21"/>
        </w:rPr>
        <w:t>1</w:t>
      </w:r>
      <w:r>
        <w:rPr>
          <w:rFonts w:ascii="宋体" w:hAnsi="宋体"/>
          <w:color w:val="auto"/>
          <w:szCs w:val="21"/>
        </w:rPr>
        <w:t>3.1</w:t>
      </w:r>
      <w:r>
        <w:rPr>
          <w:rFonts w:hint="eastAsia" w:ascii="宋体" w:hAnsi="宋体"/>
          <w:color w:val="auto"/>
          <w:szCs w:val="21"/>
        </w:rPr>
        <w:t>投标文件由报价文件、资格证明文件、商务文件、技术文件四部分组成。</w:t>
      </w:r>
    </w:p>
    <w:p w14:paraId="13702F73">
      <w:pPr>
        <w:pStyle w:val="6"/>
        <w:keepNext w:val="0"/>
        <w:keepLines w:val="0"/>
        <w:spacing w:before="0" w:after="0" w:line="360" w:lineRule="auto"/>
        <w:ind w:left="420" w:leftChars="200"/>
        <w:rPr>
          <w:rFonts w:ascii="宋体" w:hAnsi="宋体"/>
          <w:b w:val="0"/>
          <w:color w:val="auto"/>
          <w:sz w:val="21"/>
          <w:szCs w:val="21"/>
        </w:rPr>
      </w:pPr>
      <w:bookmarkStart w:id="112" w:name="_13.1报价文件:_具体材料见“投标人须知前附表”。"/>
      <w:bookmarkEnd w:id="112"/>
      <w:r>
        <w:rPr>
          <w:rFonts w:hint="eastAsia" w:ascii="宋体" w:hAnsi="宋体"/>
          <w:b w:val="0"/>
          <w:color w:val="auto"/>
          <w:sz w:val="21"/>
          <w:szCs w:val="21"/>
        </w:rPr>
        <w:t>（1）报价文件：</w:t>
      </w:r>
      <w:r>
        <w:rPr>
          <w:rFonts w:ascii="宋体" w:hAnsi="宋体"/>
          <w:b w:val="0"/>
          <w:color w:val="auto"/>
          <w:sz w:val="21"/>
          <w:szCs w:val="21"/>
        </w:rPr>
        <w:t>具体材料见“投标人须知前附表”</w:t>
      </w:r>
      <w:r>
        <w:rPr>
          <w:rFonts w:hint="eastAsia" w:ascii="宋体" w:hAnsi="宋体"/>
          <w:b w:val="0"/>
          <w:color w:val="auto"/>
          <w:sz w:val="21"/>
          <w:szCs w:val="21"/>
        </w:rPr>
        <w:t>。</w:t>
      </w:r>
    </w:p>
    <w:p w14:paraId="727F60D5">
      <w:pPr>
        <w:pStyle w:val="6"/>
        <w:keepNext w:val="0"/>
        <w:keepLines w:val="0"/>
        <w:spacing w:before="0" w:after="0" w:line="360" w:lineRule="auto"/>
        <w:ind w:left="420" w:leftChars="200"/>
        <w:rPr>
          <w:rFonts w:ascii="宋体" w:hAnsi="宋体"/>
          <w:b w:val="0"/>
          <w:color w:val="auto"/>
          <w:sz w:val="21"/>
          <w:szCs w:val="21"/>
        </w:rPr>
      </w:pPr>
      <w:bookmarkStart w:id="113" w:name="_13.2资格证明文件：具体材料见“投标人须知前附表”。"/>
      <w:bookmarkEnd w:id="113"/>
      <w:r>
        <w:rPr>
          <w:rFonts w:hint="eastAsia" w:ascii="宋体" w:hAnsi="宋体"/>
          <w:b w:val="0"/>
          <w:color w:val="auto"/>
          <w:sz w:val="21"/>
          <w:szCs w:val="21"/>
        </w:rPr>
        <w:t>（</w:t>
      </w:r>
      <w:r>
        <w:rPr>
          <w:rFonts w:ascii="宋体" w:hAnsi="宋体"/>
          <w:b w:val="0"/>
          <w:color w:val="auto"/>
          <w:sz w:val="21"/>
          <w:szCs w:val="21"/>
        </w:rPr>
        <w:t>2</w:t>
      </w:r>
      <w:r>
        <w:rPr>
          <w:rFonts w:hint="eastAsia" w:ascii="宋体" w:hAnsi="宋体"/>
          <w:b w:val="0"/>
          <w:color w:val="auto"/>
          <w:sz w:val="21"/>
          <w:szCs w:val="21"/>
        </w:rPr>
        <w:t>）资格证明文件：</w:t>
      </w:r>
      <w:r>
        <w:rPr>
          <w:rFonts w:ascii="宋体" w:hAnsi="宋体"/>
          <w:b w:val="0"/>
          <w:color w:val="auto"/>
          <w:sz w:val="21"/>
          <w:szCs w:val="21"/>
        </w:rPr>
        <w:t>具体材料见“投标人须知前附表”</w:t>
      </w:r>
      <w:r>
        <w:rPr>
          <w:rFonts w:hint="eastAsia" w:ascii="宋体" w:hAnsi="宋体"/>
          <w:b w:val="0"/>
          <w:color w:val="auto"/>
          <w:sz w:val="21"/>
          <w:szCs w:val="21"/>
        </w:rPr>
        <w:t>。</w:t>
      </w:r>
    </w:p>
    <w:p w14:paraId="385BAEF0">
      <w:pPr>
        <w:pStyle w:val="6"/>
        <w:keepNext w:val="0"/>
        <w:keepLines w:val="0"/>
        <w:spacing w:before="0" w:after="0" w:line="360" w:lineRule="auto"/>
        <w:ind w:left="420" w:leftChars="200"/>
        <w:rPr>
          <w:rFonts w:ascii="宋体" w:hAnsi="宋体"/>
          <w:b w:val="0"/>
          <w:color w:val="auto"/>
          <w:sz w:val="21"/>
          <w:szCs w:val="21"/>
        </w:rPr>
      </w:pPr>
      <w:bookmarkStart w:id="114" w:name="_13.3商务文件:_具体材料见“投标人须知前附表”。"/>
      <w:bookmarkEnd w:id="114"/>
      <w:r>
        <w:rPr>
          <w:rFonts w:hint="eastAsia" w:ascii="宋体" w:hAnsi="宋体"/>
          <w:b w:val="0"/>
          <w:color w:val="auto"/>
          <w:sz w:val="21"/>
          <w:szCs w:val="21"/>
        </w:rPr>
        <w:t>（</w:t>
      </w:r>
      <w:r>
        <w:rPr>
          <w:rFonts w:ascii="宋体" w:hAnsi="宋体"/>
          <w:b w:val="0"/>
          <w:color w:val="auto"/>
          <w:sz w:val="21"/>
          <w:szCs w:val="21"/>
        </w:rPr>
        <w:t>3</w:t>
      </w:r>
      <w:r>
        <w:rPr>
          <w:rFonts w:hint="eastAsia" w:ascii="宋体" w:hAnsi="宋体"/>
          <w:b w:val="0"/>
          <w:color w:val="auto"/>
          <w:sz w:val="21"/>
          <w:szCs w:val="21"/>
        </w:rPr>
        <w:t>）商务</w:t>
      </w:r>
      <w:r>
        <w:rPr>
          <w:rFonts w:hint="eastAsia" w:ascii="宋体" w:hAnsi="宋体"/>
          <w:b w:val="0"/>
          <w:color w:val="auto"/>
          <w:sz w:val="21"/>
          <w:szCs w:val="21"/>
          <w:lang w:val="en-US" w:eastAsia="zh-CN"/>
        </w:rPr>
        <w:t>技术</w:t>
      </w:r>
      <w:r>
        <w:rPr>
          <w:rFonts w:hint="eastAsia" w:ascii="宋体" w:hAnsi="宋体"/>
          <w:b w:val="0"/>
          <w:color w:val="auto"/>
          <w:sz w:val="21"/>
          <w:szCs w:val="21"/>
        </w:rPr>
        <w:t>文件：</w:t>
      </w:r>
      <w:r>
        <w:rPr>
          <w:rFonts w:ascii="宋体" w:hAnsi="宋体"/>
          <w:b w:val="0"/>
          <w:color w:val="auto"/>
          <w:sz w:val="21"/>
          <w:szCs w:val="21"/>
        </w:rPr>
        <w:t>具体材料见“投标人须知前附表”</w:t>
      </w:r>
      <w:r>
        <w:rPr>
          <w:rFonts w:hint="eastAsia" w:ascii="宋体" w:hAnsi="宋体"/>
          <w:b w:val="0"/>
          <w:color w:val="auto"/>
          <w:sz w:val="21"/>
          <w:szCs w:val="21"/>
        </w:rPr>
        <w:t>。</w:t>
      </w:r>
    </w:p>
    <w:p w14:paraId="5280A214">
      <w:pPr>
        <w:pStyle w:val="6"/>
        <w:keepNext w:val="0"/>
        <w:keepLines w:val="0"/>
        <w:spacing w:before="0" w:after="0" w:line="360" w:lineRule="auto"/>
        <w:ind w:left="420" w:leftChars="200"/>
        <w:rPr>
          <w:rFonts w:ascii="宋体" w:hAnsi="宋体"/>
          <w:b w:val="0"/>
          <w:color w:val="auto"/>
          <w:sz w:val="21"/>
          <w:szCs w:val="21"/>
        </w:rPr>
      </w:pPr>
      <w:bookmarkStart w:id="115" w:name="_13.4技术文件：具体材料见“投标人须知前附表”。"/>
      <w:bookmarkEnd w:id="115"/>
      <w:bookmarkStart w:id="116" w:name="_13.5投标文件电子版：具体材料见“投标人须知前附表”。"/>
      <w:bookmarkEnd w:id="116"/>
      <w:r>
        <w:rPr>
          <w:rFonts w:hint="eastAsia" w:ascii="宋体" w:hAnsi="宋体"/>
          <w:b w:val="0"/>
          <w:color w:val="auto"/>
          <w:sz w:val="21"/>
          <w:szCs w:val="21"/>
        </w:rPr>
        <w:t>13.</w:t>
      </w:r>
      <w:r>
        <w:rPr>
          <w:rFonts w:ascii="宋体" w:hAnsi="宋体"/>
          <w:b w:val="0"/>
          <w:color w:val="auto"/>
          <w:sz w:val="21"/>
          <w:szCs w:val="21"/>
        </w:rPr>
        <w:t>2</w:t>
      </w:r>
      <w:r>
        <w:rPr>
          <w:rFonts w:hint="eastAsia" w:ascii="宋体" w:hAnsi="宋体"/>
          <w:b w:val="0"/>
          <w:color w:val="auto"/>
          <w:sz w:val="21"/>
          <w:szCs w:val="21"/>
        </w:rPr>
        <w:t>投标文件电子版：具体要求见本节19.投标文件编制。</w:t>
      </w:r>
    </w:p>
    <w:p w14:paraId="240A6ED3">
      <w:pPr>
        <w:pStyle w:val="6"/>
        <w:keepNext w:val="0"/>
        <w:keepLines w:val="0"/>
        <w:spacing w:before="0" w:after="0" w:line="360" w:lineRule="auto"/>
        <w:ind w:left="420" w:leftChars="200"/>
        <w:rPr>
          <w:rFonts w:ascii="黑体" w:hAnsi="黑体" w:eastAsia="黑体"/>
          <w:color w:val="auto"/>
          <w:sz w:val="24"/>
        </w:rPr>
      </w:pPr>
      <w:bookmarkStart w:id="117" w:name="_Toc254970537"/>
      <w:bookmarkStart w:id="118" w:name="_Toc254970678"/>
      <w:r>
        <w:rPr>
          <w:rFonts w:hint="eastAsia" w:ascii="黑体" w:hAnsi="黑体" w:eastAsia="黑体"/>
          <w:color w:val="auto"/>
          <w:sz w:val="24"/>
        </w:rPr>
        <w:t>14.投标文件的语言及计量</w:t>
      </w:r>
      <w:bookmarkEnd w:id="117"/>
      <w:bookmarkEnd w:id="118"/>
    </w:p>
    <w:p w14:paraId="358F999D">
      <w:pPr>
        <w:pStyle w:val="6"/>
        <w:keepNext w:val="0"/>
        <w:keepLines w:val="0"/>
        <w:spacing w:before="0" w:after="0" w:line="360" w:lineRule="auto"/>
        <w:ind w:left="420" w:leftChars="200"/>
        <w:rPr>
          <w:rFonts w:ascii="宋体" w:hAnsi="宋体"/>
          <w:b w:val="0"/>
          <w:color w:val="auto"/>
          <w:sz w:val="21"/>
          <w:szCs w:val="21"/>
        </w:rPr>
      </w:pPr>
      <w:r>
        <w:rPr>
          <w:rFonts w:hint="eastAsia" w:ascii="宋体" w:hAnsi="宋体"/>
          <w:b w:val="0"/>
          <w:color w:val="auto"/>
          <w:sz w:val="21"/>
          <w:szCs w:val="21"/>
        </w:rPr>
        <w:t>14.1语言文字</w:t>
      </w:r>
    </w:p>
    <w:p w14:paraId="5B0DEC88">
      <w:pPr>
        <w:pStyle w:val="6"/>
        <w:keepNext w:val="0"/>
        <w:keepLines w:val="0"/>
        <w:spacing w:before="0" w:after="0" w:line="360" w:lineRule="auto"/>
        <w:ind w:firstLine="420" w:firstLineChars="200"/>
        <w:rPr>
          <w:rFonts w:ascii="宋体" w:hAnsi="宋体"/>
          <w:b w:val="0"/>
          <w:color w:val="auto"/>
          <w:sz w:val="21"/>
          <w:szCs w:val="21"/>
        </w:rPr>
      </w:pPr>
      <w:r>
        <w:rPr>
          <w:rFonts w:hint="eastAsia" w:ascii="宋体" w:hAnsi="宋体"/>
          <w:b w:val="0"/>
          <w:color w:val="auto"/>
          <w:sz w:val="21"/>
          <w:szCs w:val="21"/>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294349D4">
      <w:pPr>
        <w:pStyle w:val="6"/>
        <w:keepNext w:val="0"/>
        <w:keepLines w:val="0"/>
        <w:spacing w:before="0" w:after="0" w:line="360" w:lineRule="auto"/>
        <w:ind w:firstLine="420" w:firstLineChars="200"/>
        <w:rPr>
          <w:rFonts w:ascii="宋体" w:hAnsi="宋体"/>
          <w:b w:val="0"/>
          <w:color w:val="auto"/>
          <w:sz w:val="21"/>
          <w:szCs w:val="21"/>
        </w:rPr>
      </w:pPr>
      <w:r>
        <w:rPr>
          <w:rFonts w:hint="eastAsia" w:ascii="宋体" w:hAnsi="宋体"/>
          <w:b w:val="0"/>
          <w:color w:val="auto"/>
          <w:sz w:val="21"/>
          <w:szCs w:val="21"/>
        </w:rPr>
        <w:t>14.2投标计量单位</w:t>
      </w:r>
    </w:p>
    <w:p w14:paraId="063D57E7">
      <w:pPr>
        <w:pStyle w:val="6"/>
        <w:keepNext w:val="0"/>
        <w:keepLines w:val="0"/>
        <w:spacing w:before="0" w:after="0" w:line="360" w:lineRule="auto"/>
        <w:ind w:firstLine="420" w:firstLineChars="200"/>
        <w:rPr>
          <w:rFonts w:ascii="宋体" w:hAnsi="宋体"/>
          <w:b w:val="0"/>
          <w:color w:val="auto"/>
          <w:sz w:val="21"/>
          <w:szCs w:val="21"/>
        </w:rPr>
      </w:pPr>
      <w:r>
        <w:rPr>
          <w:rFonts w:hint="eastAsia" w:ascii="宋体" w:hAnsi="宋体"/>
          <w:b w:val="0"/>
          <w:color w:val="auto"/>
          <w:sz w:val="21"/>
          <w:szCs w:val="21"/>
        </w:rPr>
        <w:t>招标文件已有明确规定的，使用招标文件规定的计量单位；招标文件没有规定的，应采用中华人民共和国法定计量单位，货币种类为人民币，否则视同未响应。</w:t>
      </w:r>
    </w:p>
    <w:p w14:paraId="0EA33DF4">
      <w:pPr>
        <w:pStyle w:val="6"/>
        <w:keepNext w:val="0"/>
        <w:keepLines w:val="0"/>
        <w:spacing w:before="0" w:after="0" w:line="360" w:lineRule="auto"/>
        <w:ind w:left="420" w:leftChars="200"/>
        <w:rPr>
          <w:rFonts w:ascii="黑体" w:hAnsi="黑体" w:eastAsia="黑体"/>
          <w:color w:val="auto"/>
          <w:sz w:val="24"/>
        </w:rPr>
      </w:pPr>
      <w:r>
        <w:rPr>
          <w:rFonts w:hint="eastAsia" w:ascii="黑体" w:hAnsi="黑体" w:eastAsia="黑体"/>
          <w:color w:val="auto"/>
          <w:sz w:val="24"/>
        </w:rPr>
        <w:t>15.投标文件提交的风险</w:t>
      </w:r>
    </w:p>
    <w:p w14:paraId="3FDC8973">
      <w:pPr>
        <w:pStyle w:val="15"/>
        <w:snapToGrid w:val="0"/>
        <w:spacing w:line="360" w:lineRule="auto"/>
        <w:ind w:firstLine="420" w:firstLineChars="200"/>
        <w:jc w:val="left"/>
        <w:rPr>
          <w:rFonts w:hAnsi="宋体"/>
          <w:color w:val="auto"/>
          <w:sz w:val="21"/>
        </w:rPr>
      </w:pPr>
      <w:r>
        <w:rPr>
          <w:rFonts w:hint="eastAsia" w:hAnsi="宋体"/>
          <w:color w:val="auto"/>
          <w:sz w:val="21"/>
        </w:rPr>
        <w:t>投标文件分为资格文件、商务文件、技术文件、报价文件四部分（其中：商务文件与技术文件合并编辑成一个电子文档）。各投标人在编制投标文件时请按照招标文件规定的编排格式进行，不按要求提交齐全的文件、混乱的编排导致投标文件被误读或评标委员会查找不到有效文件是造成投标人投标文件无效的风险。</w:t>
      </w:r>
      <w:r>
        <w:rPr>
          <w:rFonts w:hint="eastAsia" w:hAnsi="宋体"/>
          <w:b/>
          <w:bCs/>
          <w:color w:val="auto"/>
          <w:sz w:val="21"/>
        </w:rPr>
        <w:t>投标文件内容不齐全、未按规定的文件格式编制的、没有对招标文件作出实质性响应，投标无效</w:t>
      </w:r>
      <w:r>
        <w:rPr>
          <w:rFonts w:hint="eastAsia" w:hAnsi="宋体"/>
          <w:color w:val="auto"/>
          <w:sz w:val="21"/>
        </w:rPr>
        <w:t>。</w:t>
      </w:r>
    </w:p>
    <w:p w14:paraId="7A8E7D27">
      <w:pPr>
        <w:pStyle w:val="6"/>
        <w:keepNext w:val="0"/>
        <w:keepLines w:val="0"/>
        <w:spacing w:before="0" w:after="0" w:line="360" w:lineRule="auto"/>
        <w:ind w:left="420" w:leftChars="200"/>
        <w:rPr>
          <w:rFonts w:ascii="黑体" w:hAnsi="黑体" w:eastAsia="黑体"/>
          <w:color w:val="auto"/>
          <w:sz w:val="24"/>
        </w:rPr>
      </w:pPr>
      <w:bookmarkStart w:id="119" w:name="_Toc254970538"/>
      <w:bookmarkStart w:id="120" w:name="_Toc254970679"/>
      <w:r>
        <w:rPr>
          <w:rFonts w:hint="eastAsia" w:ascii="黑体" w:hAnsi="黑体" w:eastAsia="黑体"/>
          <w:color w:val="auto"/>
          <w:sz w:val="24"/>
        </w:rPr>
        <w:t>16.投标报价</w:t>
      </w:r>
      <w:bookmarkEnd w:id="119"/>
      <w:bookmarkEnd w:id="120"/>
    </w:p>
    <w:p w14:paraId="3698D9D2">
      <w:pPr>
        <w:pStyle w:val="6"/>
        <w:keepNext w:val="0"/>
        <w:keepLines w:val="0"/>
        <w:spacing w:before="0" w:after="0" w:line="360" w:lineRule="auto"/>
        <w:ind w:left="420" w:leftChars="200"/>
        <w:rPr>
          <w:rFonts w:ascii="宋体" w:hAnsi="宋体"/>
          <w:b w:val="0"/>
          <w:color w:val="auto"/>
          <w:sz w:val="21"/>
          <w:szCs w:val="21"/>
        </w:rPr>
      </w:pPr>
      <w:r>
        <w:rPr>
          <w:rFonts w:hint="eastAsia" w:ascii="宋体" w:hAnsi="宋体"/>
          <w:b w:val="0"/>
          <w:color w:val="auto"/>
          <w:sz w:val="21"/>
          <w:szCs w:val="21"/>
        </w:rPr>
        <w:t>16.1投标报价应按“第六章　投标文件格式”中“开标一览表”格式填写。</w:t>
      </w:r>
    </w:p>
    <w:p w14:paraId="4DC99496">
      <w:pPr>
        <w:pStyle w:val="6"/>
        <w:keepNext w:val="0"/>
        <w:keepLines w:val="0"/>
        <w:spacing w:before="0" w:after="0" w:line="360" w:lineRule="auto"/>
        <w:ind w:left="420" w:leftChars="200"/>
        <w:rPr>
          <w:rFonts w:ascii="宋体" w:hAnsi="宋体"/>
          <w:b w:val="0"/>
          <w:color w:val="auto"/>
          <w:sz w:val="21"/>
          <w:szCs w:val="21"/>
        </w:rPr>
      </w:pPr>
      <w:bookmarkStart w:id="121" w:name="_16.2投标报价具体定义见投标人须知前附表。"/>
      <w:bookmarkEnd w:id="121"/>
      <w:r>
        <w:rPr>
          <w:rFonts w:hint="eastAsia" w:ascii="宋体" w:hAnsi="宋体"/>
          <w:b w:val="0"/>
          <w:color w:val="auto"/>
          <w:sz w:val="21"/>
          <w:szCs w:val="21"/>
        </w:rPr>
        <w:t>16.2投标报价具体包括内容详见“投标人须知前附表”。</w:t>
      </w:r>
    </w:p>
    <w:p w14:paraId="4339B005">
      <w:pPr>
        <w:pStyle w:val="6"/>
        <w:keepNext w:val="0"/>
        <w:keepLines w:val="0"/>
        <w:spacing w:before="0" w:after="0" w:line="360" w:lineRule="auto"/>
        <w:ind w:firstLine="420" w:firstLineChars="200"/>
        <w:rPr>
          <w:rFonts w:ascii="宋体" w:hAnsi="宋体"/>
          <w:b w:val="0"/>
          <w:bCs/>
          <w:color w:val="auto"/>
          <w:sz w:val="21"/>
          <w:szCs w:val="21"/>
        </w:rPr>
      </w:pPr>
      <w:r>
        <w:rPr>
          <w:rFonts w:hint="eastAsia" w:ascii="宋体" w:hAnsi="宋体"/>
          <w:b w:val="0"/>
          <w:color w:val="auto"/>
          <w:sz w:val="21"/>
          <w:szCs w:val="21"/>
        </w:rPr>
        <w:t>16.3投标人必须就所投项目（或每个分标，如有）的全部内容分别作完整唯一总价报价，不得存在漏项报价；投标人必须就所投项目（或分标）的单项内容作唯一报价。</w:t>
      </w:r>
    </w:p>
    <w:p w14:paraId="711E92D1">
      <w:pPr>
        <w:pStyle w:val="6"/>
        <w:keepNext w:val="0"/>
        <w:keepLines w:val="0"/>
        <w:spacing w:before="0" w:after="0" w:line="360" w:lineRule="auto"/>
        <w:ind w:firstLine="420" w:firstLineChars="200"/>
        <w:rPr>
          <w:rFonts w:ascii="宋体" w:hAnsi="宋体"/>
          <w:b w:val="0"/>
          <w:bCs/>
          <w:color w:val="auto"/>
          <w:sz w:val="21"/>
          <w:szCs w:val="21"/>
        </w:rPr>
      </w:pPr>
      <w:r>
        <w:rPr>
          <w:rFonts w:hint="eastAsia" w:ascii="宋体" w:hAnsi="宋体"/>
          <w:b w:val="0"/>
          <w:bCs/>
          <w:color w:val="auto"/>
          <w:sz w:val="21"/>
          <w:szCs w:val="21"/>
        </w:rPr>
        <w:t>16.4预算金额（人民币）：</w:t>
      </w:r>
      <w:r>
        <w:rPr>
          <w:rFonts w:hint="eastAsia" w:ascii="宋体" w:hAnsi="宋体"/>
          <w:b w:val="0"/>
          <w:color w:val="auto"/>
          <w:sz w:val="21"/>
          <w:szCs w:val="21"/>
        </w:rPr>
        <w:t>详见“招标公告”</w:t>
      </w:r>
      <w:r>
        <w:rPr>
          <w:rFonts w:hint="eastAsia" w:ascii="宋体" w:hAnsi="宋体"/>
          <w:b w:val="0"/>
          <w:bCs/>
          <w:color w:val="auto"/>
          <w:sz w:val="21"/>
          <w:szCs w:val="21"/>
        </w:rPr>
        <w:t>，投标报价超过采购预算金额的，投标文件按无效处理。</w:t>
      </w:r>
    </w:p>
    <w:p w14:paraId="1EADE813">
      <w:pPr>
        <w:pStyle w:val="6"/>
        <w:keepNext w:val="0"/>
        <w:keepLines w:val="0"/>
        <w:spacing w:before="0" w:after="0" w:line="360" w:lineRule="auto"/>
        <w:ind w:left="420" w:leftChars="200"/>
        <w:rPr>
          <w:rFonts w:ascii="黑体" w:hAnsi="黑体" w:eastAsia="黑体"/>
          <w:color w:val="auto"/>
          <w:sz w:val="24"/>
        </w:rPr>
      </w:pPr>
      <w:r>
        <w:rPr>
          <w:rFonts w:hint="eastAsia" w:ascii="黑体" w:hAnsi="黑体" w:eastAsia="黑体"/>
          <w:color w:val="auto"/>
          <w:sz w:val="24"/>
        </w:rPr>
        <w:t>17.投标有效期</w:t>
      </w:r>
    </w:p>
    <w:p w14:paraId="06EF2145">
      <w:pPr>
        <w:pStyle w:val="6"/>
        <w:keepNext w:val="0"/>
        <w:keepLines w:val="0"/>
        <w:spacing w:before="0" w:after="0" w:line="360" w:lineRule="auto"/>
        <w:ind w:firstLine="420" w:firstLineChars="200"/>
        <w:rPr>
          <w:rFonts w:ascii="宋体" w:hAnsi="宋体"/>
          <w:b w:val="0"/>
          <w:bCs/>
          <w:color w:val="auto"/>
          <w:sz w:val="21"/>
          <w:szCs w:val="21"/>
        </w:rPr>
      </w:pPr>
      <w:bookmarkStart w:id="122" w:name="_17.1投标有效期应按“投标人须知中的前附表”规定的期限。"/>
      <w:bookmarkEnd w:id="122"/>
      <w:r>
        <w:rPr>
          <w:rFonts w:hint="eastAsia" w:ascii="宋体" w:hAnsi="宋体"/>
          <w:b w:val="0"/>
          <w:bCs/>
          <w:color w:val="auto"/>
          <w:sz w:val="21"/>
          <w:szCs w:val="21"/>
        </w:rPr>
        <w:t>17.1投标有效期是指为保证采购人有足够的时间在开标后完成评标、定标、合同签订等工作而要求投标人提交的投标文件在一定时间内保持有效的期限。</w:t>
      </w:r>
    </w:p>
    <w:p w14:paraId="6D2042EB">
      <w:pPr>
        <w:pStyle w:val="6"/>
        <w:keepNext w:val="0"/>
        <w:keepLines w:val="0"/>
        <w:spacing w:before="0" w:after="0" w:line="360" w:lineRule="auto"/>
        <w:ind w:left="420" w:leftChars="200"/>
        <w:rPr>
          <w:rFonts w:ascii="宋体" w:hAnsi="宋体"/>
          <w:b w:val="0"/>
          <w:color w:val="auto"/>
          <w:sz w:val="21"/>
          <w:szCs w:val="21"/>
        </w:rPr>
      </w:pPr>
      <w:r>
        <w:rPr>
          <w:rFonts w:hint="eastAsia" w:ascii="宋体" w:hAnsi="宋体"/>
          <w:b w:val="0"/>
          <w:color w:val="auto"/>
          <w:sz w:val="21"/>
          <w:szCs w:val="21"/>
        </w:rPr>
        <w:t>17.2</w:t>
      </w:r>
      <w:bookmarkStart w:id="123" w:name="_Toc254970540"/>
      <w:bookmarkStart w:id="124" w:name="_Toc254970681"/>
      <w:r>
        <w:rPr>
          <w:rFonts w:hint="eastAsia" w:ascii="宋体" w:hAnsi="宋体"/>
          <w:b w:val="0"/>
          <w:color w:val="auto"/>
          <w:sz w:val="21"/>
          <w:szCs w:val="21"/>
        </w:rPr>
        <w:t xml:space="preserve"> 投标有效期应按规定的期限作出承诺，具体详见“投标人须知前附表”。</w:t>
      </w:r>
    </w:p>
    <w:p w14:paraId="5D98A9AA">
      <w:pPr>
        <w:pStyle w:val="6"/>
        <w:keepNext w:val="0"/>
        <w:keepLines w:val="0"/>
        <w:spacing w:before="0" w:after="0" w:line="360" w:lineRule="auto"/>
        <w:ind w:left="420" w:leftChars="200"/>
        <w:rPr>
          <w:rFonts w:ascii="宋体" w:hAnsi="宋体"/>
          <w:b w:val="0"/>
          <w:color w:val="auto"/>
          <w:sz w:val="21"/>
          <w:szCs w:val="21"/>
        </w:rPr>
      </w:pPr>
      <w:r>
        <w:rPr>
          <w:rFonts w:hint="eastAsia" w:ascii="宋体" w:hAnsi="宋体"/>
          <w:b w:val="0"/>
          <w:color w:val="auto"/>
          <w:sz w:val="21"/>
          <w:szCs w:val="21"/>
        </w:rPr>
        <w:t>17.3投标人的投标文件在投标有效期内均保持有效。</w:t>
      </w:r>
      <w:bookmarkEnd w:id="123"/>
      <w:bookmarkEnd w:id="124"/>
    </w:p>
    <w:p w14:paraId="39685746">
      <w:pPr>
        <w:pStyle w:val="6"/>
        <w:keepNext w:val="0"/>
        <w:keepLines w:val="0"/>
        <w:spacing w:before="0" w:after="0" w:line="360" w:lineRule="auto"/>
        <w:ind w:left="420" w:leftChars="200"/>
        <w:rPr>
          <w:rFonts w:ascii="黑体" w:hAnsi="黑体" w:eastAsia="黑体"/>
          <w:color w:val="auto"/>
          <w:sz w:val="24"/>
        </w:rPr>
      </w:pPr>
      <w:bookmarkStart w:id="125" w:name="_18.投标保证金"/>
      <w:bookmarkEnd w:id="125"/>
      <w:bookmarkStart w:id="126" w:name="_Toc254970682"/>
      <w:bookmarkStart w:id="127" w:name="_Toc254970541"/>
      <w:r>
        <w:rPr>
          <w:rFonts w:hint="eastAsia" w:ascii="黑体" w:hAnsi="黑体" w:eastAsia="黑体"/>
          <w:color w:val="auto"/>
          <w:sz w:val="24"/>
        </w:rPr>
        <w:t>18.投标保证金</w:t>
      </w:r>
      <w:bookmarkEnd w:id="126"/>
      <w:bookmarkEnd w:id="127"/>
    </w:p>
    <w:p w14:paraId="62F8BBC7">
      <w:pPr>
        <w:pStyle w:val="6"/>
        <w:keepNext w:val="0"/>
        <w:keepLines w:val="0"/>
        <w:spacing w:before="0" w:after="0" w:line="360" w:lineRule="auto"/>
        <w:ind w:left="420" w:leftChars="200"/>
        <w:rPr>
          <w:rFonts w:ascii="宋体" w:hAnsi="宋体"/>
          <w:b w:val="0"/>
          <w:color w:val="auto"/>
          <w:sz w:val="21"/>
          <w:szCs w:val="21"/>
        </w:rPr>
      </w:pPr>
      <w:r>
        <w:rPr>
          <w:rFonts w:hint="eastAsia" w:ascii="宋体" w:hAnsi="宋体"/>
          <w:b w:val="0"/>
          <w:color w:val="auto"/>
          <w:sz w:val="21"/>
          <w:szCs w:val="21"/>
        </w:rPr>
        <w:t>18.1投标人须按“投标人须知前附表” 的规定提交投标保证金。</w:t>
      </w:r>
    </w:p>
    <w:p w14:paraId="060A70F2">
      <w:pPr>
        <w:pStyle w:val="6"/>
        <w:keepNext w:val="0"/>
        <w:keepLines w:val="0"/>
        <w:spacing w:before="0" w:after="0" w:line="360" w:lineRule="auto"/>
        <w:ind w:left="420" w:leftChars="200"/>
        <w:rPr>
          <w:rFonts w:ascii="宋体" w:hAnsi="宋体"/>
          <w:b w:val="0"/>
          <w:color w:val="auto"/>
          <w:sz w:val="21"/>
          <w:szCs w:val="21"/>
        </w:rPr>
      </w:pPr>
      <w:r>
        <w:rPr>
          <w:rFonts w:hint="eastAsia" w:ascii="宋体" w:hAnsi="宋体"/>
          <w:b w:val="0"/>
          <w:color w:val="auto"/>
          <w:sz w:val="21"/>
          <w:szCs w:val="21"/>
        </w:rPr>
        <w:t>18.2投标保证金的退还</w:t>
      </w:r>
    </w:p>
    <w:p w14:paraId="65ABADD7">
      <w:pPr>
        <w:pStyle w:val="6"/>
        <w:keepNext w:val="0"/>
        <w:keepLines w:val="0"/>
        <w:spacing w:before="0" w:after="0" w:line="360" w:lineRule="auto"/>
        <w:ind w:left="420" w:leftChars="200"/>
        <w:rPr>
          <w:rFonts w:ascii="宋体" w:hAnsi="宋体"/>
          <w:b w:val="0"/>
          <w:color w:val="auto"/>
          <w:sz w:val="21"/>
          <w:szCs w:val="21"/>
        </w:rPr>
      </w:pPr>
      <w:r>
        <w:rPr>
          <w:rFonts w:hint="eastAsia" w:ascii="宋体" w:hAnsi="宋体"/>
          <w:b w:val="0"/>
          <w:color w:val="auto"/>
          <w:sz w:val="21"/>
          <w:szCs w:val="21"/>
        </w:rPr>
        <w:t>18.2.1未中标人的投标保证金自中标通知书发出之日起5个工作日内退还，退还方式如下：</w:t>
      </w:r>
    </w:p>
    <w:p w14:paraId="1FFABBFA">
      <w:pPr>
        <w:pStyle w:val="6"/>
        <w:keepNext w:val="0"/>
        <w:keepLines w:val="0"/>
        <w:spacing w:before="0" w:after="0" w:line="360" w:lineRule="auto"/>
        <w:ind w:firstLine="315" w:firstLineChars="150"/>
        <w:rPr>
          <w:rFonts w:ascii="宋体" w:hAnsi="宋体"/>
          <w:b w:val="0"/>
          <w:color w:val="auto"/>
          <w:sz w:val="21"/>
          <w:szCs w:val="21"/>
        </w:rPr>
      </w:pPr>
      <w:r>
        <w:rPr>
          <w:rFonts w:hint="eastAsia" w:ascii="宋体" w:hAnsi="宋体"/>
          <w:b w:val="0"/>
          <w:color w:val="auto"/>
          <w:sz w:val="21"/>
          <w:szCs w:val="21"/>
        </w:rPr>
        <w:t>（1）采用银行转账方式的，以转账方式退回到投标人银行账户。</w:t>
      </w:r>
    </w:p>
    <w:p w14:paraId="105B4767">
      <w:pPr>
        <w:pStyle w:val="7"/>
        <w:spacing w:line="360" w:lineRule="auto"/>
        <w:ind w:firstLine="315" w:firstLineChars="150"/>
        <w:rPr>
          <w:rFonts w:ascii="宋体" w:hAnsi="宋体"/>
          <w:color w:val="auto"/>
          <w:szCs w:val="21"/>
        </w:rPr>
      </w:pPr>
      <w:r>
        <w:rPr>
          <w:rFonts w:hint="eastAsia" w:ascii="宋体" w:hAnsi="宋体"/>
          <w:color w:val="auto"/>
          <w:szCs w:val="21"/>
        </w:rPr>
        <w:t xml:space="preserve">（2）采用支票、汇票、本票或者金融、担保机构出具的保函方式的，由投标人代表持相关授权证明材料至采购人或者采购代理机构办理支票、汇票、本票或者金融、担保机构出具的保函原件退还手续。 </w:t>
      </w:r>
    </w:p>
    <w:p w14:paraId="379EE11F">
      <w:pPr>
        <w:pStyle w:val="6"/>
        <w:keepNext w:val="0"/>
        <w:keepLines w:val="0"/>
        <w:numPr>
          <w:ilvl w:val="0"/>
          <w:numId w:val="0"/>
        </w:numPr>
        <w:spacing w:before="0" w:after="0" w:line="360" w:lineRule="auto"/>
        <w:ind w:firstLine="420" w:firstLineChars="200"/>
        <w:rPr>
          <w:rFonts w:ascii="宋体" w:hAnsi="宋体"/>
          <w:b w:val="0"/>
          <w:color w:val="auto"/>
          <w:sz w:val="21"/>
          <w:szCs w:val="21"/>
        </w:rPr>
      </w:pPr>
      <w:r>
        <w:rPr>
          <w:rFonts w:hint="eastAsia" w:ascii="宋体" w:hAnsi="宋体"/>
          <w:b w:val="0"/>
          <w:color w:val="auto"/>
          <w:sz w:val="21"/>
          <w:szCs w:val="21"/>
        </w:rPr>
        <w:t>18.2.2中标人的投标保证金自采购合同签订之日起5个工作日内退还，退还方式同本须知正文第1</w:t>
      </w:r>
      <w:r>
        <w:rPr>
          <w:rFonts w:ascii="宋体" w:hAnsi="宋体"/>
          <w:b w:val="0"/>
          <w:color w:val="auto"/>
          <w:sz w:val="21"/>
          <w:szCs w:val="21"/>
        </w:rPr>
        <w:t>8.2.1</w:t>
      </w:r>
      <w:r>
        <w:rPr>
          <w:rFonts w:hint="eastAsia" w:ascii="宋体" w:hAnsi="宋体"/>
          <w:b w:val="0"/>
          <w:color w:val="auto"/>
          <w:sz w:val="21"/>
          <w:szCs w:val="21"/>
        </w:rPr>
        <w:t xml:space="preserve">。 </w:t>
      </w:r>
    </w:p>
    <w:p w14:paraId="6C4F5D5D">
      <w:pPr>
        <w:pStyle w:val="6"/>
        <w:keepNext w:val="0"/>
        <w:keepLines w:val="0"/>
        <w:spacing w:before="0" w:after="0" w:line="360" w:lineRule="auto"/>
        <w:ind w:left="420" w:leftChars="200"/>
        <w:rPr>
          <w:rFonts w:ascii="宋体" w:hAnsi="宋体"/>
          <w:b w:val="0"/>
          <w:color w:val="auto"/>
          <w:sz w:val="21"/>
          <w:szCs w:val="21"/>
        </w:rPr>
      </w:pPr>
      <w:r>
        <w:rPr>
          <w:rFonts w:hint="eastAsia" w:ascii="宋体" w:hAnsi="宋体"/>
          <w:b w:val="0"/>
          <w:color w:val="auto"/>
          <w:sz w:val="21"/>
          <w:szCs w:val="21"/>
        </w:rPr>
        <w:t>18.3除逾期退还投标保证金和终止招标的情形以外，投标保证金不计息。</w:t>
      </w:r>
    </w:p>
    <w:p w14:paraId="79C5AB6C">
      <w:pPr>
        <w:pStyle w:val="6"/>
        <w:keepNext w:val="0"/>
        <w:keepLines w:val="0"/>
        <w:spacing w:before="0" w:after="0" w:line="360" w:lineRule="auto"/>
        <w:ind w:left="420" w:leftChars="200"/>
        <w:rPr>
          <w:rFonts w:ascii="宋体" w:hAnsi="宋体"/>
          <w:bCs/>
          <w:color w:val="auto"/>
          <w:sz w:val="21"/>
          <w:szCs w:val="21"/>
        </w:rPr>
      </w:pPr>
      <w:r>
        <w:rPr>
          <w:rFonts w:hint="eastAsia" w:ascii="宋体" w:hAnsi="宋体"/>
          <w:bCs/>
          <w:color w:val="auto"/>
          <w:sz w:val="21"/>
          <w:szCs w:val="21"/>
        </w:rPr>
        <w:t xml:space="preserve">18.4投标人有下列情形之一的，投标保证金将不予退还： </w:t>
      </w:r>
    </w:p>
    <w:p w14:paraId="4C231047">
      <w:pPr>
        <w:snapToGrid w:val="0"/>
        <w:spacing w:line="360" w:lineRule="auto"/>
        <w:ind w:firstLine="411" w:firstLineChars="196"/>
        <w:jc w:val="left"/>
        <w:rPr>
          <w:rFonts w:ascii="宋体" w:hAnsi="宋体"/>
          <w:color w:val="auto"/>
          <w:szCs w:val="21"/>
        </w:rPr>
      </w:pPr>
      <w:r>
        <w:rPr>
          <w:rFonts w:hint="eastAsia" w:ascii="宋体" w:hAnsi="宋体"/>
          <w:color w:val="auto"/>
          <w:szCs w:val="21"/>
        </w:rPr>
        <w:t>（1）投标人在投标有效期内撤销投标文件的；</w:t>
      </w:r>
    </w:p>
    <w:p w14:paraId="5D099AD2">
      <w:pPr>
        <w:snapToGrid w:val="0"/>
        <w:spacing w:line="360" w:lineRule="auto"/>
        <w:ind w:firstLine="411" w:firstLineChars="196"/>
        <w:jc w:val="left"/>
        <w:rPr>
          <w:rFonts w:ascii="宋体" w:hAnsi="宋体"/>
          <w:color w:val="auto"/>
          <w:szCs w:val="21"/>
        </w:rPr>
      </w:pPr>
      <w:r>
        <w:rPr>
          <w:rFonts w:hint="eastAsia" w:ascii="宋体" w:hAnsi="宋体"/>
          <w:color w:val="auto"/>
          <w:szCs w:val="21"/>
        </w:rPr>
        <w:t>（2）未按规定提交履约保证金的；</w:t>
      </w:r>
    </w:p>
    <w:p w14:paraId="75CA65BE">
      <w:pPr>
        <w:snapToGrid w:val="0"/>
        <w:spacing w:line="360" w:lineRule="auto"/>
        <w:ind w:firstLine="411" w:firstLineChars="196"/>
        <w:jc w:val="left"/>
        <w:rPr>
          <w:rFonts w:ascii="宋体" w:hAnsi="宋体"/>
          <w:color w:val="auto"/>
          <w:szCs w:val="21"/>
        </w:rPr>
      </w:pPr>
      <w:r>
        <w:rPr>
          <w:rFonts w:hint="eastAsia" w:ascii="宋体" w:hAnsi="宋体"/>
          <w:color w:val="auto"/>
          <w:szCs w:val="21"/>
        </w:rPr>
        <w:t>（3）投标人在投标过程中弄虚作假，提供虚假材料的；</w:t>
      </w:r>
    </w:p>
    <w:p w14:paraId="3720FA5B">
      <w:pPr>
        <w:snapToGrid w:val="0"/>
        <w:spacing w:line="360" w:lineRule="auto"/>
        <w:ind w:firstLine="411" w:firstLineChars="196"/>
        <w:rPr>
          <w:rFonts w:ascii="宋体" w:hAnsi="宋体"/>
          <w:color w:val="auto"/>
          <w:szCs w:val="21"/>
        </w:rPr>
      </w:pPr>
      <w:r>
        <w:rPr>
          <w:rFonts w:hint="eastAsia" w:ascii="宋体" w:hAnsi="宋体"/>
          <w:color w:val="auto"/>
          <w:szCs w:val="21"/>
        </w:rPr>
        <w:t>（4）中标人无正当理由不与采购人签订合同的；</w:t>
      </w:r>
    </w:p>
    <w:p w14:paraId="5D20A368">
      <w:pPr>
        <w:snapToGrid w:val="0"/>
        <w:spacing w:line="360" w:lineRule="auto"/>
        <w:ind w:firstLine="420" w:firstLineChars="200"/>
        <w:rPr>
          <w:rFonts w:ascii="宋体" w:hAnsi="宋体"/>
          <w:color w:val="auto"/>
          <w:szCs w:val="21"/>
        </w:rPr>
      </w:pPr>
      <w:r>
        <w:rPr>
          <w:rFonts w:hint="eastAsia" w:ascii="宋体" w:hAnsi="宋体"/>
          <w:color w:val="auto"/>
          <w:szCs w:val="21"/>
        </w:rPr>
        <w:t>（5）投标人出现本章第9.2、9.3情形的；</w:t>
      </w:r>
    </w:p>
    <w:p w14:paraId="403286A2">
      <w:pPr>
        <w:snapToGrid w:val="0"/>
        <w:spacing w:line="360" w:lineRule="auto"/>
        <w:ind w:firstLine="420" w:firstLineChars="200"/>
        <w:rPr>
          <w:rFonts w:ascii="宋体" w:hAnsi="宋体"/>
          <w:color w:val="auto"/>
          <w:szCs w:val="21"/>
        </w:rPr>
      </w:pPr>
      <w:r>
        <w:rPr>
          <w:rFonts w:hint="eastAsia" w:ascii="宋体" w:hAnsi="宋体"/>
          <w:color w:val="auto"/>
          <w:szCs w:val="21"/>
        </w:rPr>
        <w:t>（6）其他严重扰乱招投标程序的。</w:t>
      </w:r>
    </w:p>
    <w:p w14:paraId="4DB20BC4">
      <w:pPr>
        <w:pStyle w:val="6"/>
        <w:keepNext w:val="0"/>
        <w:keepLines w:val="0"/>
        <w:spacing w:before="0" w:after="0" w:line="360" w:lineRule="auto"/>
        <w:ind w:left="420" w:leftChars="200"/>
        <w:rPr>
          <w:rFonts w:ascii="黑体" w:hAnsi="黑体" w:eastAsia="黑体"/>
          <w:color w:val="auto"/>
          <w:sz w:val="24"/>
        </w:rPr>
      </w:pPr>
      <w:bookmarkStart w:id="128" w:name="_Toc254970683"/>
      <w:bookmarkStart w:id="129" w:name="_Toc254970542"/>
      <w:r>
        <w:rPr>
          <w:rFonts w:hint="eastAsia" w:ascii="黑体" w:hAnsi="黑体" w:eastAsia="黑体"/>
          <w:color w:val="auto"/>
          <w:sz w:val="24"/>
        </w:rPr>
        <w:t>19.投标文件的</w:t>
      </w:r>
      <w:bookmarkEnd w:id="128"/>
      <w:bookmarkEnd w:id="129"/>
      <w:r>
        <w:rPr>
          <w:rFonts w:hint="eastAsia" w:ascii="黑体" w:hAnsi="黑体" w:eastAsia="黑体"/>
          <w:color w:val="auto"/>
          <w:sz w:val="24"/>
        </w:rPr>
        <w:t>编制</w:t>
      </w:r>
    </w:p>
    <w:p w14:paraId="4EE546AE">
      <w:pPr>
        <w:pStyle w:val="6"/>
        <w:keepNext w:val="0"/>
        <w:keepLines w:val="0"/>
        <w:numPr>
          <w:ilvl w:val="0"/>
          <w:numId w:val="0"/>
        </w:numPr>
        <w:spacing w:before="0" w:after="0" w:line="360" w:lineRule="auto"/>
        <w:ind w:firstLine="420" w:firstLineChars="200"/>
        <w:rPr>
          <w:rFonts w:ascii="宋体" w:hAnsi="宋体"/>
          <w:b w:val="0"/>
          <w:color w:val="auto"/>
          <w:sz w:val="21"/>
          <w:szCs w:val="21"/>
        </w:rPr>
      </w:pPr>
      <w:r>
        <w:rPr>
          <w:rFonts w:hint="eastAsia" w:ascii="宋体" w:hAnsi="宋体"/>
          <w:b w:val="0"/>
          <w:color w:val="auto"/>
          <w:sz w:val="21"/>
          <w:szCs w:val="21"/>
        </w:rPr>
        <w:t>19.1投标人需下载使用新版客户端，新版客户端下载路径：广西政府采购网（访问地址http</w:t>
      </w:r>
      <w:r>
        <w:rPr>
          <w:rFonts w:ascii="宋体" w:hAnsi="宋体"/>
          <w:b w:val="0"/>
          <w:color w:val="auto"/>
          <w:sz w:val="21"/>
          <w:szCs w:val="21"/>
        </w:rPr>
        <w:t>：</w:t>
      </w:r>
      <w:r>
        <w:rPr>
          <w:rFonts w:hint="eastAsia" w:ascii="宋体" w:hAnsi="宋体"/>
          <w:b w:val="0"/>
          <w:color w:val="auto"/>
          <w:sz w:val="21"/>
          <w:szCs w:val="21"/>
        </w:rPr>
        <w:t>//zfcg.gxzf.gov.cn/）—办事服务—下载专区，并按照本项目招标文件规定的格式和顺序和</w:t>
      </w:r>
      <w:r>
        <w:rPr>
          <w:rFonts w:hint="eastAsia" w:ascii="宋体" w:hAnsi="宋体"/>
          <w:b w:val="0"/>
          <w:bCs/>
          <w:color w:val="auto"/>
          <w:sz w:val="21"/>
          <w:szCs w:val="21"/>
        </w:rPr>
        <w:t>广西政府采购云平台</w:t>
      </w:r>
      <w:r>
        <w:rPr>
          <w:rFonts w:hint="eastAsia" w:ascii="宋体" w:hAnsi="宋体"/>
          <w:b w:val="0"/>
          <w:color w:val="auto"/>
          <w:sz w:val="21"/>
          <w:szCs w:val="21"/>
        </w:rPr>
        <w:t>的要求编制并加密。投标文件内容不完整、编排混乱导致投标文件被误读、漏读或者查找不到相关内容的，由此引发的后果由投标人承担。</w:t>
      </w:r>
    </w:p>
    <w:p w14:paraId="5C9D87C6">
      <w:pPr>
        <w:pStyle w:val="6"/>
        <w:keepNext w:val="0"/>
        <w:keepLines w:val="0"/>
        <w:numPr>
          <w:ilvl w:val="0"/>
          <w:numId w:val="0"/>
        </w:numPr>
        <w:spacing w:before="0" w:after="0" w:line="360" w:lineRule="auto"/>
        <w:ind w:firstLine="420" w:firstLineChars="200"/>
        <w:rPr>
          <w:rFonts w:ascii="宋体" w:hAnsi="宋体"/>
          <w:b w:val="0"/>
          <w:color w:val="auto"/>
          <w:sz w:val="21"/>
          <w:szCs w:val="21"/>
        </w:rPr>
      </w:pPr>
      <w:bookmarkStart w:id="130" w:name="_19.2投标文件应按报价文件、资格证明文件、商务文件、技术文件分别编制"/>
      <w:bookmarkEnd w:id="130"/>
      <w:r>
        <w:rPr>
          <w:rFonts w:hint="eastAsia" w:ascii="宋体" w:hAnsi="宋体"/>
          <w:b w:val="0"/>
          <w:color w:val="auto"/>
          <w:sz w:val="21"/>
          <w:szCs w:val="21"/>
        </w:rPr>
        <w:t>19.2为确保网上操作合法、有效和安全，投标人应当在投标截止时间前完成在</w:t>
      </w:r>
      <w:r>
        <w:rPr>
          <w:rFonts w:hint="eastAsia" w:ascii="宋体" w:hAnsi="宋体"/>
          <w:b w:val="0"/>
          <w:bCs/>
          <w:color w:val="auto"/>
          <w:sz w:val="21"/>
          <w:szCs w:val="21"/>
        </w:rPr>
        <w:t>广西政府采购云平台</w:t>
      </w:r>
      <w:r>
        <w:rPr>
          <w:rFonts w:hint="eastAsia" w:ascii="宋体" w:hAnsi="宋体"/>
          <w:b w:val="0"/>
          <w:color w:val="auto"/>
          <w:sz w:val="21"/>
          <w:szCs w:val="21"/>
        </w:rPr>
        <w:t>的身份认证，确保在电子投标过程中能够对相关数据电文进行加密和使用电子签章。</w:t>
      </w:r>
    </w:p>
    <w:p w14:paraId="6AD77334">
      <w:pPr>
        <w:pStyle w:val="6"/>
        <w:keepNext w:val="0"/>
        <w:keepLines w:val="0"/>
        <w:spacing w:before="0" w:after="0" w:line="360" w:lineRule="auto"/>
        <w:ind w:firstLine="420" w:firstLineChars="200"/>
        <w:rPr>
          <w:rFonts w:ascii="宋体" w:hAnsi="宋体"/>
          <w:b w:val="0"/>
          <w:color w:val="auto"/>
          <w:sz w:val="21"/>
          <w:szCs w:val="21"/>
        </w:rPr>
      </w:pPr>
      <w:r>
        <w:rPr>
          <w:rFonts w:hint="eastAsia" w:ascii="宋体" w:hAnsi="宋体"/>
          <w:b w:val="0"/>
          <w:color w:val="auto"/>
          <w:sz w:val="21"/>
          <w:szCs w:val="21"/>
        </w:rPr>
        <w:t>19.3投标文件须由投标人在规定位置签字（或者电子签名）、盖章（具体以投标人须知前附表或投标文件格式规定为准），</w:t>
      </w:r>
      <w:r>
        <w:rPr>
          <w:rFonts w:hint="eastAsia" w:ascii="宋体" w:hAnsi="宋体"/>
          <w:bCs/>
          <w:color w:val="auto"/>
          <w:sz w:val="21"/>
          <w:szCs w:val="21"/>
        </w:rPr>
        <w:t>否则按无效投标处理</w:t>
      </w:r>
      <w:r>
        <w:rPr>
          <w:rFonts w:hint="eastAsia" w:ascii="宋体" w:hAnsi="宋体"/>
          <w:b w:val="0"/>
          <w:color w:val="auto"/>
          <w:sz w:val="21"/>
          <w:szCs w:val="21"/>
        </w:rPr>
        <w:t>。</w:t>
      </w:r>
      <w:r>
        <w:rPr>
          <w:rFonts w:hint="eastAsia" w:ascii="宋体" w:hAnsi="宋体"/>
          <w:b w:val="0"/>
          <w:bCs/>
          <w:color w:val="auto"/>
          <w:sz w:val="21"/>
          <w:szCs w:val="21"/>
        </w:rPr>
        <w:t>投标人公章部分均采用CA 签章，投标文件中涉及到签字的位置使用个人CA签章，没有办理政采云个人CA签章的可在投标文件中涉及到签字的位置手写签字后扫描或者拍照做成PDF的格式上传即可。</w:t>
      </w:r>
    </w:p>
    <w:p w14:paraId="6F773430">
      <w:pPr>
        <w:pStyle w:val="6"/>
        <w:keepNext w:val="0"/>
        <w:keepLines w:val="0"/>
        <w:numPr>
          <w:ilvl w:val="0"/>
          <w:numId w:val="0"/>
        </w:numPr>
        <w:spacing w:before="0" w:after="0" w:line="360" w:lineRule="auto"/>
        <w:ind w:firstLine="420" w:firstLineChars="200"/>
        <w:rPr>
          <w:rFonts w:ascii="宋体" w:hAnsi="宋体"/>
          <w:b w:val="0"/>
          <w:color w:val="auto"/>
          <w:sz w:val="21"/>
          <w:szCs w:val="21"/>
        </w:rPr>
      </w:pPr>
      <w:r>
        <w:rPr>
          <w:rFonts w:hint="eastAsia" w:ascii="宋体" w:hAnsi="宋体"/>
          <w:b w:val="0"/>
          <w:color w:val="auto"/>
          <w:sz w:val="21"/>
          <w:szCs w:val="21"/>
        </w:rPr>
        <w:t>19.4投标文件中标注的投标人名称应与主体资格证明（如营业执照或者事业单位法人证书或者执业许可证或者登记证书等）及公章一致，并与“</w:t>
      </w:r>
      <w:r>
        <w:rPr>
          <w:rFonts w:hint="eastAsia" w:ascii="宋体" w:hAnsi="宋体"/>
          <w:b w:val="0"/>
          <w:bCs/>
          <w:color w:val="auto"/>
          <w:sz w:val="21"/>
          <w:szCs w:val="21"/>
        </w:rPr>
        <w:t>广西政府采购云平台</w:t>
      </w:r>
      <w:r>
        <w:rPr>
          <w:rFonts w:hint="eastAsia" w:ascii="宋体" w:hAnsi="宋体"/>
          <w:b w:val="0"/>
          <w:color w:val="auto"/>
          <w:sz w:val="21"/>
          <w:szCs w:val="21"/>
        </w:rPr>
        <w:t>”中获取招标文件的投标人名称一致，投标人为自然人的，标注的投标人名称应与身份证姓名及签名一致，</w:t>
      </w:r>
      <w:r>
        <w:rPr>
          <w:rFonts w:hint="eastAsia" w:ascii="宋体" w:hAnsi="宋体"/>
          <w:color w:val="auto"/>
          <w:sz w:val="21"/>
          <w:szCs w:val="21"/>
        </w:rPr>
        <w:t>否则按无效投标处理</w:t>
      </w:r>
      <w:r>
        <w:rPr>
          <w:rFonts w:hint="eastAsia" w:ascii="宋体" w:hAnsi="宋体"/>
          <w:b w:val="0"/>
          <w:color w:val="auto"/>
          <w:sz w:val="21"/>
          <w:szCs w:val="21"/>
        </w:rPr>
        <w:t>。</w:t>
      </w:r>
    </w:p>
    <w:p w14:paraId="5AC27BF8">
      <w:pPr>
        <w:pStyle w:val="6"/>
        <w:keepNext w:val="0"/>
        <w:keepLines w:val="0"/>
        <w:numPr>
          <w:ilvl w:val="0"/>
          <w:numId w:val="0"/>
        </w:numPr>
        <w:spacing w:before="0" w:after="0" w:line="360" w:lineRule="auto"/>
        <w:ind w:firstLine="420" w:firstLineChars="200"/>
        <w:rPr>
          <w:rFonts w:ascii="黑体" w:hAnsi="黑体" w:eastAsia="黑体"/>
          <w:color w:val="auto"/>
          <w:sz w:val="24"/>
        </w:rPr>
      </w:pPr>
      <w:r>
        <w:rPr>
          <w:rFonts w:hint="eastAsia" w:ascii="宋体" w:hAnsi="宋体"/>
          <w:b w:val="0"/>
          <w:color w:val="auto"/>
          <w:sz w:val="21"/>
          <w:szCs w:val="21"/>
        </w:rPr>
        <w:t>19.5投标文件应尽量避免涂改、行间插字或者删除。如果出现上述情况，改动之处应由投标人的法定代表人或者其委托代理人签字（或者电子签名）或者加盖公章或者加盖电子签章。投标文件因字迹潦草或者表达不清所引起的后果由投标人承担。</w:t>
      </w:r>
    </w:p>
    <w:p w14:paraId="1C133EEA">
      <w:pPr>
        <w:pStyle w:val="6"/>
        <w:keepNext w:val="0"/>
        <w:keepLines w:val="0"/>
        <w:spacing w:before="0" w:after="0" w:line="360" w:lineRule="auto"/>
        <w:ind w:left="420" w:leftChars="200"/>
        <w:rPr>
          <w:rFonts w:ascii="黑体" w:hAnsi="黑体" w:eastAsia="黑体"/>
          <w:color w:val="auto"/>
          <w:sz w:val="24"/>
        </w:rPr>
      </w:pPr>
      <w:r>
        <w:rPr>
          <w:rFonts w:hint="eastAsia" w:ascii="黑体" w:hAnsi="黑体" w:eastAsia="黑体"/>
          <w:color w:val="auto"/>
          <w:sz w:val="24"/>
        </w:rPr>
        <w:t>20.投备份投标文件</w:t>
      </w:r>
    </w:p>
    <w:p w14:paraId="0324A70D">
      <w:pPr>
        <w:pStyle w:val="6"/>
        <w:keepNext w:val="0"/>
        <w:keepLines w:val="0"/>
        <w:numPr>
          <w:ilvl w:val="0"/>
          <w:numId w:val="0"/>
        </w:numPr>
        <w:spacing w:before="0" w:after="0" w:line="360" w:lineRule="auto"/>
        <w:ind w:firstLine="420" w:firstLineChars="200"/>
        <w:rPr>
          <w:rFonts w:ascii="宋体" w:hAnsi="宋体"/>
          <w:b w:val="0"/>
          <w:color w:val="auto"/>
          <w:sz w:val="21"/>
          <w:szCs w:val="21"/>
        </w:rPr>
      </w:pPr>
      <w:r>
        <w:rPr>
          <w:rFonts w:hint="eastAsia" w:ascii="宋体" w:hAnsi="宋体"/>
          <w:b w:val="0"/>
          <w:color w:val="auto"/>
          <w:sz w:val="21"/>
          <w:szCs w:val="21"/>
        </w:rPr>
        <w:t>电子备份投标文件是指通过“广西政府采购云平台电子投标客户端”在线编制生成且后缀名为“bfbs”的文件，是否接受电子备份投标文件详见在“投标人须知前附表”。</w:t>
      </w:r>
    </w:p>
    <w:p w14:paraId="04DF8509">
      <w:pPr>
        <w:pStyle w:val="6"/>
        <w:keepNext w:val="0"/>
        <w:keepLines w:val="0"/>
        <w:spacing w:before="0" w:after="0" w:line="360" w:lineRule="auto"/>
        <w:ind w:left="420" w:leftChars="200"/>
        <w:rPr>
          <w:rFonts w:ascii="黑体" w:hAnsi="黑体" w:eastAsia="黑体"/>
          <w:color w:val="auto"/>
          <w:sz w:val="24"/>
        </w:rPr>
      </w:pPr>
      <w:r>
        <w:rPr>
          <w:rFonts w:hint="eastAsia" w:ascii="黑体" w:hAnsi="黑体" w:eastAsia="黑体"/>
          <w:color w:val="auto"/>
          <w:sz w:val="24"/>
        </w:rPr>
        <w:t>21.投标文件的提交</w:t>
      </w:r>
    </w:p>
    <w:p w14:paraId="6B1B4559">
      <w:pPr>
        <w:spacing w:line="360" w:lineRule="auto"/>
        <w:ind w:firstLine="420" w:firstLineChars="200"/>
        <w:rPr>
          <w:rFonts w:ascii="宋体" w:hAnsi="宋体"/>
          <w:color w:val="auto"/>
          <w:szCs w:val="21"/>
        </w:rPr>
      </w:pPr>
      <w:bookmarkStart w:id="131" w:name="_21.1投标人必须在“投标人须知中的前附表”规定的投标文件接收时间和投"/>
      <w:bookmarkEnd w:id="131"/>
      <w:r>
        <w:rPr>
          <w:rFonts w:hint="eastAsia" w:ascii="宋体" w:hAnsi="宋体"/>
          <w:color w:val="auto"/>
          <w:szCs w:val="21"/>
        </w:rPr>
        <w:t xml:space="preserve">21.1投标人必须在“投标人须知前附表”规定的投标文件提交截止时间前将电子投标文件提交至投标地点。电子投标文件应在制作完成后，在投标截止时间前通过有效数字证书（CA认证锁）进行电子签章、加密，然后通过网络将加密的电子投标文件递交至广西政府采购云平台。  </w:t>
      </w:r>
    </w:p>
    <w:p w14:paraId="5B12B327">
      <w:pPr>
        <w:spacing w:line="360" w:lineRule="auto"/>
        <w:ind w:firstLine="422" w:firstLineChars="200"/>
        <w:rPr>
          <w:rFonts w:ascii="宋体" w:hAnsi="宋体"/>
          <w:b/>
          <w:bCs/>
          <w:color w:val="auto"/>
          <w:szCs w:val="21"/>
        </w:rPr>
      </w:pPr>
      <w:r>
        <w:rPr>
          <w:rFonts w:hint="eastAsia" w:ascii="宋体" w:hAnsi="宋体"/>
          <w:b/>
          <w:bCs/>
          <w:color w:val="auto"/>
          <w:szCs w:val="21"/>
        </w:rPr>
        <w:t>21.2未在规定时间内提交或者未按照招标文件要求加密的电子投标文件，广西政府采购云平台将拒收。</w:t>
      </w:r>
    </w:p>
    <w:p w14:paraId="5BC16F97">
      <w:pPr>
        <w:pStyle w:val="6"/>
        <w:keepNext w:val="0"/>
        <w:keepLines w:val="0"/>
        <w:spacing w:before="0" w:after="0" w:line="360" w:lineRule="auto"/>
        <w:ind w:left="420" w:leftChars="200"/>
        <w:rPr>
          <w:rFonts w:ascii="黑体" w:hAnsi="黑体" w:eastAsia="黑体"/>
          <w:color w:val="auto"/>
          <w:sz w:val="24"/>
        </w:rPr>
      </w:pPr>
      <w:r>
        <w:rPr>
          <w:rFonts w:hint="eastAsia" w:ascii="黑体" w:hAnsi="黑体" w:eastAsia="黑体"/>
          <w:color w:val="auto"/>
          <w:sz w:val="24"/>
        </w:rPr>
        <w:t>22.投标文件的补充、修改、撤回与退回</w:t>
      </w:r>
    </w:p>
    <w:p w14:paraId="38992578">
      <w:pPr>
        <w:spacing w:line="360" w:lineRule="auto"/>
        <w:ind w:firstLine="420" w:firstLineChars="200"/>
        <w:rPr>
          <w:rFonts w:ascii="宋体" w:hAnsi="宋体" w:cs="宋体"/>
          <w:color w:val="auto"/>
          <w:szCs w:val="21"/>
        </w:rPr>
      </w:pPr>
      <w:r>
        <w:rPr>
          <w:rFonts w:hint="eastAsia" w:ascii="宋体" w:hAnsi="宋体" w:cs="宋体"/>
          <w:color w:val="auto"/>
          <w:szCs w:val="21"/>
        </w:rPr>
        <w:t>22.1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补充、修改或者撤回方式可登陆“广西政府采购云平台，进入“服务中心”中查看“电子投标文件制作与投送教程”）</w:t>
      </w:r>
    </w:p>
    <w:p w14:paraId="42839A5A">
      <w:pPr>
        <w:spacing w:line="360" w:lineRule="auto"/>
        <w:ind w:firstLine="420" w:firstLineChars="200"/>
        <w:rPr>
          <w:rFonts w:ascii="宋体" w:hAnsi="宋体" w:cs="宋体"/>
          <w:color w:val="auto"/>
          <w:szCs w:val="21"/>
        </w:rPr>
      </w:pPr>
      <w:r>
        <w:rPr>
          <w:rFonts w:hint="eastAsia" w:ascii="宋体" w:hAnsi="宋体" w:cs="宋体"/>
          <w:color w:val="auto"/>
          <w:szCs w:val="21"/>
        </w:rPr>
        <w:t>22.2广西政府采购云平台收到投标文件后向供应商发出确认回执通知。在投标截止时间前，除供应商补充、修改或者撤回投标文件外，任何单位和个人不得解密或提取投标文件。</w:t>
      </w:r>
    </w:p>
    <w:p w14:paraId="6E5C7962">
      <w:pPr>
        <w:spacing w:line="360" w:lineRule="auto"/>
        <w:ind w:firstLine="420" w:firstLineChars="200"/>
        <w:rPr>
          <w:rFonts w:ascii="宋体" w:hAnsi="宋体" w:cs="宋体"/>
          <w:color w:val="auto"/>
          <w:szCs w:val="21"/>
        </w:rPr>
      </w:pPr>
      <w:r>
        <w:rPr>
          <w:rFonts w:hint="eastAsia" w:ascii="宋体" w:hAnsi="宋体" w:cs="宋体"/>
          <w:color w:val="auto"/>
          <w:szCs w:val="21"/>
        </w:rPr>
        <w:t>22.3在投标截止时间后，采购人和采购代理机构对已提交的投标文件概不退回。</w:t>
      </w:r>
    </w:p>
    <w:p w14:paraId="2E112758">
      <w:pPr>
        <w:pStyle w:val="14"/>
        <w:snapToGrid w:val="0"/>
        <w:spacing w:line="360" w:lineRule="auto"/>
        <w:ind w:firstLine="739"/>
        <w:rPr>
          <w:rFonts w:ascii="宋体" w:hAnsi="宋体" w:eastAsia="宋体"/>
          <w:snapToGrid w:val="0"/>
          <w:color w:val="auto"/>
          <w:sz w:val="21"/>
          <w:szCs w:val="21"/>
        </w:rPr>
      </w:pPr>
    </w:p>
    <w:p w14:paraId="629289F0">
      <w:pPr>
        <w:pStyle w:val="4"/>
        <w:keepNext w:val="0"/>
        <w:keepLines w:val="0"/>
        <w:jc w:val="center"/>
        <w:rPr>
          <w:color w:val="auto"/>
        </w:rPr>
      </w:pPr>
      <w:bookmarkStart w:id="132" w:name="_Toc254970544"/>
      <w:bookmarkStart w:id="133" w:name="_Toc254970685"/>
      <w:r>
        <w:rPr>
          <w:rFonts w:hint="eastAsia"/>
          <w:color w:val="auto"/>
        </w:rPr>
        <w:t>四、开标</w:t>
      </w:r>
      <w:bookmarkEnd w:id="132"/>
      <w:bookmarkEnd w:id="133"/>
    </w:p>
    <w:p w14:paraId="7A14AE8D">
      <w:pPr>
        <w:pStyle w:val="6"/>
        <w:keepNext w:val="0"/>
        <w:keepLines w:val="0"/>
        <w:spacing w:before="0" w:after="0" w:line="360" w:lineRule="auto"/>
        <w:ind w:left="420" w:leftChars="200"/>
        <w:rPr>
          <w:rFonts w:ascii="黑体" w:hAnsi="黑体" w:eastAsia="黑体"/>
          <w:color w:val="auto"/>
          <w:sz w:val="24"/>
        </w:rPr>
      </w:pPr>
      <w:bookmarkStart w:id="134" w:name="_23.开标时间和地点"/>
      <w:bookmarkEnd w:id="134"/>
      <w:r>
        <w:rPr>
          <w:rFonts w:hint="eastAsia" w:ascii="黑体" w:hAnsi="黑体" w:eastAsia="黑体"/>
          <w:color w:val="auto"/>
          <w:sz w:val="24"/>
        </w:rPr>
        <w:t>23.开标时间和地点</w:t>
      </w:r>
    </w:p>
    <w:p w14:paraId="270F6E35">
      <w:pPr>
        <w:spacing w:line="360" w:lineRule="auto"/>
        <w:ind w:firstLine="420" w:firstLineChars="200"/>
        <w:rPr>
          <w:rFonts w:hAnsi="宋体"/>
          <w:bCs/>
          <w:color w:val="auto"/>
        </w:rPr>
      </w:pPr>
      <w:r>
        <w:rPr>
          <w:rFonts w:hint="eastAsia" w:hAnsi="宋体"/>
          <w:bCs/>
          <w:color w:val="auto"/>
        </w:rPr>
        <w:t>开标时间及地点详见“投标人须知前附表”</w:t>
      </w:r>
    </w:p>
    <w:p w14:paraId="094DD068">
      <w:pPr>
        <w:pStyle w:val="6"/>
        <w:keepNext w:val="0"/>
        <w:keepLines w:val="0"/>
        <w:spacing w:before="0" w:after="0" w:line="360" w:lineRule="auto"/>
        <w:ind w:left="420" w:leftChars="200"/>
        <w:rPr>
          <w:rFonts w:ascii="黑体" w:hAnsi="黑体" w:eastAsia="黑体"/>
          <w:color w:val="auto"/>
          <w:sz w:val="24"/>
        </w:rPr>
      </w:pPr>
      <w:r>
        <w:rPr>
          <w:rFonts w:hint="eastAsia" w:ascii="黑体" w:hAnsi="黑体" w:eastAsia="黑体"/>
          <w:color w:val="auto"/>
          <w:sz w:val="24"/>
        </w:rPr>
        <w:t>24.开标程序</w:t>
      </w:r>
    </w:p>
    <w:p w14:paraId="122F6F7B">
      <w:pPr>
        <w:pStyle w:val="7"/>
        <w:spacing w:line="360" w:lineRule="auto"/>
        <w:rPr>
          <w:color w:val="auto"/>
        </w:rPr>
      </w:pPr>
      <w:r>
        <w:rPr>
          <w:rFonts w:hint="eastAsia"/>
          <w:color w:val="auto"/>
        </w:rPr>
        <w:t>2</w:t>
      </w:r>
      <w:r>
        <w:rPr>
          <w:color w:val="auto"/>
        </w:rPr>
        <w:t>4.1</w:t>
      </w:r>
      <w:r>
        <w:rPr>
          <w:rFonts w:hint="eastAsia"/>
          <w:color w:val="auto"/>
        </w:rPr>
        <w:t>提交投标文件截止时间止，投标人不足3家的，不得开标。</w:t>
      </w:r>
    </w:p>
    <w:p w14:paraId="40B35406">
      <w:pPr>
        <w:pStyle w:val="7"/>
        <w:spacing w:line="360" w:lineRule="auto"/>
        <w:rPr>
          <w:color w:val="auto"/>
        </w:rPr>
      </w:pPr>
      <w:r>
        <w:rPr>
          <w:rFonts w:hint="eastAsia"/>
          <w:color w:val="auto"/>
        </w:rPr>
        <w:t>24.</w:t>
      </w:r>
      <w:r>
        <w:rPr>
          <w:color w:val="auto"/>
        </w:rPr>
        <w:t>2</w:t>
      </w:r>
      <w:r>
        <w:rPr>
          <w:rFonts w:hint="eastAsia"/>
          <w:color w:val="auto"/>
        </w:rPr>
        <w:t>采购代理机构将按照招标文件规定的时间通过</w:t>
      </w:r>
      <w:r>
        <w:rPr>
          <w:rFonts w:hint="eastAsia" w:ascii="宋体" w:hAnsi="宋体"/>
          <w:bCs/>
          <w:color w:val="auto"/>
          <w:szCs w:val="21"/>
        </w:rPr>
        <w:t>广西政府采购云平台</w:t>
      </w:r>
      <w:r>
        <w:rPr>
          <w:rFonts w:hint="eastAsia"/>
          <w:color w:val="auto"/>
        </w:rPr>
        <w:t>组织线上开标活动，所有供应商均应当准时在线参加，投标人因未在线参加开标而导致投标文件无法按时解密等一切后果由投标人自己承担。</w:t>
      </w:r>
    </w:p>
    <w:p w14:paraId="15B7911B">
      <w:pPr>
        <w:pStyle w:val="7"/>
        <w:spacing w:line="360" w:lineRule="auto"/>
        <w:rPr>
          <w:color w:val="auto"/>
        </w:rPr>
      </w:pPr>
      <w:r>
        <w:rPr>
          <w:rFonts w:hint="eastAsia"/>
          <w:color w:val="auto"/>
        </w:rPr>
        <w:t>24.</w:t>
      </w:r>
      <w:r>
        <w:rPr>
          <w:color w:val="auto"/>
        </w:rPr>
        <w:t>3</w:t>
      </w:r>
      <w:r>
        <w:rPr>
          <w:rFonts w:hint="eastAsia"/>
          <w:color w:val="auto"/>
        </w:rPr>
        <w:t>开标程序</w:t>
      </w:r>
    </w:p>
    <w:p w14:paraId="0ED2085B">
      <w:pPr>
        <w:pStyle w:val="7"/>
        <w:spacing w:line="360" w:lineRule="auto"/>
        <w:rPr>
          <w:color w:val="auto"/>
        </w:rPr>
      </w:pPr>
      <w:r>
        <w:rPr>
          <w:rFonts w:hint="eastAsia"/>
          <w:color w:val="auto"/>
        </w:rPr>
        <w:t>（1）解密电子投标文件。</w:t>
      </w:r>
      <w:r>
        <w:rPr>
          <w:rFonts w:hint="eastAsia" w:ascii="宋体" w:hAnsi="宋体"/>
          <w:bCs/>
          <w:color w:val="auto"/>
          <w:szCs w:val="21"/>
        </w:rPr>
        <w:t>广西政府采购云平台</w:t>
      </w:r>
      <w:r>
        <w:rPr>
          <w:rFonts w:hint="eastAsia"/>
          <w:color w:val="auto"/>
        </w:rPr>
        <w:t>按开标时间自动提取所有投标文件。采购代理机构依托</w:t>
      </w:r>
      <w:r>
        <w:rPr>
          <w:rFonts w:hint="eastAsia" w:ascii="宋体" w:hAnsi="宋体"/>
          <w:bCs/>
          <w:color w:val="auto"/>
          <w:szCs w:val="21"/>
        </w:rPr>
        <w:t>广西政府采购云平台</w:t>
      </w:r>
      <w:r>
        <w:rPr>
          <w:rFonts w:hint="eastAsia"/>
          <w:color w:val="auto"/>
        </w:rPr>
        <w:t>向各投标人发出电子加密投标文件【开始解密】通知，由投标人按</w:t>
      </w:r>
      <w:r>
        <w:rPr>
          <w:rFonts w:hint="eastAsia" w:hAnsi="宋体"/>
          <w:bCs/>
          <w:color w:val="auto"/>
          <w:szCs w:val="21"/>
        </w:rPr>
        <w:t>“投标人须知前附表”</w:t>
      </w:r>
      <w:r>
        <w:rPr>
          <w:rFonts w:hint="eastAsia"/>
          <w:color w:val="auto"/>
        </w:rPr>
        <w:t>规定的时间内自行进行投标文件解密。投标人的法定代表人或其委托代理人须凭加密时所用的CA锁准时登录到</w:t>
      </w:r>
      <w:r>
        <w:rPr>
          <w:rFonts w:hint="eastAsia" w:ascii="宋体" w:hAnsi="宋体"/>
          <w:bCs/>
          <w:color w:val="auto"/>
          <w:szCs w:val="21"/>
        </w:rPr>
        <w:t>广西政府采购云平台</w:t>
      </w:r>
      <w:r>
        <w:rPr>
          <w:rFonts w:hint="eastAsia"/>
          <w:color w:val="auto"/>
        </w:rPr>
        <w:t>电子开标大厅签到并对电子投标文件解密。</w:t>
      </w:r>
      <w:r>
        <w:rPr>
          <w:b/>
          <w:color w:val="auto"/>
        </w:rPr>
        <w:t>投标人</w:t>
      </w:r>
      <w:r>
        <w:rPr>
          <w:rFonts w:hint="eastAsia"/>
          <w:b/>
          <w:color w:val="auto"/>
        </w:rPr>
        <w:t>未在</w:t>
      </w:r>
      <w:r>
        <w:rPr>
          <w:b/>
          <w:color w:val="auto"/>
        </w:rPr>
        <w:t>规定的时间内解密</w:t>
      </w:r>
      <w:r>
        <w:rPr>
          <w:rFonts w:hint="eastAsia"/>
          <w:b/>
          <w:color w:val="auto"/>
        </w:rPr>
        <w:t>投标文件</w:t>
      </w:r>
      <w:r>
        <w:rPr>
          <w:b/>
          <w:color w:val="auto"/>
        </w:rPr>
        <w:t>或</w:t>
      </w:r>
      <w:r>
        <w:rPr>
          <w:rFonts w:hint="eastAsia"/>
          <w:b/>
          <w:color w:val="auto"/>
        </w:rPr>
        <w:t>者</w:t>
      </w:r>
      <w:r>
        <w:rPr>
          <w:b/>
          <w:color w:val="auto"/>
        </w:rPr>
        <w:t>解密失败的</w:t>
      </w:r>
      <w:r>
        <w:rPr>
          <w:rFonts w:hint="eastAsia"/>
          <w:b/>
          <w:color w:val="auto"/>
        </w:rPr>
        <w:t>，</w:t>
      </w:r>
      <w:r>
        <w:rPr>
          <w:rFonts w:hint="eastAsia" w:ascii="宋体" w:hAnsi="宋体"/>
          <w:b/>
          <w:color w:val="auto"/>
          <w:szCs w:val="21"/>
        </w:rPr>
        <w:t>投标人的投标文件作无效处理。</w:t>
      </w:r>
    </w:p>
    <w:p w14:paraId="457955D6">
      <w:pPr>
        <w:pStyle w:val="7"/>
        <w:spacing w:line="360" w:lineRule="auto"/>
        <w:rPr>
          <w:color w:val="auto"/>
        </w:rPr>
      </w:pPr>
      <w:r>
        <w:rPr>
          <w:rFonts w:hint="eastAsia"/>
          <w:color w:val="auto"/>
        </w:rPr>
        <w:t>（2）电子唱标。投标文件解密结束，宣布的内容均在</w:t>
      </w:r>
      <w:r>
        <w:rPr>
          <w:rFonts w:hint="eastAsia" w:ascii="宋体" w:hAnsi="宋体"/>
          <w:bCs/>
          <w:color w:val="auto"/>
          <w:szCs w:val="21"/>
        </w:rPr>
        <w:t>广西政府采购云平台</w:t>
      </w:r>
      <w:r>
        <w:rPr>
          <w:rFonts w:hint="eastAsia"/>
          <w:color w:val="auto"/>
        </w:rPr>
        <w:t>远程开标大厅展示，具体详见</w:t>
      </w:r>
      <w:r>
        <w:rPr>
          <w:rFonts w:hint="eastAsia" w:hAnsi="宋体"/>
          <w:bCs/>
          <w:color w:val="auto"/>
        </w:rPr>
        <w:t>“投标人须知前附表”</w:t>
      </w:r>
      <w:r>
        <w:rPr>
          <w:rFonts w:hint="eastAsia"/>
          <w:color w:val="auto"/>
        </w:rPr>
        <w:t>；</w:t>
      </w:r>
    </w:p>
    <w:p w14:paraId="406922C8">
      <w:pPr>
        <w:pStyle w:val="7"/>
        <w:spacing w:line="360" w:lineRule="auto"/>
        <w:rPr>
          <w:color w:val="auto"/>
          <w:szCs w:val="21"/>
        </w:rPr>
      </w:pPr>
      <w:r>
        <w:rPr>
          <w:rFonts w:hint="eastAsia"/>
          <w:color w:val="auto"/>
        </w:rPr>
        <w:t>（3）开标过程由采购代理机构如实记录，并电子留痕，由参加电子开标的各投标人代表对电子开标记录在开标记录公布后15分钟内进行当</w:t>
      </w:r>
      <w:r>
        <w:rPr>
          <w:rFonts w:hint="eastAsia"/>
          <w:color w:val="auto"/>
          <w:szCs w:val="21"/>
        </w:rPr>
        <w:t>场校核及勘误，并线上确认是否有异议，未确认的视同认可开标结果。</w:t>
      </w:r>
    </w:p>
    <w:p w14:paraId="54273C0E">
      <w:pPr>
        <w:pStyle w:val="7"/>
        <w:spacing w:line="360" w:lineRule="auto"/>
        <w:rPr>
          <w:color w:val="auto"/>
          <w:szCs w:val="21"/>
        </w:rPr>
      </w:pPr>
      <w:r>
        <w:rPr>
          <w:rFonts w:hint="eastAsia"/>
          <w:color w:val="auto"/>
          <w:szCs w:val="21"/>
        </w:rPr>
        <w:t>（4）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41250247">
      <w:pPr>
        <w:pStyle w:val="7"/>
        <w:spacing w:line="360" w:lineRule="auto"/>
        <w:rPr>
          <w:color w:val="auto"/>
          <w:szCs w:val="21"/>
        </w:rPr>
      </w:pPr>
      <w:r>
        <w:rPr>
          <w:rFonts w:hint="eastAsia"/>
          <w:color w:val="auto"/>
          <w:szCs w:val="21"/>
        </w:rPr>
        <w:t>（5）开标结束。</w:t>
      </w:r>
    </w:p>
    <w:p w14:paraId="1B4BF968">
      <w:pPr>
        <w:pStyle w:val="15"/>
        <w:snapToGrid w:val="0"/>
        <w:spacing w:line="360" w:lineRule="auto"/>
        <w:ind w:firstLine="420" w:firstLineChars="200"/>
        <w:rPr>
          <w:rFonts w:hAnsi="宋体"/>
          <w:color w:val="auto"/>
          <w:sz w:val="21"/>
        </w:rPr>
      </w:pPr>
      <w:r>
        <w:rPr>
          <w:rFonts w:hint="eastAsia"/>
          <w:color w:val="auto"/>
          <w:sz w:val="21"/>
        </w:rPr>
        <w:t>特别说明：如遇</w:t>
      </w:r>
      <w:r>
        <w:rPr>
          <w:rFonts w:hint="eastAsia" w:hAnsi="宋体"/>
          <w:bCs/>
          <w:color w:val="auto"/>
          <w:sz w:val="21"/>
        </w:rPr>
        <w:t>广西政府采购云平台</w:t>
      </w:r>
      <w:r>
        <w:rPr>
          <w:rFonts w:hint="eastAsia"/>
          <w:color w:val="auto"/>
          <w:sz w:val="21"/>
        </w:rPr>
        <w:t>电子化开标或评审程序调整的，按调整后执行。</w:t>
      </w:r>
    </w:p>
    <w:p w14:paraId="437362DD">
      <w:pPr>
        <w:pStyle w:val="15"/>
        <w:snapToGrid w:val="0"/>
        <w:spacing w:line="360" w:lineRule="auto"/>
        <w:ind w:left="689" w:leftChars="228" w:hanging="210" w:hangingChars="100"/>
        <w:rPr>
          <w:rFonts w:hAnsi="宋体"/>
          <w:color w:val="auto"/>
          <w:sz w:val="21"/>
        </w:rPr>
      </w:pPr>
    </w:p>
    <w:p w14:paraId="296E3E33">
      <w:pPr>
        <w:pStyle w:val="4"/>
        <w:keepNext w:val="0"/>
        <w:keepLines w:val="0"/>
        <w:jc w:val="center"/>
        <w:rPr>
          <w:color w:val="auto"/>
        </w:rPr>
      </w:pPr>
      <w:r>
        <w:rPr>
          <w:rFonts w:hint="eastAsia"/>
          <w:color w:val="auto"/>
        </w:rPr>
        <w:t>五、资格审查</w:t>
      </w:r>
    </w:p>
    <w:p w14:paraId="3EB01829">
      <w:pPr>
        <w:pStyle w:val="6"/>
        <w:keepNext w:val="0"/>
        <w:keepLines w:val="0"/>
        <w:spacing w:before="0" w:after="0" w:line="400" w:lineRule="exact"/>
        <w:ind w:left="420" w:leftChars="200"/>
        <w:rPr>
          <w:rFonts w:ascii="黑体" w:hAnsi="黑体" w:eastAsia="黑体"/>
          <w:color w:val="auto"/>
          <w:sz w:val="24"/>
        </w:rPr>
      </w:pPr>
      <w:r>
        <w:rPr>
          <w:rFonts w:hint="eastAsia" w:ascii="黑体" w:hAnsi="黑体" w:eastAsia="黑体"/>
          <w:color w:val="auto"/>
          <w:sz w:val="24"/>
        </w:rPr>
        <w:t>25.资格审查</w:t>
      </w:r>
    </w:p>
    <w:p w14:paraId="4FAA50B9">
      <w:pPr>
        <w:pStyle w:val="6"/>
        <w:keepNext w:val="0"/>
        <w:keepLines w:val="0"/>
        <w:spacing w:before="0" w:after="0" w:line="400" w:lineRule="exact"/>
        <w:ind w:firstLine="315" w:firstLineChars="150"/>
        <w:rPr>
          <w:rFonts w:ascii="宋体" w:hAnsi="宋体"/>
          <w:b w:val="0"/>
          <w:color w:val="auto"/>
          <w:sz w:val="21"/>
          <w:szCs w:val="21"/>
        </w:rPr>
      </w:pPr>
      <w:r>
        <w:rPr>
          <w:rFonts w:hint="eastAsia" w:ascii="宋体" w:hAnsi="宋体"/>
          <w:b w:val="0"/>
          <w:color w:val="auto"/>
          <w:sz w:val="21"/>
          <w:szCs w:val="21"/>
        </w:rPr>
        <w:t xml:space="preserve"> 25.1</w:t>
      </w:r>
      <w:r>
        <w:rPr>
          <w:rFonts w:ascii="宋体" w:hAnsi="宋体"/>
          <w:b w:val="0"/>
          <w:color w:val="auto"/>
          <w:sz w:val="21"/>
          <w:szCs w:val="21"/>
        </w:rPr>
        <w:t>开标结束后，</w:t>
      </w:r>
      <w:r>
        <w:rPr>
          <w:rFonts w:hint="eastAsia" w:ascii="宋体" w:hAnsi="宋体"/>
          <w:b w:val="0"/>
          <w:color w:val="auto"/>
          <w:sz w:val="21"/>
          <w:szCs w:val="21"/>
        </w:rPr>
        <w:t>采购人或者采购代理机构通过电子开评标系统依据招标文件对电子投标文件进行线上资格审查</w:t>
      </w:r>
      <w:r>
        <w:rPr>
          <w:rFonts w:ascii="宋体" w:hAnsi="宋体"/>
          <w:b w:val="0"/>
          <w:color w:val="auto"/>
          <w:sz w:val="21"/>
          <w:szCs w:val="21"/>
        </w:rPr>
        <w:t>。</w:t>
      </w:r>
    </w:p>
    <w:p w14:paraId="31247866">
      <w:pPr>
        <w:pStyle w:val="6"/>
        <w:keepNext w:val="0"/>
        <w:keepLines w:val="0"/>
        <w:spacing w:before="0" w:after="0" w:line="400" w:lineRule="exact"/>
        <w:ind w:firstLine="315" w:firstLineChars="150"/>
        <w:rPr>
          <w:rFonts w:ascii="宋体" w:hAnsi="宋体"/>
          <w:b w:val="0"/>
          <w:color w:val="auto"/>
          <w:sz w:val="21"/>
          <w:szCs w:val="21"/>
        </w:rPr>
      </w:pPr>
      <w:r>
        <w:rPr>
          <w:rFonts w:hint="eastAsia" w:ascii="宋体" w:hAnsi="宋体"/>
          <w:b w:val="0"/>
          <w:color w:val="auto"/>
          <w:sz w:val="21"/>
          <w:szCs w:val="21"/>
        </w:rPr>
        <w:t xml:space="preserve"> 25.2资格审查标准为本招标文件中载明对投标人资格要求的条件。本项目资格审查采用合格制，凡符合招标文件规定的投标人资格要求的投标人均通过资格审查。</w:t>
      </w:r>
    </w:p>
    <w:p w14:paraId="745DBEE7">
      <w:pPr>
        <w:pStyle w:val="6"/>
        <w:keepNext w:val="0"/>
        <w:keepLines w:val="0"/>
        <w:numPr>
          <w:ilvl w:val="0"/>
          <w:numId w:val="0"/>
        </w:numPr>
        <w:spacing w:before="0" w:after="0" w:line="400" w:lineRule="exact"/>
        <w:ind w:firstLine="422" w:firstLineChars="200"/>
        <w:rPr>
          <w:rFonts w:ascii="宋体" w:hAnsi="宋体"/>
          <w:color w:val="auto"/>
          <w:sz w:val="21"/>
          <w:szCs w:val="21"/>
        </w:rPr>
      </w:pPr>
      <w:r>
        <w:rPr>
          <w:rFonts w:hint="eastAsia" w:ascii="宋体" w:hAnsi="宋体"/>
          <w:color w:val="auto"/>
          <w:sz w:val="21"/>
          <w:szCs w:val="21"/>
        </w:rPr>
        <w:t>25.3 投标人有下列情形之一的，资格审查不通过，作无效投标处理：</w:t>
      </w:r>
    </w:p>
    <w:p w14:paraId="159DB187">
      <w:pPr>
        <w:pStyle w:val="15"/>
        <w:snapToGrid w:val="0"/>
        <w:spacing w:line="400" w:lineRule="exact"/>
        <w:ind w:firstLine="422" w:firstLineChars="200"/>
        <w:rPr>
          <w:rFonts w:hAnsi="宋体"/>
          <w:b/>
          <w:color w:val="auto"/>
          <w:sz w:val="21"/>
        </w:rPr>
      </w:pPr>
      <w:r>
        <w:rPr>
          <w:rFonts w:hint="eastAsia" w:hAnsi="宋体"/>
          <w:b/>
          <w:color w:val="auto"/>
          <w:sz w:val="21"/>
        </w:rPr>
        <w:t>（1）不具备招标文件中规定的资格要求的；</w:t>
      </w:r>
    </w:p>
    <w:p w14:paraId="061E681D">
      <w:pPr>
        <w:pStyle w:val="15"/>
        <w:snapToGrid w:val="0"/>
        <w:spacing w:line="400" w:lineRule="exact"/>
        <w:ind w:firstLine="422" w:firstLineChars="200"/>
        <w:rPr>
          <w:rFonts w:hAnsi="宋体"/>
          <w:b/>
          <w:color w:val="auto"/>
          <w:sz w:val="21"/>
        </w:rPr>
      </w:pPr>
      <w:r>
        <w:rPr>
          <w:rFonts w:hint="eastAsia" w:hAnsi="宋体"/>
          <w:b/>
          <w:color w:val="auto"/>
          <w:sz w:val="21"/>
        </w:rPr>
        <w:t>（2）在“信用中国”网站（www.creditchina.gov.cn）、中国政府采购网（www.ccgp.gov.cn）被列入失信被执行人、重大税收违法失信主体、政府采购严重违法失信行为记录名单及其他不符合《中华人民共和国政府采购法》第二十二条规定条件的；（注：其中信用查询规则见“投标人须知前附表”，广西政府采购云平台已与“信用中国”网站、中国政府采购网实现数据对接，可直接在线查询）</w:t>
      </w:r>
    </w:p>
    <w:p w14:paraId="51ECAC8A">
      <w:pPr>
        <w:pStyle w:val="15"/>
        <w:snapToGrid w:val="0"/>
        <w:spacing w:line="400" w:lineRule="exact"/>
        <w:ind w:firstLine="422" w:firstLineChars="200"/>
        <w:rPr>
          <w:rFonts w:hAnsi="宋体"/>
          <w:b/>
          <w:color w:val="auto"/>
          <w:sz w:val="21"/>
        </w:rPr>
      </w:pPr>
      <w:r>
        <w:rPr>
          <w:rFonts w:hint="eastAsia" w:hAnsi="宋体"/>
          <w:b/>
          <w:color w:val="auto"/>
          <w:sz w:val="21"/>
        </w:rPr>
        <w:t>（3）同一合同项下的不同投标人，单位负责人为同一人或者存在直接控股、管理关系的；为本项目提供过整体设计、规范编制或者项目管理、监理、检测等服务的供应商，再参加该采购项目的其他采购活动的；</w:t>
      </w:r>
    </w:p>
    <w:p w14:paraId="225C78F0">
      <w:pPr>
        <w:pStyle w:val="15"/>
        <w:snapToGrid w:val="0"/>
        <w:spacing w:line="400" w:lineRule="exact"/>
        <w:ind w:firstLine="422" w:firstLineChars="200"/>
        <w:rPr>
          <w:rFonts w:hAnsi="宋体"/>
          <w:b/>
          <w:color w:val="auto"/>
          <w:sz w:val="21"/>
        </w:rPr>
      </w:pPr>
      <w:r>
        <w:rPr>
          <w:rFonts w:hint="eastAsia" w:hAnsi="宋体"/>
          <w:b/>
          <w:color w:val="auto"/>
          <w:sz w:val="21"/>
        </w:rPr>
        <w:t>（4）投标文件中的资格证明文件缺少任一项“投标人须知前附表”资格证明文件规定“必须提供”的文件资料的；</w:t>
      </w:r>
    </w:p>
    <w:p w14:paraId="4E28F26C">
      <w:pPr>
        <w:pStyle w:val="15"/>
        <w:snapToGrid w:val="0"/>
        <w:spacing w:line="400" w:lineRule="exact"/>
        <w:ind w:firstLine="422" w:firstLineChars="200"/>
        <w:rPr>
          <w:rFonts w:hAnsi="宋体"/>
          <w:b/>
          <w:color w:val="auto"/>
          <w:sz w:val="21"/>
        </w:rPr>
      </w:pPr>
      <w:r>
        <w:rPr>
          <w:rFonts w:hint="eastAsia" w:hAnsi="宋体"/>
          <w:b/>
          <w:color w:val="auto"/>
          <w:sz w:val="21"/>
        </w:rPr>
        <w:t>（5）投标文件中的资格证明文件出现任一项不符合“投标人须知前附表”资格证明文件规定“必须提供”的文件资料要求或者无效的。</w:t>
      </w:r>
    </w:p>
    <w:p w14:paraId="1819EEBE">
      <w:pPr>
        <w:pStyle w:val="15"/>
        <w:snapToGrid w:val="0"/>
        <w:spacing w:line="400" w:lineRule="exact"/>
        <w:ind w:firstLine="422" w:firstLineChars="200"/>
        <w:rPr>
          <w:rFonts w:hAnsi="宋体"/>
          <w:color w:val="auto"/>
          <w:sz w:val="21"/>
        </w:rPr>
      </w:pPr>
      <w:r>
        <w:rPr>
          <w:rFonts w:hint="eastAsia" w:hAnsi="宋体"/>
          <w:b/>
          <w:bCs/>
          <w:color w:val="auto"/>
          <w:sz w:val="21"/>
        </w:rPr>
        <w:t>25.4</w:t>
      </w:r>
      <w:r>
        <w:rPr>
          <w:rFonts w:hAnsi="宋体"/>
          <w:b/>
          <w:bCs/>
          <w:color w:val="auto"/>
          <w:sz w:val="21"/>
        </w:rPr>
        <w:t>合格投标人不足3家的，不得评标。</w:t>
      </w:r>
      <w:bookmarkStart w:id="135" w:name="_25.3_投标人有下列情形之一的，资格审查不通过而导致其投标无效："/>
      <w:bookmarkEnd w:id="135"/>
    </w:p>
    <w:p w14:paraId="2FA727BC">
      <w:pPr>
        <w:pStyle w:val="4"/>
        <w:keepNext w:val="0"/>
        <w:keepLines w:val="0"/>
        <w:jc w:val="center"/>
        <w:rPr>
          <w:color w:val="auto"/>
        </w:rPr>
      </w:pPr>
      <w:r>
        <w:rPr>
          <w:rFonts w:hint="eastAsia"/>
          <w:color w:val="auto"/>
        </w:rPr>
        <w:t>六、评标</w:t>
      </w:r>
    </w:p>
    <w:p w14:paraId="33BA62EF">
      <w:pPr>
        <w:pStyle w:val="6"/>
        <w:keepNext w:val="0"/>
        <w:keepLines w:val="0"/>
        <w:spacing w:before="0" w:after="0" w:line="360" w:lineRule="auto"/>
        <w:ind w:left="420" w:leftChars="200"/>
        <w:rPr>
          <w:rFonts w:ascii="黑体" w:hAnsi="黑体" w:eastAsia="黑体"/>
          <w:color w:val="auto"/>
          <w:sz w:val="24"/>
        </w:rPr>
      </w:pPr>
      <w:bookmarkStart w:id="136" w:name="_26.组建评标委员会"/>
      <w:bookmarkEnd w:id="136"/>
      <w:r>
        <w:rPr>
          <w:rFonts w:hint="eastAsia" w:ascii="黑体" w:hAnsi="黑体" w:eastAsia="黑体"/>
          <w:color w:val="auto"/>
          <w:sz w:val="24"/>
        </w:rPr>
        <w:t>26.组建评标委员会</w:t>
      </w:r>
    </w:p>
    <w:p w14:paraId="7DB587C6">
      <w:pPr>
        <w:pStyle w:val="15"/>
        <w:snapToGrid w:val="0"/>
        <w:spacing w:line="360" w:lineRule="auto"/>
        <w:ind w:left="2" w:leftChars="1" w:firstLine="420" w:firstLineChars="200"/>
        <w:rPr>
          <w:rFonts w:hAnsi="宋体"/>
          <w:color w:val="auto"/>
          <w:sz w:val="21"/>
        </w:rPr>
      </w:pPr>
      <w:r>
        <w:rPr>
          <w:rFonts w:hint="eastAsia" w:hAnsi="宋体"/>
          <w:color w:val="auto"/>
          <w:sz w:val="21"/>
        </w:rPr>
        <w:t>26.1评标委员会由采购人代表和评审专家组成，具体人数详见“投标人须知前附表”，其中评审专家不得少于成员总数的三分之二。</w:t>
      </w:r>
    </w:p>
    <w:p w14:paraId="4669702F">
      <w:pPr>
        <w:pStyle w:val="15"/>
        <w:snapToGrid w:val="0"/>
        <w:spacing w:line="360" w:lineRule="auto"/>
        <w:ind w:left="2" w:leftChars="1" w:firstLine="420" w:firstLineChars="200"/>
        <w:rPr>
          <w:rFonts w:hAnsi="宋体"/>
          <w:color w:val="auto"/>
          <w:sz w:val="21"/>
        </w:rPr>
      </w:pPr>
      <w:r>
        <w:rPr>
          <w:rFonts w:hint="eastAsia" w:hAnsi="宋体"/>
          <w:color w:val="auto"/>
          <w:sz w:val="21"/>
        </w:rPr>
        <w:t>26.2参加过采购项目前期咨询论证的专家，不得参加该采购项目的评审活动。</w:t>
      </w:r>
    </w:p>
    <w:p w14:paraId="2021F1EE">
      <w:pPr>
        <w:pStyle w:val="15"/>
        <w:snapToGrid w:val="0"/>
        <w:spacing w:line="360" w:lineRule="auto"/>
        <w:ind w:left="2" w:leftChars="1" w:firstLine="420" w:firstLineChars="200"/>
        <w:rPr>
          <w:rFonts w:hAnsi="宋体"/>
          <w:color w:val="auto"/>
          <w:sz w:val="21"/>
        </w:rPr>
      </w:pPr>
      <w:r>
        <w:rPr>
          <w:rFonts w:hint="eastAsia" w:hAnsi="宋体"/>
          <w:color w:val="auto"/>
          <w:sz w:val="21"/>
        </w:rPr>
        <w:t>26.3采购代理机构应当基于广西政府采购云平台抽（选）取评审专家。</w:t>
      </w:r>
    </w:p>
    <w:p w14:paraId="74B1E7AC">
      <w:pPr>
        <w:pStyle w:val="6"/>
        <w:keepNext w:val="0"/>
        <w:keepLines w:val="0"/>
        <w:spacing w:before="0" w:after="0" w:line="360" w:lineRule="auto"/>
        <w:ind w:left="420" w:leftChars="200"/>
        <w:rPr>
          <w:rFonts w:ascii="黑体" w:hAnsi="黑体" w:eastAsia="黑体"/>
          <w:color w:val="auto"/>
          <w:sz w:val="24"/>
        </w:rPr>
      </w:pPr>
      <w:r>
        <w:rPr>
          <w:rFonts w:hint="eastAsia" w:ascii="黑体" w:hAnsi="黑体" w:eastAsia="黑体"/>
          <w:color w:val="auto"/>
          <w:sz w:val="24"/>
        </w:rPr>
        <w:t>27.评标的依据</w:t>
      </w:r>
    </w:p>
    <w:p w14:paraId="4BE1615F">
      <w:pPr>
        <w:pStyle w:val="15"/>
        <w:snapToGrid w:val="0"/>
        <w:spacing w:line="360" w:lineRule="auto"/>
        <w:ind w:firstLine="420" w:firstLineChars="200"/>
        <w:rPr>
          <w:rFonts w:hAnsi="宋体"/>
          <w:color w:val="auto"/>
          <w:sz w:val="21"/>
        </w:rPr>
      </w:pPr>
      <w:r>
        <w:rPr>
          <w:rFonts w:hint="eastAsia" w:hAnsi="宋体"/>
          <w:color w:val="auto"/>
          <w:sz w:val="21"/>
        </w:rPr>
        <w:t>评标委员会以“第四章 评标方法和评标标准”为依据对投标文件进行评审，没有规定的方法、评审因素和标准，不作为评标依据。</w:t>
      </w:r>
    </w:p>
    <w:p w14:paraId="6F330386">
      <w:pPr>
        <w:pStyle w:val="6"/>
        <w:keepNext w:val="0"/>
        <w:keepLines w:val="0"/>
        <w:spacing w:before="0" w:after="0" w:line="360" w:lineRule="auto"/>
        <w:ind w:left="420" w:leftChars="200"/>
        <w:rPr>
          <w:rFonts w:ascii="黑体" w:hAnsi="黑体" w:eastAsia="黑体"/>
          <w:color w:val="auto"/>
          <w:sz w:val="24"/>
        </w:rPr>
      </w:pPr>
      <w:r>
        <w:rPr>
          <w:rFonts w:hint="eastAsia" w:ascii="黑体" w:hAnsi="黑体" w:eastAsia="黑体"/>
          <w:color w:val="auto"/>
          <w:sz w:val="24"/>
        </w:rPr>
        <w:t>28.评标原则</w:t>
      </w:r>
    </w:p>
    <w:p w14:paraId="1208DA34">
      <w:pPr>
        <w:pStyle w:val="15"/>
        <w:snapToGrid w:val="0"/>
        <w:spacing w:line="360" w:lineRule="auto"/>
        <w:ind w:firstLine="420" w:firstLineChars="200"/>
        <w:rPr>
          <w:rFonts w:hAnsi="宋体"/>
          <w:color w:val="auto"/>
          <w:sz w:val="21"/>
        </w:rPr>
      </w:pPr>
      <w:r>
        <w:rPr>
          <w:rFonts w:hint="eastAsia" w:hAnsi="宋体"/>
          <w:color w:val="auto"/>
          <w:sz w:val="21"/>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19F16F6D">
      <w:pPr>
        <w:pStyle w:val="15"/>
        <w:snapToGrid w:val="0"/>
        <w:spacing w:line="360" w:lineRule="auto"/>
        <w:ind w:firstLine="420" w:firstLineChars="200"/>
        <w:rPr>
          <w:rFonts w:hAnsi="宋体"/>
          <w:color w:val="auto"/>
          <w:sz w:val="21"/>
        </w:rPr>
      </w:pPr>
      <w:r>
        <w:rPr>
          <w:rFonts w:hint="eastAsia" w:hAnsi="宋体"/>
          <w:color w:val="auto"/>
          <w:sz w:val="21"/>
        </w:rPr>
        <w:t>28.2评委表决。评标委员会成员对需要共同认定的事项存在争议的，应当按照少数服从多数的原则作出结论。</w:t>
      </w:r>
    </w:p>
    <w:p w14:paraId="3556FBF7">
      <w:pPr>
        <w:pStyle w:val="15"/>
        <w:snapToGrid w:val="0"/>
        <w:spacing w:line="360" w:lineRule="auto"/>
        <w:ind w:firstLine="420" w:firstLineChars="200"/>
        <w:rPr>
          <w:rFonts w:hAnsi="宋体"/>
          <w:color w:val="auto"/>
          <w:sz w:val="21"/>
        </w:rPr>
      </w:pPr>
      <w:r>
        <w:rPr>
          <w:rFonts w:hint="eastAsia" w:hAnsi="宋体"/>
          <w:color w:val="auto"/>
          <w:sz w:val="21"/>
        </w:rPr>
        <w:t>28.3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3F8EE703">
      <w:pPr>
        <w:pStyle w:val="15"/>
        <w:snapToGrid w:val="0"/>
        <w:spacing w:line="360" w:lineRule="auto"/>
        <w:ind w:firstLine="420" w:firstLineChars="200"/>
        <w:rPr>
          <w:rFonts w:hAnsi="宋体"/>
          <w:b/>
          <w:bCs/>
          <w:color w:val="auto"/>
          <w:sz w:val="21"/>
        </w:rPr>
      </w:pPr>
      <w:r>
        <w:rPr>
          <w:rFonts w:hint="eastAsia" w:hAnsi="宋体"/>
          <w:color w:val="auto"/>
          <w:sz w:val="21"/>
        </w:rPr>
        <w:t>28.4评标过程的监控。本项目电子评标过程实行网上留痕、全程录音、录像监控，</w:t>
      </w:r>
      <w:r>
        <w:rPr>
          <w:rFonts w:hint="eastAsia" w:hAnsi="宋体"/>
          <w:b/>
          <w:bCs/>
          <w:color w:val="auto"/>
          <w:sz w:val="21"/>
        </w:rPr>
        <w:t>投标人在评标过程中所进行的试图影响评标结果的不公正活动，可能导致其投标按无效处理。</w:t>
      </w:r>
    </w:p>
    <w:p w14:paraId="5DA0EC25">
      <w:pPr>
        <w:pStyle w:val="6"/>
        <w:keepNext w:val="0"/>
        <w:keepLines w:val="0"/>
        <w:spacing w:before="0" w:after="0" w:line="360" w:lineRule="auto"/>
        <w:ind w:left="420" w:leftChars="200"/>
        <w:rPr>
          <w:rFonts w:ascii="黑体" w:hAnsi="黑体" w:eastAsia="黑体"/>
          <w:color w:val="auto"/>
          <w:sz w:val="24"/>
        </w:rPr>
      </w:pPr>
      <w:r>
        <w:rPr>
          <w:rFonts w:hint="eastAsia" w:ascii="黑体" w:hAnsi="黑体" w:eastAsia="黑体"/>
          <w:color w:val="auto"/>
          <w:sz w:val="24"/>
        </w:rPr>
        <w:t>29.评标方法及评标标准</w:t>
      </w:r>
    </w:p>
    <w:p w14:paraId="49357EFC">
      <w:pPr>
        <w:pStyle w:val="15"/>
        <w:snapToGrid w:val="0"/>
        <w:spacing w:line="360" w:lineRule="auto"/>
        <w:ind w:firstLine="420" w:firstLineChars="200"/>
        <w:rPr>
          <w:rFonts w:hAnsi="宋体"/>
          <w:color w:val="auto"/>
          <w:sz w:val="21"/>
        </w:rPr>
      </w:pPr>
      <w:r>
        <w:rPr>
          <w:rFonts w:hint="eastAsia" w:hAnsi="宋体"/>
          <w:color w:val="auto"/>
          <w:sz w:val="21"/>
        </w:rPr>
        <w:t>29.1本项目的评标方法详见“投标人须知前附表”。</w:t>
      </w:r>
    </w:p>
    <w:p w14:paraId="574B2AE5">
      <w:pPr>
        <w:pStyle w:val="15"/>
        <w:snapToGrid w:val="0"/>
        <w:spacing w:line="360" w:lineRule="auto"/>
        <w:ind w:firstLine="420" w:firstLineChars="200"/>
        <w:rPr>
          <w:rFonts w:hAnsi="宋体"/>
          <w:color w:val="auto"/>
          <w:sz w:val="21"/>
        </w:rPr>
      </w:pPr>
      <w:r>
        <w:rPr>
          <w:rFonts w:hint="eastAsia" w:hAnsi="宋体"/>
          <w:color w:val="auto"/>
          <w:sz w:val="21"/>
        </w:rPr>
        <w:t>29.2 商务/技术需求允许负偏离的条款数详见“投标人须知前附表”。</w:t>
      </w:r>
    </w:p>
    <w:p w14:paraId="7BB64E96">
      <w:pPr>
        <w:pStyle w:val="15"/>
        <w:snapToGrid w:val="0"/>
        <w:spacing w:line="360" w:lineRule="auto"/>
        <w:ind w:firstLine="420" w:firstLineChars="200"/>
        <w:rPr>
          <w:rFonts w:hAnsi="宋体"/>
          <w:color w:val="auto"/>
          <w:sz w:val="21"/>
        </w:rPr>
      </w:pPr>
      <w:r>
        <w:rPr>
          <w:rFonts w:hint="eastAsia" w:hAnsi="宋体"/>
          <w:color w:val="auto"/>
          <w:sz w:val="21"/>
        </w:rPr>
        <w:t>29.3 中标候选人推荐数量详见“投标人须知前附表”。</w:t>
      </w:r>
    </w:p>
    <w:p w14:paraId="21B9333F">
      <w:pPr>
        <w:pStyle w:val="15"/>
        <w:snapToGrid w:val="0"/>
        <w:spacing w:line="360" w:lineRule="auto"/>
        <w:ind w:firstLine="420" w:firstLineChars="200"/>
        <w:rPr>
          <w:rFonts w:hAnsi="宋体"/>
          <w:color w:val="auto"/>
          <w:sz w:val="21"/>
        </w:rPr>
      </w:pPr>
      <w:r>
        <w:rPr>
          <w:rFonts w:hint="eastAsia" w:hAnsi="宋体"/>
          <w:color w:val="auto"/>
          <w:sz w:val="21"/>
        </w:rPr>
        <w:t>29.4 电子交易活动的中止。采购过程中出现以下情形，导致电子交易平台无法正常运行，或者无法保证电子交易的公平、公正和安全时，采购代理机构可以中止电子交易活动：</w:t>
      </w:r>
    </w:p>
    <w:p w14:paraId="7CF13C7D">
      <w:pPr>
        <w:pStyle w:val="15"/>
        <w:snapToGrid w:val="0"/>
        <w:spacing w:line="360" w:lineRule="auto"/>
        <w:ind w:firstLine="420" w:firstLineChars="200"/>
        <w:rPr>
          <w:rFonts w:hAnsi="宋体"/>
          <w:color w:val="auto"/>
          <w:sz w:val="21"/>
        </w:rPr>
      </w:pPr>
      <w:r>
        <w:rPr>
          <w:rFonts w:hint="eastAsia" w:hAnsi="宋体"/>
          <w:color w:val="auto"/>
          <w:sz w:val="21"/>
        </w:rPr>
        <w:t xml:space="preserve">（1）电子交易平台发生故障而无法登录访问的； </w:t>
      </w:r>
    </w:p>
    <w:p w14:paraId="7DCFE733">
      <w:pPr>
        <w:pStyle w:val="15"/>
        <w:snapToGrid w:val="0"/>
        <w:spacing w:line="360" w:lineRule="auto"/>
        <w:ind w:firstLine="420" w:firstLineChars="200"/>
        <w:rPr>
          <w:rFonts w:hAnsi="宋体"/>
          <w:color w:val="auto"/>
          <w:sz w:val="21"/>
        </w:rPr>
      </w:pPr>
      <w:r>
        <w:rPr>
          <w:rFonts w:hint="eastAsia" w:hAnsi="宋体"/>
          <w:color w:val="auto"/>
          <w:sz w:val="21"/>
        </w:rPr>
        <w:t>（2）电子交易平台应用或数据库出现错误，不能进行正常操作的；</w:t>
      </w:r>
    </w:p>
    <w:p w14:paraId="788BA49D">
      <w:pPr>
        <w:pStyle w:val="15"/>
        <w:snapToGrid w:val="0"/>
        <w:spacing w:line="360" w:lineRule="auto"/>
        <w:ind w:firstLine="420" w:firstLineChars="200"/>
        <w:rPr>
          <w:rFonts w:hAnsi="宋体"/>
          <w:color w:val="auto"/>
          <w:sz w:val="21"/>
        </w:rPr>
      </w:pPr>
      <w:r>
        <w:rPr>
          <w:rFonts w:hint="eastAsia" w:hAnsi="宋体"/>
          <w:color w:val="auto"/>
          <w:sz w:val="21"/>
        </w:rPr>
        <w:t>（3）电子交易平台发现严重安全漏洞，有潜在泄密危险的；</w:t>
      </w:r>
    </w:p>
    <w:p w14:paraId="7F20B03E">
      <w:pPr>
        <w:pStyle w:val="15"/>
        <w:snapToGrid w:val="0"/>
        <w:spacing w:line="360" w:lineRule="auto"/>
        <w:ind w:firstLine="420" w:firstLineChars="200"/>
        <w:rPr>
          <w:rFonts w:hAnsi="宋体"/>
          <w:color w:val="auto"/>
          <w:sz w:val="21"/>
        </w:rPr>
      </w:pPr>
      <w:r>
        <w:rPr>
          <w:rFonts w:hint="eastAsia" w:hAnsi="宋体"/>
          <w:color w:val="auto"/>
          <w:sz w:val="21"/>
        </w:rPr>
        <w:t xml:space="preserve">（4）病毒发作导致不能进行正常操作的； </w:t>
      </w:r>
    </w:p>
    <w:p w14:paraId="5F351DA8">
      <w:pPr>
        <w:pStyle w:val="15"/>
        <w:snapToGrid w:val="0"/>
        <w:spacing w:line="360" w:lineRule="auto"/>
        <w:ind w:firstLine="420" w:firstLineChars="200"/>
        <w:rPr>
          <w:rFonts w:hAnsi="宋体"/>
          <w:color w:val="auto"/>
          <w:sz w:val="21"/>
        </w:rPr>
      </w:pPr>
      <w:r>
        <w:rPr>
          <w:rFonts w:hint="eastAsia" w:hAnsi="宋体"/>
          <w:color w:val="auto"/>
          <w:sz w:val="21"/>
        </w:rPr>
        <w:t>（5）其他无法保证电子交易的公平、公正和安全的情况。</w:t>
      </w:r>
    </w:p>
    <w:p w14:paraId="019D0807">
      <w:pPr>
        <w:spacing w:line="360" w:lineRule="exact"/>
        <w:ind w:firstLine="420" w:firstLineChars="200"/>
        <w:rPr>
          <w:rFonts w:hint="eastAsia" w:hAnsi="宋体"/>
          <w:color w:val="auto"/>
          <w:sz w:val="21"/>
        </w:rPr>
      </w:pPr>
      <w:r>
        <w:rPr>
          <w:rFonts w:hint="eastAsia" w:hAnsi="宋体"/>
          <w:color w:val="auto"/>
          <w:sz w:val="21"/>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作出妥善保密处理，并报财政部门备案。</w:t>
      </w:r>
    </w:p>
    <w:p w14:paraId="4B68380F">
      <w:pPr>
        <w:spacing w:line="360" w:lineRule="exact"/>
        <w:ind w:firstLine="422" w:firstLineChars="200"/>
        <w:rPr>
          <w:rFonts w:hint="eastAsia" w:ascii="宋体" w:hAnsi="宋体"/>
          <w:b/>
          <w:szCs w:val="21"/>
        </w:rPr>
      </w:pPr>
      <w:r>
        <w:rPr>
          <w:rFonts w:hint="eastAsia" w:ascii="宋体" w:hAnsi="宋体"/>
          <w:b/>
          <w:szCs w:val="21"/>
        </w:rPr>
        <w:t>2</w:t>
      </w:r>
      <w:r>
        <w:rPr>
          <w:rFonts w:hint="eastAsia" w:ascii="宋体" w:hAnsi="宋体"/>
          <w:b/>
          <w:szCs w:val="21"/>
          <w:lang w:val="en-US" w:eastAsia="zh-CN"/>
        </w:rPr>
        <w:t>9.5</w:t>
      </w:r>
      <w:r>
        <w:rPr>
          <w:rFonts w:hint="eastAsia" w:ascii="宋体" w:hAnsi="宋体"/>
          <w:b/>
          <w:szCs w:val="21"/>
        </w:rPr>
        <w:t>异常低价投标审查</w:t>
      </w:r>
    </w:p>
    <w:p w14:paraId="11AC2038">
      <w:pPr>
        <w:spacing w:line="360" w:lineRule="exact"/>
        <w:ind w:firstLine="422" w:firstLineChars="200"/>
        <w:rPr>
          <w:rFonts w:hint="eastAsia" w:ascii="宋体" w:hAnsi="宋体"/>
          <w:b/>
          <w:szCs w:val="21"/>
        </w:rPr>
      </w:pPr>
      <w:r>
        <w:rPr>
          <w:rFonts w:hint="eastAsia" w:ascii="宋体" w:hAnsi="宋体"/>
          <w:b/>
          <w:szCs w:val="21"/>
        </w:rPr>
        <w:t>2</w:t>
      </w:r>
      <w:r>
        <w:rPr>
          <w:rFonts w:hint="eastAsia" w:ascii="宋体" w:hAnsi="宋体"/>
          <w:b/>
          <w:szCs w:val="21"/>
          <w:lang w:val="en-US" w:eastAsia="zh-CN"/>
        </w:rPr>
        <w:t>9.5</w:t>
      </w:r>
      <w:r>
        <w:rPr>
          <w:rFonts w:hint="eastAsia" w:ascii="宋体" w:hAnsi="宋体"/>
          <w:b/>
          <w:szCs w:val="21"/>
        </w:rPr>
        <w:t>.1异常低价投标情形（本项目各分标在评审过程中出现下列情形之一的，评标委员会应当启动异常低价投标审查程序）:</w:t>
      </w:r>
    </w:p>
    <w:p w14:paraId="593DF828">
      <w:pPr>
        <w:spacing w:line="360" w:lineRule="exact"/>
        <w:ind w:firstLine="422" w:firstLineChars="200"/>
        <w:rPr>
          <w:rFonts w:ascii="宋体" w:hAnsi="宋体"/>
          <w:b/>
          <w:szCs w:val="21"/>
        </w:rPr>
      </w:pPr>
      <w:r>
        <w:rPr>
          <w:rFonts w:hint="eastAsia" w:ascii="宋体" w:hAnsi="宋体"/>
          <w:b/>
          <w:szCs w:val="21"/>
        </w:rPr>
        <w:t>(1)投标人所投分标投标报价低于该分标全部通过符合性审查投标人投标报价平均值</w:t>
      </w:r>
      <w:r>
        <w:rPr>
          <w:rFonts w:ascii="宋体" w:hAnsi="宋体"/>
          <w:b/>
          <w:szCs w:val="21"/>
        </w:rPr>
        <w:t>65</w:t>
      </w:r>
      <w:r>
        <w:rPr>
          <w:rFonts w:hint="eastAsia" w:ascii="宋体" w:hAnsi="宋体"/>
          <w:b/>
          <w:szCs w:val="21"/>
        </w:rPr>
        <w:t>%的，即投标报价＜所投分标全部通过符合性审查投标人投标报价平均值×</w:t>
      </w:r>
      <w:r>
        <w:rPr>
          <w:rFonts w:ascii="宋体" w:hAnsi="宋体"/>
          <w:b/>
          <w:szCs w:val="21"/>
        </w:rPr>
        <w:t>65</w:t>
      </w:r>
      <w:r>
        <w:rPr>
          <w:rFonts w:hint="eastAsia" w:ascii="宋体" w:hAnsi="宋体"/>
          <w:b/>
          <w:szCs w:val="21"/>
        </w:rPr>
        <w:t>%；</w:t>
      </w:r>
    </w:p>
    <w:p w14:paraId="63F2C091">
      <w:pPr>
        <w:spacing w:line="360" w:lineRule="exact"/>
        <w:ind w:firstLine="422" w:firstLineChars="200"/>
        <w:rPr>
          <w:rFonts w:ascii="宋体" w:hAnsi="宋体"/>
          <w:b/>
          <w:szCs w:val="21"/>
        </w:rPr>
      </w:pPr>
      <w:r>
        <w:rPr>
          <w:rFonts w:hint="eastAsia" w:ascii="宋体" w:hAnsi="宋体"/>
          <w:b/>
          <w:szCs w:val="21"/>
        </w:rPr>
        <w:t>(2)投标人所投分标投标报价低于通过符合性审查且该分标报价次低投标人投标报价</w:t>
      </w:r>
      <w:r>
        <w:rPr>
          <w:rFonts w:ascii="宋体" w:hAnsi="宋体"/>
          <w:b/>
          <w:szCs w:val="21"/>
        </w:rPr>
        <w:t>65</w:t>
      </w:r>
      <w:r>
        <w:rPr>
          <w:rFonts w:hint="eastAsia" w:ascii="宋体" w:hAnsi="宋体"/>
          <w:b/>
          <w:szCs w:val="21"/>
        </w:rPr>
        <w:t>%的，即投标报价＜所投分标通过符合性审查且报价次低投标人投标报价×</w:t>
      </w:r>
      <w:r>
        <w:rPr>
          <w:rFonts w:ascii="宋体" w:hAnsi="宋体"/>
          <w:b/>
          <w:szCs w:val="21"/>
        </w:rPr>
        <w:t>65</w:t>
      </w:r>
      <w:r>
        <w:rPr>
          <w:rFonts w:hint="eastAsia" w:ascii="宋体" w:hAnsi="宋体"/>
          <w:b/>
          <w:szCs w:val="21"/>
        </w:rPr>
        <w:t>%；</w:t>
      </w:r>
    </w:p>
    <w:p w14:paraId="27C579C7">
      <w:pPr>
        <w:spacing w:line="360" w:lineRule="exact"/>
        <w:ind w:firstLine="422" w:firstLineChars="200"/>
        <w:rPr>
          <w:rFonts w:ascii="宋体" w:hAnsi="宋体"/>
          <w:b/>
          <w:szCs w:val="21"/>
        </w:rPr>
      </w:pPr>
      <w:r>
        <w:rPr>
          <w:rFonts w:hint="eastAsia" w:ascii="宋体" w:hAnsi="宋体"/>
          <w:b/>
          <w:szCs w:val="21"/>
        </w:rPr>
        <w:t>(3)投标人所投分标投标报价低于该分标采购预算金额</w:t>
      </w:r>
      <w:r>
        <w:rPr>
          <w:rFonts w:hint="eastAsia" w:ascii="宋体" w:hAnsi="宋体"/>
          <w:b/>
          <w:szCs w:val="21"/>
          <w:lang w:val="en-US" w:eastAsia="zh-CN"/>
        </w:rPr>
        <w:t>4</w:t>
      </w:r>
      <w:r>
        <w:rPr>
          <w:rFonts w:ascii="宋体" w:hAnsi="宋体"/>
          <w:b/>
          <w:szCs w:val="21"/>
        </w:rPr>
        <w:t>5</w:t>
      </w:r>
      <w:r>
        <w:rPr>
          <w:rFonts w:hint="eastAsia" w:ascii="宋体" w:hAnsi="宋体"/>
          <w:b/>
          <w:szCs w:val="21"/>
        </w:rPr>
        <w:t>%的，即投标报价＜所投分标采购预算金额×</w:t>
      </w:r>
      <w:r>
        <w:rPr>
          <w:rFonts w:hint="eastAsia" w:ascii="宋体" w:hAnsi="宋体"/>
          <w:b/>
          <w:szCs w:val="21"/>
          <w:lang w:val="en-US" w:eastAsia="zh-CN"/>
        </w:rPr>
        <w:t>4</w:t>
      </w:r>
      <w:r>
        <w:rPr>
          <w:rFonts w:hint="eastAsia" w:ascii="宋体" w:hAnsi="宋体"/>
          <w:b/>
          <w:szCs w:val="21"/>
        </w:rPr>
        <w:t>5%。</w:t>
      </w:r>
    </w:p>
    <w:p w14:paraId="396C9A64">
      <w:pPr>
        <w:spacing w:line="360" w:lineRule="exact"/>
        <w:ind w:firstLine="422" w:firstLineChars="200"/>
        <w:rPr>
          <w:rFonts w:hint="eastAsia" w:ascii="宋体" w:hAnsi="宋体"/>
          <w:b/>
          <w:szCs w:val="21"/>
        </w:rPr>
      </w:pPr>
      <w:r>
        <w:rPr>
          <w:rFonts w:hint="eastAsia" w:ascii="宋体" w:hAnsi="宋体"/>
          <w:b/>
          <w:szCs w:val="21"/>
        </w:rPr>
        <w:t>(</w:t>
      </w:r>
      <w:r>
        <w:rPr>
          <w:rFonts w:ascii="宋体" w:hAnsi="宋体"/>
          <w:b/>
          <w:szCs w:val="21"/>
        </w:rPr>
        <w:t>4)</w:t>
      </w:r>
      <w:r>
        <w:rPr>
          <w:rFonts w:hint="eastAsia" w:ascii="宋体" w:hAnsi="宋体"/>
          <w:b/>
          <w:szCs w:val="21"/>
        </w:rPr>
        <w:t>评审委员会基于专业判断，认为供应商报价过低，有可能影响产品质量或者不能诚信履约的其他情形。</w:t>
      </w:r>
    </w:p>
    <w:p w14:paraId="26AC962C">
      <w:pPr>
        <w:snapToGrid w:val="0"/>
        <w:spacing w:line="360" w:lineRule="exact"/>
        <w:ind w:firstLine="422" w:firstLineChars="200"/>
        <w:rPr>
          <w:rFonts w:hint="eastAsia" w:ascii="宋体" w:hAnsi="宋体"/>
          <w:b/>
          <w:szCs w:val="21"/>
        </w:rPr>
      </w:pPr>
      <w:r>
        <w:rPr>
          <w:rFonts w:hint="eastAsia" w:ascii="宋体" w:hAnsi="宋体"/>
          <w:b/>
          <w:szCs w:val="21"/>
          <w:lang w:val="en-US" w:eastAsia="zh-CN"/>
        </w:rPr>
        <w:t>29.5</w:t>
      </w:r>
      <w:r>
        <w:rPr>
          <w:rFonts w:hint="eastAsia" w:ascii="宋体" w:hAnsi="宋体"/>
          <w:b/>
          <w:szCs w:val="21"/>
        </w:rPr>
        <w:t>.2</w:t>
      </w:r>
      <w:bookmarkStart w:id="137" w:name="OLE_LINK40"/>
      <w:r>
        <w:rPr>
          <w:rFonts w:hint="eastAsia" w:ascii="宋体" w:hAnsi="宋体"/>
          <w:b/>
          <w:szCs w:val="21"/>
        </w:rPr>
        <w:t>异常低价投标审查</w:t>
      </w:r>
      <w:bookmarkEnd w:id="137"/>
      <w:r>
        <w:rPr>
          <w:rFonts w:hint="eastAsia" w:ascii="宋体" w:hAnsi="宋体"/>
          <w:b/>
          <w:szCs w:val="21"/>
        </w:rPr>
        <w:t>流程：</w:t>
      </w:r>
    </w:p>
    <w:p w14:paraId="57EE327C">
      <w:pPr>
        <w:snapToGrid w:val="0"/>
        <w:spacing w:line="360" w:lineRule="exact"/>
        <w:ind w:firstLine="422" w:firstLineChars="200"/>
        <w:rPr>
          <w:rFonts w:hAnsi="宋体"/>
          <w:color w:val="auto"/>
          <w:sz w:val="21"/>
        </w:rPr>
      </w:pPr>
      <w:r>
        <w:rPr>
          <w:rFonts w:hint="eastAsia" w:ascii="宋体" w:hAnsi="宋体"/>
          <w:b/>
          <w:szCs w:val="21"/>
        </w:rPr>
        <w:t>评标委员会启动异常低价投标审查程序后，应当要求相关投标人在评审现场合理的时间内（不少于30分钟）提供书面说明及必要的证明材料，对投标价格作出解释。书面说明、证明材料主要是项目具体成本测算等与报价合理性相关的说明、材料。评标委员会应当结合同类产品在主要电商平台的价格、该行业当地薪资水平等情况，依据专业经验对报价合理性进行判断。如果投标人不提供书面说明、证明材料，或者提供的书面说明、证明材料不能证明其报价合理性的，评标委员会应当将其作为无效投标处理。以上审查相关情况应当在评审报告中记录。</w:t>
      </w:r>
    </w:p>
    <w:p w14:paraId="58F3B127">
      <w:pPr>
        <w:pStyle w:val="15"/>
        <w:snapToGrid w:val="0"/>
        <w:spacing w:line="360" w:lineRule="auto"/>
        <w:rPr>
          <w:rFonts w:hAnsi="宋体"/>
          <w:color w:val="auto"/>
          <w:sz w:val="21"/>
        </w:rPr>
      </w:pPr>
    </w:p>
    <w:p w14:paraId="124BEFAB">
      <w:pPr>
        <w:pStyle w:val="4"/>
        <w:keepNext w:val="0"/>
        <w:keepLines w:val="0"/>
        <w:jc w:val="center"/>
        <w:rPr>
          <w:color w:val="auto"/>
        </w:rPr>
      </w:pPr>
      <w:bookmarkStart w:id="138" w:name="_Toc254970546"/>
      <w:bookmarkStart w:id="139" w:name="_Toc254970687"/>
      <w:r>
        <w:rPr>
          <w:rFonts w:hint="eastAsia"/>
          <w:color w:val="auto"/>
        </w:rPr>
        <w:t>七、</w:t>
      </w:r>
      <w:bookmarkEnd w:id="138"/>
      <w:bookmarkEnd w:id="139"/>
      <w:r>
        <w:rPr>
          <w:rFonts w:hint="eastAsia"/>
          <w:color w:val="auto"/>
        </w:rPr>
        <w:t>中标和合同</w:t>
      </w:r>
    </w:p>
    <w:p w14:paraId="7AF875F3">
      <w:pPr>
        <w:pStyle w:val="6"/>
        <w:keepNext w:val="0"/>
        <w:keepLines w:val="0"/>
        <w:spacing w:before="0" w:after="0" w:line="360" w:lineRule="auto"/>
        <w:ind w:left="420" w:leftChars="200"/>
        <w:rPr>
          <w:rFonts w:ascii="黑体" w:hAnsi="黑体" w:eastAsia="黑体"/>
          <w:color w:val="auto"/>
          <w:sz w:val="24"/>
        </w:rPr>
      </w:pPr>
      <w:r>
        <w:rPr>
          <w:rFonts w:hint="eastAsia" w:ascii="黑体" w:hAnsi="黑体" w:eastAsia="黑体"/>
          <w:color w:val="auto"/>
          <w:sz w:val="24"/>
        </w:rPr>
        <w:t>30.确定中标人</w:t>
      </w:r>
    </w:p>
    <w:p w14:paraId="4DE17586">
      <w:pPr>
        <w:pStyle w:val="6"/>
        <w:keepNext w:val="0"/>
        <w:keepLines w:val="0"/>
        <w:numPr>
          <w:ilvl w:val="0"/>
          <w:numId w:val="0"/>
        </w:numPr>
        <w:spacing w:before="0" w:after="0" w:line="360" w:lineRule="auto"/>
        <w:ind w:firstLine="420" w:firstLineChars="200"/>
        <w:rPr>
          <w:rFonts w:ascii="宋体" w:hAnsi="宋体"/>
          <w:b w:val="0"/>
          <w:bCs/>
          <w:color w:val="auto"/>
          <w:sz w:val="21"/>
          <w:szCs w:val="21"/>
        </w:rPr>
      </w:pPr>
      <w:r>
        <w:rPr>
          <w:rFonts w:hint="eastAsia" w:ascii="宋体" w:hAnsi="宋体"/>
          <w:b w:val="0"/>
          <w:bCs/>
          <w:color w:val="auto"/>
          <w:sz w:val="21"/>
          <w:szCs w:val="21"/>
        </w:rPr>
        <w:t>30.1采购代理机构在评标结束之日起2个工作日内将评标报告送采购人，采购人在收到评标报告之日起5个工作日内，在评标报告确定的中标候选人名单中按顺序确定中标人。中标候选人并列的，按照“投标人须知前附表”规定的方式确定中标人。采购人也可以事先授权评标委员会直接确定中标人。</w:t>
      </w:r>
    </w:p>
    <w:p w14:paraId="71B40E45">
      <w:pPr>
        <w:pStyle w:val="6"/>
        <w:keepNext w:val="0"/>
        <w:keepLines w:val="0"/>
        <w:numPr>
          <w:ilvl w:val="0"/>
          <w:numId w:val="0"/>
        </w:numPr>
        <w:spacing w:before="0" w:after="0" w:line="360" w:lineRule="auto"/>
        <w:ind w:firstLine="420" w:firstLineChars="200"/>
        <w:rPr>
          <w:rFonts w:ascii="宋体" w:hAnsi="宋体"/>
          <w:b w:val="0"/>
          <w:bCs/>
          <w:color w:val="auto"/>
          <w:sz w:val="21"/>
          <w:szCs w:val="21"/>
        </w:rPr>
      </w:pPr>
      <w:r>
        <w:rPr>
          <w:rFonts w:hint="eastAsia" w:ascii="宋体" w:hAnsi="宋体"/>
          <w:b w:val="0"/>
          <w:bCs/>
          <w:color w:val="auto"/>
          <w:sz w:val="21"/>
          <w:szCs w:val="21"/>
        </w:rPr>
        <w:t>30.2采购人在收到评标报告5个工作日内未按评标报告推荐的中标候选人顺序确定中标人，又不能说明合法理由的，视同按评标报告推荐的顺序确定排名第一的中标候选人为中标人。</w:t>
      </w:r>
    </w:p>
    <w:p w14:paraId="3BE4A222">
      <w:pPr>
        <w:pStyle w:val="6"/>
        <w:keepNext w:val="0"/>
        <w:keepLines w:val="0"/>
        <w:numPr>
          <w:ilvl w:val="0"/>
          <w:numId w:val="0"/>
        </w:numPr>
        <w:spacing w:before="0" w:after="0" w:line="360" w:lineRule="auto"/>
        <w:ind w:firstLine="420" w:firstLineChars="200"/>
        <w:rPr>
          <w:rFonts w:ascii="宋体" w:hAnsi="宋体"/>
          <w:b w:val="0"/>
          <w:bCs/>
          <w:color w:val="auto"/>
          <w:sz w:val="21"/>
          <w:szCs w:val="21"/>
        </w:rPr>
      </w:pPr>
      <w:r>
        <w:rPr>
          <w:rFonts w:hint="eastAsia" w:ascii="宋体" w:hAnsi="宋体"/>
          <w:b w:val="0"/>
          <w:bCs/>
          <w:color w:val="auto"/>
          <w:sz w:val="21"/>
          <w:szCs w:val="21"/>
        </w:rPr>
        <w:t>30.3出现下列情形之一的，应予废标：</w:t>
      </w:r>
    </w:p>
    <w:p w14:paraId="48A11957">
      <w:pPr>
        <w:pStyle w:val="6"/>
        <w:keepNext w:val="0"/>
        <w:keepLines w:val="0"/>
        <w:spacing w:before="0" w:after="0" w:line="360" w:lineRule="auto"/>
        <w:ind w:left="420" w:leftChars="200"/>
        <w:rPr>
          <w:rFonts w:ascii="宋体" w:hAnsi="宋体"/>
          <w:b w:val="0"/>
          <w:bCs/>
          <w:color w:val="auto"/>
          <w:sz w:val="21"/>
          <w:szCs w:val="21"/>
        </w:rPr>
      </w:pPr>
      <w:r>
        <w:rPr>
          <w:rFonts w:hint="eastAsia" w:ascii="宋体" w:hAnsi="宋体"/>
          <w:b w:val="0"/>
          <w:bCs/>
          <w:color w:val="auto"/>
          <w:sz w:val="21"/>
          <w:szCs w:val="21"/>
        </w:rPr>
        <w:t>（1）符合专业条件的供应商或者对招标文件作实质响应的供应商不足三家的；</w:t>
      </w:r>
    </w:p>
    <w:p w14:paraId="30627240">
      <w:pPr>
        <w:pStyle w:val="6"/>
        <w:keepNext w:val="0"/>
        <w:keepLines w:val="0"/>
        <w:spacing w:before="0" w:after="0" w:line="360" w:lineRule="auto"/>
        <w:ind w:left="420" w:leftChars="200"/>
        <w:rPr>
          <w:rFonts w:ascii="宋体" w:hAnsi="宋体"/>
          <w:b w:val="0"/>
          <w:bCs/>
          <w:color w:val="auto"/>
          <w:sz w:val="21"/>
          <w:szCs w:val="21"/>
        </w:rPr>
      </w:pPr>
      <w:r>
        <w:rPr>
          <w:rFonts w:hint="eastAsia" w:ascii="宋体" w:hAnsi="宋体"/>
          <w:b w:val="0"/>
          <w:bCs/>
          <w:color w:val="auto"/>
          <w:sz w:val="21"/>
          <w:szCs w:val="21"/>
        </w:rPr>
        <w:t>（2）出现影响采购公正的违法、违规行为的；</w:t>
      </w:r>
    </w:p>
    <w:p w14:paraId="4E8573CA">
      <w:pPr>
        <w:pStyle w:val="6"/>
        <w:keepNext w:val="0"/>
        <w:keepLines w:val="0"/>
        <w:spacing w:before="0" w:after="0" w:line="360" w:lineRule="auto"/>
        <w:ind w:left="420" w:leftChars="200"/>
        <w:rPr>
          <w:rFonts w:ascii="宋体" w:hAnsi="宋体"/>
          <w:b w:val="0"/>
          <w:bCs/>
          <w:color w:val="auto"/>
          <w:sz w:val="21"/>
          <w:szCs w:val="21"/>
        </w:rPr>
      </w:pPr>
      <w:r>
        <w:rPr>
          <w:rFonts w:hint="eastAsia" w:ascii="宋体" w:hAnsi="宋体"/>
          <w:b w:val="0"/>
          <w:bCs/>
          <w:color w:val="auto"/>
          <w:sz w:val="21"/>
          <w:szCs w:val="21"/>
        </w:rPr>
        <w:t>（3）投标人的报价均超过了采购预算，采购人不能支付的；</w:t>
      </w:r>
    </w:p>
    <w:p w14:paraId="10098721">
      <w:pPr>
        <w:pStyle w:val="6"/>
        <w:keepNext w:val="0"/>
        <w:keepLines w:val="0"/>
        <w:spacing w:before="0" w:after="0" w:line="360" w:lineRule="auto"/>
        <w:ind w:left="420" w:leftChars="200"/>
        <w:rPr>
          <w:rFonts w:ascii="宋体" w:hAnsi="宋体"/>
          <w:b w:val="0"/>
          <w:bCs/>
          <w:color w:val="auto"/>
          <w:sz w:val="21"/>
          <w:szCs w:val="21"/>
        </w:rPr>
      </w:pPr>
      <w:r>
        <w:rPr>
          <w:rFonts w:hint="eastAsia" w:ascii="宋体" w:hAnsi="宋体"/>
          <w:b w:val="0"/>
          <w:bCs/>
          <w:color w:val="auto"/>
          <w:sz w:val="21"/>
          <w:szCs w:val="21"/>
        </w:rPr>
        <w:t>（4）因重大变故，采购任务取消的。</w:t>
      </w:r>
    </w:p>
    <w:p w14:paraId="2AB34081">
      <w:pPr>
        <w:pStyle w:val="6"/>
        <w:keepNext w:val="0"/>
        <w:keepLines w:val="0"/>
        <w:spacing w:before="0" w:after="0" w:line="360" w:lineRule="auto"/>
        <w:ind w:left="420" w:leftChars="200"/>
        <w:rPr>
          <w:rFonts w:ascii="宋体" w:hAnsi="宋体"/>
          <w:b w:val="0"/>
          <w:bCs/>
          <w:color w:val="auto"/>
          <w:sz w:val="21"/>
          <w:szCs w:val="21"/>
        </w:rPr>
      </w:pPr>
      <w:r>
        <w:rPr>
          <w:rFonts w:hint="eastAsia" w:ascii="宋体" w:hAnsi="宋体"/>
          <w:b w:val="0"/>
          <w:bCs/>
          <w:color w:val="auto"/>
          <w:sz w:val="21"/>
          <w:szCs w:val="21"/>
        </w:rPr>
        <w:t>废标后，采购人应当将废标理由通知所有投标人。</w:t>
      </w:r>
    </w:p>
    <w:p w14:paraId="30F6A92B">
      <w:pPr>
        <w:pStyle w:val="6"/>
        <w:keepNext w:val="0"/>
        <w:keepLines w:val="0"/>
        <w:spacing w:before="0" w:after="0" w:line="360" w:lineRule="auto"/>
        <w:ind w:left="420" w:leftChars="200"/>
        <w:rPr>
          <w:rFonts w:ascii="黑体" w:hAnsi="黑体" w:eastAsia="黑体"/>
          <w:color w:val="auto"/>
          <w:sz w:val="24"/>
        </w:rPr>
      </w:pPr>
      <w:r>
        <w:rPr>
          <w:rFonts w:hint="eastAsia" w:ascii="黑体" w:hAnsi="黑体" w:eastAsia="黑体"/>
          <w:color w:val="auto"/>
          <w:sz w:val="24"/>
        </w:rPr>
        <w:t>31.结果公告</w:t>
      </w:r>
    </w:p>
    <w:p w14:paraId="188F1664">
      <w:pPr>
        <w:spacing w:line="360" w:lineRule="auto"/>
        <w:ind w:firstLine="420" w:firstLineChars="200"/>
        <w:rPr>
          <w:rFonts w:ascii="宋体" w:hAnsi="宋体"/>
          <w:bCs/>
          <w:color w:val="auto"/>
          <w:szCs w:val="21"/>
        </w:rPr>
      </w:pPr>
      <w:r>
        <w:rPr>
          <w:rFonts w:hint="eastAsia" w:ascii="宋体" w:hAnsi="宋体"/>
          <w:bCs/>
          <w:color w:val="auto"/>
          <w:szCs w:val="21"/>
        </w:rPr>
        <w:t>31.1采购人或者采购代理机构应当自中标人确定之日起2个工作日内，在省级以上财政部门指定的媒体上公告中标结果，招标文件应当随中标结果同时公告。采购人或者采购代理发出中标通知书前，应当对中标人信用进行查询，对列入失信被执行人、重大税收违法失信主体、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采购人可以确定排名第三的中标候选人为中标人，以此类推。</w:t>
      </w:r>
    </w:p>
    <w:p w14:paraId="0597224F">
      <w:pPr>
        <w:spacing w:line="360" w:lineRule="auto"/>
        <w:ind w:firstLine="420" w:firstLineChars="200"/>
        <w:rPr>
          <w:rFonts w:ascii="宋体" w:hAnsi="宋体"/>
          <w:bCs/>
          <w:color w:val="auto"/>
          <w:szCs w:val="21"/>
        </w:rPr>
      </w:pPr>
      <w:r>
        <w:rPr>
          <w:rFonts w:hint="eastAsia" w:ascii="宋体" w:hAnsi="宋体"/>
          <w:bCs/>
          <w:color w:val="auto"/>
          <w:szCs w:val="21"/>
        </w:rPr>
        <w:t>以上信息查询记录及相关证据与采购文件一并保存。</w:t>
      </w:r>
    </w:p>
    <w:p w14:paraId="0937F75E">
      <w:pPr>
        <w:spacing w:line="360" w:lineRule="auto"/>
        <w:ind w:firstLine="420" w:firstLineChars="200"/>
        <w:rPr>
          <w:rFonts w:ascii="宋体" w:hAnsi="宋体"/>
          <w:bCs/>
          <w:color w:val="auto"/>
          <w:szCs w:val="21"/>
        </w:rPr>
      </w:pPr>
      <w:r>
        <w:rPr>
          <w:rFonts w:hint="eastAsia" w:ascii="宋体" w:hAnsi="宋体"/>
          <w:bCs/>
          <w:color w:val="auto"/>
          <w:szCs w:val="21"/>
        </w:rPr>
        <w:t>31.2中标供应商享受《政府采购促进中小企业发展管理办法》（财库〔2020〕46号）规定的中小企业扶持政策的，采购人、采购代理机构应当随中标结果公开中标供应商的《中小企业声明函》。</w:t>
      </w:r>
    </w:p>
    <w:p w14:paraId="13706194">
      <w:pPr>
        <w:pStyle w:val="6"/>
        <w:keepNext w:val="0"/>
        <w:keepLines w:val="0"/>
        <w:spacing w:before="0" w:after="0" w:line="360" w:lineRule="auto"/>
        <w:ind w:left="420" w:leftChars="200"/>
        <w:rPr>
          <w:rFonts w:ascii="黑体" w:hAnsi="黑体" w:eastAsia="黑体"/>
          <w:color w:val="auto"/>
          <w:sz w:val="24"/>
        </w:rPr>
      </w:pPr>
      <w:r>
        <w:rPr>
          <w:rFonts w:hint="eastAsia" w:ascii="黑体" w:hAnsi="黑体" w:eastAsia="黑体"/>
          <w:color w:val="auto"/>
          <w:sz w:val="24"/>
        </w:rPr>
        <w:t>32.发出中标通知书</w:t>
      </w:r>
    </w:p>
    <w:p w14:paraId="061CC5FD">
      <w:pPr>
        <w:pStyle w:val="6"/>
        <w:keepNext w:val="0"/>
        <w:keepLines w:val="0"/>
        <w:spacing w:before="0" w:after="0" w:line="360" w:lineRule="auto"/>
        <w:ind w:firstLine="420" w:firstLineChars="200"/>
        <w:rPr>
          <w:rFonts w:ascii="宋体" w:hAnsi="宋体"/>
          <w:b w:val="0"/>
          <w:color w:val="auto"/>
          <w:sz w:val="21"/>
          <w:szCs w:val="21"/>
        </w:rPr>
      </w:pPr>
      <w:r>
        <w:rPr>
          <w:rFonts w:hint="eastAsia" w:ascii="宋体" w:hAnsi="宋体"/>
          <w:b w:val="0"/>
          <w:color w:val="auto"/>
          <w:sz w:val="21"/>
          <w:szCs w:val="21"/>
        </w:rPr>
        <w:t>在发布中标公告的同时，采购代理机构向中标人通过广西政府采购云平台发出电子中标通知书。对未通过资格审查的投标人，应当告知其未通过的原因；采用综合评分办法评审的，还应当告知未中标人本人的评审得分与排序。</w:t>
      </w:r>
    </w:p>
    <w:p w14:paraId="513EDFC2">
      <w:pPr>
        <w:pStyle w:val="6"/>
        <w:keepNext w:val="0"/>
        <w:keepLines w:val="0"/>
        <w:spacing w:before="0" w:after="0" w:line="360" w:lineRule="auto"/>
        <w:ind w:left="420" w:leftChars="200"/>
        <w:rPr>
          <w:rFonts w:ascii="黑体" w:hAnsi="黑体" w:eastAsia="黑体"/>
          <w:color w:val="auto"/>
          <w:sz w:val="24"/>
        </w:rPr>
      </w:pPr>
      <w:r>
        <w:rPr>
          <w:rFonts w:hint="eastAsia" w:ascii="黑体" w:hAnsi="黑体" w:eastAsia="黑体"/>
          <w:color w:val="auto"/>
          <w:sz w:val="24"/>
        </w:rPr>
        <w:t>33.无义务解释未中标原因</w:t>
      </w:r>
    </w:p>
    <w:p w14:paraId="142FFCAD">
      <w:pPr>
        <w:pStyle w:val="6"/>
        <w:keepNext w:val="0"/>
        <w:keepLines w:val="0"/>
        <w:spacing w:before="0" w:after="0" w:line="360" w:lineRule="auto"/>
        <w:ind w:left="420" w:leftChars="200"/>
        <w:rPr>
          <w:rFonts w:ascii="宋体" w:hAnsi="宋体"/>
          <w:b w:val="0"/>
          <w:color w:val="auto"/>
          <w:sz w:val="21"/>
          <w:szCs w:val="21"/>
        </w:rPr>
      </w:pPr>
      <w:r>
        <w:rPr>
          <w:rFonts w:hint="eastAsia" w:ascii="宋体" w:hAnsi="宋体"/>
          <w:b w:val="0"/>
          <w:color w:val="auto"/>
          <w:sz w:val="21"/>
          <w:szCs w:val="21"/>
        </w:rPr>
        <w:t>采购代理机构无义务向未中标的投标人解释未中标原因和退还投标文件。</w:t>
      </w:r>
    </w:p>
    <w:p w14:paraId="773FD8C9">
      <w:pPr>
        <w:pStyle w:val="6"/>
        <w:keepNext w:val="0"/>
        <w:keepLines w:val="0"/>
        <w:spacing w:before="0" w:after="0" w:line="360" w:lineRule="auto"/>
        <w:ind w:left="420" w:leftChars="200"/>
        <w:rPr>
          <w:rFonts w:ascii="黑体" w:hAnsi="黑体" w:eastAsia="黑体"/>
          <w:color w:val="auto"/>
          <w:sz w:val="24"/>
        </w:rPr>
      </w:pPr>
      <w:r>
        <w:rPr>
          <w:rFonts w:hint="eastAsia" w:ascii="黑体" w:hAnsi="黑体" w:eastAsia="黑体"/>
          <w:color w:val="auto"/>
          <w:sz w:val="24"/>
        </w:rPr>
        <w:t>34.合同授予标准</w:t>
      </w:r>
    </w:p>
    <w:p w14:paraId="4806F1DD">
      <w:pPr>
        <w:snapToGrid w:val="0"/>
        <w:spacing w:line="360" w:lineRule="auto"/>
        <w:ind w:firstLine="420" w:firstLineChars="200"/>
        <w:rPr>
          <w:rFonts w:ascii="宋体" w:hAnsi="宋体"/>
          <w:color w:val="auto"/>
          <w:szCs w:val="21"/>
        </w:rPr>
      </w:pPr>
      <w:r>
        <w:rPr>
          <w:rFonts w:hint="eastAsia" w:ascii="宋体" w:hAnsi="宋体"/>
          <w:color w:val="auto"/>
          <w:szCs w:val="21"/>
        </w:rPr>
        <w:t>合同将授予被确定实质上响应招标文件要求，具备履行合同能力的中标人。</w:t>
      </w:r>
    </w:p>
    <w:p w14:paraId="2B682876">
      <w:pPr>
        <w:pStyle w:val="6"/>
        <w:keepNext w:val="0"/>
        <w:keepLines w:val="0"/>
        <w:spacing w:before="0" w:after="0" w:line="360" w:lineRule="auto"/>
        <w:ind w:left="420" w:leftChars="200"/>
        <w:rPr>
          <w:rFonts w:ascii="黑体" w:hAnsi="黑体" w:eastAsia="黑体"/>
          <w:color w:val="auto"/>
          <w:sz w:val="24"/>
        </w:rPr>
      </w:pPr>
      <w:r>
        <w:rPr>
          <w:rFonts w:hint="eastAsia" w:ascii="黑体" w:hAnsi="黑体" w:eastAsia="黑体"/>
          <w:color w:val="auto"/>
          <w:sz w:val="24"/>
        </w:rPr>
        <w:t>35.履约保证金</w:t>
      </w:r>
    </w:p>
    <w:p w14:paraId="2E6C99DA">
      <w:pPr>
        <w:pStyle w:val="6"/>
        <w:keepNext w:val="0"/>
        <w:keepLines w:val="0"/>
        <w:spacing w:before="0" w:after="0" w:line="360" w:lineRule="auto"/>
        <w:ind w:firstLine="420" w:firstLineChars="200"/>
        <w:rPr>
          <w:rFonts w:ascii="宋体" w:hAnsi="宋体"/>
          <w:b w:val="0"/>
          <w:bCs/>
          <w:color w:val="auto"/>
          <w:sz w:val="21"/>
          <w:szCs w:val="21"/>
        </w:rPr>
      </w:pPr>
      <w:bookmarkStart w:id="140" w:name="_39.1中标人须于签订合同前按本须知前附表规定的金额转账或电汇到指定账"/>
      <w:bookmarkEnd w:id="140"/>
      <w:r>
        <w:rPr>
          <w:rFonts w:hint="eastAsia" w:ascii="宋体" w:hAnsi="宋体"/>
          <w:b w:val="0"/>
          <w:bCs/>
          <w:color w:val="auto"/>
          <w:sz w:val="21"/>
          <w:szCs w:val="21"/>
        </w:rPr>
        <w:t>35.1 履约保证金的金额、提交方式、退付的时间和条件详见 “投标人须知前附表”。中标人未按规定提交履约保证金的，视为拒绝与采购人签订合同。</w:t>
      </w:r>
    </w:p>
    <w:p w14:paraId="2B515A37">
      <w:pPr>
        <w:pStyle w:val="6"/>
        <w:keepNext w:val="0"/>
        <w:keepLines w:val="0"/>
        <w:spacing w:before="0" w:after="0" w:line="360" w:lineRule="auto"/>
        <w:ind w:firstLine="420" w:firstLineChars="200"/>
        <w:rPr>
          <w:rFonts w:ascii="宋体" w:hAnsi="宋体"/>
          <w:b w:val="0"/>
          <w:bCs/>
          <w:color w:val="auto"/>
          <w:sz w:val="21"/>
          <w:szCs w:val="21"/>
        </w:rPr>
      </w:pPr>
      <w:r>
        <w:rPr>
          <w:rFonts w:hint="eastAsia" w:ascii="宋体" w:hAnsi="宋体"/>
          <w:b w:val="0"/>
          <w:bCs/>
          <w:color w:val="auto"/>
          <w:sz w:val="21"/>
          <w:szCs w:val="21"/>
        </w:rPr>
        <w:t xml:space="preserve"> 35.2在履约保证金退还日期前，若中标人的开户名称、开户银行、账号有变动的，请以书面形式通知履约保证金收取单位，否则由此产生的后果由中标人自行承担。</w:t>
      </w:r>
    </w:p>
    <w:p w14:paraId="244B7237">
      <w:pPr>
        <w:pStyle w:val="6"/>
        <w:keepNext w:val="0"/>
        <w:keepLines w:val="0"/>
        <w:spacing w:before="0" w:after="0" w:line="360" w:lineRule="auto"/>
        <w:ind w:left="420" w:leftChars="200"/>
        <w:rPr>
          <w:rFonts w:ascii="黑体" w:hAnsi="黑体" w:eastAsia="黑体"/>
          <w:color w:val="auto"/>
          <w:sz w:val="24"/>
        </w:rPr>
      </w:pPr>
      <w:r>
        <w:rPr>
          <w:rFonts w:hint="eastAsia" w:ascii="黑体" w:hAnsi="黑体" w:eastAsia="黑体"/>
          <w:color w:val="auto"/>
          <w:sz w:val="24"/>
        </w:rPr>
        <w:t>36.签订合同</w:t>
      </w:r>
    </w:p>
    <w:p w14:paraId="338F928C">
      <w:pPr>
        <w:pStyle w:val="6"/>
        <w:keepNext w:val="0"/>
        <w:keepLines w:val="0"/>
        <w:spacing w:before="0" w:after="0" w:line="360" w:lineRule="auto"/>
        <w:ind w:firstLine="420" w:firstLineChars="200"/>
        <w:rPr>
          <w:rFonts w:ascii="宋体" w:hAnsi="宋体"/>
          <w:b w:val="0"/>
          <w:bCs/>
          <w:color w:val="auto"/>
          <w:sz w:val="21"/>
          <w:szCs w:val="21"/>
        </w:rPr>
      </w:pPr>
      <w:bookmarkStart w:id="141" w:name="_40.1投标人接到中标通知书后，按须知前附表规定向采购人出示相关资格证"/>
      <w:bookmarkEnd w:id="141"/>
      <w:r>
        <w:rPr>
          <w:rFonts w:hint="eastAsia" w:ascii="宋体" w:hAnsi="宋体"/>
          <w:b w:val="0"/>
          <w:bCs/>
          <w:color w:val="auto"/>
          <w:sz w:val="21"/>
          <w:szCs w:val="21"/>
        </w:rPr>
        <w:t>36.1签订电子采购合同：中标人领取电子中标通知书后，在规定的日期、时间、地点，由法定代表人或其授权代表与采购人代表签订电子采购合同。如中标人为联合体的，由联合体成员各方法定代表人或其授权代表与采购人代表签订合同。</w:t>
      </w:r>
    </w:p>
    <w:p w14:paraId="2D452FC3">
      <w:pPr>
        <w:pStyle w:val="6"/>
        <w:keepNext w:val="0"/>
        <w:keepLines w:val="0"/>
        <w:spacing w:before="0" w:after="0" w:line="360" w:lineRule="auto"/>
        <w:ind w:firstLine="420" w:firstLineChars="200"/>
        <w:rPr>
          <w:rFonts w:ascii="宋体" w:hAnsi="宋体"/>
          <w:b w:val="0"/>
          <w:bCs/>
          <w:color w:val="auto"/>
          <w:sz w:val="21"/>
          <w:szCs w:val="21"/>
        </w:rPr>
      </w:pPr>
      <w:r>
        <w:rPr>
          <w:rFonts w:hint="eastAsia" w:ascii="宋体" w:hAnsi="宋体"/>
          <w:b w:val="0"/>
          <w:bCs/>
          <w:color w:val="auto"/>
          <w:sz w:val="21"/>
          <w:szCs w:val="21"/>
        </w:rPr>
        <w:t>线下签订纸质合同：投标人领取中标通知书后，按“投标人须知前附表”规定向采购人出示相关证明材料，经采购人核验合格后方可签订合同。</w:t>
      </w:r>
    </w:p>
    <w:p w14:paraId="3EC1B759">
      <w:pPr>
        <w:pStyle w:val="6"/>
        <w:keepNext w:val="0"/>
        <w:keepLines w:val="0"/>
        <w:spacing w:before="0" w:after="0" w:line="360" w:lineRule="auto"/>
        <w:ind w:firstLine="420" w:firstLineChars="200"/>
        <w:rPr>
          <w:rFonts w:ascii="宋体" w:hAnsi="宋体"/>
          <w:b w:val="0"/>
          <w:bCs/>
          <w:color w:val="auto"/>
          <w:sz w:val="21"/>
          <w:szCs w:val="21"/>
        </w:rPr>
      </w:pPr>
      <w:r>
        <w:rPr>
          <w:rFonts w:hint="eastAsia" w:ascii="宋体" w:hAnsi="宋体"/>
          <w:b w:val="0"/>
          <w:bCs/>
          <w:color w:val="auto"/>
          <w:sz w:val="21"/>
          <w:szCs w:val="21"/>
        </w:rPr>
        <w:t>36.2签订合同时间：按中标通知书规定的时间与采购人签订合同。</w:t>
      </w:r>
    </w:p>
    <w:p w14:paraId="42FF7822">
      <w:pPr>
        <w:pStyle w:val="6"/>
        <w:keepNext w:val="0"/>
        <w:keepLines w:val="0"/>
        <w:spacing w:before="0" w:after="0" w:line="360" w:lineRule="auto"/>
        <w:ind w:firstLine="420" w:firstLineChars="200"/>
        <w:rPr>
          <w:rFonts w:ascii="宋体" w:hAnsi="宋体"/>
          <w:b w:val="0"/>
          <w:bCs/>
          <w:color w:val="auto"/>
          <w:sz w:val="21"/>
          <w:szCs w:val="21"/>
        </w:rPr>
      </w:pPr>
      <w:r>
        <w:rPr>
          <w:rFonts w:hint="eastAsia" w:ascii="宋体" w:hAnsi="宋体"/>
          <w:b w:val="0"/>
          <w:bCs/>
          <w:color w:val="auto"/>
          <w:sz w:val="21"/>
          <w:szCs w:val="21"/>
        </w:rPr>
        <w:t>36.3中标人拒绝签订政府采购合同（包括但不限于放弃中标、因不可抗力不能履行合同而放弃签订合同），采购人可以按照评审报告推荐的中标候选人名单排序，确定下一候选人为中标供应商，也可以重新开展政府采购活动。如采购人无正当理由拒签合同的，给中标供应商造成损失的，中标供应商可追究采购人承担相应的法律责任。</w:t>
      </w:r>
    </w:p>
    <w:p w14:paraId="02BCF129">
      <w:pPr>
        <w:pStyle w:val="6"/>
        <w:keepNext w:val="0"/>
        <w:keepLines w:val="0"/>
        <w:spacing w:before="0" w:after="0" w:line="360" w:lineRule="auto"/>
        <w:ind w:firstLine="420" w:firstLineChars="200"/>
        <w:rPr>
          <w:rFonts w:ascii="宋体" w:hAnsi="宋体"/>
          <w:b w:val="0"/>
          <w:bCs/>
          <w:color w:val="auto"/>
          <w:sz w:val="21"/>
          <w:szCs w:val="21"/>
        </w:rPr>
      </w:pPr>
      <w:r>
        <w:rPr>
          <w:rFonts w:hint="eastAsia" w:ascii="宋体" w:hAnsi="宋体"/>
          <w:b w:val="0"/>
          <w:bCs/>
          <w:color w:val="auto"/>
          <w:sz w:val="21"/>
          <w:szCs w:val="21"/>
        </w:rPr>
        <w:t>36.4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50EC41BF">
      <w:pPr>
        <w:pStyle w:val="6"/>
        <w:keepNext w:val="0"/>
        <w:keepLines w:val="0"/>
        <w:spacing w:before="0" w:after="0" w:line="360" w:lineRule="auto"/>
        <w:ind w:firstLine="420" w:firstLineChars="200"/>
        <w:rPr>
          <w:rFonts w:ascii="宋体" w:hAnsi="宋体"/>
          <w:b w:val="0"/>
          <w:bCs/>
          <w:color w:val="auto"/>
          <w:sz w:val="21"/>
          <w:szCs w:val="21"/>
        </w:rPr>
      </w:pPr>
      <w:r>
        <w:rPr>
          <w:rFonts w:hint="eastAsia" w:ascii="宋体" w:hAnsi="宋体"/>
          <w:b w:val="0"/>
          <w:bCs/>
          <w:color w:val="auto"/>
          <w:sz w:val="21"/>
          <w:szCs w:val="21"/>
        </w:rPr>
        <w:t>36.5采购人或中标供应商不得单方面向合同另一方提出任何招标文件没有约定的条件或不合理的要求，作为签订合同的条件；也不得协商另行订立背离招标文件和合同实质性内容的协议。</w:t>
      </w:r>
    </w:p>
    <w:p w14:paraId="595131B1">
      <w:pPr>
        <w:pStyle w:val="6"/>
        <w:keepNext w:val="0"/>
        <w:keepLines w:val="0"/>
        <w:spacing w:before="0" w:after="0" w:line="360" w:lineRule="auto"/>
        <w:ind w:firstLine="420" w:firstLineChars="200"/>
        <w:rPr>
          <w:rFonts w:ascii="宋体" w:hAnsi="宋体"/>
          <w:b w:val="0"/>
          <w:bCs/>
          <w:color w:val="auto"/>
          <w:sz w:val="21"/>
          <w:szCs w:val="21"/>
        </w:rPr>
      </w:pPr>
      <w:r>
        <w:rPr>
          <w:rFonts w:hint="eastAsia" w:ascii="宋体" w:hAnsi="宋体"/>
          <w:b w:val="0"/>
          <w:bCs/>
          <w:color w:val="auto"/>
          <w:sz w:val="21"/>
          <w:szCs w:val="21"/>
        </w:rPr>
        <w:t>36.6如签订合同并生效后，供应商无故拒绝或延期，除按照合同条款处理外，将承担相应的法律责任。</w:t>
      </w:r>
    </w:p>
    <w:p w14:paraId="28B44135">
      <w:pPr>
        <w:pStyle w:val="6"/>
        <w:keepNext w:val="0"/>
        <w:keepLines w:val="0"/>
        <w:spacing w:before="0" w:after="0" w:line="360" w:lineRule="auto"/>
        <w:ind w:firstLine="420" w:firstLineChars="200"/>
        <w:rPr>
          <w:rFonts w:ascii="宋体" w:hAnsi="宋体"/>
          <w:b w:val="0"/>
          <w:bCs/>
          <w:color w:val="auto"/>
          <w:sz w:val="21"/>
          <w:szCs w:val="21"/>
        </w:rPr>
      </w:pPr>
      <w:r>
        <w:rPr>
          <w:rFonts w:hint="eastAsia" w:ascii="宋体" w:hAnsi="宋体"/>
          <w:b w:val="0"/>
          <w:bCs/>
          <w:color w:val="auto"/>
          <w:sz w:val="21"/>
          <w:szCs w:val="21"/>
        </w:rPr>
        <w:t>36.7政府采购合同履行中，采购人需追加与合同标的相同的货物、工程或者服务的，在不改变合同其他条款的前提下，可以与供应商协商签订补充合同，但所有补充合同的采购金额不得超过原合同采购金额的10%。</w:t>
      </w:r>
    </w:p>
    <w:p w14:paraId="326B779C">
      <w:pPr>
        <w:pStyle w:val="6"/>
        <w:keepNext w:val="0"/>
        <w:keepLines w:val="0"/>
        <w:spacing w:before="0" w:after="0" w:line="360" w:lineRule="auto"/>
        <w:ind w:left="420" w:leftChars="200"/>
        <w:rPr>
          <w:rFonts w:ascii="黑体" w:hAnsi="黑体" w:eastAsia="黑体"/>
          <w:color w:val="auto"/>
          <w:sz w:val="24"/>
        </w:rPr>
      </w:pPr>
      <w:bookmarkStart w:id="142" w:name="_41.政府采购合同公告"/>
      <w:bookmarkEnd w:id="142"/>
      <w:r>
        <w:rPr>
          <w:rFonts w:hint="eastAsia" w:ascii="黑体" w:hAnsi="黑体" w:eastAsia="黑体"/>
          <w:color w:val="auto"/>
          <w:sz w:val="24"/>
        </w:rPr>
        <w:t>37.政府采购合同公告</w:t>
      </w:r>
    </w:p>
    <w:p w14:paraId="37C634AA">
      <w:pPr>
        <w:spacing w:line="360" w:lineRule="auto"/>
        <w:ind w:firstLine="420" w:firstLineChars="200"/>
        <w:rPr>
          <w:rFonts w:hAnsi="宋体"/>
          <w:color w:val="auto"/>
        </w:rPr>
      </w:pPr>
      <w:r>
        <w:rPr>
          <w:rFonts w:hint="eastAsia" w:hAnsi="宋体"/>
          <w:color w:val="auto"/>
        </w:rPr>
        <w:t>采购人或者受托采购代理机构应当自政府采购合同签订之日起2个工作日内，将政府采购合同在省级以上人民政府财政部门指定的媒体上公告，但政府采购合同中涉及国家秘密、商业秘密的内容除外。</w:t>
      </w:r>
    </w:p>
    <w:p w14:paraId="44AAEFBA">
      <w:pPr>
        <w:pStyle w:val="6"/>
        <w:keepNext w:val="0"/>
        <w:keepLines w:val="0"/>
        <w:spacing w:before="0" w:after="0" w:line="360" w:lineRule="auto"/>
        <w:ind w:left="420" w:leftChars="200"/>
        <w:rPr>
          <w:rFonts w:ascii="黑体" w:hAnsi="黑体" w:eastAsia="黑体"/>
          <w:color w:val="auto"/>
          <w:sz w:val="24"/>
        </w:rPr>
      </w:pPr>
      <w:r>
        <w:rPr>
          <w:rFonts w:hint="eastAsia" w:ascii="黑体" w:hAnsi="黑体" w:eastAsia="黑体"/>
          <w:color w:val="auto"/>
          <w:sz w:val="24"/>
        </w:rPr>
        <w:t>3</w:t>
      </w:r>
      <w:r>
        <w:rPr>
          <w:rFonts w:ascii="黑体" w:hAnsi="黑体" w:eastAsia="黑体"/>
          <w:color w:val="auto"/>
          <w:sz w:val="24"/>
        </w:rPr>
        <w:t>8.</w:t>
      </w:r>
      <w:r>
        <w:rPr>
          <w:rFonts w:hint="eastAsia" w:ascii="黑体" w:hAnsi="黑体" w:eastAsia="黑体"/>
          <w:color w:val="auto"/>
          <w:sz w:val="24"/>
        </w:rPr>
        <w:t>询问、质疑和投诉</w:t>
      </w:r>
    </w:p>
    <w:p w14:paraId="7A9A018A">
      <w:pPr>
        <w:spacing w:line="360" w:lineRule="auto"/>
        <w:ind w:firstLine="420" w:firstLineChars="200"/>
        <w:rPr>
          <w:rFonts w:ascii="宋体" w:hAnsi="宋体" w:cs="宋体"/>
          <w:color w:val="auto"/>
        </w:rPr>
      </w:pPr>
      <w:r>
        <w:rPr>
          <w:rFonts w:hint="eastAsia" w:ascii="宋体" w:hAnsi="宋体" w:cs="宋体"/>
          <w:color w:val="auto"/>
        </w:rPr>
        <w:t>38.1供应商对政府采购活动事项有疑问的，可以向采购人提出询问，采购人或者采购代理机构应当在3个工作日内对供应商依法提出的询问作出答复，但答复的内容不得涉及商业秘密。</w:t>
      </w:r>
    </w:p>
    <w:p w14:paraId="7F38D594">
      <w:pPr>
        <w:spacing w:line="360" w:lineRule="auto"/>
        <w:ind w:firstLine="420" w:firstLineChars="200"/>
        <w:rPr>
          <w:rFonts w:ascii="宋体" w:hAnsi="宋体" w:cs="宋体"/>
          <w:color w:val="auto"/>
        </w:rPr>
      </w:pPr>
      <w:r>
        <w:rPr>
          <w:rFonts w:hint="eastAsia" w:ascii="宋体" w:hAnsi="宋体" w:cs="宋体"/>
          <w:color w:val="auto"/>
        </w:rPr>
        <w:t xml:space="preserve">38.2供应商认为招标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 </w:t>
      </w:r>
    </w:p>
    <w:p w14:paraId="39FFE837">
      <w:pPr>
        <w:spacing w:line="360" w:lineRule="auto"/>
        <w:ind w:firstLine="420" w:firstLineChars="200"/>
        <w:rPr>
          <w:rFonts w:ascii="宋体" w:hAnsi="宋体" w:cs="宋体"/>
          <w:color w:val="auto"/>
        </w:rPr>
      </w:pPr>
      <w:r>
        <w:rPr>
          <w:rFonts w:hint="eastAsia" w:ascii="宋体" w:hAnsi="宋体" w:cs="宋体"/>
          <w:color w:val="auto"/>
        </w:rPr>
        <w:t>（1）对可以质疑的招标文件提出质疑的，为收到招标文件之日或者招标文件公告期限届满之日；</w:t>
      </w:r>
    </w:p>
    <w:p w14:paraId="61829CE7">
      <w:pPr>
        <w:spacing w:line="360" w:lineRule="auto"/>
        <w:ind w:firstLine="420" w:firstLineChars="200"/>
        <w:rPr>
          <w:rFonts w:ascii="宋体" w:hAnsi="宋体" w:cs="宋体"/>
          <w:color w:val="auto"/>
        </w:rPr>
      </w:pPr>
      <w:r>
        <w:rPr>
          <w:rFonts w:hint="eastAsia" w:ascii="宋体" w:hAnsi="宋体" w:cs="宋体"/>
          <w:color w:val="auto"/>
        </w:rPr>
        <w:t>（2）对采购过程提出质疑的，为各采购程序环节结束之日；</w:t>
      </w:r>
    </w:p>
    <w:p w14:paraId="4C083517">
      <w:pPr>
        <w:spacing w:line="360" w:lineRule="auto"/>
        <w:ind w:firstLine="420" w:firstLineChars="200"/>
        <w:rPr>
          <w:rFonts w:ascii="宋体" w:hAnsi="宋体" w:cs="宋体"/>
          <w:color w:val="auto"/>
        </w:rPr>
      </w:pPr>
      <w:r>
        <w:rPr>
          <w:rFonts w:hint="eastAsia" w:ascii="宋体" w:hAnsi="宋体" w:cs="宋体"/>
          <w:color w:val="auto"/>
        </w:rPr>
        <w:t>（3）对中标结果提出质疑的，为中标结果公告期限届满之日。</w:t>
      </w:r>
    </w:p>
    <w:p w14:paraId="2B1F076F">
      <w:pPr>
        <w:spacing w:line="360" w:lineRule="auto"/>
        <w:ind w:firstLine="420" w:firstLineChars="200"/>
        <w:rPr>
          <w:rFonts w:ascii="宋体" w:hAnsi="宋体" w:cs="宋体"/>
          <w:color w:val="auto"/>
        </w:rPr>
      </w:pPr>
      <w:r>
        <w:rPr>
          <w:rFonts w:hint="eastAsia" w:ascii="宋体" w:hAnsi="宋体" w:cs="宋体"/>
          <w:color w:val="auto"/>
        </w:rPr>
        <w:t>38.3 供应商提出质疑应当提交质疑函和必要的证明材料，针对同一采购程序环节的质疑必须在法定质疑期内一次性提出。质疑函应当包括下列内容（质疑函格式见第六章）：</w:t>
      </w:r>
    </w:p>
    <w:p w14:paraId="0208935C">
      <w:pPr>
        <w:spacing w:line="360" w:lineRule="auto"/>
        <w:ind w:firstLine="420" w:firstLineChars="200"/>
        <w:rPr>
          <w:rFonts w:ascii="宋体" w:hAnsi="宋体" w:cs="宋体"/>
          <w:color w:val="auto"/>
        </w:rPr>
      </w:pPr>
      <w:r>
        <w:rPr>
          <w:rFonts w:hint="eastAsia" w:ascii="宋体" w:hAnsi="宋体" w:cs="宋体"/>
          <w:color w:val="auto"/>
        </w:rPr>
        <w:t>（1）供应商的姓名或者名称、地址、邮编、联系人及联系电话；</w:t>
      </w:r>
    </w:p>
    <w:p w14:paraId="7C447BE4">
      <w:pPr>
        <w:spacing w:line="360" w:lineRule="auto"/>
        <w:ind w:firstLine="420" w:firstLineChars="200"/>
        <w:rPr>
          <w:rFonts w:ascii="宋体" w:hAnsi="宋体" w:cs="宋体"/>
          <w:color w:val="auto"/>
        </w:rPr>
      </w:pPr>
      <w:r>
        <w:rPr>
          <w:rFonts w:hint="eastAsia" w:ascii="宋体" w:hAnsi="宋体" w:cs="宋体"/>
          <w:color w:val="auto"/>
        </w:rPr>
        <w:t>（2）质疑项目的名称、编号；</w:t>
      </w:r>
    </w:p>
    <w:p w14:paraId="76A38C6C">
      <w:pPr>
        <w:spacing w:line="360" w:lineRule="auto"/>
        <w:ind w:firstLine="420" w:firstLineChars="200"/>
        <w:rPr>
          <w:rFonts w:ascii="宋体" w:hAnsi="宋体" w:cs="宋体"/>
          <w:color w:val="auto"/>
        </w:rPr>
      </w:pPr>
      <w:r>
        <w:rPr>
          <w:rFonts w:hint="eastAsia" w:ascii="宋体" w:hAnsi="宋体" w:cs="宋体"/>
          <w:color w:val="auto"/>
        </w:rPr>
        <w:t>（3）具体、明确的质疑事项和与质疑事项相关的请求；</w:t>
      </w:r>
    </w:p>
    <w:p w14:paraId="3EB66BAF">
      <w:pPr>
        <w:spacing w:line="360" w:lineRule="auto"/>
        <w:ind w:firstLine="420" w:firstLineChars="200"/>
        <w:rPr>
          <w:rFonts w:ascii="宋体" w:hAnsi="宋体" w:cs="宋体"/>
          <w:color w:val="auto"/>
        </w:rPr>
      </w:pPr>
      <w:r>
        <w:rPr>
          <w:rFonts w:hint="eastAsia" w:ascii="宋体" w:hAnsi="宋体" w:cs="宋体"/>
          <w:color w:val="auto"/>
        </w:rPr>
        <w:t>（4）事实依据；</w:t>
      </w:r>
    </w:p>
    <w:p w14:paraId="5325B201">
      <w:pPr>
        <w:spacing w:line="360" w:lineRule="auto"/>
        <w:ind w:firstLine="420" w:firstLineChars="200"/>
        <w:rPr>
          <w:rFonts w:ascii="宋体" w:hAnsi="宋体" w:cs="宋体"/>
          <w:color w:val="auto"/>
        </w:rPr>
      </w:pPr>
      <w:r>
        <w:rPr>
          <w:rFonts w:hint="eastAsia" w:ascii="宋体" w:hAnsi="宋体" w:cs="宋体"/>
          <w:color w:val="auto"/>
        </w:rPr>
        <w:t>（5）必要的法律依据；</w:t>
      </w:r>
    </w:p>
    <w:p w14:paraId="3313E5C5">
      <w:pPr>
        <w:spacing w:line="360" w:lineRule="auto"/>
        <w:ind w:firstLine="420" w:firstLineChars="200"/>
        <w:rPr>
          <w:rFonts w:ascii="宋体" w:hAnsi="宋体" w:cs="宋体"/>
          <w:color w:val="auto"/>
        </w:rPr>
      </w:pPr>
      <w:r>
        <w:rPr>
          <w:rFonts w:hint="eastAsia" w:ascii="宋体" w:hAnsi="宋体" w:cs="宋体"/>
          <w:color w:val="auto"/>
        </w:rPr>
        <w:t>（6）提出质疑的日期。</w:t>
      </w:r>
    </w:p>
    <w:p w14:paraId="1032C725">
      <w:pPr>
        <w:spacing w:line="360" w:lineRule="auto"/>
        <w:ind w:firstLine="420" w:firstLineChars="200"/>
        <w:rPr>
          <w:rFonts w:ascii="宋体" w:hAnsi="宋体" w:cs="宋体"/>
          <w:color w:val="auto"/>
        </w:rPr>
      </w:pPr>
      <w:r>
        <w:rPr>
          <w:rFonts w:hint="eastAsia" w:ascii="宋体" w:hAnsi="宋体" w:cs="宋体"/>
          <w:color w:val="auto"/>
        </w:rPr>
        <w:t>供应商为自然人的，应当由本人签字；供应商为法人或者其他组织的，应当由法定代表人、主要负责人，或者其委托代理人签字或者盖章，并加盖公章。</w:t>
      </w:r>
    </w:p>
    <w:p w14:paraId="6B9BF4A0">
      <w:pPr>
        <w:spacing w:line="360" w:lineRule="auto"/>
        <w:ind w:firstLine="420" w:firstLineChars="200"/>
        <w:rPr>
          <w:rFonts w:ascii="宋体" w:hAnsi="宋体" w:cs="宋体"/>
          <w:color w:val="auto"/>
        </w:rPr>
      </w:pPr>
      <w:r>
        <w:rPr>
          <w:rFonts w:hint="eastAsia" w:ascii="宋体" w:hAnsi="宋体" w:cs="宋体"/>
          <w:color w:val="auto"/>
        </w:rPr>
        <w:t>38.4采购人、采购代理机构认为供应商质疑不成立，或者成立但未对中标结果构成影响的，继续开展采购活动；认为供应商质疑成立且影响或者可能影响中标结果的，按照下列情况处理：</w:t>
      </w:r>
    </w:p>
    <w:p w14:paraId="448E46F3">
      <w:pPr>
        <w:spacing w:line="360" w:lineRule="auto"/>
        <w:ind w:firstLine="420" w:firstLineChars="200"/>
        <w:rPr>
          <w:rFonts w:ascii="宋体" w:hAnsi="宋体" w:cs="宋体"/>
          <w:color w:val="auto"/>
        </w:rPr>
      </w:pPr>
      <w:r>
        <w:rPr>
          <w:rFonts w:hint="eastAsia" w:ascii="宋体" w:hAnsi="宋体" w:cs="宋体"/>
          <w:color w:val="auto"/>
        </w:rPr>
        <w:t>（一）对招标文件提出的质疑，依法通过澄清或者修改可以继续开展采购活动的，澄清或者修改招标文件后继续开展采购活动；否则应当修改招标文件后重新开展采购活动。</w:t>
      </w:r>
    </w:p>
    <w:p w14:paraId="3A8DAAA1">
      <w:pPr>
        <w:spacing w:line="360" w:lineRule="auto"/>
        <w:ind w:firstLine="420" w:firstLineChars="200"/>
        <w:rPr>
          <w:rFonts w:ascii="宋体" w:hAnsi="宋体" w:cs="宋体"/>
          <w:color w:val="auto"/>
        </w:rPr>
      </w:pPr>
      <w:r>
        <w:rPr>
          <w:rFonts w:hint="eastAsia" w:ascii="宋体" w:hAnsi="宋体" w:cs="宋体"/>
          <w:color w:val="auto"/>
        </w:rPr>
        <w:t>（二）对采购过程、中标结果提出的质疑，合格供应商符合法定数量时，可以从合格的中标候选人中另行确定中标供应商的，应当依法另行确定中标供应商；否则应当重新开展采购活动。</w:t>
      </w:r>
    </w:p>
    <w:p w14:paraId="525BEEDC">
      <w:pPr>
        <w:spacing w:line="360" w:lineRule="auto"/>
        <w:ind w:firstLine="420" w:firstLineChars="200"/>
        <w:rPr>
          <w:rFonts w:ascii="宋体" w:hAnsi="宋体" w:cs="宋体"/>
          <w:color w:val="auto"/>
        </w:rPr>
      </w:pPr>
      <w:r>
        <w:rPr>
          <w:rFonts w:hint="eastAsia" w:ascii="宋体" w:hAnsi="宋体" w:cs="宋体"/>
          <w:color w:val="auto"/>
        </w:rPr>
        <w:t>质疑答复导致中标结果改变的，采购人或者采购代理机构应当将有关情况书面报告本级财政部门。</w:t>
      </w:r>
    </w:p>
    <w:p w14:paraId="355490F3">
      <w:pPr>
        <w:spacing w:line="360" w:lineRule="auto"/>
        <w:ind w:firstLine="420" w:firstLineChars="200"/>
        <w:rPr>
          <w:rFonts w:ascii="宋体" w:hAnsi="宋体" w:cs="宋体"/>
          <w:color w:val="auto"/>
        </w:rPr>
      </w:pPr>
      <w:r>
        <w:rPr>
          <w:rFonts w:hint="eastAsia" w:ascii="宋体" w:hAnsi="宋体" w:cs="宋体"/>
          <w:color w:val="auto"/>
        </w:rPr>
        <w:t>38.5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见第六章）。</w:t>
      </w:r>
    </w:p>
    <w:p w14:paraId="3187F82B">
      <w:pPr>
        <w:pStyle w:val="4"/>
        <w:keepNext w:val="0"/>
        <w:keepLines w:val="0"/>
        <w:jc w:val="center"/>
        <w:rPr>
          <w:color w:val="auto"/>
        </w:rPr>
      </w:pPr>
      <w:bookmarkStart w:id="143" w:name="_八、其他事项"/>
      <w:bookmarkEnd w:id="143"/>
      <w:r>
        <w:rPr>
          <w:rFonts w:hint="eastAsia"/>
          <w:color w:val="auto"/>
        </w:rPr>
        <w:t>八、验收</w:t>
      </w:r>
    </w:p>
    <w:p w14:paraId="74ECF599">
      <w:pPr>
        <w:spacing w:line="360" w:lineRule="auto"/>
        <w:ind w:firstLine="420" w:firstLineChars="200"/>
        <w:rPr>
          <w:rFonts w:ascii="宋体" w:hAnsi="宋体" w:cs="宋体"/>
          <w:color w:val="auto"/>
        </w:rPr>
      </w:pPr>
      <w:r>
        <w:rPr>
          <w:rFonts w:hint="eastAsia" w:ascii="宋体" w:hAnsi="宋体" w:cs="宋体"/>
          <w:color w:val="auto"/>
        </w:rPr>
        <w:t>39.验收</w:t>
      </w:r>
    </w:p>
    <w:p w14:paraId="38BA6BA8">
      <w:pPr>
        <w:spacing w:line="360" w:lineRule="auto"/>
        <w:ind w:firstLine="420" w:firstLineChars="200"/>
        <w:rPr>
          <w:rFonts w:ascii="宋体" w:hAnsi="宋体" w:cs="宋体"/>
          <w:color w:val="auto"/>
        </w:rPr>
      </w:pPr>
      <w:r>
        <w:rPr>
          <w:rFonts w:hint="eastAsia" w:ascii="宋体" w:hAnsi="宋体" w:cs="宋体"/>
          <w:color w:val="auto"/>
        </w:rPr>
        <w:t>39.1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7BFB2874">
      <w:pPr>
        <w:spacing w:line="360" w:lineRule="auto"/>
        <w:ind w:firstLine="420" w:firstLineChars="200"/>
        <w:rPr>
          <w:rFonts w:ascii="宋体" w:hAnsi="宋体" w:cs="宋体"/>
          <w:color w:val="auto"/>
        </w:rPr>
      </w:pPr>
      <w:r>
        <w:rPr>
          <w:rFonts w:hint="eastAsia" w:ascii="宋体" w:hAnsi="宋体" w:cs="宋体"/>
          <w:color w:val="auto"/>
        </w:rPr>
        <w:t>39.2采购人可以邀请参加本项目的其他投标人或者第三方机构参与验收。参与验收的投标人或者第三方机构的意见作为验收书的参考资料一并存档。</w:t>
      </w:r>
    </w:p>
    <w:p w14:paraId="3062B343">
      <w:pPr>
        <w:spacing w:line="360" w:lineRule="auto"/>
        <w:ind w:firstLine="420" w:firstLineChars="200"/>
        <w:rPr>
          <w:rFonts w:ascii="宋体" w:hAnsi="宋体" w:cs="宋体"/>
          <w:color w:val="auto"/>
        </w:rPr>
      </w:pPr>
      <w:r>
        <w:rPr>
          <w:rFonts w:hint="eastAsia" w:ascii="宋体" w:hAnsi="宋体" w:cs="宋体"/>
          <w:color w:val="auto"/>
        </w:rPr>
        <w:t>39.3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0F66A687">
      <w:pPr>
        <w:spacing w:line="360" w:lineRule="auto"/>
        <w:ind w:firstLine="420" w:firstLineChars="200"/>
        <w:rPr>
          <w:rFonts w:ascii="宋体" w:hAnsi="宋体" w:cs="宋体"/>
          <w:color w:val="auto"/>
        </w:rPr>
      </w:pPr>
      <w:r>
        <w:rPr>
          <w:rFonts w:hint="eastAsia" w:ascii="宋体" w:hAnsi="宋体" w:cs="宋体"/>
          <w:color w:val="auto"/>
        </w:rPr>
        <w:t>39.4</w:t>
      </w:r>
      <w:r>
        <w:rPr>
          <w:rFonts w:hint="eastAsia" w:ascii="宋体" w:hAnsi="宋体" w:cs="宋体"/>
          <w:color w:val="auto"/>
          <w:spacing w:val="-6"/>
        </w:rPr>
        <w:t>验收合格的项目，采购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r>
        <w:rPr>
          <w:rFonts w:hint="eastAsia" w:ascii="宋体" w:hAnsi="宋体" w:cs="宋体"/>
          <w:color w:val="auto"/>
        </w:rPr>
        <w:t>。</w:t>
      </w:r>
    </w:p>
    <w:p w14:paraId="658D943A">
      <w:pPr>
        <w:pStyle w:val="4"/>
        <w:keepNext w:val="0"/>
        <w:keepLines w:val="0"/>
        <w:jc w:val="center"/>
        <w:rPr>
          <w:color w:val="auto"/>
        </w:rPr>
      </w:pPr>
      <w:r>
        <w:rPr>
          <w:rFonts w:hint="eastAsia"/>
          <w:color w:val="auto"/>
        </w:rPr>
        <w:t>九、其他事项</w:t>
      </w:r>
    </w:p>
    <w:p w14:paraId="76BB3126">
      <w:pPr>
        <w:pStyle w:val="6"/>
        <w:keepNext w:val="0"/>
        <w:keepLines w:val="0"/>
        <w:spacing w:before="0" w:after="0" w:line="360" w:lineRule="auto"/>
        <w:ind w:left="420" w:leftChars="200"/>
        <w:rPr>
          <w:rFonts w:ascii="黑体" w:hAnsi="黑体" w:eastAsia="黑体"/>
          <w:color w:val="auto"/>
          <w:sz w:val="24"/>
        </w:rPr>
      </w:pPr>
      <w:bookmarkStart w:id="144" w:name="_42.代理服务费"/>
      <w:bookmarkEnd w:id="144"/>
      <w:r>
        <w:rPr>
          <w:rFonts w:hint="eastAsia" w:ascii="黑体" w:hAnsi="黑体" w:eastAsia="黑体"/>
          <w:color w:val="auto"/>
          <w:sz w:val="24"/>
        </w:rPr>
        <w:t>40.代理服务费</w:t>
      </w:r>
    </w:p>
    <w:p w14:paraId="7FF0DB8B">
      <w:pPr>
        <w:pStyle w:val="6"/>
        <w:keepNext w:val="0"/>
        <w:keepLines w:val="0"/>
        <w:spacing w:before="0" w:after="0" w:line="360" w:lineRule="auto"/>
        <w:ind w:firstLine="420" w:firstLineChars="200"/>
        <w:rPr>
          <w:rFonts w:ascii="宋体" w:hAnsi="宋体"/>
          <w:b w:val="0"/>
          <w:color w:val="auto"/>
          <w:sz w:val="21"/>
          <w:szCs w:val="21"/>
        </w:rPr>
      </w:pPr>
      <w:r>
        <w:rPr>
          <w:rFonts w:hint="eastAsia" w:ascii="宋体" w:hAnsi="宋体"/>
          <w:b w:val="0"/>
          <w:color w:val="auto"/>
          <w:sz w:val="21"/>
          <w:szCs w:val="21"/>
        </w:rPr>
        <w:t>40.1代理服务收费标准及缴费账户详见“投标人须知前附表”，投标人为联合体的，可以由联合体中的一方或者多方共同交纳代理服务费。</w:t>
      </w:r>
    </w:p>
    <w:p w14:paraId="32D80F1C">
      <w:pPr>
        <w:pStyle w:val="6"/>
        <w:keepNext w:val="0"/>
        <w:keepLines w:val="0"/>
        <w:numPr>
          <w:ilvl w:val="0"/>
          <w:numId w:val="0"/>
        </w:numPr>
        <w:spacing w:before="0" w:after="0" w:line="360" w:lineRule="auto"/>
        <w:ind w:firstLine="420" w:firstLineChars="200"/>
        <w:rPr>
          <w:rFonts w:ascii="宋体" w:hAnsi="宋体"/>
          <w:b w:val="0"/>
          <w:color w:val="auto"/>
          <w:sz w:val="21"/>
          <w:szCs w:val="21"/>
        </w:rPr>
      </w:pPr>
      <w:r>
        <w:rPr>
          <w:rFonts w:hint="eastAsia" w:ascii="宋体" w:hAnsi="宋体"/>
          <w:b w:val="0"/>
          <w:color w:val="auto"/>
          <w:sz w:val="21"/>
          <w:szCs w:val="21"/>
        </w:rPr>
        <w:t>40.2代理服务收费标准：详见“投标人须知前附表”</w:t>
      </w:r>
    </w:p>
    <w:p w14:paraId="3157303A">
      <w:pPr>
        <w:pStyle w:val="6"/>
        <w:keepNext w:val="0"/>
        <w:keepLines w:val="0"/>
        <w:spacing w:before="0" w:after="0" w:line="360" w:lineRule="auto"/>
        <w:ind w:left="420" w:leftChars="200"/>
        <w:rPr>
          <w:rFonts w:ascii="黑体" w:hAnsi="黑体" w:eastAsia="黑体"/>
          <w:color w:val="auto"/>
          <w:sz w:val="24"/>
        </w:rPr>
      </w:pPr>
      <w:r>
        <w:rPr>
          <w:rFonts w:ascii="黑体" w:hAnsi="黑体" w:eastAsia="黑体"/>
          <w:color w:val="auto"/>
          <w:sz w:val="24"/>
        </w:rPr>
        <w:t>4</w:t>
      </w:r>
      <w:r>
        <w:rPr>
          <w:rFonts w:hint="eastAsia" w:ascii="黑体" w:hAnsi="黑体" w:eastAsia="黑体"/>
          <w:color w:val="auto"/>
          <w:sz w:val="24"/>
        </w:rPr>
        <w:t>1</w:t>
      </w:r>
      <w:r>
        <w:rPr>
          <w:rFonts w:ascii="黑体" w:hAnsi="黑体" w:eastAsia="黑体"/>
          <w:color w:val="auto"/>
          <w:sz w:val="24"/>
        </w:rPr>
        <w:t>.需要补充的其他内容</w:t>
      </w:r>
    </w:p>
    <w:p w14:paraId="7B7192A5">
      <w:pPr>
        <w:pStyle w:val="15"/>
        <w:snapToGrid w:val="0"/>
        <w:spacing w:before="120" w:after="120" w:line="360" w:lineRule="auto"/>
        <w:ind w:firstLine="420" w:firstLineChars="200"/>
        <w:rPr>
          <w:rFonts w:hAnsi="宋体"/>
          <w:bCs/>
          <w:color w:val="auto"/>
          <w:kern w:val="2"/>
          <w:sz w:val="21"/>
        </w:rPr>
      </w:pPr>
      <w:r>
        <w:rPr>
          <w:rFonts w:hint="eastAsia" w:hAnsi="宋体"/>
          <w:bCs/>
          <w:color w:val="auto"/>
          <w:kern w:val="2"/>
          <w:sz w:val="21"/>
        </w:rPr>
        <w:t>4</w:t>
      </w:r>
      <w:r>
        <w:rPr>
          <w:rFonts w:hint="eastAsia" w:hAnsi="宋体"/>
          <w:bCs/>
          <w:color w:val="auto"/>
          <w:kern w:val="2"/>
          <w:sz w:val="21"/>
          <w:lang w:val="en-US" w:eastAsia="zh-CN"/>
        </w:rPr>
        <w:t>1</w:t>
      </w:r>
      <w:r>
        <w:rPr>
          <w:rFonts w:hint="eastAsia" w:hAnsi="宋体"/>
          <w:bCs/>
          <w:color w:val="auto"/>
          <w:kern w:val="2"/>
          <w:sz w:val="21"/>
        </w:rPr>
        <w:t>.1本招标文件解释规则详见“投标人须知前附表”。</w:t>
      </w:r>
    </w:p>
    <w:p w14:paraId="600706E0">
      <w:pPr>
        <w:pStyle w:val="15"/>
        <w:snapToGrid w:val="0"/>
        <w:spacing w:before="120" w:after="120" w:line="360" w:lineRule="auto"/>
        <w:ind w:firstLine="420" w:firstLineChars="200"/>
        <w:rPr>
          <w:rFonts w:hAnsi="宋体"/>
          <w:bCs/>
          <w:color w:val="auto"/>
          <w:kern w:val="2"/>
          <w:sz w:val="21"/>
        </w:rPr>
      </w:pPr>
      <w:r>
        <w:rPr>
          <w:rFonts w:hint="eastAsia" w:hAnsi="宋体"/>
          <w:bCs/>
          <w:color w:val="auto"/>
          <w:kern w:val="2"/>
          <w:sz w:val="21"/>
        </w:rPr>
        <w:t>4</w:t>
      </w:r>
      <w:r>
        <w:rPr>
          <w:rFonts w:hint="eastAsia" w:hAnsi="宋体"/>
          <w:bCs/>
          <w:color w:val="auto"/>
          <w:kern w:val="2"/>
          <w:sz w:val="21"/>
          <w:lang w:val="en-US" w:eastAsia="zh-CN"/>
        </w:rPr>
        <w:t>1</w:t>
      </w:r>
      <w:r>
        <w:rPr>
          <w:rFonts w:hint="eastAsia" w:hAnsi="宋体"/>
          <w:bCs/>
          <w:color w:val="auto"/>
          <w:kern w:val="2"/>
          <w:sz w:val="21"/>
        </w:rPr>
        <w:t>.2其他事项详见“投标人须知前附表”。</w:t>
      </w:r>
    </w:p>
    <w:p w14:paraId="2140CFC1">
      <w:pPr>
        <w:pStyle w:val="15"/>
        <w:snapToGrid w:val="0"/>
        <w:spacing w:before="120" w:after="120" w:line="360" w:lineRule="auto"/>
        <w:ind w:firstLine="420" w:firstLineChars="200"/>
        <w:rPr>
          <w:rFonts w:hAnsi="宋体"/>
          <w:bCs/>
          <w:color w:val="auto"/>
          <w:kern w:val="2"/>
          <w:sz w:val="21"/>
        </w:rPr>
      </w:pPr>
      <w:r>
        <w:rPr>
          <w:rFonts w:hint="eastAsia" w:hAnsi="宋体"/>
          <w:bCs/>
          <w:color w:val="auto"/>
          <w:kern w:val="2"/>
          <w:sz w:val="21"/>
        </w:rPr>
        <w:t>4</w:t>
      </w:r>
      <w:r>
        <w:rPr>
          <w:rFonts w:hint="eastAsia" w:hAnsi="宋体"/>
          <w:bCs/>
          <w:color w:val="auto"/>
          <w:kern w:val="2"/>
          <w:sz w:val="21"/>
          <w:lang w:val="en-US" w:eastAsia="zh-CN"/>
        </w:rPr>
        <w:t>1</w:t>
      </w:r>
      <w:r>
        <w:rPr>
          <w:rFonts w:hint="eastAsia" w:hAnsi="宋体"/>
          <w:bCs/>
          <w:color w:val="auto"/>
          <w:kern w:val="2"/>
          <w:sz w:val="21"/>
        </w:rPr>
        <w:t>.3本招标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招标文件规定的中小企业扶持政策：</w:t>
      </w:r>
    </w:p>
    <w:p w14:paraId="4FE25156">
      <w:pPr>
        <w:pStyle w:val="15"/>
        <w:snapToGrid w:val="0"/>
        <w:spacing w:before="120" w:after="120" w:line="360" w:lineRule="auto"/>
        <w:ind w:firstLine="420" w:firstLineChars="200"/>
        <w:rPr>
          <w:rFonts w:hAnsi="宋体"/>
          <w:bCs/>
          <w:color w:val="auto"/>
          <w:kern w:val="2"/>
          <w:sz w:val="21"/>
        </w:rPr>
      </w:pPr>
      <w:r>
        <w:rPr>
          <w:rFonts w:hint="eastAsia" w:hAnsi="宋体"/>
          <w:bCs/>
          <w:color w:val="auto"/>
          <w:kern w:val="2"/>
          <w:sz w:val="21"/>
        </w:rPr>
        <w:t>（1）在货物采购项目中，货物由中小企业制造，即货物由中小企业生产且使用该中小企业商号或者注册商标，不对其中涉及的工程承建商和服务的承接商作出要求；</w:t>
      </w:r>
    </w:p>
    <w:p w14:paraId="725DB412">
      <w:pPr>
        <w:pStyle w:val="15"/>
        <w:snapToGrid w:val="0"/>
        <w:spacing w:before="120" w:after="120" w:line="360" w:lineRule="auto"/>
        <w:ind w:firstLine="420" w:firstLineChars="200"/>
        <w:rPr>
          <w:rFonts w:hAnsi="宋体"/>
          <w:bCs/>
          <w:color w:val="auto"/>
          <w:kern w:val="2"/>
          <w:sz w:val="21"/>
        </w:rPr>
      </w:pPr>
      <w:r>
        <w:rPr>
          <w:rFonts w:hint="eastAsia" w:hAnsi="宋体"/>
          <w:bCs/>
          <w:color w:val="auto"/>
          <w:kern w:val="2"/>
          <w:sz w:val="21"/>
        </w:rPr>
        <w:t>（2）在工程采购项目中，工程由中小企业承建，即工程施工单位为中小企业，不对其中涉及的货物的制造商和服务的承接商作出要求；</w:t>
      </w:r>
    </w:p>
    <w:p w14:paraId="273F1EC3">
      <w:pPr>
        <w:pStyle w:val="15"/>
        <w:snapToGrid w:val="0"/>
        <w:spacing w:before="120" w:after="120" w:line="360" w:lineRule="auto"/>
        <w:ind w:firstLine="420" w:firstLineChars="200"/>
        <w:rPr>
          <w:rFonts w:hAnsi="宋体"/>
          <w:bCs/>
          <w:color w:val="auto"/>
          <w:kern w:val="2"/>
          <w:sz w:val="21"/>
        </w:rPr>
      </w:pPr>
      <w:r>
        <w:rPr>
          <w:rFonts w:hint="eastAsia" w:hAnsi="宋体"/>
          <w:bCs/>
          <w:color w:val="auto"/>
          <w:kern w:val="2"/>
          <w:sz w:val="21"/>
        </w:rPr>
        <w:t>（3）在服务采购项目中，服务由中小企业承接，即提供服务的人员为中小企业依照《中华人民共和国劳动合同法》订立劳动合同的从业人员，不对其中涉及的货物的制造商和工程承建商作出要求。</w:t>
      </w:r>
    </w:p>
    <w:p w14:paraId="3A0867FF">
      <w:pPr>
        <w:pStyle w:val="15"/>
        <w:snapToGrid w:val="0"/>
        <w:spacing w:before="120" w:after="120" w:line="360" w:lineRule="auto"/>
        <w:ind w:firstLine="420" w:firstLineChars="200"/>
        <w:rPr>
          <w:rFonts w:hAnsi="宋体"/>
          <w:bCs/>
          <w:color w:val="auto"/>
          <w:kern w:val="2"/>
          <w:sz w:val="21"/>
        </w:rPr>
      </w:pPr>
      <w:r>
        <w:rPr>
          <w:rFonts w:hint="eastAsia" w:hAnsi="宋体"/>
          <w:bCs/>
          <w:color w:val="auto"/>
          <w:kern w:val="2"/>
          <w:sz w:val="21"/>
        </w:rPr>
        <w:t>在货物采购项目中，供应商提供的货物既有中小企业制造货物，也有大型企业制造货物的，不享受本招标文件规定的中小企业扶持政策。以联合体形式参加政府采购活动，联合体各方均为中小企业的，联合体视同中小企业。其中，联合体各方均为小微企业的，联合体视同小微企业。</w:t>
      </w:r>
    </w:p>
    <w:p w14:paraId="3042267C">
      <w:pPr>
        <w:pStyle w:val="15"/>
        <w:snapToGrid w:val="0"/>
        <w:spacing w:before="120" w:after="120" w:line="360" w:lineRule="auto"/>
        <w:ind w:firstLine="420" w:firstLineChars="200"/>
        <w:rPr>
          <w:rFonts w:hint="eastAsia" w:hAnsi="宋体"/>
          <w:bCs/>
          <w:color w:val="auto"/>
          <w:kern w:val="2"/>
          <w:sz w:val="21"/>
        </w:rPr>
      </w:pPr>
      <w:r>
        <w:rPr>
          <w:rFonts w:hint="eastAsia" w:hAnsi="宋体"/>
          <w:bCs/>
          <w:color w:val="auto"/>
          <w:kern w:val="2"/>
          <w:sz w:val="21"/>
        </w:rPr>
        <w:t>依据本招标文件规定享受扶持政策获得政府采购合同的，小微企业不得将合同分包给大中型企业，中型企业不得将合同分包给大型企业。</w:t>
      </w:r>
    </w:p>
    <w:p w14:paraId="6EF7582C">
      <w:pPr>
        <w:pStyle w:val="15"/>
        <w:snapToGrid w:val="0"/>
        <w:spacing w:before="120" w:after="120" w:line="360" w:lineRule="auto"/>
        <w:ind w:firstLine="420" w:firstLineChars="200"/>
        <w:rPr>
          <w:rFonts w:hint="default" w:hAnsi="宋体" w:eastAsia="宋体"/>
          <w:bCs/>
          <w:color w:val="auto"/>
          <w:kern w:val="2"/>
          <w:sz w:val="21"/>
          <w:lang w:val="en-US" w:eastAsia="zh-CN"/>
        </w:rPr>
      </w:pPr>
      <w:r>
        <w:rPr>
          <w:rFonts w:hint="eastAsia" w:hAnsi="宋体"/>
          <w:bCs/>
          <w:color w:val="auto"/>
          <w:kern w:val="2"/>
          <w:sz w:val="21"/>
          <w:lang w:val="en-US" w:eastAsia="zh-CN"/>
        </w:rPr>
        <w:t>41.4监督部门监督管理机构：广西壮族自治区财政厅政府采购监督管理处电话：0771-5331544。</w:t>
      </w:r>
    </w:p>
    <w:p w14:paraId="3552728A">
      <w:pPr>
        <w:snapToGrid w:val="0"/>
        <w:spacing w:before="120" w:after="120"/>
        <w:ind w:firstLine="420" w:firstLineChars="200"/>
        <w:rPr>
          <w:rFonts w:hAnsi="宋体"/>
          <w:color w:val="auto"/>
        </w:rPr>
      </w:pPr>
      <w:r>
        <w:rPr>
          <w:rFonts w:hAnsi="宋体"/>
          <w:color w:val="auto"/>
        </w:rPr>
        <w:br w:type="page"/>
      </w:r>
    </w:p>
    <w:p w14:paraId="48A28B31">
      <w:pPr>
        <w:pStyle w:val="15"/>
        <w:snapToGrid w:val="0"/>
        <w:spacing w:before="120" w:after="120" w:line="360" w:lineRule="auto"/>
        <w:ind w:firstLine="400" w:firstLineChars="200"/>
        <w:rPr>
          <w:rFonts w:hAnsi="宋体"/>
          <w:color w:val="auto"/>
        </w:rPr>
      </w:pPr>
      <w:r>
        <w:rPr>
          <w:rFonts w:hint="eastAsia" w:hAnsi="宋体"/>
          <w:color w:val="auto"/>
        </w:rPr>
        <w:t>附件1：</w:t>
      </w:r>
    </w:p>
    <w:p w14:paraId="32273D89">
      <w:pPr>
        <w:jc w:val="center"/>
        <w:rPr>
          <w:rFonts w:ascii="黑体" w:hAnsi="黑体" w:eastAsia="黑体" w:cs="黑体"/>
          <w:color w:val="auto"/>
          <w:sz w:val="32"/>
          <w:szCs w:val="40"/>
        </w:rPr>
      </w:pPr>
      <w:r>
        <w:rPr>
          <w:rFonts w:hint="eastAsia" w:ascii="黑体" w:hAnsi="黑体" w:eastAsia="黑体" w:cs="黑体"/>
          <w:color w:val="auto"/>
          <w:sz w:val="32"/>
          <w:szCs w:val="40"/>
        </w:rPr>
        <w:t>广西壮族自治区政府采购项目合同验收书（格式）</w:t>
      </w:r>
    </w:p>
    <w:p w14:paraId="03A018B6">
      <w:pPr>
        <w:rPr>
          <w:color w:val="auto"/>
        </w:rPr>
      </w:pPr>
    </w:p>
    <w:p w14:paraId="11F7EE8E">
      <w:pPr>
        <w:ind w:firstLine="480" w:firstLineChars="200"/>
        <w:rPr>
          <w:color w:val="auto"/>
          <w:sz w:val="24"/>
          <w:szCs w:val="32"/>
        </w:rPr>
      </w:pPr>
      <w:r>
        <w:rPr>
          <w:rFonts w:hint="eastAsia"/>
          <w:color w:val="auto"/>
          <w:sz w:val="24"/>
          <w:szCs w:val="32"/>
        </w:rPr>
        <w:t>根据政府采购项目</w:t>
      </w:r>
      <w:r>
        <w:rPr>
          <w:rFonts w:hint="eastAsia"/>
          <w:color w:val="auto"/>
          <w:sz w:val="24"/>
          <w:szCs w:val="32"/>
          <w:u w:val="single"/>
        </w:rPr>
        <w:t>（采购合同编号：</w:t>
      </w:r>
      <w:r>
        <w:rPr>
          <w:rFonts w:hint="eastAsia"/>
          <w:color w:val="auto"/>
          <w:sz w:val="24"/>
          <w:szCs w:val="32"/>
          <w:u w:val="single"/>
        </w:rPr>
        <w:softHyphen/>
      </w:r>
      <w:r>
        <w:rPr>
          <w:rFonts w:hint="eastAsia"/>
          <w:color w:val="auto"/>
          <w:sz w:val="24"/>
          <w:szCs w:val="32"/>
          <w:u w:val="single"/>
        </w:rPr>
        <w:t>）</w:t>
      </w:r>
      <w:r>
        <w:rPr>
          <w:rFonts w:hint="eastAsia"/>
          <w:color w:val="auto"/>
          <w:sz w:val="24"/>
          <w:szCs w:val="32"/>
        </w:rPr>
        <w:t>的约定，我单位对</w:t>
      </w:r>
      <w:r>
        <w:rPr>
          <w:rFonts w:hint="eastAsia"/>
          <w:color w:val="auto"/>
          <w:sz w:val="24"/>
          <w:szCs w:val="32"/>
          <w:u w:val="single"/>
        </w:rPr>
        <w:t>（项目名称）</w:t>
      </w:r>
      <w:r>
        <w:rPr>
          <w:rFonts w:hint="eastAsia"/>
          <w:color w:val="auto"/>
          <w:sz w:val="24"/>
          <w:szCs w:val="32"/>
        </w:rPr>
        <w:t>政府采购项目</w:t>
      </w:r>
      <w:r>
        <w:rPr>
          <w:rFonts w:hint="eastAsia"/>
          <w:color w:val="auto"/>
          <w:sz w:val="24"/>
          <w:szCs w:val="32"/>
          <w:u w:val="single"/>
        </w:rPr>
        <w:t>中标（或者成交）</w:t>
      </w:r>
      <w:r>
        <w:rPr>
          <w:rFonts w:hint="eastAsia"/>
          <w:color w:val="auto"/>
          <w:sz w:val="24"/>
          <w:szCs w:val="32"/>
        </w:rPr>
        <w:t>投标人</w:t>
      </w:r>
      <w:r>
        <w:rPr>
          <w:rFonts w:hint="eastAsia"/>
          <w:color w:val="auto"/>
          <w:sz w:val="24"/>
          <w:szCs w:val="32"/>
          <w:u w:val="single"/>
        </w:rPr>
        <w:t>（公司名称）</w:t>
      </w:r>
      <w:r>
        <w:rPr>
          <w:rFonts w:hint="eastAsia"/>
          <w:color w:val="auto"/>
          <w:sz w:val="24"/>
          <w:szCs w:val="32"/>
        </w:rPr>
        <w:t>提供的货物</w:t>
      </w:r>
      <w:r>
        <w:rPr>
          <w:rFonts w:hint="eastAsia"/>
          <w:color w:val="auto"/>
          <w:sz w:val="24"/>
          <w:szCs w:val="32"/>
          <w:u w:val="single"/>
        </w:rPr>
        <w:t>（或者工程、服务）</w:t>
      </w:r>
      <w:r>
        <w:rPr>
          <w:rFonts w:hint="eastAsia"/>
          <w:color w:val="auto"/>
          <w:sz w:val="24"/>
          <w:szCs w:val="32"/>
        </w:rPr>
        <w:t>进行了验收，验收情况如下：</w:t>
      </w:r>
    </w:p>
    <w:tbl>
      <w:tblPr>
        <w:tblStyle w:val="25"/>
        <w:tblW w:w="0" w:type="auto"/>
        <w:jc w:val="center"/>
        <w:tblLayout w:type="fixed"/>
        <w:tblCellMar>
          <w:top w:w="0" w:type="dxa"/>
          <w:left w:w="0" w:type="dxa"/>
          <w:bottom w:w="0" w:type="dxa"/>
          <w:right w:w="0" w:type="dxa"/>
        </w:tblCellMar>
      </w:tblPr>
      <w:tblGrid>
        <w:gridCol w:w="1331"/>
        <w:gridCol w:w="1921"/>
        <w:gridCol w:w="798"/>
        <w:gridCol w:w="102"/>
        <w:gridCol w:w="2002"/>
        <w:gridCol w:w="178"/>
        <w:gridCol w:w="685"/>
        <w:gridCol w:w="2354"/>
      </w:tblGrid>
      <w:tr w14:paraId="642581AA">
        <w:tblPrEx>
          <w:tblCellMar>
            <w:top w:w="0" w:type="dxa"/>
            <w:left w:w="0" w:type="dxa"/>
            <w:bottom w:w="0" w:type="dxa"/>
            <w:right w:w="0" w:type="dxa"/>
          </w:tblCellMar>
        </w:tblPrEx>
        <w:trPr>
          <w:trHeight w:val="497" w:hRule="atLeast"/>
          <w:jc w:val="center"/>
        </w:trPr>
        <w:tc>
          <w:tcPr>
            <w:tcW w:w="3252" w:type="dxa"/>
            <w:gridSpan w:val="2"/>
            <w:tcBorders>
              <w:top w:val="single" w:color="auto" w:sz="8" w:space="0"/>
              <w:left w:val="single" w:color="auto" w:sz="8" w:space="0"/>
              <w:bottom w:val="single" w:color="auto" w:sz="8" w:space="0"/>
              <w:right w:val="single" w:color="auto" w:sz="8" w:space="0"/>
            </w:tcBorders>
            <w:vAlign w:val="center"/>
          </w:tcPr>
          <w:p w14:paraId="58B63D4E">
            <w:pPr>
              <w:snapToGrid w:val="0"/>
              <w:spacing w:before="100" w:beforeAutospacing="1" w:after="100" w:afterAutospacing="1" w:line="320" w:lineRule="atLeast"/>
              <w:ind w:firstLine="5"/>
              <w:jc w:val="center"/>
              <w:rPr>
                <w:rFonts w:ascii="Verdana" w:hAnsi="Verdana" w:cs="宋体"/>
                <w:color w:val="auto"/>
                <w:kern w:val="0"/>
                <w:szCs w:val="21"/>
              </w:rPr>
            </w:pPr>
            <w:r>
              <w:rPr>
                <w:rFonts w:ascii="Verdana" w:hAnsi="Verdana" w:cs="宋体"/>
                <w:color w:val="auto"/>
                <w:kern w:val="0"/>
                <w:szCs w:val="21"/>
              </w:rPr>
              <w:t>验收方式：</w:t>
            </w:r>
          </w:p>
        </w:tc>
        <w:tc>
          <w:tcPr>
            <w:tcW w:w="6119" w:type="dxa"/>
            <w:gridSpan w:val="6"/>
            <w:tcBorders>
              <w:top w:val="single" w:color="auto" w:sz="8" w:space="0"/>
              <w:left w:val="nil"/>
              <w:bottom w:val="single" w:color="auto" w:sz="8" w:space="0"/>
              <w:right w:val="single" w:color="auto" w:sz="8" w:space="0"/>
            </w:tcBorders>
            <w:vAlign w:val="center"/>
          </w:tcPr>
          <w:p w14:paraId="77A4CB70">
            <w:pPr>
              <w:snapToGrid w:val="0"/>
              <w:spacing w:before="100" w:beforeAutospacing="1" w:after="100" w:afterAutospacing="1" w:line="320" w:lineRule="atLeast"/>
              <w:ind w:firstLine="480"/>
              <w:jc w:val="center"/>
              <w:rPr>
                <w:rFonts w:ascii="Verdana" w:hAnsi="Verdana" w:cs="宋体"/>
                <w:color w:val="auto"/>
                <w:kern w:val="0"/>
                <w:szCs w:val="21"/>
              </w:rPr>
            </w:pPr>
            <w:r>
              <w:rPr>
                <w:rFonts w:ascii="Verdana" w:hAnsi="Verdana" w:cs="宋体"/>
                <w:color w:val="auto"/>
                <w:kern w:val="0"/>
                <w:szCs w:val="21"/>
              </w:rPr>
              <w:t>□自行验收 □委托验收</w:t>
            </w:r>
          </w:p>
        </w:tc>
      </w:tr>
      <w:tr w14:paraId="3B083F71">
        <w:tblPrEx>
          <w:tblCellMar>
            <w:top w:w="0" w:type="dxa"/>
            <w:left w:w="0" w:type="dxa"/>
            <w:bottom w:w="0" w:type="dxa"/>
            <w:right w:w="0" w:type="dxa"/>
          </w:tblCellMar>
        </w:tblPrEx>
        <w:trPr>
          <w:trHeight w:val="622" w:hRule="atLeast"/>
          <w:jc w:val="center"/>
        </w:trPr>
        <w:tc>
          <w:tcPr>
            <w:tcW w:w="1331" w:type="dxa"/>
            <w:tcBorders>
              <w:top w:val="nil"/>
              <w:left w:val="single" w:color="auto" w:sz="8" w:space="0"/>
              <w:bottom w:val="single" w:color="auto" w:sz="8" w:space="0"/>
              <w:right w:val="single" w:color="auto" w:sz="8" w:space="0"/>
            </w:tcBorders>
            <w:vAlign w:val="center"/>
          </w:tcPr>
          <w:p w14:paraId="2AFABD0A">
            <w:pPr>
              <w:snapToGrid w:val="0"/>
              <w:spacing w:before="100" w:beforeAutospacing="1" w:after="100" w:afterAutospacing="1" w:line="320" w:lineRule="atLeast"/>
              <w:ind w:firstLine="2"/>
              <w:jc w:val="center"/>
              <w:rPr>
                <w:rFonts w:ascii="Verdana" w:hAnsi="Verdana" w:cs="宋体"/>
                <w:color w:val="auto"/>
                <w:kern w:val="0"/>
                <w:szCs w:val="21"/>
              </w:rPr>
            </w:pPr>
            <w:r>
              <w:rPr>
                <w:rFonts w:ascii="Verdana" w:hAnsi="Verdana" w:cs="宋体"/>
                <w:color w:val="auto"/>
                <w:kern w:val="0"/>
                <w:szCs w:val="21"/>
              </w:rPr>
              <w:t>序号</w:t>
            </w:r>
          </w:p>
        </w:tc>
        <w:tc>
          <w:tcPr>
            <w:tcW w:w="1921" w:type="dxa"/>
            <w:tcBorders>
              <w:top w:val="nil"/>
              <w:left w:val="nil"/>
              <w:bottom w:val="single" w:color="auto" w:sz="8" w:space="0"/>
              <w:right w:val="single" w:color="auto" w:sz="8" w:space="0"/>
            </w:tcBorders>
            <w:vAlign w:val="center"/>
          </w:tcPr>
          <w:p w14:paraId="31F5391B">
            <w:pPr>
              <w:snapToGrid w:val="0"/>
              <w:spacing w:before="100" w:beforeAutospacing="1" w:after="100" w:afterAutospacing="1" w:line="320" w:lineRule="atLeast"/>
              <w:ind w:firstLine="2"/>
              <w:jc w:val="center"/>
              <w:rPr>
                <w:rFonts w:ascii="Verdana" w:hAnsi="Verdana" w:cs="宋体"/>
                <w:color w:val="auto"/>
                <w:kern w:val="0"/>
                <w:szCs w:val="21"/>
              </w:rPr>
            </w:pPr>
            <w:r>
              <w:rPr>
                <w:rFonts w:ascii="Verdana" w:hAnsi="Verdana" w:cs="宋体"/>
                <w:color w:val="auto"/>
                <w:kern w:val="0"/>
                <w:szCs w:val="21"/>
              </w:rPr>
              <w:t>名称</w:t>
            </w:r>
          </w:p>
        </w:tc>
        <w:tc>
          <w:tcPr>
            <w:tcW w:w="2902" w:type="dxa"/>
            <w:gridSpan w:val="3"/>
            <w:tcBorders>
              <w:top w:val="nil"/>
              <w:left w:val="nil"/>
              <w:bottom w:val="single" w:color="auto" w:sz="8" w:space="0"/>
              <w:right w:val="single" w:color="auto" w:sz="8" w:space="0"/>
            </w:tcBorders>
            <w:vAlign w:val="center"/>
          </w:tcPr>
          <w:p w14:paraId="77886C66">
            <w:pPr>
              <w:snapToGrid w:val="0"/>
              <w:spacing w:before="100" w:beforeAutospacing="1" w:after="100" w:afterAutospacing="1" w:line="320" w:lineRule="atLeast"/>
              <w:ind w:firstLine="2"/>
              <w:jc w:val="center"/>
              <w:rPr>
                <w:rFonts w:ascii="Verdana" w:hAnsi="Verdana" w:cs="宋体"/>
                <w:color w:val="auto"/>
                <w:kern w:val="0"/>
                <w:szCs w:val="21"/>
              </w:rPr>
            </w:pPr>
            <w:r>
              <w:rPr>
                <w:rFonts w:ascii="Verdana" w:hAnsi="Verdana" w:cs="宋体"/>
                <w:color w:val="auto"/>
                <w:kern w:val="0"/>
                <w:szCs w:val="21"/>
              </w:rPr>
              <w:t>货物型号规格、标准及配置等（或者服务内容、标准）</w:t>
            </w:r>
          </w:p>
        </w:tc>
        <w:tc>
          <w:tcPr>
            <w:tcW w:w="863" w:type="dxa"/>
            <w:gridSpan w:val="2"/>
            <w:tcBorders>
              <w:top w:val="nil"/>
              <w:left w:val="nil"/>
              <w:bottom w:val="single" w:color="auto" w:sz="8" w:space="0"/>
              <w:right w:val="single" w:color="auto" w:sz="8" w:space="0"/>
            </w:tcBorders>
            <w:vAlign w:val="center"/>
          </w:tcPr>
          <w:p w14:paraId="2389C151">
            <w:pPr>
              <w:snapToGrid w:val="0"/>
              <w:spacing w:before="100" w:beforeAutospacing="1" w:after="100" w:afterAutospacing="1" w:line="320" w:lineRule="atLeast"/>
              <w:jc w:val="center"/>
              <w:rPr>
                <w:rFonts w:ascii="Verdana" w:hAnsi="Verdana" w:cs="宋体"/>
                <w:color w:val="auto"/>
                <w:kern w:val="0"/>
                <w:szCs w:val="21"/>
              </w:rPr>
            </w:pPr>
            <w:r>
              <w:rPr>
                <w:rFonts w:ascii="Verdana" w:hAnsi="Verdana" w:cs="宋体"/>
                <w:color w:val="auto"/>
                <w:kern w:val="0"/>
                <w:szCs w:val="21"/>
              </w:rPr>
              <w:t>数量</w:t>
            </w:r>
          </w:p>
        </w:tc>
        <w:tc>
          <w:tcPr>
            <w:tcW w:w="2354" w:type="dxa"/>
            <w:tcBorders>
              <w:top w:val="nil"/>
              <w:left w:val="nil"/>
              <w:bottom w:val="single" w:color="auto" w:sz="8" w:space="0"/>
              <w:right w:val="single" w:color="auto" w:sz="8" w:space="0"/>
            </w:tcBorders>
            <w:vAlign w:val="center"/>
          </w:tcPr>
          <w:p w14:paraId="2C62245D">
            <w:pPr>
              <w:snapToGrid w:val="0"/>
              <w:spacing w:before="100" w:beforeAutospacing="1" w:after="100" w:afterAutospacing="1" w:line="320" w:lineRule="atLeast"/>
              <w:ind w:firstLine="2"/>
              <w:jc w:val="center"/>
              <w:rPr>
                <w:rFonts w:ascii="Verdana" w:hAnsi="Verdana" w:cs="宋体"/>
                <w:color w:val="auto"/>
                <w:kern w:val="0"/>
                <w:szCs w:val="21"/>
              </w:rPr>
            </w:pPr>
            <w:r>
              <w:rPr>
                <w:rFonts w:ascii="Verdana" w:hAnsi="Verdana" w:cs="宋体"/>
                <w:color w:val="auto"/>
                <w:kern w:val="0"/>
                <w:szCs w:val="21"/>
              </w:rPr>
              <w:t>金额</w:t>
            </w:r>
          </w:p>
        </w:tc>
      </w:tr>
      <w:tr w14:paraId="775C6D45">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14:paraId="52EAECB7">
            <w:pPr>
              <w:spacing w:before="100" w:beforeAutospacing="1" w:after="100" w:afterAutospacing="1" w:line="240" w:lineRule="atLeast"/>
              <w:jc w:val="center"/>
              <w:rPr>
                <w:rFonts w:ascii="Verdana" w:hAnsi="Verdana" w:cs="宋体"/>
                <w:color w:val="auto"/>
                <w:kern w:val="0"/>
                <w:szCs w:val="21"/>
              </w:rPr>
            </w:pPr>
          </w:p>
        </w:tc>
        <w:tc>
          <w:tcPr>
            <w:tcW w:w="1921" w:type="dxa"/>
            <w:tcBorders>
              <w:top w:val="nil"/>
              <w:left w:val="nil"/>
              <w:bottom w:val="single" w:color="auto" w:sz="8" w:space="0"/>
              <w:right w:val="single" w:color="auto" w:sz="8" w:space="0"/>
            </w:tcBorders>
            <w:vAlign w:val="center"/>
          </w:tcPr>
          <w:p w14:paraId="3C747195">
            <w:pPr>
              <w:spacing w:before="100" w:beforeAutospacing="1" w:after="100" w:afterAutospacing="1" w:line="240" w:lineRule="atLeast"/>
              <w:jc w:val="center"/>
              <w:rPr>
                <w:rFonts w:ascii="Verdana" w:hAnsi="Verdana" w:cs="宋体"/>
                <w:color w:val="auto"/>
                <w:kern w:val="0"/>
                <w:szCs w:val="21"/>
              </w:rPr>
            </w:pPr>
          </w:p>
        </w:tc>
        <w:tc>
          <w:tcPr>
            <w:tcW w:w="2902" w:type="dxa"/>
            <w:gridSpan w:val="3"/>
            <w:tcBorders>
              <w:top w:val="nil"/>
              <w:left w:val="nil"/>
              <w:bottom w:val="single" w:color="auto" w:sz="8" w:space="0"/>
              <w:right w:val="single" w:color="auto" w:sz="8" w:space="0"/>
            </w:tcBorders>
            <w:vAlign w:val="center"/>
          </w:tcPr>
          <w:p w14:paraId="278ECF5F">
            <w:pPr>
              <w:spacing w:before="100" w:beforeAutospacing="1" w:after="100" w:afterAutospacing="1" w:line="240" w:lineRule="atLeast"/>
              <w:jc w:val="center"/>
              <w:rPr>
                <w:rFonts w:ascii="Verdana" w:hAnsi="Verdana" w:cs="宋体"/>
                <w:color w:val="auto"/>
                <w:kern w:val="0"/>
                <w:szCs w:val="21"/>
              </w:rPr>
            </w:pPr>
          </w:p>
        </w:tc>
        <w:tc>
          <w:tcPr>
            <w:tcW w:w="863" w:type="dxa"/>
            <w:gridSpan w:val="2"/>
            <w:tcBorders>
              <w:top w:val="nil"/>
              <w:left w:val="nil"/>
              <w:bottom w:val="single" w:color="auto" w:sz="8" w:space="0"/>
              <w:right w:val="single" w:color="auto" w:sz="8" w:space="0"/>
            </w:tcBorders>
            <w:vAlign w:val="center"/>
          </w:tcPr>
          <w:p w14:paraId="470FB305">
            <w:pPr>
              <w:spacing w:before="100" w:beforeAutospacing="1" w:after="100" w:afterAutospacing="1" w:line="240" w:lineRule="atLeast"/>
              <w:jc w:val="center"/>
              <w:rPr>
                <w:rFonts w:ascii="Verdana" w:hAnsi="Verdana" w:cs="宋体"/>
                <w:color w:val="auto"/>
                <w:kern w:val="0"/>
                <w:szCs w:val="21"/>
              </w:rPr>
            </w:pPr>
          </w:p>
        </w:tc>
        <w:tc>
          <w:tcPr>
            <w:tcW w:w="2354" w:type="dxa"/>
            <w:tcBorders>
              <w:top w:val="nil"/>
              <w:left w:val="nil"/>
              <w:bottom w:val="single" w:color="auto" w:sz="8" w:space="0"/>
              <w:right w:val="single" w:color="auto" w:sz="8" w:space="0"/>
            </w:tcBorders>
            <w:vAlign w:val="center"/>
          </w:tcPr>
          <w:p w14:paraId="7BB9935F">
            <w:pPr>
              <w:spacing w:before="100" w:beforeAutospacing="1" w:after="100" w:afterAutospacing="1" w:line="240" w:lineRule="atLeast"/>
              <w:jc w:val="center"/>
              <w:rPr>
                <w:rFonts w:ascii="Verdana" w:hAnsi="Verdana" w:cs="宋体"/>
                <w:color w:val="auto"/>
                <w:kern w:val="0"/>
                <w:szCs w:val="21"/>
              </w:rPr>
            </w:pPr>
          </w:p>
        </w:tc>
      </w:tr>
      <w:tr w14:paraId="546F9C4E">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14:paraId="2B329800">
            <w:pPr>
              <w:spacing w:before="100" w:beforeAutospacing="1" w:after="100" w:afterAutospacing="1" w:line="240" w:lineRule="atLeast"/>
              <w:jc w:val="center"/>
              <w:rPr>
                <w:rFonts w:ascii="Verdana" w:hAnsi="Verdana" w:cs="宋体"/>
                <w:color w:val="auto"/>
                <w:kern w:val="0"/>
                <w:szCs w:val="21"/>
              </w:rPr>
            </w:pPr>
          </w:p>
        </w:tc>
        <w:tc>
          <w:tcPr>
            <w:tcW w:w="1921" w:type="dxa"/>
            <w:tcBorders>
              <w:top w:val="nil"/>
              <w:left w:val="nil"/>
              <w:bottom w:val="single" w:color="auto" w:sz="8" w:space="0"/>
              <w:right w:val="single" w:color="auto" w:sz="8" w:space="0"/>
            </w:tcBorders>
            <w:vAlign w:val="center"/>
          </w:tcPr>
          <w:p w14:paraId="09279BC1">
            <w:pPr>
              <w:spacing w:before="100" w:beforeAutospacing="1" w:after="100" w:afterAutospacing="1" w:line="240" w:lineRule="atLeast"/>
              <w:jc w:val="center"/>
              <w:rPr>
                <w:rFonts w:ascii="Verdana" w:hAnsi="Verdana" w:cs="宋体"/>
                <w:color w:val="auto"/>
                <w:kern w:val="0"/>
                <w:szCs w:val="21"/>
              </w:rPr>
            </w:pPr>
          </w:p>
        </w:tc>
        <w:tc>
          <w:tcPr>
            <w:tcW w:w="2902" w:type="dxa"/>
            <w:gridSpan w:val="3"/>
            <w:tcBorders>
              <w:top w:val="nil"/>
              <w:left w:val="nil"/>
              <w:bottom w:val="single" w:color="auto" w:sz="8" w:space="0"/>
              <w:right w:val="single" w:color="auto" w:sz="8" w:space="0"/>
            </w:tcBorders>
            <w:vAlign w:val="center"/>
          </w:tcPr>
          <w:p w14:paraId="58C82215">
            <w:pPr>
              <w:spacing w:before="100" w:beforeAutospacing="1" w:after="100" w:afterAutospacing="1" w:line="240" w:lineRule="atLeast"/>
              <w:jc w:val="center"/>
              <w:rPr>
                <w:rFonts w:ascii="Verdana" w:hAnsi="Verdana" w:cs="宋体"/>
                <w:color w:val="auto"/>
                <w:kern w:val="0"/>
                <w:szCs w:val="21"/>
              </w:rPr>
            </w:pPr>
          </w:p>
        </w:tc>
        <w:tc>
          <w:tcPr>
            <w:tcW w:w="863" w:type="dxa"/>
            <w:gridSpan w:val="2"/>
            <w:tcBorders>
              <w:top w:val="nil"/>
              <w:left w:val="nil"/>
              <w:bottom w:val="single" w:color="auto" w:sz="8" w:space="0"/>
              <w:right w:val="single" w:color="auto" w:sz="8" w:space="0"/>
            </w:tcBorders>
            <w:vAlign w:val="center"/>
          </w:tcPr>
          <w:p w14:paraId="3483143B">
            <w:pPr>
              <w:spacing w:before="100" w:beforeAutospacing="1" w:after="100" w:afterAutospacing="1" w:line="240" w:lineRule="atLeast"/>
              <w:jc w:val="center"/>
              <w:rPr>
                <w:rFonts w:ascii="Verdana" w:hAnsi="Verdana" w:cs="宋体"/>
                <w:color w:val="auto"/>
                <w:kern w:val="0"/>
                <w:szCs w:val="21"/>
              </w:rPr>
            </w:pPr>
          </w:p>
        </w:tc>
        <w:tc>
          <w:tcPr>
            <w:tcW w:w="2354" w:type="dxa"/>
            <w:tcBorders>
              <w:top w:val="nil"/>
              <w:left w:val="nil"/>
              <w:bottom w:val="single" w:color="auto" w:sz="8" w:space="0"/>
              <w:right w:val="single" w:color="auto" w:sz="8" w:space="0"/>
            </w:tcBorders>
            <w:vAlign w:val="center"/>
          </w:tcPr>
          <w:p w14:paraId="19998C08">
            <w:pPr>
              <w:spacing w:before="100" w:beforeAutospacing="1" w:after="100" w:afterAutospacing="1" w:line="240" w:lineRule="atLeast"/>
              <w:jc w:val="center"/>
              <w:rPr>
                <w:rFonts w:ascii="Verdana" w:hAnsi="Verdana" w:cs="宋体"/>
                <w:color w:val="auto"/>
                <w:kern w:val="0"/>
                <w:szCs w:val="21"/>
              </w:rPr>
            </w:pPr>
          </w:p>
        </w:tc>
      </w:tr>
      <w:tr w14:paraId="69B5E9E0">
        <w:tblPrEx>
          <w:tblCellMar>
            <w:top w:w="0" w:type="dxa"/>
            <w:left w:w="0" w:type="dxa"/>
            <w:bottom w:w="0" w:type="dxa"/>
            <w:right w:w="0" w:type="dxa"/>
          </w:tblCellMar>
        </w:tblPrEx>
        <w:trPr>
          <w:trHeight w:val="487" w:hRule="atLeast"/>
          <w:jc w:val="center"/>
        </w:trPr>
        <w:tc>
          <w:tcPr>
            <w:tcW w:w="6154" w:type="dxa"/>
            <w:gridSpan w:val="5"/>
            <w:tcBorders>
              <w:top w:val="nil"/>
              <w:left w:val="single" w:color="auto" w:sz="8" w:space="0"/>
              <w:bottom w:val="single" w:color="auto" w:sz="8" w:space="0"/>
              <w:right w:val="single" w:color="auto" w:sz="8" w:space="0"/>
            </w:tcBorders>
            <w:vAlign w:val="center"/>
          </w:tcPr>
          <w:p w14:paraId="44C88D86">
            <w:pPr>
              <w:snapToGrid w:val="0"/>
              <w:spacing w:before="100" w:beforeAutospacing="1" w:after="100" w:afterAutospacing="1" w:line="320" w:lineRule="atLeast"/>
              <w:ind w:firstLine="5"/>
              <w:jc w:val="center"/>
              <w:rPr>
                <w:rFonts w:ascii="Verdana" w:hAnsi="Verdana" w:cs="宋体"/>
                <w:color w:val="auto"/>
                <w:kern w:val="0"/>
                <w:szCs w:val="21"/>
              </w:rPr>
            </w:pPr>
            <w:r>
              <w:rPr>
                <w:rFonts w:ascii="Verdana" w:hAnsi="Verdana" w:cs="宋体"/>
                <w:color w:val="auto"/>
                <w:kern w:val="0"/>
                <w:szCs w:val="21"/>
              </w:rPr>
              <w:t>合计</w:t>
            </w:r>
          </w:p>
        </w:tc>
        <w:tc>
          <w:tcPr>
            <w:tcW w:w="863" w:type="dxa"/>
            <w:gridSpan w:val="2"/>
            <w:tcBorders>
              <w:top w:val="nil"/>
              <w:left w:val="nil"/>
              <w:bottom w:val="single" w:color="auto" w:sz="8" w:space="0"/>
              <w:right w:val="single" w:color="auto" w:sz="8" w:space="0"/>
            </w:tcBorders>
            <w:vAlign w:val="center"/>
          </w:tcPr>
          <w:p w14:paraId="52E7E72E">
            <w:pPr>
              <w:spacing w:before="100" w:beforeAutospacing="1" w:after="100" w:afterAutospacing="1" w:line="240" w:lineRule="atLeast"/>
              <w:jc w:val="center"/>
              <w:rPr>
                <w:rFonts w:ascii="Verdana" w:hAnsi="Verdana" w:cs="宋体"/>
                <w:color w:val="auto"/>
                <w:kern w:val="0"/>
                <w:szCs w:val="21"/>
              </w:rPr>
            </w:pPr>
          </w:p>
        </w:tc>
        <w:tc>
          <w:tcPr>
            <w:tcW w:w="2354" w:type="dxa"/>
            <w:tcBorders>
              <w:top w:val="nil"/>
              <w:left w:val="nil"/>
              <w:bottom w:val="single" w:color="auto" w:sz="8" w:space="0"/>
              <w:right w:val="single" w:color="auto" w:sz="8" w:space="0"/>
            </w:tcBorders>
            <w:vAlign w:val="center"/>
          </w:tcPr>
          <w:p w14:paraId="28D03035">
            <w:pPr>
              <w:spacing w:before="100" w:beforeAutospacing="1" w:after="100" w:afterAutospacing="1" w:line="240" w:lineRule="atLeast"/>
              <w:jc w:val="center"/>
              <w:rPr>
                <w:rFonts w:ascii="Verdana" w:hAnsi="Verdana" w:cs="宋体"/>
                <w:color w:val="auto"/>
                <w:kern w:val="0"/>
                <w:szCs w:val="21"/>
              </w:rPr>
            </w:pPr>
          </w:p>
        </w:tc>
      </w:tr>
      <w:tr w14:paraId="4A89D2A9">
        <w:tblPrEx>
          <w:tblCellMar>
            <w:top w:w="0" w:type="dxa"/>
            <w:left w:w="0" w:type="dxa"/>
            <w:bottom w:w="0" w:type="dxa"/>
            <w:right w:w="0" w:type="dxa"/>
          </w:tblCellMar>
        </w:tblPrEx>
        <w:trPr>
          <w:trHeight w:val="641" w:hRule="atLeast"/>
          <w:jc w:val="center"/>
        </w:trPr>
        <w:tc>
          <w:tcPr>
            <w:tcW w:w="9371" w:type="dxa"/>
            <w:gridSpan w:val="8"/>
            <w:tcBorders>
              <w:top w:val="nil"/>
              <w:left w:val="single" w:color="auto" w:sz="8" w:space="0"/>
              <w:bottom w:val="single" w:color="auto" w:sz="8" w:space="0"/>
              <w:right w:val="single" w:color="auto" w:sz="8" w:space="0"/>
            </w:tcBorders>
            <w:vAlign w:val="center"/>
          </w:tcPr>
          <w:p w14:paraId="25F2962F">
            <w:pPr>
              <w:snapToGrid w:val="0"/>
              <w:spacing w:before="100" w:beforeAutospacing="1" w:after="100" w:afterAutospacing="1" w:line="320" w:lineRule="atLeast"/>
              <w:ind w:firstLine="2"/>
              <w:jc w:val="left"/>
              <w:rPr>
                <w:rFonts w:ascii="Verdana" w:hAnsi="Verdana" w:cs="宋体"/>
                <w:color w:val="auto"/>
                <w:kern w:val="0"/>
                <w:szCs w:val="21"/>
              </w:rPr>
            </w:pPr>
            <w:r>
              <w:rPr>
                <w:rFonts w:ascii="Verdana" w:hAnsi="Verdana" w:cs="宋体"/>
                <w:color w:val="auto"/>
                <w:kern w:val="0"/>
                <w:szCs w:val="21"/>
              </w:rPr>
              <w:t>合计大写金额：</w:t>
            </w:r>
            <w:r>
              <w:rPr>
                <w:rFonts w:hint="eastAsia" w:ascii="Verdana" w:hAnsi="Verdana" w:cs="宋体"/>
                <w:color w:val="auto"/>
                <w:kern w:val="0"/>
                <w:szCs w:val="21"/>
              </w:rPr>
              <w:t>亿</w:t>
            </w:r>
            <w:r>
              <w:rPr>
                <w:rFonts w:ascii="Verdana" w:hAnsi="Verdana" w:cs="宋体"/>
                <w:color w:val="auto"/>
                <w:kern w:val="0"/>
                <w:szCs w:val="21"/>
              </w:rPr>
              <w:t>仟佰拾万仟佰拾元</w:t>
            </w:r>
          </w:p>
        </w:tc>
      </w:tr>
      <w:tr w14:paraId="548B62B8">
        <w:tblPrEx>
          <w:tblCellMar>
            <w:top w:w="0" w:type="dxa"/>
            <w:left w:w="0" w:type="dxa"/>
            <w:bottom w:w="0" w:type="dxa"/>
            <w:right w:w="0" w:type="dxa"/>
          </w:tblCellMar>
        </w:tblPrEx>
        <w:trPr>
          <w:trHeight w:val="641" w:hRule="atLeast"/>
          <w:jc w:val="center"/>
        </w:trPr>
        <w:tc>
          <w:tcPr>
            <w:tcW w:w="1331" w:type="dxa"/>
            <w:tcBorders>
              <w:top w:val="nil"/>
              <w:left w:val="single" w:color="auto" w:sz="8" w:space="0"/>
              <w:bottom w:val="single" w:color="auto" w:sz="8" w:space="0"/>
              <w:right w:val="single" w:color="auto" w:sz="8" w:space="0"/>
            </w:tcBorders>
            <w:vAlign w:val="center"/>
          </w:tcPr>
          <w:p w14:paraId="074034D2">
            <w:pPr>
              <w:snapToGrid w:val="0"/>
              <w:spacing w:before="100" w:beforeAutospacing="1" w:after="100" w:afterAutospacing="1" w:line="320" w:lineRule="atLeast"/>
              <w:ind w:firstLine="2"/>
              <w:jc w:val="center"/>
              <w:rPr>
                <w:rFonts w:ascii="Verdana" w:hAnsi="Verdana" w:cs="宋体"/>
                <w:color w:val="auto"/>
                <w:kern w:val="0"/>
                <w:szCs w:val="21"/>
              </w:rPr>
            </w:pPr>
            <w:r>
              <w:rPr>
                <w:rFonts w:ascii="Verdana" w:hAnsi="Verdana" w:cs="宋体"/>
                <w:color w:val="auto"/>
                <w:kern w:val="0"/>
                <w:szCs w:val="21"/>
              </w:rPr>
              <w:t>实际供货日期</w:t>
            </w:r>
          </w:p>
        </w:tc>
        <w:tc>
          <w:tcPr>
            <w:tcW w:w="2719" w:type="dxa"/>
            <w:gridSpan w:val="2"/>
            <w:tcBorders>
              <w:top w:val="nil"/>
              <w:left w:val="nil"/>
              <w:bottom w:val="single" w:color="auto" w:sz="8" w:space="0"/>
              <w:right w:val="single" w:color="auto" w:sz="8" w:space="0"/>
            </w:tcBorders>
            <w:vAlign w:val="center"/>
          </w:tcPr>
          <w:p w14:paraId="4DA6EEC2">
            <w:pPr>
              <w:spacing w:before="100" w:beforeAutospacing="1" w:after="100" w:afterAutospacing="1" w:line="240" w:lineRule="atLeast"/>
              <w:jc w:val="center"/>
              <w:rPr>
                <w:rFonts w:ascii="Verdana" w:hAnsi="Verdana" w:cs="宋体"/>
                <w:color w:val="auto"/>
                <w:kern w:val="0"/>
                <w:szCs w:val="21"/>
              </w:rPr>
            </w:pPr>
          </w:p>
        </w:tc>
        <w:tc>
          <w:tcPr>
            <w:tcW w:w="2282" w:type="dxa"/>
            <w:gridSpan w:val="3"/>
            <w:tcBorders>
              <w:top w:val="nil"/>
              <w:left w:val="nil"/>
              <w:bottom w:val="single" w:color="auto" w:sz="8" w:space="0"/>
              <w:right w:val="single" w:color="auto" w:sz="8" w:space="0"/>
            </w:tcBorders>
            <w:vAlign w:val="center"/>
          </w:tcPr>
          <w:p w14:paraId="61A64DAD">
            <w:pPr>
              <w:snapToGrid w:val="0"/>
              <w:spacing w:before="100" w:beforeAutospacing="1" w:after="100" w:afterAutospacing="1" w:line="320" w:lineRule="atLeast"/>
              <w:ind w:firstLine="46"/>
              <w:jc w:val="center"/>
              <w:rPr>
                <w:rFonts w:ascii="Verdana" w:hAnsi="Verdana" w:cs="宋体"/>
                <w:color w:val="auto"/>
                <w:kern w:val="0"/>
                <w:szCs w:val="21"/>
              </w:rPr>
            </w:pPr>
            <w:r>
              <w:rPr>
                <w:rFonts w:ascii="Verdana" w:hAnsi="Verdana" w:cs="宋体"/>
                <w:color w:val="auto"/>
                <w:kern w:val="0"/>
                <w:szCs w:val="21"/>
              </w:rPr>
              <w:t>合同交货验收日期</w:t>
            </w:r>
          </w:p>
        </w:tc>
        <w:tc>
          <w:tcPr>
            <w:tcW w:w="3039" w:type="dxa"/>
            <w:gridSpan w:val="2"/>
            <w:tcBorders>
              <w:top w:val="nil"/>
              <w:left w:val="nil"/>
              <w:bottom w:val="single" w:color="auto" w:sz="8" w:space="0"/>
              <w:right w:val="single" w:color="auto" w:sz="8" w:space="0"/>
            </w:tcBorders>
            <w:vAlign w:val="center"/>
          </w:tcPr>
          <w:p w14:paraId="6B61561A">
            <w:pPr>
              <w:spacing w:before="100" w:beforeAutospacing="1" w:after="100" w:afterAutospacing="1" w:line="240" w:lineRule="atLeast"/>
              <w:jc w:val="center"/>
              <w:rPr>
                <w:rFonts w:ascii="Verdana" w:hAnsi="Verdana" w:cs="宋体"/>
                <w:color w:val="auto"/>
                <w:kern w:val="0"/>
                <w:szCs w:val="21"/>
              </w:rPr>
            </w:pPr>
          </w:p>
        </w:tc>
      </w:tr>
      <w:tr w14:paraId="1EFB4CB9">
        <w:tblPrEx>
          <w:tblCellMar>
            <w:top w:w="0" w:type="dxa"/>
            <w:left w:w="0" w:type="dxa"/>
            <w:bottom w:w="0" w:type="dxa"/>
            <w:right w:w="0" w:type="dxa"/>
          </w:tblCellMar>
        </w:tblPrEx>
        <w:trPr>
          <w:trHeight w:val="394" w:hRule="atLeast"/>
          <w:jc w:val="center"/>
        </w:trPr>
        <w:tc>
          <w:tcPr>
            <w:tcW w:w="1331" w:type="dxa"/>
            <w:tcBorders>
              <w:top w:val="nil"/>
              <w:left w:val="single" w:color="auto" w:sz="8" w:space="0"/>
              <w:bottom w:val="single" w:color="auto" w:sz="8" w:space="0"/>
              <w:right w:val="single" w:color="auto" w:sz="8" w:space="0"/>
            </w:tcBorders>
            <w:vAlign w:val="center"/>
          </w:tcPr>
          <w:p w14:paraId="3867198C">
            <w:pPr>
              <w:spacing w:before="100" w:beforeAutospacing="1" w:after="100" w:afterAutospacing="1" w:line="240" w:lineRule="atLeast"/>
              <w:jc w:val="center"/>
              <w:rPr>
                <w:rFonts w:ascii="Verdana" w:hAnsi="Verdana" w:cs="宋体"/>
                <w:color w:val="auto"/>
                <w:kern w:val="0"/>
                <w:szCs w:val="21"/>
              </w:rPr>
            </w:pPr>
          </w:p>
        </w:tc>
        <w:tc>
          <w:tcPr>
            <w:tcW w:w="2719" w:type="dxa"/>
            <w:gridSpan w:val="2"/>
            <w:tcBorders>
              <w:top w:val="nil"/>
              <w:left w:val="nil"/>
              <w:bottom w:val="single" w:color="auto" w:sz="8" w:space="0"/>
              <w:right w:val="single" w:color="auto" w:sz="8" w:space="0"/>
            </w:tcBorders>
            <w:vAlign w:val="center"/>
          </w:tcPr>
          <w:p w14:paraId="4247DC88">
            <w:pPr>
              <w:spacing w:before="100" w:beforeAutospacing="1" w:after="100" w:afterAutospacing="1" w:line="240" w:lineRule="atLeast"/>
              <w:jc w:val="center"/>
              <w:rPr>
                <w:rFonts w:ascii="Verdana" w:hAnsi="Verdana" w:cs="宋体"/>
                <w:color w:val="auto"/>
                <w:kern w:val="0"/>
                <w:szCs w:val="21"/>
              </w:rPr>
            </w:pPr>
          </w:p>
        </w:tc>
        <w:tc>
          <w:tcPr>
            <w:tcW w:w="2282" w:type="dxa"/>
            <w:gridSpan w:val="3"/>
            <w:tcBorders>
              <w:top w:val="nil"/>
              <w:left w:val="nil"/>
              <w:bottom w:val="single" w:color="auto" w:sz="8" w:space="0"/>
              <w:right w:val="single" w:color="auto" w:sz="8" w:space="0"/>
            </w:tcBorders>
            <w:vAlign w:val="center"/>
          </w:tcPr>
          <w:p w14:paraId="74C83FDC">
            <w:pPr>
              <w:spacing w:before="100" w:beforeAutospacing="1" w:after="100" w:afterAutospacing="1" w:line="240" w:lineRule="atLeast"/>
              <w:jc w:val="center"/>
              <w:rPr>
                <w:rFonts w:ascii="Verdana" w:hAnsi="Verdana" w:cs="宋体"/>
                <w:color w:val="auto"/>
                <w:kern w:val="0"/>
                <w:szCs w:val="21"/>
              </w:rPr>
            </w:pPr>
          </w:p>
        </w:tc>
        <w:tc>
          <w:tcPr>
            <w:tcW w:w="3039" w:type="dxa"/>
            <w:gridSpan w:val="2"/>
            <w:tcBorders>
              <w:top w:val="nil"/>
              <w:left w:val="nil"/>
              <w:bottom w:val="single" w:color="auto" w:sz="8" w:space="0"/>
              <w:right w:val="single" w:color="auto" w:sz="8" w:space="0"/>
            </w:tcBorders>
            <w:vAlign w:val="center"/>
          </w:tcPr>
          <w:p w14:paraId="75448064">
            <w:pPr>
              <w:spacing w:before="100" w:beforeAutospacing="1" w:after="100" w:afterAutospacing="1" w:line="240" w:lineRule="atLeast"/>
              <w:jc w:val="center"/>
              <w:rPr>
                <w:rFonts w:ascii="Verdana" w:hAnsi="Verdana" w:cs="宋体"/>
                <w:color w:val="auto"/>
                <w:kern w:val="0"/>
                <w:szCs w:val="21"/>
              </w:rPr>
            </w:pPr>
          </w:p>
        </w:tc>
      </w:tr>
      <w:tr w14:paraId="62DCE1E3">
        <w:tblPrEx>
          <w:tblCellMar>
            <w:top w:w="0" w:type="dxa"/>
            <w:left w:w="0" w:type="dxa"/>
            <w:bottom w:w="0" w:type="dxa"/>
            <w:right w:w="0" w:type="dxa"/>
          </w:tblCellMar>
        </w:tblPrEx>
        <w:trPr>
          <w:trHeight w:val="693" w:hRule="atLeast"/>
          <w:jc w:val="center"/>
        </w:trPr>
        <w:tc>
          <w:tcPr>
            <w:tcW w:w="133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F6097BB">
            <w:pPr>
              <w:snapToGrid w:val="0"/>
              <w:spacing w:before="100" w:beforeAutospacing="1" w:after="100" w:afterAutospacing="1" w:line="320" w:lineRule="atLeast"/>
              <w:jc w:val="left"/>
              <w:rPr>
                <w:rFonts w:ascii="Verdana" w:hAnsi="Verdana" w:cs="宋体"/>
                <w:color w:val="auto"/>
                <w:kern w:val="0"/>
                <w:szCs w:val="21"/>
              </w:rPr>
            </w:pPr>
            <w:r>
              <w:rPr>
                <w:rFonts w:ascii="Verdana" w:hAnsi="Verdana" w:cs="宋体"/>
                <w:color w:val="auto"/>
                <w:kern w:val="0"/>
                <w:szCs w:val="21"/>
              </w:rPr>
              <w:t>验收具体内容</w:t>
            </w:r>
          </w:p>
        </w:tc>
        <w:tc>
          <w:tcPr>
            <w:tcW w:w="8040" w:type="dxa"/>
            <w:gridSpan w:val="7"/>
            <w:tcBorders>
              <w:top w:val="nil"/>
              <w:left w:val="nil"/>
              <w:bottom w:val="single" w:color="auto" w:sz="8" w:space="0"/>
              <w:right w:val="single" w:color="auto" w:sz="8" w:space="0"/>
            </w:tcBorders>
            <w:tcMar>
              <w:top w:w="0" w:type="dxa"/>
              <w:left w:w="108" w:type="dxa"/>
              <w:bottom w:w="0" w:type="dxa"/>
              <w:right w:w="108" w:type="dxa"/>
            </w:tcMar>
            <w:vAlign w:val="center"/>
          </w:tcPr>
          <w:p w14:paraId="085F260E">
            <w:pPr>
              <w:snapToGrid w:val="0"/>
              <w:spacing w:before="100" w:beforeAutospacing="1" w:after="100" w:afterAutospacing="1" w:line="320" w:lineRule="atLeast"/>
              <w:jc w:val="left"/>
              <w:rPr>
                <w:rFonts w:ascii="Verdana" w:hAnsi="Verdana" w:cs="宋体"/>
                <w:color w:val="auto"/>
                <w:kern w:val="0"/>
                <w:szCs w:val="21"/>
              </w:rPr>
            </w:pPr>
            <w:r>
              <w:rPr>
                <w:rFonts w:ascii="Verdana" w:hAnsi="Verdana" w:cs="宋体"/>
                <w:color w:val="auto"/>
                <w:kern w:val="0"/>
                <w:szCs w:val="21"/>
              </w:rPr>
              <w:t>（应按采购合同、采购文件、投标文件及验收方案等进行验收；并核对中标或者成交投标人在安装调试等方面是否违反合同约定或者服务规范要求、提供的质量保证证明材料是否齐全、应有的配件及附件是否达到合同约定等。可附件)</w:t>
            </w:r>
          </w:p>
        </w:tc>
      </w:tr>
      <w:tr w14:paraId="32083BC4">
        <w:tblPrEx>
          <w:tblCellMar>
            <w:top w:w="0" w:type="dxa"/>
            <w:left w:w="0" w:type="dxa"/>
            <w:bottom w:w="0" w:type="dxa"/>
            <w:right w:w="0" w:type="dxa"/>
          </w:tblCellMar>
        </w:tblPrEx>
        <w:trPr>
          <w:trHeight w:val="1281" w:hRule="atLeast"/>
          <w:jc w:val="center"/>
        </w:trPr>
        <w:tc>
          <w:tcPr>
            <w:tcW w:w="1331"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3AC79CB">
            <w:pPr>
              <w:spacing w:before="100" w:beforeAutospacing="1" w:after="100" w:afterAutospacing="1" w:line="320" w:lineRule="atLeast"/>
              <w:jc w:val="left"/>
              <w:rPr>
                <w:rFonts w:ascii="Verdana" w:hAnsi="Verdana" w:cs="宋体"/>
                <w:color w:val="auto"/>
                <w:kern w:val="0"/>
                <w:szCs w:val="21"/>
              </w:rPr>
            </w:pPr>
            <w:r>
              <w:rPr>
                <w:rFonts w:ascii="Verdana" w:hAnsi="Verdana" w:cs="宋体"/>
                <w:color w:val="auto"/>
                <w:kern w:val="0"/>
                <w:szCs w:val="21"/>
              </w:rPr>
              <w:t>验收小组意见</w:t>
            </w:r>
          </w:p>
        </w:tc>
        <w:tc>
          <w:tcPr>
            <w:tcW w:w="8040" w:type="dxa"/>
            <w:gridSpan w:val="7"/>
            <w:tcBorders>
              <w:top w:val="nil"/>
              <w:left w:val="nil"/>
              <w:bottom w:val="single" w:color="auto" w:sz="8" w:space="0"/>
              <w:right w:val="single" w:color="auto" w:sz="8" w:space="0"/>
            </w:tcBorders>
            <w:vAlign w:val="center"/>
          </w:tcPr>
          <w:p w14:paraId="0B6F0FF2">
            <w:pPr>
              <w:spacing w:before="100" w:beforeAutospacing="1" w:after="100" w:afterAutospacing="1" w:line="320" w:lineRule="atLeast"/>
              <w:jc w:val="left"/>
              <w:rPr>
                <w:rFonts w:ascii="Verdana" w:hAnsi="Verdana" w:cs="宋体"/>
                <w:color w:val="auto"/>
                <w:kern w:val="0"/>
                <w:szCs w:val="21"/>
              </w:rPr>
            </w:pPr>
            <w:r>
              <w:rPr>
                <w:rFonts w:ascii="Verdana" w:hAnsi="Verdana" w:cs="宋体"/>
                <w:color w:val="auto"/>
                <w:kern w:val="0"/>
                <w:szCs w:val="21"/>
              </w:rPr>
              <w:t>验收结论性意见：</w:t>
            </w:r>
          </w:p>
        </w:tc>
      </w:tr>
      <w:tr w14:paraId="6F527981">
        <w:tblPrEx>
          <w:tblCellMar>
            <w:top w:w="0" w:type="dxa"/>
            <w:left w:w="0" w:type="dxa"/>
            <w:bottom w:w="0" w:type="dxa"/>
            <w:right w:w="0" w:type="dxa"/>
          </w:tblCellMar>
        </w:tblPrEx>
        <w:trPr>
          <w:trHeight w:val="607" w:hRule="atLeast"/>
          <w:jc w:val="center"/>
        </w:trPr>
        <w:tc>
          <w:tcPr>
            <w:tcW w:w="1331" w:type="dxa"/>
            <w:vMerge w:val="continue"/>
            <w:tcBorders>
              <w:top w:val="nil"/>
              <w:left w:val="single" w:color="auto" w:sz="8" w:space="0"/>
              <w:bottom w:val="single" w:color="auto" w:sz="8" w:space="0"/>
              <w:right w:val="single" w:color="auto" w:sz="8" w:space="0"/>
            </w:tcBorders>
            <w:vAlign w:val="center"/>
          </w:tcPr>
          <w:p w14:paraId="43079A9A">
            <w:pPr>
              <w:jc w:val="left"/>
              <w:rPr>
                <w:rFonts w:ascii="Verdana" w:hAnsi="Verdana" w:cs="宋体"/>
                <w:color w:val="auto"/>
                <w:kern w:val="0"/>
                <w:szCs w:val="21"/>
              </w:rPr>
            </w:pPr>
          </w:p>
        </w:tc>
        <w:tc>
          <w:tcPr>
            <w:tcW w:w="8040" w:type="dxa"/>
            <w:gridSpan w:val="7"/>
            <w:tcBorders>
              <w:top w:val="nil"/>
              <w:left w:val="nil"/>
              <w:bottom w:val="single" w:color="auto" w:sz="8" w:space="0"/>
              <w:right w:val="single" w:color="auto" w:sz="8" w:space="0"/>
            </w:tcBorders>
            <w:vAlign w:val="center"/>
          </w:tcPr>
          <w:p w14:paraId="3B2236B4">
            <w:pPr>
              <w:spacing w:before="100" w:beforeAutospacing="1" w:after="100" w:afterAutospacing="1" w:line="320" w:lineRule="atLeast"/>
              <w:ind w:firstLine="96"/>
              <w:jc w:val="left"/>
              <w:rPr>
                <w:rFonts w:ascii="Verdana" w:hAnsi="Verdana" w:cs="宋体"/>
                <w:color w:val="auto"/>
                <w:kern w:val="0"/>
                <w:szCs w:val="21"/>
              </w:rPr>
            </w:pPr>
            <w:r>
              <w:rPr>
                <w:rFonts w:ascii="Verdana" w:hAnsi="Verdana" w:cs="宋体"/>
                <w:color w:val="auto"/>
                <w:kern w:val="0"/>
                <w:szCs w:val="21"/>
              </w:rPr>
              <w:t>有异议的意见和说明理由：</w:t>
            </w:r>
          </w:p>
          <w:p w14:paraId="68D31E98">
            <w:pPr>
              <w:spacing w:before="100" w:beforeAutospacing="1" w:after="100" w:afterAutospacing="1" w:line="320" w:lineRule="atLeast"/>
              <w:jc w:val="left"/>
              <w:rPr>
                <w:rFonts w:ascii="Verdana" w:hAnsi="Verdana" w:cs="宋体"/>
                <w:color w:val="auto"/>
                <w:kern w:val="0"/>
                <w:szCs w:val="21"/>
              </w:rPr>
            </w:pPr>
            <w:r>
              <w:rPr>
                <w:rFonts w:ascii="Verdana" w:hAnsi="Verdana" w:cs="宋体"/>
                <w:color w:val="auto"/>
                <w:kern w:val="0"/>
                <w:szCs w:val="21"/>
              </w:rPr>
              <w:t>签字：</w:t>
            </w:r>
          </w:p>
        </w:tc>
      </w:tr>
      <w:tr w14:paraId="6BE889C1">
        <w:tblPrEx>
          <w:tblCellMar>
            <w:top w:w="0" w:type="dxa"/>
            <w:left w:w="0" w:type="dxa"/>
            <w:bottom w:w="0" w:type="dxa"/>
            <w:right w:w="0" w:type="dxa"/>
          </w:tblCellMar>
        </w:tblPrEx>
        <w:trPr>
          <w:trHeight w:val="507" w:hRule="atLeast"/>
          <w:jc w:val="center"/>
        </w:trPr>
        <w:tc>
          <w:tcPr>
            <w:tcW w:w="9371" w:type="dxa"/>
            <w:gridSpan w:val="8"/>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DE83A76">
            <w:pPr>
              <w:spacing w:before="100" w:beforeAutospacing="1" w:after="100" w:afterAutospacing="1" w:line="320" w:lineRule="atLeast"/>
              <w:jc w:val="left"/>
              <w:rPr>
                <w:rFonts w:ascii="Verdana" w:hAnsi="Verdana" w:cs="宋体"/>
                <w:color w:val="auto"/>
                <w:kern w:val="0"/>
                <w:szCs w:val="21"/>
              </w:rPr>
            </w:pPr>
            <w:r>
              <w:rPr>
                <w:rFonts w:ascii="Verdana" w:hAnsi="Verdana" w:cs="宋体"/>
                <w:color w:val="auto"/>
                <w:kern w:val="0"/>
                <w:szCs w:val="21"/>
              </w:rPr>
              <w:t>验收小组成员签字：</w:t>
            </w:r>
          </w:p>
        </w:tc>
      </w:tr>
      <w:tr w14:paraId="3F0201F6">
        <w:tblPrEx>
          <w:tblCellMar>
            <w:top w:w="0" w:type="dxa"/>
            <w:left w:w="0" w:type="dxa"/>
            <w:bottom w:w="0" w:type="dxa"/>
            <w:right w:w="0" w:type="dxa"/>
          </w:tblCellMar>
        </w:tblPrEx>
        <w:trPr>
          <w:trHeight w:val="736" w:hRule="atLeast"/>
          <w:jc w:val="center"/>
        </w:trPr>
        <w:tc>
          <w:tcPr>
            <w:tcW w:w="9371" w:type="dxa"/>
            <w:gridSpan w:val="8"/>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727A82F">
            <w:pPr>
              <w:spacing w:before="100" w:beforeAutospacing="1" w:after="100" w:afterAutospacing="1" w:line="320" w:lineRule="atLeast"/>
              <w:jc w:val="left"/>
              <w:rPr>
                <w:rFonts w:ascii="Verdana" w:hAnsi="Verdana" w:cs="宋体"/>
                <w:color w:val="auto"/>
                <w:kern w:val="0"/>
                <w:szCs w:val="21"/>
              </w:rPr>
            </w:pPr>
            <w:r>
              <w:rPr>
                <w:rFonts w:ascii="Verdana" w:hAnsi="Verdana" w:cs="宋体"/>
                <w:color w:val="auto"/>
                <w:kern w:val="0"/>
                <w:szCs w:val="21"/>
              </w:rPr>
              <w:t>监督人员或者其他相关人员签字：</w:t>
            </w:r>
          </w:p>
          <w:p w14:paraId="1FC538EB">
            <w:pPr>
              <w:spacing w:before="100" w:beforeAutospacing="1" w:after="100" w:afterAutospacing="1" w:line="320" w:lineRule="atLeast"/>
              <w:ind w:firstLine="74"/>
              <w:jc w:val="left"/>
              <w:rPr>
                <w:rFonts w:ascii="Verdana" w:hAnsi="Verdana" w:cs="宋体"/>
                <w:color w:val="auto"/>
                <w:kern w:val="0"/>
                <w:szCs w:val="21"/>
              </w:rPr>
            </w:pPr>
            <w:r>
              <w:rPr>
                <w:rFonts w:ascii="Verdana" w:hAnsi="Verdana" w:cs="宋体"/>
                <w:color w:val="auto"/>
                <w:kern w:val="0"/>
                <w:szCs w:val="21"/>
              </w:rPr>
              <w:t>或者受邀机构的意见（盖章）：</w:t>
            </w:r>
          </w:p>
        </w:tc>
      </w:tr>
      <w:tr w14:paraId="2526021A">
        <w:tblPrEx>
          <w:tblCellMar>
            <w:top w:w="0" w:type="dxa"/>
            <w:left w:w="0" w:type="dxa"/>
            <w:bottom w:w="0" w:type="dxa"/>
            <w:right w:w="0" w:type="dxa"/>
          </w:tblCellMar>
        </w:tblPrEx>
        <w:trPr>
          <w:trHeight w:val="758" w:hRule="atLeast"/>
          <w:jc w:val="center"/>
        </w:trPr>
        <w:tc>
          <w:tcPr>
            <w:tcW w:w="4152" w:type="dxa"/>
            <w:gridSpan w:val="4"/>
            <w:tcBorders>
              <w:top w:val="nil"/>
              <w:left w:val="single" w:color="auto" w:sz="8" w:space="0"/>
              <w:bottom w:val="single" w:color="auto" w:sz="8" w:space="0"/>
              <w:right w:val="nil"/>
            </w:tcBorders>
            <w:tcMar>
              <w:top w:w="0" w:type="dxa"/>
              <w:left w:w="108" w:type="dxa"/>
              <w:bottom w:w="0" w:type="dxa"/>
              <w:right w:w="108" w:type="dxa"/>
            </w:tcMar>
            <w:vAlign w:val="center"/>
          </w:tcPr>
          <w:p w14:paraId="36E5AAA0">
            <w:pPr>
              <w:spacing w:before="100" w:beforeAutospacing="1" w:after="100" w:afterAutospacing="1" w:line="320" w:lineRule="atLeast"/>
              <w:ind w:firstLine="74"/>
              <w:jc w:val="left"/>
              <w:rPr>
                <w:rFonts w:ascii="Verdana" w:hAnsi="Verdana" w:cs="宋体"/>
                <w:color w:val="auto"/>
                <w:kern w:val="0"/>
                <w:szCs w:val="21"/>
              </w:rPr>
            </w:pPr>
            <w:r>
              <w:rPr>
                <w:rFonts w:ascii="Verdana" w:hAnsi="Verdana" w:cs="宋体"/>
                <w:color w:val="auto"/>
                <w:kern w:val="0"/>
                <w:szCs w:val="21"/>
              </w:rPr>
              <w:t>中标或者成交人负责人签字或者盖章：</w:t>
            </w:r>
          </w:p>
          <w:p w14:paraId="2419DAC7">
            <w:pPr>
              <w:spacing w:before="100" w:beforeAutospacing="1" w:after="100" w:afterAutospacing="1" w:line="320" w:lineRule="atLeast"/>
              <w:jc w:val="left"/>
              <w:rPr>
                <w:rFonts w:ascii="Verdana" w:hAnsi="Verdana" w:cs="宋体"/>
                <w:color w:val="auto"/>
                <w:kern w:val="0"/>
                <w:szCs w:val="21"/>
              </w:rPr>
            </w:pPr>
            <w:r>
              <w:rPr>
                <w:rFonts w:ascii="Verdana" w:hAnsi="Verdana" w:cs="宋体"/>
                <w:color w:val="auto"/>
                <w:kern w:val="0"/>
                <w:szCs w:val="21"/>
              </w:rPr>
              <w:t>联系电话：年月日</w:t>
            </w:r>
          </w:p>
        </w:tc>
        <w:tc>
          <w:tcPr>
            <w:tcW w:w="5219" w:type="dxa"/>
            <w:gridSpan w:val="4"/>
            <w:tcBorders>
              <w:top w:val="nil"/>
              <w:left w:val="nil"/>
              <w:bottom w:val="single" w:color="auto" w:sz="8" w:space="0"/>
              <w:right w:val="single" w:color="auto" w:sz="8" w:space="0"/>
            </w:tcBorders>
            <w:vAlign w:val="center"/>
          </w:tcPr>
          <w:p w14:paraId="5E4C5A9A">
            <w:pPr>
              <w:spacing w:before="100" w:beforeAutospacing="1" w:after="100" w:afterAutospacing="1" w:line="320" w:lineRule="atLeast"/>
              <w:jc w:val="left"/>
              <w:rPr>
                <w:rFonts w:ascii="Verdana" w:hAnsi="Verdana" w:cs="宋体"/>
                <w:color w:val="auto"/>
                <w:kern w:val="0"/>
                <w:szCs w:val="21"/>
              </w:rPr>
            </w:pPr>
            <w:r>
              <w:rPr>
                <w:rFonts w:ascii="Verdana" w:hAnsi="Verdana" w:cs="宋体"/>
                <w:color w:val="auto"/>
                <w:kern w:val="0"/>
                <w:szCs w:val="21"/>
              </w:rPr>
              <w:t>采购人或者受托机构的意见（盖章）：</w:t>
            </w:r>
          </w:p>
          <w:p w14:paraId="68D6509F">
            <w:pPr>
              <w:spacing w:before="100" w:beforeAutospacing="1" w:after="100" w:afterAutospacing="1" w:line="320" w:lineRule="atLeast"/>
              <w:jc w:val="left"/>
              <w:rPr>
                <w:rFonts w:ascii="Verdana" w:hAnsi="Verdana" w:cs="宋体"/>
                <w:color w:val="auto"/>
                <w:kern w:val="0"/>
                <w:szCs w:val="21"/>
              </w:rPr>
            </w:pPr>
            <w:r>
              <w:rPr>
                <w:rFonts w:ascii="Verdana" w:hAnsi="Verdana" w:cs="宋体"/>
                <w:color w:val="auto"/>
                <w:kern w:val="0"/>
                <w:szCs w:val="21"/>
              </w:rPr>
              <w:t>联系电话：年月日</w:t>
            </w:r>
          </w:p>
        </w:tc>
      </w:tr>
    </w:tbl>
    <w:p w14:paraId="6FC215F2">
      <w:pPr>
        <w:jc w:val="left"/>
        <w:rPr>
          <w:rFonts w:hAnsi="宋体"/>
          <w:color w:val="auto"/>
        </w:rPr>
      </w:pPr>
      <w:r>
        <w:rPr>
          <w:rFonts w:hAnsi="宋体"/>
          <w:color w:val="auto"/>
        </w:rPr>
        <w:br w:type="page"/>
      </w:r>
      <w:r>
        <w:rPr>
          <w:rFonts w:hint="eastAsia" w:hAnsi="宋体"/>
          <w:color w:val="auto"/>
        </w:rPr>
        <w:t>附件2：</w:t>
      </w:r>
    </w:p>
    <w:p w14:paraId="3A26E90C">
      <w:pPr>
        <w:jc w:val="center"/>
        <w:rPr>
          <w:rFonts w:ascii="黑体" w:hAnsi="黑体" w:eastAsia="黑体"/>
          <w:color w:val="auto"/>
          <w:sz w:val="32"/>
          <w:szCs w:val="32"/>
        </w:rPr>
      </w:pPr>
      <w:r>
        <w:rPr>
          <w:rFonts w:hint="eastAsia" w:ascii="黑体" w:hAnsi="黑体" w:eastAsia="黑体"/>
          <w:color w:val="auto"/>
          <w:sz w:val="32"/>
          <w:szCs w:val="32"/>
        </w:rPr>
        <w:t>政府采购项目履约保证金退付意见书（参考）</w:t>
      </w:r>
    </w:p>
    <w:p w14:paraId="18A2209B">
      <w:pPr>
        <w:jc w:val="center"/>
        <w:rPr>
          <w:rFonts w:ascii="黑体" w:hAnsi="黑体" w:eastAsia="黑体"/>
          <w:color w:val="auto"/>
          <w:sz w:val="36"/>
          <w:szCs w:val="36"/>
        </w:rPr>
      </w:pPr>
      <w:r>
        <w:rPr>
          <w:rFonts w:hint="eastAsia" w:ascii="宋体" w:hAnsi="宋体" w:cs="宋体"/>
          <w:b/>
          <w:bCs/>
          <w:color w:val="auto"/>
          <w:kern w:val="0"/>
          <w:sz w:val="18"/>
          <w:szCs w:val="18"/>
        </w:rPr>
        <w:t>（本项目如有，可以参考使用）</w:t>
      </w:r>
    </w:p>
    <w:tbl>
      <w:tblPr>
        <w:tblStyle w:val="2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8456"/>
      </w:tblGrid>
      <w:tr w14:paraId="6BC20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1008" w:type="dxa"/>
            <w:vMerge w:val="restart"/>
            <w:vAlign w:val="center"/>
          </w:tcPr>
          <w:p w14:paraId="4A6FB588">
            <w:pPr>
              <w:jc w:val="center"/>
              <w:rPr>
                <w:color w:val="auto"/>
                <w:sz w:val="24"/>
              </w:rPr>
            </w:pPr>
            <w:r>
              <w:rPr>
                <w:rFonts w:hint="eastAsia"/>
                <w:color w:val="auto"/>
                <w:sz w:val="24"/>
              </w:rPr>
              <w:t>供</w:t>
            </w:r>
          </w:p>
          <w:p w14:paraId="7102634F">
            <w:pPr>
              <w:jc w:val="center"/>
              <w:rPr>
                <w:color w:val="auto"/>
                <w:sz w:val="24"/>
              </w:rPr>
            </w:pPr>
            <w:r>
              <w:rPr>
                <w:rFonts w:hint="eastAsia"/>
                <w:color w:val="auto"/>
                <w:sz w:val="24"/>
              </w:rPr>
              <w:t>应</w:t>
            </w:r>
          </w:p>
          <w:p w14:paraId="52DD376F">
            <w:pPr>
              <w:jc w:val="center"/>
              <w:rPr>
                <w:color w:val="auto"/>
                <w:sz w:val="24"/>
              </w:rPr>
            </w:pPr>
            <w:r>
              <w:rPr>
                <w:rFonts w:hint="eastAsia"/>
                <w:color w:val="auto"/>
                <w:sz w:val="24"/>
              </w:rPr>
              <w:t>商</w:t>
            </w:r>
          </w:p>
          <w:p w14:paraId="519C3648">
            <w:pPr>
              <w:jc w:val="center"/>
              <w:rPr>
                <w:color w:val="auto"/>
                <w:sz w:val="24"/>
              </w:rPr>
            </w:pPr>
            <w:r>
              <w:rPr>
                <w:rFonts w:hint="eastAsia"/>
                <w:color w:val="auto"/>
                <w:sz w:val="24"/>
              </w:rPr>
              <w:t>申</w:t>
            </w:r>
          </w:p>
          <w:p w14:paraId="7ED4613D">
            <w:pPr>
              <w:jc w:val="center"/>
              <w:rPr>
                <w:color w:val="auto"/>
                <w:sz w:val="24"/>
              </w:rPr>
            </w:pPr>
            <w:r>
              <w:rPr>
                <w:rFonts w:hint="eastAsia"/>
                <w:color w:val="auto"/>
                <w:sz w:val="24"/>
              </w:rPr>
              <w:t>请</w:t>
            </w:r>
          </w:p>
        </w:tc>
        <w:tc>
          <w:tcPr>
            <w:tcW w:w="8456" w:type="dxa"/>
            <w:vAlign w:val="center"/>
          </w:tcPr>
          <w:p w14:paraId="12E387F1">
            <w:pPr>
              <w:rPr>
                <w:color w:val="auto"/>
                <w:sz w:val="24"/>
              </w:rPr>
            </w:pPr>
            <w:r>
              <w:rPr>
                <w:rFonts w:hint="eastAsia"/>
                <w:color w:val="auto"/>
                <w:sz w:val="24"/>
              </w:rPr>
              <w:t>项目编号：</w:t>
            </w:r>
          </w:p>
        </w:tc>
      </w:tr>
      <w:tr w14:paraId="06FBE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008" w:type="dxa"/>
            <w:vMerge w:val="continue"/>
            <w:vAlign w:val="center"/>
          </w:tcPr>
          <w:p w14:paraId="34380AB8">
            <w:pPr>
              <w:rPr>
                <w:color w:val="auto"/>
                <w:sz w:val="24"/>
              </w:rPr>
            </w:pPr>
          </w:p>
        </w:tc>
        <w:tc>
          <w:tcPr>
            <w:tcW w:w="8456" w:type="dxa"/>
            <w:vAlign w:val="center"/>
          </w:tcPr>
          <w:p w14:paraId="5AAE91CF">
            <w:pPr>
              <w:rPr>
                <w:color w:val="auto"/>
                <w:sz w:val="24"/>
              </w:rPr>
            </w:pPr>
            <w:r>
              <w:rPr>
                <w:rFonts w:hint="eastAsia"/>
                <w:color w:val="auto"/>
                <w:sz w:val="24"/>
              </w:rPr>
              <w:t>项目名称：</w:t>
            </w:r>
          </w:p>
        </w:tc>
      </w:tr>
      <w:tr w14:paraId="603AD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08" w:type="dxa"/>
            <w:vMerge w:val="continue"/>
          </w:tcPr>
          <w:p w14:paraId="490C3A9D">
            <w:pPr>
              <w:rPr>
                <w:color w:val="auto"/>
                <w:sz w:val="24"/>
              </w:rPr>
            </w:pPr>
          </w:p>
        </w:tc>
        <w:tc>
          <w:tcPr>
            <w:tcW w:w="8456" w:type="dxa"/>
          </w:tcPr>
          <w:p w14:paraId="63045918">
            <w:pPr>
              <w:rPr>
                <w:color w:val="auto"/>
                <w:sz w:val="24"/>
              </w:rPr>
            </w:pPr>
          </w:p>
          <w:p w14:paraId="6A9F6BBD">
            <w:pPr>
              <w:spacing w:line="400" w:lineRule="exact"/>
              <w:ind w:firstLine="480" w:firstLineChars="200"/>
              <w:rPr>
                <w:color w:val="auto"/>
                <w:sz w:val="24"/>
              </w:rPr>
            </w:pPr>
            <w:r>
              <w:rPr>
                <w:rFonts w:hint="eastAsia"/>
                <w:color w:val="auto"/>
                <w:sz w:val="24"/>
              </w:rPr>
              <w:t>该项目已于年月日验收并交付使用。根据合同规定，该项目的履约保证金期限于年月日已满，请将履约保证金</w:t>
            </w:r>
          </w:p>
          <w:p w14:paraId="1C82CCAD">
            <w:pPr>
              <w:spacing w:line="400" w:lineRule="exact"/>
              <w:rPr>
                <w:color w:val="auto"/>
                <w:sz w:val="24"/>
              </w:rPr>
            </w:pPr>
            <w:r>
              <w:rPr>
                <w:rFonts w:hint="eastAsia"/>
                <w:color w:val="auto"/>
                <w:sz w:val="24"/>
              </w:rPr>
              <w:t>（大写）￥（小写）退付到达以下帐户。</w:t>
            </w:r>
          </w:p>
          <w:p w14:paraId="0393EA9A">
            <w:pPr>
              <w:spacing w:line="400" w:lineRule="exact"/>
              <w:ind w:firstLine="705"/>
              <w:rPr>
                <w:color w:val="auto"/>
                <w:sz w:val="24"/>
              </w:rPr>
            </w:pPr>
            <w:r>
              <w:rPr>
                <w:rFonts w:hint="eastAsia"/>
                <w:color w:val="auto"/>
                <w:sz w:val="24"/>
              </w:rPr>
              <w:t>单位名称：</w:t>
            </w:r>
          </w:p>
          <w:p w14:paraId="027AEA7D">
            <w:pPr>
              <w:spacing w:line="400" w:lineRule="exact"/>
              <w:ind w:firstLine="705"/>
              <w:rPr>
                <w:color w:val="auto"/>
                <w:sz w:val="24"/>
              </w:rPr>
            </w:pPr>
            <w:r>
              <w:rPr>
                <w:rFonts w:hint="eastAsia"/>
                <w:color w:val="auto"/>
                <w:sz w:val="24"/>
              </w:rPr>
              <w:t>开户银行：</w:t>
            </w:r>
          </w:p>
          <w:p w14:paraId="2BCBFAF2">
            <w:pPr>
              <w:spacing w:line="400" w:lineRule="exact"/>
              <w:ind w:firstLine="705"/>
              <w:rPr>
                <w:color w:val="auto"/>
                <w:sz w:val="24"/>
              </w:rPr>
            </w:pPr>
            <w:r>
              <w:rPr>
                <w:rFonts w:hint="eastAsia"/>
                <w:color w:val="auto"/>
                <w:sz w:val="24"/>
                <w:lang w:eastAsia="zh-CN"/>
              </w:rPr>
              <w:t>账号</w:t>
            </w:r>
            <w:r>
              <w:rPr>
                <w:rFonts w:hint="eastAsia"/>
                <w:color w:val="auto"/>
                <w:sz w:val="24"/>
              </w:rPr>
              <w:t>：</w:t>
            </w:r>
          </w:p>
          <w:p w14:paraId="67235C05">
            <w:pPr>
              <w:spacing w:line="400" w:lineRule="exact"/>
              <w:rPr>
                <w:color w:val="auto"/>
                <w:sz w:val="24"/>
              </w:rPr>
            </w:pPr>
            <w:r>
              <w:rPr>
                <w:rFonts w:hint="eastAsia"/>
                <w:color w:val="auto"/>
                <w:sz w:val="24"/>
              </w:rPr>
              <w:t>联系人及电话：</w:t>
            </w:r>
          </w:p>
          <w:p w14:paraId="0704EB9C">
            <w:pPr>
              <w:spacing w:line="400" w:lineRule="exact"/>
              <w:rPr>
                <w:color w:val="auto"/>
                <w:sz w:val="24"/>
              </w:rPr>
            </w:pPr>
          </w:p>
          <w:p w14:paraId="4C9DECB0">
            <w:pPr>
              <w:spacing w:line="520" w:lineRule="exact"/>
              <w:jc w:val="center"/>
              <w:rPr>
                <w:color w:val="auto"/>
                <w:sz w:val="24"/>
              </w:rPr>
            </w:pPr>
            <w:r>
              <w:rPr>
                <w:rFonts w:hint="eastAsia"/>
                <w:color w:val="auto"/>
                <w:sz w:val="24"/>
              </w:rPr>
              <w:t>投标人签章：</w:t>
            </w:r>
          </w:p>
          <w:p w14:paraId="62401841">
            <w:pPr>
              <w:spacing w:line="520" w:lineRule="exact"/>
              <w:jc w:val="center"/>
              <w:rPr>
                <w:color w:val="auto"/>
                <w:sz w:val="24"/>
              </w:rPr>
            </w:pPr>
            <w:r>
              <w:rPr>
                <w:rFonts w:hint="eastAsia"/>
                <w:color w:val="auto"/>
                <w:sz w:val="24"/>
              </w:rPr>
              <w:t>年月日</w:t>
            </w:r>
          </w:p>
        </w:tc>
      </w:tr>
      <w:tr w14:paraId="0A69F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6" w:hRule="atLeast"/>
        </w:trPr>
        <w:tc>
          <w:tcPr>
            <w:tcW w:w="1008" w:type="dxa"/>
            <w:vAlign w:val="center"/>
          </w:tcPr>
          <w:p w14:paraId="2C9CCAFB">
            <w:pPr>
              <w:jc w:val="center"/>
              <w:rPr>
                <w:color w:val="auto"/>
                <w:sz w:val="24"/>
              </w:rPr>
            </w:pPr>
            <w:r>
              <w:rPr>
                <w:rFonts w:hint="eastAsia"/>
                <w:color w:val="auto"/>
                <w:sz w:val="24"/>
              </w:rPr>
              <w:t>采</w:t>
            </w:r>
          </w:p>
          <w:p w14:paraId="7F0E17AD">
            <w:pPr>
              <w:jc w:val="center"/>
              <w:rPr>
                <w:color w:val="auto"/>
                <w:sz w:val="24"/>
              </w:rPr>
            </w:pPr>
            <w:r>
              <w:rPr>
                <w:rFonts w:hint="eastAsia"/>
                <w:color w:val="auto"/>
                <w:sz w:val="24"/>
              </w:rPr>
              <w:t>购</w:t>
            </w:r>
          </w:p>
          <w:p w14:paraId="53B7A70D">
            <w:pPr>
              <w:jc w:val="center"/>
              <w:rPr>
                <w:color w:val="auto"/>
                <w:sz w:val="24"/>
              </w:rPr>
            </w:pPr>
            <w:r>
              <w:rPr>
                <w:rFonts w:hint="eastAsia"/>
                <w:color w:val="auto"/>
                <w:sz w:val="24"/>
              </w:rPr>
              <w:t>人</w:t>
            </w:r>
          </w:p>
          <w:p w14:paraId="7584B863">
            <w:pPr>
              <w:jc w:val="center"/>
              <w:rPr>
                <w:color w:val="auto"/>
                <w:sz w:val="24"/>
              </w:rPr>
            </w:pPr>
            <w:r>
              <w:rPr>
                <w:rFonts w:hint="eastAsia"/>
                <w:color w:val="auto"/>
                <w:sz w:val="24"/>
              </w:rPr>
              <w:t>意</w:t>
            </w:r>
          </w:p>
          <w:p w14:paraId="01798761">
            <w:pPr>
              <w:jc w:val="center"/>
              <w:rPr>
                <w:color w:val="auto"/>
                <w:sz w:val="24"/>
              </w:rPr>
            </w:pPr>
            <w:r>
              <w:rPr>
                <w:rFonts w:hint="eastAsia"/>
                <w:color w:val="auto"/>
                <w:sz w:val="24"/>
              </w:rPr>
              <w:t>见</w:t>
            </w:r>
          </w:p>
        </w:tc>
        <w:tc>
          <w:tcPr>
            <w:tcW w:w="8456" w:type="dxa"/>
          </w:tcPr>
          <w:p w14:paraId="1C4F5D10">
            <w:pPr>
              <w:rPr>
                <w:color w:val="auto"/>
                <w:sz w:val="24"/>
              </w:rPr>
            </w:pPr>
          </w:p>
          <w:p w14:paraId="0C038F4D">
            <w:pPr>
              <w:rPr>
                <w:color w:val="auto"/>
                <w:sz w:val="24"/>
              </w:rPr>
            </w:pPr>
            <w:r>
              <w:rPr>
                <w:rFonts w:hint="eastAsia"/>
                <w:color w:val="auto"/>
                <w:sz w:val="24"/>
              </w:rPr>
              <w:t>退付意见：（是否同意退付履约保证金及退付金额）</w:t>
            </w:r>
          </w:p>
          <w:p w14:paraId="70E565D0">
            <w:pPr>
              <w:rPr>
                <w:color w:val="auto"/>
                <w:sz w:val="24"/>
              </w:rPr>
            </w:pPr>
          </w:p>
          <w:p w14:paraId="45C715FE">
            <w:pPr>
              <w:rPr>
                <w:color w:val="auto"/>
                <w:sz w:val="24"/>
              </w:rPr>
            </w:pPr>
          </w:p>
          <w:p w14:paraId="551E32E6">
            <w:pPr>
              <w:rPr>
                <w:color w:val="auto"/>
                <w:sz w:val="24"/>
              </w:rPr>
            </w:pPr>
          </w:p>
          <w:p w14:paraId="20D287E3">
            <w:pPr>
              <w:rPr>
                <w:color w:val="auto"/>
                <w:sz w:val="24"/>
              </w:rPr>
            </w:pPr>
          </w:p>
          <w:p w14:paraId="52AF64E6">
            <w:pPr>
              <w:spacing w:line="520" w:lineRule="exact"/>
              <w:rPr>
                <w:color w:val="auto"/>
                <w:sz w:val="24"/>
              </w:rPr>
            </w:pPr>
            <w:r>
              <w:rPr>
                <w:rFonts w:hint="eastAsia"/>
                <w:color w:val="auto"/>
                <w:sz w:val="24"/>
              </w:rPr>
              <w:t>联系人及电话：采购人签章</w:t>
            </w:r>
          </w:p>
          <w:p w14:paraId="02A95DDA">
            <w:pPr>
              <w:spacing w:line="520" w:lineRule="exact"/>
              <w:jc w:val="center"/>
              <w:rPr>
                <w:color w:val="auto"/>
                <w:sz w:val="24"/>
              </w:rPr>
            </w:pPr>
            <w:r>
              <w:rPr>
                <w:rFonts w:hint="eastAsia"/>
                <w:color w:val="auto"/>
                <w:sz w:val="24"/>
              </w:rPr>
              <w:t>年月日</w:t>
            </w:r>
          </w:p>
        </w:tc>
      </w:tr>
      <w:tr w14:paraId="1D059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trPr>
        <w:tc>
          <w:tcPr>
            <w:tcW w:w="1008" w:type="dxa"/>
            <w:vAlign w:val="center"/>
          </w:tcPr>
          <w:p w14:paraId="1BB766DB">
            <w:pPr>
              <w:jc w:val="center"/>
              <w:rPr>
                <w:color w:val="auto"/>
                <w:sz w:val="24"/>
              </w:rPr>
            </w:pPr>
            <w:r>
              <w:rPr>
                <w:rFonts w:hint="eastAsia"/>
                <w:color w:val="auto"/>
                <w:sz w:val="24"/>
              </w:rPr>
              <w:t>备注</w:t>
            </w:r>
          </w:p>
        </w:tc>
        <w:tc>
          <w:tcPr>
            <w:tcW w:w="8456" w:type="dxa"/>
          </w:tcPr>
          <w:p w14:paraId="19070507">
            <w:pPr>
              <w:rPr>
                <w:color w:val="auto"/>
                <w:sz w:val="24"/>
              </w:rPr>
            </w:pPr>
          </w:p>
        </w:tc>
      </w:tr>
    </w:tbl>
    <w:p w14:paraId="755E307E">
      <w:pPr>
        <w:pStyle w:val="12"/>
        <w:ind w:left="420" w:leftChars="114" w:hanging="181" w:hangingChars="100"/>
        <w:rPr>
          <w:rFonts w:ascii="宋体"/>
          <w:b/>
          <w:bCs/>
          <w:color w:val="auto"/>
          <w:sz w:val="18"/>
        </w:rPr>
      </w:pPr>
      <w:r>
        <w:rPr>
          <w:rFonts w:hint="eastAsia" w:ascii="宋体"/>
          <w:b/>
          <w:bCs/>
          <w:color w:val="auto"/>
          <w:sz w:val="18"/>
        </w:rPr>
        <w:t>注：投标人凭经采购人审批的退付意见书到保证金收取单位办理履约保证金退付事宜。</w:t>
      </w:r>
    </w:p>
    <w:p w14:paraId="1EC616EB">
      <w:pPr>
        <w:pStyle w:val="15"/>
        <w:snapToGrid w:val="0"/>
        <w:spacing w:before="120" w:after="120"/>
        <w:rPr>
          <w:rFonts w:hAnsi="宋体"/>
          <w:color w:val="auto"/>
        </w:rPr>
      </w:pPr>
    </w:p>
    <w:p w14:paraId="7AE2E30D">
      <w:pPr>
        <w:pStyle w:val="3"/>
        <w:keepNext w:val="0"/>
        <w:keepLines w:val="0"/>
        <w:jc w:val="center"/>
        <w:rPr>
          <w:color w:val="auto"/>
        </w:rPr>
      </w:pPr>
      <w:r>
        <w:rPr>
          <w:rFonts w:hAnsi="宋体"/>
          <w:color w:val="auto"/>
        </w:rPr>
        <w:br w:type="page"/>
      </w:r>
      <w:bookmarkStart w:id="145" w:name="_Toc330456896"/>
      <w:bookmarkStart w:id="146" w:name="_Toc27810"/>
      <w:bookmarkStart w:id="147" w:name="_Toc254970689"/>
      <w:bookmarkStart w:id="148" w:name="_Toc254970548"/>
      <w:bookmarkStart w:id="149" w:name="_Toc27672"/>
      <w:r>
        <w:rPr>
          <w:rFonts w:hint="eastAsia"/>
          <w:color w:val="auto"/>
        </w:rPr>
        <w:t>第四章评标方法及评标标准</w:t>
      </w:r>
      <w:bookmarkEnd w:id="145"/>
      <w:bookmarkEnd w:id="146"/>
      <w:bookmarkEnd w:id="147"/>
      <w:bookmarkEnd w:id="148"/>
      <w:bookmarkEnd w:id="149"/>
    </w:p>
    <w:p w14:paraId="4793DFF1">
      <w:pPr>
        <w:pStyle w:val="15"/>
        <w:spacing w:line="360" w:lineRule="exact"/>
        <w:rPr>
          <w:rFonts w:hAnsi="宋体"/>
          <w:bCs/>
          <w:color w:val="auto"/>
        </w:rPr>
      </w:pPr>
    </w:p>
    <w:p w14:paraId="620B8743">
      <w:pPr>
        <w:pStyle w:val="4"/>
        <w:keepNext w:val="0"/>
        <w:keepLines w:val="0"/>
        <w:jc w:val="center"/>
        <w:rPr>
          <w:color w:val="auto"/>
        </w:rPr>
      </w:pPr>
      <w:r>
        <w:rPr>
          <w:rFonts w:hint="eastAsia"/>
          <w:color w:val="auto"/>
        </w:rPr>
        <w:t>第一节评标方法</w:t>
      </w:r>
    </w:p>
    <w:p w14:paraId="5BC80933">
      <w:pPr>
        <w:tabs>
          <w:tab w:val="left" w:pos="2472"/>
        </w:tabs>
        <w:spacing w:line="360" w:lineRule="auto"/>
        <w:ind w:firstLine="420" w:firstLineChars="200"/>
        <w:rPr>
          <w:rFonts w:ascii="宋体" w:hAnsi="Courier New"/>
          <w:color w:val="auto"/>
          <w:szCs w:val="21"/>
        </w:rPr>
      </w:pPr>
      <w:r>
        <w:rPr>
          <w:rFonts w:hint="eastAsia" w:ascii="宋体" w:hAnsi="宋体" w:cs="宋体"/>
          <w:color w:val="auto"/>
          <w:szCs w:val="21"/>
        </w:rPr>
        <w:t>本项目采用</w:t>
      </w:r>
      <w:r>
        <w:rPr>
          <w:rFonts w:hint="eastAsia" w:ascii="宋体" w:hAnsi="宋体" w:cs="宋体"/>
          <w:color w:val="auto"/>
          <w:szCs w:val="21"/>
          <w:u w:val="single"/>
        </w:rPr>
        <w:t>以下勾选的方式</w:t>
      </w:r>
      <w:r>
        <w:rPr>
          <w:rFonts w:hint="eastAsia" w:ascii="宋体" w:hAnsi="宋体" w:cs="宋体"/>
          <w:color w:val="auto"/>
          <w:szCs w:val="21"/>
        </w:rPr>
        <w:t>进行评审。</w:t>
      </w:r>
    </w:p>
    <w:p w14:paraId="29449171">
      <w:pPr>
        <w:spacing w:line="360" w:lineRule="auto"/>
        <w:ind w:firstLine="420"/>
        <w:rPr>
          <w:rFonts w:ascii="宋体" w:hAnsi="宋体"/>
          <w:color w:val="auto"/>
          <w:szCs w:val="20"/>
        </w:rPr>
      </w:pPr>
      <w:r>
        <w:rPr>
          <w:rFonts w:hint="eastAsia" w:ascii="宋体" w:hAnsi="宋体"/>
          <w:color w:val="auto"/>
          <w:szCs w:val="21"/>
        </w:rPr>
        <w:t>□最低评标价法，是指投标文件满足招标文件</w:t>
      </w:r>
      <w:r>
        <w:rPr>
          <w:rFonts w:hint="eastAsia" w:ascii="宋体" w:hAnsi="宋体"/>
          <w:color w:val="auto"/>
          <w:szCs w:val="20"/>
        </w:rPr>
        <w:t>全部实质性要求，且投标报价最低的投标人为中标候选人的评标方法。</w:t>
      </w:r>
    </w:p>
    <w:p w14:paraId="6EFE49B1">
      <w:pPr>
        <w:autoSpaceDE w:val="0"/>
        <w:autoSpaceDN w:val="0"/>
        <w:adjustRightInd w:val="0"/>
        <w:spacing w:line="360" w:lineRule="auto"/>
        <w:ind w:firstLine="420" w:firstLineChars="200"/>
        <w:rPr>
          <w:rFonts w:ascii="宋体" w:hAnsi="宋体"/>
          <w:color w:val="auto"/>
          <w:sz w:val="24"/>
        </w:rPr>
      </w:pPr>
      <w:r>
        <w:rPr>
          <w:rFonts w:hint="eastAsia" w:hAnsi="宋体"/>
          <w:color w:val="auto"/>
        </w:rPr>
        <w:t>☑综合评分法，</w:t>
      </w:r>
      <w:r>
        <w:rPr>
          <w:rFonts w:hint="eastAsia" w:ascii="宋体" w:hAnsi="宋体"/>
          <w:color w:val="auto"/>
          <w:szCs w:val="20"/>
        </w:rPr>
        <w:t>是指投标文件满足招标文件全部实质性要求，且按照评审因素的量化指标评审得分最高的投标人为中标候选人的评标方法。评标委员会将对各投标人的投标报价、技术</w:t>
      </w:r>
      <w:r>
        <w:rPr>
          <w:rFonts w:hint="eastAsia" w:ascii="宋体" w:hAnsi="宋体"/>
          <w:color w:val="auto"/>
          <w:szCs w:val="20"/>
          <w:lang w:val="en-US" w:eastAsia="zh-CN"/>
        </w:rPr>
        <w:t>性能</w:t>
      </w:r>
      <w:r>
        <w:rPr>
          <w:rFonts w:hint="eastAsia" w:ascii="宋体" w:hAnsi="宋体"/>
          <w:color w:val="auto"/>
          <w:szCs w:val="20"/>
        </w:rPr>
        <w:t>和</w:t>
      </w:r>
      <w:r>
        <w:rPr>
          <w:rFonts w:hint="eastAsia" w:ascii="宋体" w:hAnsi="宋体"/>
          <w:color w:val="auto"/>
          <w:szCs w:val="20"/>
          <w:lang w:val="en-US" w:eastAsia="zh-CN"/>
        </w:rPr>
        <w:t>实施</w:t>
      </w:r>
      <w:r>
        <w:rPr>
          <w:rFonts w:hint="eastAsia" w:ascii="宋体" w:hAnsi="宋体"/>
          <w:color w:val="auto"/>
          <w:szCs w:val="20"/>
        </w:rPr>
        <w:t>方案、</w:t>
      </w:r>
      <w:r>
        <w:rPr>
          <w:rFonts w:hint="eastAsia" w:ascii="宋体" w:hAnsi="宋体"/>
          <w:color w:val="auto"/>
          <w:szCs w:val="20"/>
          <w:lang w:val="en-US" w:eastAsia="zh-CN"/>
        </w:rPr>
        <w:t>培训方案、售后服务方案及信誉业绩</w:t>
      </w:r>
      <w:r>
        <w:rPr>
          <w:rFonts w:hint="eastAsia" w:ascii="宋体" w:hAnsi="宋体"/>
          <w:color w:val="auto"/>
          <w:szCs w:val="20"/>
        </w:rPr>
        <w:t>等方面进行综合评审，对实质上响应招标文件的投标人，由</w:t>
      </w:r>
      <w:r>
        <w:rPr>
          <w:rFonts w:hint="eastAsia"/>
          <w:color w:val="auto"/>
        </w:rPr>
        <w:t>评标委员会各成员</w:t>
      </w:r>
      <w:r>
        <w:rPr>
          <w:rFonts w:hint="eastAsia" w:ascii="宋体" w:hAnsi="宋体"/>
          <w:color w:val="auto"/>
          <w:szCs w:val="20"/>
        </w:rPr>
        <w:t xml:space="preserve">独立记名打分。经统计，得出各投标人的综合得分,按综合得分由高到低顺序排列。若综合得分相同的，按投标报价由低到高顺序排列。若综合得分且投标报价相同的，货物类采购项目以技术性能得分较高者为先。 </w:t>
      </w:r>
    </w:p>
    <w:p w14:paraId="5B0BC8D7">
      <w:pPr>
        <w:pStyle w:val="15"/>
        <w:tabs>
          <w:tab w:val="left" w:pos="7113"/>
        </w:tabs>
        <w:spacing w:line="360" w:lineRule="auto"/>
        <w:ind w:firstLine="420"/>
        <w:rPr>
          <w:rFonts w:hint="eastAsia" w:hAnsi="宋体" w:eastAsia="宋体"/>
          <w:color w:val="auto"/>
          <w:sz w:val="21"/>
          <w:lang w:eastAsia="zh-CN"/>
        </w:rPr>
        <w:pPrChange w:id="0" w:author="½一半" w:date="2026-09-07T17:18:58Z">
          <w:pPr>
            <w:pStyle w:val="15"/>
            <w:spacing w:line="360" w:lineRule="auto"/>
            <w:ind w:firstLine="420"/>
          </w:pPr>
        </w:pPrChange>
      </w:pPr>
      <w:ins w:id="1" w:author="½一半" w:date="2026-09-07T17:18:58Z">
        <w:r>
          <w:rPr>
            <w:rFonts w:hint="eastAsia" w:hAnsi="宋体"/>
            <w:color w:val="auto"/>
            <w:sz w:val="21"/>
            <w:lang w:eastAsia="zh-CN"/>
          </w:rPr>
          <w:tab/>
        </w:r>
      </w:ins>
      <w:bookmarkStart w:id="172" w:name="_GoBack"/>
      <w:bookmarkEnd w:id="172"/>
    </w:p>
    <w:p w14:paraId="460F29B0">
      <w:pPr>
        <w:pStyle w:val="4"/>
        <w:keepNext w:val="0"/>
        <w:keepLines w:val="0"/>
        <w:jc w:val="center"/>
        <w:rPr>
          <w:color w:val="auto"/>
        </w:rPr>
      </w:pPr>
      <w:r>
        <w:rPr>
          <w:rFonts w:hint="eastAsia"/>
          <w:color w:val="auto"/>
        </w:rPr>
        <w:t>第二节评标程序</w:t>
      </w:r>
    </w:p>
    <w:p w14:paraId="7B2EDF4C">
      <w:pPr>
        <w:pStyle w:val="6"/>
        <w:keepNext w:val="0"/>
        <w:keepLines w:val="0"/>
        <w:spacing w:before="0" w:after="0" w:line="360" w:lineRule="auto"/>
        <w:ind w:left="420" w:leftChars="200"/>
        <w:rPr>
          <w:rFonts w:ascii="宋体" w:hAnsi="宋体"/>
          <w:color w:val="auto"/>
          <w:sz w:val="21"/>
          <w:szCs w:val="21"/>
        </w:rPr>
      </w:pPr>
      <w:r>
        <w:rPr>
          <w:rFonts w:hint="eastAsia" w:ascii="宋体" w:hAnsi="宋体"/>
          <w:color w:val="auto"/>
          <w:sz w:val="21"/>
          <w:szCs w:val="21"/>
        </w:rPr>
        <w:t>1.符合性审查</w:t>
      </w:r>
    </w:p>
    <w:p w14:paraId="1441501B">
      <w:pPr>
        <w:pStyle w:val="15"/>
        <w:snapToGrid w:val="0"/>
        <w:spacing w:line="360" w:lineRule="auto"/>
        <w:ind w:left="1" w:firstLine="420"/>
        <w:rPr>
          <w:rFonts w:hAnsi="宋体"/>
          <w:bCs/>
          <w:color w:val="auto"/>
          <w:kern w:val="2"/>
          <w:sz w:val="21"/>
        </w:rPr>
      </w:pPr>
      <w:r>
        <w:rPr>
          <w:rFonts w:hint="eastAsia" w:hAnsi="宋体"/>
          <w:bCs/>
          <w:color w:val="auto"/>
          <w:kern w:val="2"/>
          <w:sz w:val="21"/>
        </w:rPr>
        <w:t>评标委员会应当对符合资格的投标人的投标文件进行投标报价、商务、技术等实质性内容符合性审查，以确定其是否满足招标文件的实质性要求。</w:t>
      </w:r>
    </w:p>
    <w:p w14:paraId="202A43A4">
      <w:pPr>
        <w:pStyle w:val="6"/>
        <w:keepNext w:val="0"/>
        <w:keepLines w:val="0"/>
        <w:spacing w:before="0" w:after="0" w:line="360" w:lineRule="auto"/>
        <w:ind w:left="420" w:leftChars="200"/>
        <w:rPr>
          <w:rFonts w:ascii="宋体" w:hAnsi="宋体"/>
          <w:color w:val="auto"/>
          <w:sz w:val="21"/>
          <w:szCs w:val="21"/>
        </w:rPr>
      </w:pPr>
      <w:r>
        <w:rPr>
          <w:rFonts w:hint="eastAsia" w:ascii="宋体" w:hAnsi="宋体"/>
          <w:color w:val="auto"/>
          <w:sz w:val="21"/>
          <w:szCs w:val="21"/>
        </w:rPr>
        <w:t>2</w:t>
      </w:r>
      <w:r>
        <w:rPr>
          <w:rFonts w:ascii="宋体" w:hAnsi="宋体"/>
          <w:color w:val="auto"/>
          <w:sz w:val="21"/>
          <w:szCs w:val="21"/>
        </w:rPr>
        <w:t>.</w:t>
      </w:r>
      <w:r>
        <w:rPr>
          <w:rFonts w:hint="eastAsia" w:ascii="宋体" w:hAnsi="宋体"/>
          <w:color w:val="auto"/>
          <w:sz w:val="21"/>
          <w:szCs w:val="21"/>
        </w:rPr>
        <w:t>符合性审查不通过而导致投标无效的情形</w:t>
      </w:r>
    </w:p>
    <w:p w14:paraId="104C926A">
      <w:pPr>
        <w:snapToGrid w:val="0"/>
        <w:spacing w:line="360" w:lineRule="auto"/>
        <w:ind w:firstLine="420" w:firstLineChars="200"/>
        <w:rPr>
          <w:rFonts w:ascii="宋体" w:hAnsi="宋体"/>
          <w:bCs/>
          <w:color w:val="auto"/>
          <w:szCs w:val="21"/>
        </w:rPr>
      </w:pPr>
      <w:r>
        <w:rPr>
          <w:rFonts w:hint="eastAsia" w:ascii="宋体" w:hAnsi="宋体"/>
          <w:bCs/>
          <w:color w:val="auto"/>
          <w:szCs w:val="21"/>
        </w:rPr>
        <w:t>投标人的投标文件中存在对招标文件的任何实质性要求和条件的负偏离，将被视为投标无效。</w:t>
      </w:r>
    </w:p>
    <w:p w14:paraId="0E71A830">
      <w:pPr>
        <w:pStyle w:val="6"/>
        <w:keepNext w:val="0"/>
        <w:keepLines w:val="0"/>
        <w:spacing w:before="0" w:after="0" w:line="360" w:lineRule="auto"/>
        <w:ind w:left="420" w:leftChars="200"/>
        <w:rPr>
          <w:rFonts w:ascii="宋体" w:hAnsi="宋体"/>
          <w:color w:val="auto"/>
          <w:sz w:val="21"/>
          <w:szCs w:val="21"/>
        </w:rPr>
      </w:pPr>
      <w:r>
        <w:rPr>
          <w:rFonts w:hint="eastAsia" w:ascii="宋体" w:hAnsi="宋体"/>
          <w:color w:val="auto"/>
          <w:sz w:val="21"/>
          <w:szCs w:val="21"/>
        </w:rPr>
        <w:t>2.1在报价评审时，如发现下列情形之一的，将被视为投标无效：</w:t>
      </w:r>
    </w:p>
    <w:p w14:paraId="391BD5CC">
      <w:pPr>
        <w:pStyle w:val="7"/>
        <w:spacing w:line="360" w:lineRule="auto"/>
        <w:ind w:firstLineChars="200"/>
        <w:rPr>
          <w:rFonts w:ascii="宋体" w:hAnsi="宋体"/>
          <w:bCs/>
          <w:color w:val="auto"/>
          <w:szCs w:val="21"/>
        </w:rPr>
      </w:pPr>
      <w:r>
        <w:rPr>
          <w:rFonts w:hint="eastAsia" w:ascii="宋体" w:hAnsi="宋体"/>
          <w:bCs/>
          <w:color w:val="auto"/>
          <w:szCs w:val="21"/>
        </w:rPr>
        <w:t>（1）投标文件未提供“投标人须知前附表”第13.1条规定中“必须提供”的文件资料的；</w:t>
      </w:r>
    </w:p>
    <w:p w14:paraId="6105BA22">
      <w:pPr>
        <w:pStyle w:val="7"/>
        <w:spacing w:line="360" w:lineRule="auto"/>
        <w:ind w:firstLineChars="200"/>
        <w:rPr>
          <w:rFonts w:ascii="宋体" w:hAnsi="宋体"/>
          <w:bCs/>
          <w:color w:val="auto"/>
          <w:szCs w:val="21"/>
        </w:rPr>
      </w:pPr>
      <w:r>
        <w:rPr>
          <w:rFonts w:hint="eastAsia" w:ascii="宋体" w:hAnsi="宋体"/>
          <w:bCs/>
          <w:color w:val="auto"/>
          <w:szCs w:val="21"/>
        </w:rPr>
        <w:t>（2）未采用人民币报价或者未按照招标文件标明的币种报价的；</w:t>
      </w:r>
    </w:p>
    <w:p w14:paraId="0341C358">
      <w:pPr>
        <w:pStyle w:val="7"/>
        <w:spacing w:line="360" w:lineRule="auto"/>
        <w:ind w:firstLineChars="200"/>
        <w:rPr>
          <w:rFonts w:ascii="宋体" w:hAnsi="宋体"/>
          <w:bCs/>
          <w:color w:val="auto"/>
          <w:szCs w:val="21"/>
        </w:rPr>
      </w:pPr>
      <w:r>
        <w:rPr>
          <w:rFonts w:hint="eastAsia" w:ascii="宋体" w:hAnsi="宋体"/>
          <w:bCs/>
          <w:color w:val="auto"/>
          <w:szCs w:val="21"/>
        </w:rPr>
        <w:t>（3）报价超出招标文件规定最高限价，或者超出采购预算金额的；</w:t>
      </w:r>
    </w:p>
    <w:p w14:paraId="11B24CF9">
      <w:pPr>
        <w:pStyle w:val="7"/>
        <w:spacing w:line="360" w:lineRule="auto"/>
        <w:ind w:firstLineChars="200"/>
        <w:rPr>
          <w:rFonts w:ascii="宋体" w:hAnsi="宋体"/>
          <w:bCs/>
          <w:color w:val="auto"/>
          <w:szCs w:val="21"/>
        </w:rPr>
      </w:pPr>
      <w:r>
        <w:rPr>
          <w:rFonts w:hint="eastAsia" w:ascii="宋体" w:hAnsi="宋体"/>
          <w:bCs/>
          <w:color w:val="auto"/>
          <w:szCs w:val="21"/>
        </w:rPr>
        <w:t>（4）投标人未就所投分标进行报价或者存在漏项报价；投标人未就所投分标的单项内容作唯一报价；投标人未就所投分标的全部内容作唯一总价报价；存在有选择、有条件报价的（招标文件允许有备选方案或者其他约定的除外）；</w:t>
      </w:r>
    </w:p>
    <w:p w14:paraId="5E2334C8">
      <w:pPr>
        <w:pStyle w:val="7"/>
        <w:spacing w:line="360" w:lineRule="auto"/>
        <w:ind w:firstLineChars="200"/>
        <w:rPr>
          <w:rFonts w:ascii="宋体" w:hAnsi="宋体"/>
          <w:bCs/>
          <w:color w:val="auto"/>
          <w:szCs w:val="21"/>
        </w:rPr>
      </w:pPr>
      <w:r>
        <w:rPr>
          <w:rFonts w:hint="eastAsia" w:ascii="宋体" w:hAnsi="宋体"/>
          <w:bCs/>
          <w:color w:val="auto"/>
          <w:szCs w:val="21"/>
        </w:rPr>
        <w:t>（5）修正后的报价，投标人不确认的；</w:t>
      </w:r>
    </w:p>
    <w:p w14:paraId="191CF35C">
      <w:pPr>
        <w:pStyle w:val="7"/>
        <w:spacing w:line="360" w:lineRule="auto"/>
        <w:ind w:firstLineChars="200"/>
        <w:rPr>
          <w:rFonts w:ascii="宋体" w:hAnsi="宋体"/>
          <w:bCs/>
          <w:color w:val="auto"/>
          <w:szCs w:val="21"/>
        </w:rPr>
      </w:pPr>
      <w:r>
        <w:rPr>
          <w:rFonts w:hint="eastAsia" w:ascii="宋体" w:hAnsi="宋体"/>
          <w:bCs/>
          <w:color w:val="auto"/>
          <w:szCs w:val="21"/>
        </w:rPr>
        <w:t>（6）投标人属于本章第</w:t>
      </w:r>
      <w:r>
        <w:rPr>
          <w:rFonts w:ascii="宋体" w:hAnsi="宋体"/>
          <w:bCs/>
          <w:color w:val="auto"/>
          <w:szCs w:val="21"/>
        </w:rPr>
        <w:t>5</w:t>
      </w:r>
      <w:r>
        <w:rPr>
          <w:rFonts w:hint="eastAsia" w:ascii="宋体" w:hAnsi="宋体"/>
          <w:bCs/>
          <w:color w:val="auto"/>
          <w:szCs w:val="21"/>
        </w:rPr>
        <w:t>条第（2）项情形的。</w:t>
      </w:r>
    </w:p>
    <w:p w14:paraId="0AA7F100">
      <w:pPr>
        <w:pStyle w:val="6"/>
        <w:keepNext w:val="0"/>
        <w:keepLines w:val="0"/>
        <w:spacing w:before="0" w:after="0" w:line="360" w:lineRule="auto"/>
        <w:ind w:left="420" w:leftChars="200"/>
        <w:rPr>
          <w:rFonts w:ascii="宋体" w:hAnsi="宋体"/>
          <w:color w:val="auto"/>
          <w:sz w:val="21"/>
          <w:szCs w:val="21"/>
        </w:rPr>
      </w:pPr>
      <w:r>
        <w:rPr>
          <w:rFonts w:hint="eastAsia" w:ascii="宋体" w:hAnsi="宋体"/>
          <w:color w:val="auto"/>
          <w:sz w:val="21"/>
          <w:szCs w:val="21"/>
        </w:rPr>
        <w:t>2.2在商务评审时，如发现下列情形之一的，将被视为投标无效：</w:t>
      </w:r>
    </w:p>
    <w:p w14:paraId="33BA13E9">
      <w:pPr>
        <w:snapToGrid w:val="0"/>
        <w:spacing w:line="360" w:lineRule="auto"/>
        <w:ind w:firstLine="420" w:firstLineChars="200"/>
        <w:rPr>
          <w:rFonts w:ascii="宋体" w:hAnsi="宋体"/>
          <w:bCs/>
          <w:color w:val="auto"/>
          <w:szCs w:val="21"/>
        </w:rPr>
      </w:pPr>
      <w:r>
        <w:rPr>
          <w:rFonts w:hint="eastAsia" w:ascii="宋体" w:hAnsi="宋体"/>
          <w:bCs/>
          <w:color w:val="auto"/>
          <w:szCs w:val="21"/>
        </w:rPr>
        <w:t>（1）投标文件未按招标文件要求签署、盖章的；</w:t>
      </w:r>
    </w:p>
    <w:p w14:paraId="46F4F04E">
      <w:pPr>
        <w:snapToGrid w:val="0"/>
        <w:spacing w:line="360" w:lineRule="auto"/>
        <w:ind w:firstLine="420" w:firstLineChars="200"/>
        <w:rPr>
          <w:rFonts w:ascii="宋体" w:hAnsi="宋体"/>
          <w:bCs/>
          <w:color w:val="auto"/>
          <w:szCs w:val="21"/>
        </w:rPr>
      </w:pPr>
      <w:r>
        <w:rPr>
          <w:rFonts w:hint="eastAsia" w:ascii="宋体" w:hAnsi="宋体"/>
          <w:bCs/>
          <w:color w:val="auto"/>
          <w:szCs w:val="21"/>
        </w:rPr>
        <w:t xml:space="preserve">（2）委托代理人未能出具有效身份证明或者出具的身份证明与授权委托书中的信息不符的； </w:t>
      </w:r>
    </w:p>
    <w:p w14:paraId="071B0AEA">
      <w:pPr>
        <w:snapToGrid w:val="0"/>
        <w:spacing w:line="360" w:lineRule="auto"/>
        <w:ind w:firstLine="420" w:firstLineChars="200"/>
        <w:rPr>
          <w:rFonts w:ascii="宋体" w:hAnsi="宋体"/>
          <w:bCs/>
          <w:color w:val="auto"/>
          <w:szCs w:val="21"/>
        </w:rPr>
      </w:pPr>
      <w:r>
        <w:rPr>
          <w:rFonts w:hint="eastAsia" w:ascii="宋体" w:hAnsi="宋体"/>
          <w:bCs/>
          <w:color w:val="auto"/>
          <w:szCs w:val="21"/>
        </w:rPr>
        <w:t>（3）为无效投标保证金的或者未按照招标文件的规定提交投标保证金的；</w:t>
      </w:r>
    </w:p>
    <w:p w14:paraId="1F54BE08">
      <w:pPr>
        <w:snapToGrid w:val="0"/>
        <w:spacing w:line="360" w:lineRule="auto"/>
        <w:ind w:firstLine="420" w:firstLineChars="200"/>
        <w:rPr>
          <w:rFonts w:ascii="宋体" w:hAnsi="宋体"/>
          <w:bCs/>
          <w:color w:val="auto"/>
          <w:szCs w:val="21"/>
        </w:rPr>
      </w:pPr>
      <w:r>
        <w:rPr>
          <w:rFonts w:hint="eastAsia" w:ascii="宋体" w:hAnsi="宋体"/>
          <w:bCs/>
          <w:color w:val="auto"/>
          <w:szCs w:val="21"/>
        </w:rPr>
        <w:t>（4）投标文件未提供“投标人须知前附表”第13.</w:t>
      </w:r>
      <w:r>
        <w:rPr>
          <w:rFonts w:ascii="宋体" w:hAnsi="宋体"/>
          <w:bCs/>
          <w:color w:val="auto"/>
          <w:szCs w:val="21"/>
        </w:rPr>
        <w:t>1</w:t>
      </w:r>
      <w:r>
        <w:rPr>
          <w:rFonts w:hint="eastAsia" w:ascii="宋体" w:hAnsi="宋体"/>
          <w:bCs/>
          <w:color w:val="auto"/>
          <w:szCs w:val="21"/>
        </w:rPr>
        <w:t>条规定中“必须提供”或者“委托时必须提供”的文件资料的；</w:t>
      </w:r>
    </w:p>
    <w:p w14:paraId="4970B449">
      <w:pPr>
        <w:snapToGrid w:val="0"/>
        <w:spacing w:line="360" w:lineRule="auto"/>
        <w:ind w:firstLine="420" w:firstLineChars="200"/>
        <w:rPr>
          <w:rFonts w:ascii="宋体" w:hAnsi="宋体"/>
          <w:bCs/>
          <w:color w:val="auto"/>
          <w:szCs w:val="21"/>
        </w:rPr>
      </w:pPr>
      <w:r>
        <w:rPr>
          <w:rFonts w:hint="eastAsia" w:ascii="宋体" w:hAnsi="宋体"/>
          <w:bCs/>
          <w:color w:val="auto"/>
          <w:szCs w:val="21"/>
        </w:rPr>
        <w:t>（5）投标有效期、项目完成时间（交货时间、服务完成时间或者服务期等）、质保期、售后服务等招标文件中标“▲”的商务条款发生负偏离的；</w:t>
      </w:r>
    </w:p>
    <w:p w14:paraId="383CA06E">
      <w:pPr>
        <w:snapToGrid w:val="0"/>
        <w:spacing w:line="360" w:lineRule="auto"/>
        <w:ind w:firstLine="420" w:firstLineChars="200"/>
        <w:rPr>
          <w:rFonts w:ascii="宋体" w:hAnsi="宋体"/>
          <w:bCs/>
          <w:color w:val="auto"/>
          <w:szCs w:val="21"/>
        </w:rPr>
      </w:pPr>
      <w:r>
        <w:rPr>
          <w:rFonts w:hint="eastAsia" w:ascii="宋体" w:hAnsi="宋体"/>
          <w:bCs/>
          <w:color w:val="auto"/>
          <w:szCs w:val="21"/>
        </w:rPr>
        <w:t>（6）商务条款评审允许负偏离的条款数超过“投标人须知前附表”规定项数的。</w:t>
      </w:r>
    </w:p>
    <w:p w14:paraId="0F9FCA4D">
      <w:pPr>
        <w:snapToGrid w:val="0"/>
        <w:spacing w:line="360" w:lineRule="auto"/>
        <w:ind w:firstLine="420" w:firstLineChars="200"/>
        <w:rPr>
          <w:rFonts w:ascii="宋体" w:hAnsi="宋体"/>
          <w:bCs/>
          <w:color w:val="auto"/>
          <w:szCs w:val="21"/>
        </w:rPr>
      </w:pPr>
      <w:r>
        <w:rPr>
          <w:rFonts w:hint="eastAsia" w:ascii="宋体" w:hAnsi="宋体"/>
          <w:bCs/>
          <w:color w:val="auto"/>
          <w:szCs w:val="21"/>
        </w:rPr>
        <w:t>（7）投标文件的实质性内容未使用中文表述、使用计量单位不符合招标文件要求的；</w:t>
      </w:r>
    </w:p>
    <w:p w14:paraId="4BF887A4">
      <w:pPr>
        <w:snapToGrid w:val="0"/>
        <w:spacing w:line="360" w:lineRule="auto"/>
        <w:ind w:firstLine="420" w:firstLineChars="200"/>
        <w:rPr>
          <w:rFonts w:ascii="宋体" w:hAnsi="宋体"/>
          <w:bCs/>
          <w:color w:val="auto"/>
          <w:szCs w:val="21"/>
        </w:rPr>
      </w:pPr>
      <w:r>
        <w:rPr>
          <w:rFonts w:hint="eastAsia" w:ascii="宋体" w:hAnsi="宋体"/>
          <w:bCs/>
          <w:color w:val="auto"/>
          <w:szCs w:val="21"/>
        </w:rPr>
        <w:t>（8）投标文件中的文件资料因填写不齐全或者内容虚假或者出现其他情形而导致被评标委员会认定无效的；</w:t>
      </w:r>
    </w:p>
    <w:p w14:paraId="10512C26">
      <w:pPr>
        <w:snapToGrid w:val="0"/>
        <w:spacing w:line="360" w:lineRule="auto"/>
        <w:ind w:firstLine="420" w:firstLineChars="200"/>
        <w:rPr>
          <w:rFonts w:ascii="宋体" w:hAnsi="宋体"/>
          <w:bCs/>
          <w:color w:val="auto"/>
          <w:szCs w:val="21"/>
        </w:rPr>
      </w:pPr>
      <w:r>
        <w:rPr>
          <w:rFonts w:hint="eastAsia" w:ascii="宋体" w:hAnsi="宋体"/>
          <w:bCs/>
          <w:color w:val="auto"/>
          <w:szCs w:val="21"/>
        </w:rPr>
        <w:t>（9）投标文件含有采购人不能接受的附加条件的；</w:t>
      </w:r>
    </w:p>
    <w:p w14:paraId="14EE9595">
      <w:pPr>
        <w:snapToGrid w:val="0"/>
        <w:spacing w:line="360" w:lineRule="auto"/>
        <w:ind w:firstLine="420" w:firstLineChars="200"/>
        <w:rPr>
          <w:rFonts w:ascii="宋体" w:hAnsi="宋体"/>
          <w:bCs/>
          <w:color w:val="auto"/>
          <w:szCs w:val="21"/>
        </w:rPr>
      </w:pPr>
      <w:r>
        <w:rPr>
          <w:rFonts w:hint="eastAsia" w:ascii="宋体" w:hAnsi="宋体"/>
          <w:bCs/>
          <w:color w:val="auto"/>
          <w:szCs w:val="21"/>
        </w:rPr>
        <w:t>（10）未响应招标文件实质性要求的；</w:t>
      </w:r>
    </w:p>
    <w:p w14:paraId="01183317">
      <w:pPr>
        <w:snapToGrid w:val="0"/>
        <w:spacing w:line="360" w:lineRule="auto"/>
        <w:ind w:firstLine="420" w:firstLineChars="200"/>
        <w:rPr>
          <w:rFonts w:ascii="宋体" w:hAnsi="宋体"/>
          <w:bCs/>
          <w:color w:val="auto"/>
          <w:szCs w:val="21"/>
        </w:rPr>
      </w:pPr>
      <w:r>
        <w:rPr>
          <w:rFonts w:hint="eastAsia" w:ascii="宋体" w:hAnsi="宋体"/>
          <w:bCs/>
          <w:color w:val="auto"/>
          <w:szCs w:val="21"/>
        </w:rPr>
        <w:t>（11）属于投标人须知正文第</w:t>
      </w:r>
      <w:r>
        <w:rPr>
          <w:rFonts w:ascii="宋体" w:hAnsi="宋体"/>
          <w:bCs/>
          <w:color w:val="auto"/>
          <w:szCs w:val="21"/>
        </w:rPr>
        <w:t>9.2</w:t>
      </w:r>
      <w:r>
        <w:rPr>
          <w:rFonts w:hint="eastAsia" w:ascii="宋体" w:hAnsi="宋体"/>
          <w:bCs/>
          <w:color w:val="auto"/>
          <w:szCs w:val="21"/>
        </w:rPr>
        <w:t>条情形的；</w:t>
      </w:r>
    </w:p>
    <w:p w14:paraId="6865D893">
      <w:pPr>
        <w:snapToGrid w:val="0"/>
        <w:spacing w:line="360" w:lineRule="auto"/>
        <w:ind w:firstLine="420" w:firstLineChars="200"/>
        <w:rPr>
          <w:rFonts w:ascii="宋体" w:hAnsi="宋体"/>
          <w:bCs/>
          <w:color w:val="auto"/>
          <w:szCs w:val="21"/>
        </w:rPr>
      </w:pPr>
      <w:r>
        <w:rPr>
          <w:rFonts w:hint="eastAsia" w:ascii="宋体" w:hAnsi="宋体"/>
          <w:bCs/>
          <w:color w:val="auto"/>
          <w:szCs w:val="21"/>
        </w:rPr>
        <w:t>（12）法律、法规和招标文件规定的其他无效情形。</w:t>
      </w:r>
    </w:p>
    <w:p w14:paraId="165A6C04">
      <w:pPr>
        <w:pStyle w:val="6"/>
        <w:keepNext w:val="0"/>
        <w:keepLines w:val="0"/>
        <w:spacing w:before="0" w:after="0" w:line="360" w:lineRule="auto"/>
        <w:ind w:left="420" w:leftChars="200"/>
        <w:rPr>
          <w:rFonts w:ascii="宋体" w:hAnsi="宋体"/>
          <w:color w:val="auto"/>
          <w:sz w:val="21"/>
          <w:szCs w:val="21"/>
        </w:rPr>
      </w:pPr>
      <w:r>
        <w:rPr>
          <w:rFonts w:hint="eastAsia" w:ascii="宋体" w:hAnsi="宋体"/>
          <w:color w:val="auto"/>
          <w:sz w:val="21"/>
          <w:szCs w:val="21"/>
        </w:rPr>
        <w:t>2.3在技术评审时，如发现下列情形之一的，将被视为投标无效：</w:t>
      </w:r>
    </w:p>
    <w:p w14:paraId="4D3C5CCF">
      <w:pPr>
        <w:pStyle w:val="14"/>
        <w:snapToGrid w:val="0"/>
        <w:spacing w:line="360" w:lineRule="auto"/>
        <w:ind w:firstLine="411" w:firstLineChars="196"/>
        <w:rPr>
          <w:rFonts w:ascii="宋体" w:hAnsi="宋体" w:eastAsia="宋体"/>
          <w:bCs/>
          <w:color w:val="auto"/>
          <w:kern w:val="2"/>
          <w:sz w:val="21"/>
          <w:szCs w:val="21"/>
        </w:rPr>
      </w:pPr>
      <w:r>
        <w:rPr>
          <w:rFonts w:hint="eastAsia" w:ascii="宋体" w:hAnsi="宋体" w:eastAsia="宋体"/>
          <w:bCs/>
          <w:color w:val="auto"/>
          <w:kern w:val="2"/>
          <w:sz w:val="21"/>
          <w:szCs w:val="21"/>
        </w:rPr>
        <w:t>（1）明显不满足招标文件要求的技术规格、安全、质量标准，或者与招标文件中标“▲”的技术需求发生负偏离的；</w:t>
      </w:r>
    </w:p>
    <w:p w14:paraId="0321ECB9">
      <w:pPr>
        <w:pStyle w:val="14"/>
        <w:snapToGrid w:val="0"/>
        <w:spacing w:line="360" w:lineRule="auto"/>
        <w:ind w:firstLine="411" w:firstLineChars="196"/>
        <w:rPr>
          <w:rFonts w:ascii="宋体" w:hAnsi="宋体" w:eastAsia="宋体"/>
          <w:bCs/>
          <w:color w:val="auto"/>
          <w:kern w:val="2"/>
          <w:sz w:val="21"/>
          <w:szCs w:val="21"/>
        </w:rPr>
      </w:pPr>
      <w:r>
        <w:rPr>
          <w:rFonts w:hint="eastAsia" w:ascii="宋体" w:hAnsi="宋体" w:eastAsia="宋体"/>
          <w:bCs/>
          <w:color w:val="auto"/>
          <w:kern w:val="2"/>
          <w:sz w:val="21"/>
          <w:szCs w:val="21"/>
        </w:rPr>
        <w:t>（2）技术需求评审允许负偏离的条款数超过“投标人须知前附表”规定项数的；</w:t>
      </w:r>
    </w:p>
    <w:p w14:paraId="7F6220A3">
      <w:pPr>
        <w:pStyle w:val="14"/>
        <w:snapToGrid w:val="0"/>
        <w:spacing w:line="360" w:lineRule="auto"/>
        <w:ind w:firstLine="411" w:firstLineChars="196"/>
        <w:rPr>
          <w:rFonts w:ascii="宋体" w:hAnsi="宋体" w:eastAsia="宋体"/>
          <w:bCs/>
          <w:color w:val="auto"/>
          <w:kern w:val="2"/>
          <w:sz w:val="21"/>
          <w:szCs w:val="21"/>
        </w:rPr>
      </w:pPr>
      <w:r>
        <w:rPr>
          <w:rFonts w:hint="eastAsia" w:ascii="宋体" w:hAnsi="宋体" w:eastAsia="宋体"/>
          <w:bCs/>
          <w:color w:val="auto"/>
          <w:kern w:val="2"/>
          <w:sz w:val="21"/>
          <w:szCs w:val="21"/>
        </w:rPr>
        <w:t>（3）投标文件未提供“投标人须知前附表”第13.</w:t>
      </w:r>
      <w:r>
        <w:rPr>
          <w:rFonts w:ascii="宋体" w:hAnsi="宋体" w:eastAsia="宋体"/>
          <w:bCs/>
          <w:color w:val="auto"/>
          <w:kern w:val="2"/>
          <w:sz w:val="21"/>
          <w:szCs w:val="21"/>
        </w:rPr>
        <w:t>1</w:t>
      </w:r>
      <w:r>
        <w:rPr>
          <w:rFonts w:hint="eastAsia" w:ascii="宋体" w:hAnsi="宋体" w:eastAsia="宋体"/>
          <w:bCs/>
          <w:color w:val="auto"/>
          <w:kern w:val="2"/>
          <w:sz w:val="21"/>
          <w:szCs w:val="21"/>
        </w:rPr>
        <w:t>条规定中“必须提供”的文件资料的；</w:t>
      </w:r>
    </w:p>
    <w:p w14:paraId="70634B31">
      <w:pPr>
        <w:pStyle w:val="14"/>
        <w:snapToGrid w:val="0"/>
        <w:spacing w:line="360" w:lineRule="auto"/>
        <w:ind w:firstLine="411" w:firstLineChars="196"/>
        <w:rPr>
          <w:rFonts w:ascii="宋体" w:hAnsi="宋体" w:eastAsia="宋体"/>
          <w:bCs/>
          <w:color w:val="auto"/>
          <w:kern w:val="2"/>
          <w:sz w:val="21"/>
          <w:szCs w:val="21"/>
        </w:rPr>
      </w:pPr>
      <w:r>
        <w:rPr>
          <w:rFonts w:hint="eastAsia" w:ascii="宋体" w:hAnsi="宋体" w:eastAsia="宋体"/>
          <w:bCs/>
          <w:color w:val="auto"/>
          <w:kern w:val="2"/>
          <w:sz w:val="21"/>
          <w:szCs w:val="21"/>
        </w:rPr>
        <w:t>（4）虚假投标，或者出现其他情形而导致被评标委员会认定无效的；</w:t>
      </w:r>
    </w:p>
    <w:p w14:paraId="736E483B">
      <w:pPr>
        <w:pStyle w:val="14"/>
        <w:snapToGrid w:val="0"/>
        <w:spacing w:line="360" w:lineRule="auto"/>
        <w:ind w:firstLine="411" w:firstLineChars="196"/>
        <w:rPr>
          <w:rFonts w:ascii="宋体" w:hAnsi="宋体" w:eastAsia="宋体"/>
          <w:bCs/>
          <w:color w:val="auto"/>
          <w:sz w:val="21"/>
          <w:szCs w:val="21"/>
        </w:rPr>
      </w:pPr>
      <w:r>
        <w:rPr>
          <w:rFonts w:hint="eastAsia" w:ascii="宋体" w:hAnsi="宋体" w:eastAsia="宋体"/>
          <w:bCs/>
          <w:color w:val="auto"/>
          <w:kern w:val="2"/>
          <w:sz w:val="21"/>
          <w:szCs w:val="21"/>
        </w:rPr>
        <w:t>（5）投标技术方案不明确，招标文件未允许但存在一个或者一个以上备选（替代）投标方案的。</w:t>
      </w:r>
    </w:p>
    <w:p w14:paraId="4C9AA1F0">
      <w:pPr>
        <w:pStyle w:val="6"/>
        <w:keepNext w:val="0"/>
        <w:keepLines w:val="0"/>
        <w:spacing w:before="0" w:after="0" w:line="360" w:lineRule="auto"/>
        <w:ind w:left="420" w:leftChars="200"/>
        <w:rPr>
          <w:rFonts w:ascii="宋体" w:hAnsi="宋体"/>
          <w:color w:val="auto"/>
          <w:sz w:val="21"/>
          <w:szCs w:val="21"/>
        </w:rPr>
      </w:pPr>
      <w:r>
        <w:rPr>
          <w:rFonts w:hint="eastAsia" w:ascii="宋体" w:hAnsi="宋体"/>
          <w:color w:val="auto"/>
          <w:sz w:val="21"/>
          <w:szCs w:val="21"/>
        </w:rPr>
        <w:t>3</w:t>
      </w:r>
      <w:r>
        <w:rPr>
          <w:rFonts w:ascii="宋体" w:hAnsi="宋体"/>
          <w:color w:val="auto"/>
          <w:sz w:val="21"/>
          <w:szCs w:val="21"/>
        </w:rPr>
        <w:t>.</w:t>
      </w:r>
      <w:r>
        <w:rPr>
          <w:rFonts w:hint="eastAsia" w:ascii="宋体" w:hAnsi="宋体"/>
          <w:color w:val="auto"/>
          <w:sz w:val="21"/>
          <w:szCs w:val="21"/>
        </w:rPr>
        <w:t>澄清补正</w:t>
      </w:r>
    </w:p>
    <w:p w14:paraId="508885E4">
      <w:pPr>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投标人电子签章后在线上传至评标委员会。投标人的澄清、说明或者补正不得超出投标文件的范围或者改变投标文件的实质性内容。</w:t>
      </w:r>
    </w:p>
    <w:p w14:paraId="3749D7C2">
      <w:pPr>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7AED1B6B">
      <w:pPr>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未按评标委员会的要求作出明确澄清、说明或者更正的投标人的投标文件将按照有利于采购人的原则由评标委员会进行判定。</w:t>
      </w:r>
    </w:p>
    <w:p w14:paraId="1351D7FC">
      <w:pPr>
        <w:pStyle w:val="6"/>
        <w:keepNext w:val="0"/>
        <w:keepLines w:val="0"/>
        <w:spacing w:before="0" w:after="0" w:line="360" w:lineRule="auto"/>
        <w:ind w:left="420" w:leftChars="200"/>
        <w:rPr>
          <w:rFonts w:ascii="宋体" w:hAnsi="宋体"/>
          <w:color w:val="auto"/>
          <w:sz w:val="21"/>
          <w:szCs w:val="21"/>
        </w:rPr>
      </w:pPr>
      <w:r>
        <w:rPr>
          <w:rFonts w:ascii="宋体" w:hAnsi="宋体"/>
          <w:color w:val="auto"/>
          <w:sz w:val="21"/>
          <w:szCs w:val="21"/>
        </w:rPr>
        <w:t>4.</w:t>
      </w:r>
      <w:r>
        <w:rPr>
          <w:rFonts w:hint="eastAsia" w:ascii="宋体" w:hAnsi="宋体"/>
          <w:color w:val="auto"/>
          <w:sz w:val="21"/>
          <w:szCs w:val="21"/>
        </w:rPr>
        <w:t>投标文件修正</w:t>
      </w:r>
    </w:p>
    <w:p w14:paraId="45DCD35B">
      <w:pPr>
        <w:pStyle w:val="6"/>
        <w:keepNext w:val="0"/>
        <w:keepLines w:val="0"/>
        <w:spacing w:before="0" w:after="0" w:line="360" w:lineRule="auto"/>
        <w:ind w:left="420" w:leftChars="200"/>
        <w:rPr>
          <w:rFonts w:ascii="宋体" w:hAnsi="宋体"/>
          <w:b w:val="0"/>
          <w:color w:val="auto"/>
          <w:sz w:val="21"/>
          <w:szCs w:val="21"/>
        </w:rPr>
      </w:pPr>
      <w:r>
        <w:rPr>
          <w:rFonts w:ascii="宋体" w:hAnsi="宋体"/>
          <w:b w:val="0"/>
          <w:color w:val="auto"/>
          <w:sz w:val="21"/>
          <w:szCs w:val="21"/>
        </w:rPr>
        <w:t>4</w:t>
      </w:r>
      <w:r>
        <w:rPr>
          <w:rFonts w:hint="eastAsia" w:ascii="宋体" w:hAnsi="宋体"/>
          <w:b w:val="0"/>
          <w:color w:val="auto"/>
          <w:sz w:val="21"/>
          <w:szCs w:val="21"/>
        </w:rPr>
        <w:t xml:space="preserve">.1投标文件报价出现前后不一致的，按照下列规定修正： </w:t>
      </w:r>
    </w:p>
    <w:p w14:paraId="42C55C93">
      <w:pPr>
        <w:pStyle w:val="15"/>
        <w:snapToGrid w:val="0"/>
        <w:spacing w:line="360" w:lineRule="auto"/>
        <w:ind w:firstLine="420" w:firstLineChars="200"/>
        <w:rPr>
          <w:rFonts w:hAnsi="宋体"/>
          <w:color w:val="auto"/>
          <w:sz w:val="21"/>
        </w:rPr>
      </w:pPr>
      <w:r>
        <w:rPr>
          <w:rFonts w:hint="eastAsia" w:hAnsi="宋体"/>
          <w:color w:val="auto"/>
          <w:sz w:val="21"/>
        </w:rPr>
        <w:t>（1）投标文件中开标一览表（报价表）内容与投标文件中相应内容不一致的，以开标一览表（报价表）为准；</w:t>
      </w:r>
    </w:p>
    <w:p w14:paraId="3AD564AA">
      <w:pPr>
        <w:pStyle w:val="15"/>
        <w:snapToGrid w:val="0"/>
        <w:spacing w:line="360" w:lineRule="auto"/>
        <w:ind w:firstLine="420" w:firstLineChars="200"/>
        <w:rPr>
          <w:rFonts w:hAnsi="宋体"/>
          <w:color w:val="auto"/>
          <w:sz w:val="21"/>
        </w:rPr>
      </w:pPr>
      <w:r>
        <w:rPr>
          <w:rFonts w:hint="eastAsia" w:hAnsi="宋体"/>
          <w:color w:val="auto"/>
          <w:sz w:val="21"/>
        </w:rPr>
        <w:t>（2）大写金额和小写金额不一致的，以大写金额为准；</w:t>
      </w:r>
    </w:p>
    <w:p w14:paraId="5203EEAE">
      <w:pPr>
        <w:pStyle w:val="15"/>
        <w:snapToGrid w:val="0"/>
        <w:spacing w:line="360" w:lineRule="auto"/>
        <w:ind w:firstLine="420" w:firstLineChars="200"/>
        <w:rPr>
          <w:rFonts w:hAnsi="宋体"/>
          <w:color w:val="auto"/>
          <w:sz w:val="21"/>
        </w:rPr>
      </w:pPr>
      <w:r>
        <w:rPr>
          <w:rFonts w:hint="eastAsia" w:hAnsi="宋体"/>
          <w:color w:val="auto"/>
          <w:sz w:val="21"/>
        </w:rPr>
        <w:t>（3）单价金额小数点或者百分比有明显错位的，以开标一览表的总价为准，并修改单价；</w:t>
      </w:r>
    </w:p>
    <w:p w14:paraId="1BACF700">
      <w:pPr>
        <w:pStyle w:val="15"/>
        <w:snapToGrid w:val="0"/>
        <w:spacing w:line="360" w:lineRule="auto"/>
        <w:ind w:firstLine="420" w:firstLineChars="200"/>
        <w:rPr>
          <w:rFonts w:hAnsi="宋体"/>
          <w:color w:val="auto"/>
          <w:sz w:val="21"/>
        </w:rPr>
      </w:pPr>
      <w:r>
        <w:rPr>
          <w:rFonts w:hint="eastAsia" w:hAnsi="宋体"/>
          <w:color w:val="auto"/>
          <w:sz w:val="21"/>
        </w:rPr>
        <w:t>（4）总价金额与按单价汇总金额不一致的，以单价金额计算结果为准。</w:t>
      </w:r>
    </w:p>
    <w:p w14:paraId="05DED353">
      <w:pPr>
        <w:pStyle w:val="15"/>
        <w:snapToGrid w:val="0"/>
        <w:spacing w:line="360" w:lineRule="auto"/>
        <w:ind w:firstLine="420" w:firstLineChars="200"/>
        <w:rPr>
          <w:rFonts w:hAnsi="宋体"/>
          <w:color w:val="auto"/>
          <w:sz w:val="21"/>
        </w:rPr>
      </w:pPr>
      <w:r>
        <w:rPr>
          <w:rFonts w:hint="eastAsia" w:hAnsi="宋体"/>
          <w:color w:val="auto"/>
          <w:sz w:val="21"/>
        </w:rPr>
        <w:t>同时出现两种以上不一致的，按照以上（1）-（4）规定的顺序修正。修正后的报价经投标人确认后产生约束力，投标人不确认的，</w:t>
      </w:r>
      <w:r>
        <w:rPr>
          <w:rFonts w:hint="eastAsia" w:hAnsi="宋体"/>
          <w:b/>
          <w:color w:val="auto"/>
          <w:kern w:val="2"/>
          <w:sz w:val="21"/>
        </w:rPr>
        <w:t>其投标无效</w:t>
      </w:r>
      <w:r>
        <w:rPr>
          <w:rFonts w:hint="eastAsia" w:hAnsi="宋体"/>
          <w:color w:val="auto"/>
          <w:sz w:val="21"/>
        </w:rPr>
        <w:t>。</w:t>
      </w:r>
    </w:p>
    <w:p w14:paraId="02F46199">
      <w:pPr>
        <w:pStyle w:val="6"/>
        <w:keepNext w:val="0"/>
        <w:keepLines w:val="0"/>
        <w:spacing w:before="0" w:after="0" w:line="360" w:lineRule="auto"/>
        <w:rPr>
          <w:rFonts w:ascii="宋体" w:hAnsi="宋体"/>
          <w:b w:val="0"/>
          <w:color w:val="auto"/>
          <w:sz w:val="21"/>
          <w:szCs w:val="21"/>
        </w:rPr>
      </w:pPr>
      <w:r>
        <w:rPr>
          <w:rFonts w:ascii="宋体" w:hAnsi="宋体"/>
          <w:b w:val="0"/>
          <w:color w:val="auto"/>
          <w:sz w:val="21"/>
          <w:szCs w:val="21"/>
        </w:rPr>
        <w:t xml:space="preserve">    4</w:t>
      </w:r>
      <w:r>
        <w:rPr>
          <w:rFonts w:hint="eastAsia" w:ascii="宋体" w:hAnsi="宋体"/>
          <w:b w:val="0"/>
          <w:color w:val="auto"/>
          <w:sz w:val="21"/>
          <w:szCs w:val="21"/>
        </w:rPr>
        <w:t>.2</w:t>
      </w:r>
      <w:r>
        <w:rPr>
          <w:rFonts w:hint="eastAsia" w:ascii="宋体" w:hAnsi="宋体"/>
          <w:b w:val="0"/>
          <w:color w:val="auto"/>
          <w:spacing w:val="-6"/>
          <w:sz w:val="21"/>
          <w:szCs w:val="21"/>
        </w:rPr>
        <w:t>经投标人确认修正后的报价若超过采购预算金额或者最高限价，</w:t>
      </w:r>
      <w:r>
        <w:rPr>
          <w:rFonts w:hint="eastAsia" w:ascii="宋体" w:hAnsi="宋体"/>
          <w:color w:val="auto"/>
          <w:spacing w:val="-6"/>
          <w:sz w:val="21"/>
          <w:szCs w:val="21"/>
        </w:rPr>
        <w:t>投标人的投标文件作无效投标处理</w:t>
      </w:r>
      <w:r>
        <w:rPr>
          <w:rFonts w:hint="eastAsia" w:ascii="宋体" w:hAnsi="宋体"/>
          <w:b w:val="0"/>
          <w:color w:val="auto"/>
          <w:spacing w:val="-6"/>
          <w:sz w:val="21"/>
          <w:szCs w:val="21"/>
        </w:rPr>
        <w:t>。</w:t>
      </w:r>
    </w:p>
    <w:p w14:paraId="19EEF240">
      <w:pPr>
        <w:snapToGrid w:val="0"/>
        <w:spacing w:line="360" w:lineRule="auto"/>
        <w:ind w:firstLine="422" w:firstLineChars="200"/>
        <w:rPr>
          <w:rFonts w:ascii="宋体" w:hAnsi="宋体"/>
          <w:color w:val="auto"/>
          <w:szCs w:val="21"/>
        </w:rPr>
      </w:pPr>
      <w:r>
        <w:rPr>
          <w:rFonts w:ascii="宋体" w:hAnsi="宋体"/>
          <w:b/>
          <w:color w:val="auto"/>
          <w:szCs w:val="21"/>
        </w:rPr>
        <w:t>4</w:t>
      </w:r>
      <w:r>
        <w:rPr>
          <w:rFonts w:hint="eastAsia" w:ascii="宋体" w:hAnsi="宋体"/>
          <w:b/>
          <w:color w:val="auto"/>
          <w:szCs w:val="21"/>
        </w:rPr>
        <w:t>.3经投标人确认修正后的报价作为签订合同的依据，并以此报价计算价格分。</w:t>
      </w:r>
    </w:p>
    <w:p w14:paraId="32E7E758">
      <w:pPr>
        <w:pStyle w:val="6"/>
        <w:keepNext w:val="0"/>
        <w:keepLines w:val="0"/>
        <w:spacing w:before="0" w:after="0" w:line="360" w:lineRule="auto"/>
        <w:ind w:left="420" w:leftChars="200"/>
        <w:rPr>
          <w:rFonts w:ascii="宋体" w:hAnsi="宋体"/>
          <w:color w:val="auto"/>
          <w:sz w:val="21"/>
          <w:szCs w:val="21"/>
        </w:rPr>
      </w:pPr>
      <w:r>
        <w:rPr>
          <w:rFonts w:ascii="宋体" w:hAnsi="宋体"/>
          <w:color w:val="auto"/>
          <w:sz w:val="21"/>
          <w:szCs w:val="21"/>
        </w:rPr>
        <w:t>5.</w:t>
      </w:r>
      <w:r>
        <w:rPr>
          <w:rFonts w:hint="eastAsia" w:ascii="宋体" w:hAnsi="宋体"/>
          <w:color w:val="auto"/>
          <w:sz w:val="21"/>
          <w:szCs w:val="21"/>
        </w:rPr>
        <w:t>比较与评价</w:t>
      </w:r>
    </w:p>
    <w:p w14:paraId="421D405F">
      <w:pPr>
        <w:pStyle w:val="15"/>
        <w:snapToGrid w:val="0"/>
        <w:spacing w:line="360" w:lineRule="auto"/>
        <w:ind w:firstLine="420" w:firstLineChars="200"/>
        <w:rPr>
          <w:rFonts w:hAnsi="宋体"/>
          <w:color w:val="auto"/>
          <w:sz w:val="21"/>
        </w:rPr>
      </w:pPr>
      <w:r>
        <w:rPr>
          <w:rFonts w:hint="eastAsia" w:hAnsi="宋体"/>
          <w:color w:val="auto"/>
          <w:sz w:val="21"/>
        </w:rPr>
        <w:t>5.1采用综合评分法的</w:t>
      </w:r>
    </w:p>
    <w:p w14:paraId="5A47177A">
      <w:pPr>
        <w:pStyle w:val="15"/>
        <w:snapToGrid w:val="0"/>
        <w:spacing w:line="360" w:lineRule="auto"/>
        <w:ind w:firstLine="420" w:firstLineChars="200"/>
        <w:rPr>
          <w:rFonts w:hAnsi="宋体"/>
          <w:color w:val="auto"/>
          <w:sz w:val="21"/>
        </w:rPr>
      </w:pPr>
      <w:r>
        <w:rPr>
          <w:rFonts w:hint="eastAsia" w:hAnsi="宋体"/>
          <w:color w:val="auto"/>
          <w:sz w:val="21"/>
        </w:rPr>
        <w:t>（1）评标委员会按照招标文件中规定的评标方法及评标标准，对符合性审查合格的投标文件进行商务和技术评估，综合比较与评价。</w:t>
      </w:r>
    </w:p>
    <w:p w14:paraId="32AEA16C">
      <w:pPr>
        <w:pStyle w:val="15"/>
        <w:snapToGrid w:val="0"/>
        <w:spacing w:line="360" w:lineRule="auto"/>
        <w:ind w:firstLine="420" w:firstLineChars="200"/>
        <w:rPr>
          <w:rFonts w:hAnsi="宋体"/>
          <w:color w:val="auto"/>
          <w:sz w:val="21"/>
        </w:rPr>
      </w:pPr>
      <w:r>
        <w:rPr>
          <w:rFonts w:hint="eastAsia" w:hAnsi="宋体"/>
          <w:color w:val="auto"/>
          <w:sz w:val="21"/>
        </w:rPr>
        <w:t>（2）评标委员会独立对每个投标人的投标文件进行评价，并汇总每个投标人的得分。</w:t>
      </w:r>
    </w:p>
    <w:p w14:paraId="74DF898F">
      <w:pPr>
        <w:pStyle w:val="15"/>
        <w:snapToGrid w:val="0"/>
        <w:spacing w:line="360" w:lineRule="auto"/>
        <w:ind w:firstLine="420" w:firstLineChars="200"/>
        <w:rPr>
          <w:rFonts w:hAnsi="宋体"/>
          <w:b/>
          <w:bCs/>
          <w:color w:val="auto"/>
          <w:sz w:val="21"/>
        </w:rPr>
      </w:pPr>
      <w:r>
        <w:rPr>
          <w:rFonts w:hint="eastAsia" w:hAnsi="宋体"/>
          <w:color w:val="auto"/>
          <w:sz w:val="21"/>
        </w:rPr>
        <w:t>评标委员会认为投标人的报价明显低于其他通过符合性审查投标人的报价，有可能影响产品质量或者不能诚信履约的，应当要求其在评标现场合理的时间内提供书面说明，必要时提交相关证明材料；</w:t>
      </w:r>
      <w:r>
        <w:rPr>
          <w:rFonts w:hint="eastAsia" w:hAnsi="宋体"/>
          <w:b/>
          <w:bCs/>
          <w:color w:val="auto"/>
          <w:sz w:val="21"/>
        </w:rPr>
        <w:t>投标人不能证明其报价合理性的，评标委员会将其作为无效投标处理。</w:t>
      </w:r>
    </w:p>
    <w:p w14:paraId="28908864">
      <w:pPr>
        <w:pStyle w:val="15"/>
        <w:snapToGrid w:val="0"/>
        <w:spacing w:line="360" w:lineRule="auto"/>
        <w:ind w:firstLine="420" w:firstLineChars="200"/>
        <w:rPr>
          <w:rFonts w:hAnsi="宋体"/>
          <w:color w:val="auto"/>
          <w:sz w:val="21"/>
        </w:rPr>
      </w:pPr>
      <w:r>
        <w:rPr>
          <w:rFonts w:hint="eastAsia" w:hAnsi="宋体"/>
          <w:color w:val="auto"/>
          <w:sz w:val="21"/>
        </w:rPr>
        <w:t>（3）评标委员会按照招标文件中规定的评标方法和标准计算各投标人的报价得分。在计算过程中，不得去掉最高报价或者最低报价。</w:t>
      </w:r>
    </w:p>
    <w:p w14:paraId="1B221925">
      <w:pPr>
        <w:pStyle w:val="15"/>
        <w:snapToGrid w:val="0"/>
        <w:spacing w:line="360" w:lineRule="auto"/>
        <w:ind w:firstLine="420" w:firstLineChars="200"/>
        <w:rPr>
          <w:rFonts w:hAnsi="宋体"/>
          <w:color w:val="auto"/>
          <w:sz w:val="21"/>
        </w:rPr>
      </w:pPr>
      <w:r>
        <w:rPr>
          <w:rFonts w:hint="eastAsia" w:hAnsi="宋体"/>
          <w:color w:val="auto"/>
          <w:sz w:val="21"/>
        </w:rPr>
        <w:t>（4）各投标人的得分为所有评委的有效评分的算术平均数。</w:t>
      </w:r>
    </w:p>
    <w:p w14:paraId="241D187C">
      <w:pPr>
        <w:pStyle w:val="15"/>
        <w:snapToGrid w:val="0"/>
        <w:spacing w:line="360" w:lineRule="auto"/>
        <w:ind w:firstLine="420" w:firstLineChars="200"/>
        <w:rPr>
          <w:rFonts w:hAnsi="宋体"/>
          <w:color w:val="auto"/>
          <w:sz w:val="21"/>
        </w:rPr>
      </w:pPr>
      <w:r>
        <w:rPr>
          <w:rFonts w:hint="eastAsia" w:hAnsi="宋体"/>
          <w:color w:val="auto"/>
          <w:sz w:val="21"/>
        </w:rPr>
        <w:t>（5）评标委员会按照招标文件中的规定推荐中标候选人。</w:t>
      </w:r>
    </w:p>
    <w:p w14:paraId="7EA7389E">
      <w:pPr>
        <w:pStyle w:val="15"/>
        <w:snapToGrid w:val="0"/>
        <w:spacing w:line="360" w:lineRule="auto"/>
        <w:ind w:firstLine="420" w:firstLineChars="200"/>
        <w:rPr>
          <w:rFonts w:hAnsi="宋体"/>
          <w:color w:val="auto"/>
          <w:sz w:val="21"/>
        </w:rPr>
      </w:pPr>
      <w:r>
        <w:rPr>
          <w:rFonts w:hint="eastAsia" w:hAnsi="宋体"/>
          <w:color w:val="auto"/>
          <w:sz w:val="21"/>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6585DEB5">
      <w:pPr>
        <w:spacing w:line="360" w:lineRule="auto"/>
        <w:ind w:firstLine="422" w:firstLineChars="200"/>
        <w:rPr>
          <w:rFonts w:ascii="宋体" w:hAnsi="宋体"/>
          <w:b/>
          <w:color w:val="auto"/>
          <w:szCs w:val="21"/>
        </w:rPr>
      </w:pPr>
      <w:r>
        <w:rPr>
          <w:rFonts w:hint="eastAsia" w:ascii="宋体" w:hAnsi="宋体"/>
          <w:b/>
          <w:color w:val="auto"/>
          <w:szCs w:val="21"/>
        </w:rPr>
        <w:t>6.评审复核</w:t>
      </w:r>
    </w:p>
    <w:p w14:paraId="6F081D22">
      <w:pPr>
        <w:pStyle w:val="15"/>
        <w:snapToGrid w:val="0"/>
        <w:spacing w:line="360" w:lineRule="auto"/>
        <w:ind w:firstLine="420" w:firstLineChars="200"/>
        <w:rPr>
          <w:rFonts w:hAnsi="宋体"/>
          <w:color w:val="auto"/>
          <w:sz w:val="21"/>
        </w:rPr>
      </w:pPr>
      <w:r>
        <w:rPr>
          <w:rFonts w:hint="eastAsia" w:hAnsi="宋体"/>
          <w:color w:val="auto"/>
          <w:sz w:val="21"/>
        </w:rPr>
        <w:t>6.1评标报告签署前，评标委员会要对评审结果进行复核，复核意见要体现在评标报告中。</w:t>
      </w:r>
    </w:p>
    <w:p w14:paraId="58DC11CB">
      <w:pPr>
        <w:pStyle w:val="15"/>
        <w:snapToGrid w:val="0"/>
        <w:spacing w:line="360" w:lineRule="auto"/>
        <w:ind w:firstLine="420" w:firstLineChars="200"/>
        <w:rPr>
          <w:rFonts w:hAnsi="宋体"/>
          <w:color w:val="auto"/>
          <w:sz w:val="21"/>
        </w:rPr>
      </w:pPr>
      <w:r>
        <w:rPr>
          <w:rFonts w:hint="eastAsia" w:hAnsi="宋体"/>
          <w:color w:val="auto"/>
          <w:sz w:val="21"/>
        </w:rPr>
        <w:t>6.2评标结果汇总完成后，除下列情形外，任何人不得修改评标结果：</w:t>
      </w:r>
    </w:p>
    <w:p w14:paraId="723E8335">
      <w:pPr>
        <w:pStyle w:val="15"/>
        <w:snapToGrid w:val="0"/>
        <w:spacing w:line="360" w:lineRule="auto"/>
        <w:ind w:firstLine="420" w:firstLineChars="200"/>
        <w:rPr>
          <w:rFonts w:hAnsi="宋体"/>
          <w:color w:val="auto"/>
          <w:sz w:val="21"/>
        </w:rPr>
      </w:pPr>
      <w:r>
        <w:rPr>
          <w:rFonts w:hint="eastAsia" w:hAnsi="宋体"/>
          <w:color w:val="auto"/>
          <w:sz w:val="21"/>
        </w:rPr>
        <w:t>（一）分值汇总计算错误的；</w:t>
      </w:r>
    </w:p>
    <w:p w14:paraId="63D4938A">
      <w:pPr>
        <w:pStyle w:val="15"/>
        <w:snapToGrid w:val="0"/>
        <w:spacing w:line="360" w:lineRule="auto"/>
        <w:ind w:firstLine="420" w:firstLineChars="200"/>
        <w:rPr>
          <w:rFonts w:hAnsi="宋体"/>
          <w:color w:val="auto"/>
          <w:sz w:val="21"/>
        </w:rPr>
      </w:pPr>
      <w:r>
        <w:rPr>
          <w:rFonts w:hint="eastAsia" w:hAnsi="宋体"/>
          <w:color w:val="auto"/>
          <w:sz w:val="21"/>
        </w:rPr>
        <w:t>（二）分项评分超出评分标准范围的；</w:t>
      </w:r>
    </w:p>
    <w:p w14:paraId="4532D7B0">
      <w:pPr>
        <w:pStyle w:val="15"/>
        <w:snapToGrid w:val="0"/>
        <w:spacing w:line="360" w:lineRule="auto"/>
        <w:ind w:firstLine="420" w:firstLineChars="200"/>
        <w:rPr>
          <w:rFonts w:hAnsi="宋体"/>
          <w:color w:val="auto"/>
          <w:sz w:val="21"/>
        </w:rPr>
      </w:pPr>
      <w:r>
        <w:rPr>
          <w:rFonts w:hint="eastAsia" w:hAnsi="宋体"/>
          <w:color w:val="auto"/>
          <w:sz w:val="21"/>
        </w:rPr>
        <w:t>（三）评标委员会成员对客观评审因素评分不一致的；</w:t>
      </w:r>
    </w:p>
    <w:p w14:paraId="2B47BF05">
      <w:pPr>
        <w:pStyle w:val="15"/>
        <w:snapToGrid w:val="0"/>
        <w:spacing w:line="360" w:lineRule="auto"/>
        <w:ind w:firstLine="420" w:firstLineChars="200"/>
        <w:rPr>
          <w:rFonts w:hAnsi="宋体"/>
          <w:color w:val="auto"/>
          <w:sz w:val="21"/>
        </w:rPr>
      </w:pPr>
      <w:r>
        <w:rPr>
          <w:rFonts w:hint="eastAsia" w:hAnsi="宋体"/>
          <w:color w:val="auto"/>
          <w:sz w:val="21"/>
        </w:rPr>
        <w:t>（四）经评标委员会认定评分畸高、畸低的。</w:t>
      </w:r>
    </w:p>
    <w:p w14:paraId="0A61F7CE">
      <w:pPr>
        <w:pStyle w:val="15"/>
        <w:snapToGrid w:val="0"/>
        <w:spacing w:line="360" w:lineRule="auto"/>
        <w:ind w:firstLine="420" w:firstLineChars="200"/>
        <w:rPr>
          <w:rFonts w:hAnsi="宋体"/>
          <w:color w:val="auto"/>
        </w:rPr>
      </w:pPr>
      <w:r>
        <w:rPr>
          <w:rFonts w:hint="eastAsia" w:hAnsi="宋体"/>
          <w:color w:val="auto"/>
          <w:sz w:val="21"/>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r>
        <w:rPr>
          <w:rFonts w:hint="eastAsia" w:hAnsi="宋体"/>
          <w:color w:val="auto"/>
        </w:rPr>
        <w:t>。</w:t>
      </w:r>
    </w:p>
    <w:p w14:paraId="4D9D6457">
      <w:pPr>
        <w:pStyle w:val="4"/>
        <w:keepNext w:val="0"/>
        <w:keepLines w:val="0"/>
        <w:jc w:val="center"/>
        <w:rPr>
          <w:color w:val="auto"/>
        </w:rPr>
      </w:pPr>
      <w:r>
        <w:rPr>
          <w:rFonts w:hAnsi="宋体"/>
          <w:color w:val="auto"/>
        </w:rPr>
        <w:br w:type="page"/>
      </w:r>
      <w:r>
        <w:rPr>
          <w:rFonts w:hint="eastAsia"/>
          <w:color w:val="auto"/>
        </w:rPr>
        <w:t>第三节评标标准</w:t>
      </w:r>
    </w:p>
    <w:p w14:paraId="2B29B241">
      <w:pPr>
        <w:pStyle w:val="4"/>
        <w:jc w:val="center"/>
        <w:rPr>
          <w:rFonts w:hint="eastAsia"/>
          <w:color w:val="auto"/>
          <w:sz w:val="30"/>
          <w:szCs w:val="30"/>
        </w:rPr>
      </w:pPr>
      <w:bookmarkStart w:id="150" w:name="_Toc2880"/>
      <w:r>
        <w:rPr>
          <w:rFonts w:hint="eastAsia"/>
          <w:color w:val="auto"/>
          <w:sz w:val="30"/>
          <w:szCs w:val="30"/>
        </w:rPr>
        <w:t>综合评分法</w:t>
      </w:r>
    </w:p>
    <w:p w14:paraId="25AAA586">
      <w:pPr>
        <w:adjustRightInd w:val="0"/>
        <w:ind w:firstLine="241" w:firstLineChars="100"/>
        <w:jc w:val="center"/>
        <w:textAlignment w:val="baseline"/>
        <w:rPr>
          <w:rFonts w:hint="eastAsia" w:eastAsia="宋体"/>
          <w:lang w:eastAsia="zh-CN"/>
        </w:rPr>
      </w:pPr>
      <w:r>
        <w:rPr>
          <w:rFonts w:hint="eastAsia" w:ascii="宋体" w:hAnsi="宋体" w:cs="宋体"/>
          <w:b/>
          <w:bCs/>
          <w:color w:val="auto"/>
          <w:sz w:val="24"/>
          <w:szCs w:val="24"/>
          <w:highlight w:val="none"/>
          <w:lang w:val="en-US" w:eastAsia="zh-CN"/>
        </w:rPr>
        <w:t>适用分标一、分标二</w:t>
      </w:r>
    </w:p>
    <w:tbl>
      <w:tblPr>
        <w:tblStyle w:val="25"/>
        <w:tblW w:w="967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637"/>
        <w:gridCol w:w="1456"/>
        <w:gridCol w:w="7577"/>
      </w:tblGrid>
      <w:tr w14:paraId="665D12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jc w:val="center"/>
        </w:trPr>
        <w:tc>
          <w:tcPr>
            <w:tcW w:w="637" w:type="dxa"/>
            <w:tcBorders>
              <w:top w:val="single" w:color="000000" w:sz="4" w:space="0"/>
              <w:left w:val="single" w:color="000000" w:sz="4" w:space="0"/>
              <w:bottom w:val="single" w:color="000000" w:sz="4" w:space="0"/>
              <w:right w:val="single" w:color="000000" w:sz="4" w:space="0"/>
              <w:tl2br w:val="nil"/>
            </w:tcBorders>
            <w:shd w:val="clear" w:color="auto" w:fill="FFFFFF"/>
            <w:noWrap w:val="0"/>
            <w:vAlign w:val="center"/>
          </w:tcPr>
          <w:p w14:paraId="71609B74">
            <w:pPr>
              <w:pStyle w:val="34"/>
              <w:keepNext w:val="0"/>
              <w:keepLines w:val="0"/>
              <w:pageBreakBefore w:val="0"/>
              <w:kinsoku/>
              <w:wordWrap w:val="0"/>
              <w:overflowPunct/>
              <w:topLinePunct w:val="0"/>
              <w:bidi w:val="0"/>
              <w:adjustRightInd/>
              <w:snapToGrid/>
              <w:spacing w:line="400" w:lineRule="exact"/>
              <w:ind w:left="0" w:leftChars="0" w:right="0" w:rightChars="0"/>
              <w:jc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spacing w:val="6"/>
                <w:sz w:val="21"/>
                <w:szCs w:val="21"/>
                <w:highlight w:val="none"/>
              </w:rPr>
              <w:t>序号</w:t>
            </w:r>
          </w:p>
        </w:tc>
        <w:tc>
          <w:tcPr>
            <w:tcW w:w="145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344B82">
            <w:pPr>
              <w:pStyle w:val="34"/>
              <w:keepNext w:val="0"/>
              <w:keepLines w:val="0"/>
              <w:pageBreakBefore w:val="0"/>
              <w:kinsoku/>
              <w:wordWrap w:val="0"/>
              <w:overflowPunct/>
              <w:topLinePunct w:val="0"/>
              <w:bidi w:val="0"/>
              <w:adjustRightInd/>
              <w:snapToGrid/>
              <w:spacing w:line="400" w:lineRule="exact"/>
              <w:ind w:left="0" w:leftChars="0" w:right="0" w:rightChars="0"/>
              <w:jc w:val="center"/>
              <w:rPr>
                <w:rFonts w:hint="eastAsia" w:ascii="宋体" w:hAnsi="宋体" w:eastAsia="宋体" w:cs="宋体"/>
                <w:b/>
                <w:bCs/>
                <w:color w:val="000000"/>
                <w:spacing w:val="8"/>
                <w:sz w:val="21"/>
                <w:szCs w:val="21"/>
                <w:highlight w:val="none"/>
                <w:lang w:eastAsia="zh-CN"/>
              </w:rPr>
            </w:pPr>
            <w:r>
              <w:rPr>
                <w:rFonts w:hint="eastAsia" w:ascii="宋体" w:hAnsi="宋体" w:eastAsia="宋体" w:cs="宋体"/>
                <w:b/>
                <w:bCs/>
                <w:color w:val="000000"/>
                <w:spacing w:val="8"/>
                <w:sz w:val="21"/>
                <w:szCs w:val="21"/>
                <w:highlight w:val="none"/>
              </w:rPr>
              <w:t>评审</w:t>
            </w:r>
            <w:r>
              <w:rPr>
                <w:rFonts w:hint="eastAsia" w:ascii="宋体" w:hAnsi="宋体" w:eastAsia="宋体" w:cs="宋体"/>
                <w:b/>
                <w:bCs/>
                <w:color w:val="000000"/>
                <w:spacing w:val="8"/>
                <w:sz w:val="21"/>
                <w:szCs w:val="21"/>
                <w:highlight w:val="none"/>
                <w:lang w:eastAsia="zh-CN"/>
              </w:rPr>
              <w:t>内容</w:t>
            </w:r>
          </w:p>
        </w:tc>
        <w:tc>
          <w:tcPr>
            <w:tcW w:w="757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187320">
            <w:pPr>
              <w:keepNext w:val="0"/>
              <w:keepLines w:val="0"/>
              <w:pageBreakBefore w:val="0"/>
              <w:kinsoku/>
              <w:wordWrap w:val="0"/>
              <w:overflowPunct/>
              <w:topLinePunct w:val="0"/>
              <w:bidi w:val="0"/>
              <w:adjustRightInd/>
              <w:snapToGrid/>
              <w:spacing w:line="400" w:lineRule="exact"/>
              <w:ind w:left="0" w:leftChars="0" w:right="0" w:rightChars="0" w:firstLine="0" w:firstLineChars="0"/>
              <w:jc w:val="center"/>
              <w:rPr>
                <w:rFonts w:hint="eastAsia" w:ascii="宋体" w:hAnsi="宋体" w:eastAsia="宋体" w:cs="宋体"/>
                <w:b/>
                <w:bCs/>
                <w:color w:val="000000"/>
                <w:sz w:val="21"/>
                <w:szCs w:val="21"/>
                <w:highlight w:val="none"/>
                <w:lang w:eastAsia="zh-CN"/>
              </w:rPr>
            </w:pPr>
            <w:r>
              <w:rPr>
                <w:rFonts w:hint="eastAsia" w:ascii="宋体" w:hAnsi="宋体" w:eastAsia="宋体" w:cs="宋体"/>
                <w:b/>
                <w:bCs/>
                <w:color w:val="000000"/>
                <w:sz w:val="21"/>
                <w:szCs w:val="21"/>
                <w:highlight w:val="none"/>
                <w:lang w:eastAsia="zh-CN"/>
              </w:rPr>
              <w:t>评标标准</w:t>
            </w:r>
          </w:p>
        </w:tc>
      </w:tr>
      <w:tr w14:paraId="2CEE3C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63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083A5C">
            <w:pPr>
              <w:pStyle w:val="34"/>
              <w:keepNext w:val="0"/>
              <w:keepLines w:val="0"/>
              <w:pageBreakBefore w:val="0"/>
              <w:kinsoku/>
              <w:wordWrap w:val="0"/>
              <w:overflowPunct/>
              <w:topLinePunct w:val="0"/>
              <w:bidi w:val="0"/>
              <w:adjustRightInd/>
              <w:snapToGrid/>
              <w:spacing w:line="400" w:lineRule="exact"/>
              <w:ind w:left="0" w:leftChars="0" w:right="0" w:rightChars="0"/>
              <w:jc w:val="center"/>
              <w:rPr>
                <w:rFonts w:hint="eastAsia" w:ascii="宋体" w:hAnsi="宋体" w:eastAsia="宋体" w:cs="宋体"/>
                <w:b w:val="0"/>
                <w:bCs/>
                <w:color w:val="000000"/>
                <w:spacing w:val="6"/>
                <w:sz w:val="21"/>
                <w:szCs w:val="21"/>
                <w:highlight w:val="none"/>
              </w:rPr>
            </w:pPr>
            <w:r>
              <w:rPr>
                <w:rFonts w:hint="eastAsia" w:ascii="宋体" w:hAnsi="宋体" w:eastAsia="宋体" w:cs="宋体"/>
                <w:b w:val="0"/>
                <w:bCs/>
                <w:color w:val="000000"/>
                <w:sz w:val="21"/>
                <w:szCs w:val="21"/>
                <w:highlight w:val="none"/>
              </w:rPr>
              <w:t>1</w:t>
            </w:r>
          </w:p>
        </w:tc>
        <w:tc>
          <w:tcPr>
            <w:tcW w:w="145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EA9936">
            <w:pPr>
              <w:pStyle w:val="34"/>
              <w:keepNext w:val="0"/>
              <w:keepLines w:val="0"/>
              <w:pageBreakBefore w:val="0"/>
              <w:widowControl w:val="0"/>
              <w:kinsoku/>
              <w:wordWrap w:val="0"/>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bCs w:val="0"/>
                <w:color w:val="000000"/>
                <w:spacing w:val="-3"/>
                <w:sz w:val="21"/>
                <w:szCs w:val="21"/>
                <w:highlight w:val="none"/>
                <w:lang w:eastAsia="zh-CN"/>
              </w:rPr>
            </w:pPr>
            <w:r>
              <w:rPr>
                <w:rFonts w:hint="eastAsia" w:ascii="宋体" w:hAnsi="宋体" w:eastAsia="宋体" w:cs="宋体"/>
                <w:b/>
                <w:bCs w:val="0"/>
                <w:color w:val="000000"/>
                <w:spacing w:val="-3"/>
                <w:sz w:val="21"/>
                <w:szCs w:val="21"/>
                <w:highlight w:val="none"/>
                <w:lang w:eastAsia="zh-CN"/>
              </w:rPr>
              <w:t>投标报价</w:t>
            </w:r>
          </w:p>
          <w:p w14:paraId="124C7D4C">
            <w:pPr>
              <w:pStyle w:val="34"/>
              <w:keepNext w:val="0"/>
              <w:keepLines w:val="0"/>
              <w:pageBreakBefore w:val="0"/>
              <w:widowControl w:val="0"/>
              <w:kinsoku/>
              <w:wordWrap w:val="0"/>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val="0"/>
                <w:bCs/>
                <w:color w:val="000000"/>
                <w:spacing w:val="8"/>
                <w:sz w:val="21"/>
                <w:szCs w:val="21"/>
                <w:highlight w:val="none"/>
              </w:rPr>
            </w:pPr>
            <w:r>
              <w:rPr>
                <w:rFonts w:hint="eastAsia" w:ascii="宋体" w:hAnsi="宋体" w:eastAsia="宋体" w:cs="宋体"/>
                <w:b/>
                <w:bCs w:val="0"/>
                <w:color w:val="000000"/>
                <w:spacing w:val="-3"/>
                <w:sz w:val="21"/>
                <w:szCs w:val="21"/>
                <w:highlight w:val="none"/>
                <w:lang w:eastAsia="zh-CN"/>
              </w:rPr>
              <w:t>（</w:t>
            </w:r>
            <w:r>
              <w:rPr>
                <w:rFonts w:hint="eastAsia" w:ascii="宋体" w:hAnsi="宋体" w:eastAsia="宋体" w:cs="宋体"/>
                <w:b/>
                <w:bCs w:val="0"/>
                <w:color w:val="000000"/>
                <w:spacing w:val="-3"/>
                <w:sz w:val="21"/>
                <w:szCs w:val="21"/>
                <w:highlight w:val="none"/>
                <w:lang w:val="en-US" w:eastAsia="zh-CN"/>
              </w:rPr>
              <w:t>满分30分）</w:t>
            </w:r>
          </w:p>
        </w:tc>
        <w:tc>
          <w:tcPr>
            <w:tcW w:w="757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40FCE8">
            <w:pPr>
              <w:pStyle w:val="15"/>
              <w:keepNext w:val="0"/>
              <w:keepLines w:val="0"/>
              <w:pageBreakBefore w:val="0"/>
              <w:widowControl w:val="0"/>
              <w:kinsoku/>
              <w:wordWrap w:val="0"/>
              <w:overflowPunct/>
              <w:topLinePunct w:val="0"/>
              <w:autoSpaceDE w:val="0"/>
              <w:autoSpaceDN w:val="0"/>
              <w:bidi w:val="0"/>
              <w:adjustRightInd/>
              <w:snapToGrid/>
              <w:spacing w:before="0" w:beforeLines="0" w:after="0" w:afterLines="0" w:line="400" w:lineRule="exact"/>
              <w:ind w:left="105" w:leftChars="50" w:right="21" w:rightChars="10" w:firstLine="231" w:firstLineChars="110"/>
              <w:textAlignment w:val="baseline"/>
              <w:rPr>
                <w:rFonts w:hint="eastAsia" w:ascii="宋体" w:hAnsi="宋体" w:eastAsia="宋体" w:cs="宋体"/>
                <w:b w:val="0"/>
                <w:color w:val="000000"/>
                <w:sz w:val="21"/>
                <w:szCs w:val="21"/>
                <w:highlight w:val="none"/>
                <w:lang w:val="en-US"/>
              </w:rPr>
            </w:pPr>
            <w:r>
              <w:rPr>
                <w:rFonts w:hint="eastAsia" w:ascii="宋体" w:hAnsi="宋体" w:eastAsia="宋体" w:cs="宋体"/>
                <w:b w:val="0"/>
                <w:color w:val="000000"/>
                <w:sz w:val="21"/>
                <w:szCs w:val="21"/>
                <w:highlight w:val="none"/>
                <w:lang w:val="en-US"/>
              </w:rPr>
              <w:t>（1）评标报价为投标人的投标报价进行政策性扣除后的价格，评标报价只是作为评标时使用。最终中标人的中标金额等于投标报价。</w:t>
            </w:r>
          </w:p>
          <w:p w14:paraId="28C03D4F">
            <w:pPr>
              <w:pStyle w:val="15"/>
              <w:keepNext w:val="0"/>
              <w:keepLines w:val="0"/>
              <w:pageBreakBefore w:val="0"/>
              <w:widowControl w:val="0"/>
              <w:kinsoku/>
              <w:wordWrap w:val="0"/>
              <w:overflowPunct/>
              <w:topLinePunct w:val="0"/>
              <w:autoSpaceDE w:val="0"/>
              <w:autoSpaceDN w:val="0"/>
              <w:bidi w:val="0"/>
              <w:adjustRightInd/>
              <w:snapToGrid/>
              <w:spacing w:before="0" w:beforeLines="0" w:after="0" w:afterLines="0" w:line="400" w:lineRule="exact"/>
              <w:ind w:left="105" w:leftChars="50" w:right="21" w:rightChars="10" w:firstLine="231" w:firstLineChars="110"/>
              <w:textAlignment w:val="baseline"/>
              <w:rPr>
                <w:rFonts w:hint="eastAsia" w:ascii="宋体" w:hAnsi="宋体" w:eastAsia="宋体" w:cs="宋体"/>
                <w:b w:val="0"/>
                <w:bCs/>
                <w:color w:val="000000"/>
                <w:sz w:val="21"/>
                <w:szCs w:val="21"/>
                <w:highlight w:val="none"/>
                <w:lang w:val="en-US" w:eastAsia="zh-CN"/>
              </w:rPr>
            </w:pPr>
            <w:r>
              <w:rPr>
                <w:rFonts w:hint="eastAsia" w:ascii="宋体" w:hAnsi="宋体" w:eastAsia="宋体" w:cs="宋体"/>
                <w:b w:val="0"/>
                <w:bCs/>
                <w:color w:val="000000"/>
                <w:sz w:val="21"/>
                <w:szCs w:val="21"/>
                <w:highlight w:val="none"/>
                <w:lang w:val="en-US"/>
              </w:rPr>
              <w:t>（2）政策性扣除计算方法</w:t>
            </w:r>
          </w:p>
          <w:p w14:paraId="445306B6">
            <w:pPr>
              <w:pStyle w:val="15"/>
              <w:keepNext w:val="0"/>
              <w:keepLines w:val="0"/>
              <w:pageBreakBefore w:val="0"/>
              <w:widowControl w:val="0"/>
              <w:kinsoku/>
              <w:wordWrap w:val="0"/>
              <w:overflowPunct/>
              <w:topLinePunct w:val="0"/>
              <w:autoSpaceDE w:val="0"/>
              <w:autoSpaceDN w:val="0"/>
              <w:bidi w:val="0"/>
              <w:adjustRightInd/>
              <w:snapToGrid/>
              <w:spacing w:before="0" w:beforeLines="0" w:after="0" w:afterLines="0" w:line="400" w:lineRule="exact"/>
              <w:ind w:left="105" w:leftChars="50" w:right="21" w:rightChars="10" w:firstLine="21" w:firstLineChars="10"/>
              <w:textAlignment w:val="baseline"/>
              <w:rPr>
                <w:rFonts w:hint="eastAsia" w:ascii="宋体" w:hAnsi="宋体" w:eastAsia="宋体" w:cs="宋体"/>
                <w:b w:val="0"/>
                <w:color w:val="000000"/>
                <w:sz w:val="21"/>
                <w:szCs w:val="21"/>
                <w:highlight w:val="none"/>
                <w:lang w:val="en-US"/>
              </w:rPr>
            </w:pPr>
            <w:r>
              <w:rPr>
                <w:rFonts w:hint="eastAsia" w:ascii="宋体" w:hAnsi="宋体" w:eastAsia="宋体" w:cs="宋体"/>
                <w:b w:val="0"/>
                <w:color w:val="000000"/>
                <w:sz w:val="21"/>
                <w:szCs w:val="21"/>
                <w:highlight w:val="none"/>
                <w:lang w:val="en-US"/>
              </w:rPr>
              <w:t>根据《政府采购促进中小企业发展管理办法》（财库〔2020〕46号）及《广西壮族自治区财政厅关于持续优化政府采购营商环境推动高质量发展的通知》（桂财采〔2024〕55号）的规定，投标人在其投标文件中提供《中小企业声明函》，且其投标全部货物由小微企业制造的，对其投标报价给予10%的扣除，扣除后的价格为评标报价，即评标报价=投标报价×（1-10%）。除上述情况外，评标报价=投标报价。</w:t>
            </w:r>
          </w:p>
          <w:p w14:paraId="76369056">
            <w:pPr>
              <w:pStyle w:val="15"/>
              <w:keepNext w:val="0"/>
              <w:keepLines w:val="0"/>
              <w:pageBreakBefore w:val="0"/>
              <w:widowControl w:val="0"/>
              <w:kinsoku/>
              <w:wordWrap w:val="0"/>
              <w:overflowPunct/>
              <w:topLinePunct w:val="0"/>
              <w:autoSpaceDE w:val="0"/>
              <w:autoSpaceDN w:val="0"/>
              <w:bidi w:val="0"/>
              <w:adjustRightInd/>
              <w:snapToGrid/>
              <w:spacing w:before="0" w:beforeLines="0" w:after="0" w:afterLines="0" w:line="400" w:lineRule="exact"/>
              <w:ind w:left="105" w:leftChars="50" w:right="21" w:rightChars="10" w:firstLine="231" w:firstLineChars="110"/>
              <w:textAlignment w:val="baseline"/>
              <w:rPr>
                <w:rFonts w:hint="eastAsia" w:ascii="宋体" w:hAnsi="宋体" w:eastAsia="宋体" w:cs="宋体"/>
                <w:b w:val="0"/>
                <w:color w:val="000000"/>
                <w:sz w:val="21"/>
                <w:szCs w:val="21"/>
                <w:highlight w:val="none"/>
                <w:lang w:val="en-US"/>
              </w:rPr>
            </w:pPr>
            <w:r>
              <w:rPr>
                <w:rFonts w:hint="eastAsia" w:ascii="宋体" w:hAnsi="宋体" w:eastAsia="宋体" w:cs="宋体"/>
                <w:b w:val="0"/>
                <w:color w:val="000000"/>
                <w:sz w:val="21"/>
                <w:szCs w:val="21"/>
                <w:highlight w:val="none"/>
                <w:lang w:val="en-US"/>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14:paraId="2CA9472C">
            <w:pPr>
              <w:pStyle w:val="15"/>
              <w:keepNext w:val="0"/>
              <w:keepLines w:val="0"/>
              <w:pageBreakBefore w:val="0"/>
              <w:widowControl w:val="0"/>
              <w:kinsoku/>
              <w:wordWrap w:val="0"/>
              <w:overflowPunct/>
              <w:topLinePunct w:val="0"/>
              <w:autoSpaceDE w:val="0"/>
              <w:autoSpaceDN w:val="0"/>
              <w:bidi w:val="0"/>
              <w:adjustRightInd/>
              <w:snapToGrid/>
              <w:spacing w:before="0" w:beforeLines="0" w:after="0" w:afterLines="0" w:line="400" w:lineRule="exact"/>
              <w:ind w:left="105" w:leftChars="50" w:right="21" w:rightChars="10" w:firstLine="231" w:firstLineChars="110"/>
              <w:textAlignment w:val="baseline"/>
              <w:rPr>
                <w:rFonts w:hint="eastAsia" w:ascii="宋体" w:hAnsi="宋体" w:eastAsia="宋体" w:cs="宋体"/>
                <w:b w:val="0"/>
                <w:color w:val="000000"/>
                <w:sz w:val="21"/>
                <w:szCs w:val="21"/>
                <w:highlight w:val="none"/>
                <w:lang w:val="en-US"/>
              </w:rPr>
            </w:pPr>
            <w:r>
              <w:rPr>
                <w:rFonts w:hint="eastAsia" w:ascii="宋体" w:hAnsi="宋体" w:eastAsia="宋体" w:cs="宋体"/>
                <w:b w:val="0"/>
                <w:color w:val="000000"/>
                <w:sz w:val="21"/>
                <w:szCs w:val="21"/>
                <w:highlight w:val="none"/>
                <w:lang w:val="en-US"/>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6E929F37">
            <w:pPr>
              <w:pStyle w:val="15"/>
              <w:keepNext w:val="0"/>
              <w:keepLines w:val="0"/>
              <w:pageBreakBefore w:val="0"/>
              <w:widowControl w:val="0"/>
              <w:kinsoku/>
              <w:wordWrap w:val="0"/>
              <w:overflowPunct/>
              <w:topLinePunct w:val="0"/>
              <w:autoSpaceDE w:val="0"/>
              <w:autoSpaceDN w:val="0"/>
              <w:bidi w:val="0"/>
              <w:adjustRightInd/>
              <w:snapToGrid/>
              <w:spacing w:before="0" w:beforeLines="0" w:after="0" w:afterLines="0" w:line="400" w:lineRule="exact"/>
              <w:ind w:left="105" w:leftChars="50" w:right="21" w:rightChars="10" w:firstLine="231" w:firstLineChars="110"/>
              <w:textAlignment w:val="baseline"/>
              <w:rPr>
                <w:rFonts w:hint="eastAsia" w:ascii="宋体" w:hAnsi="宋体" w:eastAsia="宋体" w:cs="宋体"/>
                <w:b w:val="0"/>
                <w:bCs/>
                <w:color w:val="000000"/>
                <w:sz w:val="21"/>
                <w:szCs w:val="21"/>
                <w:highlight w:val="none"/>
                <w:lang w:val="en-US" w:eastAsia="zh-CN"/>
              </w:rPr>
            </w:pPr>
            <w:r>
              <w:rPr>
                <w:rFonts w:hint="eastAsia" w:ascii="宋体" w:hAnsi="宋体" w:eastAsia="宋体" w:cs="宋体"/>
                <w:b w:val="0"/>
                <w:bCs/>
                <w:color w:val="000000"/>
                <w:sz w:val="21"/>
                <w:szCs w:val="21"/>
                <w:highlight w:val="none"/>
                <w:lang w:val="en-US"/>
              </w:rPr>
              <w:t>（5）本国产品政策性扣除计算方法</w:t>
            </w:r>
          </w:p>
          <w:p w14:paraId="7AE1A6C8">
            <w:pPr>
              <w:pStyle w:val="15"/>
              <w:keepNext w:val="0"/>
              <w:keepLines w:val="0"/>
              <w:pageBreakBefore w:val="0"/>
              <w:widowControl w:val="0"/>
              <w:kinsoku/>
              <w:wordWrap w:val="0"/>
              <w:overflowPunct/>
              <w:topLinePunct w:val="0"/>
              <w:autoSpaceDE w:val="0"/>
              <w:autoSpaceDN w:val="0"/>
              <w:bidi w:val="0"/>
              <w:adjustRightInd/>
              <w:snapToGrid/>
              <w:spacing w:before="0" w:beforeLines="0" w:after="0" w:afterLines="0" w:line="400" w:lineRule="exact"/>
              <w:ind w:left="105" w:leftChars="50" w:right="21" w:rightChars="10" w:firstLine="21" w:firstLineChars="10"/>
              <w:textAlignment w:val="baseline"/>
              <w:rPr>
                <w:rFonts w:hint="eastAsia" w:ascii="宋体" w:hAnsi="宋体" w:eastAsia="宋体" w:cs="宋体"/>
                <w:b w:val="0"/>
                <w:color w:val="000000"/>
                <w:sz w:val="21"/>
                <w:szCs w:val="21"/>
                <w:highlight w:val="none"/>
                <w:lang w:val="en-US"/>
              </w:rPr>
            </w:pPr>
            <w:r>
              <w:rPr>
                <w:rFonts w:hint="eastAsia" w:ascii="宋体" w:hAnsi="宋体" w:eastAsia="宋体" w:cs="宋体"/>
                <w:b w:val="0"/>
                <w:color w:val="000000"/>
                <w:sz w:val="21"/>
                <w:szCs w:val="21"/>
                <w:highlight w:val="none"/>
                <w:lang w:val="en-US"/>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49E662C6">
            <w:pPr>
              <w:pStyle w:val="15"/>
              <w:keepNext w:val="0"/>
              <w:keepLines w:val="0"/>
              <w:pageBreakBefore w:val="0"/>
              <w:widowControl w:val="0"/>
              <w:kinsoku/>
              <w:wordWrap w:val="0"/>
              <w:overflowPunct/>
              <w:topLinePunct w:val="0"/>
              <w:autoSpaceDE w:val="0"/>
              <w:autoSpaceDN w:val="0"/>
              <w:bidi w:val="0"/>
              <w:adjustRightInd/>
              <w:snapToGrid/>
              <w:spacing w:before="0" w:beforeLines="0" w:after="0" w:afterLines="0" w:line="400" w:lineRule="exact"/>
              <w:ind w:left="105" w:leftChars="50" w:right="21" w:rightChars="10" w:firstLine="21" w:firstLineChars="10"/>
              <w:textAlignment w:val="baseline"/>
              <w:rPr>
                <w:rFonts w:hint="eastAsia" w:ascii="宋体" w:hAnsi="宋体" w:eastAsia="宋体" w:cs="宋体"/>
                <w:b w:val="0"/>
                <w:color w:val="000000"/>
                <w:sz w:val="21"/>
                <w:szCs w:val="21"/>
                <w:highlight w:val="none"/>
                <w:lang w:val="en-US"/>
              </w:rPr>
            </w:pPr>
            <w:r>
              <w:rPr>
                <w:rFonts w:hint="eastAsia" w:ascii="宋体" w:hAnsi="宋体" w:eastAsia="宋体" w:cs="宋体"/>
                <w:b w:val="0"/>
                <w:color w:val="000000"/>
                <w:sz w:val="21"/>
                <w:szCs w:val="21"/>
                <w:highlight w:val="none"/>
                <w:lang w:val="en-US"/>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14:paraId="47A3EAAC">
            <w:pPr>
              <w:pStyle w:val="15"/>
              <w:keepNext w:val="0"/>
              <w:keepLines w:val="0"/>
              <w:pageBreakBefore w:val="0"/>
              <w:widowControl w:val="0"/>
              <w:kinsoku/>
              <w:wordWrap w:val="0"/>
              <w:overflowPunct/>
              <w:topLinePunct w:val="0"/>
              <w:autoSpaceDE w:val="0"/>
              <w:autoSpaceDN w:val="0"/>
              <w:bidi w:val="0"/>
              <w:adjustRightInd/>
              <w:snapToGrid/>
              <w:spacing w:before="0" w:beforeLines="0" w:after="0" w:afterLines="0" w:line="400" w:lineRule="exact"/>
              <w:ind w:left="105" w:leftChars="50" w:right="21" w:rightChars="10" w:firstLine="21" w:firstLineChars="10"/>
              <w:textAlignment w:val="baseline"/>
              <w:rPr>
                <w:rFonts w:hint="eastAsia" w:ascii="宋体" w:hAnsi="宋体" w:eastAsia="宋体" w:cs="宋体"/>
                <w:b w:val="0"/>
                <w:color w:val="000000"/>
                <w:sz w:val="21"/>
                <w:szCs w:val="21"/>
                <w:highlight w:val="none"/>
                <w:lang w:val="en-US"/>
              </w:rPr>
            </w:pPr>
            <w:r>
              <w:rPr>
                <w:rFonts w:hint="eastAsia" w:ascii="宋体" w:hAnsi="宋体" w:eastAsia="宋体" w:cs="宋体"/>
                <w:b w:val="0"/>
                <w:color w:val="000000"/>
                <w:sz w:val="21"/>
                <w:szCs w:val="21"/>
                <w:highlight w:val="none"/>
                <w:lang w:val="en-US"/>
              </w:rPr>
              <w:t>如果所有参与竞争的供应商均可享受本国产品价格评审优惠，则统一不进行价格扣除。</w:t>
            </w:r>
          </w:p>
          <w:p w14:paraId="3E3404D4">
            <w:pPr>
              <w:pStyle w:val="15"/>
              <w:keepNext w:val="0"/>
              <w:keepLines w:val="0"/>
              <w:pageBreakBefore w:val="0"/>
              <w:widowControl w:val="0"/>
              <w:kinsoku/>
              <w:wordWrap w:val="0"/>
              <w:overflowPunct/>
              <w:topLinePunct w:val="0"/>
              <w:autoSpaceDE w:val="0"/>
              <w:autoSpaceDN w:val="0"/>
              <w:bidi w:val="0"/>
              <w:adjustRightInd/>
              <w:snapToGrid/>
              <w:spacing w:before="0" w:beforeLines="0" w:after="0" w:afterLines="0" w:line="400" w:lineRule="exact"/>
              <w:ind w:left="105" w:leftChars="50" w:right="21" w:rightChars="10" w:firstLine="21" w:firstLineChars="10"/>
              <w:textAlignment w:val="baseline"/>
              <w:rPr>
                <w:rFonts w:hint="eastAsia" w:ascii="宋体" w:hAnsi="宋体" w:eastAsia="宋体" w:cs="宋体"/>
                <w:b/>
                <w:bCs w:val="0"/>
                <w:color w:val="000000"/>
                <w:sz w:val="21"/>
                <w:szCs w:val="21"/>
                <w:highlight w:val="none"/>
                <w:lang w:val="en-US"/>
              </w:rPr>
            </w:pPr>
            <w:r>
              <w:rPr>
                <w:rFonts w:hint="eastAsia" w:ascii="宋体" w:hAnsi="宋体" w:eastAsia="宋体" w:cs="宋体"/>
                <w:b w:val="0"/>
                <w:color w:val="000000"/>
                <w:sz w:val="21"/>
                <w:szCs w:val="21"/>
                <w:highlight w:val="none"/>
                <w:lang w:val="en-US"/>
              </w:rPr>
              <w:t>供应商在其投标文件中</w:t>
            </w:r>
            <w:r>
              <w:rPr>
                <w:rFonts w:hint="eastAsia" w:ascii="宋体" w:hAnsi="宋体" w:eastAsia="宋体" w:cs="宋体"/>
                <w:b w:val="0"/>
                <w:color w:val="000000"/>
                <w:kern w:val="2"/>
                <w:sz w:val="21"/>
                <w:szCs w:val="21"/>
                <w:highlight w:val="none"/>
                <w:lang w:val="en-US" w:eastAsia="zh-CN" w:bidi="ar"/>
              </w:rPr>
              <w:t>对其提供的产品出具</w:t>
            </w:r>
            <w:r>
              <w:rPr>
                <w:rFonts w:hint="eastAsia" w:ascii="宋体" w:hAnsi="宋体" w:eastAsia="宋体" w:cs="宋体"/>
                <w:b w:val="0"/>
                <w:color w:val="000000"/>
                <w:sz w:val="21"/>
                <w:szCs w:val="21"/>
                <w:highlight w:val="none"/>
                <w:lang w:val="en-US"/>
              </w:rPr>
              <w:t>《关于符合本国产品标准的声明函》或财政部会同有关部门规定的有关证明文件的，该产品视为本国产品</w:t>
            </w:r>
            <w:r>
              <w:rPr>
                <w:rFonts w:hint="eastAsia" w:ascii="宋体" w:hAnsi="宋体" w:eastAsia="宋体" w:cs="宋体"/>
                <w:b w:val="0"/>
                <w:color w:val="000000"/>
                <w:sz w:val="21"/>
                <w:szCs w:val="21"/>
                <w:highlight w:val="none"/>
                <w:lang w:val="en-US" w:eastAsia="zh-CN"/>
              </w:rPr>
              <w:t>，</w:t>
            </w:r>
            <w:r>
              <w:rPr>
                <w:rFonts w:hint="eastAsia" w:ascii="宋体" w:hAnsi="宋体" w:eastAsia="宋体" w:cs="宋体"/>
                <w:b w:val="0"/>
                <w:color w:val="000000"/>
                <w:kern w:val="2"/>
                <w:sz w:val="21"/>
                <w:szCs w:val="21"/>
                <w:highlight w:val="none"/>
                <w:lang w:val="en-US" w:eastAsia="zh-CN" w:bidi="ar"/>
              </w:rPr>
              <w:t>给予政策性价格扣除，用扣除后的价格参与评审</w:t>
            </w:r>
            <w:r>
              <w:rPr>
                <w:rFonts w:hint="eastAsia" w:ascii="宋体" w:hAnsi="宋体" w:eastAsia="宋体" w:cs="宋体"/>
                <w:b/>
                <w:bCs w:val="0"/>
                <w:color w:val="000000"/>
                <w:kern w:val="2"/>
                <w:sz w:val="21"/>
                <w:szCs w:val="21"/>
                <w:highlight w:val="none"/>
                <w:lang w:val="en-US" w:eastAsia="zh-CN" w:bidi="ar"/>
              </w:rPr>
              <w:t>（未提供上述证明文件或不符合条件的，不享受价格扣除优惠）。</w:t>
            </w:r>
          </w:p>
          <w:p w14:paraId="4BD2534F">
            <w:pPr>
              <w:pStyle w:val="15"/>
              <w:keepNext w:val="0"/>
              <w:keepLines w:val="0"/>
              <w:pageBreakBefore w:val="0"/>
              <w:widowControl w:val="0"/>
              <w:kinsoku/>
              <w:wordWrap w:val="0"/>
              <w:overflowPunct/>
              <w:topLinePunct w:val="0"/>
              <w:autoSpaceDE w:val="0"/>
              <w:autoSpaceDN w:val="0"/>
              <w:bidi w:val="0"/>
              <w:adjustRightInd/>
              <w:snapToGrid/>
              <w:spacing w:before="0" w:beforeLines="0" w:after="0" w:afterLines="0" w:line="400" w:lineRule="exact"/>
              <w:ind w:left="105" w:leftChars="50" w:right="21" w:rightChars="10" w:firstLine="231" w:firstLineChars="110"/>
              <w:textAlignment w:val="baseline"/>
              <w:rPr>
                <w:rFonts w:hint="eastAsia" w:ascii="宋体" w:hAnsi="宋体" w:eastAsia="宋体" w:cs="宋体"/>
                <w:b w:val="0"/>
                <w:color w:val="000000"/>
                <w:sz w:val="21"/>
                <w:szCs w:val="21"/>
                <w:highlight w:val="none"/>
                <w:lang w:val="en-US"/>
              </w:rPr>
            </w:pPr>
            <w:r>
              <w:rPr>
                <w:rFonts w:hint="eastAsia" w:ascii="宋体" w:hAnsi="宋体" w:eastAsia="宋体" w:cs="宋体"/>
                <w:b w:val="0"/>
                <w:color w:val="000000"/>
                <w:sz w:val="21"/>
                <w:szCs w:val="21"/>
                <w:highlight w:val="none"/>
                <w:lang w:val="en-US"/>
              </w:rPr>
              <w:t>（6）中小企业折扣与本国产品折扣进行叠加计算，用扣除后的价格参加评审。即评标报价=投标报价-中小企业折扣-本国产品折扣，除上述情况外，评标报价=投标报价。</w:t>
            </w:r>
          </w:p>
          <w:p w14:paraId="1B6F41CA">
            <w:pPr>
              <w:pStyle w:val="15"/>
              <w:keepNext w:val="0"/>
              <w:keepLines w:val="0"/>
              <w:pageBreakBefore w:val="0"/>
              <w:widowControl w:val="0"/>
              <w:kinsoku/>
              <w:wordWrap w:val="0"/>
              <w:overflowPunct/>
              <w:topLinePunct w:val="0"/>
              <w:autoSpaceDE w:val="0"/>
              <w:autoSpaceDN w:val="0"/>
              <w:bidi w:val="0"/>
              <w:adjustRightInd/>
              <w:snapToGrid/>
              <w:spacing w:before="0" w:beforeLines="0" w:after="0" w:afterLines="0" w:line="400" w:lineRule="exact"/>
              <w:ind w:left="105" w:leftChars="50" w:right="21" w:rightChars="10" w:firstLine="231" w:firstLineChars="110"/>
              <w:textAlignment w:val="baseline"/>
              <w:rPr>
                <w:rFonts w:hint="eastAsia" w:ascii="宋体" w:hAnsi="宋体" w:eastAsia="宋体" w:cs="宋体"/>
                <w:b w:val="0"/>
                <w:color w:val="000000"/>
                <w:sz w:val="21"/>
                <w:szCs w:val="21"/>
                <w:highlight w:val="none"/>
                <w:lang w:val="en-US"/>
              </w:rPr>
            </w:pPr>
            <w:r>
              <w:rPr>
                <w:rFonts w:hint="eastAsia" w:ascii="宋体" w:hAnsi="宋体" w:eastAsia="宋体" w:cs="宋体"/>
                <w:b w:val="0"/>
                <w:color w:val="000000"/>
                <w:sz w:val="21"/>
                <w:szCs w:val="21"/>
                <w:highlight w:val="none"/>
                <w:lang w:val="en-US"/>
              </w:rPr>
              <w:t>（7）满足招标文件要求且评标报价最低的评标报价为评标基准价，其价格分为满分。</w:t>
            </w:r>
          </w:p>
          <w:p w14:paraId="3CC1C4ED">
            <w:pPr>
              <w:keepNext w:val="0"/>
              <w:keepLines w:val="0"/>
              <w:pageBreakBefore w:val="0"/>
              <w:widowControl w:val="0"/>
              <w:kinsoku/>
              <w:wordWrap w:val="0"/>
              <w:overflowPunct/>
              <w:topLinePunct w:val="0"/>
              <w:autoSpaceDE/>
              <w:autoSpaceDN/>
              <w:bidi w:val="0"/>
              <w:adjustRightInd/>
              <w:snapToGrid/>
              <w:spacing w:before="0" w:beforeLines="0" w:after="0" w:afterLines="0" w:line="400" w:lineRule="exact"/>
              <w:ind w:left="105" w:leftChars="50" w:right="21" w:rightChars="10" w:firstLine="210" w:firstLineChars="100"/>
              <w:jc w:val="both"/>
              <w:textAlignment w:val="auto"/>
              <w:rPr>
                <w:rFonts w:hint="eastAsia" w:ascii="宋体" w:hAnsi="宋体" w:eastAsia="宋体" w:cs="宋体"/>
                <w:b w:val="0"/>
                <w:color w:val="000000"/>
                <w:sz w:val="21"/>
                <w:szCs w:val="21"/>
                <w:highlight w:val="none"/>
                <w:lang w:eastAsia="zh-CN"/>
              </w:rPr>
            </w:pPr>
            <w:r>
              <w:rPr>
                <w:rFonts w:hint="eastAsia" w:ascii="宋体" w:hAnsi="宋体" w:eastAsia="宋体" w:cs="宋体"/>
                <w:b w:val="0"/>
                <w:color w:val="000000"/>
                <w:sz w:val="21"/>
                <w:szCs w:val="21"/>
                <w:highlight w:val="none"/>
                <w:lang w:val="en-US"/>
              </w:rPr>
              <w:t>（8）价格分计算公式：价格分</w:t>
            </w:r>
            <w:r>
              <w:rPr>
                <w:rFonts w:hint="eastAsia" w:ascii="宋体" w:hAnsi="宋体" w:eastAsia="宋体" w:cs="宋体"/>
                <w:b w:val="0"/>
                <w:color w:val="000000"/>
                <w:sz w:val="21"/>
                <w:szCs w:val="21"/>
                <w:highlight w:val="none"/>
                <w:lang w:val="en-US" w:eastAsia="zh-CN"/>
              </w:rPr>
              <w:t>=</w:t>
            </w:r>
            <w:r>
              <w:rPr>
                <w:rFonts w:hint="eastAsia" w:ascii="宋体" w:hAnsi="宋体" w:eastAsia="宋体" w:cs="宋体"/>
                <w:b w:val="0"/>
                <w:color w:val="000000"/>
                <w:sz w:val="21"/>
                <w:szCs w:val="21"/>
                <w:highlight w:val="none"/>
                <w:lang w:val="en-US"/>
              </w:rPr>
              <w:t xml:space="preserve">（评标基准价／评标报价）× </w:t>
            </w:r>
            <w:r>
              <w:rPr>
                <w:rFonts w:hint="eastAsia" w:ascii="宋体" w:hAnsi="宋体" w:eastAsia="宋体" w:cs="宋体"/>
                <w:b w:val="0"/>
                <w:color w:val="000000"/>
                <w:sz w:val="21"/>
                <w:szCs w:val="21"/>
                <w:highlight w:val="none"/>
                <w:lang w:val="en-US" w:eastAsia="zh-CN"/>
              </w:rPr>
              <w:t xml:space="preserve">30 </w:t>
            </w:r>
            <w:r>
              <w:rPr>
                <w:rFonts w:hint="eastAsia" w:ascii="宋体" w:hAnsi="宋体" w:eastAsia="宋体" w:cs="宋体"/>
                <w:b w:val="0"/>
                <w:color w:val="000000"/>
                <w:sz w:val="21"/>
                <w:szCs w:val="21"/>
                <w:highlight w:val="none"/>
                <w:lang w:val="en-US"/>
              </w:rPr>
              <w:t xml:space="preserve">分       </w:t>
            </w:r>
          </w:p>
        </w:tc>
      </w:tr>
      <w:tr w14:paraId="5DF36E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637" w:type="dxa"/>
            <w:tcBorders>
              <w:top w:val="single" w:color="000000" w:sz="4" w:space="0"/>
              <w:left w:val="single" w:color="000000" w:sz="4" w:space="0"/>
              <w:bottom w:val="single" w:color="auto" w:sz="4" w:space="0"/>
              <w:right w:val="single" w:color="000000" w:sz="4" w:space="0"/>
            </w:tcBorders>
            <w:shd w:val="clear" w:color="auto" w:fill="FFFFFF"/>
            <w:noWrap w:val="0"/>
            <w:vAlign w:val="center"/>
          </w:tcPr>
          <w:p w14:paraId="44F1B670">
            <w:pPr>
              <w:pStyle w:val="34"/>
              <w:keepNext w:val="0"/>
              <w:keepLines w:val="0"/>
              <w:pageBreakBefore w:val="0"/>
              <w:kinsoku/>
              <w:wordWrap w:val="0"/>
              <w:overflowPunct/>
              <w:topLinePunct w:val="0"/>
              <w:bidi w:val="0"/>
              <w:adjustRightInd/>
              <w:snapToGrid/>
              <w:spacing w:line="400" w:lineRule="exact"/>
              <w:ind w:left="0" w:leftChars="0" w:right="0" w:rightChars="0"/>
              <w:jc w:val="center"/>
              <w:rPr>
                <w:rFonts w:hint="eastAsia" w:ascii="宋体" w:hAnsi="宋体" w:eastAsia="宋体" w:cs="宋体"/>
                <w:b/>
                <w:bCs w:val="0"/>
                <w:color w:val="000000"/>
                <w:sz w:val="21"/>
                <w:szCs w:val="21"/>
                <w:highlight w:val="none"/>
                <w:lang w:eastAsia="zh-CN"/>
              </w:rPr>
            </w:pPr>
            <w:r>
              <w:rPr>
                <w:rFonts w:hint="eastAsia" w:ascii="宋体" w:hAnsi="宋体" w:eastAsia="宋体" w:cs="宋体"/>
                <w:b/>
                <w:bCs w:val="0"/>
                <w:color w:val="000000"/>
                <w:sz w:val="21"/>
                <w:szCs w:val="21"/>
                <w:highlight w:val="none"/>
                <w:lang w:eastAsia="zh-CN"/>
              </w:rPr>
              <w:t>2</w:t>
            </w:r>
          </w:p>
        </w:tc>
        <w:tc>
          <w:tcPr>
            <w:tcW w:w="145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86ABAA">
            <w:pPr>
              <w:pStyle w:val="34"/>
              <w:keepNext w:val="0"/>
              <w:keepLines w:val="0"/>
              <w:pageBreakBefore w:val="0"/>
              <w:kinsoku/>
              <w:wordWrap w:val="0"/>
              <w:overflowPunct/>
              <w:topLinePunct w:val="0"/>
              <w:bidi w:val="0"/>
              <w:adjustRightInd/>
              <w:snapToGrid/>
              <w:spacing w:line="400" w:lineRule="exact"/>
              <w:ind w:left="0" w:leftChars="0" w:right="0" w:rightChars="0"/>
              <w:jc w:val="center"/>
              <w:rPr>
                <w:rFonts w:hint="eastAsia" w:ascii="宋体" w:hAnsi="宋体" w:eastAsia="宋体" w:cs="宋体"/>
                <w:b/>
                <w:bCs w:val="0"/>
                <w:color w:val="000000"/>
                <w:kern w:val="0"/>
                <w:sz w:val="21"/>
                <w:szCs w:val="21"/>
                <w:highlight w:val="none"/>
                <w:lang w:eastAsia="zh-Hans"/>
              </w:rPr>
            </w:pPr>
            <w:bookmarkStart w:id="151" w:name="_Toc28378"/>
            <w:r>
              <w:rPr>
                <w:rFonts w:hint="eastAsia" w:ascii="宋体" w:hAnsi="宋体" w:eastAsia="宋体" w:cs="宋体"/>
                <w:b/>
                <w:bCs w:val="0"/>
                <w:color w:val="000000"/>
                <w:kern w:val="0"/>
                <w:sz w:val="21"/>
                <w:szCs w:val="21"/>
                <w:highlight w:val="none"/>
                <w:lang w:eastAsia="zh-Hans"/>
              </w:rPr>
              <w:t>技术条款响应情况</w:t>
            </w:r>
          </w:p>
          <w:p w14:paraId="0304F4AD">
            <w:pPr>
              <w:pStyle w:val="34"/>
              <w:keepNext w:val="0"/>
              <w:keepLines w:val="0"/>
              <w:pageBreakBefore w:val="0"/>
              <w:kinsoku/>
              <w:wordWrap w:val="0"/>
              <w:overflowPunct/>
              <w:topLinePunct w:val="0"/>
              <w:bidi w:val="0"/>
              <w:adjustRightInd/>
              <w:snapToGrid/>
              <w:spacing w:line="400" w:lineRule="exact"/>
              <w:ind w:left="0" w:leftChars="0" w:right="0" w:rightChars="0"/>
              <w:jc w:val="center"/>
              <w:rPr>
                <w:rFonts w:hint="eastAsia" w:ascii="宋体" w:hAnsi="宋体" w:eastAsia="宋体" w:cs="宋体"/>
                <w:b/>
                <w:bCs w:val="0"/>
                <w:color w:val="000000"/>
                <w:spacing w:val="-4"/>
                <w:position w:val="15"/>
                <w:sz w:val="21"/>
                <w:szCs w:val="21"/>
                <w:highlight w:val="none"/>
                <w:lang w:eastAsia="zh-CN"/>
              </w:rPr>
            </w:pPr>
            <w:r>
              <w:rPr>
                <w:rFonts w:hint="eastAsia" w:ascii="宋体" w:hAnsi="宋体" w:eastAsia="宋体" w:cs="宋体"/>
                <w:b/>
                <w:bCs w:val="0"/>
                <w:color w:val="000000"/>
                <w:kern w:val="0"/>
                <w:sz w:val="21"/>
                <w:szCs w:val="21"/>
                <w:highlight w:val="none"/>
                <w:lang w:eastAsia="zh-Hans"/>
              </w:rPr>
              <w:t xml:space="preserve"> (</w:t>
            </w:r>
            <w:r>
              <w:rPr>
                <w:rFonts w:hint="eastAsia" w:ascii="宋体" w:hAnsi="宋体" w:eastAsia="宋体" w:cs="宋体"/>
                <w:b/>
                <w:bCs w:val="0"/>
                <w:color w:val="000000"/>
                <w:spacing w:val="-3"/>
                <w:sz w:val="21"/>
                <w:szCs w:val="21"/>
                <w:highlight w:val="none"/>
                <w:lang w:val="en-US" w:eastAsia="zh-CN"/>
              </w:rPr>
              <w:t>满分</w:t>
            </w:r>
            <w:r>
              <w:rPr>
                <w:rFonts w:hint="eastAsia" w:ascii="宋体" w:hAnsi="宋体" w:eastAsia="宋体" w:cs="宋体"/>
                <w:b/>
                <w:bCs w:val="0"/>
                <w:color w:val="000000"/>
                <w:kern w:val="0"/>
                <w:sz w:val="21"/>
                <w:szCs w:val="21"/>
                <w:highlight w:val="none"/>
                <w:lang w:val="en-US" w:eastAsia="zh-CN"/>
              </w:rPr>
              <w:t xml:space="preserve"> </w:t>
            </w:r>
            <w:r>
              <w:rPr>
                <w:rFonts w:hint="eastAsia" w:cs="宋体"/>
                <w:b/>
                <w:bCs w:val="0"/>
                <w:color w:val="000000"/>
                <w:kern w:val="0"/>
                <w:sz w:val="21"/>
                <w:szCs w:val="21"/>
                <w:highlight w:val="none"/>
                <w:lang w:val="en-US" w:eastAsia="zh-CN"/>
              </w:rPr>
              <w:t>45</w:t>
            </w:r>
            <w:r>
              <w:rPr>
                <w:rFonts w:hint="eastAsia" w:ascii="宋体" w:hAnsi="宋体" w:eastAsia="宋体" w:cs="宋体"/>
                <w:b/>
                <w:bCs w:val="0"/>
                <w:color w:val="000000"/>
                <w:kern w:val="0"/>
                <w:sz w:val="21"/>
                <w:szCs w:val="21"/>
                <w:highlight w:val="none"/>
                <w:lang w:eastAsia="zh-Hans"/>
              </w:rPr>
              <w:t>分)</w:t>
            </w:r>
          </w:p>
          <w:bookmarkEnd w:id="151"/>
        </w:tc>
        <w:tc>
          <w:tcPr>
            <w:tcW w:w="7577"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AB17FD6">
            <w:pPr>
              <w:keepNext w:val="0"/>
              <w:keepLines w:val="0"/>
              <w:pageBreakBefore w:val="0"/>
              <w:widowControl w:val="0"/>
              <w:kinsoku/>
              <w:wordWrap w:val="0"/>
              <w:overflowPunct/>
              <w:topLinePunct w:val="0"/>
              <w:autoSpaceDE/>
              <w:autoSpaceDN/>
              <w:bidi w:val="0"/>
              <w:adjustRightInd/>
              <w:snapToGrid/>
              <w:spacing w:line="400" w:lineRule="exact"/>
              <w:ind w:left="113" w:leftChars="0" w:right="113" w:rightChars="0" w:firstLine="0" w:firstLineChars="0"/>
              <w:textAlignment w:val="auto"/>
              <w:rPr>
                <w:rFonts w:hint="eastAsia" w:ascii="宋体" w:hAnsi="宋体" w:eastAsia="宋体" w:cs="宋体"/>
                <w:b w:val="0"/>
                <w:color w:val="000000"/>
                <w:sz w:val="21"/>
                <w:szCs w:val="21"/>
                <w:highlight w:val="none"/>
                <w:lang w:eastAsia="zh-CN"/>
              </w:rPr>
            </w:pPr>
            <w:r>
              <w:rPr>
                <w:rFonts w:hint="eastAsia" w:ascii="宋体" w:hAnsi="宋体" w:eastAsia="宋体" w:cs="宋体"/>
                <w:b w:val="0"/>
                <w:color w:val="000000"/>
                <w:sz w:val="21"/>
                <w:szCs w:val="21"/>
                <w:highlight w:val="none"/>
              </w:rPr>
              <w:t>评委根据招标文件要求，</w:t>
            </w:r>
            <w:r>
              <w:rPr>
                <w:rFonts w:hint="eastAsia" w:ascii="宋体" w:hAnsi="宋体" w:eastAsia="宋体" w:cs="宋体"/>
                <w:color w:val="000000"/>
                <w:sz w:val="21"/>
                <w:szCs w:val="21"/>
                <w:highlight w:val="none"/>
              </w:rPr>
              <w:t>对满足招标文件全部实质性要求进入详评的</w:t>
            </w:r>
            <w:r>
              <w:rPr>
                <w:rFonts w:hint="eastAsia" w:ascii="宋体" w:hAnsi="宋体" w:eastAsia="宋体" w:cs="宋体"/>
                <w:b w:val="0"/>
                <w:color w:val="000000"/>
                <w:sz w:val="21"/>
                <w:szCs w:val="21"/>
                <w:highlight w:val="none"/>
              </w:rPr>
              <w:t>各投标人投标文件</w:t>
            </w:r>
            <w:r>
              <w:rPr>
                <w:rFonts w:hint="eastAsia" w:ascii="宋体" w:hAnsi="宋体" w:eastAsia="宋体" w:cs="宋体"/>
                <w:b w:val="0"/>
                <w:color w:val="000000"/>
                <w:sz w:val="21"/>
                <w:szCs w:val="21"/>
                <w:highlight w:val="none"/>
                <w:lang w:val="en-US" w:eastAsia="zh-CN"/>
              </w:rPr>
              <w:t>中</w:t>
            </w:r>
            <w:r>
              <w:rPr>
                <w:rFonts w:hint="eastAsia" w:ascii="宋体" w:hAnsi="宋体" w:eastAsia="宋体" w:cs="宋体"/>
                <w:b w:val="0"/>
                <w:color w:val="000000"/>
                <w:sz w:val="21"/>
                <w:szCs w:val="21"/>
                <w:highlight w:val="none"/>
                <w:lang w:eastAsia="zh-CN"/>
              </w:rPr>
              <w:t>技术</w:t>
            </w:r>
            <w:r>
              <w:rPr>
                <w:rFonts w:hint="eastAsia" w:ascii="宋体" w:hAnsi="宋体" w:eastAsia="宋体" w:cs="宋体"/>
                <w:b w:val="0"/>
                <w:color w:val="000000"/>
                <w:sz w:val="21"/>
                <w:szCs w:val="21"/>
                <w:highlight w:val="none"/>
                <w:lang w:val="en-US" w:eastAsia="zh-CN"/>
              </w:rPr>
              <w:t>参数响应偏离表</w:t>
            </w:r>
            <w:r>
              <w:rPr>
                <w:rFonts w:hint="eastAsia" w:ascii="宋体" w:hAnsi="宋体" w:eastAsia="宋体" w:cs="宋体"/>
                <w:b w:val="0"/>
                <w:color w:val="000000"/>
                <w:sz w:val="21"/>
                <w:szCs w:val="21"/>
                <w:highlight w:val="none"/>
                <w:lang w:eastAsia="zh-CN"/>
              </w:rPr>
              <w:t>的响应情况进行独立评审</w:t>
            </w:r>
            <w:r>
              <w:rPr>
                <w:rFonts w:hint="eastAsia" w:ascii="宋体" w:hAnsi="宋体" w:eastAsia="宋体" w:cs="宋体"/>
                <w:b w:val="0"/>
                <w:color w:val="000000"/>
                <w:sz w:val="21"/>
                <w:szCs w:val="21"/>
                <w:highlight w:val="none"/>
              </w:rPr>
              <w:t>，并按如下计分方式确定得分：</w:t>
            </w:r>
          </w:p>
          <w:p w14:paraId="42270B1D">
            <w:pPr>
              <w:pStyle w:val="15"/>
              <w:keepNext w:val="0"/>
              <w:keepLines w:val="0"/>
              <w:pageBreakBefore w:val="0"/>
              <w:widowControl w:val="0"/>
              <w:kinsoku/>
              <w:wordWrap/>
              <w:overflowPunct/>
              <w:topLinePunct w:val="0"/>
              <w:autoSpaceDE/>
              <w:autoSpaceDN/>
              <w:bidi w:val="0"/>
              <w:adjustRightInd/>
              <w:snapToGrid/>
              <w:spacing w:before="157" w:beforeLines="50" w:after="0" w:afterLines="0" w:line="400" w:lineRule="exact"/>
              <w:ind w:left="113" w:leftChars="0" w:right="113" w:firstLine="0" w:firstLineChars="0"/>
              <w:textAlignment w:val="auto"/>
              <w:rPr>
                <w:rFonts w:hint="eastAsia" w:ascii="宋体" w:hAnsi="宋体" w:eastAsia="宋体" w:cs="宋体"/>
                <w:b/>
                <w:bCs w:val="0"/>
                <w:color w:val="000000"/>
                <w:sz w:val="21"/>
                <w:szCs w:val="21"/>
                <w:highlight w:val="none"/>
                <w:lang w:val="en-US" w:eastAsia="zh-CN"/>
              </w:rPr>
            </w:pPr>
            <w:r>
              <w:rPr>
                <w:rFonts w:hint="eastAsia" w:ascii="宋体" w:hAnsi="宋体" w:eastAsia="宋体" w:cs="宋体"/>
                <w:b/>
                <w:bCs w:val="0"/>
                <w:color w:val="000000"/>
                <w:sz w:val="21"/>
                <w:szCs w:val="21"/>
                <w:highlight w:val="none"/>
                <w:lang w:val="en-US" w:eastAsia="zh-CN"/>
              </w:rPr>
              <w:t>针对分标一（满分45分）：</w:t>
            </w:r>
          </w:p>
          <w:p w14:paraId="62A40EA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113" w:leftChars="0" w:right="113" w:firstLine="211" w:firstLineChars="100"/>
              <w:jc w:val="left"/>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b/>
                <w:bCs w:val="0"/>
                <w:color w:val="000000"/>
                <w:kern w:val="0"/>
                <w:sz w:val="21"/>
                <w:szCs w:val="21"/>
                <w:highlight w:val="none"/>
                <w:lang w:eastAsia="zh-Hans"/>
              </w:rPr>
              <w:t>（</w:t>
            </w:r>
            <w:r>
              <w:rPr>
                <w:rFonts w:hint="eastAsia" w:ascii="宋体" w:hAnsi="宋体" w:eastAsia="宋体" w:cs="宋体"/>
                <w:b/>
                <w:bCs w:val="0"/>
                <w:color w:val="000000"/>
                <w:kern w:val="0"/>
                <w:sz w:val="21"/>
                <w:szCs w:val="21"/>
                <w:highlight w:val="none"/>
                <w:lang w:eastAsia="zh-CN"/>
              </w:rPr>
              <w:t>1</w:t>
            </w:r>
            <w:r>
              <w:rPr>
                <w:rFonts w:hint="eastAsia" w:ascii="宋体" w:hAnsi="宋体" w:eastAsia="宋体" w:cs="宋体"/>
                <w:b/>
                <w:bCs w:val="0"/>
                <w:color w:val="000000"/>
                <w:kern w:val="0"/>
                <w:sz w:val="21"/>
                <w:szCs w:val="21"/>
                <w:highlight w:val="none"/>
                <w:lang w:eastAsia="zh-Hans"/>
              </w:rPr>
              <w:t>）重要技术条款响应情况 (</w:t>
            </w:r>
            <w:r>
              <w:rPr>
                <w:rFonts w:hint="default" w:ascii="宋体" w:hAnsi="宋体" w:eastAsia="宋体" w:cs="宋体"/>
                <w:b/>
                <w:bCs w:val="0"/>
                <w:color w:val="000000"/>
                <w:kern w:val="0"/>
                <w:sz w:val="21"/>
                <w:szCs w:val="21"/>
                <w:highlight w:val="none"/>
                <w:lang w:val="en-US" w:eastAsia="zh-CN"/>
              </w:rPr>
              <w:t>15</w:t>
            </w:r>
            <w:r>
              <w:rPr>
                <w:rFonts w:hint="eastAsia" w:ascii="宋体" w:hAnsi="宋体" w:eastAsia="宋体" w:cs="宋体"/>
                <w:b/>
                <w:bCs w:val="0"/>
                <w:color w:val="000000"/>
                <w:kern w:val="0"/>
                <w:sz w:val="21"/>
                <w:szCs w:val="21"/>
                <w:highlight w:val="none"/>
                <w:lang w:eastAsia="zh-Hans"/>
              </w:rPr>
              <w:t>分)</w:t>
            </w:r>
          </w:p>
          <w:p w14:paraId="5CD4475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113" w:leftChars="0" w:right="113" w:firstLine="210" w:firstLineChars="100"/>
              <w:jc w:val="left"/>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对</w:t>
            </w:r>
            <w:r>
              <w:rPr>
                <w:rFonts w:hint="eastAsia" w:ascii="宋体" w:hAnsi="宋体" w:eastAsia="宋体" w:cs="宋体"/>
                <w:color w:val="000000"/>
                <w:sz w:val="21"/>
                <w:szCs w:val="21"/>
                <w:highlight w:val="none"/>
                <w:lang w:eastAsia="zh-CN"/>
              </w:rPr>
              <w:t>采购需求技术标准与要求中，标注“</w:t>
            </w:r>
            <w:r>
              <w:rPr>
                <w:rFonts w:hint="eastAsia" w:ascii="宋体" w:hAnsi="宋体" w:eastAsia="宋体" w:cs="宋体"/>
                <w:b/>
                <w:color w:val="000000"/>
                <w:sz w:val="21"/>
                <w:szCs w:val="21"/>
                <w:highlight w:val="none"/>
              </w:rPr>
              <w:t>●</w:t>
            </w:r>
            <w:r>
              <w:rPr>
                <w:rFonts w:hint="eastAsia" w:ascii="宋体" w:hAnsi="宋体" w:eastAsia="宋体" w:cs="宋体"/>
                <w:color w:val="000000"/>
                <w:sz w:val="21"/>
                <w:szCs w:val="21"/>
                <w:highlight w:val="none"/>
                <w:lang w:eastAsia="zh-CN"/>
              </w:rPr>
              <w:t>”的重要技术参数（</w:t>
            </w:r>
            <w:r>
              <w:rPr>
                <w:rFonts w:hint="eastAsia" w:ascii="宋体" w:hAnsi="宋体" w:eastAsia="宋体" w:cs="宋体"/>
                <w:color w:val="000000"/>
                <w:sz w:val="21"/>
                <w:szCs w:val="21"/>
                <w:highlight w:val="none"/>
                <w:lang w:val="en-US" w:eastAsia="zh-CN"/>
              </w:rPr>
              <w:t>共计5项</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响应情况进行评审：</w:t>
            </w:r>
          </w:p>
          <w:p w14:paraId="1FAC595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113" w:leftChars="0" w:right="113" w:firstLine="210" w:firstLineChars="100"/>
              <w:jc w:val="left"/>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eastAsia="zh-CN"/>
              </w:rPr>
              <w:t>完全满足或优于招标文件采购需求重要技术标准与要求的，得</w:t>
            </w:r>
            <w:r>
              <w:rPr>
                <w:rFonts w:hint="default" w:ascii="宋体" w:hAnsi="宋体" w:eastAsia="宋体" w:cs="宋体"/>
                <w:color w:val="000000"/>
                <w:sz w:val="21"/>
                <w:szCs w:val="21"/>
                <w:highlight w:val="none"/>
                <w:lang w:val="en-US" w:eastAsia="zh-CN"/>
              </w:rPr>
              <w:t>15</w:t>
            </w:r>
            <w:r>
              <w:rPr>
                <w:rFonts w:hint="eastAsia" w:ascii="宋体" w:hAnsi="宋体" w:eastAsia="宋体" w:cs="宋体"/>
                <w:color w:val="000000"/>
                <w:sz w:val="21"/>
                <w:szCs w:val="21"/>
                <w:highlight w:val="none"/>
                <w:lang w:eastAsia="zh-CN"/>
              </w:rPr>
              <w:t>分，</w:t>
            </w:r>
            <w:r>
              <w:rPr>
                <w:rFonts w:hint="eastAsia" w:ascii="宋体" w:hAnsi="宋体" w:eastAsia="宋体" w:cs="宋体"/>
                <w:bCs/>
                <w:color w:val="000000"/>
                <w:szCs w:val="21"/>
                <w:highlight w:val="none"/>
              </w:rPr>
              <w:t>每有1项（条）</w:t>
            </w:r>
            <w:r>
              <w:rPr>
                <w:rFonts w:hint="eastAsia" w:ascii="宋体" w:hAnsi="宋体" w:eastAsia="宋体" w:cs="宋体"/>
                <w:bCs/>
                <w:color w:val="000000"/>
                <w:szCs w:val="21"/>
                <w:highlight w:val="none"/>
                <w:lang w:val="en-US" w:eastAsia="zh-CN"/>
              </w:rPr>
              <w:t>出现</w:t>
            </w:r>
            <w:r>
              <w:rPr>
                <w:rFonts w:hint="eastAsia" w:ascii="宋体" w:hAnsi="宋体" w:eastAsia="宋体" w:cs="宋体"/>
                <w:bCs/>
                <w:color w:val="000000"/>
                <w:szCs w:val="21"/>
                <w:highlight w:val="none"/>
              </w:rPr>
              <w:t>负偏离或漏项或不满足的</w:t>
            </w:r>
            <w:r>
              <w:rPr>
                <w:rFonts w:hint="eastAsia" w:ascii="宋体" w:hAnsi="宋体" w:eastAsia="宋体" w:cs="宋体"/>
                <w:color w:val="000000"/>
                <w:sz w:val="21"/>
                <w:szCs w:val="21"/>
                <w:highlight w:val="none"/>
                <w:lang w:eastAsia="zh-CN"/>
              </w:rPr>
              <w:t>扣</w:t>
            </w:r>
            <w:r>
              <w:rPr>
                <w:rFonts w:hint="default" w:ascii="宋体" w:hAnsi="宋体" w:eastAsia="宋体" w:cs="宋体"/>
                <w:color w:val="000000"/>
                <w:sz w:val="21"/>
                <w:szCs w:val="21"/>
                <w:highlight w:val="none"/>
                <w:lang w:val="en-US" w:eastAsia="zh-CN"/>
              </w:rPr>
              <w:t>3</w:t>
            </w:r>
            <w:r>
              <w:rPr>
                <w:rFonts w:hint="eastAsia" w:ascii="宋体" w:hAnsi="宋体" w:eastAsia="宋体" w:cs="宋体"/>
                <w:color w:val="000000"/>
                <w:sz w:val="21"/>
                <w:szCs w:val="21"/>
                <w:highlight w:val="none"/>
                <w:lang w:eastAsia="zh-CN"/>
              </w:rPr>
              <w:t>分，</w:t>
            </w:r>
            <w:r>
              <w:rPr>
                <w:rFonts w:hint="eastAsia" w:ascii="宋体" w:hAnsi="宋体" w:eastAsia="宋体" w:cs="宋体"/>
                <w:color w:val="000000"/>
                <w:sz w:val="21"/>
                <w:szCs w:val="21"/>
                <w:highlight w:val="none"/>
                <w:lang w:val="en-US" w:eastAsia="zh-CN"/>
              </w:rPr>
              <w:t>扣完为止</w:t>
            </w:r>
            <w:r>
              <w:rPr>
                <w:rFonts w:hint="eastAsia" w:ascii="宋体" w:hAnsi="宋体" w:eastAsia="宋体" w:cs="宋体"/>
                <w:color w:val="000000"/>
                <w:sz w:val="21"/>
                <w:szCs w:val="21"/>
                <w:highlight w:val="none"/>
                <w:lang w:eastAsia="zh-CN"/>
              </w:rPr>
              <w:t>。</w:t>
            </w:r>
          </w:p>
          <w:p w14:paraId="5E9CE7A0">
            <w:pPr>
              <w:keepNext w:val="0"/>
              <w:keepLines w:val="0"/>
              <w:pageBreakBefore w:val="0"/>
              <w:widowControl w:val="0"/>
              <w:kinsoku/>
              <w:wordWrap w:val="0"/>
              <w:overflowPunct/>
              <w:topLinePunct w:val="0"/>
              <w:autoSpaceDE/>
              <w:autoSpaceDN/>
              <w:bidi w:val="0"/>
              <w:adjustRightInd/>
              <w:snapToGrid/>
              <w:spacing w:line="400" w:lineRule="exact"/>
              <w:ind w:left="113" w:leftChars="0" w:right="113" w:rightChars="0" w:firstLine="211" w:firstLineChars="100"/>
              <w:textAlignment w:val="auto"/>
              <w:rPr>
                <w:rFonts w:hint="eastAsia" w:ascii="宋体" w:hAnsi="宋体" w:eastAsia="宋体" w:cs="宋体"/>
                <w:b/>
                <w:bCs w:val="0"/>
                <w:color w:val="000000"/>
                <w:sz w:val="21"/>
                <w:szCs w:val="21"/>
                <w:highlight w:val="none"/>
                <w:lang w:eastAsia="zh-CN"/>
              </w:rPr>
            </w:pPr>
            <w:r>
              <w:rPr>
                <w:rFonts w:hint="eastAsia" w:ascii="宋体" w:hAnsi="宋体" w:eastAsia="宋体" w:cs="宋体"/>
                <w:b/>
                <w:bCs w:val="0"/>
                <w:color w:val="000000"/>
                <w:sz w:val="21"/>
                <w:szCs w:val="21"/>
                <w:highlight w:val="none"/>
                <w:lang w:eastAsia="zh-CN"/>
              </w:rPr>
              <w:t>（</w:t>
            </w:r>
            <w:r>
              <w:rPr>
                <w:rFonts w:hint="eastAsia" w:ascii="宋体" w:hAnsi="宋体" w:eastAsia="宋体" w:cs="宋体"/>
                <w:b/>
                <w:bCs w:val="0"/>
                <w:color w:val="000000"/>
                <w:sz w:val="21"/>
                <w:szCs w:val="21"/>
                <w:highlight w:val="none"/>
                <w:lang w:val="en-US" w:eastAsia="zh-CN"/>
              </w:rPr>
              <w:t>2</w:t>
            </w:r>
            <w:r>
              <w:rPr>
                <w:rFonts w:hint="eastAsia" w:ascii="宋体" w:hAnsi="宋体" w:eastAsia="宋体" w:cs="宋体"/>
                <w:b/>
                <w:bCs w:val="0"/>
                <w:color w:val="000000"/>
                <w:sz w:val="21"/>
                <w:szCs w:val="21"/>
                <w:highlight w:val="none"/>
                <w:lang w:eastAsia="zh-CN"/>
              </w:rPr>
              <w:t>）</w:t>
            </w:r>
            <w:r>
              <w:rPr>
                <w:rFonts w:hint="eastAsia" w:ascii="宋体" w:hAnsi="宋体" w:eastAsia="宋体" w:cs="宋体"/>
                <w:b/>
                <w:bCs w:val="0"/>
                <w:color w:val="000000"/>
                <w:kern w:val="0"/>
                <w:sz w:val="21"/>
                <w:szCs w:val="21"/>
                <w:highlight w:val="none"/>
                <w:lang w:eastAsia="zh-Hans"/>
              </w:rPr>
              <w:t>一般技术条款响应情况 (</w:t>
            </w:r>
            <w:r>
              <w:rPr>
                <w:rFonts w:hint="default" w:ascii="宋体" w:hAnsi="宋体" w:eastAsia="宋体" w:cs="宋体"/>
                <w:b/>
                <w:bCs w:val="0"/>
                <w:color w:val="000000"/>
                <w:kern w:val="0"/>
                <w:sz w:val="21"/>
                <w:szCs w:val="21"/>
                <w:highlight w:val="none"/>
                <w:lang w:val="en-US" w:eastAsia="zh-CN"/>
              </w:rPr>
              <w:t>30</w:t>
            </w:r>
            <w:r>
              <w:rPr>
                <w:rFonts w:hint="eastAsia" w:ascii="宋体" w:hAnsi="宋体" w:eastAsia="宋体" w:cs="宋体"/>
                <w:b/>
                <w:bCs w:val="0"/>
                <w:color w:val="000000"/>
                <w:kern w:val="0"/>
                <w:sz w:val="21"/>
                <w:szCs w:val="21"/>
                <w:highlight w:val="none"/>
                <w:lang w:eastAsia="zh-Hans"/>
              </w:rPr>
              <w:t>分)</w:t>
            </w:r>
          </w:p>
          <w:p w14:paraId="7B92E4FC">
            <w:pPr>
              <w:keepNext w:val="0"/>
              <w:keepLines w:val="0"/>
              <w:pageBreakBefore w:val="0"/>
              <w:widowControl w:val="0"/>
              <w:kinsoku/>
              <w:wordWrap w:val="0"/>
              <w:overflowPunct/>
              <w:topLinePunct w:val="0"/>
              <w:autoSpaceDE/>
              <w:autoSpaceDN/>
              <w:bidi w:val="0"/>
              <w:adjustRightInd/>
              <w:snapToGrid/>
              <w:spacing w:line="400" w:lineRule="exact"/>
              <w:ind w:left="113" w:leftChars="0" w:right="113" w:rightChars="0" w:firstLine="210" w:firstLineChars="1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对采购需求技术标准与要求中</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未标注</w:t>
            </w:r>
            <w:r>
              <w:rPr>
                <w:rFonts w:hint="eastAsia" w:ascii="宋体" w:hAnsi="宋体" w:eastAsia="宋体" w:cs="宋体"/>
                <w:bCs/>
                <w:color w:val="000000"/>
                <w:sz w:val="21"/>
                <w:szCs w:val="21"/>
                <w:highlight w:val="none"/>
              </w:rPr>
              <w:t>“</w:t>
            </w:r>
            <w:r>
              <w:rPr>
                <w:rFonts w:hint="eastAsia" w:ascii="宋体" w:hAnsi="宋体" w:eastAsia="宋体" w:cs="宋体"/>
                <w:b/>
                <w:bCs/>
                <w:color w:val="000000"/>
                <w:kern w:val="0"/>
                <w:sz w:val="21"/>
                <w:szCs w:val="21"/>
                <w:highlight w:val="none"/>
              </w:rPr>
              <w:t>▲</w:t>
            </w: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lang w:val="en-US" w:eastAsia="zh-CN"/>
              </w:rPr>
              <w:t>号和未标注</w:t>
            </w:r>
            <w:r>
              <w:rPr>
                <w:rFonts w:hint="eastAsia" w:ascii="宋体" w:hAnsi="宋体" w:eastAsia="宋体" w:cs="宋体"/>
                <w:bCs/>
                <w:color w:val="000000"/>
                <w:sz w:val="21"/>
                <w:szCs w:val="21"/>
                <w:highlight w:val="none"/>
              </w:rPr>
              <w:t>“</w:t>
            </w:r>
            <w:r>
              <w:rPr>
                <w:rFonts w:hint="eastAsia" w:ascii="宋体" w:hAnsi="宋体" w:eastAsia="宋体" w:cs="宋体"/>
                <w:b/>
                <w:color w:val="000000"/>
                <w:sz w:val="21"/>
                <w:szCs w:val="21"/>
                <w:highlight w:val="none"/>
              </w:rPr>
              <w:t>●</w:t>
            </w: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lang w:val="en-US" w:eastAsia="zh-CN"/>
              </w:rPr>
              <w:t>号的</w:t>
            </w:r>
            <w:r>
              <w:rPr>
                <w:rFonts w:hint="eastAsia" w:ascii="宋体" w:hAnsi="宋体" w:eastAsia="宋体" w:cs="宋体"/>
                <w:color w:val="000000"/>
                <w:sz w:val="21"/>
                <w:szCs w:val="21"/>
                <w:highlight w:val="none"/>
              </w:rPr>
              <w:t>一般技术参数响应情况进行评审：</w:t>
            </w:r>
          </w:p>
          <w:p w14:paraId="3AF4A8F5">
            <w:pPr>
              <w:keepNext w:val="0"/>
              <w:keepLines w:val="0"/>
              <w:pageBreakBefore w:val="0"/>
              <w:widowControl w:val="0"/>
              <w:kinsoku/>
              <w:wordWrap/>
              <w:overflowPunct/>
              <w:topLinePunct w:val="0"/>
              <w:autoSpaceDE/>
              <w:autoSpaceDN/>
              <w:bidi w:val="0"/>
              <w:adjustRightInd/>
              <w:snapToGrid/>
              <w:spacing w:line="400" w:lineRule="exact"/>
              <w:ind w:left="113" w:leftChars="0" w:right="113" w:firstLine="210" w:firstLineChars="100"/>
              <w:jc w:val="left"/>
              <w:textAlignment w:val="auto"/>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rPr>
              <w:t>完全满足或优于招标文件</w:t>
            </w:r>
            <w:r>
              <w:rPr>
                <w:rFonts w:hint="eastAsia" w:ascii="宋体" w:hAnsi="宋体" w:eastAsia="宋体" w:cs="宋体"/>
                <w:color w:val="000000"/>
                <w:sz w:val="21"/>
                <w:szCs w:val="21"/>
                <w:highlight w:val="none"/>
                <w:lang w:eastAsia="zh-CN"/>
              </w:rPr>
              <w:t>采购需求</w:t>
            </w:r>
            <w:r>
              <w:rPr>
                <w:rFonts w:hint="eastAsia" w:ascii="宋体" w:hAnsi="宋体" w:eastAsia="宋体" w:cs="宋体"/>
                <w:b w:val="0"/>
                <w:bCs/>
                <w:color w:val="000000"/>
                <w:kern w:val="0"/>
                <w:sz w:val="21"/>
                <w:szCs w:val="21"/>
                <w:highlight w:val="none"/>
                <w:lang w:eastAsia="zh-Hans"/>
              </w:rPr>
              <w:t>一般</w:t>
            </w:r>
            <w:r>
              <w:rPr>
                <w:rFonts w:hint="eastAsia" w:ascii="宋体" w:hAnsi="宋体" w:eastAsia="宋体" w:cs="宋体"/>
                <w:color w:val="000000"/>
                <w:sz w:val="21"/>
                <w:szCs w:val="21"/>
                <w:highlight w:val="none"/>
                <w:lang w:eastAsia="zh-CN"/>
              </w:rPr>
              <w:t>技术标准与要求</w:t>
            </w:r>
            <w:r>
              <w:rPr>
                <w:rFonts w:hint="eastAsia" w:ascii="宋体" w:hAnsi="宋体" w:eastAsia="宋体" w:cs="宋体"/>
                <w:color w:val="000000"/>
                <w:sz w:val="21"/>
                <w:szCs w:val="21"/>
                <w:highlight w:val="none"/>
                <w:lang w:val="en-US" w:eastAsia="zh-CN"/>
              </w:rPr>
              <w:t>的，</w:t>
            </w:r>
            <w:r>
              <w:rPr>
                <w:rFonts w:hint="eastAsia" w:ascii="宋体" w:hAnsi="宋体" w:eastAsia="宋体" w:cs="宋体"/>
                <w:color w:val="000000"/>
                <w:sz w:val="21"/>
                <w:szCs w:val="21"/>
                <w:highlight w:val="none"/>
              </w:rPr>
              <w:t>得</w:t>
            </w:r>
            <w:r>
              <w:rPr>
                <w:rFonts w:hint="default" w:ascii="宋体" w:hAnsi="宋体" w:eastAsia="宋体" w:cs="宋体"/>
                <w:color w:val="000000"/>
                <w:sz w:val="21"/>
                <w:szCs w:val="21"/>
                <w:highlight w:val="none"/>
                <w:lang w:val="en-US" w:eastAsia="zh-CN"/>
              </w:rPr>
              <w:t>30</w:t>
            </w:r>
            <w:r>
              <w:rPr>
                <w:rFonts w:hint="eastAsia" w:ascii="宋体" w:hAnsi="宋体" w:eastAsia="宋体" w:cs="宋体"/>
                <w:color w:val="000000"/>
                <w:sz w:val="21"/>
                <w:szCs w:val="21"/>
                <w:highlight w:val="none"/>
              </w:rPr>
              <w:t>分，</w:t>
            </w:r>
            <w:r>
              <w:rPr>
                <w:rFonts w:hint="eastAsia" w:ascii="宋体" w:hAnsi="宋体" w:eastAsia="宋体" w:cs="宋体"/>
                <w:bCs/>
                <w:color w:val="000000"/>
                <w:szCs w:val="21"/>
                <w:highlight w:val="none"/>
              </w:rPr>
              <w:t>每有1项（条）</w:t>
            </w:r>
            <w:r>
              <w:rPr>
                <w:rFonts w:hint="eastAsia" w:ascii="宋体" w:hAnsi="宋体" w:eastAsia="宋体" w:cs="宋体"/>
                <w:bCs/>
                <w:color w:val="000000"/>
                <w:szCs w:val="21"/>
                <w:highlight w:val="none"/>
                <w:lang w:val="en-US" w:eastAsia="zh-CN"/>
              </w:rPr>
              <w:t>出现</w:t>
            </w:r>
            <w:r>
              <w:rPr>
                <w:rFonts w:hint="eastAsia" w:ascii="宋体" w:hAnsi="宋体" w:eastAsia="宋体" w:cs="宋体"/>
                <w:bCs/>
                <w:color w:val="000000"/>
                <w:szCs w:val="21"/>
                <w:highlight w:val="none"/>
              </w:rPr>
              <w:t>负偏离或漏项或不满足的</w:t>
            </w:r>
            <w:r>
              <w:rPr>
                <w:rFonts w:hint="eastAsia" w:ascii="宋体" w:hAnsi="宋体" w:eastAsia="宋体" w:cs="宋体"/>
                <w:color w:val="000000"/>
                <w:sz w:val="21"/>
                <w:szCs w:val="21"/>
                <w:highlight w:val="none"/>
                <w:lang w:eastAsia="zh-CN"/>
              </w:rPr>
              <w:t>扣</w:t>
            </w:r>
            <w:r>
              <w:rPr>
                <w:rFonts w:hint="eastAsia" w:ascii="宋体" w:hAnsi="宋体" w:eastAsia="宋体" w:cs="宋体"/>
                <w:color w:val="000000"/>
                <w:sz w:val="21"/>
                <w:szCs w:val="21"/>
                <w:highlight w:val="none"/>
                <w:lang w:val="en-US" w:eastAsia="zh-CN"/>
              </w:rPr>
              <w:t>1</w:t>
            </w:r>
            <w:r>
              <w:rPr>
                <w:rFonts w:hint="eastAsia" w:ascii="宋体" w:hAnsi="宋体" w:eastAsia="宋体" w:cs="宋体"/>
                <w:color w:val="000000"/>
                <w:sz w:val="21"/>
                <w:szCs w:val="21"/>
                <w:highlight w:val="none"/>
                <w:lang w:eastAsia="zh-CN"/>
              </w:rPr>
              <w:t>分，</w:t>
            </w:r>
            <w:r>
              <w:rPr>
                <w:rFonts w:hint="eastAsia" w:ascii="宋体" w:hAnsi="宋体" w:eastAsia="宋体" w:cs="宋体"/>
                <w:color w:val="000000"/>
                <w:sz w:val="21"/>
                <w:szCs w:val="21"/>
                <w:highlight w:val="none"/>
                <w:lang w:val="en-US" w:eastAsia="zh-CN"/>
              </w:rPr>
              <w:t>扣完为止</w:t>
            </w:r>
            <w:r>
              <w:rPr>
                <w:rFonts w:hint="eastAsia" w:ascii="宋体" w:hAnsi="宋体" w:eastAsia="宋体" w:cs="宋体"/>
                <w:color w:val="000000"/>
                <w:sz w:val="21"/>
                <w:szCs w:val="21"/>
                <w:highlight w:val="none"/>
                <w:lang w:eastAsia="zh-CN"/>
              </w:rPr>
              <w:t>。</w:t>
            </w:r>
          </w:p>
          <w:p w14:paraId="5B54746F">
            <w:pPr>
              <w:pStyle w:val="15"/>
              <w:keepNext w:val="0"/>
              <w:keepLines w:val="0"/>
              <w:pageBreakBefore w:val="0"/>
              <w:widowControl w:val="0"/>
              <w:kinsoku/>
              <w:wordWrap/>
              <w:overflowPunct/>
              <w:topLinePunct w:val="0"/>
              <w:autoSpaceDE/>
              <w:autoSpaceDN/>
              <w:bidi w:val="0"/>
              <w:adjustRightInd/>
              <w:snapToGrid/>
              <w:spacing w:before="157" w:beforeLines="50" w:after="0" w:afterLines="0" w:line="400" w:lineRule="exact"/>
              <w:ind w:left="113" w:leftChars="0" w:right="113" w:firstLine="0" w:firstLineChars="0"/>
              <w:jc w:val="left"/>
              <w:textAlignment w:val="auto"/>
              <w:rPr>
                <w:rFonts w:hint="eastAsia" w:ascii="宋体" w:hAnsi="宋体" w:eastAsia="宋体" w:cs="宋体"/>
                <w:b/>
                <w:bCs w:val="0"/>
                <w:color w:val="000000"/>
                <w:sz w:val="21"/>
                <w:szCs w:val="21"/>
                <w:highlight w:val="none"/>
                <w:lang w:val="en-US" w:eastAsia="zh-CN"/>
              </w:rPr>
            </w:pPr>
            <w:r>
              <w:rPr>
                <w:rFonts w:hint="eastAsia" w:ascii="宋体" w:hAnsi="宋体" w:eastAsia="宋体" w:cs="宋体"/>
                <w:b/>
                <w:bCs w:val="0"/>
                <w:color w:val="000000"/>
                <w:sz w:val="21"/>
                <w:szCs w:val="21"/>
                <w:highlight w:val="none"/>
                <w:lang w:val="en-US" w:eastAsia="zh-CN"/>
              </w:rPr>
              <w:t>针对分标二（满分45分）：</w:t>
            </w:r>
          </w:p>
          <w:p w14:paraId="080400F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113" w:leftChars="0" w:right="113" w:firstLine="211" w:firstLineChars="100"/>
              <w:jc w:val="left"/>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b/>
                <w:bCs w:val="0"/>
                <w:color w:val="000000"/>
                <w:kern w:val="0"/>
                <w:sz w:val="21"/>
                <w:szCs w:val="21"/>
                <w:highlight w:val="none"/>
                <w:lang w:eastAsia="zh-Hans"/>
              </w:rPr>
              <w:t>（</w:t>
            </w:r>
            <w:r>
              <w:rPr>
                <w:rFonts w:hint="eastAsia" w:ascii="宋体" w:hAnsi="宋体" w:eastAsia="宋体" w:cs="宋体"/>
                <w:b/>
                <w:bCs w:val="0"/>
                <w:color w:val="000000"/>
                <w:kern w:val="0"/>
                <w:sz w:val="21"/>
                <w:szCs w:val="21"/>
                <w:highlight w:val="none"/>
                <w:lang w:eastAsia="zh-CN"/>
              </w:rPr>
              <w:t>1</w:t>
            </w:r>
            <w:r>
              <w:rPr>
                <w:rFonts w:hint="eastAsia" w:ascii="宋体" w:hAnsi="宋体" w:eastAsia="宋体" w:cs="宋体"/>
                <w:b/>
                <w:bCs w:val="0"/>
                <w:color w:val="000000"/>
                <w:kern w:val="0"/>
                <w:sz w:val="21"/>
                <w:szCs w:val="21"/>
                <w:highlight w:val="none"/>
                <w:lang w:eastAsia="zh-Hans"/>
              </w:rPr>
              <w:t>）重要技术条款响应情况 (</w:t>
            </w:r>
            <w:r>
              <w:rPr>
                <w:rFonts w:hint="eastAsia" w:ascii="宋体" w:hAnsi="宋体" w:eastAsia="宋体" w:cs="宋体"/>
                <w:b/>
                <w:bCs w:val="0"/>
                <w:color w:val="000000"/>
                <w:kern w:val="0"/>
                <w:sz w:val="21"/>
                <w:szCs w:val="21"/>
                <w:highlight w:val="none"/>
                <w:lang w:val="en-US" w:eastAsia="zh-CN"/>
              </w:rPr>
              <w:t>2</w:t>
            </w:r>
            <w:r>
              <w:rPr>
                <w:rFonts w:hint="default" w:ascii="宋体" w:hAnsi="宋体" w:eastAsia="宋体" w:cs="宋体"/>
                <w:b/>
                <w:bCs w:val="0"/>
                <w:color w:val="000000"/>
                <w:kern w:val="0"/>
                <w:sz w:val="21"/>
                <w:szCs w:val="21"/>
                <w:highlight w:val="none"/>
                <w:lang w:val="en-US" w:eastAsia="zh-CN"/>
              </w:rPr>
              <w:t>1</w:t>
            </w:r>
            <w:r>
              <w:rPr>
                <w:rFonts w:hint="eastAsia" w:ascii="宋体" w:hAnsi="宋体" w:eastAsia="宋体" w:cs="宋体"/>
                <w:b/>
                <w:bCs w:val="0"/>
                <w:color w:val="000000"/>
                <w:kern w:val="0"/>
                <w:sz w:val="21"/>
                <w:szCs w:val="21"/>
                <w:highlight w:val="none"/>
                <w:lang w:eastAsia="zh-Hans"/>
              </w:rPr>
              <w:t>分)</w:t>
            </w:r>
          </w:p>
          <w:p w14:paraId="7A0545F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113" w:leftChars="0" w:right="113" w:firstLine="210" w:firstLineChars="100"/>
              <w:jc w:val="left"/>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对</w:t>
            </w:r>
            <w:r>
              <w:rPr>
                <w:rFonts w:hint="eastAsia" w:ascii="宋体" w:hAnsi="宋体" w:eastAsia="宋体" w:cs="宋体"/>
                <w:color w:val="000000"/>
                <w:sz w:val="21"/>
                <w:szCs w:val="21"/>
                <w:highlight w:val="none"/>
                <w:lang w:eastAsia="zh-CN"/>
              </w:rPr>
              <w:t>采购需求技术标准与要求中，标注“</w:t>
            </w:r>
            <w:r>
              <w:rPr>
                <w:rFonts w:hint="eastAsia" w:ascii="宋体" w:hAnsi="宋体" w:eastAsia="宋体" w:cs="宋体"/>
                <w:b/>
                <w:color w:val="000000"/>
                <w:sz w:val="21"/>
                <w:szCs w:val="21"/>
                <w:highlight w:val="none"/>
              </w:rPr>
              <w:t>●</w:t>
            </w:r>
            <w:r>
              <w:rPr>
                <w:rFonts w:hint="eastAsia" w:ascii="宋体" w:hAnsi="宋体" w:eastAsia="宋体" w:cs="宋体"/>
                <w:color w:val="000000"/>
                <w:sz w:val="21"/>
                <w:szCs w:val="21"/>
                <w:highlight w:val="none"/>
                <w:lang w:eastAsia="zh-CN"/>
              </w:rPr>
              <w:t>”的重要技术参数（</w:t>
            </w:r>
            <w:r>
              <w:rPr>
                <w:rFonts w:hint="eastAsia" w:ascii="宋体" w:hAnsi="宋体" w:eastAsia="宋体" w:cs="宋体"/>
                <w:color w:val="000000"/>
                <w:sz w:val="21"/>
                <w:szCs w:val="21"/>
                <w:highlight w:val="none"/>
                <w:lang w:val="en-US" w:eastAsia="zh-CN"/>
              </w:rPr>
              <w:t>共计7项</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响应情况进行评审：</w:t>
            </w:r>
          </w:p>
          <w:p w14:paraId="1D19ACB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113" w:leftChars="0" w:right="113" w:firstLine="210" w:firstLineChars="100"/>
              <w:jc w:val="left"/>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eastAsia="zh-CN"/>
              </w:rPr>
              <w:t>完全满足或优于招标文件采购需求重要技术标准与要求的，得</w:t>
            </w:r>
            <w:r>
              <w:rPr>
                <w:rFonts w:hint="eastAsia" w:ascii="宋体" w:hAnsi="宋体" w:eastAsia="宋体" w:cs="宋体"/>
                <w:color w:val="000000"/>
                <w:sz w:val="21"/>
                <w:szCs w:val="21"/>
                <w:highlight w:val="none"/>
                <w:lang w:val="en-US" w:eastAsia="zh-CN"/>
              </w:rPr>
              <w:t>2</w:t>
            </w:r>
            <w:r>
              <w:rPr>
                <w:rFonts w:hint="default" w:ascii="宋体" w:hAnsi="宋体" w:eastAsia="宋体" w:cs="宋体"/>
                <w:color w:val="000000"/>
                <w:sz w:val="21"/>
                <w:szCs w:val="21"/>
                <w:highlight w:val="none"/>
                <w:lang w:val="en-US" w:eastAsia="zh-CN"/>
              </w:rPr>
              <w:t>1</w:t>
            </w:r>
            <w:r>
              <w:rPr>
                <w:rFonts w:hint="eastAsia" w:ascii="宋体" w:hAnsi="宋体" w:eastAsia="宋体" w:cs="宋体"/>
                <w:color w:val="000000"/>
                <w:sz w:val="21"/>
                <w:szCs w:val="21"/>
                <w:highlight w:val="none"/>
                <w:lang w:eastAsia="zh-CN"/>
              </w:rPr>
              <w:t>分，</w:t>
            </w:r>
            <w:r>
              <w:rPr>
                <w:rFonts w:hint="eastAsia" w:ascii="宋体" w:hAnsi="宋体" w:eastAsia="宋体" w:cs="宋体"/>
                <w:bCs/>
                <w:color w:val="000000"/>
                <w:szCs w:val="21"/>
                <w:highlight w:val="none"/>
              </w:rPr>
              <w:t>每有1项（条）</w:t>
            </w:r>
            <w:r>
              <w:rPr>
                <w:rFonts w:hint="eastAsia" w:ascii="宋体" w:hAnsi="宋体" w:eastAsia="宋体" w:cs="宋体"/>
                <w:bCs/>
                <w:color w:val="000000"/>
                <w:szCs w:val="21"/>
                <w:highlight w:val="none"/>
                <w:lang w:val="en-US" w:eastAsia="zh-CN"/>
              </w:rPr>
              <w:t>出现</w:t>
            </w:r>
            <w:r>
              <w:rPr>
                <w:rFonts w:hint="eastAsia" w:ascii="宋体" w:hAnsi="宋体" w:eastAsia="宋体" w:cs="宋体"/>
                <w:bCs/>
                <w:color w:val="000000"/>
                <w:szCs w:val="21"/>
                <w:highlight w:val="none"/>
              </w:rPr>
              <w:t>负偏离或漏项或不满足的</w:t>
            </w:r>
            <w:r>
              <w:rPr>
                <w:rFonts w:hint="eastAsia" w:ascii="宋体" w:hAnsi="宋体" w:eastAsia="宋体" w:cs="宋体"/>
                <w:color w:val="000000"/>
                <w:sz w:val="21"/>
                <w:szCs w:val="21"/>
                <w:highlight w:val="none"/>
                <w:lang w:eastAsia="zh-CN"/>
              </w:rPr>
              <w:t>扣</w:t>
            </w:r>
            <w:r>
              <w:rPr>
                <w:rFonts w:hint="default" w:ascii="宋体" w:hAnsi="宋体" w:eastAsia="宋体" w:cs="宋体"/>
                <w:color w:val="000000"/>
                <w:sz w:val="21"/>
                <w:szCs w:val="21"/>
                <w:highlight w:val="none"/>
                <w:lang w:val="en-US" w:eastAsia="zh-CN"/>
              </w:rPr>
              <w:t>3</w:t>
            </w:r>
            <w:r>
              <w:rPr>
                <w:rFonts w:hint="eastAsia" w:ascii="宋体" w:hAnsi="宋体" w:eastAsia="宋体" w:cs="宋体"/>
                <w:color w:val="000000"/>
                <w:sz w:val="21"/>
                <w:szCs w:val="21"/>
                <w:highlight w:val="none"/>
                <w:lang w:eastAsia="zh-CN"/>
              </w:rPr>
              <w:t>分，</w:t>
            </w:r>
            <w:r>
              <w:rPr>
                <w:rFonts w:hint="eastAsia" w:ascii="宋体" w:hAnsi="宋体" w:eastAsia="宋体" w:cs="宋体"/>
                <w:color w:val="000000"/>
                <w:sz w:val="21"/>
                <w:szCs w:val="21"/>
                <w:highlight w:val="none"/>
                <w:lang w:val="en-US" w:eastAsia="zh-CN"/>
              </w:rPr>
              <w:t>扣完为止</w:t>
            </w:r>
            <w:r>
              <w:rPr>
                <w:rFonts w:hint="eastAsia" w:ascii="宋体" w:hAnsi="宋体" w:eastAsia="宋体" w:cs="宋体"/>
                <w:color w:val="000000"/>
                <w:sz w:val="21"/>
                <w:szCs w:val="21"/>
                <w:highlight w:val="none"/>
                <w:lang w:eastAsia="zh-CN"/>
              </w:rPr>
              <w:t>。</w:t>
            </w:r>
          </w:p>
          <w:p w14:paraId="079F31DD">
            <w:pPr>
              <w:keepNext w:val="0"/>
              <w:keepLines w:val="0"/>
              <w:pageBreakBefore w:val="0"/>
              <w:widowControl w:val="0"/>
              <w:kinsoku/>
              <w:wordWrap w:val="0"/>
              <w:overflowPunct/>
              <w:topLinePunct w:val="0"/>
              <w:autoSpaceDE/>
              <w:autoSpaceDN/>
              <w:bidi w:val="0"/>
              <w:adjustRightInd/>
              <w:snapToGrid/>
              <w:spacing w:line="400" w:lineRule="exact"/>
              <w:ind w:left="113" w:leftChars="0" w:right="113" w:rightChars="0" w:firstLine="211" w:firstLineChars="100"/>
              <w:textAlignment w:val="auto"/>
              <w:rPr>
                <w:rFonts w:hint="eastAsia" w:ascii="宋体" w:hAnsi="宋体" w:eastAsia="宋体" w:cs="宋体"/>
                <w:b/>
                <w:bCs w:val="0"/>
                <w:color w:val="000000"/>
                <w:sz w:val="21"/>
                <w:szCs w:val="21"/>
                <w:highlight w:val="none"/>
                <w:lang w:eastAsia="zh-CN"/>
              </w:rPr>
            </w:pPr>
            <w:r>
              <w:rPr>
                <w:rFonts w:hint="eastAsia" w:ascii="宋体" w:hAnsi="宋体" w:eastAsia="宋体" w:cs="宋体"/>
                <w:b/>
                <w:bCs w:val="0"/>
                <w:color w:val="000000"/>
                <w:sz w:val="21"/>
                <w:szCs w:val="21"/>
                <w:highlight w:val="none"/>
                <w:lang w:eastAsia="zh-CN"/>
              </w:rPr>
              <w:t>（</w:t>
            </w:r>
            <w:r>
              <w:rPr>
                <w:rFonts w:hint="eastAsia" w:ascii="宋体" w:hAnsi="宋体" w:eastAsia="宋体" w:cs="宋体"/>
                <w:b/>
                <w:bCs w:val="0"/>
                <w:color w:val="000000"/>
                <w:sz w:val="21"/>
                <w:szCs w:val="21"/>
                <w:highlight w:val="none"/>
                <w:lang w:val="en-US" w:eastAsia="zh-CN"/>
              </w:rPr>
              <w:t>2</w:t>
            </w:r>
            <w:r>
              <w:rPr>
                <w:rFonts w:hint="eastAsia" w:ascii="宋体" w:hAnsi="宋体" w:eastAsia="宋体" w:cs="宋体"/>
                <w:b/>
                <w:bCs w:val="0"/>
                <w:color w:val="000000"/>
                <w:sz w:val="21"/>
                <w:szCs w:val="21"/>
                <w:highlight w:val="none"/>
                <w:lang w:eastAsia="zh-CN"/>
              </w:rPr>
              <w:t>）</w:t>
            </w:r>
            <w:r>
              <w:rPr>
                <w:rFonts w:hint="eastAsia" w:ascii="宋体" w:hAnsi="宋体" w:eastAsia="宋体" w:cs="宋体"/>
                <w:b/>
                <w:bCs w:val="0"/>
                <w:color w:val="000000"/>
                <w:kern w:val="0"/>
                <w:sz w:val="21"/>
                <w:szCs w:val="21"/>
                <w:highlight w:val="none"/>
                <w:lang w:eastAsia="zh-Hans"/>
              </w:rPr>
              <w:t>一般技术条款响应情况 (</w:t>
            </w:r>
            <w:r>
              <w:rPr>
                <w:rFonts w:hint="default" w:ascii="宋体" w:hAnsi="宋体" w:eastAsia="宋体" w:cs="宋体"/>
                <w:b/>
                <w:bCs w:val="0"/>
                <w:color w:val="000000"/>
                <w:kern w:val="0"/>
                <w:sz w:val="21"/>
                <w:szCs w:val="21"/>
                <w:highlight w:val="none"/>
                <w:lang w:val="en-US" w:eastAsia="zh-CN"/>
              </w:rPr>
              <w:t>24</w:t>
            </w:r>
            <w:r>
              <w:rPr>
                <w:rFonts w:hint="eastAsia" w:ascii="宋体" w:hAnsi="宋体" w:eastAsia="宋体" w:cs="宋体"/>
                <w:b/>
                <w:bCs w:val="0"/>
                <w:color w:val="000000"/>
                <w:kern w:val="0"/>
                <w:sz w:val="21"/>
                <w:szCs w:val="21"/>
                <w:highlight w:val="none"/>
                <w:lang w:eastAsia="zh-Hans"/>
              </w:rPr>
              <w:t>分)</w:t>
            </w:r>
          </w:p>
          <w:p w14:paraId="04D0CC3C">
            <w:pPr>
              <w:keepNext w:val="0"/>
              <w:keepLines w:val="0"/>
              <w:pageBreakBefore w:val="0"/>
              <w:widowControl w:val="0"/>
              <w:kinsoku/>
              <w:wordWrap w:val="0"/>
              <w:overflowPunct/>
              <w:topLinePunct w:val="0"/>
              <w:autoSpaceDE/>
              <w:autoSpaceDN/>
              <w:bidi w:val="0"/>
              <w:adjustRightInd/>
              <w:snapToGrid/>
              <w:spacing w:line="400" w:lineRule="exact"/>
              <w:ind w:left="113" w:leftChars="0" w:right="113" w:rightChars="0" w:firstLine="210" w:firstLineChars="1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对采购需求技术标准与要求中</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未标注</w:t>
            </w:r>
            <w:r>
              <w:rPr>
                <w:rFonts w:hint="eastAsia" w:ascii="宋体" w:hAnsi="宋体" w:eastAsia="宋体" w:cs="宋体"/>
                <w:bCs/>
                <w:color w:val="000000"/>
                <w:sz w:val="21"/>
                <w:szCs w:val="21"/>
                <w:highlight w:val="none"/>
              </w:rPr>
              <w:t>“</w:t>
            </w:r>
            <w:r>
              <w:rPr>
                <w:rFonts w:hint="eastAsia" w:ascii="宋体" w:hAnsi="宋体" w:eastAsia="宋体" w:cs="宋体"/>
                <w:b/>
                <w:bCs/>
                <w:color w:val="000000"/>
                <w:kern w:val="0"/>
                <w:sz w:val="21"/>
                <w:szCs w:val="21"/>
                <w:highlight w:val="none"/>
              </w:rPr>
              <w:t>▲</w:t>
            </w: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lang w:val="en-US" w:eastAsia="zh-CN"/>
              </w:rPr>
              <w:t>号和未标注</w:t>
            </w:r>
            <w:r>
              <w:rPr>
                <w:rFonts w:hint="eastAsia" w:ascii="宋体" w:hAnsi="宋体" w:eastAsia="宋体" w:cs="宋体"/>
                <w:bCs/>
                <w:color w:val="000000"/>
                <w:sz w:val="21"/>
                <w:szCs w:val="21"/>
                <w:highlight w:val="none"/>
              </w:rPr>
              <w:t>“</w:t>
            </w:r>
            <w:r>
              <w:rPr>
                <w:rFonts w:hint="eastAsia" w:ascii="宋体" w:hAnsi="宋体" w:eastAsia="宋体" w:cs="宋体"/>
                <w:b/>
                <w:color w:val="000000"/>
                <w:sz w:val="21"/>
                <w:szCs w:val="21"/>
                <w:highlight w:val="none"/>
              </w:rPr>
              <w:t>●</w:t>
            </w: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lang w:val="en-US" w:eastAsia="zh-CN"/>
              </w:rPr>
              <w:t>号的</w:t>
            </w:r>
            <w:r>
              <w:rPr>
                <w:rFonts w:hint="eastAsia" w:ascii="宋体" w:hAnsi="宋体" w:eastAsia="宋体" w:cs="宋体"/>
                <w:color w:val="000000"/>
                <w:sz w:val="21"/>
                <w:szCs w:val="21"/>
                <w:highlight w:val="none"/>
              </w:rPr>
              <w:t>一般技术参数响应情况进行评审：</w:t>
            </w:r>
          </w:p>
          <w:p w14:paraId="3783FA75">
            <w:pPr>
              <w:keepNext w:val="0"/>
              <w:keepLines w:val="0"/>
              <w:pageBreakBefore w:val="0"/>
              <w:widowControl w:val="0"/>
              <w:kinsoku/>
              <w:wordWrap/>
              <w:overflowPunct/>
              <w:topLinePunct w:val="0"/>
              <w:autoSpaceDE/>
              <w:autoSpaceDN/>
              <w:bidi w:val="0"/>
              <w:adjustRightInd/>
              <w:snapToGrid/>
              <w:spacing w:line="400" w:lineRule="exact"/>
              <w:ind w:left="113" w:leftChars="0" w:right="113" w:firstLine="210" w:firstLineChars="100"/>
              <w:jc w:val="left"/>
              <w:textAlignment w:val="auto"/>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rPr>
              <w:t>完全满足或优于招标文件</w:t>
            </w:r>
            <w:r>
              <w:rPr>
                <w:rFonts w:hint="eastAsia" w:ascii="宋体" w:hAnsi="宋体" w:eastAsia="宋体" w:cs="宋体"/>
                <w:color w:val="000000"/>
                <w:sz w:val="21"/>
                <w:szCs w:val="21"/>
                <w:highlight w:val="none"/>
                <w:lang w:eastAsia="zh-CN"/>
              </w:rPr>
              <w:t>采购需求</w:t>
            </w:r>
            <w:r>
              <w:rPr>
                <w:rFonts w:hint="eastAsia" w:ascii="宋体" w:hAnsi="宋体" w:eastAsia="宋体" w:cs="宋体"/>
                <w:b w:val="0"/>
                <w:bCs/>
                <w:color w:val="000000"/>
                <w:kern w:val="0"/>
                <w:sz w:val="21"/>
                <w:szCs w:val="21"/>
                <w:highlight w:val="none"/>
                <w:lang w:eastAsia="zh-Hans"/>
              </w:rPr>
              <w:t>一般</w:t>
            </w:r>
            <w:r>
              <w:rPr>
                <w:rFonts w:hint="eastAsia" w:ascii="宋体" w:hAnsi="宋体" w:eastAsia="宋体" w:cs="宋体"/>
                <w:color w:val="000000"/>
                <w:sz w:val="21"/>
                <w:szCs w:val="21"/>
                <w:highlight w:val="none"/>
                <w:lang w:eastAsia="zh-CN"/>
              </w:rPr>
              <w:t>技术标准与要求</w:t>
            </w:r>
            <w:r>
              <w:rPr>
                <w:rFonts w:hint="eastAsia" w:ascii="宋体" w:hAnsi="宋体" w:eastAsia="宋体" w:cs="宋体"/>
                <w:color w:val="000000"/>
                <w:sz w:val="21"/>
                <w:szCs w:val="21"/>
                <w:highlight w:val="none"/>
                <w:lang w:val="en-US" w:eastAsia="zh-CN"/>
              </w:rPr>
              <w:t>的，</w:t>
            </w:r>
            <w:r>
              <w:rPr>
                <w:rFonts w:hint="eastAsia" w:ascii="宋体" w:hAnsi="宋体" w:eastAsia="宋体" w:cs="宋体"/>
                <w:color w:val="000000"/>
                <w:sz w:val="21"/>
                <w:szCs w:val="21"/>
                <w:highlight w:val="none"/>
              </w:rPr>
              <w:t>得</w:t>
            </w:r>
            <w:r>
              <w:rPr>
                <w:rFonts w:hint="default" w:ascii="宋体" w:hAnsi="宋体" w:eastAsia="宋体" w:cs="宋体"/>
                <w:color w:val="000000"/>
                <w:sz w:val="21"/>
                <w:szCs w:val="21"/>
                <w:highlight w:val="none"/>
                <w:lang w:val="en-US" w:eastAsia="zh-CN"/>
              </w:rPr>
              <w:t>24</w:t>
            </w:r>
            <w:r>
              <w:rPr>
                <w:rFonts w:hint="eastAsia" w:ascii="宋体" w:hAnsi="宋体" w:eastAsia="宋体" w:cs="宋体"/>
                <w:color w:val="000000"/>
                <w:sz w:val="21"/>
                <w:szCs w:val="21"/>
                <w:highlight w:val="none"/>
              </w:rPr>
              <w:t>分，</w:t>
            </w:r>
            <w:r>
              <w:rPr>
                <w:rFonts w:hint="eastAsia" w:ascii="宋体" w:hAnsi="宋体" w:eastAsia="宋体" w:cs="宋体"/>
                <w:bCs/>
                <w:color w:val="000000"/>
                <w:szCs w:val="21"/>
                <w:highlight w:val="none"/>
              </w:rPr>
              <w:t>每有1项（条）</w:t>
            </w:r>
            <w:r>
              <w:rPr>
                <w:rFonts w:hint="eastAsia" w:ascii="宋体" w:hAnsi="宋体" w:eastAsia="宋体" w:cs="宋体"/>
                <w:bCs/>
                <w:color w:val="000000"/>
                <w:szCs w:val="21"/>
                <w:highlight w:val="none"/>
                <w:lang w:val="en-US" w:eastAsia="zh-CN"/>
              </w:rPr>
              <w:t>出现</w:t>
            </w:r>
            <w:r>
              <w:rPr>
                <w:rFonts w:hint="eastAsia" w:ascii="宋体" w:hAnsi="宋体" w:eastAsia="宋体" w:cs="宋体"/>
                <w:bCs/>
                <w:color w:val="000000"/>
                <w:szCs w:val="21"/>
                <w:highlight w:val="none"/>
              </w:rPr>
              <w:t>负偏离或漏项或不满足的</w:t>
            </w:r>
            <w:r>
              <w:rPr>
                <w:rFonts w:hint="eastAsia" w:ascii="宋体" w:hAnsi="宋体" w:eastAsia="宋体" w:cs="宋体"/>
                <w:color w:val="000000"/>
                <w:sz w:val="21"/>
                <w:szCs w:val="21"/>
                <w:highlight w:val="none"/>
                <w:lang w:eastAsia="zh-CN"/>
              </w:rPr>
              <w:t>扣</w:t>
            </w:r>
            <w:r>
              <w:rPr>
                <w:rFonts w:hint="eastAsia" w:ascii="宋体" w:hAnsi="宋体" w:eastAsia="宋体" w:cs="宋体"/>
                <w:color w:val="000000"/>
                <w:sz w:val="21"/>
                <w:szCs w:val="21"/>
                <w:highlight w:val="none"/>
                <w:lang w:val="en-US" w:eastAsia="zh-CN"/>
              </w:rPr>
              <w:t>1</w:t>
            </w:r>
            <w:r>
              <w:rPr>
                <w:rFonts w:hint="eastAsia" w:ascii="宋体" w:hAnsi="宋体" w:eastAsia="宋体" w:cs="宋体"/>
                <w:color w:val="000000"/>
                <w:sz w:val="21"/>
                <w:szCs w:val="21"/>
                <w:highlight w:val="none"/>
                <w:lang w:eastAsia="zh-CN"/>
              </w:rPr>
              <w:t>分，</w:t>
            </w:r>
            <w:r>
              <w:rPr>
                <w:rFonts w:hint="eastAsia" w:ascii="宋体" w:hAnsi="宋体" w:cs="宋体"/>
                <w:color w:val="000000"/>
                <w:sz w:val="21"/>
                <w:szCs w:val="21"/>
                <w:highlight w:val="none"/>
                <w:lang w:val="en-US" w:eastAsia="zh-CN"/>
              </w:rPr>
              <w:t>扣完为止</w:t>
            </w:r>
            <w:r>
              <w:rPr>
                <w:rFonts w:hint="eastAsia" w:ascii="宋体" w:hAnsi="宋体" w:eastAsia="宋体" w:cs="宋体"/>
                <w:color w:val="000000"/>
                <w:sz w:val="21"/>
                <w:szCs w:val="21"/>
                <w:highlight w:val="none"/>
                <w:lang w:eastAsia="zh-CN"/>
              </w:rPr>
              <w:t>。</w:t>
            </w:r>
          </w:p>
          <w:p w14:paraId="4FD850EF">
            <w:pPr>
              <w:keepNext w:val="0"/>
              <w:keepLines w:val="0"/>
              <w:pageBreakBefore w:val="0"/>
              <w:widowControl w:val="0"/>
              <w:kinsoku/>
              <w:wordWrap w:val="0"/>
              <w:overflowPunct/>
              <w:topLinePunct w:val="0"/>
              <w:autoSpaceDE/>
              <w:autoSpaceDN/>
              <w:bidi w:val="0"/>
              <w:adjustRightInd/>
              <w:snapToGrid/>
              <w:spacing w:line="400" w:lineRule="exact"/>
              <w:ind w:left="113" w:leftChars="0" w:right="113" w:rightChars="0" w:firstLine="210" w:firstLineChars="100"/>
              <w:textAlignment w:val="auto"/>
              <w:rPr>
                <w:rFonts w:hint="eastAsia" w:ascii="宋体" w:hAnsi="宋体" w:eastAsia="宋体" w:cs="宋体"/>
                <w:b w:val="0"/>
                <w:color w:val="000000"/>
                <w:sz w:val="21"/>
                <w:szCs w:val="21"/>
                <w:highlight w:val="none"/>
                <w:lang w:eastAsia="zh-CN"/>
              </w:rPr>
            </w:pPr>
            <w:r>
              <w:rPr>
                <w:rFonts w:hint="eastAsia" w:ascii="宋体" w:hAnsi="宋体" w:eastAsia="宋体" w:cs="宋体"/>
                <w:b w:val="0"/>
                <w:color w:val="000000"/>
                <w:sz w:val="21"/>
                <w:szCs w:val="21"/>
                <w:highlight w:val="none"/>
                <w:lang w:eastAsia="zh-CN"/>
              </w:rPr>
              <w:t>【备注：如采购需求中有明确</w:t>
            </w:r>
            <w:r>
              <w:rPr>
                <w:rFonts w:hint="eastAsia" w:ascii="宋体" w:hAnsi="宋体" w:eastAsia="宋体" w:cs="宋体"/>
                <w:b w:val="0"/>
                <w:color w:val="000000"/>
                <w:sz w:val="21"/>
                <w:szCs w:val="21"/>
                <w:highlight w:val="none"/>
                <w:lang w:val="en-US" w:eastAsia="zh-CN"/>
              </w:rPr>
              <w:t>要求</w:t>
            </w:r>
            <w:r>
              <w:rPr>
                <w:rFonts w:hint="eastAsia" w:ascii="宋体" w:hAnsi="宋体" w:eastAsia="宋体" w:cs="宋体"/>
                <w:b w:val="0"/>
                <w:color w:val="000000"/>
                <w:sz w:val="21"/>
                <w:szCs w:val="21"/>
                <w:highlight w:val="none"/>
                <w:lang w:eastAsia="zh-CN"/>
              </w:rPr>
              <w:t>提供</w:t>
            </w:r>
            <w:r>
              <w:rPr>
                <w:rFonts w:hint="eastAsia" w:ascii="宋体" w:hAnsi="宋体" w:eastAsia="宋体" w:cs="宋体"/>
                <w:b w:val="0"/>
                <w:color w:val="000000"/>
                <w:sz w:val="21"/>
                <w:szCs w:val="21"/>
                <w:highlight w:val="none"/>
                <w:lang w:val="en-US" w:eastAsia="zh-CN"/>
              </w:rPr>
              <w:t>相关</w:t>
            </w:r>
            <w:r>
              <w:rPr>
                <w:rFonts w:hint="eastAsia" w:ascii="宋体" w:hAnsi="宋体" w:eastAsia="宋体" w:cs="宋体"/>
                <w:b w:val="0"/>
                <w:color w:val="000000"/>
                <w:sz w:val="21"/>
                <w:szCs w:val="21"/>
                <w:highlight w:val="none"/>
                <w:lang w:eastAsia="zh-CN"/>
              </w:rPr>
              <w:t>证明</w:t>
            </w:r>
            <w:r>
              <w:rPr>
                <w:rFonts w:hint="eastAsia" w:ascii="宋体" w:hAnsi="宋体" w:eastAsia="宋体" w:cs="宋体"/>
                <w:b w:val="0"/>
                <w:color w:val="000000"/>
                <w:sz w:val="21"/>
                <w:szCs w:val="21"/>
                <w:highlight w:val="none"/>
                <w:lang w:val="en-US" w:eastAsia="zh-CN"/>
              </w:rPr>
              <w:t>材料</w:t>
            </w:r>
            <w:r>
              <w:rPr>
                <w:rFonts w:hint="eastAsia" w:ascii="宋体" w:hAnsi="宋体" w:eastAsia="宋体" w:cs="宋体"/>
                <w:b w:val="0"/>
                <w:color w:val="000000"/>
                <w:sz w:val="21"/>
                <w:szCs w:val="21"/>
                <w:highlight w:val="none"/>
                <w:lang w:eastAsia="zh-CN"/>
              </w:rPr>
              <w:t>的，</w:t>
            </w:r>
            <w:r>
              <w:rPr>
                <w:rFonts w:hint="eastAsia" w:ascii="宋体" w:hAnsi="宋体" w:eastAsia="宋体" w:cs="宋体"/>
                <w:b w:val="0"/>
                <w:color w:val="000000"/>
                <w:sz w:val="21"/>
                <w:szCs w:val="21"/>
                <w:highlight w:val="none"/>
                <w:lang w:val="en-US" w:eastAsia="zh-CN"/>
              </w:rPr>
              <w:t>投标人</w:t>
            </w:r>
            <w:r>
              <w:rPr>
                <w:rFonts w:hint="eastAsia" w:ascii="宋体" w:hAnsi="宋体" w:eastAsia="宋体" w:cs="宋体"/>
                <w:b w:val="0"/>
                <w:bCs/>
                <w:color w:val="000000"/>
                <w:sz w:val="21"/>
                <w:szCs w:val="21"/>
                <w:highlight w:val="none"/>
              </w:rPr>
              <w:t>未按</w:t>
            </w:r>
            <w:r>
              <w:rPr>
                <w:rFonts w:hint="eastAsia" w:ascii="宋体" w:hAnsi="宋体" w:eastAsia="宋体" w:cs="宋体"/>
                <w:b w:val="0"/>
                <w:bCs/>
                <w:color w:val="000000"/>
                <w:sz w:val="21"/>
                <w:szCs w:val="21"/>
                <w:highlight w:val="none"/>
                <w:lang w:val="en-US" w:eastAsia="zh-CN"/>
              </w:rPr>
              <w:t>要求</w:t>
            </w:r>
            <w:r>
              <w:rPr>
                <w:rFonts w:hint="eastAsia" w:ascii="宋体" w:hAnsi="宋体" w:eastAsia="宋体" w:cs="宋体"/>
                <w:b w:val="0"/>
                <w:bCs/>
                <w:color w:val="000000"/>
                <w:sz w:val="21"/>
                <w:szCs w:val="21"/>
                <w:highlight w:val="none"/>
              </w:rPr>
              <w:t>提供证明材料或提供的证明文件</w:t>
            </w:r>
            <w:r>
              <w:rPr>
                <w:rFonts w:hint="eastAsia" w:ascii="宋体" w:hAnsi="宋体" w:eastAsia="宋体" w:cs="宋体"/>
                <w:b w:val="0"/>
                <w:bCs/>
                <w:color w:val="000000"/>
                <w:sz w:val="21"/>
                <w:szCs w:val="21"/>
                <w:highlight w:val="none"/>
                <w:lang w:val="en-US" w:eastAsia="zh-CN"/>
              </w:rPr>
              <w:t>不满足（或不能证明）相应技术参数</w:t>
            </w:r>
            <w:r>
              <w:rPr>
                <w:rFonts w:hint="eastAsia" w:ascii="宋体" w:hAnsi="宋体" w:eastAsia="宋体" w:cs="宋体"/>
                <w:b w:val="0"/>
                <w:bCs/>
                <w:color w:val="000000"/>
                <w:sz w:val="21"/>
                <w:szCs w:val="21"/>
                <w:highlight w:val="none"/>
              </w:rPr>
              <w:t>的，视为不满足该项技术参数</w:t>
            </w:r>
            <w:r>
              <w:rPr>
                <w:rFonts w:hint="eastAsia" w:ascii="宋体" w:hAnsi="宋体" w:eastAsia="宋体" w:cs="宋体"/>
                <w:b w:val="0"/>
                <w:bCs/>
                <w:color w:val="000000"/>
                <w:sz w:val="21"/>
                <w:szCs w:val="21"/>
                <w:highlight w:val="none"/>
                <w:lang w:eastAsia="zh-CN"/>
              </w:rPr>
              <w:t>，</w:t>
            </w:r>
            <w:r>
              <w:rPr>
                <w:rFonts w:hint="eastAsia" w:ascii="宋体" w:hAnsi="宋体" w:eastAsia="宋体" w:cs="宋体"/>
                <w:b w:val="0"/>
                <w:bCs/>
                <w:color w:val="000000"/>
                <w:sz w:val="21"/>
                <w:szCs w:val="21"/>
                <w:highlight w:val="none"/>
                <w:lang w:val="en-US" w:eastAsia="zh-CN"/>
              </w:rPr>
              <w:t>按负偏离处理</w:t>
            </w:r>
            <w:r>
              <w:rPr>
                <w:rFonts w:hint="eastAsia" w:ascii="宋体" w:hAnsi="宋体" w:eastAsia="宋体" w:cs="宋体"/>
                <w:b w:val="0"/>
                <w:bCs/>
                <w:color w:val="000000"/>
                <w:sz w:val="21"/>
                <w:szCs w:val="21"/>
                <w:highlight w:val="none"/>
                <w:lang w:eastAsia="zh-CN"/>
              </w:rPr>
              <w:t>；</w:t>
            </w:r>
            <w:r>
              <w:rPr>
                <w:rFonts w:hint="eastAsia" w:ascii="宋体" w:hAnsi="宋体" w:eastAsia="宋体" w:cs="宋体"/>
                <w:b w:val="0"/>
                <w:bCs/>
                <w:color w:val="000000"/>
                <w:sz w:val="21"/>
                <w:szCs w:val="21"/>
                <w:highlight w:val="none"/>
                <w:lang w:val="en-US" w:eastAsia="zh-CN"/>
              </w:rPr>
              <w:t>投标文件中投标人的响应承诺与证明材料不一致的，以证明材料为准</w:t>
            </w:r>
            <w:r>
              <w:rPr>
                <w:rFonts w:hint="eastAsia" w:ascii="宋体" w:hAnsi="宋体" w:eastAsia="宋体" w:cs="宋体"/>
                <w:b w:val="0"/>
                <w:bCs/>
                <w:color w:val="000000"/>
                <w:sz w:val="21"/>
                <w:szCs w:val="21"/>
                <w:highlight w:val="none"/>
              </w:rPr>
              <w:t>。</w:t>
            </w:r>
            <w:r>
              <w:rPr>
                <w:rFonts w:hint="eastAsia" w:ascii="宋体" w:hAnsi="宋体" w:eastAsia="宋体" w:cs="宋体"/>
                <w:b w:val="0"/>
                <w:color w:val="000000"/>
                <w:sz w:val="21"/>
                <w:szCs w:val="21"/>
                <w:highlight w:val="none"/>
                <w:lang w:eastAsia="zh-CN"/>
              </w:rPr>
              <w:t>】</w:t>
            </w:r>
          </w:p>
        </w:tc>
      </w:tr>
      <w:tr w14:paraId="497603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37"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4CA57320">
            <w:pPr>
              <w:pStyle w:val="34"/>
              <w:keepNext w:val="0"/>
              <w:keepLines w:val="0"/>
              <w:pageBreakBefore w:val="0"/>
              <w:kinsoku/>
              <w:wordWrap w:val="0"/>
              <w:overflowPunct/>
              <w:topLinePunct w:val="0"/>
              <w:bidi w:val="0"/>
              <w:adjustRightInd/>
              <w:snapToGrid/>
              <w:spacing w:line="400" w:lineRule="exact"/>
              <w:ind w:left="0" w:leftChars="0" w:right="0" w:rightChars="0"/>
              <w:jc w:val="center"/>
              <w:rPr>
                <w:rFonts w:hint="eastAsia" w:ascii="宋体" w:hAnsi="宋体" w:eastAsia="宋体" w:cs="宋体"/>
                <w:b/>
                <w:bCs w:val="0"/>
                <w:color w:val="000000"/>
                <w:sz w:val="21"/>
                <w:szCs w:val="21"/>
                <w:highlight w:val="none"/>
                <w:lang w:val="en-US" w:eastAsia="zh-CN"/>
              </w:rPr>
            </w:pPr>
            <w:r>
              <w:rPr>
                <w:rFonts w:hint="eastAsia" w:ascii="宋体" w:hAnsi="宋体" w:eastAsia="宋体" w:cs="宋体"/>
                <w:b/>
                <w:bCs w:val="0"/>
                <w:color w:val="000000"/>
                <w:sz w:val="21"/>
                <w:szCs w:val="21"/>
                <w:highlight w:val="none"/>
                <w:lang w:val="en-US" w:eastAsia="zh-CN"/>
              </w:rPr>
              <w:t>3</w:t>
            </w:r>
          </w:p>
        </w:tc>
        <w:tc>
          <w:tcPr>
            <w:tcW w:w="1456" w:type="dxa"/>
            <w:tcBorders>
              <w:top w:val="single" w:color="000000" w:sz="4" w:space="0"/>
              <w:left w:val="single" w:color="000000" w:sz="4" w:space="0"/>
              <w:bottom w:val="single" w:color="auto" w:sz="4" w:space="0"/>
              <w:right w:val="single" w:color="000000" w:sz="4" w:space="0"/>
            </w:tcBorders>
            <w:shd w:val="clear" w:color="auto" w:fill="FFFFFF"/>
            <w:noWrap w:val="0"/>
            <w:vAlign w:val="center"/>
          </w:tcPr>
          <w:p w14:paraId="17C1E275">
            <w:pPr>
              <w:keepNext w:val="0"/>
              <w:keepLines w:val="0"/>
              <w:pageBreakBefore w:val="0"/>
              <w:kinsoku/>
              <w:wordWrap w:val="0"/>
              <w:overflowPunct/>
              <w:topLinePunct w:val="0"/>
              <w:bidi w:val="0"/>
              <w:spacing w:line="400" w:lineRule="exact"/>
              <w:ind w:left="0" w:leftChars="0" w:right="0" w:rightChars="0"/>
              <w:jc w:val="center"/>
              <w:rPr>
                <w:rFonts w:hint="eastAsia" w:ascii="宋体" w:hAnsi="宋体" w:eastAsia="宋体" w:cs="宋体"/>
                <w:b/>
                <w:bCs w:val="0"/>
                <w:color w:val="000000"/>
                <w:kern w:val="0"/>
                <w:sz w:val="21"/>
                <w:szCs w:val="21"/>
                <w:highlight w:val="none"/>
                <w:lang w:eastAsia="zh-Hans"/>
              </w:rPr>
            </w:pPr>
            <w:r>
              <w:rPr>
                <w:rFonts w:hint="eastAsia" w:ascii="宋体" w:hAnsi="宋体" w:eastAsia="宋体" w:cs="宋体"/>
                <w:b/>
                <w:bCs w:val="0"/>
                <w:color w:val="000000"/>
                <w:kern w:val="0"/>
                <w:sz w:val="21"/>
                <w:szCs w:val="21"/>
                <w:highlight w:val="none"/>
                <w:lang w:val="en-US" w:eastAsia="zh-CN"/>
              </w:rPr>
              <w:t>项目</w:t>
            </w:r>
            <w:r>
              <w:rPr>
                <w:rFonts w:hint="eastAsia" w:ascii="宋体" w:hAnsi="宋体" w:eastAsia="宋体" w:cs="宋体"/>
                <w:b/>
                <w:bCs w:val="0"/>
                <w:color w:val="000000"/>
                <w:kern w:val="0"/>
                <w:sz w:val="21"/>
                <w:szCs w:val="21"/>
                <w:highlight w:val="none"/>
                <w:lang w:eastAsia="zh-Hans"/>
              </w:rPr>
              <w:t>实施</w:t>
            </w:r>
          </w:p>
          <w:p w14:paraId="3630D6D9">
            <w:pPr>
              <w:keepNext w:val="0"/>
              <w:keepLines w:val="0"/>
              <w:pageBreakBefore w:val="0"/>
              <w:kinsoku/>
              <w:wordWrap w:val="0"/>
              <w:overflowPunct/>
              <w:topLinePunct w:val="0"/>
              <w:bidi w:val="0"/>
              <w:spacing w:line="400" w:lineRule="exact"/>
              <w:ind w:left="0" w:leftChars="0" w:right="0" w:rightChars="0"/>
              <w:jc w:val="center"/>
              <w:rPr>
                <w:rFonts w:hint="eastAsia" w:ascii="宋体" w:hAnsi="宋体" w:eastAsia="宋体" w:cs="宋体"/>
                <w:b/>
                <w:bCs w:val="0"/>
                <w:color w:val="000000"/>
                <w:kern w:val="0"/>
                <w:sz w:val="21"/>
                <w:szCs w:val="21"/>
                <w:highlight w:val="none"/>
                <w:lang w:eastAsia="zh-Hans"/>
              </w:rPr>
            </w:pPr>
            <w:r>
              <w:rPr>
                <w:rFonts w:hint="eastAsia" w:ascii="宋体" w:hAnsi="宋体" w:eastAsia="宋体" w:cs="宋体"/>
                <w:b/>
                <w:bCs w:val="0"/>
                <w:color w:val="000000"/>
                <w:kern w:val="0"/>
                <w:sz w:val="21"/>
                <w:szCs w:val="21"/>
                <w:highlight w:val="none"/>
                <w:lang w:eastAsia="zh-Hans"/>
              </w:rPr>
              <w:t>方案</w:t>
            </w:r>
          </w:p>
          <w:p w14:paraId="731D81D0">
            <w:pPr>
              <w:keepNext w:val="0"/>
              <w:keepLines w:val="0"/>
              <w:pageBreakBefore w:val="0"/>
              <w:kinsoku/>
              <w:wordWrap w:val="0"/>
              <w:overflowPunct/>
              <w:topLinePunct w:val="0"/>
              <w:bidi w:val="0"/>
              <w:spacing w:line="400" w:lineRule="exact"/>
              <w:ind w:left="0" w:leftChars="0" w:right="0" w:rightChars="0"/>
              <w:jc w:val="center"/>
              <w:rPr>
                <w:rFonts w:hint="eastAsia" w:ascii="宋体" w:hAnsi="宋体" w:eastAsia="宋体" w:cs="宋体"/>
                <w:b/>
                <w:bCs w:val="0"/>
                <w:color w:val="000000"/>
                <w:sz w:val="21"/>
                <w:szCs w:val="21"/>
                <w:highlight w:val="none"/>
              </w:rPr>
            </w:pPr>
            <w:r>
              <w:rPr>
                <w:rFonts w:hint="eastAsia" w:ascii="宋体" w:hAnsi="宋体" w:eastAsia="宋体" w:cs="宋体"/>
                <w:b/>
                <w:bCs w:val="0"/>
                <w:color w:val="000000"/>
                <w:kern w:val="0"/>
                <w:sz w:val="21"/>
                <w:szCs w:val="21"/>
                <w:highlight w:val="none"/>
                <w:lang w:eastAsia="zh-Hans"/>
              </w:rPr>
              <w:t>（</w:t>
            </w:r>
            <w:r>
              <w:rPr>
                <w:rFonts w:hint="eastAsia" w:ascii="宋体" w:hAnsi="宋体" w:eastAsia="宋体" w:cs="宋体"/>
                <w:b/>
                <w:bCs w:val="0"/>
                <w:color w:val="000000"/>
                <w:spacing w:val="-3"/>
                <w:sz w:val="21"/>
                <w:szCs w:val="21"/>
                <w:highlight w:val="none"/>
                <w:lang w:val="en-US" w:eastAsia="zh-CN"/>
              </w:rPr>
              <w:t>满分</w:t>
            </w:r>
            <w:r>
              <w:rPr>
                <w:rFonts w:hint="eastAsia" w:ascii="宋体" w:hAnsi="宋体" w:eastAsia="宋体" w:cs="宋体"/>
                <w:b/>
                <w:bCs w:val="0"/>
                <w:color w:val="000000"/>
                <w:kern w:val="0"/>
                <w:sz w:val="21"/>
                <w:szCs w:val="21"/>
                <w:highlight w:val="none"/>
                <w:lang w:val="en-US" w:eastAsia="zh-CN"/>
              </w:rPr>
              <w:t>8</w:t>
            </w:r>
            <w:r>
              <w:rPr>
                <w:rFonts w:hint="eastAsia" w:ascii="宋体" w:hAnsi="宋体" w:eastAsia="宋体" w:cs="宋体"/>
                <w:b/>
                <w:bCs w:val="0"/>
                <w:color w:val="000000"/>
                <w:kern w:val="0"/>
                <w:sz w:val="21"/>
                <w:szCs w:val="21"/>
                <w:highlight w:val="none"/>
              </w:rPr>
              <w:t>分）</w:t>
            </w:r>
          </w:p>
        </w:tc>
        <w:tc>
          <w:tcPr>
            <w:tcW w:w="757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C7BB5C">
            <w:pPr>
              <w:keepNext w:val="0"/>
              <w:keepLines w:val="0"/>
              <w:pageBreakBefore w:val="0"/>
              <w:widowControl w:val="0"/>
              <w:kinsoku/>
              <w:wordWrap w:val="0"/>
              <w:overflowPunct/>
              <w:topLinePunct w:val="0"/>
              <w:autoSpaceDE/>
              <w:autoSpaceDN/>
              <w:bidi w:val="0"/>
              <w:adjustRightInd/>
              <w:snapToGrid/>
              <w:spacing w:line="400" w:lineRule="exact"/>
              <w:ind w:left="113" w:leftChars="0" w:right="113" w:rightChars="0" w:firstLine="216" w:firstLineChars="103"/>
              <w:textAlignment w:val="auto"/>
              <w:rPr>
                <w:rFonts w:hint="eastAsia" w:ascii="宋体" w:hAnsi="宋体" w:eastAsia="宋体" w:cs="宋体"/>
                <w:b w:val="0"/>
                <w:bCs/>
                <w:color w:val="000000"/>
                <w:kern w:val="0"/>
                <w:sz w:val="21"/>
                <w:szCs w:val="21"/>
                <w:highlight w:val="none"/>
              </w:rPr>
            </w:pPr>
            <w:r>
              <w:rPr>
                <w:rFonts w:hint="eastAsia" w:ascii="宋体" w:hAnsi="宋体" w:eastAsia="宋体" w:cs="宋体"/>
                <w:b w:val="0"/>
                <w:bCs/>
                <w:color w:val="000000"/>
                <w:kern w:val="0"/>
                <w:sz w:val="21"/>
                <w:szCs w:val="21"/>
                <w:highlight w:val="none"/>
              </w:rPr>
              <w:t>评委根据投标人提供的</w:t>
            </w:r>
            <w:r>
              <w:rPr>
                <w:rFonts w:hint="eastAsia" w:ascii="宋体" w:hAnsi="宋体" w:eastAsia="宋体" w:cs="宋体"/>
                <w:b w:val="0"/>
                <w:bCs/>
                <w:color w:val="000000"/>
                <w:sz w:val="21"/>
                <w:szCs w:val="21"/>
                <w:highlight w:val="none"/>
              </w:rPr>
              <w:t>项目实施方案（包含：①</w:t>
            </w:r>
            <w:r>
              <w:rPr>
                <w:rFonts w:hint="eastAsia" w:ascii="宋体" w:hAnsi="宋体" w:eastAsia="宋体" w:cs="宋体"/>
                <w:b w:val="0"/>
                <w:bCs/>
                <w:color w:val="000000"/>
                <w:sz w:val="21"/>
                <w:szCs w:val="21"/>
                <w:highlight w:val="none"/>
                <w:lang w:eastAsia="zh-CN"/>
              </w:rPr>
              <w:t>实施</w:t>
            </w:r>
            <w:r>
              <w:rPr>
                <w:rFonts w:hint="eastAsia" w:ascii="宋体" w:hAnsi="宋体" w:eastAsia="宋体" w:cs="宋体"/>
                <w:b w:val="0"/>
                <w:bCs/>
                <w:color w:val="000000"/>
                <w:sz w:val="21"/>
                <w:szCs w:val="21"/>
                <w:highlight w:val="none"/>
              </w:rPr>
              <w:t>进度</w:t>
            </w:r>
            <w:r>
              <w:rPr>
                <w:rFonts w:hint="eastAsia" w:ascii="宋体" w:hAnsi="宋体" w:eastAsia="宋体" w:cs="宋体"/>
                <w:b w:val="0"/>
                <w:bCs/>
                <w:color w:val="000000"/>
                <w:sz w:val="21"/>
                <w:szCs w:val="21"/>
                <w:highlight w:val="none"/>
                <w:lang w:val="en-US" w:eastAsia="zh-CN"/>
              </w:rPr>
              <w:t>及供货</w:t>
            </w:r>
            <w:r>
              <w:rPr>
                <w:rFonts w:hint="eastAsia" w:ascii="宋体" w:hAnsi="宋体" w:eastAsia="宋体" w:cs="宋体"/>
                <w:b w:val="0"/>
                <w:bCs/>
                <w:color w:val="000000"/>
                <w:sz w:val="21"/>
                <w:szCs w:val="21"/>
                <w:highlight w:val="none"/>
              </w:rPr>
              <w:t>安排计划</w:t>
            </w:r>
            <w:r>
              <w:rPr>
                <w:rFonts w:hint="eastAsia" w:ascii="宋体" w:hAnsi="宋体" w:eastAsia="宋体" w:cs="宋体"/>
                <w:b w:val="0"/>
                <w:bCs/>
                <w:color w:val="000000"/>
                <w:sz w:val="21"/>
                <w:szCs w:val="21"/>
                <w:highlight w:val="none"/>
                <w:lang w:eastAsia="zh-CN"/>
              </w:rPr>
              <w:t>；</w:t>
            </w:r>
            <w:r>
              <w:rPr>
                <w:rFonts w:hint="eastAsia" w:ascii="宋体" w:hAnsi="宋体" w:eastAsia="宋体" w:cs="宋体"/>
                <w:b w:val="0"/>
                <w:bCs/>
                <w:color w:val="000000"/>
                <w:sz w:val="21"/>
                <w:szCs w:val="21"/>
                <w:highlight w:val="none"/>
              </w:rPr>
              <w:t>②保证项目实施的技术力量和人力资源安排、技术服务措施</w:t>
            </w:r>
            <w:r>
              <w:rPr>
                <w:rFonts w:hint="eastAsia" w:ascii="宋体" w:hAnsi="宋体" w:eastAsia="宋体" w:cs="宋体"/>
                <w:b w:val="0"/>
                <w:bCs/>
                <w:color w:val="000000"/>
                <w:sz w:val="21"/>
                <w:szCs w:val="21"/>
                <w:highlight w:val="none"/>
                <w:lang w:eastAsia="zh-CN"/>
              </w:rPr>
              <w:t>；</w:t>
            </w:r>
            <w:r>
              <w:rPr>
                <w:rFonts w:hint="eastAsia" w:ascii="宋体" w:hAnsi="宋体" w:eastAsia="宋体" w:cs="宋体"/>
                <w:b w:val="0"/>
                <w:bCs/>
                <w:color w:val="000000"/>
                <w:sz w:val="21"/>
                <w:szCs w:val="21"/>
                <w:highlight w:val="none"/>
              </w:rPr>
              <w:t>③安装调试验收方法或方案</w:t>
            </w:r>
            <w:r>
              <w:rPr>
                <w:rFonts w:hint="eastAsia" w:ascii="宋体" w:hAnsi="宋体" w:eastAsia="宋体" w:cs="宋体"/>
                <w:b w:val="0"/>
                <w:bCs/>
                <w:color w:val="000000"/>
                <w:sz w:val="21"/>
                <w:szCs w:val="21"/>
                <w:highlight w:val="none"/>
                <w:lang w:eastAsia="zh-CN"/>
              </w:rPr>
              <w:t>；</w:t>
            </w:r>
            <w:r>
              <w:rPr>
                <w:rFonts w:hint="eastAsia" w:ascii="宋体" w:hAnsi="宋体" w:eastAsia="宋体" w:cs="宋体"/>
                <w:b w:val="0"/>
                <w:bCs/>
                <w:color w:val="000000"/>
                <w:sz w:val="21"/>
                <w:szCs w:val="21"/>
                <w:highlight w:val="none"/>
              </w:rPr>
              <w:t>④质量保证措施；⑤问题解决机制等</w:t>
            </w:r>
            <w:r>
              <w:rPr>
                <w:rFonts w:hint="eastAsia" w:ascii="宋体" w:hAnsi="宋体" w:eastAsia="宋体" w:cs="宋体"/>
                <w:b w:val="0"/>
                <w:bCs/>
                <w:color w:val="000000"/>
                <w:sz w:val="21"/>
                <w:szCs w:val="21"/>
                <w:highlight w:val="none"/>
                <w:lang w:val="en-US" w:eastAsia="zh-CN"/>
              </w:rPr>
              <w:t>5</w:t>
            </w:r>
            <w:r>
              <w:rPr>
                <w:rFonts w:hint="eastAsia" w:ascii="宋体" w:hAnsi="宋体" w:eastAsia="宋体" w:cs="宋体"/>
                <w:b w:val="0"/>
                <w:bCs/>
                <w:color w:val="000000"/>
                <w:sz w:val="21"/>
                <w:szCs w:val="21"/>
                <w:highlight w:val="none"/>
              </w:rPr>
              <w:t>项内容</w:t>
            </w:r>
            <w:r>
              <w:rPr>
                <w:rFonts w:hint="eastAsia" w:ascii="宋体" w:hAnsi="宋体" w:eastAsia="宋体" w:cs="宋体"/>
                <w:b w:val="0"/>
                <w:bCs/>
                <w:color w:val="000000"/>
                <w:sz w:val="21"/>
                <w:szCs w:val="21"/>
                <w:highlight w:val="none"/>
                <w:lang w:val="en-US" w:eastAsia="zh-CN"/>
              </w:rPr>
              <w:t>的完整性、合理性、可行性、针对性</w:t>
            </w:r>
            <w:r>
              <w:rPr>
                <w:rFonts w:hint="eastAsia" w:ascii="宋体" w:hAnsi="宋体" w:eastAsia="宋体" w:cs="宋体"/>
                <w:b w:val="0"/>
                <w:bCs/>
                <w:color w:val="000000"/>
                <w:sz w:val="21"/>
                <w:szCs w:val="21"/>
                <w:highlight w:val="none"/>
              </w:rPr>
              <w:t>进行评定，并按以下标准独立</w:t>
            </w:r>
            <w:r>
              <w:rPr>
                <w:rFonts w:hint="eastAsia" w:ascii="宋体" w:hAnsi="宋体" w:eastAsia="宋体" w:cs="宋体"/>
                <w:b w:val="0"/>
                <w:bCs/>
                <w:color w:val="000000"/>
                <w:sz w:val="21"/>
                <w:szCs w:val="21"/>
                <w:highlight w:val="none"/>
                <w:lang w:eastAsia="zh-CN"/>
              </w:rPr>
              <w:t>评审并</w:t>
            </w:r>
            <w:r>
              <w:rPr>
                <w:rFonts w:hint="eastAsia" w:ascii="宋体" w:hAnsi="宋体" w:eastAsia="宋体" w:cs="宋体"/>
                <w:b w:val="0"/>
                <w:bCs/>
                <w:color w:val="000000"/>
                <w:sz w:val="21"/>
                <w:szCs w:val="21"/>
                <w:highlight w:val="none"/>
              </w:rPr>
              <w:t>评分</w:t>
            </w:r>
            <w:r>
              <w:rPr>
                <w:rFonts w:hint="eastAsia" w:ascii="宋体" w:hAnsi="宋体" w:eastAsia="宋体" w:cs="宋体"/>
                <w:b w:val="0"/>
                <w:bCs/>
                <w:color w:val="000000"/>
                <w:sz w:val="21"/>
                <w:szCs w:val="21"/>
                <w:highlight w:val="none"/>
                <w:lang w:val="zh-CN"/>
              </w:rPr>
              <w:t>（</w:t>
            </w:r>
            <w:r>
              <w:rPr>
                <w:rFonts w:hint="eastAsia" w:ascii="宋体" w:hAnsi="宋体" w:eastAsia="宋体" w:cs="宋体"/>
                <w:b w:val="0"/>
                <w:bCs/>
                <w:color w:val="000000"/>
                <w:sz w:val="21"/>
                <w:szCs w:val="21"/>
                <w:highlight w:val="none"/>
              </w:rPr>
              <w:t>投标人所提供的方案不能完全满足某一档次全部要求的</w:t>
            </w:r>
            <w:r>
              <w:rPr>
                <w:rFonts w:hint="eastAsia" w:ascii="宋体" w:hAnsi="宋体" w:eastAsia="宋体" w:cs="宋体"/>
                <w:b w:val="0"/>
                <w:bCs/>
                <w:color w:val="000000"/>
                <w:sz w:val="21"/>
                <w:szCs w:val="21"/>
                <w:highlight w:val="none"/>
                <w:lang w:eastAsia="zh-CN"/>
              </w:rPr>
              <w:t>，</w:t>
            </w:r>
            <w:r>
              <w:rPr>
                <w:rFonts w:hint="eastAsia" w:ascii="宋体" w:hAnsi="宋体" w:eastAsia="宋体" w:cs="宋体"/>
                <w:b w:val="0"/>
                <w:bCs/>
                <w:color w:val="000000"/>
                <w:sz w:val="21"/>
                <w:szCs w:val="21"/>
                <w:highlight w:val="none"/>
              </w:rPr>
              <w:t>不予进入该档评分</w:t>
            </w:r>
            <w:r>
              <w:rPr>
                <w:rFonts w:hint="eastAsia" w:ascii="宋体" w:hAnsi="宋体" w:eastAsia="宋体" w:cs="宋体"/>
                <w:b w:val="0"/>
                <w:bCs/>
                <w:color w:val="000000"/>
                <w:sz w:val="21"/>
                <w:szCs w:val="21"/>
                <w:highlight w:val="none"/>
                <w:lang w:val="zh-CN"/>
              </w:rPr>
              <w:t>）</w:t>
            </w:r>
            <w:r>
              <w:rPr>
                <w:rFonts w:hint="eastAsia" w:ascii="宋体" w:hAnsi="宋体" w:eastAsia="宋体" w:cs="宋体"/>
                <w:b w:val="0"/>
                <w:bCs/>
                <w:color w:val="000000"/>
                <w:sz w:val="21"/>
                <w:szCs w:val="21"/>
                <w:highlight w:val="none"/>
              </w:rPr>
              <w:t>：</w:t>
            </w:r>
          </w:p>
          <w:p w14:paraId="6BA27E18">
            <w:pPr>
              <w:keepNext w:val="0"/>
              <w:keepLines w:val="0"/>
              <w:pageBreakBefore w:val="0"/>
              <w:widowControl w:val="0"/>
              <w:kinsoku/>
              <w:wordWrap w:val="0"/>
              <w:overflowPunct/>
              <w:topLinePunct w:val="0"/>
              <w:autoSpaceDE/>
              <w:autoSpaceDN/>
              <w:bidi w:val="0"/>
              <w:adjustRightInd/>
              <w:snapToGrid/>
              <w:spacing w:line="400" w:lineRule="exact"/>
              <w:ind w:left="113" w:leftChars="0" w:right="113" w:rightChars="0" w:firstLine="216" w:firstLineChars="103"/>
              <w:textAlignment w:val="auto"/>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一档（0分）：未提供方案</w:t>
            </w:r>
            <w:r>
              <w:rPr>
                <w:rFonts w:hint="eastAsia" w:ascii="宋体" w:hAnsi="宋体" w:eastAsia="宋体" w:cs="宋体"/>
                <w:b w:val="0"/>
                <w:bCs/>
                <w:color w:val="000000"/>
                <w:sz w:val="21"/>
                <w:szCs w:val="21"/>
                <w:highlight w:val="none"/>
                <w:lang w:val="en-US" w:eastAsia="zh-CN"/>
              </w:rPr>
              <w:t>的</w:t>
            </w:r>
            <w:r>
              <w:rPr>
                <w:rFonts w:hint="eastAsia" w:ascii="宋体" w:hAnsi="宋体" w:eastAsia="宋体" w:cs="宋体"/>
                <w:b w:val="0"/>
                <w:bCs/>
                <w:color w:val="000000"/>
                <w:sz w:val="21"/>
                <w:szCs w:val="21"/>
                <w:highlight w:val="none"/>
              </w:rPr>
              <w:t>；</w:t>
            </w:r>
          </w:p>
          <w:p w14:paraId="4C8523E1">
            <w:pPr>
              <w:keepNext w:val="0"/>
              <w:keepLines w:val="0"/>
              <w:pageBreakBefore w:val="0"/>
              <w:widowControl w:val="0"/>
              <w:kinsoku/>
              <w:wordWrap w:val="0"/>
              <w:overflowPunct/>
              <w:topLinePunct w:val="0"/>
              <w:autoSpaceDE/>
              <w:autoSpaceDN/>
              <w:bidi w:val="0"/>
              <w:adjustRightInd/>
              <w:snapToGrid/>
              <w:spacing w:line="400" w:lineRule="exact"/>
              <w:ind w:left="113" w:leftChars="0" w:right="113" w:rightChars="0" w:firstLine="216" w:firstLineChars="103"/>
              <w:textAlignment w:val="auto"/>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二档（</w:t>
            </w:r>
            <w:r>
              <w:rPr>
                <w:rFonts w:hint="eastAsia" w:ascii="宋体" w:hAnsi="宋体" w:eastAsia="宋体" w:cs="宋体"/>
                <w:b w:val="0"/>
                <w:bCs/>
                <w:color w:val="000000"/>
                <w:sz w:val="21"/>
                <w:szCs w:val="21"/>
                <w:highlight w:val="none"/>
                <w:lang w:val="en-US" w:eastAsia="zh-CN"/>
              </w:rPr>
              <w:t>2</w:t>
            </w:r>
            <w:r>
              <w:rPr>
                <w:rFonts w:hint="eastAsia" w:ascii="宋体" w:hAnsi="宋体" w:eastAsia="宋体" w:cs="宋体"/>
                <w:b w:val="0"/>
                <w:bCs/>
                <w:color w:val="000000"/>
                <w:sz w:val="21"/>
                <w:szCs w:val="21"/>
                <w:highlight w:val="none"/>
              </w:rPr>
              <w:t>分）：方案</w:t>
            </w:r>
            <w:r>
              <w:rPr>
                <w:rFonts w:hint="eastAsia" w:ascii="宋体" w:hAnsi="宋体" w:eastAsia="宋体" w:cs="宋体"/>
                <w:b w:val="0"/>
                <w:bCs/>
                <w:color w:val="000000"/>
                <w:sz w:val="21"/>
                <w:szCs w:val="21"/>
                <w:highlight w:val="none"/>
                <w:lang w:val="en-US" w:eastAsia="zh-CN"/>
              </w:rPr>
              <w:t>有</w:t>
            </w:r>
            <w:r>
              <w:rPr>
                <w:rFonts w:hint="eastAsia" w:ascii="宋体" w:hAnsi="宋体" w:eastAsia="宋体" w:cs="宋体"/>
                <w:b w:val="0"/>
                <w:bCs/>
                <w:color w:val="000000"/>
                <w:sz w:val="21"/>
                <w:szCs w:val="21"/>
                <w:highlight w:val="none"/>
              </w:rPr>
              <w:t>缺漏</w:t>
            </w:r>
            <w:r>
              <w:rPr>
                <w:rFonts w:hint="eastAsia" w:ascii="宋体" w:hAnsi="宋体" w:eastAsia="宋体" w:cs="宋体"/>
                <w:b w:val="0"/>
                <w:bCs/>
                <w:color w:val="000000"/>
                <w:sz w:val="21"/>
                <w:szCs w:val="21"/>
                <w:highlight w:val="none"/>
                <w:lang w:val="en-US" w:eastAsia="zh-CN"/>
              </w:rPr>
              <w:t>且</w:t>
            </w:r>
            <w:r>
              <w:rPr>
                <w:rFonts w:hint="eastAsia" w:ascii="宋体" w:hAnsi="宋体" w:eastAsia="宋体" w:cs="宋体"/>
                <w:b w:val="0"/>
                <w:bCs/>
                <w:color w:val="000000"/>
                <w:sz w:val="21"/>
                <w:szCs w:val="21"/>
                <w:highlight w:val="none"/>
              </w:rPr>
              <w:t>内容简单，</w:t>
            </w:r>
            <w:r>
              <w:rPr>
                <w:rFonts w:hint="eastAsia" w:ascii="宋体" w:hAnsi="宋体" w:eastAsia="宋体" w:cs="宋体"/>
                <w:b w:val="0"/>
                <w:bCs/>
                <w:color w:val="000000"/>
                <w:sz w:val="21"/>
                <w:szCs w:val="21"/>
                <w:highlight w:val="none"/>
                <w:lang w:eastAsia="zh-CN"/>
              </w:rPr>
              <w:t>实施方案</w:t>
            </w:r>
            <w:r>
              <w:rPr>
                <w:rFonts w:hint="eastAsia" w:ascii="宋体" w:hAnsi="宋体" w:eastAsia="宋体" w:cs="宋体"/>
                <w:b w:val="0"/>
                <w:bCs/>
                <w:color w:val="000000"/>
                <w:sz w:val="21"/>
                <w:szCs w:val="21"/>
                <w:highlight w:val="none"/>
              </w:rPr>
              <w:t>只能基本满足项目实际需求；</w:t>
            </w:r>
          </w:p>
          <w:p w14:paraId="627651F9">
            <w:pPr>
              <w:keepNext w:val="0"/>
              <w:keepLines w:val="0"/>
              <w:pageBreakBefore w:val="0"/>
              <w:widowControl w:val="0"/>
              <w:kinsoku/>
              <w:wordWrap w:val="0"/>
              <w:overflowPunct/>
              <w:topLinePunct w:val="0"/>
              <w:autoSpaceDE/>
              <w:autoSpaceDN/>
              <w:bidi w:val="0"/>
              <w:adjustRightInd/>
              <w:snapToGrid/>
              <w:spacing w:line="400" w:lineRule="exact"/>
              <w:ind w:left="113" w:leftChars="0" w:right="113" w:rightChars="0" w:firstLine="216" w:firstLineChars="103"/>
              <w:textAlignment w:val="auto"/>
              <w:rPr>
                <w:rFonts w:hint="eastAsia" w:ascii="宋体" w:hAnsi="宋体" w:eastAsia="宋体" w:cs="宋体"/>
                <w:b w:val="0"/>
                <w:bCs/>
                <w:color w:val="000000"/>
                <w:sz w:val="21"/>
                <w:szCs w:val="21"/>
                <w:highlight w:val="none"/>
                <w:lang w:val="en-US" w:eastAsia="zh-CN"/>
              </w:rPr>
            </w:pPr>
            <w:r>
              <w:rPr>
                <w:rFonts w:hint="eastAsia" w:ascii="宋体" w:hAnsi="宋体" w:eastAsia="宋体" w:cs="宋体"/>
                <w:b w:val="0"/>
                <w:bCs/>
                <w:color w:val="000000"/>
                <w:sz w:val="21"/>
                <w:szCs w:val="21"/>
                <w:highlight w:val="none"/>
                <w:lang w:val="en-US" w:eastAsia="zh-CN"/>
              </w:rPr>
              <w:t>三档（4分）：</w:t>
            </w:r>
            <w:r>
              <w:rPr>
                <w:rFonts w:hint="eastAsia" w:ascii="宋体" w:hAnsi="宋体" w:eastAsia="宋体" w:cs="宋体"/>
                <w:b w:val="0"/>
                <w:bCs/>
                <w:color w:val="000000"/>
                <w:sz w:val="21"/>
                <w:szCs w:val="21"/>
                <w:highlight w:val="none"/>
              </w:rPr>
              <w:t>方案内容无缺漏</w:t>
            </w:r>
            <w:r>
              <w:rPr>
                <w:rFonts w:hint="eastAsia" w:ascii="宋体" w:hAnsi="宋体" w:eastAsia="宋体" w:cs="宋体"/>
                <w:b w:val="0"/>
                <w:bCs/>
                <w:color w:val="000000"/>
                <w:sz w:val="21"/>
                <w:szCs w:val="21"/>
                <w:highlight w:val="none"/>
                <w:lang w:eastAsia="zh-CN"/>
              </w:rPr>
              <w:t>，</w:t>
            </w:r>
            <w:r>
              <w:rPr>
                <w:rFonts w:hint="eastAsia" w:ascii="宋体" w:hAnsi="宋体" w:eastAsia="宋体" w:cs="宋体"/>
                <w:b w:val="0"/>
                <w:bCs/>
                <w:color w:val="000000"/>
                <w:sz w:val="21"/>
                <w:szCs w:val="21"/>
                <w:highlight w:val="none"/>
              </w:rPr>
              <w:t>对项目有基本理解但方案</w:t>
            </w:r>
            <w:r>
              <w:rPr>
                <w:rFonts w:hint="eastAsia" w:ascii="宋体" w:hAnsi="宋体" w:eastAsia="宋体" w:cs="宋体"/>
                <w:b w:val="0"/>
                <w:bCs/>
                <w:color w:val="000000"/>
                <w:sz w:val="21"/>
                <w:szCs w:val="21"/>
                <w:highlight w:val="none"/>
                <w:lang w:val="en-US" w:eastAsia="zh-CN"/>
              </w:rPr>
              <w:t>各项内容</w:t>
            </w:r>
            <w:r>
              <w:rPr>
                <w:rFonts w:hint="eastAsia" w:ascii="宋体" w:hAnsi="宋体" w:eastAsia="宋体" w:cs="宋体"/>
                <w:b w:val="0"/>
                <w:bCs/>
                <w:color w:val="000000"/>
                <w:kern w:val="0"/>
                <w:sz w:val="21"/>
                <w:szCs w:val="21"/>
                <w:highlight w:val="none"/>
              </w:rPr>
              <w:t>表达</w:t>
            </w:r>
            <w:r>
              <w:rPr>
                <w:rFonts w:hint="eastAsia" w:ascii="宋体" w:hAnsi="宋体" w:eastAsia="宋体" w:cs="宋体"/>
                <w:b w:val="0"/>
                <w:bCs/>
                <w:color w:val="000000"/>
                <w:sz w:val="21"/>
                <w:szCs w:val="21"/>
                <w:highlight w:val="none"/>
              </w:rPr>
              <w:t>简单</w:t>
            </w:r>
            <w:r>
              <w:rPr>
                <w:rFonts w:hint="eastAsia" w:ascii="宋体" w:hAnsi="宋体" w:eastAsia="宋体" w:cs="宋体"/>
                <w:b w:val="0"/>
                <w:bCs/>
                <w:color w:val="000000"/>
                <w:sz w:val="21"/>
                <w:szCs w:val="21"/>
                <w:highlight w:val="none"/>
                <w:lang w:val="en-US" w:eastAsia="zh-CN"/>
              </w:rPr>
              <w:t>或</w:t>
            </w:r>
            <w:r>
              <w:rPr>
                <w:rFonts w:hint="eastAsia" w:ascii="宋体" w:hAnsi="宋体" w:eastAsia="宋体" w:cs="宋体"/>
                <w:b w:val="0"/>
                <w:bCs/>
                <w:color w:val="000000"/>
                <w:kern w:val="0"/>
                <w:sz w:val="21"/>
                <w:szCs w:val="21"/>
                <w:highlight w:val="none"/>
                <w:lang w:val="en-US" w:eastAsia="zh-CN"/>
              </w:rPr>
              <w:t>逻辑不</w:t>
            </w:r>
            <w:r>
              <w:rPr>
                <w:rFonts w:hint="eastAsia" w:ascii="宋体" w:hAnsi="宋体" w:eastAsia="宋体" w:cs="宋体"/>
                <w:b w:val="0"/>
                <w:bCs/>
                <w:color w:val="000000"/>
                <w:kern w:val="0"/>
                <w:sz w:val="21"/>
                <w:szCs w:val="21"/>
                <w:highlight w:val="none"/>
              </w:rPr>
              <w:t>清晰</w:t>
            </w:r>
            <w:r>
              <w:rPr>
                <w:rFonts w:hint="eastAsia" w:ascii="宋体" w:hAnsi="宋体" w:eastAsia="宋体" w:cs="宋体"/>
                <w:b w:val="0"/>
                <w:bCs/>
                <w:color w:val="000000"/>
                <w:sz w:val="21"/>
                <w:szCs w:val="21"/>
                <w:highlight w:val="none"/>
              </w:rPr>
              <w:t>或缺少关键节点，</w:t>
            </w:r>
            <w:r>
              <w:rPr>
                <w:rFonts w:hint="eastAsia" w:ascii="宋体" w:hAnsi="宋体" w:eastAsia="宋体" w:cs="宋体"/>
                <w:b w:val="0"/>
                <w:bCs/>
                <w:color w:val="000000"/>
                <w:sz w:val="21"/>
                <w:szCs w:val="21"/>
                <w:highlight w:val="none"/>
                <w:lang w:val="en-US" w:eastAsia="zh-CN"/>
              </w:rPr>
              <w:t>方案</w:t>
            </w:r>
            <w:r>
              <w:rPr>
                <w:rFonts w:hint="eastAsia" w:ascii="宋体" w:hAnsi="宋体" w:eastAsia="宋体" w:cs="宋体"/>
                <w:b w:val="0"/>
                <w:bCs/>
                <w:color w:val="000000"/>
                <w:sz w:val="21"/>
                <w:szCs w:val="21"/>
                <w:highlight w:val="none"/>
              </w:rPr>
              <w:t>可以保证项目正常实施</w:t>
            </w:r>
            <w:r>
              <w:rPr>
                <w:rFonts w:hint="eastAsia" w:ascii="宋体" w:hAnsi="宋体" w:eastAsia="宋体" w:cs="宋体"/>
                <w:b w:val="0"/>
                <w:bCs/>
                <w:color w:val="000000"/>
                <w:kern w:val="0"/>
                <w:sz w:val="21"/>
                <w:szCs w:val="21"/>
                <w:highlight w:val="none"/>
                <w:lang w:eastAsia="zh-CN"/>
              </w:rPr>
              <w:t>；</w:t>
            </w:r>
          </w:p>
          <w:p w14:paraId="516F929E">
            <w:pPr>
              <w:keepNext w:val="0"/>
              <w:keepLines w:val="0"/>
              <w:pageBreakBefore w:val="0"/>
              <w:widowControl w:val="0"/>
              <w:kinsoku/>
              <w:wordWrap w:val="0"/>
              <w:overflowPunct/>
              <w:topLinePunct w:val="0"/>
              <w:autoSpaceDE/>
              <w:autoSpaceDN/>
              <w:bidi w:val="0"/>
              <w:adjustRightInd/>
              <w:snapToGrid/>
              <w:spacing w:line="400" w:lineRule="exact"/>
              <w:ind w:left="113" w:leftChars="0" w:right="113" w:rightChars="0" w:firstLine="216" w:firstLineChars="103"/>
              <w:textAlignment w:val="auto"/>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lang w:val="en-US" w:eastAsia="zh-CN"/>
              </w:rPr>
              <w:t>四</w:t>
            </w:r>
            <w:r>
              <w:rPr>
                <w:rFonts w:hint="eastAsia" w:ascii="宋体" w:hAnsi="宋体" w:eastAsia="宋体" w:cs="宋体"/>
                <w:b w:val="0"/>
                <w:bCs/>
                <w:color w:val="000000"/>
                <w:sz w:val="21"/>
                <w:szCs w:val="21"/>
                <w:highlight w:val="none"/>
              </w:rPr>
              <w:t>档（</w:t>
            </w:r>
            <w:r>
              <w:rPr>
                <w:rFonts w:hint="eastAsia" w:ascii="宋体" w:hAnsi="宋体" w:eastAsia="宋体" w:cs="宋体"/>
                <w:b w:val="0"/>
                <w:bCs/>
                <w:color w:val="000000"/>
                <w:sz w:val="21"/>
                <w:szCs w:val="21"/>
                <w:highlight w:val="none"/>
                <w:lang w:val="en-US" w:eastAsia="zh-CN"/>
              </w:rPr>
              <w:t>6</w:t>
            </w:r>
            <w:r>
              <w:rPr>
                <w:rFonts w:hint="eastAsia" w:ascii="宋体" w:hAnsi="宋体" w:eastAsia="宋体" w:cs="宋体"/>
                <w:b w:val="0"/>
                <w:bCs/>
                <w:color w:val="000000"/>
                <w:sz w:val="21"/>
                <w:szCs w:val="21"/>
                <w:highlight w:val="none"/>
              </w:rPr>
              <w:t>分）：方案内容无缺漏</w:t>
            </w:r>
            <w:r>
              <w:rPr>
                <w:rFonts w:hint="eastAsia" w:ascii="宋体" w:hAnsi="宋体" w:eastAsia="宋体" w:cs="宋体"/>
                <w:b w:val="0"/>
                <w:bCs/>
                <w:color w:val="000000"/>
                <w:sz w:val="21"/>
                <w:szCs w:val="21"/>
                <w:highlight w:val="none"/>
                <w:lang w:eastAsia="zh-CN"/>
              </w:rPr>
              <w:t>且</w:t>
            </w:r>
            <w:r>
              <w:rPr>
                <w:rFonts w:hint="eastAsia" w:ascii="宋体" w:hAnsi="宋体" w:eastAsia="宋体" w:cs="宋体"/>
                <w:b w:val="0"/>
                <w:bCs/>
                <w:color w:val="000000"/>
                <w:sz w:val="21"/>
                <w:szCs w:val="21"/>
                <w:highlight w:val="none"/>
              </w:rPr>
              <w:t>表述</w:t>
            </w:r>
            <w:r>
              <w:rPr>
                <w:rFonts w:hint="eastAsia" w:ascii="宋体" w:hAnsi="宋体" w:eastAsia="宋体" w:cs="宋体"/>
                <w:b w:val="0"/>
                <w:bCs/>
                <w:color w:val="000000"/>
                <w:sz w:val="21"/>
                <w:szCs w:val="21"/>
                <w:highlight w:val="none"/>
                <w:lang w:val="en-US" w:eastAsia="zh-CN"/>
              </w:rPr>
              <w:t>逻辑</w:t>
            </w:r>
            <w:r>
              <w:rPr>
                <w:rFonts w:hint="eastAsia" w:ascii="宋体" w:hAnsi="宋体" w:eastAsia="宋体" w:cs="宋体"/>
                <w:b w:val="0"/>
                <w:bCs/>
                <w:color w:val="000000"/>
                <w:sz w:val="21"/>
                <w:szCs w:val="21"/>
                <w:highlight w:val="none"/>
              </w:rPr>
              <w:t>清晰，实施方案各项内容的措施具体，</w:t>
            </w:r>
            <w:r>
              <w:rPr>
                <w:rFonts w:hint="eastAsia" w:ascii="宋体" w:hAnsi="宋体" w:eastAsia="宋体" w:cs="宋体"/>
                <w:color w:val="000000"/>
                <w:spacing w:val="-2"/>
                <w:sz w:val="21"/>
                <w:szCs w:val="21"/>
                <w:highlight w:val="none"/>
                <w:lang w:eastAsia="zh-CN"/>
              </w:rPr>
              <w:t>有</w:t>
            </w:r>
            <w:r>
              <w:rPr>
                <w:rFonts w:hint="eastAsia" w:ascii="宋体" w:hAnsi="宋体" w:eastAsia="宋体" w:cs="宋体"/>
                <w:color w:val="000000"/>
                <w:spacing w:val="-2"/>
                <w:sz w:val="21"/>
                <w:szCs w:val="21"/>
                <w:highlight w:val="none"/>
                <w:lang w:val="en-US" w:eastAsia="zh-CN"/>
              </w:rPr>
              <w:t>可行</w:t>
            </w:r>
            <w:r>
              <w:rPr>
                <w:rFonts w:hint="eastAsia" w:ascii="宋体" w:hAnsi="宋体" w:eastAsia="宋体" w:cs="宋体"/>
                <w:color w:val="000000"/>
                <w:spacing w:val="-2"/>
                <w:sz w:val="21"/>
                <w:szCs w:val="21"/>
                <w:highlight w:val="none"/>
                <w:lang w:eastAsia="zh-CN"/>
              </w:rPr>
              <w:t>的配送方案，安装方法、安装流程整体合理，组织机构健全，项目执行保障措施完整，</w:t>
            </w:r>
            <w:r>
              <w:rPr>
                <w:rFonts w:hint="eastAsia" w:ascii="宋体" w:hAnsi="宋体" w:eastAsia="宋体" w:cs="宋体"/>
                <w:b w:val="0"/>
                <w:bCs/>
                <w:color w:val="000000"/>
                <w:sz w:val="21"/>
                <w:szCs w:val="21"/>
                <w:highlight w:val="none"/>
              </w:rPr>
              <w:t>方案的</w:t>
            </w:r>
            <w:r>
              <w:rPr>
                <w:rFonts w:hint="eastAsia" w:ascii="宋体" w:hAnsi="宋体" w:eastAsia="宋体" w:cs="宋体"/>
                <w:b w:val="0"/>
                <w:bCs/>
                <w:color w:val="000000"/>
                <w:sz w:val="21"/>
                <w:szCs w:val="21"/>
                <w:highlight w:val="none"/>
                <w:lang w:val="en-US" w:eastAsia="zh-CN"/>
              </w:rPr>
              <w:t>5</w:t>
            </w:r>
            <w:r>
              <w:rPr>
                <w:rFonts w:hint="eastAsia" w:ascii="宋体" w:hAnsi="宋体" w:eastAsia="宋体" w:cs="宋体"/>
                <w:b w:val="0"/>
                <w:bCs/>
                <w:color w:val="000000"/>
                <w:sz w:val="21"/>
                <w:szCs w:val="21"/>
                <w:highlight w:val="none"/>
              </w:rPr>
              <w:t>项评审内容经评审</w:t>
            </w:r>
            <w:r>
              <w:rPr>
                <w:rFonts w:hint="eastAsia" w:ascii="宋体" w:hAnsi="宋体" w:eastAsia="宋体" w:cs="宋体"/>
                <w:b w:val="0"/>
                <w:bCs/>
                <w:color w:val="000000"/>
                <w:sz w:val="21"/>
                <w:szCs w:val="21"/>
                <w:highlight w:val="none"/>
                <w:lang w:eastAsia="zh-CN"/>
              </w:rPr>
              <w:t>均为</w:t>
            </w:r>
            <w:r>
              <w:rPr>
                <w:rFonts w:hint="eastAsia" w:ascii="宋体" w:hAnsi="宋体" w:eastAsia="宋体" w:cs="宋体"/>
                <w:b w:val="0"/>
                <w:bCs/>
                <w:color w:val="000000"/>
                <w:sz w:val="21"/>
                <w:szCs w:val="21"/>
                <w:highlight w:val="none"/>
              </w:rPr>
              <w:t>合理、可行的；</w:t>
            </w:r>
          </w:p>
          <w:p w14:paraId="12ECA304">
            <w:pPr>
              <w:keepNext w:val="0"/>
              <w:keepLines w:val="0"/>
              <w:pageBreakBefore w:val="0"/>
              <w:widowControl w:val="0"/>
              <w:kinsoku/>
              <w:wordWrap w:val="0"/>
              <w:overflowPunct/>
              <w:topLinePunct w:val="0"/>
              <w:autoSpaceDE/>
              <w:autoSpaceDN/>
              <w:bidi w:val="0"/>
              <w:adjustRightInd/>
              <w:snapToGrid/>
              <w:spacing w:line="400" w:lineRule="exact"/>
              <w:ind w:left="113" w:leftChars="0" w:right="113" w:rightChars="0" w:firstLine="216" w:firstLineChars="103"/>
              <w:textAlignment w:val="auto"/>
              <w:rPr>
                <w:rFonts w:hint="eastAsia" w:ascii="宋体" w:hAnsi="宋体" w:eastAsia="宋体" w:cs="宋体"/>
                <w:b w:val="0"/>
                <w:bCs/>
                <w:color w:val="000000"/>
                <w:sz w:val="21"/>
                <w:szCs w:val="21"/>
                <w:highlight w:val="none"/>
                <w:lang w:eastAsia="zh-CN"/>
              </w:rPr>
            </w:pPr>
            <w:r>
              <w:rPr>
                <w:rFonts w:hint="eastAsia" w:ascii="宋体" w:hAnsi="宋体" w:eastAsia="宋体" w:cs="宋体"/>
                <w:b w:val="0"/>
                <w:bCs/>
                <w:color w:val="000000"/>
                <w:sz w:val="21"/>
                <w:szCs w:val="21"/>
                <w:highlight w:val="none"/>
                <w:lang w:val="en-US" w:eastAsia="zh-CN"/>
              </w:rPr>
              <w:t>五</w:t>
            </w:r>
            <w:r>
              <w:rPr>
                <w:rFonts w:hint="eastAsia" w:ascii="宋体" w:hAnsi="宋体" w:eastAsia="宋体" w:cs="宋体"/>
                <w:b w:val="0"/>
                <w:bCs/>
                <w:color w:val="000000"/>
                <w:sz w:val="21"/>
                <w:szCs w:val="21"/>
                <w:highlight w:val="none"/>
              </w:rPr>
              <w:t>档（</w:t>
            </w:r>
            <w:r>
              <w:rPr>
                <w:rFonts w:hint="eastAsia" w:ascii="宋体" w:hAnsi="宋体" w:eastAsia="宋体" w:cs="宋体"/>
                <w:b w:val="0"/>
                <w:bCs/>
                <w:color w:val="000000"/>
                <w:sz w:val="21"/>
                <w:szCs w:val="21"/>
                <w:highlight w:val="none"/>
                <w:lang w:val="en-US" w:eastAsia="zh-CN"/>
              </w:rPr>
              <w:t>8</w:t>
            </w:r>
            <w:r>
              <w:rPr>
                <w:rFonts w:hint="eastAsia" w:ascii="宋体" w:hAnsi="宋体" w:eastAsia="宋体" w:cs="宋体"/>
                <w:b w:val="0"/>
                <w:bCs/>
                <w:color w:val="000000"/>
                <w:sz w:val="21"/>
                <w:szCs w:val="21"/>
                <w:highlight w:val="none"/>
              </w:rPr>
              <w:t>分）：方案内容和措施</w:t>
            </w:r>
            <w:r>
              <w:rPr>
                <w:rFonts w:hint="eastAsia" w:ascii="宋体" w:hAnsi="宋体" w:eastAsia="宋体" w:cs="宋体"/>
                <w:b w:val="0"/>
                <w:bCs/>
                <w:color w:val="000000"/>
                <w:sz w:val="21"/>
                <w:szCs w:val="21"/>
                <w:highlight w:val="none"/>
                <w:lang w:val="en-US" w:eastAsia="zh-CN"/>
              </w:rPr>
              <w:t>完整、</w:t>
            </w:r>
            <w:r>
              <w:rPr>
                <w:rFonts w:hint="eastAsia" w:ascii="宋体" w:hAnsi="宋体" w:eastAsia="宋体" w:cs="宋体"/>
                <w:b w:val="0"/>
                <w:bCs/>
                <w:color w:val="000000"/>
                <w:sz w:val="21"/>
                <w:szCs w:val="21"/>
                <w:highlight w:val="none"/>
              </w:rPr>
              <w:t>详实、</w:t>
            </w:r>
            <w:r>
              <w:rPr>
                <w:rFonts w:hint="eastAsia" w:ascii="宋体" w:hAnsi="宋体" w:eastAsia="宋体" w:cs="宋体"/>
                <w:b w:val="0"/>
                <w:bCs/>
                <w:color w:val="000000"/>
                <w:sz w:val="21"/>
                <w:szCs w:val="21"/>
                <w:highlight w:val="none"/>
                <w:lang w:eastAsia="zh-CN"/>
              </w:rPr>
              <w:t>针对性强</w:t>
            </w:r>
            <w:r>
              <w:rPr>
                <w:rFonts w:hint="eastAsia" w:ascii="宋体" w:hAnsi="宋体" w:eastAsia="宋体" w:cs="宋体"/>
                <w:b w:val="0"/>
                <w:bCs/>
                <w:color w:val="000000"/>
                <w:sz w:val="21"/>
                <w:szCs w:val="21"/>
                <w:highlight w:val="none"/>
              </w:rPr>
              <w:t>，方案能清楚的表明对本项目的熟悉程度，</w:t>
            </w:r>
            <w:r>
              <w:rPr>
                <w:rFonts w:hint="eastAsia" w:ascii="宋体" w:hAnsi="宋体" w:eastAsia="宋体" w:cs="宋体"/>
                <w:b w:val="0"/>
                <w:bCs/>
                <w:color w:val="000000"/>
                <w:sz w:val="21"/>
                <w:szCs w:val="21"/>
                <w:highlight w:val="none"/>
                <w:lang w:val="en-US" w:eastAsia="zh-CN"/>
              </w:rPr>
              <w:t>方案中</w:t>
            </w:r>
            <w:r>
              <w:rPr>
                <w:rFonts w:hint="eastAsia" w:ascii="宋体" w:hAnsi="宋体" w:eastAsia="宋体" w:cs="宋体"/>
                <w:b w:val="0"/>
                <w:bCs/>
                <w:color w:val="000000"/>
                <w:sz w:val="21"/>
                <w:szCs w:val="21"/>
                <w:highlight w:val="none"/>
              </w:rPr>
              <w:t>保证项目实施的技术力量和人力资源安排</w:t>
            </w:r>
            <w:r>
              <w:rPr>
                <w:rFonts w:hint="eastAsia" w:ascii="宋体" w:hAnsi="宋体" w:eastAsia="宋体" w:cs="宋体"/>
                <w:b w:val="0"/>
                <w:bCs/>
                <w:color w:val="000000"/>
                <w:sz w:val="21"/>
                <w:szCs w:val="21"/>
                <w:highlight w:val="none"/>
                <w:lang w:val="en-US" w:eastAsia="zh-CN"/>
              </w:rPr>
              <w:t>全面</w:t>
            </w:r>
            <w:r>
              <w:rPr>
                <w:rFonts w:hint="eastAsia" w:ascii="宋体" w:hAnsi="宋体" w:eastAsia="宋体" w:cs="宋体"/>
                <w:color w:val="000000"/>
                <w:spacing w:val="-2"/>
                <w:sz w:val="21"/>
                <w:szCs w:val="21"/>
                <w:highlight w:val="none"/>
                <w:lang w:eastAsia="zh-CN"/>
              </w:rPr>
              <w:t>，组织机构健全，</w:t>
            </w:r>
            <w:r>
              <w:rPr>
                <w:rFonts w:hint="eastAsia" w:ascii="宋体" w:hAnsi="宋体" w:eastAsia="宋体" w:cs="宋体"/>
                <w:b w:val="0"/>
                <w:bCs/>
                <w:color w:val="000000"/>
                <w:sz w:val="21"/>
                <w:szCs w:val="21"/>
                <w:highlight w:val="none"/>
                <w:lang w:eastAsia="zh-CN"/>
              </w:rPr>
              <w:t>实施</w:t>
            </w:r>
            <w:r>
              <w:rPr>
                <w:rFonts w:hint="eastAsia" w:ascii="宋体" w:hAnsi="宋体" w:eastAsia="宋体" w:cs="宋体"/>
                <w:b w:val="0"/>
                <w:bCs/>
                <w:color w:val="000000"/>
                <w:sz w:val="21"/>
                <w:szCs w:val="21"/>
                <w:highlight w:val="none"/>
              </w:rPr>
              <w:t>进度</w:t>
            </w:r>
            <w:r>
              <w:rPr>
                <w:rFonts w:hint="eastAsia" w:ascii="宋体" w:hAnsi="宋体" w:eastAsia="宋体" w:cs="宋体"/>
                <w:b w:val="0"/>
                <w:bCs/>
                <w:color w:val="000000"/>
                <w:sz w:val="21"/>
                <w:szCs w:val="21"/>
                <w:highlight w:val="none"/>
                <w:lang w:val="en-US" w:eastAsia="zh-CN"/>
              </w:rPr>
              <w:t>及供货</w:t>
            </w:r>
            <w:r>
              <w:rPr>
                <w:rFonts w:hint="eastAsia" w:ascii="宋体" w:hAnsi="宋体" w:eastAsia="宋体" w:cs="宋体"/>
                <w:b w:val="0"/>
                <w:bCs/>
                <w:color w:val="000000"/>
                <w:sz w:val="21"/>
                <w:szCs w:val="21"/>
                <w:highlight w:val="none"/>
              </w:rPr>
              <w:t>计划和安装调试验收方法严谨和切实可行</w:t>
            </w:r>
            <w:r>
              <w:rPr>
                <w:rFonts w:hint="eastAsia" w:ascii="宋体" w:hAnsi="宋体" w:eastAsia="宋体" w:cs="宋体"/>
                <w:b w:val="0"/>
                <w:bCs/>
                <w:color w:val="000000"/>
                <w:sz w:val="21"/>
                <w:szCs w:val="21"/>
                <w:highlight w:val="none"/>
                <w:lang w:eastAsia="zh-CN"/>
              </w:rPr>
              <w:t>，</w:t>
            </w:r>
            <w:r>
              <w:rPr>
                <w:rFonts w:hint="eastAsia" w:ascii="宋体" w:hAnsi="宋体" w:eastAsia="宋体" w:cs="宋体"/>
                <w:b w:val="0"/>
                <w:bCs/>
                <w:color w:val="000000"/>
                <w:sz w:val="21"/>
                <w:szCs w:val="21"/>
                <w:highlight w:val="none"/>
              </w:rPr>
              <w:t>制定了详细的质量保证措施，并配备了健全的问题解决机制。方案的</w:t>
            </w:r>
            <w:r>
              <w:rPr>
                <w:rFonts w:hint="eastAsia" w:ascii="宋体" w:hAnsi="宋体" w:eastAsia="宋体" w:cs="宋体"/>
                <w:b w:val="0"/>
                <w:bCs/>
                <w:color w:val="000000"/>
                <w:sz w:val="21"/>
                <w:szCs w:val="21"/>
                <w:highlight w:val="none"/>
                <w:lang w:val="en-US" w:eastAsia="zh-CN"/>
              </w:rPr>
              <w:t>5</w:t>
            </w:r>
            <w:r>
              <w:rPr>
                <w:rFonts w:hint="eastAsia" w:ascii="宋体" w:hAnsi="宋体" w:eastAsia="宋体" w:cs="宋体"/>
                <w:b w:val="0"/>
                <w:bCs/>
                <w:color w:val="000000"/>
                <w:sz w:val="21"/>
                <w:szCs w:val="21"/>
                <w:highlight w:val="none"/>
              </w:rPr>
              <w:t>项评审内容经评审</w:t>
            </w:r>
            <w:r>
              <w:rPr>
                <w:rFonts w:hint="eastAsia" w:ascii="宋体" w:hAnsi="宋体" w:eastAsia="宋体" w:cs="宋体"/>
                <w:b w:val="0"/>
                <w:bCs/>
                <w:color w:val="000000"/>
                <w:sz w:val="21"/>
                <w:szCs w:val="21"/>
                <w:highlight w:val="none"/>
                <w:lang w:eastAsia="zh-CN"/>
              </w:rPr>
              <w:t>均为</w:t>
            </w:r>
            <w:r>
              <w:rPr>
                <w:rFonts w:hint="eastAsia" w:ascii="宋体" w:hAnsi="宋体" w:eastAsia="宋体" w:cs="宋体"/>
                <w:b w:val="0"/>
                <w:bCs/>
                <w:color w:val="000000"/>
                <w:sz w:val="21"/>
                <w:szCs w:val="21"/>
                <w:highlight w:val="none"/>
                <w:lang w:val="en-US" w:eastAsia="zh-CN"/>
              </w:rPr>
              <w:t>完整、</w:t>
            </w:r>
            <w:r>
              <w:rPr>
                <w:rFonts w:hint="eastAsia" w:ascii="宋体" w:hAnsi="宋体" w:eastAsia="宋体" w:cs="宋体"/>
                <w:b w:val="0"/>
                <w:bCs/>
                <w:color w:val="000000"/>
                <w:sz w:val="21"/>
                <w:szCs w:val="21"/>
                <w:highlight w:val="none"/>
              </w:rPr>
              <w:t>合理、可行</w:t>
            </w:r>
            <w:r>
              <w:rPr>
                <w:rFonts w:hint="eastAsia" w:ascii="宋体" w:hAnsi="宋体" w:eastAsia="宋体" w:cs="宋体"/>
                <w:b w:val="0"/>
                <w:bCs/>
                <w:color w:val="000000"/>
                <w:sz w:val="21"/>
                <w:szCs w:val="21"/>
                <w:highlight w:val="none"/>
                <w:lang w:eastAsia="zh-CN"/>
              </w:rPr>
              <w:t>、</w:t>
            </w:r>
            <w:r>
              <w:rPr>
                <w:rFonts w:hint="eastAsia" w:ascii="宋体" w:hAnsi="宋体" w:eastAsia="宋体" w:cs="宋体"/>
                <w:b w:val="0"/>
                <w:bCs/>
                <w:color w:val="000000"/>
                <w:sz w:val="21"/>
                <w:szCs w:val="21"/>
                <w:highlight w:val="none"/>
                <w:lang w:val="en-US" w:eastAsia="zh-CN"/>
              </w:rPr>
              <w:t>针对性强</w:t>
            </w:r>
            <w:r>
              <w:rPr>
                <w:rFonts w:hint="eastAsia" w:ascii="宋体" w:hAnsi="宋体" w:eastAsia="宋体" w:cs="宋体"/>
                <w:b w:val="0"/>
                <w:bCs/>
                <w:color w:val="000000"/>
                <w:sz w:val="21"/>
                <w:szCs w:val="21"/>
                <w:highlight w:val="none"/>
                <w:lang w:eastAsia="zh-CN"/>
              </w:rPr>
              <w:t>。</w:t>
            </w:r>
          </w:p>
        </w:tc>
      </w:tr>
      <w:tr w14:paraId="71FEFC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jc w:val="center"/>
        </w:trPr>
        <w:tc>
          <w:tcPr>
            <w:tcW w:w="637" w:type="dxa"/>
            <w:tcBorders>
              <w:top w:val="single" w:color="auto" w:sz="4" w:space="0"/>
              <w:left w:val="single" w:color="000000" w:sz="4" w:space="0"/>
              <w:bottom w:val="single" w:color="000000" w:sz="4" w:space="0"/>
              <w:right w:val="single" w:color="000000" w:sz="4" w:space="0"/>
            </w:tcBorders>
            <w:shd w:val="clear" w:color="auto" w:fill="FFFFFF"/>
            <w:noWrap w:val="0"/>
            <w:vAlign w:val="center"/>
          </w:tcPr>
          <w:p w14:paraId="5CB37352">
            <w:pPr>
              <w:pStyle w:val="34"/>
              <w:keepNext w:val="0"/>
              <w:keepLines w:val="0"/>
              <w:pageBreakBefore w:val="0"/>
              <w:kinsoku/>
              <w:wordWrap w:val="0"/>
              <w:overflowPunct/>
              <w:topLinePunct w:val="0"/>
              <w:bidi w:val="0"/>
              <w:adjustRightInd/>
              <w:snapToGrid/>
              <w:spacing w:line="400" w:lineRule="exact"/>
              <w:ind w:left="0" w:leftChars="0" w:right="0" w:rightChars="0"/>
              <w:jc w:val="center"/>
              <w:rPr>
                <w:rFonts w:hint="eastAsia" w:ascii="宋体" w:hAnsi="宋体" w:eastAsia="宋体" w:cs="宋体"/>
                <w:b/>
                <w:bCs w:val="0"/>
                <w:color w:val="000000"/>
                <w:sz w:val="21"/>
                <w:szCs w:val="21"/>
                <w:highlight w:val="none"/>
                <w:lang w:val="en-US" w:eastAsia="zh-CN"/>
              </w:rPr>
            </w:pPr>
            <w:r>
              <w:rPr>
                <w:rFonts w:hint="eastAsia" w:ascii="宋体" w:hAnsi="宋体" w:eastAsia="宋体" w:cs="宋体"/>
                <w:b/>
                <w:bCs w:val="0"/>
                <w:color w:val="000000"/>
                <w:sz w:val="21"/>
                <w:szCs w:val="21"/>
                <w:highlight w:val="none"/>
                <w:lang w:val="en-US" w:eastAsia="zh-CN"/>
              </w:rPr>
              <w:t>4</w:t>
            </w:r>
          </w:p>
        </w:tc>
        <w:tc>
          <w:tcPr>
            <w:tcW w:w="1456" w:type="dxa"/>
            <w:tcBorders>
              <w:top w:val="single" w:color="auto" w:sz="4" w:space="0"/>
              <w:left w:val="single" w:color="000000" w:sz="4" w:space="0"/>
              <w:bottom w:val="single" w:color="000000" w:sz="4" w:space="0"/>
              <w:right w:val="single" w:color="000000" w:sz="4" w:space="0"/>
            </w:tcBorders>
            <w:shd w:val="clear" w:color="auto" w:fill="FFFFFF"/>
            <w:noWrap w:val="0"/>
            <w:vAlign w:val="center"/>
          </w:tcPr>
          <w:p w14:paraId="0D1F967D">
            <w:pPr>
              <w:keepNext w:val="0"/>
              <w:keepLines w:val="0"/>
              <w:pageBreakBefore w:val="0"/>
              <w:kinsoku/>
              <w:wordWrap w:val="0"/>
              <w:overflowPunct/>
              <w:topLinePunct w:val="0"/>
              <w:bidi w:val="0"/>
              <w:spacing w:line="400" w:lineRule="exact"/>
              <w:ind w:left="0" w:leftChars="0" w:right="0" w:rightChars="0"/>
              <w:jc w:val="center"/>
              <w:rPr>
                <w:rFonts w:hint="eastAsia" w:ascii="宋体" w:hAnsi="宋体" w:eastAsia="宋体" w:cs="宋体"/>
                <w:b/>
                <w:bCs w:val="0"/>
                <w:color w:val="000000"/>
                <w:kern w:val="0"/>
                <w:sz w:val="21"/>
                <w:szCs w:val="21"/>
                <w:highlight w:val="none"/>
                <w:lang w:val="en-US" w:eastAsia="zh-CN"/>
              </w:rPr>
            </w:pPr>
            <w:r>
              <w:rPr>
                <w:rFonts w:hint="eastAsia" w:ascii="宋体" w:hAnsi="宋体" w:eastAsia="宋体" w:cs="宋体"/>
                <w:b/>
                <w:bCs w:val="0"/>
                <w:color w:val="000000"/>
                <w:kern w:val="0"/>
                <w:sz w:val="21"/>
                <w:szCs w:val="21"/>
                <w:highlight w:val="none"/>
                <w:lang w:eastAsia="zh-Hans"/>
              </w:rPr>
              <w:t>售后</w:t>
            </w:r>
            <w:r>
              <w:rPr>
                <w:rFonts w:hint="eastAsia" w:ascii="宋体" w:hAnsi="宋体" w:eastAsia="宋体" w:cs="宋体"/>
                <w:b/>
                <w:bCs w:val="0"/>
                <w:color w:val="000000"/>
                <w:kern w:val="0"/>
                <w:sz w:val="21"/>
                <w:szCs w:val="21"/>
                <w:highlight w:val="none"/>
                <w:lang w:val="en-US" w:eastAsia="zh-CN"/>
              </w:rPr>
              <w:t>服务</w:t>
            </w:r>
          </w:p>
          <w:p w14:paraId="52EE17A1">
            <w:pPr>
              <w:keepNext w:val="0"/>
              <w:keepLines w:val="0"/>
              <w:pageBreakBefore w:val="0"/>
              <w:kinsoku/>
              <w:wordWrap w:val="0"/>
              <w:overflowPunct/>
              <w:topLinePunct w:val="0"/>
              <w:bidi w:val="0"/>
              <w:spacing w:line="400" w:lineRule="exact"/>
              <w:ind w:left="0" w:leftChars="0" w:right="0" w:rightChars="0"/>
              <w:jc w:val="center"/>
              <w:rPr>
                <w:rFonts w:hint="eastAsia" w:ascii="宋体" w:hAnsi="宋体" w:eastAsia="宋体" w:cs="宋体"/>
                <w:b/>
                <w:bCs w:val="0"/>
                <w:color w:val="000000"/>
                <w:kern w:val="0"/>
                <w:sz w:val="21"/>
                <w:szCs w:val="21"/>
                <w:highlight w:val="none"/>
                <w:lang w:eastAsia="zh-Hans"/>
              </w:rPr>
            </w:pPr>
            <w:r>
              <w:rPr>
                <w:rFonts w:hint="eastAsia" w:ascii="宋体" w:hAnsi="宋体" w:eastAsia="宋体" w:cs="宋体"/>
                <w:b/>
                <w:bCs w:val="0"/>
                <w:color w:val="000000"/>
                <w:kern w:val="0"/>
                <w:sz w:val="21"/>
                <w:szCs w:val="21"/>
                <w:highlight w:val="none"/>
                <w:lang w:eastAsia="zh-Hans"/>
              </w:rPr>
              <w:t xml:space="preserve">方案 </w:t>
            </w:r>
          </w:p>
          <w:p w14:paraId="7F048425">
            <w:pPr>
              <w:keepNext w:val="0"/>
              <w:keepLines w:val="0"/>
              <w:pageBreakBefore w:val="0"/>
              <w:kinsoku/>
              <w:wordWrap w:val="0"/>
              <w:overflowPunct/>
              <w:topLinePunct w:val="0"/>
              <w:bidi w:val="0"/>
              <w:spacing w:line="400" w:lineRule="exact"/>
              <w:ind w:left="0" w:leftChars="0" w:right="0" w:rightChars="0"/>
              <w:jc w:val="center"/>
              <w:rPr>
                <w:rFonts w:hint="eastAsia" w:ascii="宋体" w:hAnsi="宋体" w:eastAsia="宋体" w:cs="宋体"/>
                <w:b/>
                <w:bCs w:val="0"/>
                <w:color w:val="000000"/>
                <w:sz w:val="21"/>
                <w:szCs w:val="21"/>
                <w:highlight w:val="none"/>
                <w:lang w:eastAsia="zh-CN"/>
              </w:rPr>
            </w:pPr>
            <w:r>
              <w:rPr>
                <w:rFonts w:hint="eastAsia" w:ascii="宋体" w:hAnsi="宋体" w:eastAsia="宋体" w:cs="宋体"/>
                <w:b/>
                <w:bCs w:val="0"/>
                <w:color w:val="000000"/>
                <w:kern w:val="0"/>
                <w:sz w:val="21"/>
                <w:szCs w:val="21"/>
                <w:highlight w:val="none"/>
                <w:lang w:eastAsia="zh-Hans"/>
              </w:rPr>
              <w:t>(</w:t>
            </w:r>
            <w:r>
              <w:rPr>
                <w:rFonts w:hint="eastAsia" w:ascii="宋体" w:hAnsi="宋体" w:eastAsia="宋体" w:cs="宋体"/>
                <w:b/>
                <w:bCs w:val="0"/>
                <w:color w:val="000000"/>
                <w:spacing w:val="-3"/>
                <w:sz w:val="21"/>
                <w:szCs w:val="21"/>
                <w:highlight w:val="none"/>
                <w:lang w:val="en-US" w:eastAsia="zh-CN"/>
              </w:rPr>
              <w:t>满分</w:t>
            </w:r>
            <w:r>
              <w:rPr>
                <w:rFonts w:hint="eastAsia" w:ascii="宋体" w:hAnsi="宋体" w:eastAsia="宋体" w:cs="宋体"/>
                <w:b/>
                <w:bCs w:val="0"/>
                <w:color w:val="000000"/>
                <w:kern w:val="0"/>
                <w:sz w:val="21"/>
                <w:szCs w:val="21"/>
                <w:highlight w:val="none"/>
                <w:lang w:val="en-US" w:eastAsia="zh-CN"/>
              </w:rPr>
              <w:t>12</w:t>
            </w:r>
            <w:r>
              <w:rPr>
                <w:rFonts w:hint="eastAsia" w:ascii="宋体" w:hAnsi="宋体" w:eastAsia="宋体" w:cs="宋体"/>
                <w:b/>
                <w:bCs w:val="0"/>
                <w:color w:val="000000"/>
                <w:kern w:val="0"/>
                <w:sz w:val="21"/>
                <w:szCs w:val="21"/>
                <w:highlight w:val="none"/>
                <w:lang w:eastAsia="zh-Hans"/>
              </w:rPr>
              <w:t>分)</w:t>
            </w:r>
          </w:p>
        </w:tc>
        <w:tc>
          <w:tcPr>
            <w:tcW w:w="757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6C90F7">
            <w:pPr>
              <w:keepNext w:val="0"/>
              <w:keepLines w:val="0"/>
              <w:pageBreakBefore w:val="0"/>
              <w:widowControl w:val="0"/>
              <w:kinsoku/>
              <w:wordWrap w:val="0"/>
              <w:overflowPunct/>
              <w:topLinePunct w:val="0"/>
              <w:autoSpaceDE/>
              <w:autoSpaceDN/>
              <w:bidi w:val="0"/>
              <w:adjustRightInd/>
              <w:snapToGrid/>
              <w:spacing w:line="400" w:lineRule="exact"/>
              <w:ind w:left="113" w:leftChars="0" w:right="113" w:rightChars="0" w:firstLine="210" w:firstLineChars="100"/>
              <w:textAlignment w:val="auto"/>
              <w:rPr>
                <w:rFonts w:hint="eastAsia" w:ascii="宋体" w:hAnsi="宋体" w:eastAsia="宋体" w:cs="宋体"/>
                <w:b w:val="0"/>
                <w:bCs/>
                <w:color w:val="000000"/>
                <w:sz w:val="21"/>
                <w:szCs w:val="21"/>
                <w:highlight w:val="none"/>
                <w:lang w:eastAsia="zh-Hans"/>
              </w:rPr>
            </w:pPr>
            <w:r>
              <w:rPr>
                <w:rFonts w:hint="eastAsia" w:ascii="宋体" w:hAnsi="宋体" w:eastAsia="宋体" w:cs="宋体"/>
                <w:b w:val="0"/>
                <w:bCs/>
                <w:color w:val="000000"/>
                <w:sz w:val="21"/>
                <w:szCs w:val="21"/>
                <w:highlight w:val="none"/>
                <w:lang w:val="zh-CN"/>
              </w:rPr>
              <w:t>评委根据投标文件售后服务方案中有关售后服务体系与流程、运行保障措施、</w:t>
            </w:r>
            <w:r>
              <w:rPr>
                <w:rFonts w:hint="eastAsia" w:ascii="宋体" w:hAnsi="宋体" w:eastAsia="宋体" w:cs="宋体"/>
                <w:b w:val="0"/>
                <w:bCs/>
                <w:color w:val="000000"/>
                <w:sz w:val="21"/>
                <w:szCs w:val="21"/>
                <w:highlight w:val="none"/>
                <w:lang w:val="en-US"/>
              </w:rPr>
              <w:t>免费技术培训方案</w:t>
            </w:r>
            <w:r>
              <w:rPr>
                <w:rFonts w:hint="eastAsia" w:ascii="宋体" w:hAnsi="宋体" w:eastAsia="宋体" w:cs="宋体"/>
                <w:b w:val="0"/>
                <w:bCs/>
                <w:color w:val="000000"/>
                <w:sz w:val="21"/>
                <w:szCs w:val="21"/>
                <w:highlight w:val="none"/>
                <w:lang w:val="zh-CN" w:eastAsia="zh-CN"/>
              </w:rPr>
              <w:t>等</w:t>
            </w:r>
            <w:r>
              <w:rPr>
                <w:rFonts w:hint="eastAsia" w:ascii="宋体" w:hAnsi="宋体" w:eastAsia="宋体" w:cs="宋体"/>
                <w:b w:val="0"/>
                <w:bCs/>
                <w:color w:val="000000"/>
                <w:sz w:val="21"/>
                <w:szCs w:val="21"/>
                <w:highlight w:val="none"/>
                <w:lang w:val="zh-CN"/>
              </w:rPr>
              <w:t>内容的完整性、可行性，</w:t>
            </w:r>
            <w:r>
              <w:rPr>
                <w:rFonts w:hint="eastAsia" w:ascii="宋体" w:hAnsi="宋体" w:eastAsia="宋体" w:cs="宋体"/>
                <w:b w:val="0"/>
                <w:bCs/>
                <w:color w:val="000000"/>
                <w:sz w:val="21"/>
                <w:szCs w:val="21"/>
                <w:highlight w:val="none"/>
                <w:lang w:val="en-US" w:eastAsia="zh-CN"/>
              </w:rPr>
              <w:t>以及对</w:t>
            </w:r>
            <w:r>
              <w:rPr>
                <w:rFonts w:hint="eastAsia" w:ascii="宋体" w:hAnsi="宋体" w:eastAsia="宋体" w:cs="宋体"/>
                <w:b w:val="0"/>
                <w:bCs/>
                <w:color w:val="000000"/>
                <w:sz w:val="21"/>
                <w:szCs w:val="21"/>
                <w:highlight w:val="none"/>
                <w:lang w:val="zh-CN"/>
              </w:rPr>
              <w:t>到达故障现场时间、故障出现解决方案、定期维护</w:t>
            </w:r>
            <w:r>
              <w:rPr>
                <w:rFonts w:hint="eastAsia" w:ascii="宋体" w:hAnsi="宋体" w:eastAsia="宋体" w:cs="宋体"/>
                <w:b w:val="0"/>
                <w:bCs/>
                <w:color w:val="000000"/>
                <w:sz w:val="21"/>
                <w:szCs w:val="21"/>
                <w:highlight w:val="none"/>
                <w:lang w:val="en-US"/>
              </w:rPr>
              <w:t>等响应能力方面进行</w:t>
            </w:r>
            <w:r>
              <w:rPr>
                <w:rFonts w:hint="eastAsia" w:ascii="宋体" w:hAnsi="宋体" w:eastAsia="宋体" w:cs="宋体"/>
                <w:b w:val="0"/>
                <w:bCs/>
                <w:color w:val="000000"/>
                <w:sz w:val="21"/>
                <w:szCs w:val="21"/>
                <w:highlight w:val="none"/>
                <w:lang w:val="en-US" w:eastAsia="zh-CN"/>
              </w:rPr>
              <w:t>独立评审</w:t>
            </w:r>
            <w:r>
              <w:rPr>
                <w:rFonts w:hint="eastAsia" w:ascii="宋体" w:hAnsi="宋体" w:eastAsia="宋体" w:cs="宋体"/>
                <w:b w:val="0"/>
                <w:bCs/>
                <w:color w:val="000000"/>
                <w:sz w:val="21"/>
                <w:szCs w:val="21"/>
                <w:highlight w:val="none"/>
                <w:lang w:eastAsia="zh-Hans"/>
              </w:rPr>
              <w:t>并按以下规则</w:t>
            </w:r>
            <w:r>
              <w:rPr>
                <w:rFonts w:hint="eastAsia" w:ascii="宋体" w:hAnsi="宋体" w:eastAsia="宋体" w:cs="宋体"/>
                <w:b w:val="0"/>
                <w:bCs/>
                <w:color w:val="000000"/>
                <w:sz w:val="21"/>
                <w:szCs w:val="21"/>
                <w:highlight w:val="none"/>
                <w:lang w:val="en-US" w:eastAsia="zh-CN"/>
              </w:rPr>
              <w:t>评</w:t>
            </w:r>
            <w:r>
              <w:rPr>
                <w:rFonts w:hint="eastAsia" w:ascii="宋体" w:hAnsi="宋体" w:eastAsia="宋体" w:cs="宋体"/>
                <w:b w:val="0"/>
                <w:bCs/>
                <w:color w:val="000000"/>
                <w:sz w:val="21"/>
                <w:szCs w:val="21"/>
                <w:highlight w:val="none"/>
                <w:lang w:eastAsia="zh-Hans"/>
              </w:rPr>
              <w:t>分</w:t>
            </w:r>
            <w:r>
              <w:rPr>
                <w:rFonts w:hint="eastAsia" w:ascii="宋体" w:hAnsi="宋体" w:eastAsia="宋体" w:cs="宋体"/>
                <w:b w:val="0"/>
                <w:bCs/>
                <w:color w:val="000000"/>
                <w:sz w:val="21"/>
                <w:szCs w:val="21"/>
                <w:highlight w:val="none"/>
                <w:lang w:val="zh-CN"/>
              </w:rPr>
              <w:t>（</w:t>
            </w:r>
            <w:r>
              <w:rPr>
                <w:rFonts w:hint="eastAsia" w:ascii="宋体" w:hAnsi="宋体" w:eastAsia="宋体" w:cs="宋体"/>
                <w:b w:val="0"/>
                <w:bCs/>
                <w:color w:val="000000"/>
                <w:sz w:val="21"/>
                <w:szCs w:val="21"/>
                <w:highlight w:val="none"/>
              </w:rPr>
              <w:t>投标人所提供的方案不符合任一档次进档所有要求的，不予进入该档评分</w:t>
            </w:r>
            <w:r>
              <w:rPr>
                <w:rFonts w:hint="eastAsia" w:ascii="宋体" w:hAnsi="宋体" w:eastAsia="宋体" w:cs="宋体"/>
                <w:b w:val="0"/>
                <w:bCs/>
                <w:color w:val="000000"/>
                <w:sz w:val="21"/>
                <w:szCs w:val="21"/>
                <w:highlight w:val="none"/>
                <w:lang w:val="zh-CN"/>
              </w:rPr>
              <w:t>）</w:t>
            </w:r>
            <w:r>
              <w:rPr>
                <w:rFonts w:hint="eastAsia" w:ascii="宋体" w:hAnsi="宋体" w:eastAsia="宋体" w:cs="宋体"/>
                <w:b w:val="0"/>
                <w:bCs/>
                <w:color w:val="000000"/>
                <w:sz w:val="21"/>
                <w:szCs w:val="21"/>
                <w:highlight w:val="none"/>
                <w:lang w:eastAsia="zh-Hans"/>
              </w:rPr>
              <w:t>：</w:t>
            </w:r>
          </w:p>
          <w:p w14:paraId="61A87EBA">
            <w:pPr>
              <w:keepNext w:val="0"/>
              <w:keepLines w:val="0"/>
              <w:pageBreakBefore w:val="0"/>
              <w:widowControl w:val="0"/>
              <w:kinsoku/>
              <w:wordWrap w:val="0"/>
              <w:overflowPunct/>
              <w:topLinePunct w:val="0"/>
              <w:autoSpaceDE/>
              <w:autoSpaceDN/>
              <w:bidi w:val="0"/>
              <w:adjustRightInd/>
              <w:snapToGrid/>
              <w:spacing w:line="400" w:lineRule="exact"/>
              <w:ind w:left="113" w:leftChars="0" w:right="113" w:rightChars="0" w:firstLine="210" w:firstLineChars="100"/>
              <w:textAlignment w:val="auto"/>
              <w:rPr>
                <w:rFonts w:hint="eastAsia" w:ascii="宋体" w:hAnsi="宋体" w:eastAsia="宋体" w:cs="宋体"/>
                <w:b w:val="0"/>
                <w:bCs/>
                <w:color w:val="000000"/>
                <w:sz w:val="21"/>
                <w:szCs w:val="21"/>
                <w:highlight w:val="none"/>
                <w:lang w:eastAsia="zh-CN"/>
              </w:rPr>
            </w:pPr>
            <w:r>
              <w:rPr>
                <w:rFonts w:hint="eastAsia" w:ascii="宋体" w:hAnsi="宋体" w:eastAsia="宋体" w:cs="宋体"/>
                <w:b w:val="0"/>
                <w:bCs/>
                <w:color w:val="000000"/>
                <w:sz w:val="21"/>
                <w:szCs w:val="21"/>
                <w:highlight w:val="none"/>
              </w:rPr>
              <w:t>一档（0分）：未提供方案的</w:t>
            </w:r>
            <w:r>
              <w:rPr>
                <w:rFonts w:hint="eastAsia" w:ascii="宋体" w:hAnsi="宋体" w:eastAsia="宋体" w:cs="宋体"/>
                <w:b w:val="0"/>
                <w:bCs/>
                <w:color w:val="000000"/>
                <w:sz w:val="21"/>
                <w:szCs w:val="21"/>
                <w:highlight w:val="none"/>
                <w:lang w:eastAsia="zh-CN"/>
              </w:rPr>
              <w:t>；</w:t>
            </w:r>
          </w:p>
          <w:p w14:paraId="48A14B3D">
            <w:pPr>
              <w:pStyle w:val="15"/>
              <w:keepNext w:val="0"/>
              <w:keepLines w:val="0"/>
              <w:pageBreakBefore w:val="0"/>
              <w:widowControl w:val="0"/>
              <w:kinsoku/>
              <w:wordWrap w:val="0"/>
              <w:overflowPunct/>
              <w:topLinePunct w:val="0"/>
              <w:autoSpaceDE/>
              <w:autoSpaceDN/>
              <w:bidi w:val="0"/>
              <w:adjustRightInd/>
              <w:snapToGrid/>
              <w:spacing w:line="400" w:lineRule="exact"/>
              <w:ind w:left="113" w:leftChars="0" w:right="113" w:rightChars="0" w:firstLine="210" w:firstLineChars="100"/>
              <w:textAlignment w:val="auto"/>
              <w:rPr>
                <w:rFonts w:hint="eastAsia" w:ascii="宋体" w:hAnsi="宋体" w:eastAsia="宋体" w:cs="宋体"/>
                <w:color w:val="000000"/>
                <w:spacing w:val="-2"/>
                <w:sz w:val="21"/>
                <w:szCs w:val="21"/>
                <w:highlight w:val="none"/>
                <w:lang w:eastAsia="zh-CN"/>
              </w:rPr>
            </w:pPr>
            <w:r>
              <w:rPr>
                <w:rFonts w:hint="eastAsia" w:ascii="宋体" w:hAnsi="宋体" w:eastAsia="宋体" w:cs="宋体"/>
                <w:b w:val="0"/>
                <w:bCs/>
                <w:color w:val="000000"/>
                <w:sz w:val="21"/>
                <w:szCs w:val="21"/>
                <w:highlight w:val="none"/>
              </w:rPr>
              <w:t>二</w:t>
            </w:r>
            <w:r>
              <w:rPr>
                <w:rFonts w:hint="eastAsia" w:ascii="宋体" w:hAnsi="宋体" w:eastAsia="宋体" w:cs="宋体"/>
                <w:b w:val="0"/>
                <w:bCs/>
                <w:color w:val="000000"/>
                <w:sz w:val="21"/>
                <w:szCs w:val="21"/>
                <w:highlight w:val="none"/>
                <w:lang w:val="zh-CN"/>
              </w:rPr>
              <w:t>档（</w:t>
            </w:r>
            <w:r>
              <w:rPr>
                <w:rFonts w:hint="eastAsia" w:ascii="宋体" w:hAnsi="宋体" w:eastAsia="宋体" w:cs="宋体"/>
                <w:b w:val="0"/>
                <w:bCs/>
                <w:color w:val="000000"/>
                <w:sz w:val="21"/>
                <w:szCs w:val="21"/>
                <w:highlight w:val="none"/>
                <w:lang w:val="en-US" w:eastAsia="zh-CN"/>
              </w:rPr>
              <w:t>3</w:t>
            </w:r>
            <w:r>
              <w:rPr>
                <w:rFonts w:hint="eastAsia" w:ascii="宋体" w:hAnsi="宋体" w:eastAsia="宋体" w:cs="宋体"/>
                <w:b w:val="0"/>
                <w:bCs/>
                <w:color w:val="000000"/>
                <w:sz w:val="21"/>
                <w:szCs w:val="21"/>
                <w:highlight w:val="none"/>
                <w:lang w:val="zh-CN"/>
              </w:rPr>
              <w:t>分）：</w:t>
            </w:r>
            <w:r>
              <w:rPr>
                <w:rFonts w:hint="eastAsia" w:ascii="宋体" w:hAnsi="宋体" w:eastAsia="宋体" w:cs="宋体"/>
                <w:b w:val="0"/>
                <w:bCs/>
                <w:color w:val="000000"/>
                <w:sz w:val="21"/>
                <w:szCs w:val="21"/>
                <w:highlight w:val="none"/>
                <w:lang w:val="en-US" w:eastAsia="zh-CN"/>
              </w:rPr>
              <w:t>提供</w:t>
            </w:r>
            <w:r>
              <w:rPr>
                <w:rFonts w:hint="eastAsia" w:ascii="宋体" w:hAnsi="宋体" w:eastAsia="宋体" w:cs="宋体"/>
                <w:color w:val="000000"/>
                <w:spacing w:val="-2"/>
                <w:sz w:val="21"/>
                <w:szCs w:val="21"/>
                <w:highlight w:val="none"/>
              </w:rPr>
              <w:t>有售后服务方案，</w:t>
            </w:r>
            <w:r>
              <w:rPr>
                <w:rFonts w:hint="eastAsia" w:ascii="宋体" w:hAnsi="宋体" w:eastAsia="宋体" w:cs="宋体"/>
                <w:color w:val="000000"/>
                <w:spacing w:val="-2"/>
                <w:sz w:val="21"/>
                <w:szCs w:val="21"/>
                <w:highlight w:val="none"/>
                <w:lang w:val="en-US" w:eastAsia="zh-CN"/>
              </w:rPr>
              <w:t>但</w:t>
            </w:r>
            <w:r>
              <w:rPr>
                <w:rFonts w:hint="eastAsia" w:ascii="宋体" w:hAnsi="宋体" w:eastAsia="宋体" w:cs="宋体"/>
                <w:b w:val="0"/>
                <w:bCs/>
                <w:color w:val="000000"/>
                <w:sz w:val="21"/>
                <w:szCs w:val="21"/>
                <w:highlight w:val="none"/>
                <w:lang w:val="zh-CN"/>
              </w:rPr>
              <w:t>方案</w:t>
            </w:r>
            <w:r>
              <w:rPr>
                <w:rFonts w:hint="eastAsia" w:ascii="宋体" w:hAnsi="宋体" w:eastAsia="宋体" w:cs="宋体"/>
                <w:b w:val="0"/>
                <w:bCs/>
                <w:color w:val="000000"/>
                <w:sz w:val="21"/>
                <w:szCs w:val="21"/>
                <w:highlight w:val="none"/>
                <w:lang w:val="en-US" w:eastAsia="zh-CN"/>
              </w:rPr>
              <w:t>有缺漏</w:t>
            </w:r>
            <w:r>
              <w:rPr>
                <w:rFonts w:hint="eastAsia" w:ascii="宋体" w:hAnsi="宋体" w:eastAsia="宋体" w:cs="宋体"/>
                <w:b w:val="0"/>
                <w:bCs/>
                <w:color w:val="000000"/>
                <w:sz w:val="21"/>
                <w:szCs w:val="21"/>
                <w:highlight w:val="none"/>
              </w:rPr>
              <w:t>或缺少关键节点</w:t>
            </w:r>
            <w:r>
              <w:rPr>
                <w:rFonts w:hint="eastAsia" w:ascii="宋体" w:hAnsi="宋体" w:eastAsia="宋体" w:cs="宋体"/>
                <w:b w:val="0"/>
                <w:bCs/>
                <w:color w:val="000000"/>
                <w:sz w:val="21"/>
                <w:szCs w:val="21"/>
                <w:highlight w:val="none"/>
                <w:lang w:val="en-US" w:eastAsia="zh-CN"/>
              </w:rPr>
              <w:t>或流程措施不明确</w:t>
            </w:r>
            <w:r>
              <w:rPr>
                <w:rFonts w:hint="eastAsia" w:ascii="宋体" w:hAnsi="宋体" w:eastAsia="宋体" w:cs="宋体"/>
                <w:b w:val="0"/>
                <w:bCs/>
                <w:color w:val="000000"/>
                <w:sz w:val="21"/>
                <w:szCs w:val="21"/>
                <w:highlight w:val="none"/>
                <w:lang w:val="zh-CN"/>
              </w:rPr>
              <w:t>，</w:t>
            </w:r>
            <w:r>
              <w:rPr>
                <w:rFonts w:hint="eastAsia" w:ascii="宋体" w:hAnsi="宋体" w:eastAsia="宋体" w:cs="宋体"/>
                <w:color w:val="000000"/>
                <w:spacing w:val="-2"/>
                <w:sz w:val="21"/>
                <w:szCs w:val="21"/>
                <w:highlight w:val="none"/>
              </w:rPr>
              <w:t>售后服务内容仅</w:t>
            </w:r>
            <w:r>
              <w:rPr>
                <w:rFonts w:hint="eastAsia" w:ascii="宋体" w:hAnsi="宋体" w:eastAsia="宋体" w:cs="宋体"/>
                <w:color w:val="000000"/>
                <w:spacing w:val="-2"/>
                <w:sz w:val="21"/>
                <w:szCs w:val="21"/>
                <w:highlight w:val="none"/>
                <w:lang w:val="en-US" w:eastAsia="zh-CN"/>
              </w:rPr>
              <w:t>能基本</w:t>
            </w:r>
            <w:r>
              <w:rPr>
                <w:rFonts w:hint="eastAsia" w:ascii="宋体" w:hAnsi="宋体" w:eastAsia="宋体" w:cs="宋体"/>
                <w:color w:val="000000"/>
                <w:spacing w:val="-2"/>
                <w:sz w:val="21"/>
                <w:szCs w:val="21"/>
                <w:highlight w:val="none"/>
              </w:rPr>
              <w:t>满足招标文件的要求</w:t>
            </w:r>
            <w:r>
              <w:rPr>
                <w:rFonts w:hint="eastAsia" w:ascii="宋体" w:hAnsi="宋体" w:eastAsia="宋体" w:cs="宋体"/>
                <w:color w:val="000000"/>
                <w:spacing w:val="-2"/>
                <w:sz w:val="21"/>
                <w:szCs w:val="21"/>
                <w:highlight w:val="none"/>
                <w:lang w:eastAsia="zh-CN"/>
              </w:rPr>
              <w:t>；</w:t>
            </w:r>
          </w:p>
          <w:p w14:paraId="32E6DBF0">
            <w:pPr>
              <w:keepNext w:val="0"/>
              <w:keepLines w:val="0"/>
              <w:pageBreakBefore w:val="0"/>
              <w:widowControl w:val="0"/>
              <w:kinsoku/>
              <w:wordWrap w:val="0"/>
              <w:overflowPunct/>
              <w:topLinePunct w:val="0"/>
              <w:autoSpaceDE/>
              <w:autoSpaceDN/>
              <w:bidi w:val="0"/>
              <w:adjustRightInd/>
              <w:snapToGrid/>
              <w:spacing w:line="400" w:lineRule="exact"/>
              <w:ind w:left="113" w:leftChars="0" w:right="113" w:rightChars="0" w:firstLine="210" w:firstLineChars="100"/>
              <w:textAlignment w:val="auto"/>
              <w:rPr>
                <w:rFonts w:hint="eastAsia" w:ascii="宋体" w:hAnsi="宋体" w:eastAsia="宋体" w:cs="宋体"/>
                <w:color w:val="000000"/>
                <w:spacing w:val="-2"/>
                <w:sz w:val="21"/>
                <w:szCs w:val="21"/>
                <w:highlight w:val="none"/>
              </w:rPr>
            </w:pPr>
            <w:r>
              <w:rPr>
                <w:rFonts w:hint="eastAsia" w:ascii="宋体" w:hAnsi="宋体" w:eastAsia="宋体" w:cs="宋体"/>
                <w:b w:val="0"/>
                <w:bCs/>
                <w:color w:val="000000"/>
                <w:sz w:val="21"/>
                <w:szCs w:val="21"/>
                <w:highlight w:val="none"/>
              </w:rPr>
              <w:t>三</w:t>
            </w:r>
            <w:r>
              <w:rPr>
                <w:rFonts w:hint="eastAsia" w:ascii="宋体" w:hAnsi="宋体" w:eastAsia="宋体" w:cs="宋体"/>
                <w:b w:val="0"/>
                <w:bCs/>
                <w:color w:val="000000"/>
                <w:sz w:val="21"/>
                <w:szCs w:val="21"/>
                <w:highlight w:val="none"/>
                <w:lang w:val="zh-CN"/>
              </w:rPr>
              <w:t>档（</w:t>
            </w:r>
            <w:r>
              <w:rPr>
                <w:rFonts w:hint="eastAsia" w:ascii="宋体" w:hAnsi="宋体" w:eastAsia="宋体" w:cs="宋体"/>
                <w:b w:val="0"/>
                <w:bCs/>
                <w:color w:val="000000"/>
                <w:sz w:val="21"/>
                <w:szCs w:val="21"/>
                <w:highlight w:val="none"/>
                <w:lang w:val="en-US" w:eastAsia="zh-CN"/>
              </w:rPr>
              <w:t>6</w:t>
            </w:r>
            <w:r>
              <w:rPr>
                <w:rFonts w:hint="eastAsia" w:ascii="宋体" w:hAnsi="宋体" w:eastAsia="宋体" w:cs="宋体"/>
                <w:b w:val="0"/>
                <w:bCs/>
                <w:color w:val="000000"/>
                <w:sz w:val="21"/>
                <w:szCs w:val="21"/>
                <w:highlight w:val="none"/>
                <w:lang w:val="zh-CN"/>
              </w:rPr>
              <w:t>分）：售后服务</w:t>
            </w:r>
            <w:r>
              <w:rPr>
                <w:rFonts w:hint="eastAsia" w:ascii="宋体" w:hAnsi="宋体" w:eastAsia="宋体" w:cs="宋体"/>
                <w:b w:val="0"/>
                <w:bCs/>
                <w:color w:val="000000"/>
                <w:sz w:val="21"/>
                <w:szCs w:val="21"/>
                <w:highlight w:val="none"/>
              </w:rPr>
              <w:t>方案无缺漏，</w:t>
            </w:r>
            <w:r>
              <w:rPr>
                <w:rFonts w:hint="eastAsia" w:ascii="宋体" w:hAnsi="宋体" w:eastAsia="宋体" w:cs="宋体"/>
                <w:color w:val="000000"/>
                <w:spacing w:val="-2"/>
                <w:sz w:val="21"/>
                <w:szCs w:val="21"/>
                <w:highlight w:val="none"/>
              </w:rPr>
              <w:t>有到达故障现场时间</w:t>
            </w:r>
            <w:r>
              <w:rPr>
                <w:rFonts w:hint="eastAsia" w:ascii="宋体" w:hAnsi="宋体" w:eastAsia="宋体" w:cs="宋体"/>
                <w:color w:val="000000"/>
                <w:spacing w:val="-2"/>
                <w:sz w:val="21"/>
                <w:szCs w:val="21"/>
                <w:highlight w:val="none"/>
                <w:lang w:val="en-US" w:eastAsia="zh-CN"/>
              </w:rPr>
              <w:t>及</w:t>
            </w:r>
            <w:r>
              <w:rPr>
                <w:rFonts w:hint="eastAsia" w:ascii="宋体" w:hAnsi="宋体" w:eastAsia="宋体" w:cs="宋体"/>
                <w:color w:val="000000"/>
                <w:spacing w:val="-2"/>
                <w:sz w:val="21"/>
                <w:szCs w:val="21"/>
                <w:highlight w:val="none"/>
              </w:rPr>
              <w:t>故障出现解决方案</w:t>
            </w:r>
            <w:r>
              <w:rPr>
                <w:rFonts w:hint="eastAsia" w:ascii="宋体" w:hAnsi="宋体" w:eastAsia="宋体" w:cs="宋体"/>
                <w:color w:val="000000"/>
                <w:spacing w:val="-2"/>
                <w:sz w:val="21"/>
                <w:szCs w:val="21"/>
                <w:highlight w:val="none"/>
                <w:lang w:eastAsia="zh-CN"/>
              </w:rPr>
              <w:t>、</w:t>
            </w:r>
            <w:r>
              <w:rPr>
                <w:rFonts w:hint="eastAsia" w:ascii="宋体" w:hAnsi="宋体" w:eastAsia="宋体" w:cs="宋体"/>
                <w:color w:val="000000"/>
                <w:spacing w:val="-2"/>
                <w:sz w:val="21"/>
                <w:szCs w:val="21"/>
                <w:highlight w:val="none"/>
              </w:rPr>
              <w:t>免费保修期外维修方案、售后人员配备情况描述、定期维护 (有具体时间)</w:t>
            </w:r>
            <w:r>
              <w:rPr>
                <w:rFonts w:hint="eastAsia" w:ascii="宋体" w:hAnsi="宋体" w:eastAsia="宋体" w:cs="宋体"/>
                <w:color w:val="000000"/>
                <w:spacing w:val="-2"/>
                <w:sz w:val="21"/>
                <w:szCs w:val="21"/>
                <w:highlight w:val="none"/>
                <w:lang w:val="en-US" w:eastAsia="zh-CN"/>
              </w:rPr>
              <w:t>等内容</w:t>
            </w:r>
            <w:r>
              <w:rPr>
                <w:rFonts w:hint="eastAsia" w:ascii="宋体" w:hAnsi="宋体" w:eastAsia="宋体" w:cs="宋体"/>
                <w:color w:val="000000"/>
                <w:spacing w:val="-2"/>
                <w:sz w:val="21"/>
                <w:szCs w:val="21"/>
                <w:highlight w:val="none"/>
                <w:lang w:eastAsia="zh-CN"/>
              </w:rPr>
              <w:t>，</w:t>
            </w:r>
            <w:r>
              <w:rPr>
                <w:rFonts w:hint="eastAsia" w:ascii="宋体" w:hAnsi="宋体" w:eastAsia="宋体" w:cs="宋体"/>
                <w:color w:val="000000"/>
                <w:spacing w:val="-2"/>
                <w:sz w:val="21"/>
                <w:szCs w:val="21"/>
                <w:highlight w:val="none"/>
                <w:lang w:val="en-US" w:eastAsia="zh-CN"/>
              </w:rPr>
              <w:t>但方案不具体或</w:t>
            </w:r>
            <w:r>
              <w:rPr>
                <w:rFonts w:hint="eastAsia" w:ascii="宋体" w:hAnsi="宋体" w:eastAsia="宋体" w:cs="宋体"/>
                <w:color w:val="000000"/>
                <w:spacing w:val="-2"/>
                <w:sz w:val="21"/>
                <w:szCs w:val="21"/>
                <w:highlight w:val="none"/>
              </w:rPr>
              <w:t>缺乏</w:t>
            </w:r>
            <w:r>
              <w:rPr>
                <w:rFonts w:hint="eastAsia" w:ascii="宋体" w:hAnsi="宋体" w:eastAsia="宋体" w:cs="宋体"/>
                <w:color w:val="000000"/>
                <w:spacing w:val="-2"/>
                <w:sz w:val="21"/>
                <w:szCs w:val="21"/>
                <w:highlight w:val="none"/>
                <w:lang w:val="en-US" w:eastAsia="zh-CN"/>
              </w:rPr>
              <w:t>运行</w:t>
            </w:r>
            <w:r>
              <w:rPr>
                <w:rFonts w:hint="eastAsia" w:ascii="宋体" w:hAnsi="宋体" w:eastAsia="宋体" w:cs="宋体"/>
                <w:color w:val="000000"/>
                <w:spacing w:val="-2"/>
                <w:sz w:val="21"/>
                <w:szCs w:val="21"/>
                <w:highlight w:val="none"/>
              </w:rPr>
              <w:t>保障响应措施，</w:t>
            </w:r>
            <w:r>
              <w:rPr>
                <w:rFonts w:hint="eastAsia" w:ascii="宋体" w:hAnsi="宋体" w:eastAsia="宋体" w:cs="宋体"/>
                <w:b w:val="0"/>
                <w:bCs/>
                <w:color w:val="000000"/>
                <w:sz w:val="21"/>
                <w:szCs w:val="21"/>
                <w:highlight w:val="none"/>
                <w:lang w:val="zh-CN"/>
              </w:rPr>
              <w:t>售后服务体系</w:t>
            </w:r>
            <w:r>
              <w:rPr>
                <w:rFonts w:hint="eastAsia" w:ascii="宋体" w:hAnsi="宋体" w:eastAsia="宋体" w:cs="宋体"/>
                <w:b w:val="0"/>
                <w:bCs/>
                <w:color w:val="000000"/>
                <w:sz w:val="21"/>
                <w:szCs w:val="21"/>
                <w:highlight w:val="none"/>
              </w:rPr>
              <w:t>可以</w:t>
            </w:r>
            <w:r>
              <w:rPr>
                <w:rFonts w:hint="eastAsia" w:ascii="宋体" w:hAnsi="宋体" w:eastAsia="宋体" w:cs="宋体"/>
                <w:b w:val="0"/>
                <w:bCs/>
                <w:color w:val="000000"/>
                <w:sz w:val="21"/>
                <w:szCs w:val="21"/>
                <w:highlight w:val="none"/>
                <w:lang w:val="en-US" w:eastAsia="zh-CN"/>
              </w:rPr>
              <w:t>基本</w:t>
            </w:r>
            <w:r>
              <w:rPr>
                <w:rFonts w:hint="eastAsia" w:ascii="宋体" w:hAnsi="宋体" w:eastAsia="宋体" w:cs="宋体"/>
                <w:b w:val="0"/>
                <w:bCs/>
                <w:color w:val="000000"/>
                <w:sz w:val="21"/>
                <w:szCs w:val="21"/>
                <w:highlight w:val="none"/>
              </w:rPr>
              <w:t>保证项目正常实施</w:t>
            </w:r>
            <w:r>
              <w:rPr>
                <w:rFonts w:hint="eastAsia" w:ascii="宋体" w:hAnsi="宋体" w:eastAsia="宋体" w:cs="宋体"/>
                <w:b w:val="0"/>
                <w:bCs/>
                <w:color w:val="000000"/>
                <w:sz w:val="21"/>
                <w:szCs w:val="21"/>
                <w:highlight w:val="none"/>
                <w:lang w:eastAsia="zh-CN"/>
              </w:rPr>
              <w:t>；</w:t>
            </w:r>
          </w:p>
          <w:p w14:paraId="22638F3C">
            <w:pPr>
              <w:keepNext w:val="0"/>
              <w:keepLines w:val="0"/>
              <w:pageBreakBefore w:val="0"/>
              <w:widowControl w:val="0"/>
              <w:kinsoku/>
              <w:wordWrap w:val="0"/>
              <w:overflowPunct/>
              <w:topLinePunct w:val="0"/>
              <w:autoSpaceDE/>
              <w:autoSpaceDN/>
              <w:bidi w:val="0"/>
              <w:adjustRightInd/>
              <w:snapToGrid/>
              <w:spacing w:line="400" w:lineRule="exact"/>
              <w:ind w:left="113" w:leftChars="0" w:right="113" w:rightChars="0" w:firstLine="210" w:firstLineChars="100"/>
              <w:textAlignment w:val="auto"/>
              <w:rPr>
                <w:rFonts w:hint="eastAsia" w:ascii="宋体" w:hAnsi="宋体" w:eastAsia="宋体" w:cs="宋体"/>
                <w:b w:val="0"/>
                <w:bCs/>
                <w:color w:val="000000"/>
                <w:sz w:val="21"/>
                <w:szCs w:val="21"/>
                <w:highlight w:val="none"/>
                <w:lang w:val="zh-CN"/>
              </w:rPr>
            </w:pPr>
            <w:r>
              <w:rPr>
                <w:rFonts w:hint="eastAsia" w:ascii="宋体" w:hAnsi="宋体" w:eastAsia="宋体" w:cs="宋体"/>
                <w:b w:val="0"/>
                <w:bCs/>
                <w:color w:val="000000"/>
                <w:sz w:val="21"/>
                <w:szCs w:val="21"/>
                <w:highlight w:val="none"/>
                <w:lang w:val="en-US" w:eastAsia="zh-CN"/>
              </w:rPr>
              <w:t>四</w:t>
            </w:r>
            <w:r>
              <w:rPr>
                <w:rFonts w:hint="eastAsia" w:ascii="宋体" w:hAnsi="宋体" w:eastAsia="宋体" w:cs="宋体"/>
                <w:b w:val="0"/>
                <w:bCs/>
                <w:color w:val="000000"/>
                <w:sz w:val="21"/>
                <w:szCs w:val="21"/>
                <w:highlight w:val="none"/>
                <w:lang w:val="zh-CN"/>
              </w:rPr>
              <w:t>档（</w:t>
            </w:r>
            <w:r>
              <w:rPr>
                <w:rFonts w:hint="eastAsia" w:ascii="宋体" w:hAnsi="宋体" w:eastAsia="宋体" w:cs="宋体"/>
                <w:b w:val="0"/>
                <w:bCs/>
                <w:color w:val="000000"/>
                <w:sz w:val="21"/>
                <w:szCs w:val="21"/>
                <w:highlight w:val="none"/>
                <w:lang w:val="en-US" w:eastAsia="zh-CN"/>
              </w:rPr>
              <w:t>9</w:t>
            </w:r>
            <w:r>
              <w:rPr>
                <w:rFonts w:hint="eastAsia" w:ascii="宋体" w:hAnsi="宋体" w:eastAsia="宋体" w:cs="宋体"/>
                <w:b w:val="0"/>
                <w:bCs/>
                <w:color w:val="000000"/>
                <w:sz w:val="21"/>
                <w:szCs w:val="21"/>
                <w:highlight w:val="none"/>
                <w:lang w:val="zh-CN"/>
              </w:rPr>
              <w:t>分）：售后服务</w:t>
            </w:r>
            <w:r>
              <w:rPr>
                <w:rFonts w:hint="eastAsia" w:ascii="宋体" w:hAnsi="宋体" w:eastAsia="宋体" w:cs="宋体"/>
                <w:b w:val="0"/>
                <w:bCs/>
                <w:color w:val="000000"/>
                <w:sz w:val="21"/>
                <w:szCs w:val="21"/>
                <w:highlight w:val="none"/>
              </w:rPr>
              <w:t>方案完整无缺漏，售后服务流程、</w:t>
            </w:r>
            <w:r>
              <w:rPr>
                <w:rFonts w:hint="eastAsia" w:ascii="宋体" w:hAnsi="宋体" w:eastAsia="宋体" w:cs="宋体"/>
                <w:b w:val="0"/>
                <w:bCs/>
                <w:color w:val="000000"/>
                <w:sz w:val="21"/>
                <w:szCs w:val="21"/>
                <w:highlight w:val="none"/>
                <w:lang w:eastAsia="zh-CN"/>
              </w:rPr>
              <w:t>运行</w:t>
            </w:r>
            <w:r>
              <w:rPr>
                <w:rFonts w:hint="eastAsia" w:ascii="宋体" w:hAnsi="宋体" w:eastAsia="宋体" w:cs="宋体"/>
                <w:b w:val="0"/>
                <w:bCs/>
                <w:color w:val="000000"/>
                <w:sz w:val="21"/>
                <w:szCs w:val="21"/>
                <w:highlight w:val="none"/>
              </w:rPr>
              <w:t>保障措施、免费技术培训等内容</w:t>
            </w:r>
            <w:r>
              <w:rPr>
                <w:rFonts w:hint="eastAsia" w:ascii="宋体" w:hAnsi="宋体" w:eastAsia="宋体" w:cs="宋体"/>
                <w:b w:val="0"/>
                <w:bCs/>
                <w:color w:val="000000"/>
                <w:sz w:val="21"/>
                <w:szCs w:val="21"/>
                <w:highlight w:val="none"/>
                <w:lang w:val="en-US" w:eastAsia="zh-CN"/>
              </w:rPr>
              <w:t>具体</w:t>
            </w:r>
            <w:r>
              <w:rPr>
                <w:rFonts w:hint="eastAsia" w:ascii="宋体" w:hAnsi="宋体" w:eastAsia="宋体" w:cs="宋体"/>
                <w:b w:val="0"/>
                <w:bCs/>
                <w:color w:val="000000"/>
                <w:sz w:val="21"/>
                <w:szCs w:val="21"/>
                <w:highlight w:val="none"/>
              </w:rPr>
              <w:t>且措施具有可行性</w:t>
            </w:r>
            <w:r>
              <w:rPr>
                <w:rFonts w:hint="eastAsia" w:ascii="宋体" w:hAnsi="宋体" w:eastAsia="宋体" w:cs="宋体"/>
                <w:b w:val="0"/>
                <w:bCs/>
                <w:color w:val="000000"/>
                <w:sz w:val="21"/>
                <w:szCs w:val="21"/>
                <w:highlight w:val="none"/>
                <w:lang w:eastAsia="zh-CN"/>
              </w:rPr>
              <w:t>；</w:t>
            </w:r>
            <w:r>
              <w:rPr>
                <w:rFonts w:hint="eastAsia" w:ascii="宋体" w:hAnsi="宋体" w:eastAsia="宋体" w:cs="宋体"/>
                <w:b w:val="0"/>
                <w:bCs/>
                <w:color w:val="000000"/>
                <w:sz w:val="21"/>
                <w:szCs w:val="21"/>
                <w:highlight w:val="none"/>
                <w:lang w:val="zh-CN"/>
              </w:rPr>
              <w:t>有定期维护</w:t>
            </w:r>
            <w:r>
              <w:rPr>
                <w:rFonts w:hint="eastAsia" w:ascii="宋体" w:hAnsi="宋体" w:eastAsia="宋体" w:cs="宋体"/>
                <w:color w:val="000000"/>
                <w:spacing w:val="-2"/>
                <w:sz w:val="21"/>
                <w:szCs w:val="21"/>
                <w:highlight w:val="none"/>
              </w:rPr>
              <w:t>（维护次数优于招标文件要求、有详细的说明）</w:t>
            </w:r>
            <w:r>
              <w:rPr>
                <w:rFonts w:hint="eastAsia" w:ascii="宋体" w:hAnsi="宋体" w:eastAsia="宋体" w:cs="宋体"/>
                <w:b w:val="0"/>
                <w:bCs/>
                <w:color w:val="000000"/>
                <w:sz w:val="21"/>
                <w:szCs w:val="21"/>
                <w:highlight w:val="none"/>
                <w:lang w:val="en-US" w:eastAsia="zh-CN"/>
              </w:rPr>
              <w:t>以及</w:t>
            </w:r>
            <w:r>
              <w:rPr>
                <w:rFonts w:hint="eastAsia" w:ascii="宋体" w:hAnsi="宋体" w:eastAsia="宋体" w:cs="宋体"/>
                <w:b w:val="0"/>
                <w:bCs/>
                <w:color w:val="000000"/>
                <w:sz w:val="21"/>
                <w:szCs w:val="21"/>
                <w:highlight w:val="none"/>
              </w:rPr>
              <w:t>免费保修期外维修及其他增值售后服务措施</w:t>
            </w:r>
            <w:r>
              <w:rPr>
                <w:rFonts w:hint="eastAsia" w:ascii="宋体" w:hAnsi="宋体" w:eastAsia="宋体" w:cs="宋体"/>
                <w:b w:val="0"/>
                <w:bCs/>
                <w:color w:val="000000"/>
                <w:sz w:val="21"/>
                <w:szCs w:val="21"/>
                <w:highlight w:val="none"/>
                <w:lang w:val="zh-CN"/>
              </w:rPr>
              <w:t>，</w:t>
            </w:r>
            <w:r>
              <w:rPr>
                <w:rFonts w:hint="eastAsia" w:ascii="宋体" w:hAnsi="宋体" w:eastAsia="宋体" w:cs="宋体"/>
                <w:color w:val="000000"/>
                <w:spacing w:val="-2"/>
                <w:sz w:val="21"/>
                <w:szCs w:val="21"/>
                <w:highlight w:val="none"/>
              </w:rPr>
              <w:t>有具体详细的发生</w:t>
            </w:r>
            <w:r>
              <w:rPr>
                <w:rFonts w:hint="eastAsia" w:ascii="宋体" w:hAnsi="宋体" w:eastAsia="宋体" w:cs="宋体"/>
                <w:color w:val="000000"/>
                <w:spacing w:val="-2"/>
                <w:sz w:val="21"/>
                <w:szCs w:val="21"/>
                <w:highlight w:val="none"/>
                <w:lang w:val="en-US" w:eastAsia="zh-CN"/>
              </w:rPr>
              <w:t>紧急</w:t>
            </w:r>
            <w:r>
              <w:rPr>
                <w:rFonts w:hint="eastAsia" w:ascii="宋体" w:hAnsi="宋体" w:eastAsia="宋体" w:cs="宋体"/>
                <w:color w:val="000000"/>
                <w:spacing w:val="-2"/>
                <w:sz w:val="21"/>
                <w:szCs w:val="21"/>
                <w:highlight w:val="none"/>
              </w:rPr>
              <w:t>故障响应措施，具有同类型项目的售后维修服务经验，且有投入本项目的售后服务人员及零配件仓库【以提供有效售后服务人员及零配件仓库等证明材料复印件，人员证明材料包括但不限于劳动合同复印件或单位出具的证明材料或社保证明或其他有效证明材料，零配件仓库证明材料包括但不限于租赁合同复印件或产权证明文件或营业执照复印件为准】</w:t>
            </w:r>
            <w:r>
              <w:rPr>
                <w:rFonts w:hint="eastAsia" w:ascii="宋体" w:hAnsi="宋体" w:eastAsia="宋体" w:cs="宋体"/>
                <w:color w:val="000000"/>
                <w:spacing w:val="-2"/>
                <w:sz w:val="21"/>
                <w:szCs w:val="21"/>
                <w:highlight w:val="none"/>
                <w:lang w:eastAsia="zh-CN"/>
              </w:rPr>
              <w:t>；</w:t>
            </w:r>
            <w:r>
              <w:rPr>
                <w:rFonts w:hint="eastAsia" w:ascii="宋体" w:hAnsi="宋体" w:eastAsia="宋体" w:cs="宋体"/>
                <w:b w:val="0"/>
                <w:bCs/>
                <w:color w:val="000000"/>
                <w:sz w:val="21"/>
                <w:szCs w:val="21"/>
                <w:highlight w:val="none"/>
                <w:lang w:eastAsia="zh-CN"/>
              </w:rPr>
              <w:t>承诺的</w:t>
            </w:r>
            <w:r>
              <w:rPr>
                <w:rFonts w:hint="eastAsia" w:ascii="宋体" w:hAnsi="宋体" w:eastAsia="宋体" w:cs="宋体"/>
                <w:b w:val="0"/>
                <w:bCs/>
                <w:color w:val="000000"/>
                <w:sz w:val="21"/>
                <w:szCs w:val="21"/>
                <w:highlight w:val="none"/>
                <w:lang w:val="zh-CN"/>
              </w:rPr>
              <w:t>到达现场维护时间</w:t>
            </w:r>
            <w:r>
              <w:rPr>
                <w:rFonts w:hint="eastAsia" w:ascii="宋体" w:hAnsi="宋体" w:eastAsia="宋体" w:cs="宋体"/>
                <w:b w:val="0"/>
                <w:bCs/>
                <w:color w:val="000000"/>
                <w:sz w:val="21"/>
                <w:szCs w:val="21"/>
                <w:highlight w:val="none"/>
                <w:lang w:val="en-US" w:eastAsia="zh-CN"/>
              </w:rPr>
              <w:t>和</w:t>
            </w:r>
            <w:r>
              <w:rPr>
                <w:rFonts w:hint="eastAsia" w:ascii="宋体" w:hAnsi="宋体" w:eastAsia="宋体" w:cs="宋体"/>
                <w:b w:val="0"/>
                <w:bCs/>
                <w:color w:val="000000"/>
                <w:sz w:val="21"/>
                <w:szCs w:val="21"/>
                <w:highlight w:val="none"/>
                <w:lang w:val="zh-CN"/>
              </w:rPr>
              <w:t>故障出现解决方案优于</w:t>
            </w:r>
            <w:r>
              <w:rPr>
                <w:rFonts w:hint="eastAsia" w:ascii="宋体" w:hAnsi="宋体" w:eastAsia="宋体" w:cs="宋体"/>
                <w:b w:val="0"/>
                <w:bCs/>
                <w:color w:val="000000"/>
                <w:sz w:val="21"/>
                <w:szCs w:val="21"/>
                <w:highlight w:val="none"/>
              </w:rPr>
              <w:t>招标</w:t>
            </w:r>
            <w:r>
              <w:rPr>
                <w:rFonts w:hint="eastAsia" w:ascii="宋体" w:hAnsi="宋体" w:eastAsia="宋体" w:cs="宋体"/>
                <w:b w:val="0"/>
                <w:bCs/>
                <w:color w:val="000000"/>
                <w:sz w:val="21"/>
                <w:szCs w:val="21"/>
                <w:highlight w:val="none"/>
                <w:lang w:val="zh-CN"/>
              </w:rPr>
              <w:t>文件要求；</w:t>
            </w:r>
          </w:p>
          <w:p w14:paraId="351EFF7D">
            <w:pPr>
              <w:keepNext w:val="0"/>
              <w:keepLines w:val="0"/>
              <w:pageBreakBefore w:val="0"/>
              <w:widowControl w:val="0"/>
              <w:kinsoku/>
              <w:wordWrap w:val="0"/>
              <w:overflowPunct/>
              <w:topLinePunct w:val="0"/>
              <w:autoSpaceDE/>
              <w:autoSpaceDN/>
              <w:bidi w:val="0"/>
              <w:adjustRightInd/>
              <w:snapToGrid/>
              <w:spacing w:line="400" w:lineRule="exact"/>
              <w:ind w:left="113" w:leftChars="0" w:right="113" w:rightChars="0" w:firstLine="210" w:firstLineChars="100"/>
              <w:textAlignment w:val="auto"/>
              <w:rPr>
                <w:rFonts w:hint="eastAsia" w:ascii="宋体" w:hAnsi="宋体" w:eastAsia="宋体" w:cs="宋体"/>
                <w:b w:val="0"/>
                <w:bCs/>
                <w:color w:val="000000"/>
                <w:sz w:val="21"/>
                <w:szCs w:val="21"/>
                <w:highlight w:val="none"/>
                <w:lang w:eastAsia="zh-Hans"/>
              </w:rPr>
            </w:pPr>
            <w:r>
              <w:rPr>
                <w:rFonts w:hint="eastAsia" w:ascii="宋体" w:hAnsi="宋体" w:eastAsia="宋体" w:cs="宋体"/>
                <w:b w:val="0"/>
                <w:bCs/>
                <w:color w:val="000000"/>
                <w:sz w:val="21"/>
                <w:szCs w:val="21"/>
                <w:highlight w:val="none"/>
                <w:lang w:val="en-US" w:eastAsia="zh-CN"/>
              </w:rPr>
              <w:t>五</w:t>
            </w:r>
            <w:r>
              <w:rPr>
                <w:rFonts w:hint="eastAsia" w:ascii="宋体" w:hAnsi="宋体" w:eastAsia="宋体" w:cs="宋体"/>
                <w:b w:val="0"/>
                <w:bCs/>
                <w:color w:val="000000"/>
                <w:sz w:val="21"/>
                <w:szCs w:val="21"/>
                <w:highlight w:val="none"/>
                <w:lang w:val="zh-CN"/>
              </w:rPr>
              <w:t>档（</w:t>
            </w:r>
            <w:r>
              <w:rPr>
                <w:rFonts w:hint="eastAsia" w:ascii="宋体" w:hAnsi="宋体" w:eastAsia="宋体" w:cs="宋体"/>
                <w:b w:val="0"/>
                <w:bCs/>
                <w:color w:val="000000"/>
                <w:sz w:val="21"/>
                <w:szCs w:val="21"/>
                <w:highlight w:val="none"/>
                <w:lang w:eastAsia="zh-CN"/>
              </w:rPr>
              <w:t>1</w:t>
            </w:r>
            <w:r>
              <w:rPr>
                <w:rFonts w:hint="eastAsia" w:ascii="宋体" w:hAnsi="宋体" w:eastAsia="宋体" w:cs="宋体"/>
                <w:b w:val="0"/>
                <w:bCs/>
                <w:color w:val="000000"/>
                <w:sz w:val="21"/>
                <w:szCs w:val="21"/>
                <w:highlight w:val="none"/>
                <w:lang w:val="en-US" w:eastAsia="zh-CN"/>
              </w:rPr>
              <w:t>2</w:t>
            </w:r>
            <w:r>
              <w:rPr>
                <w:rFonts w:hint="eastAsia" w:ascii="宋体" w:hAnsi="宋体" w:eastAsia="宋体" w:cs="宋体"/>
                <w:b w:val="0"/>
                <w:bCs/>
                <w:color w:val="000000"/>
                <w:sz w:val="21"/>
                <w:szCs w:val="21"/>
                <w:highlight w:val="none"/>
                <w:lang w:val="zh-CN"/>
              </w:rPr>
              <w:t>分）：</w:t>
            </w:r>
            <w:r>
              <w:rPr>
                <w:rFonts w:hint="eastAsia" w:ascii="宋体" w:hAnsi="宋体" w:eastAsia="宋体" w:cs="宋体"/>
                <w:b w:val="0"/>
                <w:bCs/>
                <w:color w:val="000000"/>
                <w:sz w:val="21"/>
                <w:szCs w:val="21"/>
                <w:highlight w:val="none"/>
                <w:lang w:val="en-US" w:eastAsia="zh-CN"/>
              </w:rPr>
              <w:t>在四档基础上，</w:t>
            </w:r>
            <w:r>
              <w:rPr>
                <w:rFonts w:hint="eastAsia" w:ascii="宋体" w:hAnsi="宋体" w:eastAsia="宋体" w:cs="宋体"/>
                <w:b w:val="0"/>
                <w:bCs/>
                <w:color w:val="000000"/>
                <w:sz w:val="21"/>
                <w:szCs w:val="21"/>
                <w:highlight w:val="none"/>
                <w:lang w:eastAsia="zh-CN"/>
              </w:rPr>
              <w:t>针对</w:t>
            </w:r>
            <w:r>
              <w:rPr>
                <w:rFonts w:hint="eastAsia" w:ascii="宋体" w:hAnsi="宋体" w:eastAsia="宋体" w:cs="宋体"/>
                <w:color w:val="000000"/>
                <w:spacing w:val="-2"/>
                <w:sz w:val="21"/>
                <w:szCs w:val="21"/>
                <w:highlight w:val="none"/>
              </w:rPr>
              <w:t>故障出现解决方案（有具体的</w:t>
            </w:r>
            <w:r>
              <w:rPr>
                <w:rFonts w:hint="eastAsia" w:ascii="宋体" w:hAnsi="宋体" w:eastAsia="宋体" w:cs="宋体"/>
                <w:color w:val="000000"/>
                <w:spacing w:val="-2"/>
                <w:sz w:val="21"/>
                <w:szCs w:val="21"/>
                <w:highlight w:val="none"/>
                <w:lang w:val="en-US" w:eastAsia="zh-CN"/>
              </w:rPr>
              <w:t>故障</w:t>
            </w:r>
            <w:r>
              <w:rPr>
                <w:rFonts w:hint="eastAsia" w:ascii="宋体" w:hAnsi="宋体" w:eastAsia="宋体" w:cs="宋体"/>
                <w:color w:val="000000"/>
                <w:spacing w:val="-2"/>
                <w:sz w:val="21"/>
                <w:szCs w:val="21"/>
                <w:highlight w:val="none"/>
              </w:rPr>
              <w:t>处理流程及措施）</w:t>
            </w:r>
            <w:r>
              <w:rPr>
                <w:rFonts w:hint="eastAsia" w:ascii="宋体" w:hAnsi="宋体" w:eastAsia="宋体" w:cs="宋体"/>
                <w:b w:val="0"/>
                <w:bCs/>
                <w:color w:val="000000"/>
                <w:sz w:val="21"/>
                <w:szCs w:val="21"/>
                <w:highlight w:val="none"/>
              </w:rPr>
              <w:t>、应急预案等内容</w:t>
            </w:r>
            <w:r>
              <w:rPr>
                <w:rFonts w:hint="eastAsia" w:ascii="宋体" w:hAnsi="宋体" w:eastAsia="宋体" w:cs="宋体"/>
                <w:b w:val="0"/>
                <w:bCs/>
                <w:color w:val="000000"/>
                <w:sz w:val="21"/>
                <w:szCs w:val="21"/>
                <w:highlight w:val="none"/>
                <w:lang w:val="en-US" w:eastAsia="zh-CN"/>
              </w:rPr>
              <w:t>提出</w:t>
            </w:r>
            <w:r>
              <w:rPr>
                <w:rFonts w:hint="eastAsia" w:ascii="宋体" w:hAnsi="宋体" w:eastAsia="宋体" w:cs="宋体"/>
                <w:b w:val="0"/>
                <w:bCs/>
                <w:color w:val="000000"/>
                <w:sz w:val="21"/>
                <w:szCs w:val="21"/>
                <w:highlight w:val="none"/>
              </w:rPr>
              <w:t>的措施及解决方案科学、可行且针对性强</w:t>
            </w:r>
            <w:r>
              <w:rPr>
                <w:rFonts w:hint="eastAsia" w:ascii="宋体" w:hAnsi="宋体" w:eastAsia="宋体" w:cs="宋体"/>
                <w:b w:val="0"/>
                <w:bCs/>
                <w:color w:val="000000"/>
                <w:sz w:val="21"/>
                <w:szCs w:val="21"/>
                <w:highlight w:val="none"/>
                <w:lang w:eastAsia="zh-CN"/>
              </w:rPr>
              <w:t>，并</w:t>
            </w:r>
            <w:r>
              <w:rPr>
                <w:rFonts w:hint="eastAsia" w:ascii="宋体" w:hAnsi="宋体" w:eastAsia="宋体" w:cs="宋体"/>
                <w:b w:val="0"/>
                <w:bCs/>
                <w:color w:val="000000"/>
                <w:sz w:val="21"/>
                <w:szCs w:val="21"/>
                <w:highlight w:val="none"/>
              </w:rPr>
              <w:t>对可能出现的售后技术难点提出有效的技术支持</w:t>
            </w:r>
            <w:r>
              <w:rPr>
                <w:rFonts w:hint="eastAsia" w:ascii="宋体" w:hAnsi="宋体" w:eastAsia="宋体" w:cs="宋体"/>
                <w:b w:val="0"/>
                <w:bCs/>
                <w:color w:val="000000"/>
                <w:sz w:val="21"/>
                <w:szCs w:val="21"/>
                <w:highlight w:val="none"/>
                <w:lang w:val="en-US" w:eastAsia="zh-CN"/>
              </w:rPr>
              <w:t>响应</w:t>
            </w:r>
            <w:r>
              <w:rPr>
                <w:rFonts w:hint="eastAsia" w:ascii="宋体" w:hAnsi="宋体" w:eastAsia="宋体" w:cs="宋体"/>
                <w:b w:val="0"/>
                <w:bCs/>
                <w:color w:val="000000"/>
                <w:sz w:val="21"/>
                <w:szCs w:val="21"/>
                <w:highlight w:val="none"/>
              </w:rPr>
              <w:t>解决方案，售后响应及时快速</w:t>
            </w:r>
            <w:r>
              <w:rPr>
                <w:rFonts w:hint="eastAsia" w:ascii="宋体" w:hAnsi="宋体" w:eastAsia="宋体" w:cs="宋体"/>
                <w:b w:val="0"/>
                <w:bCs/>
                <w:color w:val="000000"/>
                <w:sz w:val="21"/>
                <w:szCs w:val="21"/>
                <w:highlight w:val="none"/>
                <w:lang w:val="en-US" w:eastAsia="zh-CN"/>
              </w:rPr>
              <w:t>并</w:t>
            </w:r>
            <w:r>
              <w:rPr>
                <w:rFonts w:hint="eastAsia" w:ascii="宋体" w:hAnsi="宋体" w:eastAsia="宋体" w:cs="宋体"/>
                <w:b w:val="0"/>
                <w:bCs/>
                <w:color w:val="000000"/>
                <w:sz w:val="21"/>
                <w:szCs w:val="21"/>
                <w:highlight w:val="none"/>
                <w:lang w:val="zh-CN"/>
              </w:rPr>
              <w:t>优于</w:t>
            </w:r>
            <w:r>
              <w:rPr>
                <w:rFonts w:hint="eastAsia" w:ascii="宋体" w:hAnsi="宋体" w:eastAsia="宋体" w:cs="宋体"/>
                <w:b w:val="0"/>
                <w:bCs/>
                <w:color w:val="000000"/>
                <w:sz w:val="21"/>
                <w:szCs w:val="21"/>
                <w:highlight w:val="none"/>
              </w:rPr>
              <w:t>招标</w:t>
            </w:r>
            <w:r>
              <w:rPr>
                <w:rFonts w:hint="eastAsia" w:ascii="宋体" w:hAnsi="宋体" w:eastAsia="宋体" w:cs="宋体"/>
                <w:b w:val="0"/>
                <w:bCs/>
                <w:color w:val="000000"/>
                <w:sz w:val="21"/>
                <w:szCs w:val="21"/>
                <w:highlight w:val="none"/>
                <w:lang w:val="zh-CN"/>
              </w:rPr>
              <w:t>文件要求</w:t>
            </w:r>
            <w:r>
              <w:rPr>
                <w:rFonts w:hint="eastAsia" w:ascii="宋体" w:hAnsi="宋体" w:eastAsia="宋体" w:cs="宋体"/>
                <w:b w:val="0"/>
                <w:bCs/>
                <w:color w:val="000000"/>
                <w:sz w:val="21"/>
                <w:szCs w:val="21"/>
                <w:highlight w:val="none"/>
              </w:rPr>
              <w:t>，具有</w:t>
            </w:r>
            <w:r>
              <w:rPr>
                <w:rFonts w:hint="eastAsia" w:ascii="宋体" w:hAnsi="宋体" w:eastAsia="宋体" w:cs="宋体"/>
                <w:b w:val="0"/>
                <w:bCs/>
                <w:color w:val="000000"/>
                <w:sz w:val="21"/>
                <w:szCs w:val="21"/>
                <w:highlight w:val="none"/>
                <w:lang w:eastAsia="zh-CN"/>
              </w:rPr>
              <w:t>完善</w:t>
            </w:r>
            <w:r>
              <w:rPr>
                <w:rFonts w:hint="eastAsia" w:ascii="宋体" w:hAnsi="宋体" w:eastAsia="宋体" w:cs="宋体"/>
                <w:b w:val="0"/>
                <w:bCs/>
                <w:color w:val="000000"/>
                <w:sz w:val="21"/>
                <w:szCs w:val="21"/>
                <w:highlight w:val="none"/>
              </w:rPr>
              <w:t>的售后服务体系</w:t>
            </w:r>
            <w:r>
              <w:rPr>
                <w:rFonts w:hint="eastAsia" w:ascii="宋体" w:hAnsi="宋体" w:eastAsia="宋体" w:cs="宋体"/>
                <w:b w:val="0"/>
                <w:bCs/>
                <w:color w:val="000000"/>
                <w:sz w:val="21"/>
                <w:szCs w:val="21"/>
                <w:highlight w:val="none"/>
                <w:lang w:eastAsia="zh-CN"/>
              </w:rPr>
              <w:t>以及</w:t>
            </w:r>
            <w:r>
              <w:rPr>
                <w:rFonts w:hint="eastAsia" w:ascii="宋体" w:hAnsi="宋体" w:eastAsia="宋体" w:cs="宋体"/>
                <w:b w:val="0"/>
                <w:bCs/>
                <w:color w:val="000000"/>
                <w:sz w:val="21"/>
                <w:szCs w:val="21"/>
                <w:highlight w:val="none"/>
              </w:rPr>
              <w:t>完整可靠的售后服务团队</w:t>
            </w:r>
            <w:r>
              <w:rPr>
                <w:rFonts w:hint="eastAsia" w:ascii="宋体" w:hAnsi="宋体" w:eastAsia="宋体" w:cs="宋体"/>
                <w:b w:val="0"/>
                <w:bCs/>
                <w:color w:val="000000"/>
                <w:sz w:val="21"/>
                <w:szCs w:val="21"/>
                <w:highlight w:val="none"/>
                <w:lang w:eastAsia="zh-CN"/>
              </w:rPr>
              <w:t>，</w:t>
            </w:r>
            <w:r>
              <w:rPr>
                <w:rFonts w:hint="eastAsia" w:ascii="宋体" w:hAnsi="宋体" w:eastAsia="宋体" w:cs="宋体"/>
                <w:b w:val="0"/>
                <w:bCs/>
                <w:color w:val="000000"/>
                <w:sz w:val="21"/>
                <w:szCs w:val="21"/>
                <w:highlight w:val="none"/>
                <w:lang w:val="en-US" w:eastAsia="zh-CN"/>
              </w:rPr>
              <w:t>有与制造商有效的衔接及售后保障机制</w:t>
            </w:r>
            <w:r>
              <w:rPr>
                <w:rFonts w:hint="eastAsia" w:ascii="宋体" w:hAnsi="宋体" w:eastAsia="宋体" w:cs="宋体"/>
                <w:b w:val="0"/>
                <w:bCs/>
                <w:color w:val="000000"/>
                <w:sz w:val="21"/>
                <w:szCs w:val="21"/>
                <w:highlight w:val="none"/>
              </w:rPr>
              <w:t>；在免费保修期外维修及其他增值售后服务措施方面能充分为采购人考虑，并对设备的售后保障能起到有效的支持。</w:t>
            </w:r>
          </w:p>
        </w:tc>
      </w:tr>
      <w:tr w14:paraId="6D6222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jc w:val="center"/>
        </w:trPr>
        <w:tc>
          <w:tcPr>
            <w:tcW w:w="637" w:type="dxa"/>
            <w:tcBorders>
              <w:top w:val="single" w:color="000000" w:sz="4" w:space="0"/>
              <w:left w:val="single" w:color="000000" w:sz="4" w:space="0"/>
              <w:bottom w:val="single" w:color="auto" w:sz="4" w:space="0"/>
              <w:right w:val="single" w:color="000000" w:sz="4" w:space="0"/>
            </w:tcBorders>
            <w:shd w:val="clear" w:color="auto" w:fill="FFFFFF"/>
            <w:noWrap w:val="0"/>
            <w:vAlign w:val="center"/>
          </w:tcPr>
          <w:p w14:paraId="0AED1A95">
            <w:pPr>
              <w:pStyle w:val="34"/>
              <w:keepNext w:val="0"/>
              <w:keepLines w:val="0"/>
              <w:pageBreakBefore w:val="0"/>
              <w:kinsoku/>
              <w:wordWrap w:val="0"/>
              <w:overflowPunct/>
              <w:topLinePunct w:val="0"/>
              <w:bidi w:val="0"/>
              <w:adjustRightInd/>
              <w:snapToGrid/>
              <w:spacing w:line="400" w:lineRule="exact"/>
              <w:ind w:left="0" w:leftChars="0" w:right="0" w:rightChars="0"/>
              <w:jc w:val="center"/>
              <w:rPr>
                <w:rFonts w:hint="eastAsia" w:ascii="宋体" w:hAnsi="宋体" w:eastAsia="宋体" w:cs="宋体"/>
                <w:b/>
                <w:bCs w:val="0"/>
                <w:color w:val="000000"/>
                <w:sz w:val="21"/>
                <w:szCs w:val="21"/>
                <w:highlight w:val="none"/>
                <w:lang w:eastAsia="zh-CN"/>
              </w:rPr>
            </w:pPr>
            <w:r>
              <w:rPr>
                <w:rFonts w:hint="eastAsia" w:ascii="宋体" w:hAnsi="宋体" w:eastAsia="宋体" w:cs="宋体"/>
                <w:b/>
                <w:bCs w:val="0"/>
                <w:color w:val="000000"/>
                <w:sz w:val="21"/>
                <w:szCs w:val="21"/>
                <w:highlight w:val="none"/>
                <w:lang w:val="en-US" w:eastAsia="zh-CN"/>
              </w:rPr>
              <w:t>5</w:t>
            </w:r>
          </w:p>
        </w:tc>
        <w:tc>
          <w:tcPr>
            <w:tcW w:w="1456" w:type="dxa"/>
            <w:tcBorders>
              <w:top w:val="single" w:color="000000" w:sz="4" w:space="0"/>
              <w:left w:val="single" w:color="000000" w:sz="4" w:space="0"/>
              <w:bottom w:val="single" w:color="auto" w:sz="4" w:space="0"/>
              <w:right w:val="single" w:color="000000" w:sz="4" w:space="0"/>
            </w:tcBorders>
            <w:shd w:val="clear" w:color="auto" w:fill="FFFFFF"/>
            <w:noWrap w:val="0"/>
            <w:vAlign w:val="center"/>
          </w:tcPr>
          <w:p w14:paraId="18DA8C5C">
            <w:pPr>
              <w:keepNext w:val="0"/>
              <w:keepLines w:val="0"/>
              <w:pageBreakBefore w:val="0"/>
              <w:kinsoku/>
              <w:wordWrap w:val="0"/>
              <w:overflowPunct/>
              <w:topLinePunct w:val="0"/>
              <w:bidi w:val="0"/>
              <w:spacing w:line="400" w:lineRule="exact"/>
              <w:ind w:left="0" w:leftChars="0" w:right="0" w:rightChars="0"/>
              <w:jc w:val="center"/>
              <w:rPr>
                <w:rFonts w:hint="eastAsia" w:ascii="宋体" w:hAnsi="宋体" w:eastAsia="宋体" w:cs="宋体"/>
                <w:b/>
                <w:bCs w:val="0"/>
                <w:color w:val="000000"/>
                <w:kern w:val="0"/>
                <w:sz w:val="21"/>
                <w:szCs w:val="21"/>
                <w:highlight w:val="none"/>
                <w:lang w:val="en-US" w:eastAsia="zh-CN"/>
              </w:rPr>
            </w:pPr>
            <w:r>
              <w:rPr>
                <w:rFonts w:hint="eastAsia" w:ascii="宋体" w:hAnsi="宋体" w:eastAsia="宋体" w:cs="宋体"/>
                <w:b/>
                <w:bCs w:val="0"/>
                <w:color w:val="000000"/>
                <w:kern w:val="0"/>
                <w:sz w:val="21"/>
                <w:szCs w:val="21"/>
                <w:highlight w:val="none"/>
                <w:lang w:val="en-US" w:eastAsia="zh-CN"/>
              </w:rPr>
              <w:t>履约能力</w:t>
            </w:r>
          </w:p>
          <w:p w14:paraId="2C1164F8">
            <w:pPr>
              <w:keepNext w:val="0"/>
              <w:keepLines w:val="0"/>
              <w:pageBreakBefore w:val="0"/>
              <w:kinsoku/>
              <w:wordWrap w:val="0"/>
              <w:overflowPunct/>
              <w:topLinePunct w:val="0"/>
              <w:bidi w:val="0"/>
              <w:spacing w:line="400" w:lineRule="exact"/>
              <w:ind w:left="0" w:leftChars="0" w:right="0" w:rightChars="0"/>
              <w:jc w:val="center"/>
              <w:rPr>
                <w:rFonts w:hint="eastAsia" w:ascii="宋体" w:hAnsi="宋体" w:eastAsia="宋体" w:cs="宋体"/>
                <w:b/>
                <w:bCs w:val="0"/>
                <w:color w:val="000000"/>
                <w:spacing w:val="2"/>
                <w:position w:val="15"/>
                <w:sz w:val="21"/>
                <w:szCs w:val="21"/>
                <w:highlight w:val="none"/>
                <w:lang w:eastAsia="zh-CN"/>
              </w:rPr>
            </w:pPr>
            <w:r>
              <w:rPr>
                <w:rFonts w:hint="eastAsia" w:ascii="宋体" w:hAnsi="宋体" w:eastAsia="宋体" w:cs="宋体"/>
                <w:b/>
                <w:bCs w:val="0"/>
                <w:color w:val="000000"/>
                <w:kern w:val="0"/>
                <w:sz w:val="21"/>
                <w:szCs w:val="21"/>
                <w:highlight w:val="none"/>
                <w:lang w:eastAsia="zh-Hans"/>
              </w:rPr>
              <w:t>(</w:t>
            </w:r>
            <w:r>
              <w:rPr>
                <w:rFonts w:hint="eastAsia" w:ascii="宋体" w:hAnsi="宋体" w:eastAsia="宋体" w:cs="宋体"/>
                <w:b/>
                <w:bCs w:val="0"/>
                <w:color w:val="000000"/>
                <w:spacing w:val="-3"/>
                <w:sz w:val="21"/>
                <w:szCs w:val="21"/>
                <w:highlight w:val="none"/>
                <w:lang w:val="en-US" w:eastAsia="zh-CN"/>
              </w:rPr>
              <w:t>满分</w:t>
            </w:r>
            <w:r>
              <w:rPr>
                <w:rFonts w:hint="eastAsia" w:ascii="宋体" w:hAnsi="宋体" w:eastAsia="宋体" w:cs="宋体"/>
                <w:b/>
                <w:bCs w:val="0"/>
                <w:color w:val="000000"/>
                <w:kern w:val="0"/>
                <w:sz w:val="21"/>
                <w:szCs w:val="21"/>
                <w:highlight w:val="none"/>
                <w:lang w:val="en-US" w:eastAsia="zh-CN"/>
              </w:rPr>
              <w:t>4</w:t>
            </w:r>
            <w:r>
              <w:rPr>
                <w:rFonts w:hint="eastAsia" w:ascii="宋体" w:hAnsi="宋体" w:eastAsia="宋体" w:cs="宋体"/>
                <w:b/>
                <w:bCs w:val="0"/>
                <w:color w:val="000000"/>
                <w:kern w:val="0"/>
                <w:sz w:val="21"/>
                <w:szCs w:val="21"/>
                <w:highlight w:val="none"/>
                <w:lang w:eastAsia="zh-Hans"/>
              </w:rPr>
              <w:t>分)</w:t>
            </w:r>
          </w:p>
        </w:tc>
        <w:tc>
          <w:tcPr>
            <w:tcW w:w="757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E36464">
            <w:pPr>
              <w:keepNext w:val="0"/>
              <w:keepLines w:val="0"/>
              <w:pageBreakBefore w:val="0"/>
              <w:widowControl w:val="0"/>
              <w:numPr>
                <w:ilvl w:val="0"/>
                <w:numId w:val="0"/>
              </w:numPr>
              <w:kinsoku/>
              <w:wordWrap w:val="0"/>
              <w:overflowPunct/>
              <w:topLinePunct w:val="0"/>
              <w:autoSpaceDE/>
              <w:autoSpaceDN/>
              <w:bidi w:val="0"/>
              <w:adjustRightInd/>
              <w:snapToGrid/>
              <w:spacing w:line="400" w:lineRule="exact"/>
              <w:ind w:left="113" w:leftChars="0" w:right="113" w:rightChars="0" w:firstLine="210" w:firstLineChars="100"/>
              <w:textAlignment w:val="auto"/>
              <w:rPr>
                <w:rFonts w:hint="eastAsia" w:ascii="宋体" w:hAnsi="宋体" w:eastAsia="宋体" w:cs="宋体"/>
                <w:b w:val="0"/>
                <w:bCs/>
                <w:snapToGrid/>
                <w:color w:val="000000"/>
                <w:kern w:val="21"/>
                <w:sz w:val="21"/>
                <w:szCs w:val="21"/>
                <w:highlight w:val="none"/>
                <w:lang w:val="en-US" w:eastAsia="zh-CN"/>
              </w:rPr>
            </w:pPr>
            <w:r>
              <w:rPr>
                <w:rFonts w:hint="eastAsia" w:ascii="宋体" w:hAnsi="宋体" w:eastAsia="宋体" w:cs="宋体"/>
                <w:b w:val="0"/>
                <w:bCs/>
                <w:snapToGrid/>
                <w:color w:val="000000"/>
                <w:kern w:val="21"/>
                <w:sz w:val="21"/>
                <w:szCs w:val="21"/>
                <w:highlight w:val="none"/>
                <w:lang w:val="en-US" w:eastAsia="zh-CN"/>
              </w:rPr>
              <w:t>（1）</w:t>
            </w:r>
            <w:r>
              <w:rPr>
                <w:rFonts w:hint="eastAsia" w:ascii="宋体" w:hAnsi="宋体" w:eastAsia="宋体" w:cs="宋体"/>
                <w:color w:val="000000"/>
                <w:sz w:val="21"/>
                <w:szCs w:val="21"/>
                <w:highlight w:val="none"/>
              </w:rPr>
              <w:t>投标人或所投</w:t>
            </w:r>
            <w:r>
              <w:rPr>
                <w:rFonts w:hint="eastAsia" w:ascii="宋体" w:hAnsi="宋体" w:eastAsia="宋体" w:cs="宋体"/>
                <w:color w:val="000000"/>
                <w:sz w:val="21"/>
                <w:szCs w:val="21"/>
                <w:highlight w:val="none"/>
                <w:lang w:val="en-US" w:eastAsia="zh-CN"/>
              </w:rPr>
              <w:t>产品</w:t>
            </w:r>
            <w:r>
              <w:rPr>
                <w:rFonts w:hint="eastAsia" w:ascii="宋体" w:hAnsi="宋体" w:eastAsia="宋体" w:cs="宋体"/>
                <w:color w:val="000000"/>
                <w:sz w:val="21"/>
                <w:szCs w:val="21"/>
                <w:highlight w:val="none"/>
              </w:rPr>
              <w:t>生产厂家通过ISO13485医疗器械质量管理体系认证</w:t>
            </w:r>
            <w:r>
              <w:rPr>
                <w:rFonts w:hint="eastAsia" w:ascii="宋体" w:hAnsi="宋体" w:eastAsia="宋体" w:cs="宋体"/>
                <w:color w:val="000000"/>
                <w:sz w:val="21"/>
                <w:szCs w:val="21"/>
                <w:highlight w:val="none"/>
                <w:lang w:val="en-US" w:eastAsia="zh-CN"/>
              </w:rPr>
              <w:t>的</w:t>
            </w:r>
            <w:r>
              <w:rPr>
                <w:rFonts w:hint="eastAsia" w:ascii="宋体" w:hAnsi="宋体" w:eastAsia="宋体" w:cs="宋体"/>
                <w:color w:val="000000"/>
                <w:sz w:val="21"/>
                <w:szCs w:val="21"/>
                <w:highlight w:val="none"/>
              </w:rPr>
              <w:t>得</w:t>
            </w:r>
            <w:r>
              <w:rPr>
                <w:rFonts w:hint="eastAsia" w:ascii="宋体" w:hAnsi="宋体" w:eastAsia="宋体" w:cs="宋体"/>
                <w:color w:val="000000"/>
                <w:sz w:val="21"/>
                <w:szCs w:val="21"/>
                <w:highlight w:val="none"/>
                <w:lang w:val="en-US" w:eastAsia="zh-CN"/>
              </w:rPr>
              <w:t>1</w:t>
            </w:r>
            <w:r>
              <w:rPr>
                <w:rFonts w:hint="eastAsia" w:ascii="宋体" w:hAnsi="宋体" w:eastAsia="宋体" w:cs="宋体"/>
                <w:color w:val="000000"/>
                <w:sz w:val="21"/>
                <w:szCs w:val="21"/>
                <w:highlight w:val="none"/>
              </w:rPr>
              <w:t>分，</w:t>
            </w:r>
            <w:r>
              <w:rPr>
                <w:rFonts w:hint="eastAsia" w:ascii="宋体" w:hAnsi="宋体" w:eastAsia="宋体" w:cs="宋体"/>
                <w:color w:val="000000"/>
                <w:sz w:val="21"/>
                <w:szCs w:val="21"/>
                <w:highlight w:val="none"/>
                <w:lang w:val="en-US" w:eastAsia="zh-CN"/>
              </w:rPr>
              <w:t>满分1</w:t>
            </w:r>
            <w:r>
              <w:rPr>
                <w:rFonts w:hint="eastAsia" w:ascii="宋体" w:hAnsi="宋体" w:eastAsia="宋体" w:cs="宋体"/>
                <w:color w:val="000000"/>
                <w:sz w:val="21"/>
                <w:szCs w:val="21"/>
                <w:highlight w:val="none"/>
              </w:rPr>
              <w:t>分（</w:t>
            </w:r>
            <w:r>
              <w:rPr>
                <w:rFonts w:hint="eastAsia" w:ascii="宋体" w:hAnsi="宋体" w:eastAsia="宋体" w:cs="宋体"/>
                <w:color w:val="000000"/>
                <w:sz w:val="21"/>
                <w:szCs w:val="21"/>
                <w:highlight w:val="none"/>
                <w:lang w:val="en-US" w:eastAsia="zh-CN"/>
              </w:rPr>
              <w:t>以</w:t>
            </w:r>
            <w:r>
              <w:rPr>
                <w:rFonts w:hint="eastAsia" w:ascii="宋体" w:hAnsi="宋体" w:eastAsia="宋体" w:cs="宋体"/>
                <w:color w:val="000000"/>
                <w:sz w:val="21"/>
                <w:szCs w:val="21"/>
                <w:highlight w:val="none"/>
              </w:rPr>
              <w:t>提供相关有效认证证书复印件加盖</w:t>
            </w:r>
            <w:r>
              <w:rPr>
                <w:rFonts w:hint="eastAsia" w:ascii="宋体" w:hAnsi="宋体" w:eastAsia="宋体" w:cs="宋体"/>
                <w:b w:val="0"/>
                <w:bCs/>
                <w:color w:val="000000"/>
                <w:sz w:val="21"/>
                <w:szCs w:val="21"/>
                <w:highlight w:val="none"/>
                <w:lang w:val="en-US" w:eastAsia="zh-CN"/>
              </w:rPr>
              <w:t>单位公章为准，</w:t>
            </w:r>
            <w:r>
              <w:rPr>
                <w:rFonts w:hint="eastAsia" w:ascii="宋体" w:hAnsi="宋体" w:eastAsia="宋体" w:cs="宋体"/>
                <w:b w:val="0"/>
                <w:bCs/>
                <w:color w:val="000000"/>
                <w:sz w:val="21"/>
                <w:szCs w:val="21"/>
                <w:highlight w:val="none"/>
                <w:lang w:val="en-US"/>
              </w:rPr>
              <w:t>不提供</w:t>
            </w:r>
            <w:r>
              <w:rPr>
                <w:rFonts w:hint="eastAsia" w:ascii="宋体" w:hAnsi="宋体" w:eastAsia="宋体" w:cs="宋体"/>
                <w:b w:val="0"/>
                <w:bCs/>
                <w:color w:val="000000"/>
                <w:sz w:val="21"/>
                <w:szCs w:val="21"/>
                <w:highlight w:val="none"/>
                <w:lang w:val="en-US" w:eastAsia="zh-CN"/>
              </w:rPr>
              <w:t>的</w:t>
            </w:r>
            <w:r>
              <w:rPr>
                <w:rFonts w:hint="eastAsia" w:ascii="宋体" w:hAnsi="宋体" w:eastAsia="宋体" w:cs="宋体"/>
                <w:b w:val="0"/>
                <w:bCs/>
                <w:color w:val="000000"/>
                <w:sz w:val="21"/>
                <w:szCs w:val="21"/>
                <w:highlight w:val="none"/>
                <w:lang w:val="en-US"/>
              </w:rPr>
              <w:t>不得分</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eastAsia="zh-CN"/>
              </w:rPr>
              <w:t>。</w:t>
            </w:r>
          </w:p>
          <w:p w14:paraId="55F400F0">
            <w:pPr>
              <w:keepNext w:val="0"/>
              <w:keepLines w:val="0"/>
              <w:pageBreakBefore w:val="0"/>
              <w:widowControl w:val="0"/>
              <w:numPr>
                <w:ilvl w:val="0"/>
                <w:numId w:val="0"/>
              </w:numPr>
              <w:kinsoku/>
              <w:wordWrap w:val="0"/>
              <w:overflowPunct/>
              <w:topLinePunct w:val="0"/>
              <w:autoSpaceDE/>
              <w:autoSpaceDN/>
              <w:bidi w:val="0"/>
              <w:adjustRightInd/>
              <w:snapToGrid/>
              <w:spacing w:line="400" w:lineRule="exact"/>
              <w:ind w:left="113" w:leftChars="0" w:right="113" w:rightChars="0" w:firstLine="210" w:firstLineChars="100"/>
              <w:textAlignment w:val="auto"/>
              <w:rPr>
                <w:rFonts w:hint="eastAsia" w:ascii="宋体" w:hAnsi="宋体" w:eastAsia="宋体" w:cs="宋体"/>
                <w:b w:val="0"/>
                <w:bCs/>
                <w:color w:val="000000"/>
                <w:sz w:val="21"/>
                <w:szCs w:val="21"/>
                <w:highlight w:val="none"/>
                <w:lang w:eastAsia="zh-CN"/>
              </w:rPr>
            </w:pPr>
            <w:r>
              <w:rPr>
                <w:rFonts w:hint="eastAsia" w:ascii="宋体" w:hAnsi="宋体" w:eastAsia="宋体" w:cs="宋体"/>
                <w:b w:val="0"/>
                <w:bCs/>
                <w:snapToGrid/>
                <w:color w:val="000000"/>
                <w:kern w:val="21"/>
                <w:sz w:val="21"/>
                <w:szCs w:val="21"/>
                <w:highlight w:val="none"/>
                <w:lang w:val="en-US" w:eastAsia="zh-CN"/>
              </w:rPr>
              <w:t>（2）2023年以来，具有所投产品同类型产品</w:t>
            </w:r>
            <w:r>
              <w:rPr>
                <w:rFonts w:hint="eastAsia" w:ascii="宋体" w:hAnsi="宋体" w:eastAsia="宋体" w:cs="宋体"/>
                <w:b w:val="0"/>
                <w:bCs/>
                <w:color w:val="000000"/>
                <w:sz w:val="21"/>
                <w:szCs w:val="21"/>
                <w:highlight w:val="none"/>
                <w:lang w:val="en-US" w:eastAsia="zh-CN"/>
              </w:rPr>
              <w:t>销售案例的</w:t>
            </w:r>
            <w:r>
              <w:rPr>
                <w:rFonts w:hint="eastAsia" w:ascii="宋体" w:hAnsi="宋体" w:eastAsia="宋体" w:cs="宋体"/>
                <w:b w:val="0"/>
                <w:bCs/>
                <w:snapToGrid/>
                <w:color w:val="000000"/>
                <w:kern w:val="21"/>
                <w:sz w:val="21"/>
                <w:szCs w:val="21"/>
                <w:highlight w:val="none"/>
                <w:lang w:val="en-US" w:eastAsia="zh-CN"/>
              </w:rPr>
              <w:t>每提供一个得1分，本项满分3分</w:t>
            </w:r>
            <w:r>
              <w:rPr>
                <w:rFonts w:hint="eastAsia" w:ascii="宋体" w:hAnsi="宋体" w:eastAsia="宋体" w:cs="宋体"/>
                <w:b w:val="0"/>
                <w:bCs/>
                <w:color w:val="000000"/>
                <w:sz w:val="21"/>
                <w:szCs w:val="21"/>
                <w:highlight w:val="none"/>
                <w:lang w:val="en-US" w:eastAsia="zh-CN"/>
              </w:rPr>
              <w:t>【</w:t>
            </w:r>
            <w:r>
              <w:rPr>
                <w:rFonts w:hint="eastAsia" w:ascii="宋体" w:hAnsi="宋体" w:eastAsia="宋体" w:cs="宋体"/>
                <w:b w:val="0"/>
                <w:bCs/>
                <w:color w:val="000000"/>
                <w:sz w:val="21"/>
                <w:szCs w:val="21"/>
                <w:highlight w:val="none"/>
              </w:rPr>
              <w:t>无不良记录，以中标、成交通知书或签订的采购合同复印件并加盖公章为准，</w:t>
            </w:r>
            <w:r>
              <w:rPr>
                <w:rFonts w:hint="eastAsia" w:ascii="宋体" w:hAnsi="宋体" w:eastAsia="宋体" w:cs="宋体"/>
                <w:b w:val="0"/>
                <w:bCs/>
                <w:color w:val="000000"/>
                <w:sz w:val="21"/>
                <w:szCs w:val="21"/>
                <w:highlight w:val="none"/>
                <w:lang w:val="en-US"/>
              </w:rPr>
              <w:t>并能清晰反映项目的名称、</w:t>
            </w:r>
            <w:r>
              <w:rPr>
                <w:rFonts w:hint="eastAsia" w:ascii="宋体" w:hAnsi="宋体" w:eastAsia="宋体" w:cs="宋体"/>
                <w:b w:val="0"/>
                <w:bCs/>
                <w:color w:val="000000"/>
                <w:sz w:val="21"/>
                <w:szCs w:val="21"/>
                <w:highlight w:val="none"/>
                <w:lang w:val="en-US" w:eastAsia="zh-CN"/>
              </w:rPr>
              <w:t>型号或</w:t>
            </w:r>
            <w:r>
              <w:rPr>
                <w:rFonts w:hint="eastAsia" w:ascii="宋体" w:hAnsi="宋体" w:eastAsia="宋体" w:cs="宋体"/>
                <w:b w:val="0"/>
                <w:bCs/>
                <w:color w:val="000000"/>
                <w:sz w:val="21"/>
                <w:szCs w:val="21"/>
                <w:highlight w:val="none"/>
                <w:lang w:val="en-US"/>
              </w:rPr>
              <w:t>种类，合同乙方可以是本次投标供应商，也可以是</w:t>
            </w:r>
            <w:r>
              <w:rPr>
                <w:rFonts w:hint="eastAsia" w:ascii="宋体" w:hAnsi="宋体" w:eastAsia="宋体" w:cs="宋体"/>
                <w:b w:val="0"/>
                <w:bCs/>
                <w:color w:val="000000"/>
                <w:sz w:val="21"/>
                <w:szCs w:val="21"/>
                <w:highlight w:val="none"/>
                <w:lang w:val="en-US" w:eastAsia="zh-CN"/>
              </w:rPr>
              <w:t>所投</w:t>
            </w:r>
            <w:r>
              <w:rPr>
                <w:rFonts w:hint="eastAsia" w:ascii="宋体" w:hAnsi="宋体" w:eastAsia="宋体" w:cs="宋体"/>
                <w:b w:val="0"/>
                <w:bCs/>
                <w:color w:val="000000"/>
                <w:sz w:val="21"/>
                <w:szCs w:val="21"/>
                <w:highlight w:val="none"/>
                <w:lang w:val="en-US"/>
              </w:rPr>
              <w:t>产品的生产厂家</w:t>
            </w:r>
            <w:r>
              <w:rPr>
                <w:rFonts w:hint="eastAsia" w:ascii="宋体" w:hAnsi="宋体" w:eastAsia="宋体" w:cs="宋体"/>
                <w:b w:val="0"/>
                <w:bCs/>
                <w:color w:val="000000"/>
                <w:sz w:val="21"/>
                <w:szCs w:val="21"/>
                <w:highlight w:val="none"/>
                <w:lang w:val="en-US" w:eastAsia="zh-CN"/>
              </w:rPr>
              <w:t>（</w:t>
            </w:r>
            <w:r>
              <w:rPr>
                <w:rFonts w:hint="eastAsia" w:ascii="宋体" w:hAnsi="宋体" w:eastAsia="宋体" w:cs="宋体"/>
                <w:b w:val="0"/>
                <w:bCs/>
                <w:color w:val="000000"/>
                <w:sz w:val="21"/>
                <w:szCs w:val="21"/>
                <w:highlight w:val="none"/>
                <w:lang w:val="en-US"/>
              </w:rPr>
              <w:t>或者其他代理商</w:t>
            </w:r>
            <w:r>
              <w:rPr>
                <w:rFonts w:hint="eastAsia" w:ascii="宋体" w:hAnsi="宋体" w:eastAsia="宋体" w:cs="宋体"/>
                <w:b w:val="0"/>
                <w:bCs/>
                <w:color w:val="000000"/>
                <w:sz w:val="21"/>
                <w:szCs w:val="21"/>
                <w:highlight w:val="none"/>
                <w:lang w:val="en-US" w:eastAsia="zh-CN"/>
              </w:rPr>
              <w:t>）</w:t>
            </w:r>
            <w:r>
              <w:rPr>
                <w:rFonts w:hint="eastAsia" w:ascii="宋体" w:hAnsi="宋体" w:eastAsia="宋体" w:cs="宋体"/>
                <w:b w:val="0"/>
                <w:bCs/>
                <w:color w:val="000000"/>
                <w:sz w:val="21"/>
                <w:szCs w:val="21"/>
                <w:highlight w:val="none"/>
                <w:lang w:val="en-US"/>
              </w:rPr>
              <w:t>，不提供</w:t>
            </w:r>
            <w:r>
              <w:rPr>
                <w:rFonts w:hint="eastAsia" w:ascii="宋体" w:hAnsi="宋体" w:eastAsia="宋体" w:cs="宋体"/>
                <w:b w:val="0"/>
                <w:bCs/>
                <w:color w:val="000000"/>
                <w:sz w:val="21"/>
                <w:szCs w:val="21"/>
                <w:highlight w:val="none"/>
                <w:lang w:val="en-US" w:eastAsia="zh-CN"/>
              </w:rPr>
              <w:t>或不能证明的</w:t>
            </w:r>
            <w:r>
              <w:rPr>
                <w:rFonts w:hint="eastAsia" w:ascii="宋体" w:hAnsi="宋体" w:eastAsia="宋体" w:cs="宋体"/>
                <w:b w:val="0"/>
                <w:bCs/>
                <w:color w:val="000000"/>
                <w:sz w:val="21"/>
                <w:szCs w:val="21"/>
                <w:highlight w:val="none"/>
                <w:lang w:val="en-US"/>
              </w:rPr>
              <w:t>不得分</w:t>
            </w:r>
            <w:r>
              <w:rPr>
                <w:rFonts w:hint="eastAsia" w:ascii="宋体" w:hAnsi="宋体" w:eastAsia="宋体" w:cs="宋体"/>
                <w:b w:val="0"/>
                <w:bCs/>
                <w:color w:val="000000"/>
                <w:sz w:val="21"/>
                <w:szCs w:val="21"/>
                <w:highlight w:val="none"/>
                <w:lang w:val="en-US" w:eastAsia="zh-CN"/>
              </w:rPr>
              <w:t>】</w:t>
            </w:r>
            <w:r>
              <w:rPr>
                <w:rFonts w:hint="eastAsia" w:ascii="宋体" w:hAnsi="宋体" w:eastAsia="宋体" w:cs="宋体"/>
                <w:b w:val="0"/>
                <w:bCs/>
                <w:snapToGrid/>
                <w:color w:val="000000"/>
                <w:kern w:val="21"/>
                <w:sz w:val="21"/>
                <w:szCs w:val="21"/>
                <w:highlight w:val="none"/>
                <w:lang w:val="en-US" w:eastAsia="zh-CN"/>
              </w:rPr>
              <w:t>。</w:t>
            </w:r>
          </w:p>
        </w:tc>
      </w:tr>
      <w:tr w14:paraId="1CE3C0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jc w:val="center"/>
        </w:trPr>
        <w:tc>
          <w:tcPr>
            <w:tcW w:w="637" w:type="dxa"/>
            <w:tcBorders>
              <w:top w:val="single" w:color="000000" w:sz="4" w:space="0"/>
              <w:left w:val="single" w:color="000000" w:sz="4" w:space="0"/>
              <w:bottom w:val="single" w:color="auto" w:sz="4" w:space="0"/>
              <w:right w:val="single" w:color="000000" w:sz="4" w:space="0"/>
            </w:tcBorders>
            <w:shd w:val="clear" w:color="auto" w:fill="FFFFFF"/>
            <w:noWrap w:val="0"/>
            <w:vAlign w:val="center"/>
          </w:tcPr>
          <w:p w14:paraId="14DCC25D">
            <w:pPr>
              <w:keepNext w:val="0"/>
              <w:keepLines w:val="0"/>
              <w:pageBreakBefore w:val="0"/>
              <w:kinsoku/>
              <w:wordWrap w:val="0"/>
              <w:overflowPunct/>
              <w:topLinePunct w:val="0"/>
              <w:bidi w:val="0"/>
              <w:adjustRightInd/>
              <w:snapToGrid/>
              <w:spacing w:line="400" w:lineRule="exact"/>
              <w:ind w:left="0" w:leftChars="0" w:right="0" w:rightChars="0"/>
              <w:jc w:val="center"/>
              <w:rPr>
                <w:rFonts w:hint="eastAsia" w:ascii="宋体" w:hAnsi="宋体" w:eastAsia="宋体" w:cs="宋体"/>
                <w:b/>
                <w:bCs w:val="0"/>
                <w:color w:val="000000"/>
                <w:sz w:val="21"/>
                <w:szCs w:val="21"/>
                <w:highlight w:val="none"/>
                <w:lang w:val="en-US" w:eastAsia="zh-CN"/>
              </w:rPr>
            </w:pPr>
            <w:r>
              <w:rPr>
                <w:rFonts w:hint="eastAsia" w:ascii="宋体" w:hAnsi="宋体" w:eastAsia="宋体" w:cs="宋体"/>
                <w:b/>
                <w:bCs w:val="0"/>
                <w:color w:val="000000"/>
                <w:sz w:val="21"/>
                <w:szCs w:val="21"/>
                <w:highlight w:val="none"/>
                <w:lang w:val="en-US" w:eastAsia="zh-CN"/>
              </w:rPr>
              <w:t>6</w:t>
            </w:r>
          </w:p>
        </w:tc>
        <w:tc>
          <w:tcPr>
            <w:tcW w:w="1456" w:type="dxa"/>
            <w:tcBorders>
              <w:top w:val="single" w:color="000000" w:sz="4" w:space="0"/>
              <w:left w:val="single" w:color="000000" w:sz="4" w:space="0"/>
              <w:bottom w:val="single" w:color="auto" w:sz="4" w:space="0"/>
              <w:right w:val="single" w:color="000000" w:sz="4" w:space="0"/>
            </w:tcBorders>
            <w:shd w:val="clear" w:color="auto" w:fill="FFFFFF"/>
            <w:noWrap w:val="0"/>
            <w:vAlign w:val="center"/>
          </w:tcPr>
          <w:p w14:paraId="00E0E652">
            <w:pPr>
              <w:keepNext w:val="0"/>
              <w:keepLines w:val="0"/>
              <w:pageBreakBefore w:val="0"/>
              <w:kinsoku/>
              <w:wordWrap w:val="0"/>
              <w:overflowPunct/>
              <w:topLinePunct w:val="0"/>
              <w:bidi w:val="0"/>
              <w:spacing w:line="400" w:lineRule="exact"/>
              <w:ind w:left="0" w:leftChars="0" w:right="0" w:rightChars="0"/>
              <w:jc w:val="center"/>
              <w:rPr>
                <w:rFonts w:hint="eastAsia" w:ascii="宋体" w:hAnsi="宋体" w:eastAsia="宋体" w:cs="宋体"/>
                <w:b/>
                <w:bCs w:val="0"/>
                <w:color w:val="000000"/>
                <w:kern w:val="0"/>
                <w:sz w:val="21"/>
                <w:szCs w:val="21"/>
                <w:highlight w:val="none"/>
                <w:lang w:val="en-US" w:eastAsia="zh-CN"/>
              </w:rPr>
            </w:pPr>
            <w:r>
              <w:rPr>
                <w:rFonts w:hint="eastAsia" w:ascii="宋体" w:hAnsi="宋体" w:eastAsia="宋体" w:cs="宋体"/>
                <w:b/>
                <w:bCs w:val="0"/>
                <w:color w:val="000000"/>
                <w:kern w:val="0"/>
                <w:sz w:val="21"/>
                <w:szCs w:val="21"/>
                <w:highlight w:val="none"/>
                <w:lang w:val="en-US" w:eastAsia="zh-CN"/>
              </w:rPr>
              <w:t>政策分</w:t>
            </w:r>
          </w:p>
          <w:p w14:paraId="7D4BF878">
            <w:pPr>
              <w:keepNext w:val="0"/>
              <w:keepLines w:val="0"/>
              <w:pageBreakBefore w:val="0"/>
              <w:kinsoku/>
              <w:wordWrap w:val="0"/>
              <w:overflowPunct/>
              <w:topLinePunct w:val="0"/>
              <w:bidi w:val="0"/>
              <w:spacing w:line="400" w:lineRule="exact"/>
              <w:ind w:left="0" w:leftChars="0" w:right="0" w:rightChars="0"/>
              <w:jc w:val="center"/>
              <w:rPr>
                <w:rFonts w:hint="eastAsia" w:ascii="宋体" w:hAnsi="宋体" w:eastAsia="宋体" w:cs="宋体"/>
                <w:b/>
                <w:bCs w:val="0"/>
                <w:color w:val="000000"/>
                <w:kern w:val="0"/>
                <w:sz w:val="21"/>
                <w:szCs w:val="21"/>
                <w:highlight w:val="none"/>
                <w:lang w:eastAsia="zh-Hans"/>
              </w:rPr>
            </w:pPr>
            <w:r>
              <w:rPr>
                <w:rFonts w:hint="eastAsia" w:ascii="宋体" w:hAnsi="宋体" w:eastAsia="宋体" w:cs="宋体"/>
                <w:b/>
                <w:bCs w:val="0"/>
                <w:color w:val="000000"/>
                <w:kern w:val="0"/>
                <w:sz w:val="21"/>
                <w:szCs w:val="21"/>
                <w:highlight w:val="none"/>
                <w:lang w:eastAsia="zh-Hans"/>
              </w:rPr>
              <w:t>(</w:t>
            </w:r>
            <w:r>
              <w:rPr>
                <w:rFonts w:hint="eastAsia" w:ascii="宋体" w:hAnsi="宋体" w:eastAsia="宋体" w:cs="宋体"/>
                <w:b/>
                <w:bCs w:val="0"/>
                <w:color w:val="000000"/>
                <w:kern w:val="0"/>
                <w:sz w:val="21"/>
                <w:szCs w:val="21"/>
                <w:highlight w:val="none"/>
                <w:lang w:val="en-US" w:eastAsia="zh-CN"/>
              </w:rPr>
              <w:t>1</w:t>
            </w:r>
            <w:r>
              <w:rPr>
                <w:rFonts w:hint="eastAsia" w:ascii="宋体" w:hAnsi="宋体" w:eastAsia="宋体" w:cs="宋体"/>
                <w:b/>
                <w:bCs w:val="0"/>
                <w:color w:val="000000"/>
                <w:kern w:val="0"/>
                <w:sz w:val="21"/>
                <w:szCs w:val="21"/>
                <w:highlight w:val="none"/>
                <w:lang w:eastAsia="zh-Hans"/>
              </w:rPr>
              <w:t>分)</w:t>
            </w:r>
          </w:p>
        </w:tc>
        <w:tc>
          <w:tcPr>
            <w:tcW w:w="757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090356">
            <w:pPr>
              <w:keepNext w:val="0"/>
              <w:keepLines w:val="0"/>
              <w:pageBreakBefore w:val="0"/>
              <w:widowControl w:val="0"/>
              <w:kinsoku/>
              <w:wordWrap w:val="0"/>
              <w:overflowPunct/>
              <w:topLinePunct w:val="0"/>
              <w:autoSpaceDE/>
              <w:autoSpaceDN/>
              <w:bidi w:val="0"/>
              <w:adjustRightInd/>
              <w:snapToGrid/>
              <w:spacing w:line="400" w:lineRule="exact"/>
              <w:ind w:left="0" w:leftChars="0" w:right="0" w:rightChars="0" w:firstLine="210" w:firstLineChars="100"/>
              <w:textAlignment w:val="auto"/>
              <w:rPr>
                <w:rFonts w:hint="eastAsia" w:ascii="宋体" w:hAnsi="宋体" w:eastAsia="宋体" w:cs="宋体"/>
                <w:b w:val="0"/>
                <w:color w:val="000000"/>
                <w:kern w:val="0"/>
                <w:sz w:val="21"/>
                <w:szCs w:val="21"/>
                <w:highlight w:val="none"/>
                <w:lang w:eastAsia="zh-Hans"/>
              </w:rPr>
            </w:pPr>
            <w:r>
              <w:rPr>
                <w:rFonts w:hint="eastAsia" w:ascii="宋体" w:hAnsi="宋体" w:eastAsia="宋体" w:cs="宋体"/>
                <w:b w:val="0"/>
                <w:color w:val="000000"/>
                <w:kern w:val="0"/>
                <w:sz w:val="21"/>
                <w:szCs w:val="21"/>
                <w:highlight w:val="none"/>
                <w:lang w:eastAsia="zh-Hans"/>
              </w:rPr>
              <w:t>（1）节能产品分：属于财政部《节能产品政府采购品目清单》内优先采购（清单内未标注“★”的品目）的产品[投标文件中提供有效的认证证书复印件及品目清单（标注投标产品在品目清单中所属的品目），并加盖供应商公章或电子签章]，</w:t>
            </w:r>
            <w:r>
              <w:rPr>
                <w:rFonts w:hint="eastAsia" w:ascii="宋体" w:hAnsi="宋体" w:eastAsia="宋体" w:cs="宋体"/>
                <w:bCs/>
                <w:color w:val="000000"/>
                <w:kern w:val="2"/>
                <w:sz w:val="21"/>
                <w:szCs w:val="21"/>
                <w:highlight w:val="none"/>
              </w:rPr>
              <w:t>每项产品得0.</w:t>
            </w:r>
            <w:r>
              <w:rPr>
                <w:rFonts w:hint="eastAsia" w:ascii="宋体" w:hAnsi="宋体" w:eastAsia="宋体" w:cs="宋体"/>
                <w:bCs/>
                <w:color w:val="000000"/>
                <w:kern w:val="2"/>
                <w:sz w:val="21"/>
                <w:szCs w:val="21"/>
                <w:highlight w:val="none"/>
                <w:lang w:val="en-US" w:eastAsia="zh-CN"/>
              </w:rPr>
              <w:t>25</w:t>
            </w:r>
            <w:r>
              <w:rPr>
                <w:rFonts w:hint="eastAsia" w:ascii="宋体" w:hAnsi="宋体" w:eastAsia="宋体" w:cs="宋体"/>
                <w:bCs/>
                <w:color w:val="000000"/>
                <w:kern w:val="2"/>
                <w:sz w:val="21"/>
                <w:szCs w:val="21"/>
                <w:highlight w:val="none"/>
              </w:rPr>
              <w:t>分，满分</w:t>
            </w:r>
            <w:r>
              <w:rPr>
                <w:rFonts w:hint="eastAsia" w:ascii="宋体" w:hAnsi="宋体" w:eastAsia="宋体" w:cs="宋体"/>
                <w:bCs/>
                <w:color w:val="000000"/>
                <w:kern w:val="2"/>
                <w:sz w:val="21"/>
                <w:szCs w:val="21"/>
                <w:highlight w:val="none"/>
                <w:lang w:val="en-US" w:eastAsia="zh-CN"/>
              </w:rPr>
              <w:t>0.5</w:t>
            </w:r>
            <w:r>
              <w:rPr>
                <w:rFonts w:hint="eastAsia" w:ascii="宋体" w:hAnsi="宋体" w:eastAsia="宋体" w:cs="宋体"/>
                <w:bCs/>
                <w:color w:val="000000"/>
                <w:kern w:val="2"/>
                <w:sz w:val="21"/>
                <w:szCs w:val="21"/>
                <w:highlight w:val="none"/>
              </w:rPr>
              <w:t>分</w:t>
            </w:r>
            <w:r>
              <w:rPr>
                <w:rFonts w:hint="eastAsia" w:ascii="宋体" w:hAnsi="宋体" w:eastAsia="宋体" w:cs="宋体"/>
                <w:b w:val="0"/>
                <w:color w:val="000000"/>
                <w:kern w:val="0"/>
                <w:sz w:val="21"/>
                <w:szCs w:val="21"/>
                <w:highlight w:val="none"/>
                <w:lang w:eastAsia="zh-Hans"/>
              </w:rPr>
              <w:t>。非节能产品的不得分。</w:t>
            </w:r>
          </w:p>
          <w:p w14:paraId="2487F47C">
            <w:pPr>
              <w:keepNext w:val="0"/>
              <w:keepLines w:val="0"/>
              <w:pageBreakBefore w:val="0"/>
              <w:widowControl w:val="0"/>
              <w:kinsoku/>
              <w:wordWrap w:val="0"/>
              <w:overflowPunct/>
              <w:topLinePunct w:val="0"/>
              <w:autoSpaceDE/>
              <w:autoSpaceDN/>
              <w:bidi w:val="0"/>
              <w:adjustRightInd/>
              <w:snapToGrid/>
              <w:spacing w:line="400" w:lineRule="exact"/>
              <w:ind w:left="0" w:leftChars="0" w:right="0" w:rightChars="0" w:firstLine="210" w:firstLineChars="100"/>
              <w:textAlignment w:val="auto"/>
              <w:rPr>
                <w:rFonts w:hint="eastAsia" w:ascii="宋体" w:hAnsi="宋体" w:eastAsia="宋体" w:cs="宋体"/>
                <w:b w:val="0"/>
                <w:bCs/>
                <w:snapToGrid/>
                <w:color w:val="000000"/>
                <w:kern w:val="21"/>
                <w:sz w:val="21"/>
                <w:szCs w:val="21"/>
                <w:highlight w:val="none"/>
                <w:lang w:val="en-US" w:eastAsia="zh-CN"/>
              </w:rPr>
            </w:pPr>
            <w:r>
              <w:rPr>
                <w:rFonts w:hint="eastAsia" w:ascii="宋体" w:hAnsi="宋体" w:eastAsia="宋体" w:cs="宋体"/>
                <w:b w:val="0"/>
                <w:color w:val="000000"/>
                <w:kern w:val="0"/>
                <w:sz w:val="21"/>
                <w:szCs w:val="21"/>
                <w:highlight w:val="none"/>
                <w:lang w:eastAsia="zh-Hans"/>
              </w:rPr>
              <w:t>（2）环境标志产品分：属于财政部《环境标志产品政府采购品目清单》内的产品[投标文件中提供有效的认证证书复印件及品目清单（标注投标产品在品目清单中所属的品目），并加盖供应商公章或电子签章]，</w:t>
            </w:r>
            <w:r>
              <w:rPr>
                <w:rFonts w:hint="eastAsia" w:ascii="宋体" w:hAnsi="宋体" w:eastAsia="宋体" w:cs="宋体"/>
                <w:bCs/>
                <w:color w:val="000000"/>
                <w:kern w:val="2"/>
                <w:sz w:val="21"/>
                <w:szCs w:val="21"/>
                <w:highlight w:val="none"/>
              </w:rPr>
              <w:t>每项产品得0.</w:t>
            </w:r>
            <w:r>
              <w:rPr>
                <w:rFonts w:hint="eastAsia" w:ascii="宋体" w:hAnsi="宋体" w:eastAsia="宋体" w:cs="宋体"/>
                <w:bCs/>
                <w:color w:val="000000"/>
                <w:kern w:val="2"/>
                <w:sz w:val="21"/>
                <w:szCs w:val="21"/>
                <w:highlight w:val="none"/>
                <w:lang w:val="en-US" w:eastAsia="zh-CN"/>
              </w:rPr>
              <w:t>25</w:t>
            </w:r>
            <w:r>
              <w:rPr>
                <w:rFonts w:hint="eastAsia" w:ascii="宋体" w:hAnsi="宋体" w:eastAsia="宋体" w:cs="宋体"/>
                <w:bCs/>
                <w:color w:val="000000"/>
                <w:kern w:val="2"/>
                <w:sz w:val="21"/>
                <w:szCs w:val="21"/>
                <w:highlight w:val="none"/>
              </w:rPr>
              <w:t>分，满分</w:t>
            </w:r>
            <w:r>
              <w:rPr>
                <w:rFonts w:hint="eastAsia" w:ascii="宋体" w:hAnsi="宋体" w:eastAsia="宋体" w:cs="宋体"/>
                <w:bCs/>
                <w:color w:val="000000"/>
                <w:kern w:val="2"/>
                <w:sz w:val="21"/>
                <w:szCs w:val="21"/>
                <w:highlight w:val="none"/>
                <w:lang w:val="en-US" w:eastAsia="zh-CN"/>
              </w:rPr>
              <w:t>0.5</w:t>
            </w:r>
            <w:r>
              <w:rPr>
                <w:rFonts w:hint="eastAsia" w:ascii="宋体" w:hAnsi="宋体" w:eastAsia="宋体" w:cs="宋体"/>
                <w:bCs/>
                <w:color w:val="000000"/>
                <w:kern w:val="2"/>
                <w:sz w:val="21"/>
                <w:szCs w:val="21"/>
                <w:highlight w:val="none"/>
              </w:rPr>
              <w:t>分</w:t>
            </w:r>
            <w:r>
              <w:rPr>
                <w:rFonts w:hint="eastAsia" w:ascii="宋体" w:hAnsi="宋体" w:eastAsia="宋体" w:cs="宋体"/>
                <w:b w:val="0"/>
                <w:color w:val="000000"/>
                <w:kern w:val="0"/>
                <w:sz w:val="21"/>
                <w:szCs w:val="21"/>
                <w:highlight w:val="none"/>
                <w:lang w:eastAsia="zh-Hans"/>
              </w:rPr>
              <w:t>。非环境标志产品不得分。</w:t>
            </w:r>
          </w:p>
        </w:tc>
      </w:tr>
      <w:tr w14:paraId="0A17AA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jc w:val="center"/>
        </w:trPr>
        <w:tc>
          <w:tcPr>
            <w:tcW w:w="9670" w:type="dxa"/>
            <w:gridSpan w:val="3"/>
            <w:tcBorders>
              <w:top w:val="single" w:color="auto" w:sz="4" w:space="0"/>
              <w:left w:val="single" w:color="000000" w:sz="4" w:space="0"/>
              <w:bottom w:val="single" w:color="000000" w:sz="4" w:space="0"/>
              <w:right w:val="single" w:color="000000" w:sz="4" w:space="0"/>
            </w:tcBorders>
            <w:shd w:val="clear" w:color="auto" w:fill="FFFFFF"/>
            <w:noWrap w:val="0"/>
            <w:vAlign w:val="center"/>
          </w:tcPr>
          <w:p w14:paraId="102C005A">
            <w:pPr>
              <w:keepNext w:val="0"/>
              <w:keepLines w:val="0"/>
              <w:pageBreakBefore w:val="0"/>
              <w:widowControl w:val="0"/>
              <w:kinsoku/>
              <w:wordWrap w:val="0"/>
              <w:overflowPunct/>
              <w:topLinePunct w:val="0"/>
              <w:autoSpaceDE/>
              <w:autoSpaceDN/>
              <w:bidi w:val="0"/>
              <w:adjustRightInd/>
              <w:snapToGrid/>
              <w:spacing w:line="400" w:lineRule="exact"/>
              <w:ind w:left="0" w:leftChars="0" w:right="0" w:rightChars="0"/>
              <w:textAlignment w:val="auto"/>
              <w:rPr>
                <w:rFonts w:hint="default" w:ascii="宋体" w:hAnsi="宋体" w:eastAsia="宋体" w:cs="宋体"/>
                <w:b w:val="0"/>
                <w:color w:val="000000"/>
                <w:kern w:val="0"/>
                <w:sz w:val="21"/>
                <w:szCs w:val="21"/>
                <w:highlight w:val="none"/>
                <w:lang w:val="en-US" w:eastAsia="zh-CN"/>
              </w:rPr>
            </w:pPr>
            <w:r>
              <w:rPr>
                <w:rFonts w:hint="eastAsia" w:ascii="宋体" w:hAnsi="宋体" w:eastAsia="宋体" w:cs="宋体"/>
                <w:b/>
                <w:color w:val="000000"/>
                <w:spacing w:val="5"/>
                <w:sz w:val="21"/>
                <w:szCs w:val="21"/>
                <w:highlight w:val="none"/>
              </w:rPr>
              <w:t>总得分=1+2+3</w:t>
            </w:r>
            <w:r>
              <w:rPr>
                <w:rFonts w:hint="eastAsia" w:ascii="宋体" w:hAnsi="宋体" w:eastAsia="宋体" w:cs="宋体"/>
                <w:b/>
                <w:color w:val="000000"/>
                <w:spacing w:val="5"/>
                <w:sz w:val="21"/>
                <w:szCs w:val="21"/>
                <w:highlight w:val="none"/>
                <w:lang w:val="en-US" w:eastAsia="zh-CN"/>
              </w:rPr>
              <w:t>+4+5+6</w:t>
            </w:r>
          </w:p>
        </w:tc>
      </w:tr>
    </w:tbl>
    <w:p w14:paraId="76195565">
      <w:pPr>
        <w:pStyle w:val="15"/>
        <w:spacing w:line="360" w:lineRule="auto"/>
        <w:ind w:firstLine="420"/>
        <w:rPr>
          <w:rFonts w:hint="eastAsia" w:hAnsi="宋体"/>
          <w:bCs/>
          <w:color w:val="auto"/>
          <w:sz w:val="21"/>
        </w:rPr>
      </w:pPr>
    </w:p>
    <w:p w14:paraId="30CD6AC3">
      <w:pPr>
        <w:pStyle w:val="15"/>
        <w:spacing w:line="360" w:lineRule="auto"/>
        <w:ind w:firstLine="420"/>
        <w:rPr>
          <w:rFonts w:hint="eastAsia" w:hAnsi="宋体"/>
          <w:bCs/>
          <w:color w:val="auto"/>
          <w:sz w:val="21"/>
        </w:rPr>
      </w:pPr>
      <w:r>
        <w:rPr>
          <w:rFonts w:hint="eastAsia" w:hAnsi="宋体"/>
          <w:bCs/>
          <w:color w:val="auto"/>
          <w:sz w:val="21"/>
        </w:rPr>
        <w:t>注：计分方法按四舍五入取至百分位。</w:t>
      </w:r>
    </w:p>
    <w:p w14:paraId="0B15CE0C">
      <w:pPr>
        <w:rPr>
          <w:rFonts w:hint="eastAsia" w:hAnsi="宋体"/>
          <w:bCs/>
          <w:color w:val="auto"/>
          <w:sz w:val="21"/>
        </w:rPr>
      </w:pPr>
      <w:r>
        <w:rPr>
          <w:rFonts w:hint="eastAsia" w:hAnsi="宋体"/>
          <w:bCs/>
          <w:color w:val="auto"/>
          <w:sz w:val="21"/>
        </w:rPr>
        <w:br w:type="page"/>
      </w:r>
    </w:p>
    <w:bookmarkEnd w:id="150"/>
    <w:p w14:paraId="7029ADA4">
      <w:pPr>
        <w:keepNext/>
        <w:keepLines/>
        <w:spacing w:before="260" w:after="260" w:line="413" w:lineRule="auto"/>
        <w:contextualSpacing/>
        <w:jc w:val="center"/>
        <w:outlineLvl w:val="1"/>
        <w:rPr>
          <w:rFonts w:ascii="宋体" w:hAnsi="宋体"/>
          <w:b/>
          <w:bCs/>
          <w:color w:val="auto"/>
          <w:sz w:val="24"/>
        </w:rPr>
      </w:pPr>
      <w:bookmarkStart w:id="152" w:name="_Toc28000"/>
      <w:bookmarkStart w:id="153" w:name="_Toc21995"/>
      <w:r>
        <w:rPr>
          <w:rFonts w:hint="eastAsia" w:ascii="Arial" w:hAnsi="Arial" w:eastAsia="黑体"/>
          <w:bCs/>
          <w:color w:val="auto"/>
          <w:sz w:val="30"/>
          <w:szCs w:val="30"/>
        </w:rPr>
        <w:t>第四节中标候选人推荐原则</w:t>
      </w:r>
      <w:bookmarkEnd w:id="152"/>
      <w:bookmarkEnd w:id="153"/>
    </w:p>
    <w:p w14:paraId="09DFF38A">
      <w:pPr>
        <w:spacing w:line="360" w:lineRule="auto"/>
        <w:ind w:firstLine="420" w:firstLineChars="200"/>
        <w:rPr>
          <w:rFonts w:ascii="宋体" w:hAnsi="宋体"/>
          <w:color w:val="auto"/>
          <w:szCs w:val="20"/>
        </w:rPr>
      </w:pPr>
      <w:r>
        <w:rPr>
          <w:rFonts w:hint="eastAsia" w:ascii="宋体" w:hAnsi="宋体"/>
          <w:color w:val="auto"/>
          <w:szCs w:val="20"/>
        </w:rPr>
        <w:t>1.评标委员会根据原始评标记录和评标结果编写评标报告，并通过电子交易平台向采购人、采购代理机构提交。</w:t>
      </w:r>
    </w:p>
    <w:p w14:paraId="2D5EDCA8">
      <w:pPr>
        <w:spacing w:line="360" w:lineRule="auto"/>
        <w:ind w:firstLine="420" w:firstLineChars="200"/>
        <w:rPr>
          <w:rFonts w:ascii="宋体" w:hAnsi="宋体"/>
          <w:color w:val="auto"/>
          <w:szCs w:val="20"/>
        </w:rPr>
      </w:pPr>
      <w:r>
        <w:rPr>
          <w:rFonts w:hint="eastAsia" w:ascii="宋体" w:hAnsi="宋体"/>
          <w:color w:val="auto"/>
          <w:szCs w:val="20"/>
        </w:rPr>
        <w:t>2.评标委员会将根据得分由高到低排列次序（得分相同时，以投标报价由低到高顺序排列；得分相同且投标报价相同的，按技术、商务得分高低顺序排列）并推荐三名中标候选供应商。招标采购人应当确定评审委员会推荐排名第一的中标候选人为中标人。排名第一的中标候选人放弃中标、因不可抗力提出不能履行合同，或者招标文件规定应当提交履约保证金而在规定的期限内未能提交的，招标采购人可以确定排名第二的中标候选人为中标人。排名第二的中标候选人因前款规定的同样原因不能签订合同的，招标采购人可以确定排名第三的中标候选人为中标人。</w:t>
      </w:r>
    </w:p>
    <w:p w14:paraId="5B3E4A49">
      <w:pPr>
        <w:tabs>
          <w:tab w:val="left" w:pos="2472"/>
        </w:tabs>
        <w:spacing w:line="480" w:lineRule="exact"/>
        <w:ind w:firstLine="420" w:firstLineChars="200"/>
        <w:rPr>
          <w:rFonts w:ascii="宋体" w:hAnsi="Courier New"/>
          <w:color w:val="auto"/>
          <w:szCs w:val="20"/>
        </w:rPr>
      </w:pPr>
    </w:p>
    <w:p w14:paraId="4EA7636E">
      <w:pPr>
        <w:tabs>
          <w:tab w:val="left" w:pos="2472"/>
        </w:tabs>
        <w:spacing w:line="360" w:lineRule="auto"/>
        <w:ind w:firstLine="420" w:firstLineChars="200"/>
        <w:rPr>
          <w:rFonts w:hAnsi="宋体"/>
          <w:color w:val="auto"/>
        </w:rPr>
      </w:pPr>
      <w:r>
        <w:rPr>
          <w:rFonts w:hint="eastAsia" w:ascii="宋体" w:hAnsi="宋体"/>
          <w:color w:val="auto"/>
          <w:szCs w:val="20"/>
        </w:rPr>
        <w:br w:type="page"/>
      </w:r>
    </w:p>
    <w:p w14:paraId="19221FA4">
      <w:pPr>
        <w:pStyle w:val="3"/>
        <w:keepNext w:val="0"/>
        <w:keepLines w:val="0"/>
        <w:jc w:val="center"/>
        <w:rPr>
          <w:color w:val="auto"/>
        </w:rPr>
      </w:pPr>
      <w:bookmarkStart w:id="154" w:name="_Toc13755"/>
      <w:bookmarkStart w:id="155" w:name="_Toc6006"/>
      <w:r>
        <w:rPr>
          <w:rFonts w:hint="eastAsia"/>
          <w:color w:val="auto"/>
        </w:rPr>
        <w:t>第五章</w:t>
      </w:r>
      <w:bookmarkEnd w:id="154"/>
      <w:bookmarkEnd w:id="155"/>
      <w:r>
        <w:rPr>
          <w:rFonts w:hint="eastAsia"/>
          <w:color w:val="auto"/>
        </w:rPr>
        <w:t>合同主要条款格式</w:t>
      </w:r>
    </w:p>
    <w:p w14:paraId="5A1A5EBF">
      <w:pPr>
        <w:pStyle w:val="3"/>
        <w:spacing w:line="360" w:lineRule="auto"/>
        <w:ind w:firstLine="0" w:firstLineChars="0"/>
        <w:jc w:val="center"/>
        <w:rPr>
          <w:rFonts w:ascii="仿宋" w:hAnsi="仿宋" w:eastAsia="仿宋"/>
          <w:b w:val="0"/>
          <w:bCs w:val="0"/>
          <w:color w:val="auto"/>
          <w:highlight w:val="none"/>
        </w:rPr>
      </w:pPr>
      <w:bookmarkStart w:id="156" w:name="_Hlk55381736"/>
      <w:r>
        <w:rPr>
          <w:rFonts w:hint="eastAsia" w:ascii="仿宋" w:hAnsi="仿宋" w:eastAsia="仿宋"/>
          <w:color w:val="auto"/>
          <w:highlight w:val="none"/>
        </w:rPr>
        <w:t>医疗设备购销合同</w:t>
      </w:r>
    </w:p>
    <w:p w14:paraId="233EB3BA">
      <w:pPr>
        <w:spacing w:line="360" w:lineRule="auto"/>
        <w:rPr>
          <w:rFonts w:hint="eastAsia" w:ascii="宋体" w:hAnsi="宋体" w:eastAsia="宋体" w:cs="宋体"/>
          <w:color w:val="auto"/>
          <w:highlight w:val="none"/>
        </w:rPr>
      </w:pPr>
    </w:p>
    <w:p w14:paraId="3983966D">
      <w:pPr>
        <w:snapToGrid w:val="0"/>
        <w:spacing w:line="360" w:lineRule="auto"/>
        <w:ind w:right="480" w:firstLine="420" w:firstLineChars="200"/>
        <w:rPr>
          <w:rFonts w:hint="eastAsia" w:ascii="宋体" w:hAnsi="宋体" w:eastAsia="宋体" w:cs="宋体"/>
          <w:bCs/>
          <w:color w:val="auto"/>
          <w:szCs w:val="21"/>
          <w:highlight w:val="none"/>
          <w:u w:val="single"/>
          <w:lang w:eastAsia="zh-CN"/>
        </w:rPr>
      </w:pPr>
      <w:r>
        <w:rPr>
          <w:rFonts w:hint="eastAsia" w:ascii="宋体" w:hAnsi="宋体" w:eastAsia="宋体" w:cs="宋体"/>
          <w:color w:val="auto"/>
          <w:szCs w:val="21"/>
          <w:highlight w:val="none"/>
        </w:rPr>
        <w:t>采购人（甲方）：</w:t>
      </w:r>
      <w:r>
        <w:rPr>
          <w:rFonts w:hint="eastAsia" w:ascii="宋体" w:hAnsi="宋体" w:cs="宋体"/>
          <w:color w:val="auto"/>
          <w:szCs w:val="21"/>
          <w:highlight w:val="none"/>
          <w:lang w:eastAsia="zh-CN"/>
        </w:rPr>
        <w:t>广西壮族自治区南溪山医院（广西壮族自治区第二人民医院）</w:t>
      </w:r>
    </w:p>
    <w:p w14:paraId="54B46049">
      <w:pPr>
        <w:snapToGrid w:val="0"/>
        <w:spacing w:line="360" w:lineRule="auto"/>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供应商（乙方）：</w:t>
      </w:r>
      <w:r>
        <w:rPr>
          <w:rFonts w:hint="eastAsia" w:ascii="宋体" w:hAnsi="宋体" w:eastAsia="宋体" w:cs="宋体"/>
          <w:color w:val="auto"/>
          <w:szCs w:val="21"/>
          <w:highlight w:val="none"/>
          <w:u w:val="single"/>
        </w:rPr>
        <w:t xml:space="preserve">                         </w:t>
      </w:r>
    </w:p>
    <w:p w14:paraId="3BF0817B">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采购计划文号：</w:t>
      </w:r>
    </w:p>
    <w:p w14:paraId="50E4DA12">
      <w:pPr>
        <w:snapToGrid w:val="0"/>
        <w:spacing w:line="360" w:lineRule="auto"/>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项目名称：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项目编号：</w:t>
      </w:r>
      <w:r>
        <w:rPr>
          <w:rFonts w:hint="eastAsia" w:ascii="宋体" w:hAnsi="宋体" w:eastAsia="宋体" w:cs="宋体"/>
          <w:color w:val="auto"/>
          <w:szCs w:val="21"/>
          <w:highlight w:val="none"/>
          <w:u w:val="single"/>
        </w:rPr>
        <w:t xml:space="preserve">                       </w:t>
      </w:r>
    </w:p>
    <w:p w14:paraId="52538E47">
      <w:pPr>
        <w:snapToGrid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szCs w:val="21"/>
          <w:highlight w:val="none"/>
        </w:rPr>
        <w:t>合同类型：买卖合同</w:t>
      </w:r>
    </w:p>
    <w:p w14:paraId="60DAEB63">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签订地点：</w:t>
      </w:r>
      <w:r>
        <w:rPr>
          <w:rFonts w:hint="eastAsia" w:ascii="宋体" w:hAnsi="宋体" w:cs="宋体"/>
          <w:color w:val="auto"/>
          <w:szCs w:val="21"/>
          <w:highlight w:val="none"/>
          <w:lang w:eastAsia="zh-CN"/>
        </w:rPr>
        <w:t>广西壮族自治区南溪山医院（广西壮族自治区第二人民医院）</w:t>
      </w:r>
      <w:r>
        <w:rPr>
          <w:rFonts w:hint="eastAsia" w:ascii="宋体" w:hAnsi="宋体" w:eastAsia="宋体" w:cs="宋体"/>
          <w:color w:val="auto"/>
          <w:szCs w:val="21"/>
          <w:highlight w:val="none"/>
        </w:rPr>
        <w:t xml:space="preserve">   </w:t>
      </w:r>
    </w:p>
    <w:p w14:paraId="07CC878B">
      <w:pPr>
        <w:adjustRightInd/>
        <w:snapToGrid/>
        <w:spacing w:line="360" w:lineRule="auto"/>
        <w:ind w:firstLine="420" w:firstLineChars="200"/>
        <w:jc w:val="left"/>
        <w:rPr>
          <w:rFonts w:hint="eastAsia" w:ascii="宋体" w:hAnsi="宋体" w:eastAsia="宋体" w:cs="宋体"/>
          <w:color w:val="auto"/>
          <w:sz w:val="21"/>
          <w:highlight w:val="none"/>
        </w:rPr>
      </w:pPr>
      <w:r>
        <w:rPr>
          <w:rFonts w:hint="eastAsia" w:ascii="宋体" w:hAnsi="宋体" w:eastAsia="宋体" w:cs="宋体"/>
          <w:color w:val="auto"/>
          <w:sz w:val="21"/>
          <w:szCs w:val="21"/>
          <w:highlight w:val="none"/>
        </w:rPr>
        <w:t>根据《中华人民共和国政府采购法》、《政府采购货物和服务招标投标管理办法》、《中华人民共和国</w:t>
      </w:r>
      <w:r>
        <w:rPr>
          <w:rFonts w:hint="eastAsia" w:ascii="宋体" w:hAnsi="宋体" w:eastAsia="宋体" w:cs="宋体"/>
          <w:color w:val="auto"/>
          <w:sz w:val="21"/>
          <w:szCs w:val="21"/>
          <w:highlight w:val="none"/>
          <w:lang w:eastAsia="zh-CN"/>
        </w:rPr>
        <w:t>民法典</w:t>
      </w:r>
      <w:r>
        <w:rPr>
          <w:rFonts w:hint="eastAsia" w:ascii="宋体" w:hAnsi="宋体" w:eastAsia="宋体" w:cs="宋体"/>
          <w:color w:val="auto"/>
          <w:sz w:val="21"/>
          <w:szCs w:val="21"/>
          <w:highlight w:val="none"/>
        </w:rPr>
        <w:t>》等法律、法规规定，按照招标文件规定条款和乙方投标文件承诺，甲乙双方签订本合同。</w:t>
      </w:r>
    </w:p>
    <w:p w14:paraId="445950C0">
      <w:pPr>
        <w:adjustRightInd w:val="0"/>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第一条　合同标的</w:t>
      </w:r>
    </w:p>
    <w:tbl>
      <w:tblPr>
        <w:tblStyle w:val="25"/>
        <w:tblW w:w="9115" w:type="dxa"/>
        <w:tblInd w:w="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5"/>
        <w:gridCol w:w="1300"/>
        <w:gridCol w:w="1090"/>
        <w:gridCol w:w="1090"/>
        <w:gridCol w:w="912"/>
        <w:gridCol w:w="908"/>
        <w:gridCol w:w="665"/>
        <w:gridCol w:w="711"/>
        <w:gridCol w:w="734"/>
        <w:gridCol w:w="1110"/>
      </w:tblGrid>
      <w:tr w14:paraId="5BDA9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9" w:hRule="atLeast"/>
        </w:trPr>
        <w:tc>
          <w:tcPr>
            <w:tcW w:w="595" w:type="dxa"/>
            <w:tcBorders>
              <w:top w:val="single" w:color="auto" w:sz="4" w:space="0"/>
              <w:left w:val="single" w:color="auto" w:sz="4" w:space="0"/>
              <w:bottom w:val="single" w:color="auto" w:sz="4" w:space="0"/>
              <w:right w:val="single" w:color="auto" w:sz="4" w:space="0"/>
            </w:tcBorders>
            <w:noWrap/>
            <w:vAlign w:val="center"/>
          </w:tcPr>
          <w:p w14:paraId="78BE2749">
            <w:pPr>
              <w:adjustRightInd w:val="0"/>
              <w:snapToGrid w:val="0"/>
              <w:spacing w:line="360" w:lineRule="auto"/>
              <w:jc w:val="center"/>
              <w:rPr>
                <w:rFonts w:hint="eastAsia" w:ascii="宋体" w:hAnsi="宋体" w:eastAsia="宋体" w:cs="宋体"/>
                <w:color w:val="auto"/>
                <w:spacing w:val="-10"/>
                <w:szCs w:val="21"/>
                <w:highlight w:val="none"/>
              </w:rPr>
            </w:pPr>
            <w:r>
              <w:rPr>
                <w:rFonts w:hint="eastAsia" w:ascii="宋体" w:hAnsi="宋体" w:eastAsia="宋体" w:cs="宋体"/>
                <w:color w:val="auto"/>
                <w:spacing w:val="-10"/>
                <w:szCs w:val="21"/>
                <w:highlight w:val="none"/>
              </w:rPr>
              <w:t>序号</w:t>
            </w:r>
          </w:p>
        </w:tc>
        <w:tc>
          <w:tcPr>
            <w:tcW w:w="1300" w:type="dxa"/>
            <w:tcBorders>
              <w:top w:val="single" w:color="auto" w:sz="4" w:space="0"/>
              <w:left w:val="single" w:color="auto" w:sz="4" w:space="0"/>
              <w:bottom w:val="single" w:color="auto" w:sz="4" w:space="0"/>
              <w:right w:val="single" w:color="auto" w:sz="4" w:space="0"/>
            </w:tcBorders>
            <w:noWrap/>
            <w:vAlign w:val="center"/>
          </w:tcPr>
          <w:p w14:paraId="204CAFF2">
            <w:pPr>
              <w:snapToGrid w:val="0"/>
              <w:spacing w:line="360" w:lineRule="auto"/>
              <w:jc w:val="center"/>
              <w:rPr>
                <w:rFonts w:hint="eastAsia" w:ascii="宋体" w:hAnsi="宋体" w:eastAsia="宋体" w:cs="宋体"/>
                <w:color w:val="auto"/>
                <w:spacing w:val="-10"/>
                <w:szCs w:val="21"/>
                <w:highlight w:val="none"/>
              </w:rPr>
            </w:pPr>
            <w:r>
              <w:rPr>
                <w:rFonts w:hint="eastAsia" w:ascii="宋体" w:hAnsi="宋体" w:eastAsia="宋体" w:cs="宋体"/>
                <w:color w:val="auto"/>
                <w:spacing w:val="-10"/>
                <w:szCs w:val="21"/>
                <w:highlight w:val="none"/>
              </w:rPr>
              <w:t>标的名称</w:t>
            </w:r>
          </w:p>
        </w:tc>
        <w:tc>
          <w:tcPr>
            <w:tcW w:w="1090" w:type="dxa"/>
            <w:tcBorders>
              <w:top w:val="single" w:color="auto" w:sz="4" w:space="0"/>
              <w:left w:val="single" w:color="auto" w:sz="4" w:space="0"/>
              <w:bottom w:val="single" w:color="auto" w:sz="4" w:space="0"/>
              <w:right w:val="single" w:color="auto" w:sz="4" w:space="0"/>
            </w:tcBorders>
            <w:noWrap/>
            <w:vAlign w:val="center"/>
          </w:tcPr>
          <w:p w14:paraId="7A8F5C46">
            <w:pPr>
              <w:adjustRightInd w:val="0"/>
              <w:snapToGrid w:val="0"/>
              <w:spacing w:line="360" w:lineRule="auto"/>
              <w:jc w:val="center"/>
              <w:rPr>
                <w:rFonts w:hint="eastAsia" w:ascii="宋体" w:hAnsi="宋体" w:eastAsia="宋体" w:cs="宋体"/>
                <w:color w:val="auto"/>
                <w:spacing w:val="-10"/>
                <w:szCs w:val="21"/>
                <w:highlight w:val="none"/>
                <w:lang w:eastAsia="zh-CN"/>
              </w:rPr>
            </w:pPr>
            <w:r>
              <w:rPr>
                <w:rFonts w:hint="eastAsia" w:ascii="宋体" w:hAnsi="宋体" w:cs="宋体"/>
                <w:color w:val="auto"/>
                <w:spacing w:val="-10"/>
                <w:szCs w:val="21"/>
                <w:highlight w:val="none"/>
                <w:lang w:eastAsia="zh-CN"/>
              </w:rPr>
              <w:t>产品名称</w:t>
            </w:r>
          </w:p>
        </w:tc>
        <w:tc>
          <w:tcPr>
            <w:tcW w:w="1090" w:type="dxa"/>
            <w:tcBorders>
              <w:top w:val="single" w:color="auto" w:sz="4" w:space="0"/>
              <w:left w:val="single" w:color="auto" w:sz="4" w:space="0"/>
              <w:bottom w:val="single" w:color="auto" w:sz="4" w:space="0"/>
              <w:right w:val="single" w:color="auto" w:sz="4" w:space="0"/>
            </w:tcBorders>
            <w:noWrap/>
            <w:vAlign w:val="center"/>
          </w:tcPr>
          <w:p w14:paraId="6FDD1CF4">
            <w:pPr>
              <w:adjustRightInd w:val="0"/>
              <w:snapToGrid w:val="0"/>
              <w:spacing w:line="360" w:lineRule="auto"/>
              <w:jc w:val="center"/>
              <w:rPr>
                <w:rFonts w:hint="eastAsia" w:ascii="宋体" w:hAnsi="宋体" w:eastAsia="宋体" w:cs="宋体"/>
                <w:color w:val="auto"/>
                <w:spacing w:val="-10"/>
                <w:szCs w:val="21"/>
                <w:highlight w:val="none"/>
              </w:rPr>
            </w:pPr>
            <w:r>
              <w:rPr>
                <w:rFonts w:hint="eastAsia" w:ascii="宋体" w:hAnsi="宋体" w:eastAsia="宋体" w:cs="宋体"/>
                <w:color w:val="auto"/>
                <w:spacing w:val="-10"/>
                <w:szCs w:val="21"/>
                <w:highlight w:val="none"/>
              </w:rPr>
              <w:t>商标品牌</w:t>
            </w:r>
          </w:p>
        </w:tc>
        <w:tc>
          <w:tcPr>
            <w:tcW w:w="912" w:type="dxa"/>
            <w:tcBorders>
              <w:top w:val="single" w:color="auto" w:sz="4" w:space="0"/>
              <w:left w:val="single" w:color="auto" w:sz="4" w:space="0"/>
              <w:bottom w:val="single" w:color="auto" w:sz="4" w:space="0"/>
              <w:right w:val="single" w:color="auto" w:sz="4" w:space="0"/>
            </w:tcBorders>
            <w:noWrap/>
            <w:vAlign w:val="center"/>
          </w:tcPr>
          <w:p w14:paraId="0DC2C57B">
            <w:pPr>
              <w:adjustRightInd w:val="0"/>
              <w:snapToGrid w:val="0"/>
              <w:spacing w:line="360" w:lineRule="auto"/>
              <w:jc w:val="center"/>
              <w:rPr>
                <w:rFonts w:hint="eastAsia" w:ascii="宋体" w:hAnsi="宋体" w:eastAsia="宋体" w:cs="宋体"/>
                <w:color w:val="auto"/>
                <w:spacing w:val="-10"/>
                <w:szCs w:val="21"/>
                <w:highlight w:val="none"/>
              </w:rPr>
            </w:pPr>
            <w:r>
              <w:rPr>
                <w:rFonts w:hint="eastAsia" w:ascii="宋体" w:hAnsi="宋体" w:eastAsia="宋体" w:cs="宋体"/>
                <w:color w:val="auto"/>
                <w:spacing w:val="-10"/>
                <w:szCs w:val="21"/>
                <w:highlight w:val="none"/>
              </w:rPr>
              <w:t>规格型号</w:t>
            </w:r>
          </w:p>
        </w:tc>
        <w:tc>
          <w:tcPr>
            <w:tcW w:w="908" w:type="dxa"/>
            <w:tcBorders>
              <w:top w:val="single" w:color="auto" w:sz="4" w:space="0"/>
              <w:left w:val="single" w:color="auto" w:sz="4" w:space="0"/>
              <w:bottom w:val="single" w:color="auto" w:sz="4" w:space="0"/>
              <w:right w:val="single" w:color="auto" w:sz="4" w:space="0"/>
            </w:tcBorders>
            <w:noWrap/>
            <w:vAlign w:val="center"/>
          </w:tcPr>
          <w:p w14:paraId="7677F97E">
            <w:pPr>
              <w:adjustRightInd w:val="0"/>
              <w:snapToGrid w:val="0"/>
              <w:spacing w:line="360" w:lineRule="auto"/>
              <w:jc w:val="center"/>
              <w:rPr>
                <w:rFonts w:hint="eastAsia" w:ascii="宋体" w:hAnsi="宋体" w:eastAsia="宋体" w:cs="宋体"/>
                <w:color w:val="auto"/>
                <w:spacing w:val="-10"/>
                <w:szCs w:val="21"/>
                <w:highlight w:val="none"/>
              </w:rPr>
            </w:pPr>
            <w:r>
              <w:rPr>
                <w:rFonts w:hint="eastAsia" w:ascii="宋体" w:hAnsi="宋体" w:eastAsia="宋体" w:cs="宋体"/>
                <w:color w:val="auto"/>
                <w:spacing w:val="-10"/>
                <w:szCs w:val="21"/>
                <w:highlight w:val="none"/>
              </w:rPr>
              <w:t>生产厂家</w:t>
            </w:r>
          </w:p>
        </w:tc>
        <w:tc>
          <w:tcPr>
            <w:tcW w:w="665" w:type="dxa"/>
            <w:tcBorders>
              <w:top w:val="single" w:color="auto" w:sz="4" w:space="0"/>
              <w:left w:val="single" w:color="auto" w:sz="4" w:space="0"/>
              <w:bottom w:val="single" w:color="auto" w:sz="4" w:space="0"/>
              <w:right w:val="single" w:color="auto" w:sz="4" w:space="0"/>
            </w:tcBorders>
            <w:noWrap/>
            <w:vAlign w:val="center"/>
          </w:tcPr>
          <w:p w14:paraId="69DC472E">
            <w:pPr>
              <w:adjustRightInd w:val="0"/>
              <w:snapToGrid w:val="0"/>
              <w:spacing w:line="360" w:lineRule="auto"/>
              <w:jc w:val="center"/>
              <w:rPr>
                <w:rFonts w:hint="eastAsia" w:ascii="宋体" w:hAnsi="宋体" w:eastAsia="宋体" w:cs="宋体"/>
                <w:color w:val="auto"/>
                <w:spacing w:val="-10"/>
                <w:szCs w:val="21"/>
                <w:highlight w:val="none"/>
              </w:rPr>
            </w:pPr>
            <w:r>
              <w:rPr>
                <w:rFonts w:hint="eastAsia" w:ascii="宋体" w:hAnsi="宋体" w:eastAsia="宋体" w:cs="宋体"/>
                <w:color w:val="auto"/>
                <w:spacing w:val="-10"/>
                <w:szCs w:val="21"/>
                <w:highlight w:val="none"/>
              </w:rPr>
              <w:t>数量</w:t>
            </w:r>
          </w:p>
        </w:tc>
        <w:tc>
          <w:tcPr>
            <w:tcW w:w="711" w:type="dxa"/>
            <w:tcBorders>
              <w:top w:val="single" w:color="auto" w:sz="4" w:space="0"/>
              <w:left w:val="single" w:color="auto" w:sz="4" w:space="0"/>
              <w:bottom w:val="single" w:color="auto" w:sz="4" w:space="0"/>
              <w:right w:val="single" w:color="auto" w:sz="4" w:space="0"/>
            </w:tcBorders>
            <w:noWrap w:val="0"/>
            <w:vAlign w:val="center"/>
          </w:tcPr>
          <w:p w14:paraId="7C03E291">
            <w:pPr>
              <w:adjustRightInd w:val="0"/>
              <w:snapToGrid w:val="0"/>
              <w:spacing w:line="360" w:lineRule="auto"/>
              <w:jc w:val="center"/>
              <w:rPr>
                <w:rFonts w:hint="eastAsia" w:ascii="宋体" w:hAnsi="宋体" w:eastAsia="宋体" w:cs="宋体"/>
                <w:color w:val="auto"/>
                <w:spacing w:val="-10"/>
                <w:szCs w:val="21"/>
                <w:highlight w:val="none"/>
              </w:rPr>
            </w:pPr>
            <w:r>
              <w:rPr>
                <w:rFonts w:hint="eastAsia" w:ascii="宋体" w:hAnsi="宋体" w:eastAsia="宋体" w:cs="宋体"/>
                <w:color w:val="auto"/>
                <w:spacing w:val="-10"/>
                <w:szCs w:val="21"/>
                <w:highlight w:val="none"/>
              </w:rPr>
              <w:t>单位</w:t>
            </w:r>
          </w:p>
        </w:tc>
        <w:tc>
          <w:tcPr>
            <w:tcW w:w="734" w:type="dxa"/>
            <w:tcBorders>
              <w:top w:val="single" w:color="auto" w:sz="4" w:space="0"/>
              <w:left w:val="single" w:color="auto" w:sz="4" w:space="0"/>
              <w:bottom w:val="single" w:color="auto" w:sz="4" w:space="0"/>
              <w:right w:val="single" w:color="auto" w:sz="4" w:space="0"/>
            </w:tcBorders>
            <w:noWrap/>
            <w:vAlign w:val="center"/>
          </w:tcPr>
          <w:p w14:paraId="165F5713">
            <w:pPr>
              <w:adjustRightInd w:val="0"/>
              <w:snapToGrid w:val="0"/>
              <w:spacing w:line="360" w:lineRule="auto"/>
              <w:jc w:val="center"/>
              <w:rPr>
                <w:rFonts w:hint="eastAsia" w:ascii="宋体" w:hAnsi="宋体" w:eastAsia="宋体" w:cs="宋体"/>
                <w:color w:val="auto"/>
                <w:spacing w:val="-10"/>
                <w:szCs w:val="21"/>
                <w:highlight w:val="none"/>
              </w:rPr>
            </w:pPr>
            <w:r>
              <w:rPr>
                <w:rFonts w:hint="eastAsia" w:ascii="宋体" w:hAnsi="宋体" w:eastAsia="宋体" w:cs="宋体"/>
                <w:color w:val="auto"/>
                <w:spacing w:val="-10"/>
                <w:szCs w:val="21"/>
                <w:highlight w:val="none"/>
              </w:rPr>
              <w:t>单价（元）</w:t>
            </w:r>
          </w:p>
        </w:tc>
        <w:tc>
          <w:tcPr>
            <w:tcW w:w="1110" w:type="dxa"/>
            <w:tcBorders>
              <w:top w:val="single" w:color="auto" w:sz="4" w:space="0"/>
              <w:left w:val="single" w:color="auto" w:sz="4" w:space="0"/>
              <w:bottom w:val="single" w:color="auto" w:sz="4" w:space="0"/>
              <w:right w:val="single" w:color="auto" w:sz="4" w:space="0"/>
            </w:tcBorders>
            <w:noWrap/>
            <w:vAlign w:val="center"/>
          </w:tcPr>
          <w:p w14:paraId="46C230A5">
            <w:pPr>
              <w:adjustRightInd w:val="0"/>
              <w:snapToGrid w:val="0"/>
              <w:spacing w:line="360" w:lineRule="auto"/>
              <w:jc w:val="center"/>
              <w:rPr>
                <w:rFonts w:hint="eastAsia" w:ascii="宋体" w:hAnsi="宋体" w:eastAsia="宋体" w:cs="宋体"/>
                <w:color w:val="auto"/>
                <w:spacing w:val="-10"/>
                <w:szCs w:val="21"/>
                <w:highlight w:val="none"/>
              </w:rPr>
            </w:pPr>
            <w:r>
              <w:rPr>
                <w:rFonts w:hint="eastAsia" w:ascii="宋体" w:hAnsi="宋体" w:eastAsia="宋体" w:cs="宋体"/>
                <w:color w:val="auto"/>
                <w:spacing w:val="-10"/>
                <w:szCs w:val="21"/>
                <w:highlight w:val="none"/>
              </w:rPr>
              <w:t>金额（元）</w:t>
            </w:r>
          </w:p>
        </w:tc>
      </w:tr>
      <w:tr w14:paraId="4E0B4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9" w:hRule="atLeast"/>
        </w:trPr>
        <w:tc>
          <w:tcPr>
            <w:tcW w:w="595" w:type="dxa"/>
            <w:tcBorders>
              <w:top w:val="single" w:color="auto" w:sz="4" w:space="0"/>
              <w:left w:val="single" w:color="auto" w:sz="4" w:space="0"/>
              <w:bottom w:val="single" w:color="auto" w:sz="4" w:space="0"/>
              <w:right w:val="single" w:color="auto" w:sz="4" w:space="0"/>
            </w:tcBorders>
            <w:noWrap/>
            <w:vAlign w:val="center"/>
          </w:tcPr>
          <w:p w14:paraId="2D1A6531">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300" w:type="dxa"/>
            <w:tcBorders>
              <w:top w:val="single" w:color="auto" w:sz="4" w:space="0"/>
              <w:left w:val="single" w:color="auto" w:sz="4" w:space="0"/>
              <w:bottom w:val="single" w:color="auto" w:sz="4" w:space="0"/>
              <w:right w:val="single" w:color="auto" w:sz="4" w:space="0"/>
            </w:tcBorders>
            <w:noWrap/>
            <w:vAlign w:val="center"/>
          </w:tcPr>
          <w:p w14:paraId="29C3413C">
            <w:pPr>
              <w:adjustRightInd w:val="0"/>
              <w:snapToGrid w:val="0"/>
              <w:spacing w:line="360" w:lineRule="auto"/>
              <w:jc w:val="center"/>
              <w:rPr>
                <w:rFonts w:hint="eastAsia" w:ascii="宋体" w:hAnsi="宋体" w:eastAsia="宋体" w:cs="宋体"/>
                <w:color w:val="auto"/>
                <w:szCs w:val="21"/>
                <w:highlight w:val="none"/>
              </w:rPr>
            </w:pPr>
          </w:p>
        </w:tc>
        <w:tc>
          <w:tcPr>
            <w:tcW w:w="1090" w:type="dxa"/>
            <w:tcBorders>
              <w:top w:val="single" w:color="auto" w:sz="4" w:space="0"/>
              <w:left w:val="single" w:color="auto" w:sz="4" w:space="0"/>
              <w:bottom w:val="single" w:color="auto" w:sz="4" w:space="0"/>
              <w:right w:val="single" w:color="auto" w:sz="4" w:space="0"/>
            </w:tcBorders>
            <w:noWrap/>
            <w:vAlign w:val="center"/>
          </w:tcPr>
          <w:p w14:paraId="7E96F64E">
            <w:pPr>
              <w:adjustRightInd w:val="0"/>
              <w:snapToGrid w:val="0"/>
              <w:spacing w:line="360" w:lineRule="auto"/>
              <w:jc w:val="center"/>
              <w:rPr>
                <w:rFonts w:hint="eastAsia" w:ascii="宋体" w:hAnsi="宋体" w:eastAsia="宋体" w:cs="宋体"/>
                <w:color w:val="auto"/>
                <w:szCs w:val="21"/>
                <w:highlight w:val="none"/>
              </w:rPr>
            </w:pPr>
          </w:p>
        </w:tc>
        <w:tc>
          <w:tcPr>
            <w:tcW w:w="1090" w:type="dxa"/>
            <w:tcBorders>
              <w:top w:val="single" w:color="auto" w:sz="4" w:space="0"/>
              <w:left w:val="single" w:color="auto" w:sz="4" w:space="0"/>
              <w:bottom w:val="single" w:color="auto" w:sz="4" w:space="0"/>
              <w:right w:val="single" w:color="auto" w:sz="4" w:space="0"/>
            </w:tcBorders>
            <w:noWrap/>
            <w:vAlign w:val="center"/>
          </w:tcPr>
          <w:p w14:paraId="49D5DF07">
            <w:pPr>
              <w:adjustRightInd w:val="0"/>
              <w:snapToGrid w:val="0"/>
              <w:spacing w:line="360" w:lineRule="auto"/>
              <w:jc w:val="center"/>
              <w:rPr>
                <w:rFonts w:hint="eastAsia" w:ascii="宋体" w:hAnsi="宋体" w:eastAsia="宋体" w:cs="宋体"/>
                <w:color w:val="auto"/>
                <w:szCs w:val="21"/>
                <w:highlight w:val="none"/>
              </w:rPr>
            </w:pPr>
          </w:p>
        </w:tc>
        <w:tc>
          <w:tcPr>
            <w:tcW w:w="912" w:type="dxa"/>
            <w:tcBorders>
              <w:top w:val="single" w:color="auto" w:sz="4" w:space="0"/>
              <w:left w:val="single" w:color="auto" w:sz="4" w:space="0"/>
              <w:bottom w:val="single" w:color="auto" w:sz="4" w:space="0"/>
              <w:right w:val="single" w:color="auto" w:sz="4" w:space="0"/>
            </w:tcBorders>
            <w:noWrap/>
            <w:vAlign w:val="center"/>
          </w:tcPr>
          <w:p w14:paraId="51004B5B">
            <w:pPr>
              <w:adjustRightInd w:val="0"/>
              <w:snapToGrid w:val="0"/>
              <w:spacing w:line="360" w:lineRule="auto"/>
              <w:jc w:val="center"/>
              <w:rPr>
                <w:rFonts w:hint="eastAsia" w:ascii="宋体" w:hAnsi="宋体" w:eastAsia="宋体" w:cs="宋体"/>
                <w:color w:val="auto"/>
                <w:szCs w:val="21"/>
                <w:highlight w:val="none"/>
              </w:rPr>
            </w:pPr>
          </w:p>
        </w:tc>
        <w:tc>
          <w:tcPr>
            <w:tcW w:w="908" w:type="dxa"/>
            <w:tcBorders>
              <w:top w:val="single" w:color="auto" w:sz="4" w:space="0"/>
              <w:left w:val="single" w:color="auto" w:sz="4" w:space="0"/>
              <w:bottom w:val="single" w:color="auto" w:sz="4" w:space="0"/>
              <w:right w:val="single" w:color="auto" w:sz="4" w:space="0"/>
            </w:tcBorders>
            <w:noWrap/>
            <w:vAlign w:val="center"/>
          </w:tcPr>
          <w:p w14:paraId="003CF3BB">
            <w:pPr>
              <w:adjustRightInd w:val="0"/>
              <w:snapToGrid w:val="0"/>
              <w:spacing w:line="360" w:lineRule="auto"/>
              <w:jc w:val="center"/>
              <w:rPr>
                <w:rFonts w:hint="eastAsia" w:ascii="宋体" w:hAnsi="宋体" w:eastAsia="宋体" w:cs="宋体"/>
                <w:color w:val="auto"/>
                <w:szCs w:val="21"/>
                <w:highlight w:val="none"/>
              </w:rPr>
            </w:pPr>
          </w:p>
        </w:tc>
        <w:tc>
          <w:tcPr>
            <w:tcW w:w="665" w:type="dxa"/>
            <w:tcBorders>
              <w:top w:val="single" w:color="auto" w:sz="4" w:space="0"/>
              <w:left w:val="single" w:color="auto" w:sz="4" w:space="0"/>
              <w:bottom w:val="single" w:color="auto" w:sz="4" w:space="0"/>
              <w:right w:val="single" w:color="auto" w:sz="4" w:space="0"/>
            </w:tcBorders>
            <w:noWrap/>
            <w:vAlign w:val="center"/>
          </w:tcPr>
          <w:p w14:paraId="04B61C4C">
            <w:pPr>
              <w:adjustRightInd w:val="0"/>
              <w:snapToGrid w:val="0"/>
              <w:spacing w:line="360" w:lineRule="auto"/>
              <w:jc w:val="center"/>
              <w:rPr>
                <w:rFonts w:hint="eastAsia" w:ascii="宋体" w:hAnsi="宋体" w:eastAsia="宋体" w:cs="宋体"/>
                <w:color w:val="auto"/>
                <w:szCs w:val="21"/>
                <w:highlight w:val="none"/>
              </w:rPr>
            </w:pPr>
          </w:p>
        </w:tc>
        <w:tc>
          <w:tcPr>
            <w:tcW w:w="711" w:type="dxa"/>
            <w:tcBorders>
              <w:top w:val="single" w:color="auto" w:sz="4" w:space="0"/>
              <w:left w:val="single" w:color="auto" w:sz="4" w:space="0"/>
              <w:bottom w:val="single" w:color="auto" w:sz="4" w:space="0"/>
              <w:right w:val="single" w:color="auto" w:sz="4" w:space="0"/>
            </w:tcBorders>
            <w:noWrap w:val="0"/>
            <w:vAlign w:val="center"/>
          </w:tcPr>
          <w:p w14:paraId="24A9BC24">
            <w:pPr>
              <w:adjustRightInd w:val="0"/>
              <w:snapToGrid w:val="0"/>
              <w:spacing w:line="360" w:lineRule="auto"/>
              <w:jc w:val="center"/>
              <w:rPr>
                <w:rFonts w:hint="eastAsia" w:ascii="宋体" w:hAnsi="宋体" w:eastAsia="宋体" w:cs="宋体"/>
                <w:color w:val="auto"/>
                <w:szCs w:val="21"/>
                <w:highlight w:val="none"/>
              </w:rPr>
            </w:pPr>
          </w:p>
        </w:tc>
        <w:tc>
          <w:tcPr>
            <w:tcW w:w="734" w:type="dxa"/>
            <w:tcBorders>
              <w:top w:val="single" w:color="auto" w:sz="4" w:space="0"/>
              <w:left w:val="single" w:color="auto" w:sz="4" w:space="0"/>
              <w:bottom w:val="single" w:color="auto" w:sz="4" w:space="0"/>
              <w:right w:val="single" w:color="auto" w:sz="4" w:space="0"/>
            </w:tcBorders>
            <w:noWrap/>
            <w:vAlign w:val="center"/>
          </w:tcPr>
          <w:p w14:paraId="71D7FEB6">
            <w:pPr>
              <w:adjustRightInd w:val="0"/>
              <w:snapToGrid w:val="0"/>
              <w:spacing w:line="360" w:lineRule="auto"/>
              <w:jc w:val="center"/>
              <w:rPr>
                <w:rFonts w:hint="eastAsia" w:ascii="宋体" w:hAnsi="宋体" w:eastAsia="宋体" w:cs="宋体"/>
                <w:color w:val="auto"/>
                <w:szCs w:val="21"/>
                <w:highlight w:val="none"/>
              </w:rPr>
            </w:pPr>
          </w:p>
        </w:tc>
        <w:tc>
          <w:tcPr>
            <w:tcW w:w="1110" w:type="dxa"/>
            <w:tcBorders>
              <w:top w:val="single" w:color="auto" w:sz="4" w:space="0"/>
              <w:left w:val="single" w:color="auto" w:sz="4" w:space="0"/>
              <w:bottom w:val="single" w:color="auto" w:sz="4" w:space="0"/>
              <w:right w:val="single" w:color="auto" w:sz="4" w:space="0"/>
            </w:tcBorders>
            <w:noWrap/>
            <w:vAlign w:val="center"/>
          </w:tcPr>
          <w:p w14:paraId="0C64E261">
            <w:pPr>
              <w:adjustRightInd w:val="0"/>
              <w:snapToGrid w:val="0"/>
              <w:spacing w:line="360" w:lineRule="auto"/>
              <w:jc w:val="center"/>
              <w:rPr>
                <w:rFonts w:hint="eastAsia" w:ascii="宋体" w:hAnsi="宋体" w:eastAsia="宋体" w:cs="宋体"/>
                <w:color w:val="auto"/>
                <w:szCs w:val="21"/>
                <w:highlight w:val="none"/>
              </w:rPr>
            </w:pPr>
          </w:p>
        </w:tc>
      </w:tr>
      <w:tr w14:paraId="505F5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9" w:hRule="atLeast"/>
        </w:trPr>
        <w:tc>
          <w:tcPr>
            <w:tcW w:w="595" w:type="dxa"/>
            <w:tcBorders>
              <w:top w:val="single" w:color="auto" w:sz="4" w:space="0"/>
              <w:left w:val="single" w:color="auto" w:sz="4" w:space="0"/>
              <w:bottom w:val="single" w:color="auto" w:sz="4" w:space="0"/>
              <w:right w:val="single" w:color="auto" w:sz="4" w:space="0"/>
            </w:tcBorders>
            <w:noWrap/>
            <w:vAlign w:val="center"/>
          </w:tcPr>
          <w:p w14:paraId="55D3307A">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300" w:type="dxa"/>
            <w:tcBorders>
              <w:top w:val="single" w:color="auto" w:sz="4" w:space="0"/>
              <w:left w:val="single" w:color="auto" w:sz="4" w:space="0"/>
              <w:bottom w:val="single" w:color="auto" w:sz="4" w:space="0"/>
              <w:right w:val="single" w:color="auto" w:sz="4" w:space="0"/>
            </w:tcBorders>
            <w:noWrap/>
            <w:vAlign w:val="center"/>
          </w:tcPr>
          <w:p w14:paraId="411DAEB6">
            <w:pPr>
              <w:adjustRightInd w:val="0"/>
              <w:snapToGrid w:val="0"/>
              <w:spacing w:line="360" w:lineRule="auto"/>
              <w:jc w:val="center"/>
              <w:rPr>
                <w:rFonts w:hint="eastAsia" w:ascii="宋体" w:hAnsi="宋体" w:eastAsia="宋体" w:cs="宋体"/>
                <w:color w:val="auto"/>
                <w:szCs w:val="21"/>
                <w:highlight w:val="none"/>
              </w:rPr>
            </w:pPr>
          </w:p>
        </w:tc>
        <w:tc>
          <w:tcPr>
            <w:tcW w:w="1090" w:type="dxa"/>
            <w:tcBorders>
              <w:top w:val="single" w:color="auto" w:sz="4" w:space="0"/>
              <w:left w:val="single" w:color="auto" w:sz="4" w:space="0"/>
              <w:bottom w:val="single" w:color="auto" w:sz="4" w:space="0"/>
              <w:right w:val="single" w:color="auto" w:sz="4" w:space="0"/>
            </w:tcBorders>
            <w:noWrap/>
            <w:vAlign w:val="center"/>
          </w:tcPr>
          <w:p w14:paraId="49F22128">
            <w:pPr>
              <w:adjustRightInd w:val="0"/>
              <w:snapToGrid w:val="0"/>
              <w:spacing w:line="360" w:lineRule="auto"/>
              <w:jc w:val="center"/>
              <w:rPr>
                <w:rFonts w:hint="eastAsia" w:ascii="宋体" w:hAnsi="宋体" w:eastAsia="宋体" w:cs="宋体"/>
                <w:color w:val="auto"/>
                <w:szCs w:val="21"/>
                <w:highlight w:val="none"/>
              </w:rPr>
            </w:pPr>
          </w:p>
        </w:tc>
        <w:tc>
          <w:tcPr>
            <w:tcW w:w="1090" w:type="dxa"/>
            <w:tcBorders>
              <w:top w:val="single" w:color="auto" w:sz="4" w:space="0"/>
              <w:left w:val="single" w:color="auto" w:sz="4" w:space="0"/>
              <w:bottom w:val="single" w:color="auto" w:sz="4" w:space="0"/>
              <w:right w:val="single" w:color="auto" w:sz="4" w:space="0"/>
            </w:tcBorders>
            <w:noWrap/>
            <w:vAlign w:val="center"/>
          </w:tcPr>
          <w:p w14:paraId="1D3D82B0">
            <w:pPr>
              <w:adjustRightInd w:val="0"/>
              <w:snapToGrid w:val="0"/>
              <w:spacing w:line="360" w:lineRule="auto"/>
              <w:jc w:val="center"/>
              <w:rPr>
                <w:rFonts w:hint="eastAsia" w:ascii="宋体" w:hAnsi="宋体" w:eastAsia="宋体" w:cs="宋体"/>
                <w:color w:val="auto"/>
                <w:szCs w:val="21"/>
                <w:highlight w:val="none"/>
              </w:rPr>
            </w:pPr>
          </w:p>
        </w:tc>
        <w:tc>
          <w:tcPr>
            <w:tcW w:w="912" w:type="dxa"/>
            <w:tcBorders>
              <w:top w:val="single" w:color="auto" w:sz="4" w:space="0"/>
              <w:left w:val="single" w:color="auto" w:sz="4" w:space="0"/>
              <w:bottom w:val="single" w:color="auto" w:sz="4" w:space="0"/>
              <w:right w:val="single" w:color="auto" w:sz="4" w:space="0"/>
            </w:tcBorders>
            <w:noWrap/>
            <w:vAlign w:val="center"/>
          </w:tcPr>
          <w:p w14:paraId="355A333D">
            <w:pPr>
              <w:adjustRightInd w:val="0"/>
              <w:snapToGrid w:val="0"/>
              <w:spacing w:line="360" w:lineRule="auto"/>
              <w:jc w:val="center"/>
              <w:rPr>
                <w:rFonts w:hint="eastAsia" w:ascii="宋体" w:hAnsi="宋体" w:eastAsia="宋体" w:cs="宋体"/>
                <w:color w:val="auto"/>
                <w:szCs w:val="21"/>
                <w:highlight w:val="none"/>
              </w:rPr>
            </w:pPr>
          </w:p>
        </w:tc>
        <w:tc>
          <w:tcPr>
            <w:tcW w:w="908" w:type="dxa"/>
            <w:tcBorders>
              <w:top w:val="single" w:color="auto" w:sz="4" w:space="0"/>
              <w:left w:val="single" w:color="auto" w:sz="4" w:space="0"/>
              <w:bottom w:val="single" w:color="auto" w:sz="4" w:space="0"/>
              <w:right w:val="single" w:color="auto" w:sz="4" w:space="0"/>
            </w:tcBorders>
            <w:noWrap/>
            <w:vAlign w:val="center"/>
          </w:tcPr>
          <w:p w14:paraId="76E0B7FC">
            <w:pPr>
              <w:adjustRightInd w:val="0"/>
              <w:snapToGrid w:val="0"/>
              <w:spacing w:line="360" w:lineRule="auto"/>
              <w:jc w:val="center"/>
              <w:rPr>
                <w:rFonts w:hint="eastAsia" w:ascii="宋体" w:hAnsi="宋体" w:eastAsia="宋体" w:cs="宋体"/>
                <w:color w:val="auto"/>
                <w:szCs w:val="21"/>
                <w:highlight w:val="none"/>
              </w:rPr>
            </w:pPr>
          </w:p>
        </w:tc>
        <w:tc>
          <w:tcPr>
            <w:tcW w:w="665" w:type="dxa"/>
            <w:tcBorders>
              <w:top w:val="single" w:color="auto" w:sz="4" w:space="0"/>
              <w:left w:val="single" w:color="auto" w:sz="4" w:space="0"/>
              <w:bottom w:val="single" w:color="auto" w:sz="4" w:space="0"/>
              <w:right w:val="single" w:color="auto" w:sz="4" w:space="0"/>
            </w:tcBorders>
            <w:noWrap/>
            <w:vAlign w:val="center"/>
          </w:tcPr>
          <w:p w14:paraId="44734844">
            <w:pPr>
              <w:adjustRightInd w:val="0"/>
              <w:snapToGrid w:val="0"/>
              <w:spacing w:line="360" w:lineRule="auto"/>
              <w:jc w:val="center"/>
              <w:rPr>
                <w:rFonts w:hint="eastAsia" w:ascii="宋体" w:hAnsi="宋体" w:eastAsia="宋体" w:cs="宋体"/>
                <w:color w:val="auto"/>
                <w:szCs w:val="21"/>
                <w:highlight w:val="none"/>
              </w:rPr>
            </w:pPr>
          </w:p>
        </w:tc>
        <w:tc>
          <w:tcPr>
            <w:tcW w:w="711" w:type="dxa"/>
            <w:tcBorders>
              <w:top w:val="single" w:color="auto" w:sz="4" w:space="0"/>
              <w:left w:val="single" w:color="auto" w:sz="4" w:space="0"/>
              <w:bottom w:val="single" w:color="auto" w:sz="4" w:space="0"/>
              <w:right w:val="single" w:color="auto" w:sz="4" w:space="0"/>
            </w:tcBorders>
            <w:noWrap w:val="0"/>
            <w:vAlign w:val="center"/>
          </w:tcPr>
          <w:p w14:paraId="33ABAE5C">
            <w:pPr>
              <w:adjustRightInd w:val="0"/>
              <w:snapToGrid w:val="0"/>
              <w:spacing w:line="360" w:lineRule="auto"/>
              <w:jc w:val="center"/>
              <w:rPr>
                <w:rFonts w:hint="eastAsia" w:ascii="宋体" w:hAnsi="宋体" w:eastAsia="宋体" w:cs="宋体"/>
                <w:color w:val="auto"/>
                <w:szCs w:val="21"/>
                <w:highlight w:val="none"/>
              </w:rPr>
            </w:pPr>
          </w:p>
        </w:tc>
        <w:tc>
          <w:tcPr>
            <w:tcW w:w="734" w:type="dxa"/>
            <w:tcBorders>
              <w:top w:val="single" w:color="auto" w:sz="4" w:space="0"/>
              <w:left w:val="single" w:color="auto" w:sz="4" w:space="0"/>
              <w:bottom w:val="single" w:color="auto" w:sz="4" w:space="0"/>
              <w:right w:val="single" w:color="auto" w:sz="4" w:space="0"/>
            </w:tcBorders>
            <w:noWrap/>
            <w:vAlign w:val="center"/>
          </w:tcPr>
          <w:p w14:paraId="5565F6AA">
            <w:pPr>
              <w:adjustRightInd w:val="0"/>
              <w:snapToGrid w:val="0"/>
              <w:spacing w:line="360" w:lineRule="auto"/>
              <w:jc w:val="center"/>
              <w:rPr>
                <w:rFonts w:hint="eastAsia" w:ascii="宋体" w:hAnsi="宋体" w:eastAsia="宋体" w:cs="宋体"/>
                <w:color w:val="auto"/>
                <w:szCs w:val="21"/>
                <w:highlight w:val="none"/>
              </w:rPr>
            </w:pPr>
          </w:p>
        </w:tc>
        <w:tc>
          <w:tcPr>
            <w:tcW w:w="1110" w:type="dxa"/>
            <w:tcBorders>
              <w:top w:val="single" w:color="auto" w:sz="4" w:space="0"/>
              <w:left w:val="single" w:color="auto" w:sz="4" w:space="0"/>
              <w:bottom w:val="single" w:color="auto" w:sz="4" w:space="0"/>
              <w:right w:val="single" w:color="auto" w:sz="4" w:space="0"/>
            </w:tcBorders>
            <w:noWrap/>
            <w:vAlign w:val="center"/>
          </w:tcPr>
          <w:p w14:paraId="630051F2">
            <w:pPr>
              <w:adjustRightInd w:val="0"/>
              <w:snapToGrid w:val="0"/>
              <w:spacing w:line="360" w:lineRule="auto"/>
              <w:jc w:val="center"/>
              <w:rPr>
                <w:rFonts w:hint="eastAsia" w:ascii="宋体" w:hAnsi="宋体" w:eastAsia="宋体" w:cs="宋体"/>
                <w:color w:val="auto"/>
                <w:szCs w:val="21"/>
                <w:highlight w:val="none"/>
              </w:rPr>
            </w:pPr>
          </w:p>
        </w:tc>
      </w:tr>
      <w:tr w14:paraId="4EE53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09" w:hRule="atLeast"/>
        </w:trPr>
        <w:tc>
          <w:tcPr>
            <w:tcW w:w="595" w:type="dxa"/>
            <w:tcBorders>
              <w:top w:val="single" w:color="auto" w:sz="4" w:space="0"/>
              <w:left w:val="single" w:color="auto" w:sz="4" w:space="0"/>
              <w:bottom w:val="single" w:color="auto" w:sz="4" w:space="0"/>
              <w:right w:val="single" w:color="auto" w:sz="4" w:space="0"/>
            </w:tcBorders>
            <w:noWrap/>
            <w:vAlign w:val="center"/>
          </w:tcPr>
          <w:p w14:paraId="38328E5F">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300" w:type="dxa"/>
            <w:tcBorders>
              <w:top w:val="single" w:color="auto" w:sz="4" w:space="0"/>
              <w:left w:val="single" w:color="auto" w:sz="4" w:space="0"/>
              <w:bottom w:val="single" w:color="auto" w:sz="4" w:space="0"/>
              <w:right w:val="single" w:color="auto" w:sz="4" w:space="0"/>
            </w:tcBorders>
            <w:noWrap/>
            <w:vAlign w:val="center"/>
          </w:tcPr>
          <w:p w14:paraId="5BFEA30C">
            <w:pPr>
              <w:adjustRightInd w:val="0"/>
              <w:snapToGrid w:val="0"/>
              <w:spacing w:line="360" w:lineRule="auto"/>
              <w:jc w:val="center"/>
              <w:rPr>
                <w:rFonts w:hint="eastAsia" w:ascii="宋体" w:hAnsi="宋体" w:eastAsia="宋体" w:cs="宋体"/>
                <w:color w:val="auto"/>
                <w:szCs w:val="21"/>
                <w:highlight w:val="none"/>
              </w:rPr>
            </w:pPr>
          </w:p>
        </w:tc>
        <w:tc>
          <w:tcPr>
            <w:tcW w:w="1090" w:type="dxa"/>
            <w:tcBorders>
              <w:top w:val="single" w:color="auto" w:sz="4" w:space="0"/>
              <w:left w:val="single" w:color="auto" w:sz="4" w:space="0"/>
              <w:bottom w:val="single" w:color="auto" w:sz="4" w:space="0"/>
              <w:right w:val="single" w:color="auto" w:sz="4" w:space="0"/>
            </w:tcBorders>
            <w:noWrap/>
            <w:vAlign w:val="center"/>
          </w:tcPr>
          <w:p w14:paraId="52180590">
            <w:pPr>
              <w:adjustRightInd w:val="0"/>
              <w:snapToGrid w:val="0"/>
              <w:spacing w:line="360" w:lineRule="auto"/>
              <w:jc w:val="center"/>
              <w:rPr>
                <w:rFonts w:hint="eastAsia" w:ascii="宋体" w:hAnsi="宋体" w:eastAsia="宋体" w:cs="宋体"/>
                <w:color w:val="auto"/>
                <w:szCs w:val="21"/>
                <w:highlight w:val="none"/>
              </w:rPr>
            </w:pPr>
          </w:p>
        </w:tc>
        <w:tc>
          <w:tcPr>
            <w:tcW w:w="1090" w:type="dxa"/>
            <w:tcBorders>
              <w:top w:val="single" w:color="auto" w:sz="4" w:space="0"/>
              <w:left w:val="single" w:color="auto" w:sz="4" w:space="0"/>
              <w:bottom w:val="single" w:color="auto" w:sz="4" w:space="0"/>
              <w:right w:val="single" w:color="auto" w:sz="4" w:space="0"/>
            </w:tcBorders>
            <w:noWrap/>
            <w:vAlign w:val="center"/>
          </w:tcPr>
          <w:p w14:paraId="0B913738">
            <w:pPr>
              <w:adjustRightInd w:val="0"/>
              <w:snapToGrid w:val="0"/>
              <w:spacing w:line="360" w:lineRule="auto"/>
              <w:jc w:val="center"/>
              <w:rPr>
                <w:rFonts w:hint="eastAsia" w:ascii="宋体" w:hAnsi="宋体" w:eastAsia="宋体" w:cs="宋体"/>
                <w:color w:val="auto"/>
                <w:szCs w:val="21"/>
                <w:highlight w:val="none"/>
              </w:rPr>
            </w:pPr>
          </w:p>
        </w:tc>
        <w:tc>
          <w:tcPr>
            <w:tcW w:w="912" w:type="dxa"/>
            <w:tcBorders>
              <w:top w:val="single" w:color="auto" w:sz="4" w:space="0"/>
              <w:left w:val="single" w:color="auto" w:sz="4" w:space="0"/>
              <w:bottom w:val="single" w:color="auto" w:sz="4" w:space="0"/>
              <w:right w:val="single" w:color="auto" w:sz="4" w:space="0"/>
            </w:tcBorders>
            <w:noWrap/>
            <w:vAlign w:val="center"/>
          </w:tcPr>
          <w:p w14:paraId="62357B03">
            <w:pPr>
              <w:adjustRightInd w:val="0"/>
              <w:snapToGrid w:val="0"/>
              <w:spacing w:line="360" w:lineRule="auto"/>
              <w:jc w:val="center"/>
              <w:rPr>
                <w:rFonts w:hint="eastAsia" w:ascii="宋体" w:hAnsi="宋体" w:eastAsia="宋体" w:cs="宋体"/>
                <w:color w:val="auto"/>
                <w:szCs w:val="21"/>
                <w:highlight w:val="none"/>
              </w:rPr>
            </w:pPr>
          </w:p>
        </w:tc>
        <w:tc>
          <w:tcPr>
            <w:tcW w:w="908" w:type="dxa"/>
            <w:tcBorders>
              <w:top w:val="single" w:color="auto" w:sz="4" w:space="0"/>
              <w:left w:val="single" w:color="auto" w:sz="4" w:space="0"/>
              <w:bottom w:val="single" w:color="auto" w:sz="4" w:space="0"/>
              <w:right w:val="single" w:color="auto" w:sz="4" w:space="0"/>
            </w:tcBorders>
            <w:noWrap/>
            <w:vAlign w:val="center"/>
          </w:tcPr>
          <w:p w14:paraId="5AC1EEE7">
            <w:pPr>
              <w:adjustRightInd w:val="0"/>
              <w:snapToGrid w:val="0"/>
              <w:spacing w:line="360" w:lineRule="auto"/>
              <w:jc w:val="center"/>
              <w:rPr>
                <w:rFonts w:hint="eastAsia" w:ascii="宋体" w:hAnsi="宋体" w:eastAsia="宋体" w:cs="宋体"/>
                <w:color w:val="auto"/>
                <w:szCs w:val="21"/>
                <w:highlight w:val="none"/>
              </w:rPr>
            </w:pPr>
          </w:p>
        </w:tc>
        <w:tc>
          <w:tcPr>
            <w:tcW w:w="665" w:type="dxa"/>
            <w:tcBorders>
              <w:top w:val="single" w:color="auto" w:sz="4" w:space="0"/>
              <w:left w:val="single" w:color="auto" w:sz="4" w:space="0"/>
              <w:bottom w:val="single" w:color="auto" w:sz="4" w:space="0"/>
              <w:right w:val="single" w:color="auto" w:sz="4" w:space="0"/>
            </w:tcBorders>
            <w:noWrap/>
            <w:vAlign w:val="center"/>
          </w:tcPr>
          <w:p w14:paraId="78664CF3">
            <w:pPr>
              <w:adjustRightInd w:val="0"/>
              <w:snapToGrid w:val="0"/>
              <w:spacing w:line="360" w:lineRule="auto"/>
              <w:jc w:val="center"/>
              <w:rPr>
                <w:rFonts w:hint="eastAsia" w:ascii="宋体" w:hAnsi="宋体" w:eastAsia="宋体" w:cs="宋体"/>
                <w:color w:val="auto"/>
                <w:szCs w:val="21"/>
                <w:highlight w:val="none"/>
              </w:rPr>
            </w:pPr>
          </w:p>
        </w:tc>
        <w:tc>
          <w:tcPr>
            <w:tcW w:w="711" w:type="dxa"/>
            <w:tcBorders>
              <w:top w:val="single" w:color="auto" w:sz="4" w:space="0"/>
              <w:left w:val="single" w:color="auto" w:sz="4" w:space="0"/>
              <w:bottom w:val="single" w:color="auto" w:sz="4" w:space="0"/>
              <w:right w:val="single" w:color="auto" w:sz="4" w:space="0"/>
            </w:tcBorders>
            <w:noWrap w:val="0"/>
            <w:vAlign w:val="center"/>
          </w:tcPr>
          <w:p w14:paraId="5A5CD8F4">
            <w:pPr>
              <w:adjustRightInd w:val="0"/>
              <w:snapToGrid w:val="0"/>
              <w:spacing w:line="360" w:lineRule="auto"/>
              <w:jc w:val="center"/>
              <w:rPr>
                <w:rFonts w:hint="eastAsia" w:ascii="宋体" w:hAnsi="宋体" w:eastAsia="宋体" w:cs="宋体"/>
                <w:color w:val="auto"/>
                <w:szCs w:val="21"/>
                <w:highlight w:val="none"/>
              </w:rPr>
            </w:pPr>
          </w:p>
        </w:tc>
        <w:tc>
          <w:tcPr>
            <w:tcW w:w="734" w:type="dxa"/>
            <w:tcBorders>
              <w:top w:val="single" w:color="auto" w:sz="4" w:space="0"/>
              <w:left w:val="single" w:color="auto" w:sz="4" w:space="0"/>
              <w:bottom w:val="single" w:color="auto" w:sz="4" w:space="0"/>
              <w:right w:val="single" w:color="auto" w:sz="4" w:space="0"/>
            </w:tcBorders>
            <w:noWrap/>
            <w:vAlign w:val="center"/>
          </w:tcPr>
          <w:p w14:paraId="1D9D6B7C">
            <w:pPr>
              <w:adjustRightInd w:val="0"/>
              <w:snapToGrid w:val="0"/>
              <w:spacing w:line="360" w:lineRule="auto"/>
              <w:jc w:val="center"/>
              <w:rPr>
                <w:rFonts w:hint="eastAsia" w:ascii="宋体" w:hAnsi="宋体" w:eastAsia="宋体" w:cs="宋体"/>
                <w:color w:val="auto"/>
                <w:szCs w:val="21"/>
                <w:highlight w:val="none"/>
              </w:rPr>
            </w:pPr>
          </w:p>
        </w:tc>
        <w:tc>
          <w:tcPr>
            <w:tcW w:w="1110" w:type="dxa"/>
            <w:tcBorders>
              <w:top w:val="single" w:color="auto" w:sz="4" w:space="0"/>
              <w:left w:val="single" w:color="auto" w:sz="4" w:space="0"/>
              <w:bottom w:val="single" w:color="auto" w:sz="4" w:space="0"/>
              <w:right w:val="single" w:color="auto" w:sz="4" w:space="0"/>
            </w:tcBorders>
            <w:noWrap/>
            <w:vAlign w:val="center"/>
          </w:tcPr>
          <w:p w14:paraId="77E8CA41">
            <w:pPr>
              <w:adjustRightInd w:val="0"/>
              <w:snapToGrid w:val="0"/>
              <w:spacing w:line="360" w:lineRule="auto"/>
              <w:jc w:val="center"/>
              <w:rPr>
                <w:rFonts w:hint="eastAsia" w:ascii="宋体" w:hAnsi="宋体" w:eastAsia="宋体" w:cs="宋体"/>
                <w:color w:val="auto"/>
                <w:szCs w:val="21"/>
                <w:highlight w:val="none"/>
              </w:rPr>
            </w:pPr>
          </w:p>
        </w:tc>
      </w:tr>
      <w:tr w14:paraId="12A17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trPr>
        <w:tc>
          <w:tcPr>
            <w:tcW w:w="9115" w:type="dxa"/>
            <w:gridSpan w:val="10"/>
            <w:tcBorders>
              <w:top w:val="single" w:color="auto" w:sz="4" w:space="0"/>
              <w:left w:val="single" w:color="auto" w:sz="4" w:space="0"/>
              <w:bottom w:val="single" w:color="auto" w:sz="4" w:space="0"/>
              <w:right w:val="single" w:color="auto" w:sz="4" w:space="0"/>
            </w:tcBorders>
            <w:noWrap/>
            <w:vAlign w:val="center"/>
          </w:tcPr>
          <w:p w14:paraId="682A946E">
            <w:pPr>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合计金额(人民币):（大写）：</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（小写） ¥</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p>
        </w:tc>
      </w:tr>
    </w:tbl>
    <w:p w14:paraId="2C79E0D1">
      <w:pPr>
        <w:snapToGrid w:val="0"/>
        <w:spacing w:line="360" w:lineRule="auto"/>
        <w:ind w:firstLine="422" w:firstLineChars="20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第二条　标的质量</w:t>
      </w:r>
    </w:p>
    <w:p w14:paraId="4EA5D51E">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1.乙方所提供标的的名称、商标品牌、生产厂家、规格型号、技术参数等内容必须与乙方投标文件及有关承诺相一致，且满足项目实施要求。</w:t>
      </w:r>
    </w:p>
    <w:p w14:paraId="12474D33">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2.乙方所提供的货物必须是全新、未使用的原装产品，且在正常安装、使用和保养条件下，其使用寿命期内各项指标均达到投标文件的承诺。</w:t>
      </w:r>
    </w:p>
    <w:p w14:paraId="31263D76">
      <w:pPr>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乙方在交付产品后，甲方在任何时间如发现乙方所交付的产品不符合甲方招标文件要求或乙方在投标文件中的承诺，乙方应当提供相关证明材料或鉴定报告予以作证，乙方无法证明其交付的产品符合招标文件或投标文件的，按质量不合格处理。</w:t>
      </w:r>
    </w:p>
    <w:p w14:paraId="0D907EB7">
      <w:pPr>
        <w:snapToGrid w:val="0"/>
        <w:spacing w:line="360" w:lineRule="auto"/>
        <w:ind w:firstLine="422" w:firstLineChars="20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第三条　</w:t>
      </w:r>
      <w:r>
        <w:rPr>
          <w:rFonts w:hint="eastAsia" w:ascii="宋体" w:hAnsi="宋体" w:eastAsia="宋体" w:cs="宋体"/>
          <w:color w:val="auto"/>
          <w:szCs w:val="21"/>
          <w:highlight w:val="none"/>
        </w:rPr>
        <w:t>履行时间（期限）、地点和方式</w:t>
      </w:r>
    </w:p>
    <w:p w14:paraId="539CCAF0">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1.履行时间（期限）：自签订合同之日起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个日历日内安装调试合格完毕并交付使用。</w:t>
      </w:r>
    </w:p>
    <w:p w14:paraId="0D214E1F">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2.履行地点：广西桂林市内甲方指定地点。</w:t>
      </w:r>
    </w:p>
    <w:p w14:paraId="68840091">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3.履行方式:</w:t>
      </w:r>
    </w:p>
    <w:p w14:paraId="7FAE7AFA">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（1）乙方负责货物运输，货物的运输方式：</w:t>
      </w:r>
      <w:r>
        <w:rPr>
          <w:rFonts w:hint="eastAsia" w:ascii="宋体" w:hAnsi="宋体" w:eastAsia="宋体" w:cs="宋体"/>
          <w:color w:val="auto"/>
          <w:szCs w:val="21"/>
          <w:highlight w:val="none"/>
          <w:u w:val="single"/>
        </w:rPr>
        <w:t xml:space="preserve">  不限  </w:t>
      </w:r>
      <w:r>
        <w:rPr>
          <w:rFonts w:hint="eastAsia" w:ascii="宋体" w:hAnsi="宋体" w:eastAsia="宋体" w:cs="宋体"/>
          <w:color w:val="auto"/>
          <w:szCs w:val="21"/>
          <w:highlight w:val="none"/>
        </w:rPr>
        <w:t>。</w:t>
      </w:r>
    </w:p>
    <w:p w14:paraId="6A344237">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（2）交货方式：</w:t>
      </w:r>
    </w:p>
    <w:p w14:paraId="2C64A8FC">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☑乙方将货物送到甲方指定地点。</w:t>
      </w:r>
    </w:p>
    <w:p w14:paraId="033E0607">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□甲方自行到乙方指定地点提货。</w:t>
      </w:r>
    </w:p>
    <w:p w14:paraId="6DCF419B">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049DBD81">
      <w:pPr>
        <w:snapToGrid w:val="0"/>
        <w:spacing w:line="360" w:lineRule="auto"/>
        <w:ind w:firstLine="420" w:firstLineChars="200"/>
        <w:rPr>
          <w:rFonts w:ascii="Arial" w:hAnsi="Arial" w:cs="Arial"/>
          <w:color w:val="auto"/>
          <w:szCs w:val="21"/>
          <w:highlight w:val="none"/>
        </w:rPr>
      </w:pPr>
      <w:r>
        <w:rPr>
          <w:rFonts w:ascii="Arial" w:hAnsi="Arial" w:cs="Arial"/>
          <w:color w:val="auto"/>
          <w:highlight w:val="none"/>
        </w:rPr>
        <w:t>（3）卸货费用由乙方承担。</w:t>
      </w:r>
    </w:p>
    <w:p w14:paraId="6317E6BE">
      <w:pPr>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第四条　包装方式及运输</w:t>
      </w:r>
    </w:p>
    <w:p w14:paraId="6693F174">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1.乙方提供的货物均应按投标文件承诺的包装要求进行包装及运输,要求为原厂原包装，包装完好完整、无破损、未开封。国家对包装及运输有相关强制性标准或要求的，乙方应当执行。</w:t>
      </w:r>
    </w:p>
    <w:p w14:paraId="05642EFD">
      <w:pPr>
        <w:pStyle w:val="15"/>
        <w:snapToGrid w:val="0"/>
        <w:spacing w:line="360" w:lineRule="auto"/>
        <w:ind w:firstLine="420" w:firstLineChars="200"/>
        <w:rPr>
          <w:rFonts w:hint="eastAsia" w:hAnsi="宋体" w:eastAsia="宋体" w:cs="宋体"/>
          <w:color w:val="auto"/>
          <w:sz w:val="21"/>
          <w:highlight w:val="none"/>
          <w:lang w:eastAsia="zh-CN"/>
        </w:rPr>
      </w:pPr>
      <w:r>
        <w:rPr>
          <w:rFonts w:hint="eastAsia" w:hAnsi="宋体" w:eastAsia="宋体" w:cs="宋体"/>
          <w:color w:val="auto"/>
          <w:sz w:val="21"/>
          <w:highlight w:val="none"/>
        </w:rPr>
        <w:t>2.乙方的包装及运输应综合考虑运输距离、防水、防潮、防震、防锈和防破损装卸等要求，以保证货物安全、完好运达甲方指定地点。国家对包装及运输有相关强制性标准或要求的，乙方应当执行</w:t>
      </w:r>
      <w:r>
        <w:rPr>
          <w:rFonts w:hint="eastAsia" w:hAnsi="宋体" w:eastAsia="宋体" w:cs="宋体"/>
          <w:color w:val="auto"/>
          <w:sz w:val="21"/>
          <w:highlight w:val="none"/>
          <w:lang w:eastAsia="zh-CN"/>
        </w:rPr>
        <w:t>。</w:t>
      </w:r>
    </w:p>
    <w:p w14:paraId="454FF81C">
      <w:pPr>
        <w:pStyle w:val="12"/>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3.货物的使用说明书（货物属于进口产品的，供货时应同时附上中文使用说明书）、质量检验证明书、质量合格证、随配附件和工具以及清单一并附于货物包装内。</w:t>
      </w:r>
    </w:p>
    <w:p w14:paraId="3CC2561F">
      <w:pPr>
        <w:pStyle w:val="15"/>
        <w:snapToGrid w:val="0"/>
        <w:spacing w:line="360" w:lineRule="auto"/>
        <w:ind w:firstLine="420" w:firstLineChars="200"/>
        <w:rPr>
          <w:rFonts w:hint="eastAsia" w:hAnsi="宋体" w:eastAsia="宋体" w:cs="宋体"/>
          <w:color w:val="auto"/>
          <w:sz w:val="21"/>
          <w:highlight w:val="none"/>
          <w:lang w:eastAsia="zh-CN"/>
        </w:rPr>
      </w:pPr>
      <w:r>
        <w:rPr>
          <w:rFonts w:hint="eastAsia" w:hAnsi="宋体" w:eastAsia="宋体" w:cs="宋体"/>
          <w:color w:val="auto"/>
          <w:sz w:val="21"/>
          <w:highlight w:val="none"/>
          <w:lang w:eastAsia="zh-CN"/>
        </w:rPr>
        <w:t>4.</w:t>
      </w:r>
      <w:r>
        <w:rPr>
          <w:rFonts w:hint="eastAsia" w:hAnsi="宋体" w:eastAsia="宋体" w:cs="宋体"/>
          <w:color w:val="auto"/>
          <w:sz w:val="21"/>
          <w:highlight w:val="none"/>
        </w:rPr>
        <w:t>产品（含包装）运抵甲方指定交付地点</w:t>
      </w:r>
      <w:r>
        <w:rPr>
          <w:rFonts w:hint="eastAsia" w:hAnsi="宋体" w:cs="宋体"/>
          <w:color w:val="auto"/>
          <w:sz w:val="21"/>
          <w:highlight w:val="none"/>
          <w:lang w:val="en-US" w:eastAsia="zh-CN"/>
        </w:rPr>
        <w:t>并经甲方验收合格</w:t>
      </w:r>
      <w:r>
        <w:rPr>
          <w:rFonts w:hint="eastAsia" w:hAnsi="宋体" w:eastAsia="宋体" w:cs="宋体"/>
          <w:color w:val="auto"/>
          <w:sz w:val="21"/>
          <w:highlight w:val="none"/>
        </w:rPr>
        <w:t>前发生损坏及相关风险，相关损失由乙方自行承担</w:t>
      </w:r>
      <w:r>
        <w:rPr>
          <w:rFonts w:hint="eastAsia" w:hAnsi="宋体" w:eastAsia="宋体" w:cs="宋体"/>
          <w:color w:val="auto"/>
          <w:sz w:val="21"/>
          <w:highlight w:val="none"/>
          <w:lang w:eastAsia="zh-CN"/>
        </w:rPr>
        <w:t>。</w:t>
      </w:r>
    </w:p>
    <w:p w14:paraId="2B801D92">
      <w:pPr>
        <w:pStyle w:val="15"/>
        <w:snapToGrid w:val="0"/>
        <w:spacing w:line="360" w:lineRule="auto"/>
        <w:ind w:firstLine="420" w:firstLineChars="200"/>
        <w:rPr>
          <w:rFonts w:hint="eastAsia" w:hAnsi="宋体" w:eastAsia="宋体" w:cs="宋体"/>
          <w:color w:val="auto"/>
          <w:sz w:val="21"/>
          <w:highlight w:val="none"/>
        </w:rPr>
      </w:pPr>
      <w:r>
        <w:rPr>
          <w:rFonts w:hint="eastAsia" w:hAnsi="宋体" w:eastAsia="宋体" w:cs="宋体"/>
          <w:color w:val="auto"/>
          <w:sz w:val="21"/>
          <w:highlight w:val="none"/>
        </w:rPr>
        <w:t>5.乙方负责货物运输，货物运输合理损耗及计算方法：</w:t>
      </w:r>
      <w:r>
        <w:rPr>
          <w:rFonts w:hint="eastAsia" w:hAnsi="宋体" w:eastAsia="宋体" w:cs="宋体"/>
          <w:color w:val="auto"/>
          <w:sz w:val="21"/>
          <w:highlight w:val="none"/>
          <w:u w:val="single"/>
        </w:rPr>
        <w:t>由乙方负责</w:t>
      </w:r>
      <w:r>
        <w:rPr>
          <w:rFonts w:hint="eastAsia" w:hAnsi="宋体" w:eastAsia="宋体" w:cs="宋体"/>
          <w:color w:val="auto"/>
          <w:sz w:val="21"/>
          <w:highlight w:val="none"/>
        </w:rPr>
        <w:t>。</w:t>
      </w:r>
    </w:p>
    <w:p w14:paraId="67056C35">
      <w:pPr>
        <w:pStyle w:val="15"/>
        <w:snapToGrid w:val="0"/>
        <w:spacing w:line="360" w:lineRule="auto"/>
        <w:ind w:firstLine="420" w:firstLineChars="200"/>
        <w:rPr>
          <w:rFonts w:hint="eastAsia" w:hAnsi="宋体" w:eastAsia="宋体" w:cs="宋体"/>
          <w:color w:val="auto"/>
          <w:sz w:val="21"/>
          <w:highlight w:val="none"/>
        </w:rPr>
      </w:pPr>
      <w:r>
        <w:rPr>
          <w:rFonts w:hint="eastAsia" w:hAnsi="宋体" w:eastAsia="宋体" w:cs="宋体"/>
          <w:color w:val="auto"/>
          <w:sz w:val="21"/>
          <w:highlight w:val="none"/>
        </w:rPr>
        <w:t>6.乙方在货物发运手续办理完毕后二十四小时内或货到甲方四十八小时前通知甲方，以准备接货。</w:t>
      </w:r>
    </w:p>
    <w:p w14:paraId="4F68E2E4">
      <w:pPr>
        <w:pStyle w:val="15"/>
        <w:snapToGrid w:val="0"/>
        <w:spacing w:line="360" w:lineRule="auto"/>
        <w:ind w:firstLine="420" w:firstLineChars="200"/>
        <w:rPr>
          <w:rFonts w:hint="eastAsia" w:hAnsi="宋体" w:eastAsia="宋体" w:cs="宋体"/>
          <w:color w:val="auto"/>
          <w:sz w:val="21"/>
          <w:highlight w:val="none"/>
        </w:rPr>
      </w:pPr>
      <w:r>
        <w:rPr>
          <w:rFonts w:hint="eastAsia" w:hAnsi="宋体" w:eastAsia="宋体" w:cs="宋体"/>
          <w:color w:val="auto"/>
          <w:sz w:val="21"/>
          <w:highlight w:val="none"/>
        </w:rPr>
        <w:t>7.乙方应将所提供货物的装箱清单、用户手册、原厂保修卡、随机资料、工具和备品、备件等一并交付给甲方，如有缺失应及时补齐，否则视为逾期交货。</w:t>
      </w:r>
    </w:p>
    <w:p w14:paraId="0A0EDAA6">
      <w:pPr>
        <w:snapToGrid w:val="0"/>
        <w:spacing w:line="360" w:lineRule="auto"/>
        <w:ind w:firstLine="422" w:firstLineChars="20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第五条　安装和培训</w:t>
      </w:r>
    </w:p>
    <w:p w14:paraId="4079C75B">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1.安装时间及地点：</w:t>
      </w:r>
      <w:r>
        <w:rPr>
          <w:rFonts w:hint="eastAsia" w:ascii="宋体" w:hAnsi="宋体" w:eastAsia="宋体" w:cs="宋体"/>
          <w:color w:val="auto"/>
          <w:szCs w:val="21"/>
          <w:highlight w:val="none"/>
          <w:u w:val="single"/>
        </w:rPr>
        <w:t>甲方指定的时间和地点</w:t>
      </w:r>
      <w:r>
        <w:rPr>
          <w:rFonts w:hint="eastAsia" w:ascii="宋体" w:hAnsi="宋体" w:eastAsia="宋体" w:cs="宋体"/>
          <w:color w:val="auto"/>
          <w:szCs w:val="21"/>
          <w:highlight w:val="none"/>
        </w:rPr>
        <w:t>。</w:t>
      </w:r>
    </w:p>
    <w:p w14:paraId="15252658">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2.安装要求：</w:t>
      </w:r>
      <w:r>
        <w:rPr>
          <w:rFonts w:hint="eastAsia" w:ascii="宋体" w:hAnsi="宋体" w:eastAsia="宋体" w:cs="宋体"/>
          <w:color w:val="auto"/>
          <w:szCs w:val="21"/>
          <w:highlight w:val="none"/>
          <w:u w:val="single"/>
        </w:rPr>
        <w:t>乙方应当按招标文件要求或甲方要求进行安装。</w:t>
      </w:r>
    </w:p>
    <w:p w14:paraId="52681056">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3.甲方应提供必要安装条件（如场地、电源、水源等）。</w:t>
      </w:r>
    </w:p>
    <w:p w14:paraId="40F7C10E">
      <w:pPr>
        <w:pStyle w:val="12"/>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乙方应当按照投标文件的承诺负责对甲方有关人员进行培训，使甲方使用人员熟练掌握设备的全部功能，培训的相关费用包括在合同价款中，甲方不再另行支付。培训时间：货物安装调试合格完毕并交付使用后的</w:t>
      </w:r>
      <w:r>
        <w:rPr>
          <w:rFonts w:hint="eastAsia" w:ascii="宋体" w:hAnsi="宋体" w:cs="宋体"/>
          <w:color w:val="auto"/>
          <w:sz w:val="21"/>
          <w:szCs w:val="21"/>
          <w:highlight w:val="none"/>
          <w:u w:val="single"/>
          <w:lang w:val="en-US" w:eastAsia="zh-CN"/>
        </w:rPr>
        <w:t>1</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天内</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具体时间由甲方指定</w:t>
      </w:r>
      <w:r>
        <w:rPr>
          <w:rFonts w:hint="eastAsia" w:ascii="宋体" w:hAnsi="宋体" w:eastAsia="宋体" w:cs="宋体"/>
          <w:color w:val="auto"/>
          <w:sz w:val="21"/>
          <w:szCs w:val="21"/>
          <w:highlight w:val="none"/>
        </w:rPr>
        <w:t>；培训地点：</w:t>
      </w:r>
      <w:r>
        <w:rPr>
          <w:rFonts w:hint="eastAsia" w:ascii="宋体" w:hAnsi="宋体" w:eastAsia="宋体" w:cs="宋体"/>
          <w:color w:val="auto"/>
          <w:sz w:val="21"/>
          <w:szCs w:val="21"/>
          <w:highlight w:val="none"/>
          <w:u w:val="single"/>
        </w:rPr>
        <w:t>广西桂林市内采购人指定地点</w:t>
      </w:r>
      <w:r>
        <w:rPr>
          <w:rFonts w:hint="eastAsia" w:ascii="宋体" w:hAnsi="宋体" w:eastAsia="宋体" w:cs="宋体"/>
          <w:color w:val="auto"/>
          <w:sz w:val="21"/>
          <w:szCs w:val="21"/>
          <w:highlight w:val="none"/>
        </w:rPr>
        <w:t>。</w:t>
      </w:r>
    </w:p>
    <w:p w14:paraId="32047D59">
      <w:pPr>
        <w:pStyle w:val="12"/>
        <w:spacing w:line="360" w:lineRule="auto"/>
        <w:ind w:firstLine="420" w:firstLineChars="20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5.乙方在安装、调试以及培训期间，应采取严格安全保障措施，承担安全保障义务，安装调试以及培训期间发生的人身或财产损害事件，一切责任与法律后果均由乙方自行承担，给甲方造成损失的，乙方应当予以全部赔偿。</w:t>
      </w:r>
    </w:p>
    <w:p w14:paraId="195C050E">
      <w:pPr>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第六条　合同价款及支付</w:t>
      </w:r>
    </w:p>
    <w:p w14:paraId="2FC46BA9">
      <w:pPr>
        <w:pStyle w:val="15"/>
        <w:snapToGrid w:val="0"/>
        <w:spacing w:line="360" w:lineRule="auto"/>
        <w:ind w:firstLine="420" w:firstLineChars="200"/>
        <w:rPr>
          <w:rFonts w:hint="eastAsia" w:hAnsi="宋体" w:eastAsia="宋体" w:cs="宋体"/>
          <w:color w:val="auto"/>
          <w:sz w:val="21"/>
          <w:highlight w:val="none"/>
          <w:lang w:eastAsia="zh-CN"/>
        </w:rPr>
      </w:pPr>
      <w:r>
        <w:rPr>
          <w:rFonts w:hint="eastAsia" w:hAnsi="宋体" w:eastAsia="宋体" w:cs="宋体"/>
          <w:color w:val="auto"/>
          <w:sz w:val="21"/>
          <w:highlight w:val="none"/>
          <w:lang w:eastAsia="zh-CN"/>
        </w:rPr>
        <w:t>1.本合同以人民币付款。</w:t>
      </w:r>
    </w:p>
    <w:p w14:paraId="291814DF">
      <w:pPr>
        <w:pStyle w:val="15"/>
        <w:snapToGrid w:val="0"/>
        <w:spacing w:line="360" w:lineRule="auto"/>
        <w:ind w:firstLine="420" w:firstLineChars="200"/>
        <w:rPr>
          <w:rFonts w:hint="eastAsia" w:hAnsi="宋体" w:eastAsia="宋体" w:cs="宋体"/>
          <w:color w:val="auto"/>
          <w:highlight w:val="none"/>
          <w:lang w:eastAsia="zh-CN"/>
        </w:rPr>
      </w:pPr>
      <w:r>
        <w:rPr>
          <w:rFonts w:hint="eastAsia" w:hAnsi="宋体" w:eastAsia="宋体" w:cs="宋体"/>
          <w:color w:val="auto"/>
          <w:sz w:val="21"/>
          <w:highlight w:val="none"/>
          <w:lang w:eastAsia="zh-CN"/>
        </w:rPr>
        <w:t>2</w:t>
      </w:r>
      <w:r>
        <w:rPr>
          <w:rFonts w:hint="eastAsia" w:hAnsi="宋体" w:eastAsia="宋体" w:cs="宋体"/>
          <w:color w:val="auto"/>
          <w:sz w:val="21"/>
          <w:highlight w:val="none"/>
        </w:rPr>
        <w:t>.合同价</w:t>
      </w:r>
      <w:r>
        <w:rPr>
          <w:rFonts w:hint="eastAsia" w:ascii="宋体" w:hAnsi="宋体" w:eastAsia="宋体" w:cs="宋体"/>
          <w:color w:val="auto"/>
          <w:sz w:val="21"/>
          <w:highlight w:val="none"/>
        </w:rPr>
        <w:t>款(人民币):（大写）</w:t>
      </w:r>
      <w:r>
        <w:rPr>
          <w:rFonts w:hint="eastAsia" w:hAnsi="宋体" w:eastAsia="宋体" w:cs="宋体"/>
          <w:color w:val="auto"/>
          <w:highlight w:val="none"/>
        </w:rPr>
        <w:t>：</w:t>
      </w:r>
      <w:r>
        <w:rPr>
          <w:rFonts w:hint="eastAsia" w:hAnsi="宋体" w:eastAsia="宋体" w:cs="宋体"/>
          <w:color w:val="auto"/>
          <w:highlight w:val="none"/>
          <w:u w:val="single"/>
        </w:rPr>
        <w:t xml:space="preserve">                  </w:t>
      </w:r>
      <w:r>
        <w:rPr>
          <w:rFonts w:hint="eastAsia" w:hAnsi="宋体" w:eastAsia="宋体" w:cs="宋体"/>
          <w:color w:val="auto"/>
          <w:highlight w:val="none"/>
        </w:rPr>
        <w:t xml:space="preserve">（小写） ¥ </w:t>
      </w:r>
      <w:r>
        <w:rPr>
          <w:rFonts w:hint="eastAsia" w:hAnsi="宋体" w:eastAsia="宋体" w:cs="宋体"/>
          <w:color w:val="auto"/>
          <w:highlight w:val="none"/>
          <w:u w:val="single"/>
        </w:rPr>
        <w:t xml:space="preserve">               </w:t>
      </w:r>
      <w:r>
        <w:rPr>
          <w:rFonts w:hint="eastAsia" w:hAnsi="宋体" w:eastAsia="宋体" w:cs="宋体"/>
          <w:color w:val="auto"/>
          <w:highlight w:val="none"/>
        </w:rPr>
        <w:t>。</w:t>
      </w:r>
    </w:p>
    <w:p w14:paraId="613A6630">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3.资金性质：</w:t>
      </w:r>
      <w:r>
        <w:rPr>
          <w:rFonts w:hint="eastAsia" w:ascii="宋体" w:hAnsi="宋体" w:eastAsia="宋体" w:cs="宋体"/>
          <w:color w:val="auto"/>
          <w:szCs w:val="21"/>
          <w:highlight w:val="none"/>
          <w:u w:val="single"/>
        </w:rPr>
        <w:t>财政性资金</w:t>
      </w:r>
      <w:r>
        <w:rPr>
          <w:rFonts w:hint="eastAsia" w:ascii="宋体" w:hAnsi="宋体" w:eastAsia="宋体" w:cs="宋体"/>
          <w:color w:val="auto"/>
          <w:szCs w:val="21"/>
          <w:highlight w:val="none"/>
        </w:rPr>
        <w:t>。</w:t>
      </w:r>
    </w:p>
    <w:p w14:paraId="7A92349A">
      <w:pPr>
        <w:pStyle w:val="12"/>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4.合同价款是履行合同的最终价格，包括所提供的货物（包括备品备件、专用工具等）的价格，</w:t>
      </w:r>
      <w:r>
        <w:rPr>
          <w:rFonts w:hint="eastAsia" w:ascii="宋体" w:hAnsi="宋体" w:cs="宋体"/>
          <w:color w:val="auto"/>
          <w:sz w:val="21"/>
          <w:szCs w:val="21"/>
          <w:highlight w:val="none"/>
          <w:lang w:val="en-US" w:eastAsia="zh-CN"/>
        </w:rPr>
        <w:t>以及</w:t>
      </w:r>
      <w:r>
        <w:rPr>
          <w:rFonts w:hint="eastAsia" w:ascii="宋体" w:hAnsi="宋体" w:eastAsia="宋体" w:cs="宋体"/>
          <w:color w:val="auto"/>
          <w:sz w:val="21"/>
          <w:szCs w:val="21"/>
          <w:highlight w:val="none"/>
        </w:rPr>
        <w:t>投标货物包装、运输、装卸、送货上门、安装、调试、检验、售后服务、技术服务、培训、保险、税金、招标文件要求提供的所有伴随服务、工程等费用和税费。</w:t>
      </w:r>
    </w:p>
    <w:p w14:paraId="4B0C6F02">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rPr>
        <w:t>付款进度安排:签订合同后30个工作日内，支付合同价款的30%，设备安装验收合格正常使用后30个工作日内，支付合同价款的70%。乙方须在设备验收合格后及时向甲方提供符合国家规定及甲方要求的全额有效的税务发票，甲方未收到发票的，有权不予支付相应款项直至乙方提供合格发票，并不承担延迟付款责任。发票认证通过是付款的必要前提之一。</w:t>
      </w:r>
    </w:p>
    <w:p w14:paraId="7FBA3D4A">
      <w:pPr>
        <w:snapToGrid w:val="0"/>
        <w:spacing w:line="360" w:lineRule="auto"/>
        <w:ind w:firstLine="420" w:firstLineChars="200"/>
        <w:rPr>
          <w:rFonts w:hint="eastAsia" w:ascii="宋体" w:hAnsi="宋体" w:eastAsia="宋体" w:cs="宋体"/>
          <w:color w:val="auto"/>
          <w:highlight w:val="none"/>
        </w:rPr>
      </w:pPr>
      <w:r>
        <w:rPr>
          <w:rFonts w:hint="eastAsia" w:ascii="宋体" w:hAnsi="宋体" w:cs="宋体"/>
          <w:color w:val="auto"/>
          <w:highlight w:val="none"/>
          <w:lang w:val="en-US" w:eastAsia="zh-CN"/>
        </w:rPr>
        <w:t>6</w:t>
      </w:r>
      <w:r>
        <w:rPr>
          <w:rFonts w:hint="eastAsia" w:ascii="宋体" w:hAnsi="宋体" w:eastAsia="宋体" w:cs="宋体"/>
          <w:color w:val="auto"/>
          <w:highlight w:val="none"/>
        </w:rPr>
        <w:t>.资金支付方式：</w:t>
      </w:r>
      <w:r>
        <w:rPr>
          <w:rFonts w:hint="eastAsia" w:ascii="宋体" w:hAnsi="宋体" w:eastAsia="宋体" w:cs="宋体"/>
          <w:color w:val="auto"/>
          <w:highlight w:val="none"/>
          <w:u w:val="single"/>
        </w:rPr>
        <w:t xml:space="preserve">    （银行转账）   </w:t>
      </w:r>
      <w:r>
        <w:rPr>
          <w:rFonts w:hint="eastAsia" w:ascii="宋体" w:hAnsi="宋体" w:eastAsia="宋体" w:cs="宋体"/>
          <w:color w:val="auto"/>
          <w:highlight w:val="none"/>
        </w:rPr>
        <w:t>。</w:t>
      </w:r>
    </w:p>
    <w:p w14:paraId="28FFDE74">
      <w:pPr>
        <w:pStyle w:val="10"/>
        <w:spacing w:line="360" w:lineRule="auto"/>
        <w:ind w:firstLine="420" w:firstLineChars="200"/>
        <w:rPr>
          <w:rFonts w:hint="eastAsia"/>
          <w:lang w:val="en-US" w:eastAsia="zh-CN"/>
        </w:rPr>
      </w:pPr>
      <w:r>
        <w:rPr>
          <w:rFonts w:hint="eastAsia"/>
          <w:lang w:val="en-US" w:eastAsia="zh-CN"/>
        </w:rPr>
        <w:t>乙方</w:t>
      </w:r>
      <w:r>
        <w:rPr>
          <w:rFonts w:hint="eastAsia"/>
        </w:rPr>
        <w:t>银行账户</w:t>
      </w:r>
      <w:r>
        <w:rPr>
          <w:rFonts w:hint="eastAsia"/>
          <w:lang w:val="en-US" w:eastAsia="zh-CN"/>
        </w:rPr>
        <w:t>信息：</w:t>
      </w:r>
    </w:p>
    <w:p w14:paraId="1214979D">
      <w:pPr>
        <w:pStyle w:val="10"/>
        <w:spacing w:line="360" w:lineRule="auto"/>
        <w:ind w:firstLine="420" w:firstLineChars="200"/>
        <w:rPr>
          <w:rFonts w:hint="eastAsia"/>
        </w:rPr>
      </w:pPr>
      <w:r>
        <w:rPr>
          <w:rFonts w:hint="eastAsia"/>
        </w:rPr>
        <w:t>开户银行：XX银行XX支行</w:t>
      </w:r>
    </w:p>
    <w:p w14:paraId="2A7DA7A2">
      <w:pPr>
        <w:pStyle w:val="10"/>
        <w:spacing w:line="360" w:lineRule="auto"/>
        <w:ind w:firstLine="420" w:firstLineChars="200"/>
        <w:rPr>
          <w:rFonts w:hint="eastAsia"/>
        </w:rPr>
      </w:pPr>
      <w:r>
        <w:rPr>
          <w:rFonts w:hint="eastAsia"/>
        </w:rPr>
        <w:t>账号名称：XX</w:t>
      </w:r>
    </w:p>
    <w:p w14:paraId="2844AD42">
      <w:pPr>
        <w:pStyle w:val="10"/>
        <w:spacing w:line="360" w:lineRule="auto"/>
        <w:ind w:firstLine="420" w:firstLineChars="200"/>
      </w:pPr>
      <w:r>
        <w:rPr>
          <w:rFonts w:hint="eastAsia"/>
        </w:rPr>
        <w:t>账号：XX</w:t>
      </w:r>
    </w:p>
    <w:p w14:paraId="7E851C31">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rPr>
        <w:t>.政府采购合同履行中，甲方需追加与合同标的相同的货物的，在不改变合同其他条款的前提下，可以与乙方协商签订补充合同，但所有补充合同的采购金额不得超过原合同采购金额的10%。</w:t>
      </w:r>
    </w:p>
    <w:p w14:paraId="7B6C45F8">
      <w:pPr>
        <w:adjustRightInd w:val="0"/>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第七条 保险、税费</w:t>
      </w:r>
    </w:p>
    <w:p w14:paraId="27AA89A8">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bCs/>
          <w:color w:val="auto"/>
          <w:kern w:val="0"/>
          <w:szCs w:val="21"/>
          <w:highlight w:val="none"/>
        </w:rPr>
        <w:t>1.若乙方为本项目标的及标的涉及的相关材料、设备、人员、运输等购买保险的，相关费用由乙方自行承担。</w:t>
      </w:r>
    </w:p>
    <w:p w14:paraId="6248F2C1">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2.本合同执行中相关的一切税费均由乙方负担。</w:t>
      </w:r>
    </w:p>
    <w:p w14:paraId="0490596C">
      <w:pPr>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第八条　验收、交付标准和方法</w:t>
      </w:r>
    </w:p>
    <w:p w14:paraId="488BB7BA">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1.履约验收时间：</w:t>
      </w:r>
    </w:p>
    <w:p w14:paraId="7FC8ACC9">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（1）初步验收：标的到达甲方指定地点之日起7个工作日内。</w:t>
      </w:r>
    </w:p>
    <w:p w14:paraId="691D19F1">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（2）交付验收：标的安装调试完毕之日起7个工作日内。</w:t>
      </w:r>
    </w:p>
    <w:p w14:paraId="3838B838">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（3）最终验收：乙方履行完合同约定的应当由乙方履行的全部事项之日起7个工作日内。</w:t>
      </w:r>
    </w:p>
    <w:p w14:paraId="4F1C6164">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2.履约验收程序：</w:t>
      </w:r>
    </w:p>
    <w:p w14:paraId="680AEBCE">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标的到达甲方指定地点，甲方在规定的时间内进行初步验收；初步验收合格、标的安装调试完毕后，甲方在规定的时间内进行交付验收；交付验收合格，乙方履行完合同约定的应当由乙方履行的全部事项之日起7个工作日内进行最终验收。</w:t>
      </w:r>
    </w:p>
    <w:p w14:paraId="3445E774">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3.履约验收内容：</w:t>
      </w:r>
    </w:p>
    <w:p w14:paraId="2158BC8B">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甲方依据招标文件要求、乙方的投标承诺以及国家有关质量标准，就乙方对标的每一项技术、商务要求等相关内容进行验收。</w:t>
      </w:r>
    </w:p>
    <w:p w14:paraId="223B4272">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4.履约验收标准：</w:t>
      </w:r>
    </w:p>
    <w:p w14:paraId="22DBB7FA">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（1）初步验收：</w:t>
      </w:r>
    </w:p>
    <w:p w14:paraId="418C2D15">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标的在规定的时间内到货，标的（含包装）完整、完好，与投标承诺的产品（制造商、品牌、规格型号等）一致，标的无明显瑕疵、无损坏，装箱清单、用户手册、原厂保修卡、安装操作使用和维护手册、随机资料等所有技术资料、工具和备品、备件齐全。全部满足以上情形的，视为初步验收合格，标的不符合上述情形的，甲方在初步验收后七个工作日内以书面形式向乙方提出，乙方应自收到甲方书面异议后七个工作日内及时予以解决，否则，视为初步验收不合格，不予进行交付验收。</w:t>
      </w:r>
    </w:p>
    <w:p w14:paraId="67A78739">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（2）交付验收：</w:t>
      </w:r>
    </w:p>
    <w:p w14:paraId="1F14BF71">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标的的技术指标与乙方的投标承诺一致或更高，且满足招标文件全部实质性要求，视为交付验收合格。标的不符合上述情形的，甲方在交付验收后七个工作日内以书面形式向乙方提出，乙方应自收到甲方书面异议后七个工作日内及时予以解决，否则，视为交付验收不合格。</w:t>
      </w:r>
    </w:p>
    <w:p w14:paraId="1A66ADC0">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（3）最终验收：</w:t>
      </w:r>
    </w:p>
    <w:p w14:paraId="30A6B3FA">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标的交付验收合格投入使用后，乙方提供的售后服务与其投标承诺一致或更优，且乙方履行完合同约定的应当由乙方履行的全部事项之，视为最终验收合格。</w:t>
      </w:r>
    </w:p>
    <w:p w14:paraId="0CD86A86">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5.其他事项：</w:t>
      </w:r>
    </w:p>
    <w:p w14:paraId="640036CC">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（1）验收时，甲方与乙方双方应当派员在场，并对验收结果签署意见，否则视为其同意验收结果。</w:t>
      </w:r>
    </w:p>
    <w:p w14:paraId="3EF8F4D9">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由于乙方的原因造成甲方验收不合格、影响甲方正常使用的，由此造成的损失由乙方承担。初步验收或交付验收不合格的，甲方有权终止合同并全部退货，同时报相关监督管理部门处理，由此造成甲方经济损失的由乙方负责承担全部赔偿责任。</w:t>
      </w:r>
    </w:p>
    <w:p w14:paraId="69287368">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（3）对技术复杂的货物，甲方可请国家认可的专业检测机构参与初步验收及交付验收，并由其出具质量检测报告，费用由乙方承担。</w:t>
      </w:r>
    </w:p>
    <w:p w14:paraId="0D994755">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（4）验收过程中所产生的一切费用均由乙方承担，乙方在投标报价时应综合考虑相关费用。</w:t>
      </w:r>
    </w:p>
    <w:p w14:paraId="29760D27">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甲方对产品的验收不免除乙方的质量保证责任。</w:t>
      </w:r>
    </w:p>
    <w:p w14:paraId="66473765">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2.交付标准和方法</w:t>
      </w:r>
    </w:p>
    <w:p w14:paraId="0B5A176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highlight w:val="none"/>
        </w:rPr>
        <w:t>（1）除售后服务验收外，</w:t>
      </w:r>
      <w:r>
        <w:rPr>
          <w:rFonts w:hint="eastAsia" w:ascii="宋体" w:hAnsi="宋体" w:eastAsia="宋体" w:cs="宋体"/>
          <w:color w:val="auto"/>
          <w:szCs w:val="21"/>
          <w:highlight w:val="none"/>
        </w:rPr>
        <w:t>验收结论合格的，乙方应自收到验收书后</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日内向甲方交付使用。</w:t>
      </w:r>
    </w:p>
    <w:p w14:paraId="41CD201F">
      <w:pPr>
        <w:snapToGrid w:val="0"/>
        <w:spacing w:line="360" w:lineRule="auto"/>
        <w:ind w:firstLine="420" w:firstLineChars="200"/>
        <w:rPr>
          <w:rFonts w:hint="eastAsia" w:ascii="宋体" w:hAnsi="宋体" w:eastAsia="宋体" w:cs="宋体"/>
          <w:b/>
          <w:color w:val="auto"/>
          <w:szCs w:val="21"/>
          <w:highlight w:val="none"/>
        </w:rPr>
      </w:pPr>
      <w:r>
        <w:rPr>
          <w:rFonts w:hint="eastAsia" w:ascii="宋体" w:hAnsi="宋体" w:eastAsia="宋体" w:cs="宋体"/>
          <w:color w:val="auto"/>
          <w:highlight w:val="none"/>
        </w:rPr>
        <w:t>（2）货物的所有权和风险自交付</w:t>
      </w:r>
      <w:r>
        <w:rPr>
          <w:rFonts w:hint="eastAsia" w:ascii="宋体" w:hAnsi="宋体" w:cs="宋体"/>
          <w:color w:val="auto"/>
          <w:highlight w:val="none"/>
          <w:lang w:val="en-US" w:eastAsia="zh-CN"/>
        </w:rPr>
        <w:t>且经甲方验收合格</w:t>
      </w:r>
      <w:r>
        <w:rPr>
          <w:rFonts w:hint="eastAsia" w:ascii="宋体" w:hAnsi="宋体" w:eastAsia="宋体" w:cs="宋体"/>
          <w:color w:val="auto"/>
          <w:highlight w:val="none"/>
        </w:rPr>
        <w:t>时起由乙方转移至甲方，货物交付给甲方之前所有风险均由乙方承担。</w:t>
      </w:r>
    </w:p>
    <w:p w14:paraId="35333BC2">
      <w:pPr>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第九条  售后服务</w:t>
      </w:r>
    </w:p>
    <w:p w14:paraId="55280230">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1.乙方应按照国家有关法律法规规定以及投标文件承诺，为甲方提供售后服务。</w:t>
      </w:r>
    </w:p>
    <w:p w14:paraId="3C19F3EB">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2.质量保修范围:</w:t>
      </w:r>
      <w:r>
        <w:rPr>
          <w:rFonts w:hint="eastAsia" w:ascii="宋体" w:hAnsi="宋体" w:eastAsia="宋体" w:cs="宋体"/>
          <w:color w:val="auto"/>
          <w:szCs w:val="21"/>
          <w:highlight w:val="none"/>
          <w:u w:val="single"/>
        </w:rPr>
        <w:t xml:space="preserve"> 本项目采购范围内的所有设备</w:t>
      </w:r>
      <w:r>
        <w:rPr>
          <w:rFonts w:hint="eastAsia" w:ascii="宋体" w:hAnsi="宋体" w:eastAsia="宋体" w:cs="宋体"/>
          <w:color w:val="auto"/>
          <w:szCs w:val="21"/>
          <w:highlight w:val="none"/>
        </w:rPr>
        <w:t>。免费保修期内上门维修（维修费和元器件费包含在投标报价中）、更换零部件，软件终身免费升级服务，设备生产厂家提供远程联机维护服务，能对设备进行软件升级及故障分析；保修期： 按乙方投标文件承诺（且不低于采购文件要求）执行  。</w:t>
      </w:r>
    </w:p>
    <w:p w14:paraId="3059EB13">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3.免费保修期：</w:t>
      </w:r>
      <w:r>
        <w:rPr>
          <w:rFonts w:hint="eastAsia" w:ascii="宋体" w:hAnsi="宋体" w:eastAsia="宋体" w:cs="宋体"/>
          <w:bCs/>
          <w:color w:val="auto"/>
          <w:szCs w:val="21"/>
          <w:highlight w:val="none"/>
        </w:rPr>
        <w:t>按国家有关产品“三包”规定执行“三包”；免费保修期为</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年（免费保修期从设备验收合格之日起计算），免费保修期内上门维修不收取任何费用</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u w:val="single"/>
          <w:lang w:eastAsia="zh-CN"/>
        </w:rPr>
        <w:t>提供</w:t>
      </w:r>
      <w:r>
        <w:rPr>
          <w:rFonts w:hint="eastAsia" w:ascii="宋体" w:hAnsi="宋体" w:cs="宋体"/>
          <w:bCs/>
          <w:color w:val="auto"/>
          <w:szCs w:val="21"/>
          <w:highlight w:val="none"/>
          <w:lang w:eastAsia="zh-CN"/>
        </w:rPr>
        <w:t>备用机</w:t>
      </w:r>
      <w:r>
        <w:rPr>
          <w:rFonts w:hint="eastAsia" w:ascii="宋体" w:hAnsi="宋体" w:eastAsia="宋体" w:cs="宋体"/>
          <w:bCs/>
          <w:color w:val="auto"/>
          <w:szCs w:val="21"/>
          <w:highlight w:val="none"/>
        </w:rPr>
        <w:t>。</w:t>
      </w:r>
    </w:p>
    <w:p w14:paraId="12C515E7">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4.在免费保修期内因货物本身的质量问题发生故障，乙方应负责免费修理和更换零部件。对达不到技术要求者，根据实际情况，</w:t>
      </w:r>
      <w:r>
        <w:rPr>
          <w:rFonts w:hint="eastAsia" w:ascii="宋体" w:hAnsi="宋体" w:cs="宋体"/>
          <w:color w:val="auto"/>
          <w:szCs w:val="21"/>
          <w:highlight w:val="none"/>
          <w:lang w:val="en-US" w:eastAsia="zh-CN"/>
        </w:rPr>
        <w:t>甲方有权</w:t>
      </w:r>
      <w:r>
        <w:rPr>
          <w:rFonts w:hint="eastAsia" w:ascii="宋体" w:hAnsi="宋体" w:eastAsia="宋体" w:cs="宋体"/>
          <w:color w:val="auto"/>
          <w:szCs w:val="21"/>
          <w:highlight w:val="none"/>
        </w:rPr>
        <w:t>按以下办法处理：</w:t>
      </w:r>
    </w:p>
    <w:p w14:paraId="0EFCA42F">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（1）更换：由乙方承担所发生的全部费用。</w:t>
      </w:r>
    </w:p>
    <w:p w14:paraId="19899C07">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（2）贬值处理：由甲乙双方合议定价。</w:t>
      </w:r>
    </w:p>
    <w:p w14:paraId="02742A31">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（3）退货处理：乙方应退还甲方支付的合同款，同时应承担该货物的直接费用（运输、保险、检验、货款利息及银行手续费等）。</w:t>
      </w:r>
    </w:p>
    <w:p w14:paraId="278A4053">
      <w:pPr>
        <w:pStyle w:val="15"/>
        <w:adjustRightInd w:val="0"/>
        <w:snapToGrid w:val="0"/>
        <w:spacing w:line="360" w:lineRule="auto"/>
        <w:ind w:firstLine="420" w:firstLineChars="200"/>
        <w:rPr>
          <w:rFonts w:hint="eastAsia" w:hAnsi="宋体" w:eastAsia="宋体" w:cs="宋体"/>
          <w:color w:val="auto"/>
          <w:sz w:val="21"/>
          <w:highlight w:val="none"/>
          <w:lang w:eastAsia="zh-CN"/>
        </w:rPr>
      </w:pPr>
      <w:r>
        <w:rPr>
          <w:rFonts w:hint="eastAsia" w:hAnsi="宋体" w:eastAsia="宋体" w:cs="宋体"/>
          <w:color w:val="auto"/>
          <w:sz w:val="21"/>
          <w:highlight w:val="none"/>
          <w:lang w:eastAsia="zh-CN"/>
        </w:rPr>
        <w:t>5</w:t>
      </w:r>
      <w:r>
        <w:rPr>
          <w:rFonts w:hint="eastAsia" w:hAnsi="宋体" w:eastAsia="宋体" w:cs="宋体"/>
          <w:color w:val="auto"/>
          <w:sz w:val="21"/>
          <w:highlight w:val="none"/>
        </w:rPr>
        <w:t>.如在使用过程中发生质量问题，乙方在接到甲方通知后</w:t>
      </w:r>
      <w:r>
        <w:rPr>
          <w:rFonts w:hint="eastAsia" w:hAnsi="宋体" w:eastAsia="宋体" w:cs="宋体"/>
          <w:color w:val="auto"/>
          <w:sz w:val="21"/>
          <w:highlight w:val="none"/>
          <w:u w:val="single"/>
          <w:lang w:val="en-US" w:eastAsia="zh-CN"/>
        </w:rPr>
        <w:t xml:space="preserve">    </w:t>
      </w:r>
      <w:r>
        <w:rPr>
          <w:rFonts w:hint="eastAsia" w:hAnsi="宋体" w:eastAsia="宋体" w:cs="宋体"/>
          <w:color w:val="auto"/>
          <w:sz w:val="21"/>
          <w:highlight w:val="none"/>
        </w:rPr>
        <w:t>小时内响应，</w:t>
      </w:r>
      <w:r>
        <w:rPr>
          <w:rFonts w:hint="eastAsia" w:hAnsi="宋体" w:eastAsia="宋体" w:cs="宋体"/>
          <w:color w:val="auto"/>
          <w:sz w:val="21"/>
          <w:highlight w:val="none"/>
          <w:u w:val="single"/>
          <w:lang w:val="en-US" w:eastAsia="zh-CN"/>
        </w:rPr>
        <w:t xml:space="preserve">    </w:t>
      </w:r>
      <w:r>
        <w:rPr>
          <w:rFonts w:hint="eastAsia" w:hAnsi="宋体" w:eastAsia="宋体" w:cs="宋体"/>
          <w:color w:val="auto"/>
          <w:sz w:val="21"/>
          <w:highlight w:val="none"/>
        </w:rPr>
        <w:t>小时内到达现场进行处理，到达现场后</w:t>
      </w:r>
      <w:r>
        <w:rPr>
          <w:rFonts w:hint="eastAsia" w:hAnsi="宋体" w:eastAsia="宋体" w:cs="宋体"/>
          <w:color w:val="auto"/>
          <w:sz w:val="21"/>
          <w:highlight w:val="none"/>
          <w:u w:val="single"/>
          <w:lang w:val="en-US" w:eastAsia="zh-CN"/>
        </w:rPr>
        <w:t xml:space="preserve">    </w:t>
      </w:r>
      <w:r>
        <w:rPr>
          <w:rFonts w:hint="eastAsia" w:hAnsi="宋体" w:eastAsia="宋体" w:cs="宋体"/>
          <w:color w:val="auto"/>
          <w:sz w:val="21"/>
          <w:highlight w:val="none"/>
        </w:rPr>
        <w:t>小时内排除故障，恢复正常使用。</w:t>
      </w:r>
      <w:r>
        <w:rPr>
          <w:rFonts w:hint="eastAsia" w:hAnsi="宋体" w:eastAsia="宋体" w:cs="宋体"/>
          <w:color w:val="auto"/>
          <w:sz w:val="21"/>
          <w:highlight w:val="none"/>
          <w:lang w:val="en-US" w:eastAsia="zh-CN"/>
        </w:rPr>
        <w:t>乙方逾期响应、到达现场、排除故障或者无法排除故障的，甲方有权自行或寻找第三方机构获得维修、维护等售后服务，全部费用由乙方承担，且无需经过乙方同意、确认。</w:t>
      </w:r>
    </w:p>
    <w:p w14:paraId="6F3DEA88">
      <w:pPr>
        <w:pStyle w:val="15"/>
        <w:adjustRightInd w:val="0"/>
        <w:snapToGrid w:val="0"/>
        <w:spacing w:line="360" w:lineRule="auto"/>
        <w:ind w:firstLine="420" w:firstLineChars="200"/>
        <w:rPr>
          <w:rFonts w:hint="eastAsia" w:hAnsi="宋体" w:eastAsia="宋体" w:cs="宋体"/>
          <w:color w:val="auto"/>
          <w:sz w:val="21"/>
          <w:highlight w:val="none"/>
        </w:rPr>
      </w:pPr>
      <w:r>
        <w:rPr>
          <w:rFonts w:hint="eastAsia" w:hAnsi="宋体" w:eastAsia="宋体" w:cs="宋体"/>
          <w:color w:val="auto"/>
          <w:sz w:val="21"/>
          <w:highlight w:val="none"/>
          <w:lang w:eastAsia="zh-CN"/>
        </w:rPr>
        <w:t>6</w:t>
      </w:r>
      <w:r>
        <w:rPr>
          <w:rFonts w:hint="eastAsia" w:hAnsi="宋体" w:eastAsia="宋体" w:cs="宋体"/>
          <w:color w:val="auto"/>
          <w:sz w:val="21"/>
          <w:highlight w:val="none"/>
        </w:rPr>
        <w:t>.在</w:t>
      </w:r>
      <w:r>
        <w:rPr>
          <w:rFonts w:hint="eastAsia" w:hAnsi="宋体" w:eastAsia="宋体" w:cs="宋体"/>
          <w:color w:val="auto"/>
          <w:sz w:val="21"/>
          <w:highlight w:val="none"/>
          <w:lang w:eastAsia="zh-CN"/>
        </w:rPr>
        <w:t>免费保修期</w:t>
      </w:r>
      <w:r>
        <w:rPr>
          <w:rFonts w:hint="eastAsia" w:hAnsi="宋体" w:eastAsia="宋体" w:cs="宋体"/>
          <w:color w:val="auto"/>
          <w:sz w:val="21"/>
          <w:highlight w:val="none"/>
        </w:rPr>
        <w:t>内，乙方应对货物出现的质量及安全问题负责处理解决并承担一切费用。</w:t>
      </w:r>
    </w:p>
    <w:p w14:paraId="724993D5">
      <w:pPr>
        <w:pStyle w:val="15"/>
        <w:adjustRightInd w:val="0"/>
        <w:snapToGrid w:val="0"/>
        <w:spacing w:line="360" w:lineRule="auto"/>
        <w:ind w:firstLine="420" w:firstLineChars="200"/>
        <w:rPr>
          <w:rFonts w:hint="eastAsia" w:hAnsi="宋体" w:eastAsia="宋体" w:cs="宋体"/>
          <w:color w:val="auto"/>
          <w:sz w:val="21"/>
          <w:highlight w:val="none"/>
          <w:lang w:eastAsia="zh-CN"/>
        </w:rPr>
      </w:pPr>
      <w:r>
        <w:rPr>
          <w:rFonts w:hint="eastAsia" w:hAnsi="宋体" w:eastAsia="宋体" w:cs="宋体"/>
          <w:color w:val="auto"/>
          <w:sz w:val="21"/>
          <w:highlight w:val="none"/>
          <w:lang w:eastAsia="zh-CN"/>
        </w:rPr>
        <w:t>7</w:t>
      </w:r>
      <w:r>
        <w:rPr>
          <w:rFonts w:hint="eastAsia" w:hAnsi="宋体" w:eastAsia="宋体" w:cs="宋体"/>
          <w:color w:val="auto"/>
          <w:sz w:val="21"/>
          <w:highlight w:val="none"/>
        </w:rPr>
        <w:t>.</w:t>
      </w:r>
      <w:r>
        <w:rPr>
          <w:rFonts w:hint="eastAsia" w:hAnsi="宋体" w:eastAsia="宋体" w:cs="宋体"/>
          <w:color w:val="auto"/>
          <w:sz w:val="21"/>
          <w:highlight w:val="none"/>
          <w:lang w:eastAsia="zh-CN"/>
        </w:rPr>
        <w:t>本项目采购范围内的</w:t>
      </w:r>
      <w:r>
        <w:rPr>
          <w:rFonts w:hint="eastAsia" w:hAnsi="宋体" w:eastAsia="宋体" w:cs="宋体"/>
          <w:color w:val="auto"/>
          <w:sz w:val="21"/>
          <w:highlight w:val="none"/>
        </w:rPr>
        <w:t>货物因人为因素出现的故障不在免费保修范围内。超过</w:t>
      </w:r>
      <w:r>
        <w:rPr>
          <w:rFonts w:hint="eastAsia" w:hAnsi="宋体" w:eastAsia="宋体" w:cs="宋体"/>
          <w:color w:val="auto"/>
          <w:sz w:val="21"/>
          <w:highlight w:val="none"/>
          <w:lang w:eastAsia="zh-CN"/>
        </w:rPr>
        <w:t>免费保修期</w:t>
      </w:r>
      <w:r>
        <w:rPr>
          <w:rFonts w:hint="eastAsia" w:hAnsi="宋体" w:eastAsia="宋体" w:cs="宋体"/>
          <w:color w:val="auto"/>
          <w:sz w:val="21"/>
          <w:highlight w:val="none"/>
        </w:rPr>
        <w:t>的机器设备，</w:t>
      </w:r>
      <w:r>
        <w:rPr>
          <w:rFonts w:hint="eastAsia" w:hAnsi="宋体" w:eastAsia="宋体" w:cs="宋体"/>
          <w:color w:val="auto"/>
          <w:sz w:val="21"/>
          <w:highlight w:val="none"/>
          <w:lang w:eastAsia="zh-CN"/>
        </w:rPr>
        <w:t>提供</w:t>
      </w:r>
      <w:r>
        <w:rPr>
          <w:rFonts w:hint="eastAsia" w:hAnsi="宋体" w:eastAsia="宋体" w:cs="宋体"/>
          <w:color w:val="auto"/>
          <w:sz w:val="21"/>
          <w:highlight w:val="none"/>
        </w:rPr>
        <w:t>终生维修</w:t>
      </w:r>
      <w:r>
        <w:rPr>
          <w:rFonts w:hint="eastAsia" w:hAnsi="宋体" w:eastAsia="宋体" w:cs="宋体"/>
          <w:color w:val="auto"/>
          <w:sz w:val="21"/>
          <w:highlight w:val="none"/>
          <w:lang w:eastAsia="zh-CN"/>
        </w:rPr>
        <w:t>服务</w:t>
      </w:r>
      <w:r>
        <w:rPr>
          <w:rFonts w:hint="eastAsia" w:hAnsi="宋体" w:eastAsia="宋体" w:cs="宋体"/>
          <w:color w:val="auto"/>
          <w:sz w:val="21"/>
          <w:highlight w:val="none"/>
        </w:rPr>
        <w:t>。</w:t>
      </w:r>
    </w:p>
    <w:p w14:paraId="1CC2EF68">
      <w:pPr>
        <w:pStyle w:val="15"/>
        <w:adjustRightInd w:val="0"/>
        <w:snapToGrid w:val="0"/>
        <w:spacing w:line="360" w:lineRule="auto"/>
        <w:ind w:firstLine="420" w:firstLineChars="200"/>
        <w:rPr>
          <w:rFonts w:hint="eastAsia" w:hAnsi="宋体" w:eastAsia="宋体" w:cs="宋体"/>
          <w:color w:val="auto"/>
          <w:sz w:val="21"/>
          <w:highlight w:val="none"/>
        </w:rPr>
      </w:pPr>
      <w:r>
        <w:rPr>
          <w:rFonts w:hint="eastAsia" w:hAnsi="宋体" w:eastAsia="宋体" w:cs="宋体"/>
          <w:color w:val="auto"/>
          <w:sz w:val="21"/>
          <w:highlight w:val="none"/>
        </w:rPr>
        <w:t>8. 乙方提供的货物在免费保修期内，因设计、工艺或材料的缺陷和其它质量原因造成的问题，由乙方负责，费用从最后一笔支付的合同价款当中扣除，不足以扣除的，由乙方另行支付。</w:t>
      </w:r>
    </w:p>
    <w:p w14:paraId="674F1FA7">
      <w:pPr>
        <w:adjustRightInd w:val="0"/>
        <w:snapToGri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9.乙方提供的服务承诺和售后服务及免费保修期责任等其它具体约定事项。（见合同附件）</w:t>
      </w:r>
    </w:p>
    <w:p w14:paraId="5501E377">
      <w:pPr>
        <w:snapToGrid w:val="0"/>
        <w:spacing w:line="360" w:lineRule="auto"/>
        <w:ind w:left="0" w:leftChars="0"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第十条　履约保证金</w:t>
      </w:r>
    </w:p>
    <w:p w14:paraId="5F3F82D9">
      <w:pPr>
        <w:keepNext w:val="0"/>
        <w:keepLines w:val="0"/>
        <w:widowControl/>
        <w:suppressLineNumbers w:val="0"/>
        <w:autoSpaceDE w:val="0"/>
        <w:autoSpaceDN w:val="0"/>
        <w:snapToGrid w:val="0"/>
        <w:spacing w:before="0" w:beforeAutospacing="0" w:after="0" w:afterAutospacing="0" w:line="360" w:lineRule="auto"/>
        <w:ind w:left="0" w:right="0" w:firstLine="420" w:firstLineChars="200"/>
        <w:jc w:val="left"/>
        <w:textAlignment w:val="bottom"/>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1.履约保证金金额：本项目不收取履约保证金。</w:t>
      </w:r>
    </w:p>
    <w:p w14:paraId="17759EAD">
      <w:pPr>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第十一条　违约责任</w:t>
      </w:r>
    </w:p>
    <w:p w14:paraId="07DB91E9">
      <w:pPr>
        <w:pStyle w:val="15"/>
        <w:snapToGrid w:val="0"/>
        <w:spacing w:line="360" w:lineRule="auto"/>
        <w:ind w:firstLine="420" w:firstLineChars="200"/>
        <w:rPr>
          <w:rFonts w:hint="eastAsia" w:hAnsi="宋体" w:eastAsia="宋体" w:cs="宋体"/>
          <w:color w:val="auto"/>
          <w:sz w:val="21"/>
          <w:highlight w:val="none"/>
          <w:lang w:eastAsia="zh-CN"/>
        </w:rPr>
      </w:pPr>
      <w:r>
        <w:rPr>
          <w:rFonts w:hint="eastAsia" w:hAnsi="宋体" w:eastAsia="宋体" w:cs="宋体"/>
          <w:color w:val="auto"/>
          <w:sz w:val="21"/>
          <w:highlight w:val="none"/>
          <w:lang w:eastAsia="zh-CN"/>
        </w:rPr>
        <w:t>1.合同一方不履行合同义务、履行合同义务不符合约定或者违反合同项下所作保证的， 应向对方承担继续履行、采取修理、更换、退货等补救措施或者赔偿损失等违约责任。</w:t>
      </w:r>
    </w:p>
    <w:p w14:paraId="5CFCFF10">
      <w:pPr>
        <w:pStyle w:val="15"/>
        <w:snapToGrid w:val="0"/>
        <w:spacing w:line="360" w:lineRule="auto"/>
        <w:ind w:firstLine="420" w:firstLineChars="200"/>
        <w:rPr>
          <w:rFonts w:hint="eastAsia" w:hAnsi="宋体" w:eastAsia="宋体" w:cs="宋体"/>
          <w:color w:val="auto"/>
          <w:sz w:val="21"/>
          <w:highlight w:val="none"/>
          <w:lang w:eastAsia="zh-CN"/>
        </w:rPr>
      </w:pPr>
      <w:r>
        <w:rPr>
          <w:rFonts w:hint="eastAsia" w:hAnsi="宋体" w:eastAsia="宋体" w:cs="宋体"/>
          <w:color w:val="auto"/>
          <w:sz w:val="21"/>
          <w:highlight w:val="none"/>
          <w:lang w:eastAsia="zh-CN"/>
        </w:rPr>
        <w:t>2.乙方延迟交付货物的，应向</w:t>
      </w:r>
      <w:r>
        <w:rPr>
          <w:rFonts w:hint="eastAsia" w:hAnsi="宋体" w:eastAsia="宋体" w:cs="宋体"/>
          <w:color w:val="auto"/>
          <w:sz w:val="21"/>
          <w:highlight w:val="none"/>
          <w:lang w:val="en-US" w:eastAsia="zh-CN"/>
        </w:rPr>
        <w:t>甲</w:t>
      </w:r>
      <w:r>
        <w:rPr>
          <w:rFonts w:hint="eastAsia" w:hAnsi="宋体" w:eastAsia="宋体" w:cs="宋体"/>
          <w:color w:val="auto"/>
          <w:sz w:val="21"/>
          <w:highlight w:val="none"/>
          <w:lang w:eastAsia="zh-CN"/>
        </w:rPr>
        <w:t>方支付延迟违约金。延迟违约金的计算方法如下：每延迟一天向对方偿付</w:t>
      </w:r>
      <w:r>
        <w:rPr>
          <w:rFonts w:hint="eastAsia" w:hAnsi="宋体" w:cs="宋体"/>
          <w:color w:val="auto"/>
          <w:sz w:val="21"/>
          <w:highlight w:val="none"/>
          <w:lang w:val="en-US" w:eastAsia="zh-CN"/>
        </w:rPr>
        <w:t>货款总</w:t>
      </w:r>
      <w:r>
        <w:rPr>
          <w:rFonts w:hint="eastAsia" w:hAnsi="宋体" w:eastAsia="宋体" w:cs="宋体"/>
          <w:color w:val="auto"/>
          <w:sz w:val="21"/>
          <w:highlight w:val="none"/>
          <w:lang w:eastAsia="zh-CN"/>
        </w:rPr>
        <w:t>额3‰违约金，超过30 天</w:t>
      </w:r>
      <w:r>
        <w:rPr>
          <w:rFonts w:hint="eastAsia" w:hAnsi="宋体" w:eastAsia="宋体" w:cs="宋体"/>
          <w:color w:val="auto"/>
          <w:sz w:val="21"/>
          <w:highlight w:val="none"/>
          <w:lang w:val="en-US" w:eastAsia="zh-CN"/>
        </w:rPr>
        <w:t>甲</w:t>
      </w:r>
      <w:r>
        <w:rPr>
          <w:rFonts w:hint="eastAsia" w:hAnsi="宋体" w:eastAsia="宋体" w:cs="宋体"/>
          <w:color w:val="auto"/>
          <w:sz w:val="21"/>
          <w:highlight w:val="none"/>
          <w:lang w:eastAsia="zh-CN"/>
        </w:rPr>
        <w:t>方有权解除合同，</w:t>
      </w:r>
      <w:r>
        <w:rPr>
          <w:rFonts w:hint="eastAsia" w:hAnsi="宋体" w:eastAsia="宋体" w:cs="宋体"/>
          <w:color w:val="auto"/>
          <w:sz w:val="21"/>
          <w:highlight w:val="none"/>
          <w:lang w:val="en-US" w:eastAsia="zh-CN"/>
        </w:rPr>
        <w:t>乙</w:t>
      </w:r>
      <w:r>
        <w:rPr>
          <w:rFonts w:hint="eastAsia" w:hAnsi="宋体" w:eastAsia="宋体" w:cs="宋体"/>
          <w:color w:val="auto"/>
          <w:sz w:val="21"/>
          <w:highlight w:val="none"/>
          <w:lang w:eastAsia="zh-CN"/>
        </w:rPr>
        <w:t>方承担因此给</w:t>
      </w:r>
      <w:r>
        <w:rPr>
          <w:rFonts w:hint="eastAsia" w:hAnsi="宋体" w:eastAsia="宋体" w:cs="宋体"/>
          <w:color w:val="auto"/>
          <w:sz w:val="21"/>
          <w:highlight w:val="none"/>
          <w:lang w:val="en-US" w:eastAsia="zh-CN"/>
        </w:rPr>
        <w:t>甲</w:t>
      </w:r>
      <w:r>
        <w:rPr>
          <w:rFonts w:hint="eastAsia" w:hAnsi="宋体" w:eastAsia="宋体" w:cs="宋体"/>
          <w:color w:val="auto"/>
          <w:sz w:val="21"/>
          <w:highlight w:val="none"/>
          <w:lang w:eastAsia="zh-CN"/>
        </w:rPr>
        <w:t>方造成的</w:t>
      </w:r>
      <w:r>
        <w:rPr>
          <w:rFonts w:hint="eastAsia" w:hAnsi="宋体" w:eastAsia="宋体" w:cs="宋体"/>
          <w:color w:val="auto"/>
          <w:sz w:val="21"/>
          <w:highlight w:val="none"/>
          <w:lang w:val="en-US" w:eastAsia="zh-CN"/>
        </w:rPr>
        <w:t>全部</w:t>
      </w:r>
      <w:r>
        <w:rPr>
          <w:rFonts w:hint="eastAsia" w:hAnsi="宋体" w:eastAsia="宋体" w:cs="宋体"/>
          <w:color w:val="auto"/>
          <w:sz w:val="21"/>
          <w:highlight w:val="none"/>
          <w:lang w:eastAsia="zh-CN"/>
        </w:rPr>
        <w:t>损失，</w:t>
      </w:r>
      <w:r>
        <w:rPr>
          <w:rFonts w:hint="eastAsia" w:hAnsi="宋体" w:eastAsia="宋体" w:cs="宋体"/>
          <w:color w:val="auto"/>
          <w:sz w:val="21"/>
          <w:highlight w:val="none"/>
          <w:lang w:val="en-US" w:eastAsia="zh-CN"/>
        </w:rPr>
        <w:t>并按照</w:t>
      </w:r>
      <w:r>
        <w:rPr>
          <w:rFonts w:hint="eastAsia" w:hAnsi="宋体" w:cs="宋体"/>
          <w:color w:val="auto"/>
          <w:sz w:val="21"/>
          <w:highlight w:val="none"/>
          <w:lang w:val="en-US" w:eastAsia="zh-CN"/>
        </w:rPr>
        <w:t>货款</w:t>
      </w:r>
      <w:r>
        <w:rPr>
          <w:rFonts w:hint="eastAsia" w:hAnsi="宋体" w:eastAsia="宋体" w:cs="宋体"/>
          <w:color w:val="auto"/>
          <w:sz w:val="21"/>
          <w:highlight w:val="none"/>
          <w:lang w:val="en-US" w:eastAsia="zh-CN"/>
        </w:rPr>
        <w:t>总额的15%向甲方支付违约金，且乙方应当退还甲方支付过的全部费用</w:t>
      </w:r>
      <w:r>
        <w:rPr>
          <w:rFonts w:hint="eastAsia" w:hAnsi="宋体" w:eastAsia="宋体" w:cs="宋体"/>
          <w:color w:val="auto"/>
          <w:sz w:val="21"/>
          <w:highlight w:val="none"/>
          <w:lang w:eastAsia="zh-CN"/>
        </w:rPr>
        <w:t>。</w:t>
      </w:r>
      <w:r>
        <w:rPr>
          <w:rFonts w:ascii="Arial" w:hAnsi="Arial" w:cs="Arial"/>
          <w:color w:val="auto"/>
          <w:highlight w:val="none"/>
        </w:rPr>
        <w:t>如延迟交付必然导致合同货物安装、调试、验收等工作推迟的，相关工作应相应顺延。</w:t>
      </w:r>
    </w:p>
    <w:p w14:paraId="4A091350">
      <w:pPr>
        <w:pStyle w:val="15"/>
        <w:snapToGrid w:val="0"/>
        <w:spacing w:line="360" w:lineRule="auto"/>
        <w:ind w:firstLine="420" w:firstLineChars="200"/>
        <w:rPr>
          <w:rFonts w:hint="eastAsia" w:hAnsi="宋体" w:eastAsia="宋体" w:cs="宋体"/>
          <w:color w:val="auto"/>
          <w:sz w:val="21"/>
          <w:highlight w:val="none"/>
          <w:lang w:eastAsia="zh-CN"/>
        </w:rPr>
      </w:pPr>
      <w:r>
        <w:rPr>
          <w:rFonts w:hint="eastAsia" w:hAnsi="宋体" w:eastAsia="宋体" w:cs="宋体"/>
          <w:color w:val="auto"/>
          <w:sz w:val="21"/>
          <w:highlight w:val="none"/>
          <w:lang w:eastAsia="zh-CN"/>
        </w:rPr>
        <w:t>3.甲方未能按合同约定支付合同价款的，</w:t>
      </w:r>
      <w:r>
        <w:rPr>
          <w:rFonts w:hint="eastAsia" w:hAnsi="宋体" w:eastAsia="宋体" w:cs="宋体"/>
          <w:color w:val="auto"/>
          <w:sz w:val="21"/>
          <w:highlight w:val="none"/>
          <w:lang w:val="en-US" w:eastAsia="zh-CN"/>
        </w:rPr>
        <w:t>经乙方书面催告，甲方无正当理由在合理期限</w:t>
      </w:r>
      <w:r>
        <w:rPr>
          <w:rFonts w:hint="eastAsia" w:hAnsi="宋体" w:cs="宋体"/>
          <w:color w:val="auto"/>
          <w:sz w:val="21"/>
          <w:highlight w:val="none"/>
          <w:lang w:val="en-US" w:eastAsia="zh-CN"/>
        </w:rPr>
        <w:t>（不少于10个工作日）</w:t>
      </w:r>
      <w:r>
        <w:rPr>
          <w:rFonts w:hint="eastAsia" w:hAnsi="宋体" w:eastAsia="宋体" w:cs="宋体"/>
          <w:color w:val="auto"/>
          <w:sz w:val="21"/>
          <w:highlight w:val="none"/>
          <w:lang w:val="en-US" w:eastAsia="zh-CN"/>
        </w:rPr>
        <w:t>内仍未支付的，自合理期限届满之次日起，</w:t>
      </w:r>
      <w:r>
        <w:rPr>
          <w:rFonts w:hint="eastAsia" w:hAnsi="宋体" w:eastAsia="宋体" w:cs="宋体"/>
          <w:color w:val="auto"/>
          <w:sz w:val="21"/>
          <w:highlight w:val="none"/>
          <w:lang w:eastAsia="zh-CN"/>
        </w:rPr>
        <w:t>应向乙方支付延迟付款违约金。延迟付款违约金的计算方法如下：每延迟一天向乙方偿付</w:t>
      </w:r>
      <w:r>
        <w:rPr>
          <w:rFonts w:hint="eastAsia" w:hAnsi="宋体" w:cs="宋体"/>
          <w:color w:val="auto"/>
          <w:sz w:val="21"/>
          <w:highlight w:val="none"/>
          <w:lang w:val="en-US" w:eastAsia="zh-CN"/>
        </w:rPr>
        <w:t>当期应付未付金额</w:t>
      </w:r>
      <w:r>
        <w:rPr>
          <w:rFonts w:hint="eastAsia" w:hAnsi="宋体" w:eastAsia="宋体" w:cs="宋体"/>
          <w:color w:val="auto"/>
          <w:sz w:val="21"/>
          <w:highlight w:val="none"/>
          <w:lang w:val="en-US" w:eastAsia="zh-CN"/>
        </w:rPr>
        <w:t>0.</w:t>
      </w:r>
      <w:r>
        <w:rPr>
          <w:rFonts w:hint="eastAsia" w:hAnsi="宋体" w:eastAsia="宋体" w:cs="宋体"/>
          <w:color w:val="auto"/>
          <w:sz w:val="21"/>
          <w:highlight w:val="none"/>
          <w:lang w:eastAsia="zh-CN"/>
        </w:rPr>
        <w:t>3‰违约金，但违约金累计不得超过</w:t>
      </w:r>
      <w:r>
        <w:rPr>
          <w:rFonts w:hint="eastAsia" w:hAnsi="宋体" w:cs="宋体"/>
          <w:color w:val="auto"/>
          <w:sz w:val="21"/>
          <w:highlight w:val="none"/>
          <w:lang w:val="en-US" w:eastAsia="zh-CN"/>
        </w:rPr>
        <w:t>当期应付未付总</w:t>
      </w:r>
      <w:r>
        <w:rPr>
          <w:rFonts w:hint="eastAsia" w:hAnsi="宋体" w:eastAsia="宋体" w:cs="宋体"/>
          <w:color w:val="auto"/>
          <w:sz w:val="21"/>
          <w:highlight w:val="none"/>
          <w:lang w:eastAsia="zh-CN"/>
        </w:rPr>
        <w:t>额的5%。</w:t>
      </w:r>
    </w:p>
    <w:p w14:paraId="3265D86C">
      <w:pPr>
        <w:pStyle w:val="15"/>
        <w:snapToGrid w:val="0"/>
        <w:spacing w:line="360" w:lineRule="auto"/>
        <w:ind w:firstLine="420" w:firstLineChars="200"/>
        <w:rPr>
          <w:rFonts w:hint="eastAsia" w:hAnsi="宋体" w:eastAsia="宋体" w:cs="宋体"/>
          <w:color w:val="auto"/>
          <w:sz w:val="21"/>
          <w:highlight w:val="none"/>
          <w:lang w:val="en-US" w:eastAsia="zh-CN"/>
        </w:rPr>
      </w:pPr>
      <w:r>
        <w:rPr>
          <w:rFonts w:hint="eastAsia" w:hAnsi="宋体" w:eastAsia="宋体" w:cs="宋体"/>
          <w:color w:val="auto"/>
          <w:sz w:val="21"/>
          <w:highlight w:val="none"/>
          <w:lang w:val="en-US" w:eastAsia="zh-CN"/>
        </w:rPr>
        <w:t>4.乙方提供的产品不符合本合同约定或存在质量问题的，乙方应当按照本合同约定以及甲方要求进行退换，并承担由此产生的一切费用，因退</w:t>
      </w:r>
      <w:r>
        <w:rPr>
          <w:rFonts w:hint="eastAsia" w:hAnsi="宋体" w:cs="宋体"/>
          <w:color w:val="auto"/>
          <w:sz w:val="21"/>
          <w:highlight w:val="none"/>
          <w:lang w:val="en-US" w:eastAsia="zh-CN"/>
        </w:rPr>
        <w:t>换</w:t>
      </w:r>
      <w:r>
        <w:rPr>
          <w:rFonts w:hint="eastAsia" w:hAnsi="宋体" w:eastAsia="宋体" w:cs="宋体"/>
          <w:color w:val="auto"/>
          <w:sz w:val="21"/>
          <w:highlight w:val="none"/>
          <w:lang w:val="en-US" w:eastAsia="zh-CN"/>
        </w:rPr>
        <w:t>导致逾期交货的，乙方应当按照本合同第十一条第2点的内容承担逾期交货违约责任；乙方拒绝退换的，甲方有权解除合同，乙方应当自行取回货物，甲方不承担任何保管义务，并且乙方应当按照合同总金额的15%向甲方支付违约金。</w:t>
      </w:r>
    </w:p>
    <w:p w14:paraId="41486FD6">
      <w:pPr>
        <w:pStyle w:val="15"/>
        <w:snapToGrid w:val="0"/>
        <w:spacing w:line="360" w:lineRule="auto"/>
        <w:ind w:firstLine="420" w:firstLineChars="200"/>
        <w:rPr>
          <w:rFonts w:hint="eastAsia" w:hAnsi="宋体" w:eastAsia="宋体" w:cs="宋体"/>
          <w:color w:val="auto"/>
          <w:sz w:val="21"/>
          <w:highlight w:val="none"/>
          <w:lang w:val="en-US" w:eastAsia="zh-CN"/>
        </w:rPr>
      </w:pPr>
      <w:r>
        <w:rPr>
          <w:rFonts w:hint="eastAsia" w:hAnsi="宋体" w:eastAsia="宋体" w:cs="宋体"/>
          <w:color w:val="auto"/>
          <w:sz w:val="21"/>
          <w:highlight w:val="none"/>
          <w:lang w:val="en-US" w:eastAsia="zh-CN"/>
        </w:rPr>
        <w:t>5</w:t>
      </w:r>
      <w:r>
        <w:rPr>
          <w:rFonts w:hint="eastAsia" w:hAnsi="宋体" w:eastAsia="宋体" w:cs="宋体"/>
          <w:color w:val="auto"/>
          <w:sz w:val="21"/>
          <w:highlight w:val="none"/>
          <w:lang w:eastAsia="zh-CN"/>
        </w:rPr>
        <w:t>.乙方未按本合同和投标承诺提供售后服务的，</w:t>
      </w:r>
      <w:r>
        <w:rPr>
          <w:rFonts w:hint="eastAsia" w:hAnsi="宋体" w:eastAsia="宋体" w:cs="宋体"/>
          <w:color w:val="auto"/>
          <w:sz w:val="21"/>
          <w:highlight w:val="none"/>
          <w:lang w:val="en-US" w:eastAsia="zh-CN"/>
        </w:rPr>
        <w:t>经甲方书面催告1次仍不整改的，</w:t>
      </w:r>
      <w:r>
        <w:rPr>
          <w:rFonts w:hint="eastAsia" w:hAnsi="宋体" w:eastAsia="宋体" w:cs="宋体"/>
          <w:color w:val="auto"/>
          <w:sz w:val="21"/>
          <w:highlight w:val="none"/>
          <w:lang w:eastAsia="zh-CN"/>
        </w:rPr>
        <w:t>乙方应按本合同价款（报酬）的 5%向甲方支付违约金，</w:t>
      </w:r>
      <w:r>
        <w:rPr>
          <w:rFonts w:hint="eastAsia" w:hAnsi="宋体" w:eastAsia="宋体" w:cs="宋体"/>
          <w:color w:val="auto"/>
          <w:sz w:val="21"/>
          <w:highlight w:val="none"/>
          <w:lang w:val="en-US" w:eastAsia="zh-CN"/>
        </w:rPr>
        <w:t>同时甲方有权寻找第三方机构获得售后服务，全部费用由乙方承担，且无需经过乙方同意、确认。乙方经甲方书面催告3次仍不整改的，甲方有权解除合同，甲方解除合同的，无需向乙方支付任何设备使用费、折旧费以及其他补偿，</w:t>
      </w:r>
      <w:r>
        <w:rPr>
          <w:rFonts w:hint="eastAsia" w:hAnsi="宋体" w:cs="宋体"/>
          <w:color w:val="auto"/>
          <w:sz w:val="21"/>
          <w:highlight w:val="none"/>
          <w:lang w:val="en-US" w:eastAsia="zh-CN"/>
        </w:rPr>
        <w:t>乙方应当退还甲方支付过的费用，并</w:t>
      </w:r>
      <w:r>
        <w:rPr>
          <w:rFonts w:hint="eastAsia" w:hAnsi="宋体" w:eastAsia="宋体" w:cs="宋体"/>
          <w:color w:val="auto"/>
          <w:sz w:val="21"/>
          <w:highlight w:val="none"/>
          <w:lang w:val="en-US" w:eastAsia="zh-CN"/>
        </w:rPr>
        <w:t>自行取回货物</w:t>
      </w:r>
      <w:r>
        <w:rPr>
          <w:rFonts w:hint="eastAsia" w:hAnsi="宋体" w:cs="宋体"/>
          <w:color w:val="auto"/>
          <w:sz w:val="21"/>
          <w:highlight w:val="none"/>
          <w:lang w:val="en-US" w:eastAsia="zh-CN"/>
        </w:rPr>
        <w:t>，甲方不承担任何保管义务</w:t>
      </w:r>
      <w:r>
        <w:rPr>
          <w:rFonts w:hint="eastAsia" w:hAnsi="宋体" w:eastAsia="宋体" w:cs="宋体"/>
          <w:color w:val="auto"/>
          <w:sz w:val="21"/>
          <w:highlight w:val="none"/>
          <w:lang w:val="en-US" w:eastAsia="zh-CN"/>
        </w:rPr>
        <w:t>。</w:t>
      </w:r>
    </w:p>
    <w:p w14:paraId="69D5C448">
      <w:pPr>
        <w:pStyle w:val="15"/>
        <w:snapToGrid w:val="0"/>
        <w:spacing w:line="360" w:lineRule="auto"/>
        <w:ind w:firstLine="420" w:firstLineChars="200"/>
        <w:rPr>
          <w:rFonts w:hint="eastAsia" w:hAnsi="宋体" w:eastAsia="宋体" w:cs="宋体"/>
          <w:color w:val="auto"/>
          <w:sz w:val="21"/>
          <w:highlight w:val="none"/>
          <w:lang w:eastAsia="zh-CN"/>
        </w:rPr>
      </w:pPr>
      <w:r>
        <w:rPr>
          <w:rFonts w:hint="eastAsia" w:hAnsi="宋体" w:cs="宋体"/>
          <w:color w:val="auto"/>
          <w:sz w:val="21"/>
          <w:highlight w:val="none"/>
          <w:lang w:val="en-US" w:eastAsia="zh-CN"/>
        </w:rPr>
        <w:t>6</w:t>
      </w:r>
      <w:r>
        <w:rPr>
          <w:rFonts w:hint="eastAsia" w:hAnsi="宋体" w:eastAsia="宋体" w:cs="宋体"/>
          <w:color w:val="auto"/>
          <w:sz w:val="21"/>
          <w:highlight w:val="none"/>
          <w:lang w:eastAsia="zh-CN"/>
        </w:rPr>
        <w:t>.因某一方原因导致变更、中止或者终止政府采购合同的，该方应当对另一方受到的损失予以赔偿或者补偿。</w:t>
      </w:r>
    </w:p>
    <w:p w14:paraId="71656CC1">
      <w:pPr>
        <w:pStyle w:val="15"/>
        <w:snapToGrid w:val="0"/>
        <w:spacing w:line="360" w:lineRule="auto"/>
        <w:ind w:firstLine="420" w:firstLineChars="200"/>
        <w:rPr>
          <w:rFonts w:hint="eastAsia" w:hAnsi="宋体" w:eastAsia="宋体" w:cs="宋体"/>
          <w:color w:val="auto"/>
          <w:sz w:val="21"/>
          <w:highlight w:val="none"/>
          <w:lang w:eastAsia="zh-CN"/>
        </w:rPr>
      </w:pPr>
      <w:r>
        <w:rPr>
          <w:rFonts w:hint="eastAsia" w:hAnsi="宋体" w:cs="宋体"/>
          <w:color w:val="auto"/>
          <w:sz w:val="21"/>
          <w:highlight w:val="none"/>
          <w:lang w:val="en-US" w:eastAsia="zh-CN"/>
        </w:rPr>
        <w:t>7</w:t>
      </w:r>
      <w:r>
        <w:rPr>
          <w:rFonts w:hint="eastAsia" w:hAnsi="宋体" w:eastAsia="宋体" w:cs="宋体"/>
          <w:color w:val="auto"/>
          <w:sz w:val="21"/>
          <w:highlight w:val="none"/>
          <w:lang w:eastAsia="zh-CN"/>
        </w:rPr>
        <w:t>.其它违约责任按《中华人民共和国民法典》处理。</w:t>
      </w:r>
    </w:p>
    <w:p w14:paraId="130AFF4B">
      <w:pPr>
        <w:pStyle w:val="15"/>
        <w:snapToGrid w:val="0"/>
        <w:spacing w:line="360" w:lineRule="auto"/>
        <w:ind w:firstLine="422" w:firstLineChars="200"/>
        <w:rPr>
          <w:rFonts w:hint="eastAsia" w:hAnsi="宋体" w:eastAsia="宋体" w:cs="宋体"/>
          <w:b/>
          <w:color w:val="auto"/>
          <w:sz w:val="21"/>
          <w:highlight w:val="none"/>
        </w:rPr>
      </w:pPr>
      <w:r>
        <w:rPr>
          <w:rFonts w:hint="eastAsia" w:hAnsi="宋体" w:eastAsia="宋体" w:cs="宋体"/>
          <w:b/>
          <w:color w:val="auto"/>
          <w:sz w:val="21"/>
          <w:highlight w:val="none"/>
        </w:rPr>
        <w:t>第十</w:t>
      </w:r>
      <w:r>
        <w:rPr>
          <w:rFonts w:hint="eastAsia" w:hAnsi="宋体" w:eastAsia="宋体" w:cs="宋体"/>
          <w:b/>
          <w:color w:val="auto"/>
          <w:sz w:val="21"/>
          <w:highlight w:val="none"/>
          <w:lang w:eastAsia="zh-CN"/>
        </w:rPr>
        <w:t>二</w:t>
      </w:r>
      <w:r>
        <w:rPr>
          <w:rFonts w:hint="eastAsia" w:hAnsi="宋体" w:eastAsia="宋体" w:cs="宋体"/>
          <w:b/>
          <w:color w:val="auto"/>
          <w:sz w:val="21"/>
          <w:highlight w:val="none"/>
        </w:rPr>
        <w:t>条  不可抗力事件处理</w:t>
      </w:r>
    </w:p>
    <w:p w14:paraId="0E30C5A3">
      <w:pPr>
        <w:pStyle w:val="15"/>
        <w:snapToGrid w:val="0"/>
        <w:spacing w:line="360" w:lineRule="auto"/>
        <w:ind w:firstLine="420" w:firstLineChars="200"/>
        <w:rPr>
          <w:rFonts w:hint="eastAsia" w:hAnsi="宋体" w:eastAsia="宋体" w:cs="宋体"/>
          <w:color w:val="auto"/>
          <w:sz w:val="21"/>
          <w:highlight w:val="none"/>
        </w:rPr>
      </w:pPr>
      <w:r>
        <w:rPr>
          <w:rFonts w:hint="eastAsia" w:hAnsi="宋体" w:eastAsia="宋体" w:cs="宋体"/>
          <w:color w:val="auto"/>
          <w:sz w:val="21"/>
          <w:highlight w:val="none"/>
        </w:rPr>
        <w:t>1.在合同有效期内，任何一方因不可抗力事件导致不能履行合同，则合同履行期可延长，其延长期与不可抗力影响期相同。</w:t>
      </w:r>
    </w:p>
    <w:p w14:paraId="70AF572C">
      <w:pPr>
        <w:pStyle w:val="15"/>
        <w:snapToGrid w:val="0"/>
        <w:spacing w:line="360" w:lineRule="auto"/>
        <w:ind w:firstLine="420" w:firstLineChars="200"/>
        <w:rPr>
          <w:rFonts w:hint="eastAsia" w:hAnsi="宋体" w:eastAsia="宋体" w:cs="宋体"/>
          <w:color w:val="auto"/>
          <w:sz w:val="21"/>
          <w:highlight w:val="none"/>
        </w:rPr>
      </w:pPr>
      <w:r>
        <w:rPr>
          <w:rFonts w:hint="eastAsia" w:hAnsi="宋体" w:eastAsia="宋体" w:cs="宋体"/>
          <w:color w:val="auto"/>
          <w:sz w:val="21"/>
          <w:highlight w:val="none"/>
        </w:rPr>
        <w:t>2.不可抗力事件发生后，应立即通知对方，并寄送有关权威机构出具的证明。</w:t>
      </w:r>
    </w:p>
    <w:p w14:paraId="56D980F2">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3.不可抗力事件延续一百二十天以上，双方应通过友好协商，确定是否继续履行合同。</w:t>
      </w:r>
    </w:p>
    <w:p w14:paraId="4C851440">
      <w:pPr>
        <w:snapToGrid w:val="0"/>
        <w:spacing w:line="360" w:lineRule="auto"/>
        <w:ind w:firstLine="422" w:firstLineChars="20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第十三条  合同争议解决</w:t>
      </w:r>
    </w:p>
    <w:p w14:paraId="2A95FD41">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1.因货物质量问题发生争议的，应邀请国家认可的质量检测机构对货物质量进行鉴定</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鉴定工作由乙方负责，并由乙方先行垫付鉴定费</w:t>
      </w:r>
      <w:r>
        <w:rPr>
          <w:rFonts w:hint="eastAsia" w:ascii="宋体" w:hAnsi="宋体" w:eastAsia="宋体" w:cs="宋体"/>
          <w:color w:val="auto"/>
          <w:szCs w:val="21"/>
          <w:highlight w:val="none"/>
        </w:rPr>
        <w:t>。货物符合标准的，鉴定费由甲方承担；货物不符合标准的，鉴定费由乙方承担。</w:t>
      </w:r>
    </w:p>
    <w:p w14:paraId="07CE9E5D">
      <w:pPr>
        <w:autoSpaceDE w:val="0"/>
        <w:autoSpaceDN w:val="0"/>
        <w:adjustRightInd w:val="0"/>
        <w:spacing w:line="360" w:lineRule="auto"/>
        <w:ind w:left="0" w:right="0"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2.因履行本合同引起的或者与本合同有关的争议，甲乙双方应首先通过友好协商解决，如果协商不能解决，应向甲方所在地有管辖权的人民法院提起诉讼。</w:t>
      </w:r>
      <w:r>
        <w:rPr>
          <w:rFonts w:hint="eastAsia" w:ascii="宋体" w:hAnsi="宋体" w:eastAsia="宋体" w:cs="宋体"/>
          <w:color w:val="auto"/>
          <w:szCs w:val="21"/>
          <w:highlight w:val="none"/>
          <w:lang w:val="en-US" w:eastAsia="zh-CN"/>
        </w:rPr>
        <w:t>守约方有权要求违约方支付因维护自身权益所支出的诉讼费、律师费、交通费、保险费、保全费、执行费等一切费用。</w:t>
      </w:r>
    </w:p>
    <w:p w14:paraId="378C309E">
      <w:pPr>
        <w:pStyle w:val="40"/>
        <w:spacing w:line="360" w:lineRule="auto"/>
        <w:rPr>
          <w:rFonts w:hint="eastAsia"/>
        </w:rPr>
      </w:pPr>
      <w:r>
        <w:rPr>
          <w:rFonts w:hint="eastAsia" w:ascii="宋体" w:hAnsi="宋体"/>
          <w:color w:val="auto"/>
          <w:szCs w:val="21"/>
          <w:highlight w:val="none"/>
          <w:lang w:val="en-US" w:eastAsia="zh-CN"/>
        </w:rPr>
        <w:t>3.本合同所留单位地址为各方居住地址或者主要办事机构所在地址，本合同履行过程中发生任何纠纷，则前述地址视为法院邮寄法律文书及邮寄催收函、律师函、工作联系函等文件的法定送达地址。所留电话为文件邮寄的联系电话，邮件一旦邮寄，不管是否签收即视为送达，拒收或者退件，以拒收或者退件时间为送达时间。</w:t>
      </w:r>
    </w:p>
    <w:p w14:paraId="7B475F5B">
      <w:pPr>
        <w:autoSpaceDE w:val="0"/>
        <w:autoSpaceDN w:val="0"/>
        <w:adjustRightInd w:val="0"/>
        <w:spacing w:line="360" w:lineRule="auto"/>
        <w:ind w:left="0" w:right="0"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第十四条　合同的变更、中止或者终止</w:t>
      </w:r>
    </w:p>
    <w:p w14:paraId="27786394">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 除《中华人民共和国政府采购法》第五十条规定的情形外，本合同一经签订，甲乙双方不得擅自变更、中止或者终止合同。</w:t>
      </w:r>
    </w:p>
    <w:p w14:paraId="39A3928C">
      <w:pPr>
        <w:pStyle w:val="12"/>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2.采购合同继续履行将损害国家利益和社会公共利益的，双方当事人应当变更、中止或者终止合同。有过错的一方应当承担赔偿责任，双方都有过错的，各自承担相应的责任。</w:t>
      </w:r>
    </w:p>
    <w:p w14:paraId="6A227944">
      <w:pPr>
        <w:snapToGrid w:val="0"/>
        <w:spacing w:line="360" w:lineRule="auto"/>
        <w:ind w:firstLine="422" w:firstLineChars="20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第十五条　知识产权、权利保证和保密要求</w:t>
      </w:r>
    </w:p>
    <w:p w14:paraId="71B52C99">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1.甲方在履行合同过程中提供给乙方的全部图纸、文件和其他含有数据和信息的资料，其知识产权属于甲方。</w:t>
      </w:r>
    </w:p>
    <w:p w14:paraId="5D0C3EA2">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2.除招标文件采购需求另有约定外，甲方不因签署和履行合同而享有乙方在履行合同过程中提供给甲方的图纸、文件、配套软件、电子辅助程序和其他含有数据和信息的资料的知识产权。</w:t>
      </w:r>
    </w:p>
    <w:p w14:paraId="7255E226">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乙方应保证所提供货物在使用时不会侵犯任何第三方的知识产权或者其他权利。如合同货物涉及知识产权，则乙方保证甲方在使用合同货物过程中免于受到第三方提出的有关知识产权侵权的主张、索赔或诉讼的伤害。</w:t>
      </w:r>
    </w:p>
    <w:p w14:paraId="5AC94024">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4.如果甲方收到任何第三方有关知识产权</w:t>
      </w:r>
      <w:r>
        <w:rPr>
          <w:rFonts w:hint="eastAsia" w:ascii="宋体" w:hAnsi="宋体" w:cs="宋体"/>
          <w:color w:val="auto"/>
          <w:szCs w:val="21"/>
          <w:highlight w:val="none"/>
          <w:lang w:val="en-US" w:eastAsia="zh-CN"/>
        </w:rPr>
        <w:t>或其他权利</w:t>
      </w:r>
      <w:r>
        <w:rPr>
          <w:rFonts w:hint="eastAsia" w:ascii="宋体" w:hAnsi="宋体" w:eastAsia="宋体" w:cs="宋体"/>
          <w:color w:val="auto"/>
          <w:szCs w:val="21"/>
          <w:highlight w:val="none"/>
        </w:rPr>
        <w:t>的主张、索赔或诉讼，乙方在收到甲方通知后， 应以甲方名义并在甲方的协助下，自负费用处理与第三方的索赔或诉讼，并赔偿甲方因此发生的费用和遭受的损失。如果乙方拒绝处理前述索赔或诉讼或在收到甲方通知后</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日内未作表示，甲方可以自己的名义进行这些索赔或诉讼，因此发生的费用和遭受的损失均应由乙方承担</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包括但不限于支付给第三方的赔偿金、补偿金、因消除负面影响或舆情产生的全部费用、因涉纠纷发生的律师费、诉讼费、保全费、保全担保保险费、差旅费等</w:t>
      </w:r>
      <w:r>
        <w:rPr>
          <w:rFonts w:hint="eastAsia" w:ascii="宋体" w:hAnsi="宋体" w:eastAsia="宋体" w:cs="宋体"/>
          <w:color w:val="auto"/>
          <w:szCs w:val="21"/>
          <w:highlight w:val="none"/>
        </w:rPr>
        <w:t>。</w:t>
      </w:r>
    </w:p>
    <w:p w14:paraId="24917C1E">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未经甲方书面同意，乙方不得将由甲方提供的有关合同或者任何合同条款、规格、计划、图纸、样品或者资料提供给与履行本合同无关的任何其他人。即使向履行本合同有关的其他人员提供，也应注意保密并限于履行合同的必需范围。</w:t>
      </w:r>
    </w:p>
    <w:p w14:paraId="589FF5CD">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6.乙方保证将要交付的货物的所有权完全属于乙方且无任何抵押、质押、查封等产权瑕疵。</w:t>
      </w:r>
    </w:p>
    <w:p w14:paraId="7C7590AF">
      <w:pPr>
        <w:pStyle w:val="15"/>
        <w:snapToGrid w:val="0"/>
        <w:spacing w:line="360" w:lineRule="auto"/>
        <w:ind w:firstLine="422" w:firstLineChars="200"/>
        <w:rPr>
          <w:rFonts w:hint="eastAsia" w:hAnsi="宋体" w:eastAsia="宋体" w:cs="宋体"/>
          <w:b/>
          <w:color w:val="auto"/>
          <w:sz w:val="21"/>
          <w:highlight w:val="none"/>
        </w:rPr>
      </w:pPr>
      <w:r>
        <w:rPr>
          <w:rFonts w:hint="eastAsia" w:hAnsi="宋体" w:eastAsia="宋体" w:cs="宋体"/>
          <w:b/>
          <w:color w:val="auto"/>
          <w:sz w:val="21"/>
          <w:highlight w:val="none"/>
        </w:rPr>
        <w:t>第十</w:t>
      </w:r>
      <w:r>
        <w:rPr>
          <w:rFonts w:hint="eastAsia" w:hAnsi="宋体" w:eastAsia="宋体" w:cs="宋体"/>
          <w:b/>
          <w:color w:val="auto"/>
          <w:sz w:val="21"/>
          <w:highlight w:val="none"/>
          <w:lang w:eastAsia="zh-CN"/>
        </w:rPr>
        <w:t>六</w:t>
      </w:r>
      <w:r>
        <w:rPr>
          <w:rFonts w:hint="eastAsia" w:hAnsi="宋体" w:eastAsia="宋体" w:cs="宋体"/>
          <w:b/>
          <w:color w:val="auto"/>
          <w:sz w:val="21"/>
          <w:highlight w:val="none"/>
        </w:rPr>
        <w:t>条  合同生效及其它</w:t>
      </w:r>
    </w:p>
    <w:p w14:paraId="44609FE4">
      <w:pPr>
        <w:pStyle w:val="15"/>
        <w:snapToGrid w:val="0"/>
        <w:spacing w:line="360" w:lineRule="auto"/>
        <w:ind w:firstLine="420" w:firstLineChars="200"/>
        <w:rPr>
          <w:rFonts w:hint="eastAsia" w:hAnsi="宋体" w:eastAsia="宋体" w:cs="宋体"/>
          <w:color w:val="auto"/>
          <w:sz w:val="21"/>
          <w:highlight w:val="none"/>
        </w:rPr>
      </w:pPr>
      <w:r>
        <w:rPr>
          <w:rFonts w:hint="eastAsia" w:hAnsi="宋体" w:eastAsia="宋体" w:cs="宋体"/>
          <w:color w:val="auto"/>
          <w:sz w:val="21"/>
          <w:highlight w:val="none"/>
        </w:rPr>
        <w:t>1.合同经双方法定代表人或者委托代理人签字并加盖单位公章后生效（委托代理人签字的需后附授权委托书，格式自拟）。</w:t>
      </w:r>
    </w:p>
    <w:p w14:paraId="310E8106">
      <w:pPr>
        <w:pStyle w:val="12"/>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2.合同执行中涉及采购资金和采购内容修改或者补充的，并签书面补充协议报财政部门备案，方可作为主合同不可分割的一部分。</w:t>
      </w:r>
    </w:p>
    <w:p w14:paraId="377F59FE">
      <w:pPr>
        <w:pStyle w:val="12"/>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3.合同生效后，甲乙双方不得因姓名、名称的变更或者法定代表人、负责人、承办人的变动而不履行合同义务。</w:t>
      </w:r>
    </w:p>
    <w:p w14:paraId="753406FF">
      <w:pPr>
        <w:pStyle w:val="15"/>
        <w:snapToGrid w:val="0"/>
        <w:spacing w:line="360" w:lineRule="auto"/>
        <w:ind w:left="0" w:leftChars="0" w:firstLine="420" w:firstLineChars="200"/>
        <w:rPr>
          <w:rFonts w:hint="eastAsia" w:hAnsi="宋体" w:eastAsia="宋体" w:cs="宋体"/>
          <w:color w:val="auto"/>
          <w:sz w:val="21"/>
          <w:highlight w:val="none"/>
        </w:rPr>
      </w:pPr>
      <w:r>
        <w:rPr>
          <w:rFonts w:hint="eastAsia" w:hAnsi="宋体" w:eastAsia="宋体" w:cs="宋体"/>
          <w:color w:val="auto"/>
          <w:sz w:val="21"/>
          <w:highlight w:val="none"/>
          <w:lang w:eastAsia="zh-CN"/>
        </w:rPr>
        <w:t>4</w:t>
      </w:r>
      <w:r>
        <w:rPr>
          <w:rFonts w:hint="eastAsia" w:hAnsi="宋体" w:eastAsia="宋体" w:cs="宋体"/>
          <w:color w:val="auto"/>
          <w:sz w:val="21"/>
          <w:highlight w:val="none"/>
        </w:rPr>
        <w:t>.本合同未尽事宜，遵照《中华人民共和国民法典》有关条文执行。</w:t>
      </w:r>
    </w:p>
    <w:p w14:paraId="0BEF70E5">
      <w:pPr>
        <w:adjustRightInd w:val="0"/>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第十七条　签订本合同依据</w:t>
      </w:r>
    </w:p>
    <w:p w14:paraId="77E6D8D2">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1.政府采购招标文件；</w:t>
      </w:r>
    </w:p>
    <w:p w14:paraId="0850EBF1">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2.乙方提供的投标文件；</w:t>
      </w:r>
    </w:p>
    <w:p w14:paraId="5E7B509C">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3.中标通知书。</w:t>
      </w:r>
    </w:p>
    <w:p w14:paraId="0B6615B3">
      <w:pPr>
        <w:adjustRightInd w:val="0"/>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第十八条 廉洁承诺</w:t>
      </w:r>
    </w:p>
    <w:p w14:paraId="072B83AF">
      <w:pPr>
        <w:pStyle w:val="15"/>
        <w:adjustRightInd w:val="0"/>
        <w:snapToGrid w:val="0"/>
        <w:spacing w:line="360" w:lineRule="auto"/>
        <w:ind w:firstLine="420" w:firstLineChars="200"/>
        <w:jc w:val="left"/>
        <w:rPr>
          <w:rFonts w:hint="eastAsia" w:hAnsi="宋体" w:eastAsia="宋体" w:cs="宋体"/>
          <w:color w:val="auto"/>
          <w:sz w:val="21"/>
          <w:highlight w:val="none"/>
        </w:rPr>
      </w:pPr>
      <w:r>
        <w:rPr>
          <w:rFonts w:hint="eastAsia" w:hAnsi="宋体" w:eastAsia="宋体" w:cs="宋体"/>
          <w:color w:val="auto"/>
          <w:sz w:val="21"/>
          <w:highlight w:val="none"/>
        </w:rPr>
        <w:t>为保证医疗设备购销领域活动的廉洁性，防止各类违法违纪案件的发生，乙方供货公司和所属人员庄严承诺如下：</w:t>
      </w:r>
    </w:p>
    <w:p w14:paraId="73190F3A">
      <w:pPr>
        <w:pStyle w:val="15"/>
        <w:adjustRightInd w:val="0"/>
        <w:snapToGrid w:val="0"/>
        <w:spacing w:line="360" w:lineRule="auto"/>
        <w:ind w:firstLine="420" w:firstLineChars="200"/>
        <w:jc w:val="left"/>
        <w:rPr>
          <w:rFonts w:hint="eastAsia" w:hAnsi="宋体" w:eastAsia="宋体" w:cs="宋体"/>
          <w:color w:val="auto"/>
          <w:sz w:val="21"/>
          <w:highlight w:val="none"/>
        </w:rPr>
      </w:pPr>
      <w:r>
        <w:rPr>
          <w:rFonts w:hint="eastAsia" w:hAnsi="宋体" w:eastAsia="宋体" w:cs="宋体"/>
          <w:color w:val="auto"/>
          <w:sz w:val="21"/>
          <w:highlight w:val="none"/>
        </w:rPr>
        <w:t>1．遵守国家的法律法规。依法处理医疗设备购销业务，保证不搞违法乱纪活动，自觉接受执法执纪部门的监督检查；</w:t>
      </w:r>
    </w:p>
    <w:p w14:paraId="1F526346">
      <w:pPr>
        <w:pStyle w:val="15"/>
        <w:adjustRightInd w:val="0"/>
        <w:snapToGrid w:val="0"/>
        <w:spacing w:line="360" w:lineRule="auto"/>
        <w:ind w:firstLine="420" w:firstLineChars="200"/>
        <w:jc w:val="left"/>
        <w:rPr>
          <w:rFonts w:hint="eastAsia" w:hAnsi="宋体" w:eastAsia="宋体" w:cs="宋体"/>
          <w:color w:val="auto"/>
          <w:sz w:val="21"/>
          <w:highlight w:val="none"/>
        </w:rPr>
      </w:pPr>
      <w:r>
        <w:rPr>
          <w:rFonts w:hint="eastAsia" w:hAnsi="宋体" w:eastAsia="宋体" w:cs="宋体"/>
          <w:color w:val="auto"/>
          <w:sz w:val="21"/>
          <w:highlight w:val="none"/>
        </w:rPr>
        <w:t>2．在医疗设备购销领域中，保证不以任何形式给予医院工作人员回扣、好处费等；</w:t>
      </w:r>
    </w:p>
    <w:p w14:paraId="2C0F59D5">
      <w:pPr>
        <w:pStyle w:val="15"/>
        <w:adjustRightInd w:val="0"/>
        <w:snapToGrid w:val="0"/>
        <w:spacing w:line="360" w:lineRule="auto"/>
        <w:ind w:firstLine="420" w:firstLineChars="200"/>
        <w:jc w:val="left"/>
        <w:rPr>
          <w:rFonts w:hint="eastAsia" w:hAnsi="宋体" w:eastAsia="宋体" w:cs="宋体"/>
          <w:color w:val="auto"/>
          <w:sz w:val="21"/>
          <w:highlight w:val="none"/>
        </w:rPr>
      </w:pPr>
      <w:r>
        <w:rPr>
          <w:rFonts w:hint="eastAsia" w:hAnsi="宋体" w:eastAsia="宋体" w:cs="宋体"/>
          <w:color w:val="auto"/>
          <w:sz w:val="21"/>
          <w:highlight w:val="none"/>
        </w:rPr>
        <w:t>3．在正常业务交往中，保证不赠送各种礼金、有价证券和贵重物品，不给对方报销应由个人支付的费用；</w:t>
      </w:r>
    </w:p>
    <w:p w14:paraId="034170F7">
      <w:pPr>
        <w:pStyle w:val="15"/>
        <w:adjustRightInd w:val="0"/>
        <w:snapToGrid w:val="0"/>
        <w:spacing w:line="360" w:lineRule="auto"/>
        <w:ind w:firstLine="420" w:firstLineChars="200"/>
        <w:jc w:val="left"/>
        <w:rPr>
          <w:rFonts w:hint="eastAsia" w:hAnsi="宋体" w:eastAsia="宋体" w:cs="宋体"/>
          <w:color w:val="auto"/>
          <w:sz w:val="21"/>
          <w:highlight w:val="none"/>
        </w:rPr>
      </w:pPr>
      <w:r>
        <w:rPr>
          <w:rFonts w:hint="eastAsia" w:hAnsi="宋体" w:eastAsia="宋体" w:cs="宋体"/>
          <w:color w:val="auto"/>
          <w:sz w:val="21"/>
          <w:highlight w:val="none"/>
        </w:rPr>
        <w:t>4．维护正常的医疗秩序，保证不以宴请、高消费娱乐、提供国（境）外学术活动等手段影响医生的用药选择权；</w:t>
      </w:r>
    </w:p>
    <w:p w14:paraId="7F97194B">
      <w:pPr>
        <w:pStyle w:val="15"/>
        <w:adjustRightInd w:val="0"/>
        <w:snapToGrid w:val="0"/>
        <w:spacing w:line="360" w:lineRule="auto"/>
        <w:ind w:firstLine="420" w:firstLineChars="200"/>
        <w:jc w:val="left"/>
        <w:rPr>
          <w:rFonts w:hint="eastAsia" w:hAnsi="宋体" w:eastAsia="宋体" w:cs="宋体"/>
          <w:color w:val="auto"/>
          <w:sz w:val="21"/>
          <w:highlight w:val="none"/>
        </w:rPr>
      </w:pPr>
      <w:r>
        <w:rPr>
          <w:rFonts w:hint="eastAsia" w:hAnsi="宋体" w:eastAsia="宋体" w:cs="宋体"/>
          <w:color w:val="auto"/>
          <w:sz w:val="21"/>
          <w:highlight w:val="none"/>
        </w:rPr>
        <w:t>5．乙方给医院的捐赠款物，保证严格按照《中华人民共和国公益事业捐赠法》和《卫生计生单位接受公益事业捐赠管理办法》（国卫财务发2015 77号）等法律法规执行；</w:t>
      </w:r>
    </w:p>
    <w:p w14:paraId="3396FAC2">
      <w:pPr>
        <w:pStyle w:val="15"/>
        <w:adjustRightInd w:val="0"/>
        <w:snapToGrid w:val="0"/>
        <w:spacing w:line="360" w:lineRule="auto"/>
        <w:ind w:firstLine="420" w:firstLineChars="200"/>
        <w:jc w:val="left"/>
        <w:rPr>
          <w:rFonts w:hint="eastAsia" w:hAnsi="宋体" w:eastAsia="宋体" w:cs="宋体"/>
          <w:color w:val="auto"/>
          <w:sz w:val="21"/>
          <w:highlight w:val="none"/>
        </w:rPr>
      </w:pPr>
      <w:r>
        <w:rPr>
          <w:rFonts w:hint="eastAsia" w:hAnsi="宋体" w:eastAsia="宋体" w:cs="宋体"/>
          <w:color w:val="auto"/>
          <w:sz w:val="21"/>
          <w:highlight w:val="none"/>
        </w:rPr>
        <w:t>6．严格对业务代表进行管理，不进入医院门诊、病区、科室向医护人员推销医疗产品，业务代表不得以任何理由让临床、设备、信息等有关人员统计医生处方和有关耗材的用量信息或要求相关人员为此提供便利；</w:t>
      </w:r>
    </w:p>
    <w:p w14:paraId="2647C522">
      <w:pPr>
        <w:pStyle w:val="15"/>
        <w:adjustRightInd w:val="0"/>
        <w:snapToGrid w:val="0"/>
        <w:spacing w:line="360" w:lineRule="auto"/>
        <w:ind w:firstLine="420" w:firstLineChars="200"/>
        <w:jc w:val="left"/>
        <w:rPr>
          <w:rFonts w:hint="eastAsia" w:hAnsi="宋体" w:eastAsia="宋体" w:cs="宋体"/>
          <w:color w:val="auto"/>
          <w:sz w:val="21"/>
          <w:highlight w:val="none"/>
        </w:rPr>
      </w:pPr>
      <w:r>
        <w:rPr>
          <w:rFonts w:hint="eastAsia" w:hAnsi="宋体" w:eastAsia="宋体" w:cs="宋体"/>
          <w:color w:val="auto"/>
          <w:sz w:val="21"/>
          <w:highlight w:val="none"/>
        </w:rPr>
        <w:t>以上承诺如有违反，乙方愿意按照《国家卫生计生委关于建立医药购销领域商业贿赂不良记录的规定》（国卫法制发〔2013〕50号）等相关规定处理。如果情节严重的移交司法机关处理。</w:t>
      </w:r>
    </w:p>
    <w:p w14:paraId="2D0FDC7D">
      <w:pPr>
        <w:adjustRightInd w:val="0"/>
        <w:snapToGrid w:val="0"/>
        <w:spacing w:line="360" w:lineRule="auto"/>
        <w:ind w:firstLine="422" w:firstLineChars="200"/>
        <w:rPr>
          <w:rFonts w:ascii="Arial" w:hAnsi="Arial" w:cs="Arial"/>
          <w:color w:val="auto"/>
          <w:szCs w:val="21"/>
          <w:highlight w:val="none"/>
        </w:rPr>
      </w:pPr>
      <w:r>
        <w:rPr>
          <w:rFonts w:hint="eastAsia" w:ascii="宋体" w:hAnsi="宋体" w:eastAsia="宋体" w:cs="宋体"/>
          <w:b/>
          <w:color w:val="auto"/>
          <w:szCs w:val="21"/>
          <w:highlight w:val="none"/>
        </w:rPr>
        <w:t>第十九条　</w:t>
      </w:r>
      <w:r>
        <w:rPr>
          <w:rFonts w:hint="eastAsia" w:ascii="宋体" w:hAnsi="宋体" w:eastAsia="宋体" w:cs="宋体"/>
          <w:color w:val="auto"/>
          <w:szCs w:val="21"/>
          <w:highlight w:val="none"/>
        </w:rPr>
        <w:t>本合同一式陆份，具有同等法律效力。甲方肆份，乙方壹份，</w:t>
      </w:r>
      <w:r>
        <w:rPr>
          <w:rFonts w:hint="eastAsia" w:ascii="宋体" w:hAnsi="宋体" w:eastAsia="宋体" w:cs="宋体"/>
          <w:color w:val="auto"/>
          <w:spacing w:val="4"/>
          <w:szCs w:val="21"/>
          <w:highlight w:val="none"/>
        </w:rPr>
        <w:t>采购代理机构</w:t>
      </w:r>
      <w:r>
        <w:rPr>
          <w:rFonts w:hint="eastAsia" w:ascii="宋体" w:hAnsi="宋体" w:eastAsia="宋体" w:cs="宋体"/>
          <w:color w:val="auto"/>
          <w:szCs w:val="21"/>
          <w:highlight w:val="none"/>
        </w:rPr>
        <w:t>壹份。</w:t>
      </w:r>
      <w:r>
        <w:rPr>
          <w:rFonts w:ascii="Arial" w:hAnsi="Arial" w:cs="Arial"/>
          <w:color w:val="auto"/>
          <w:szCs w:val="21"/>
          <w:highlight w:val="none"/>
        </w:rPr>
        <w:t>本合同经甲乙双方法定代表人或授权代表签字并加盖单位公章后生效。</w:t>
      </w:r>
    </w:p>
    <w:p w14:paraId="1A7EC7FB">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w:t>
      </w:r>
    </w:p>
    <w:p w14:paraId="5463CE14">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1.中标通知书</w:t>
      </w:r>
    </w:p>
    <w:p w14:paraId="536C6580">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2.招标文件技术、商务要求</w:t>
      </w:r>
    </w:p>
    <w:p w14:paraId="29AC9CBD">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3.乙方的投标声明、开标一览表、技术要求偏离表、商务要求偏离表、设备性能配置清单</w:t>
      </w:r>
      <w:r>
        <w:rPr>
          <w:rFonts w:hint="eastAsia" w:ascii="宋体" w:hAnsi="宋体" w:cs="宋体"/>
          <w:color w:val="auto"/>
          <w:szCs w:val="21"/>
          <w:highlight w:val="none"/>
          <w:lang w:eastAsia="zh-CN"/>
        </w:rPr>
        <w:t>及参数</w:t>
      </w:r>
      <w:r>
        <w:rPr>
          <w:rFonts w:hint="eastAsia" w:ascii="宋体" w:hAnsi="宋体" w:eastAsia="宋体" w:cs="宋体"/>
          <w:color w:val="auto"/>
          <w:szCs w:val="21"/>
          <w:highlight w:val="none"/>
        </w:rPr>
        <w:t>（如有）、售后服务方案（如有）、选配件、专用耗材、售后服务优惠表（如有）</w:t>
      </w:r>
    </w:p>
    <w:p w14:paraId="4D16A4DC">
      <w:pPr>
        <w:adjustRightInd w:val="0"/>
        <w:snapToGrid w:val="0"/>
        <w:spacing w:line="360" w:lineRule="auto"/>
        <w:ind w:left="420" w:leftChars="200"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4.乙方的营业执照等主体证明文件、医疗器械经营许可证（或医疗器械经营备案凭证）</w:t>
      </w:r>
    </w:p>
    <w:p w14:paraId="2218F27C">
      <w:pPr>
        <w:adjustRightInd w:val="0"/>
        <w:snapToGrid w:val="0"/>
        <w:spacing w:line="360" w:lineRule="auto"/>
        <w:ind w:left="420" w:leftChars="200"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5.制造商授权书（如有）</w:t>
      </w:r>
    </w:p>
    <w:p w14:paraId="5CFA039D">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rPr>
        <w:t>.制造商</w:t>
      </w:r>
      <w:r>
        <w:rPr>
          <w:rFonts w:hint="eastAsia" w:ascii="宋体" w:hAnsi="宋体" w:cs="宋体"/>
          <w:color w:val="auto"/>
          <w:szCs w:val="21"/>
          <w:highlight w:val="none"/>
          <w:lang w:eastAsia="zh-CN"/>
        </w:rPr>
        <w:t>相关资质</w:t>
      </w:r>
      <w:r>
        <w:rPr>
          <w:rFonts w:hint="eastAsia" w:ascii="宋体" w:hAnsi="宋体" w:eastAsia="宋体" w:cs="宋体"/>
          <w:color w:val="auto"/>
          <w:szCs w:val="21"/>
          <w:highlight w:val="none"/>
        </w:rPr>
        <w:t>及合同标的对应的医疗器械注册证复印件</w:t>
      </w:r>
      <w:r>
        <w:rPr>
          <w:rFonts w:hint="eastAsia" w:ascii="宋体" w:hAnsi="宋体" w:cs="宋体"/>
          <w:color w:val="auto"/>
          <w:szCs w:val="21"/>
          <w:highlight w:val="none"/>
          <w:lang w:eastAsia="zh-CN"/>
        </w:rPr>
        <w:t>等</w:t>
      </w:r>
      <w:r>
        <w:rPr>
          <w:rFonts w:hint="eastAsia" w:ascii="宋体" w:hAnsi="宋体" w:eastAsia="宋体" w:cs="宋体"/>
          <w:color w:val="auto"/>
          <w:szCs w:val="21"/>
          <w:highlight w:val="none"/>
        </w:rPr>
        <w:t>；</w:t>
      </w:r>
    </w:p>
    <w:p w14:paraId="49C4AE96">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br w:type="page"/>
      </w:r>
      <w:r>
        <w:rPr>
          <w:rFonts w:hint="eastAsia" w:ascii="宋体" w:hAnsi="宋体" w:cs="宋体"/>
          <w:color w:val="auto"/>
          <w:szCs w:val="21"/>
          <w:highlight w:val="none"/>
          <w:lang w:val="en-US" w:eastAsia="zh-CN"/>
        </w:rPr>
        <w:t>（以下无正文，为签署页）</w:t>
      </w:r>
    </w:p>
    <w:tbl>
      <w:tblPr>
        <w:tblStyle w:val="25"/>
        <w:tblW w:w="91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95"/>
        <w:gridCol w:w="4825"/>
      </w:tblGrid>
      <w:tr w14:paraId="74019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4295" w:type="dxa"/>
            <w:tcBorders>
              <w:top w:val="single" w:color="auto" w:sz="4" w:space="0"/>
              <w:left w:val="single" w:color="auto" w:sz="4" w:space="0"/>
              <w:bottom w:val="single" w:color="auto" w:sz="4" w:space="0"/>
              <w:right w:val="single" w:color="auto" w:sz="4" w:space="0"/>
            </w:tcBorders>
            <w:noWrap/>
            <w:vAlign w:val="center"/>
          </w:tcPr>
          <w:p w14:paraId="42AF8DF2">
            <w:pPr>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甲方（章）</w:t>
            </w:r>
            <w:r>
              <w:rPr>
                <w:rFonts w:hint="eastAsia" w:ascii="宋体" w:hAnsi="宋体" w:cs="宋体"/>
                <w:color w:val="auto"/>
                <w:szCs w:val="21"/>
                <w:highlight w:val="none"/>
                <w:lang w:eastAsia="zh-CN"/>
              </w:rPr>
              <w:t>广西壮族自治区南溪山医院（广西壮族自治区第二人民医院）</w:t>
            </w:r>
            <w:r>
              <w:rPr>
                <w:rFonts w:hint="eastAsia" w:ascii="宋体" w:hAnsi="宋体" w:eastAsia="宋体" w:cs="宋体"/>
                <w:color w:val="auto"/>
                <w:szCs w:val="21"/>
                <w:highlight w:val="none"/>
              </w:rPr>
              <w:t xml:space="preserve">   </w:t>
            </w:r>
          </w:p>
        </w:tc>
        <w:tc>
          <w:tcPr>
            <w:tcW w:w="4825" w:type="dxa"/>
            <w:tcBorders>
              <w:top w:val="single" w:color="auto" w:sz="4" w:space="0"/>
              <w:left w:val="single" w:color="auto" w:sz="4" w:space="0"/>
              <w:bottom w:val="single" w:color="auto" w:sz="4" w:space="0"/>
              <w:right w:val="single" w:color="auto" w:sz="4" w:space="0"/>
            </w:tcBorders>
            <w:noWrap/>
            <w:vAlign w:val="center"/>
          </w:tcPr>
          <w:p w14:paraId="09F2A087">
            <w:pPr>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乙方（章）</w:t>
            </w:r>
          </w:p>
        </w:tc>
      </w:tr>
      <w:tr w14:paraId="73E46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trPr>
        <w:tc>
          <w:tcPr>
            <w:tcW w:w="4295" w:type="dxa"/>
            <w:tcBorders>
              <w:top w:val="single" w:color="auto" w:sz="4" w:space="0"/>
              <w:left w:val="single" w:color="auto" w:sz="4" w:space="0"/>
              <w:bottom w:val="single" w:color="auto" w:sz="4" w:space="0"/>
              <w:right w:val="single" w:color="auto" w:sz="4" w:space="0"/>
            </w:tcBorders>
            <w:noWrap/>
            <w:vAlign w:val="center"/>
          </w:tcPr>
          <w:p w14:paraId="707556C4">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单位地址：桂林市象山区崇信路46号</w:t>
            </w:r>
          </w:p>
        </w:tc>
        <w:tc>
          <w:tcPr>
            <w:tcW w:w="4825" w:type="dxa"/>
            <w:tcBorders>
              <w:top w:val="single" w:color="auto" w:sz="4" w:space="0"/>
              <w:left w:val="single" w:color="auto" w:sz="4" w:space="0"/>
              <w:bottom w:val="single" w:color="auto" w:sz="4" w:space="0"/>
              <w:right w:val="single" w:color="auto" w:sz="4" w:space="0"/>
            </w:tcBorders>
            <w:noWrap/>
            <w:vAlign w:val="center"/>
          </w:tcPr>
          <w:p w14:paraId="70FE679A">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单位地址： </w:t>
            </w:r>
          </w:p>
        </w:tc>
      </w:tr>
      <w:tr w14:paraId="40921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4295" w:type="dxa"/>
            <w:tcBorders>
              <w:top w:val="single" w:color="auto" w:sz="4" w:space="0"/>
              <w:left w:val="single" w:color="auto" w:sz="4" w:space="0"/>
              <w:bottom w:val="single" w:color="auto" w:sz="4" w:space="0"/>
              <w:right w:val="single" w:color="auto" w:sz="4" w:space="0"/>
            </w:tcBorders>
            <w:noWrap/>
            <w:vAlign w:val="center"/>
          </w:tcPr>
          <w:p w14:paraId="374E28E0">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w:t>
            </w:r>
          </w:p>
        </w:tc>
        <w:tc>
          <w:tcPr>
            <w:tcW w:w="4825" w:type="dxa"/>
            <w:tcBorders>
              <w:top w:val="single" w:color="auto" w:sz="4" w:space="0"/>
              <w:left w:val="single" w:color="auto" w:sz="4" w:space="0"/>
              <w:bottom w:val="single" w:color="auto" w:sz="4" w:space="0"/>
              <w:right w:val="single" w:color="auto" w:sz="4" w:space="0"/>
            </w:tcBorders>
            <w:noWrap/>
            <w:vAlign w:val="center"/>
          </w:tcPr>
          <w:p w14:paraId="5E6F5680">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法定代表人： </w:t>
            </w:r>
          </w:p>
        </w:tc>
      </w:tr>
      <w:tr w14:paraId="6DC7F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4295" w:type="dxa"/>
            <w:tcBorders>
              <w:top w:val="single" w:color="auto" w:sz="4" w:space="0"/>
              <w:left w:val="single" w:color="auto" w:sz="4" w:space="0"/>
              <w:bottom w:val="single" w:color="auto" w:sz="4" w:space="0"/>
              <w:right w:val="single" w:color="auto" w:sz="4" w:space="0"/>
            </w:tcBorders>
            <w:noWrap/>
            <w:vAlign w:val="center"/>
          </w:tcPr>
          <w:p w14:paraId="07F705EA">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委托代理人：</w:t>
            </w:r>
          </w:p>
        </w:tc>
        <w:tc>
          <w:tcPr>
            <w:tcW w:w="4825" w:type="dxa"/>
            <w:tcBorders>
              <w:top w:val="single" w:color="auto" w:sz="4" w:space="0"/>
              <w:left w:val="single" w:color="auto" w:sz="4" w:space="0"/>
              <w:bottom w:val="single" w:color="auto" w:sz="4" w:space="0"/>
              <w:right w:val="single" w:color="auto" w:sz="4" w:space="0"/>
            </w:tcBorders>
            <w:noWrap/>
            <w:vAlign w:val="center"/>
          </w:tcPr>
          <w:p w14:paraId="1638DD17">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委托代理人： </w:t>
            </w:r>
          </w:p>
        </w:tc>
      </w:tr>
      <w:tr w14:paraId="1D511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3" w:hRule="atLeast"/>
        </w:trPr>
        <w:tc>
          <w:tcPr>
            <w:tcW w:w="4295" w:type="dxa"/>
            <w:tcBorders>
              <w:top w:val="single" w:color="auto" w:sz="4" w:space="0"/>
              <w:left w:val="single" w:color="auto" w:sz="4" w:space="0"/>
              <w:bottom w:val="single" w:color="auto" w:sz="4" w:space="0"/>
              <w:right w:val="single" w:color="auto" w:sz="4" w:space="0"/>
            </w:tcBorders>
            <w:noWrap/>
            <w:vAlign w:val="center"/>
          </w:tcPr>
          <w:p w14:paraId="174EE25D">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电话：0773-3831227</w:t>
            </w:r>
          </w:p>
        </w:tc>
        <w:tc>
          <w:tcPr>
            <w:tcW w:w="4825" w:type="dxa"/>
            <w:tcBorders>
              <w:top w:val="single" w:color="auto" w:sz="4" w:space="0"/>
              <w:left w:val="single" w:color="auto" w:sz="4" w:space="0"/>
              <w:bottom w:val="single" w:color="auto" w:sz="4" w:space="0"/>
              <w:right w:val="single" w:color="auto" w:sz="4" w:space="0"/>
            </w:tcBorders>
            <w:noWrap/>
            <w:vAlign w:val="center"/>
          </w:tcPr>
          <w:p w14:paraId="09A96FE3">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电话：</w:t>
            </w:r>
          </w:p>
        </w:tc>
      </w:tr>
      <w:tr w14:paraId="0C525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4295" w:type="dxa"/>
            <w:tcBorders>
              <w:top w:val="single" w:color="auto" w:sz="4" w:space="0"/>
              <w:left w:val="single" w:color="auto" w:sz="4" w:space="0"/>
              <w:bottom w:val="single" w:color="auto" w:sz="4" w:space="0"/>
              <w:right w:val="single" w:color="auto" w:sz="4" w:space="0"/>
            </w:tcBorders>
            <w:noWrap/>
            <w:vAlign w:val="center"/>
          </w:tcPr>
          <w:p w14:paraId="46671FFD">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电子邮箱：nysbk3831227@163.com</w:t>
            </w:r>
          </w:p>
        </w:tc>
        <w:tc>
          <w:tcPr>
            <w:tcW w:w="4825" w:type="dxa"/>
            <w:tcBorders>
              <w:top w:val="single" w:color="auto" w:sz="4" w:space="0"/>
              <w:left w:val="single" w:color="auto" w:sz="4" w:space="0"/>
              <w:bottom w:val="single" w:color="auto" w:sz="4" w:space="0"/>
              <w:right w:val="single" w:color="auto" w:sz="4" w:space="0"/>
            </w:tcBorders>
            <w:noWrap/>
            <w:vAlign w:val="center"/>
          </w:tcPr>
          <w:p w14:paraId="67A9563A">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电子邮箱：</w:t>
            </w:r>
          </w:p>
        </w:tc>
      </w:tr>
      <w:tr w14:paraId="43F86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4295" w:type="dxa"/>
            <w:tcBorders>
              <w:top w:val="single" w:color="auto" w:sz="4" w:space="0"/>
              <w:left w:val="single" w:color="auto" w:sz="4" w:space="0"/>
              <w:bottom w:val="single" w:color="auto" w:sz="4" w:space="0"/>
              <w:right w:val="single" w:color="auto" w:sz="4" w:space="0"/>
            </w:tcBorders>
            <w:noWrap/>
            <w:vAlign w:val="center"/>
          </w:tcPr>
          <w:p w14:paraId="6A3B6D08">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纳税人识别号： 12450000498502373N</w:t>
            </w:r>
          </w:p>
        </w:tc>
        <w:tc>
          <w:tcPr>
            <w:tcW w:w="4825" w:type="dxa"/>
            <w:tcBorders>
              <w:top w:val="single" w:color="auto" w:sz="4" w:space="0"/>
              <w:left w:val="single" w:color="auto" w:sz="4" w:space="0"/>
              <w:bottom w:val="single" w:color="auto" w:sz="4" w:space="0"/>
              <w:right w:val="single" w:color="auto" w:sz="4" w:space="0"/>
            </w:tcBorders>
            <w:noWrap/>
            <w:vAlign w:val="center"/>
          </w:tcPr>
          <w:p w14:paraId="2A37718F">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纳税人识别号：</w:t>
            </w:r>
          </w:p>
        </w:tc>
      </w:tr>
      <w:tr w14:paraId="70A9E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4295" w:type="dxa"/>
            <w:tcBorders>
              <w:top w:val="single" w:color="auto" w:sz="4" w:space="0"/>
              <w:left w:val="single" w:color="auto" w:sz="4" w:space="0"/>
              <w:bottom w:val="single" w:color="auto" w:sz="4" w:space="0"/>
              <w:right w:val="single" w:color="auto" w:sz="4" w:space="0"/>
            </w:tcBorders>
            <w:noWrap/>
            <w:vAlign w:val="center"/>
          </w:tcPr>
          <w:p w14:paraId="2B66BBFF">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开户银行：中国建设银行股份有限公司桂林城南支行</w:t>
            </w:r>
          </w:p>
        </w:tc>
        <w:tc>
          <w:tcPr>
            <w:tcW w:w="4825" w:type="dxa"/>
            <w:tcBorders>
              <w:top w:val="single" w:color="auto" w:sz="4" w:space="0"/>
              <w:left w:val="single" w:color="auto" w:sz="4" w:space="0"/>
              <w:bottom w:val="single" w:color="auto" w:sz="4" w:space="0"/>
              <w:right w:val="single" w:color="auto" w:sz="4" w:space="0"/>
            </w:tcBorders>
            <w:noWrap/>
            <w:vAlign w:val="center"/>
          </w:tcPr>
          <w:p w14:paraId="0C888424">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w:t>
            </w:r>
          </w:p>
        </w:tc>
      </w:tr>
      <w:tr w14:paraId="6B9A8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trPr>
        <w:tc>
          <w:tcPr>
            <w:tcW w:w="4295" w:type="dxa"/>
            <w:tcBorders>
              <w:top w:val="single" w:color="auto" w:sz="4" w:space="0"/>
              <w:left w:val="single" w:color="auto" w:sz="4" w:space="0"/>
              <w:bottom w:val="single" w:color="auto" w:sz="4" w:space="0"/>
              <w:right w:val="single" w:color="auto" w:sz="4" w:space="0"/>
            </w:tcBorders>
            <w:noWrap/>
            <w:vAlign w:val="center"/>
          </w:tcPr>
          <w:p w14:paraId="78285BDC">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账号：45001635305059666666</w:t>
            </w:r>
          </w:p>
        </w:tc>
        <w:tc>
          <w:tcPr>
            <w:tcW w:w="4825" w:type="dxa"/>
            <w:tcBorders>
              <w:top w:val="single" w:color="auto" w:sz="4" w:space="0"/>
              <w:left w:val="single" w:color="auto" w:sz="4" w:space="0"/>
              <w:bottom w:val="single" w:color="auto" w:sz="4" w:space="0"/>
              <w:right w:val="single" w:color="auto" w:sz="4" w:space="0"/>
            </w:tcBorders>
            <w:noWrap/>
            <w:vAlign w:val="center"/>
          </w:tcPr>
          <w:p w14:paraId="7F70776C">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账号：</w:t>
            </w:r>
          </w:p>
        </w:tc>
      </w:tr>
      <w:tr w14:paraId="65727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1" w:hRule="atLeast"/>
        </w:trPr>
        <w:tc>
          <w:tcPr>
            <w:tcW w:w="4295" w:type="dxa"/>
            <w:tcBorders>
              <w:top w:val="single" w:color="auto" w:sz="4" w:space="0"/>
              <w:left w:val="single" w:color="auto" w:sz="4" w:space="0"/>
              <w:bottom w:val="single" w:color="auto" w:sz="4" w:space="0"/>
              <w:right w:val="single" w:color="auto" w:sz="4" w:space="0"/>
            </w:tcBorders>
            <w:noWrap/>
            <w:vAlign w:val="center"/>
          </w:tcPr>
          <w:p w14:paraId="6885E99C">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邮政编码：541002</w:t>
            </w:r>
          </w:p>
        </w:tc>
        <w:tc>
          <w:tcPr>
            <w:tcW w:w="4825" w:type="dxa"/>
            <w:tcBorders>
              <w:top w:val="single" w:color="auto" w:sz="4" w:space="0"/>
              <w:left w:val="single" w:color="auto" w:sz="4" w:space="0"/>
              <w:bottom w:val="single" w:color="auto" w:sz="4" w:space="0"/>
              <w:right w:val="single" w:color="auto" w:sz="4" w:space="0"/>
            </w:tcBorders>
            <w:noWrap/>
            <w:vAlign w:val="center"/>
          </w:tcPr>
          <w:p w14:paraId="76F62E48">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邮政编码：</w:t>
            </w:r>
          </w:p>
        </w:tc>
      </w:tr>
      <w:tr w14:paraId="6FB29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4" w:hRule="atLeast"/>
        </w:trPr>
        <w:tc>
          <w:tcPr>
            <w:tcW w:w="9120" w:type="dxa"/>
            <w:gridSpan w:val="2"/>
            <w:tcBorders>
              <w:top w:val="single" w:color="auto" w:sz="4" w:space="0"/>
              <w:left w:val="single" w:color="auto" w:sz="4" w:space="0"/>
              <w:bottom w:val="single" w:color="auto" w:sz="4" w:space="0"/>
              <w:right w:val="single" w:color="auto" w:sz="4" w:space="0"/>
            </w:tcBorders>
            <w:noWrap/>
            <w:vAlign w:val="top"/>
          </w:tcPr>
          <w:p w14:paraId="2CB3E9C1">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签订时间：</w:t>
            </w:r>
          </w:p>
          <w:p w14:paraId="34D54176">
            <w:pPr>
              <w:adjustRightInd w:val="0"/>
              <w:snapToGrid w:val="0"/>
              <w:spacing w:line="360" w:lineRule="auto"/>
              <w:ind w:firstLine="2520" w:firstLineChars="1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年 　  月 　  日</w:t>
            </w:r>
          </w:p>
        </w:tc>
      </w:tr>
    </w:tbl>
    <w:p w14:paraId="60F79931">
      <w:pPr>
        <w:spacing w:line="560" w:lineRule="exact"/>
        <w:ind w:firstLine="420" w:firstLineChars="200"/>
        <w:jc w:val="left"/>
        <w:rPr>
          <w:rFonts w:hint="default" w:ascii="Times New Roman" w:hAnsi="Times New Roman" w:eastAsia="仿宋" w:cs="Times New Roman"/>
          <w:color w:val="auto"/>
          <w:sz w:val="32"/>
          <w:szCs w:val="32"/>
          <w:highlight w:val="yellow"/>
          <w:lang w:val="en-US" w:eastAsia="zh-CN"/>
        </w:rPr>
      </w:pPr>
      <w:r>
        <w:rPr>
          <w:rFonts w:hint="eastAsia" w:ascii="宋体" w:hAnsi="宋体" w:eastAsia="宋体" w:cs="宋体"/>
          <w:color w:val="auto"/>
          <w:szCs w:val="21"/>
          <w:highlight w:val="none"/>
          <w:lang w:eastAsia="zh-CN"/>
        </w:rPr>
        <w:t>备注</w:t>
      </w:r>
      <w:r>
        <w:rPr>
          <w:rFonts w:hint="eastAsia" w:ascii="宋体" w:hAnsi="宋体" w:eastAsia="宋体" w:cs="宋体"/>
          <w:color w:val="auto"/>
          <w:szCs w:val="21"/>
          <w:highlight w:val="none"/>
        </w:rPr>
        <w:t>：乙方合同签订开户银行及银行账号与乙方开具付款发票开户银行及银行账号完全一致</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每份附设备配置清单及参数，公司营业执照，公司经营许可证、设备注册证、委托代理人授权书，法人及代理人身份证复印件；金额大小写之间不能留空白。</w:t>
      </w:r>
    </w:p>
    <w:p w14:paraId="7531D036">
      <w:pPr>
        <w:snapToGrid/>
        <w:spacing w:line="240" w:lineRule="auto"/>
        <w:jc w:val="left"/>
        <w:rPr>
          <w:rFonts w:ascii="宋体" w:hAnsi="宋体"/>
          <w:bCs/>
          <w:color w:val="auto"/>
          <w:sz w:val="32"/>
          <w:szCs w:val="32"/>
        </w:rPr>
      </w:pPr>
      <w:r>
        <w:rPr>
          <w:rFonts w:ascii="宋体" w:hAnsi="宋体"/>
          <w:bCs/>
          <w:color w:val="auto"/>
          <w:sz w:val="32"/>
          <w:szCs w:val="32"/>
        </w:rPr>
        <w:br w:type="page"/>
      </w:r>
    </w:p>
    <w:p w14:paraId="04A91FE2">
      <w:pPr>
        <w:snapToGrid w:val="0"/>
        <w:spacing w:line="360" w:lineRule="auto"/>
        <w:jc w:val="center"/>
        <w:rPr>
          <w:rFonts w:ascii="宋体" w:hAnsi="宋体"/>
          <w:bCs/>
          <w:color w:val="auto"/>
          <w:sz w:val="32"/>
          <w:szCs w:val="32"/>
        </w:rPr>
      </w:pPr>
    </w:p>
    <w:bookmarkEnd w:id="156"/>
    <w:p w14:paraId="70A2BE26">
      <w:pPr>
        <w:snapToGrid w:val="0"/>
        <w:spacing w:line="480" w:lineRule="auto"/>
        <w:rPr>
          <w:rFonts w:ascii="宋体" w:hAnsi="宋体"/>
          <w:bCs/>
          <w:color w:val="auto"/>
          <w:sz w:val="32"/>
          <w:szCs w:val="32"/>
        </w:rPr>
      </w:pPr>
    </w:p>
    <w:p w14:paraId="679DC611">
      <w:pPr>
        <w:snapToGrid w:val="0"/>
        <w:jc w:val="center"/>
        <w:rPr>
          <w:rFonts w:ascii="宋体" w:hAnsi="宋体"/>
          <w:bCs/>
          <w:color w:val="auto"/>
          <w:sz w:val="32"/>
          <w:szCs w:val="32"/>
        </w:rPr>
      </w:pPr>
    </w:p>
    <w:p w14:paraId="13ABE9FC">
      <w:pPr>
        <w:snapToGrid w:val="0"/>
        <w:jc w:val="center"/>
        <w:rPr>
          <w:rFonts w:ascii="宋体" w:hAnsi="宋体"/>
          <w:bCs/>
          <w:color w:val="auto"/>
          <w:sz w:val="32"/>
          <w:szCs w:val="32"/>
        </w:rPr>
      </w:pPr>
    </w:p>
    <w:p w14:paraId="0913F7F6">
      <w:pPr>
        <w:snapToGrid w:val="0"/>
        <w:jc w:val="center"/>
        <w:rPr>
          <w:rFonts w:ascii="宋体" w:hAnsi="宋体"/>
          <w:bCs/>
          <w:color w:val="auto"/>
          <w:sz w:val="32"/>
          <w:szCs w:val="32"/>
        </w:rPr>
      </w:pPr>
    </w:p>
    <w:p w14:paraId="120DB2AF">
      <w:pPr>
        <w:snapToGrid w:val="0"/>
        <w:jc w:val="center"/>
        <w:rPr>
          <w:rFonts w:ascii="宋体" w:hAnsi="宋体"/>
          <w:bCs/>
          <w:color w:val="auto"/>
          <w:sz w:val="32"/>
          <w:szCs w:val="32"/>
        </w:rPr>
      </w:pPr>
    </w:p>
    <w:p w14:paraId="5B96C5F7">
      <w:pPr>
        <w:snapToGrid w:val="0"/>
        <w:jc w:val="center"/>
        <w:rPr>
          <w:rFonts w:ascii="宋体" w:hAnsi="宋体"/>
          <w:bCs/>
          <w:color w:val="auto"/>
          <w:sz w:val="32"/>
          <w:szCs w:val="32"/>
        </w:rPr>
      </w:pPr>
    </w:p>
    <w:p w14:paraId="3C995392">
      <w:pPr>
        <w:snapToGrid w:val="0"/>
        <w:jc w:val="center"/>
        <w:rPr>
          <w:rFonts w:ascii="宋体" w:hAnsi="宋体"/>
          <w:bCs/>
          <w:color w:val="auto"/>
          <w:sz w:val="32"/>
          <w:szCs w:val="32"/>
        </w:rPr>
      </w:pPr>
    </w:p>
    <w:p w14:paraId="31AC75FA">
      <w:pPr>
        <w:snapToGrid w:val="0"/>
        <w:jc w:val="center"/>
        <w:rPr>
          <w:rFonts w:ascii="宋体" w:hAnsi="宋体"/>
          <w:bCs/>
          <w:color w:val="auto"/>
          <w:sz w:val="32"/>
          <w:szCs w:val="32"/>
        </w:rPr>
      </w:pPr>
    </w:p>
    <w:p w14:paraId="0147C9EB">
      <w:pPr>
        <w:snapToGrid w:val="0"/>
        <w:jc w:val="center"/>
        <w:rPr>
          <w:rFonts w:ascii="宋体" w:hAnsi="宋体"/>
          <w:bCs/>
          <w:color w:val="auto"/>
          <w:sz w:val="32"/>
          <w:szCs w:val="32"/>
        </w:rPr>
      </w:pPr>
    </w:p>
    <w:p w14:paraId="20BD0ABB">
      <w:pPr>
        <w:snapToGrid w:val="0"/>
        <w:jc w:val="center"/>
        <w:rPr>
          <w:rFonts w:ascii="宋体" w:hAnsi="宋体"/>
          <w:bCs/>
          <w:color w:val="auto"/>
          <w:sz w:val="32"/>
          <w:szCs w:val="32"/>
        </w:rPr>
      </w:pPr>
    </w:p>
    <w:p w14:paraId="4A6DC34A">
      <w:pPr>
        <w:snapToGrid w:val="0"/>
        <w:jc w:val="center"/>
        <w:rPr>
          <w:rFonts w:ascii="宋体" w:hAnsi="宋体"/>
          <w:bCs/>
          <w:color w:val="auto"/>
          <w:sz w:val="32"/>
          <w:szCs w:val="32"/>
        </w:rPr>
      </w:pPr>
    </w:p>
    <w:p w14:paraId="23CA0760">
      <w:pPr>
        <w:snapToGrid w:val="0"/>
        <w:jc w:val="center"/>
        <w:rPr>
          <w:rFonts w:ascii="宋体" w:hAnsi="宋体"/>
          <w:bCs/>
          <w:color w:val="auto"/>
          <w:sz w:val="32"/>
          <w:szCs w:val="32"/>
        </w:rPr>
      </w:pPr>
    </w:p>
    <w:p w14:paraId="0A8B943C">
      <w:pPr>
        <w:pStyle w:val="3"/>
        <w:keepNext w:val="0"/>
        <w:keepLines w:val="0"/>
        <w:jc w:val="center"/>
        <w:rPr>
          <w:color w:val="auto"/>
        </w:rPr>
      </w:pPr>
      <w:bookmarkStart w:id="157" w:name="_Toc1027"/>
      <w:bookmarkStart w:id="158" w:name="_Toc22558"/>
      <w:r>
        <w:rPr>
          <w:rFonts w:hint="eastAsia"/>
          <w:color w:val="auto"/>
        </w:rPr>
        <w:t>第六章　投标文件格式</w:t>
      </w:r>
      <w:bookmarkEnd w:id="157"/>
      <w:bookmarkEnd w:id="158"/>
    </w:p>
    <w:p w14:paraId="3E38FC75">
      <w:pPr>
        <w:snapToGrid w:val="0"/>
        <w:spacing w:before="50" w:after="50"/>
        <w:outlineLvl w:val="1"/>
        <w:rPr>
          <w:rFonts w:ascii="宋体" w:hAnsi="宋体"/>
          <w:color w:val="auto"/>
          <w:sz w:val="32"/>
          <w:szCs w:val="20"/>
        </w:rPr>
      </w:pPr>
    </w:p>
    <w:p w14:paraId="6F71EDF9">
      <w:pPr>
        <w:snapToGrid w:val="0"/>
        <w:spacing w:before="50" w:after="50"/>
        <w:outlineLvl w:val="1"/>
        <w:rPr>
          <w:rFonts w:ascii="宋体" w:hAnsi="宋体"/>
          <w:color w:val="auto"/>
          <w:sz w:val="32"/>
          <w:szCs w:val="20"/>
        </w:rPr>
      </w:pPr>
    </w:p>
    <w:p w14:paraId="69C3764F">
      <w:pPr>
        <w:snapToGrid w:val="0"/>
        <w:spacing w:before="50" w:after="50"/>
        <w:outlineLvl w:val="1"/>
        <w:rPr>
          <w:rFonts w:ascii="宋体" w:hAnsi="宋体"/>
          <w:color w:val="auto"/>
          <w:sz w:val="32"/>
          <w:szCs w:val="20"/>
        </w:rPr>
      </w:pPr>
    </w:p>
    <w:p w14:paraId="62DC7C1E">
      <w:pPr>
        <w:snapToGrid w:val="0"/>
        <w:spacing w:before="50" w:after="50"/>
        <w:outlineLvl w:val="1"/>
        <w:rPr>
          <w:rFonts w:ascii="宋体" w:hAnsi="宋体"/>
          <w:color w:val="auto"/>
          <w:sz w:val="32"/>
          <w:szCs w:val="20"/>
        </w:rPr>
      </w:pPr>
    </w:p>
    <w:p w14:paraId="3F5601A8">
      <w:pPr>
        <w:snapToGrid w:val="0"/>
        <w:spacing w:before="50" w:after="50"/>
        <w:outlineLvl w:val="1"/>
        <w:rPr>
          <w:rFonts w:ascii="宋体" w:hAnsi="宋体"/>
          <w:color w:val="auto"/>
          <w:sz w:val="32"/>
          <w:szCs w:val="20"/>
        </w:rPr>
      </w:pPr>
    </w:p>
    <w:p w14:paraId="485DAF91">
      <w:pPr>
        <w:snapToGrid w:val="0"/>
        <w:spacing w:before="50" w:after="50"/>
        <w:outlineLvl w:val="1"/>
        <w:rPr>
          <w:rFonts w:ascii="宋体" w:hAnsi="宋体"/>
          <w:color w:val="auto"/>
          <w:sz w:val="32"/>
          <w:szCs w:val="20"/>
        </w:rPr>
      </w:pPr>
    </w:p>
    <w:p w14:paraId="757178F7">
      <w:pPr>
        <w:snapToGrid w:val="0"/>
        <w:spacing w:before="50" w:after="50"/>
        <w:outlineLvl w:val="1"/>
        <w:rPr>
          <w:rFonts w:ascii="宋体" w:hAnsi="宋体"/>
          <w:color w:val="auto"/>
          <w:sz w:val="32"/>
          <w:szCs w:val="20"/>
        </w:rPr>
      </w:pPr>
    </w:p>
    <w:p w14:paraId="41123BE5">
      <w:pPr>
        <w:snapToGrid w:val="0"/>
        <w:spacing w:before="50" w:after="50"/>
        <w:outlineLvl w:val="1"/>
        <w:rPr>
          <w:rFonts w:ascii="宋体" w:hAnsi="宋体"/>
          <w:color w:val="auto"/>
          <w:sz w:val="32"/>
          <w:szCs w:val="20"/>
        </w:rPr>
      </w:pPr>
    </w:p>
    <w:p w14:paraId="601B6E14">
      <w:pPr>
        <w:snapToGrid w:val="0"/>
        <w:spacing w:before="50" w:after="50"/>
        <w:outlineLvl w:val="1"/>
        <w:rPr>
          <w:rFonts w:ascii="宋体" w:hAnsi="宋体"/>
          <w:color w:val="auto"/>
          <w:sz w:val="32"/>
          <w:szCs w:val="20"/>
        </w:rPr>
      </w:pPr>
    </w:p>
    <w:p w14:paraId="4388132F">
      <w:pPr>
        <w:snapToGrid w:val="0"/>
        <w:spacing w:before="50" w:after="50"/>
        <w:outlineLvl w:val="1"/>
        <w:rPr>
          <w:rFonts w:ascii="宋体" w:hAnsi="宋体"/>
          <w:color w:val="auto"/>
          <w:sz w:val="32"/>
          <w:szCs w:val="20"/>
        </w:rPr>
      </w:pPr>
    </w:p>
    <w:p w14:paraId="33DB1132">
      <w:pPr>
        <w:snapToGrid w:val="0"/>
        <w:spacing w:before="50" w:after="50"/>
        <w:outlineLvl w:val="1"/>
        <w:rPr>
          <w:rFonts w:ascii="宋体" w:hAnsi="宋体"/>
          <w:color w:val="auto"/>
          <w:sz w:val="32"/>
          <w:szCs w:val="20"/>
        </w:rPr>
      </w:pPr>
    </w:p>
    <w:p w14:paraId="17371B84">
      <w:pPr>
        <w:snapToGrid w:val="0"/>
        <w:spacing w:before="50" w:after="50"/>
        <w:outlineLvl w:val="1"/>
        <w:rPr>
          <w:rFonts w:ascii="宋体" w:hAnsi="宋体"/>
          <w:color w:val="auto"/>
          <w:sz w:val="32"/>
          <w:szCs w:val="20"/>
        </w:rPr>
      </w:pPr>
    </w:p>
    <w:p w14:paraId="7E4A9FCE">
      <w:pPr>
        <w:snapToGrid w:val="0"/>
        <w:spacing w:before="50" w:after="50"/>
        <w:outlineLvl w:val="1"/>
        <w:rPr>
          <w:rFonts w:ascii="宋体" w:hAnsi="宋体"/>
          <w:color w:val="auto"/>
          <w:sz w:val="32"/>
          <w:szCs w:val="20"/>
        </w:rPr>
      </w:pPr>
    </w:p>
    <w:p w14:paraId="1D44FFFC">
      <w:pPr>
        <w:snapToGrid w:val="0"/>
        <w:spacing w:beforeLines="50" w:after="50" w:line="360" w:lineRule="auto"/>
        <w:jc w:val="center"/>
        <w:outlineLvl w:val="1"/>
        <w:rPr>
          <w:rFonts w:ascii="宋体" w:hAnsi="宋体"/>
          <w:b/>
          <w:bCs/>
          <w:color w:val="auto"/>
          <w:sz w:val="28"/>
          <w:szCs w:val="28"/>
        </w:rPr>
      </w:pPr>
      <w:r>
        <w:rPr>
          <w:rFonts w:ascii="宋体" w:hAnsi="宋体"/>
          <w:color w:val="auto"/>
          <w:sz w:val="32"/>
          <w:szCs w:val="20"/>
        </w:rPr>
        <w:br w:type="page"/>
      </w:r>
      <w:bookmarkStart w:id="159" w:name="_Toc28877"/>
      <w:bookmarkStart w:id="160" w:name="_Toc19686836"/>
      <w:bookmarkStart w:id="161" w:name="_Toc8872"/>
      <w:bookmarkStart w:id="162" w:name="_Toc254970557"/>
      <w:bookmarkStart w:id="163" w:name="_Toc254970698"/>
      <w:r>
        <w:rPr>
          <w:rFonts w:hint="eastAsia" w:ascii="宋体" w:hAnsi="宋体"/>
          <w:b/>
          <w:bCs/>
          <w:color w:val="auto"/>
          <w:sz w:val="28"/>
          <w:szCs w:val="28"/>
        </w:rPr>
        <w:t>报价文件格式</w:t>
      </w:r>
      <w:bookmarkEnd w:id="159"/>
      <w:bookmarkEnd w:id="160"/>
      <w:bookmarkEnd w:id="161"/>
    </w:p>
    <w:p w14:paraId="119592C0">
      <w:pPr>
        <w:pStyle w:val="12"/>
        <w:rPr>
          <w:color w:val="auto"/>
        </w:rPr>
      </w:pPr>
    </w:p>
    <w:p w14:paraId="6981224F">
      <w:pPr>
        <w:rPr>
          <w:color w:val="auto"/>
        </w:rPr>
      </w:pPr>
    </w:p>
    <w:p w14:paraId="5600F196">
      <w:pPr>
        <w:snapToGrid w:val="0"/>
        <w:spacing w:beforeLines="50" w:after="50" w:line="400" w:lineRule="exact"/>
        <w:rPr>
          <w:rFonts w:ascii="宋体" w:hAnsi="宋体"/>
          <w:bCs/>
          <w:color w:val="auto"/>
          <w:sz w:val="32"/>
          <w:szCs w:val="20"/>
        </w:rPr>
      </w:pPr>
      <w:r>
        <w:rPr>
          <w:rFonts w:hint="eastAsia" w:ascii="宋体" w:hAnsi="宋体" w:cs="宋体"/>
          <w:bCs/>
          <w:color w:val="auto"/>
        </w:rPr>
        <w:t>电子投标文件</w:t>
      </w:r>
    </w:p>
    <w:p w14:paraId="20B4E4C7">
      <w:pPr>
        <w:snapToGrid w:val="0"/>
        <w:spacing w:beforeLines="50" w:after="50" w:line="400" w:lineRule="exact"/>
        <w:jc w:val="center"/>
        <w:rPr>
          <w:rFonts w:ascii="宋体" w:hAnsi="宋体"/>
          <w:bCs/>
          <w:color w:val="auto"/>
          <w:sz w:val="24"/>
          <w:szCs w:val="20"/>
        </w:rPr>
      </w:pPr>
    </w:p>
    <w:p w14:paraId="08C009F9">
      <w:pPr>
        <w:pStyle w:val="12"/>
        <w:rPr>
          <w:rFonts w:ascii="宋体" w:hAnsi="宋体"/>
          <w:bCs/>
          <w:color w:val="auto"/>
          <w:szCs w:val="20"/>
        </w:rPr>
      </w:pPr>
    </w:p>
    <w:p w14:paraId="36598C12">
      <w:pPr>
        <w:rPr>
          <w:color w:val="auto"/>
        </w:rPr>
      </w:pPr>
    </w:p>
    <w:p w14:paraId="4424FA68">
      <w:pPr>
        <w:snapToGrid w:val="0"/>
        <w:spacing w:beforeLines="50" w:after="50" w:line="400" w:lineRule="exact"/>
        <w:jc w:val="center"/>
        <w:rPr>
          <w:rFonts w:ascii="宋体" w:hAnsi="宋体"/>
          <w:b/>
          <w:bCs/>
          <w:color w:val="auto"/>
          <w:sz w:val="32"/>
          <w:szCs w:val="32"/>
        </w:rPr>
      </w:pPr>
      <w:r>
        <w:rPr>
          <w:rFonts w:hint="eastAsia" w:ascii="宋体" w:hAnsi="宋体"/>
          <w:b/>
          <w:bCs/>
          <w:color w:val="auto"/>
          <w:sz w:val="32"/>
          <w:szCs w:val="32"/>
        </w:rPr>
        <w:t>报价文件</w:t>
      </w:r>
    </w:p>
    <w:p w14:paraId="2968B8D0">
      <w:pPr>
        <w:snapToGrid w:val="0"/>
        <w:spacing w:beforeLines="50" w:after="50" w:line="400" w:lineRule="exact"/>
        <w:rPr>
          <w:rFonts w:ascii="宋体" w:hAnsi="宋体"/>
          <w:bCs/>
          <w:color w:val="auto"/>
          <w:sz w:val="24"/>
          <w:szCs w:val="20"/>
        </w:rPr>
      </w:pPr>
    </w:p>
    <w:p w14:paraId="43DCB763">
      <w:pPr>
        <w:snapToGrid w:val="0"/>
        <w:spacing w:beforeLines="50" w:after="50" w:line="400" w:lineRule="exact"/>
        <w:rPr>
          <w:rFonts w:ascii="宋体" w:hAnsi="宋体"/>
          <w:bCs/>
          <w:color w:val="auto"/>
          <w:sz w:val="24"/>
          <w:szCs w:val="20"/>
        </w:rPr>
      </w:pPr>
    </w:p>
    <w:p w14:paraId="19A46440">
      <w:pPr>
        <w:snapToGrid w:val="0"/>
        <w:spacing w:beforeLines="50" w:after="50" w:line="400" w:lineRule="exact"/>
        <w:rPr>
          <w:rFonts w:ascii="宋体" w:hAnsi="宋体"/>
          <w:bCs/>
          <w:color w:val="auto"/>
          <w:sz w:val="24"/>
          <w:szCs w:val="20"/>
        </w:rPr>
      </w:pPr>
    </w:p>
    <w:p w14:paraId="34EB4472">
      <w:pPr>
        <w:snapToGrid w:val="0"/>
        <w:spacing w:beforeLines="50" w:after="50" w:line="400" w:lineRule="exact"/>
        <w:ind w:firstLine="360" w:firstLineChars="150"/>
        <w:rPr>
          <w:rFonts w:ascii="宋体" w:hAnsi="宋体"/>
          <w:bCs/>
          <w:color w:val="auto"/>
          <w:sz w:val="24"/>
        </w:rPr>
      </w:pPr>
      <w:r>
        <w:rPr>
          <w:rFonts w:hint="eastAsia" w:ascii="宋体" w:hAnsi="宋体"/>
          <w:bCs/>
          <w:color w:val="auto"/>
          <w:sz w:val="24"/>
        </w:rPr>
        <w:t xml:space="preserve">项目名称： </w:t>
      </w:r>
    </w:p>
    <w:p w14:paraId="27121BD4">
      <w:pPr>
        <w:snapToGrid w:val="0"/>
        <w:spacing w:beforeLines="50" w:after="50" w:line="400" w:lineRule="exact"/>
        <w:ind w:firstLine="360" w:firstLineChars="150"/>
        <w:rPr>
          <w:rFonts w:ascii="宋体" w:hAnsi="宋体"/>
          <w:bCs/>
          <w:color w:val="auto"/>
          <w:sz w:val="24"/>
        </w:rPr>
      </w:pPr>
    </w:p>
    <w:p w14:paraId="45622D10">
      <w:pPr>
        <w:snapToGrid w:val="0"/>
        <w:spacing w:beforeLines="50" w:after="50" w:line="400" w:lineRule="exact"/>
        <w:ind w:firstLine="360" w:firstLineChars="150"/>
        <w:rPr>
          <w:rFonts w:ascii="宋体" w:hAnsi="宋体"/>
          <w:bCs/>
          <w:color w:val="auto"/>
          <w:sz w:val="24"/>
        </w:rPr>
      </w:pPr>
      <w:r>
        <w:rPr>
          <w:rFonts w:hint="eastAsia" w:ascii="宋体" w:hAnsi="宋体"/>
          <w:bCs/>
          <w:color w:val="auto"/>
          <w:sz w:val="24"/>
        </w:rPr>
        <w:t xml:space="preserve">项目编号： </w:t>
      </w:r>
    </w:p>
    <w:p w14:paraId="79D562CF">
      <w:pPr>
        <w:snapToGrid w:val="0"/>
        <w:spacing w:beforeLines="50" w:after="50" w:line="400" w:lineRule="exact"/>
        <w:ind w:firstLine="360" w:firstLineChars="150"/>
        <w:rPr>
          <w:rFonts w:ascii="宋体" w:hAnsi="宋体"/>
          <w:bCs/>
          <w:color w:val="auto"/>
          <w:sz w:val="24"/>
        </w:rPr>
      </w:pPr>
    </w:p>
    <w:p w14:paraId="71B514ED">
      <w:pPr>
        <w:snapToGrid w:val="0"/>
        <w:spacing w:beforeLines="50" w:after="50" w:line="400" w:lineRule="exact"/>
        <w:ind w:firstLine="360" w:firstLineChars="150"/>
        <w:rPr>
          <w:rFonts w:ascii="宋体" w:hAnsi="宋体"/>
          <w:bCs/>
          <w:color w:val="auto"/>
          <w:sz w:val="24"/>
        </w:rPr>
      </w:pPr>
      <w:r>
        <w:rPr>
          <w:rFonts w:hint="eastAsia" w:ascii="宋体" w:hAnsi="宋体"/>
          <w:bCs/>
          <w:color w:val="auto"/>
          <w:sz w:val="24"/>
        </w:rPr>
        <w:t>所投</w:t>
      </w:r>
      <w:r>
        <w:rPr>
          <w:rFonts w:hint="eastAsia" w:ascii="宋体" w:hAnsi="宋体"/>
          <w:bCs/>
          <w:color w:val="auto"/>
          <w:sz w:val="24"/>
          <w:lang w:eastAsia="zh-CN"/>
        </w:rPr>
        <w:t>标项</w:t>
      </w:r>
      <w:r>
        <w:rPr>
          <w:rFonts w:hint="eastAsia" w:ascii="宋体" w:hAnsi="宋体"/>
          <w:bCs/>
          <w:color w:val="auto"/>
          <w:sz w:val="24"/>
        </w:rPr>
        <w:t>：</w:t>
      </w:r>
    </w:p>
    <w:p w14:paraId="42F6A2EC">
      <w:pPr>
        <w:snapToGrid w:val="0"/>
        <w:spacing w:beforeLines="50" w:after="50" w:line="400" w:lineRule="exact"/>
        <w:ind w:firstLine="360" w:firstLineChars="150"/>
        <w:rPr>
          <w:rFonts w:ascii="宋体" w:hAnsi="宋体"/>
          <w:bCs/>
          <w:color w:val="auto"/>
          <w:sz w:val="24"/>
        </w:rPr>
      </w:pPr>
    </w:p>
    <w:p w14:paraId="46E3E547">
      <w:pPr>
        <w:snapToGrid w:val="0"/>
        <w:spacing w:beforeLines="50" w:after="50" w:line="400" w:lineRule="exact"/>
        <w:ind w:firstLine="360" w:firstLineChars="150"/>
        <w:rPr>
          <w:rFonts w:ascii="宋体" w:hAnsi="宋体"/>
          <w:bCs/>
          <w:color w:val="auto"/>
          <w:sz w:val="24"/>
        </w:rPr>
      </w:pPr>
      <w:r>
        <w:rPr>
          <w:rFonts w:hint="eastAsia" w:ascii="宋体" w:hAnsi="宋体"/>
          <w:bCs/>
          <w:color w:val="auto"/>
          <w:sz w:val="24"/>
        </w:rPr>
        <w:t>投标人名称：</w:t>
      </w:r>
    </w:p>
    <w:p w14:paraId="5E38C43A">
      <w:pPr>
        <w:snapToGrid w:val="0"/>
        <w:spacing w:beforeLines="50" w:after="50" w:line="400" w:lineRule="exact"/>
        <w:ind w:firstLine="360" w:firstLineChars="150"/>
        <w:rPr>
          <w:rFonts w:ascii="宋体" w:hAnsi="宋体"/>
          <w:bCs/>
          <w:color w:val="auto"/>
          <w:sz w:val="24"/>
        </w:rPr>
      </w:pPr>
    </w:p>
    <w:p w14:paraId="519FBEA1">
      <w:pPr>
        <w:snapToGrid w:val="0"/>
        <w:spacing w:beforeLines="50" w:after="50" w:line="400" w:lineRule="exact"/>
        <w:ind w:firstLine="360" w:firstLineChars="150"/>
        <w:rPr>
          <w:rFonts w:ascii="宋体" w:hAnsi="宋体"/>
          <w:bCs/>
          <w:color w:val="auto"/>
          <w:sz w:val="24"/>
        </w:rPr>
      </w:pPr>
      <w:r>
        <w:rPr>
          <w:rFonts w:hint="eastAsia" w:ascii="宋体" w:hAnsi="宋体"/>
          <w:bCs/>
          <w:color w:val="auto"/>
          <w:sz w:val="24"/>
        </w:rPr>
        <w:t>投标人地址：</w:t>
      </w:r>
    </w:p>
    <w:p w14:paraId="0B5F011D">
      <w:pPr>
        <w:pStyle w:val="7"/>
        <w:snapToGrid w:val="0"/>
        <w:spacing w:before="50" w:after="50" w:line="400" w:lineRule="exact"/>
        <w:ind w:firstLine="960" w:firstLineChars="400"/>
        <w:rPr>
          <w:rFonts w:ascii="宋体" w:hAnsi="宋体"/>
          <w:bCs/>
          <w:color w:val="auto"/>
          <w:sz w:val="24"/>
          <w:szCs w:val="24"/>
        </w:rPr>
      </w:pPr>
    </w:p>
    <w:p w14:paraId="77073408">
      <w:pPr>
        <w:snapToGrid w:val="0"/>
        <w:spacing w:beforeLines="50" w:after="50" w:line="400" w:lineRule="exact"/>
        <w:rPr>
          <w:rFonts w:ascii="宋体" w:hAnsi="宋体"/>
          <w:color w:val="auto"/>
          <w:sz w:val="30"/>
          <w:szCs w:val="20"/>
        </w:rPr>
      </w:pPr>
      <w:r>
        <w:rPr>
          <w:rFonts w:hint="eastAsia" w:ascii="宋体" w:hAnsi="宋体"/>
          <w:color w:val="auto"/>
          <w:sz w:val="24"/>
        </w:rPr>
        <w:t xml:space="preserve">                                   年  月  日</w:t>
      </w:r>
    </w:p>
    <w:p w14:paraId="149696BE">
      <w:pPr>
        <w:snapToGrid w:val="0"/>
        <w:spacing w:beforeLines="50" w:after="50" w:line="360" w:lineRule="auto"/>
        <w:jc w:val="center"/>
        <w:rPr>
          <w:rFonts w:ascii="宋体" w:hAnsi="宋体"/>
          <w:color w:val="auto"/>
          <w:sz w:val="24"/>
          <w:szCs w:val="20"/>
        </w:rPr>
      </w:pPr>
      <w:r>
        <w:rPr>
          <w:rFonts w:ascii="宋体" w:hAnsi="宋体"/>
          <w:b/>
          <w:color w:val="auto"/>
          <w:sz w:val="24"/>
        </w:rPr>
        <w:br w:type="page"/>
      </w:r>
      <w:r>
        <w:rPr>
          <w:rFonts w:hint="eastAsia" w:ascii="宋体" w:hAnsi="宋体"/>
          <w:b/>
          <w:bCs/>
          <w:color w:val="auto"/>
          <w:sz w:val="24"/>
        </w:rPr>
        <w:t>报价文件目录</w:t>
      </w:r>
    </w:p>
    <w:p w14:paraId="6FCA54C8">
      <w:pPr>
        <w:snapToGrid w:val="0"/>
        <w:spacing w:before="50" w:afterLines="50" w:line="360" w:lineRule="auto"/>
        <w:jc w:val="center"/>
        <w:rPr>
          <w:rFonts w:ascii="宋体" w:hAnsi="宋体"/>
          <w:b/>
          <w:color w:val="auto"/>
          <w:sz w:val="24"/>
        </w:rPr>
      </w:pPr>
      <w:r>
        <w:rPr>
          <w:rFonts w:hint="eastAsia" w:ascii="宋体" w:hAnsi="宋体"/>
          <w:color w:val="auto"/>
          <w:szCs w:val="21"/>
        </w:rPr>
        <w:t>根据招标文件规定及投标人提供的材料自行编写目录。</w:t>
      </w:r>
    </w:p>
    <w:p w14:paraId="60DFE1BC">
      <w:pPr>
        <w:snapToGrid w:val="0"/>
        <w:spacing w:beforeLines="50" w:after="50"/>
        <w:rPr>
          <w:rFonts w:ascii="宋体" w:hAnsi="宋体"/>
          <w:b/>
          <w:color w:val="auto"/>
          <w:sz w:val="24"/>
        </w:rPr>
      </w:pPr>
    </w:p>
    <w:p w14:paraId="492B00D2">
      <w:pPr>
        <w:snapToGrid w:val="0"/>
        <w:spacing w:beforeLines="50" w:after="50"/>
        <w:rPr>
          <w:rFonts w:ascii="宋体" w:hAnsi="宋体"/>
          <w:b/>
          <w:color w:val="auto"/>
          <w:sz w:val="24"/>
        </w:rPr>
      </w:pPr>
    </w:p>
    <w:p w14:paraId="0032E16B">
      <w:pPr>
        <w:snapToGrid w:val="0"/>
        <w:spacing w:beforeLines="50" w:after="50"/>
        <w:rPr>
          <w:rFonts w:ascii="宋体" w:hAnsi="宋体"/>
          <w:b/>
          <w:color w:val="auto"/>
          <w:sz w:val="24"/>
        </w:rPr>
      </w:pPr>
    </w:p>
    <w:p w14:paraId="6DE1FE14">
      <w:pPr>
        <w:snapToGrid w:val="0"/>
        <w:spacing w:beforeLines="50" w:after="50"/>
        <w:ind w:left="142"/>
        <w:jc w:val="left"/>
        <w:rPr>
          <w:rFonts w:ascii="宋体" w:hAnsi="宋体"/>
          <w:b/>
          <w:color w:val="auto"/>
          <w:sz w:val="24"/>
        </w:rPr>
      </w:pPr>
      <w:r>
        <w:rPr>
          <w:rFonts w:ascii="宋体" w:hAnsi="宋体"/>
          <w:b/>
          <w:color w:val="auto"/>
          <w:sz w:val="24"/>
        </w:rPr>
        <w:br w:type="page"/>
      </w:r>
      <w:r>
        <w:rPr>
          <w:rFonts w:hint="eastAsia" w:ascii="宋体" w:hAnsi="宋体"/>
          <w:b/>
          <w:color w:val="auto"/>
          <w:sz w:val="24"/>
        </w:rPr>
        <w:t>1.投标函：</w:t>
      </w:r>
    </w:p>
    <w:p w14:paraId="329F3418">
      <w:pPr>
        <w:snapToGrid w:val="0"/>
        <w:spacing w:beforeLines="50" w:after="50" w:line="320" w:lineRule="exact"/>
        <w:jc w:val="center"/>
        <w:rPr>
          <w:rFonts w:ascii="宋体" w:hAnsi="宋体"/>
          <w:b/>
          <w:color w:val="auto"/>
          <w:sz w:val="32"/>
          <w:szCs w:val="32"/>
        </w:rPr>
      </w:pPr>
      <w:r>
        <w:rPr>
          <w:rFonts w:hint="eastAsia" w:ascii="宋体" w:hAnsi="宋体"/>
          <w:b/>
          <w:color w:val="auto"/>
          <w:sz w:val="32"/>
          <w:szCs w:val="32"/>
        </w:rPr>
        <w:t>投 标 函</w:t>
      </w:r>
    </w:p>
    <w:p w14:paraId="053A48A7">
      <w:pPr>
        <w:snapToGrid w:val="0"/>
        <w:spacing w:beforeLines="50" w:after="50" w:line="320" w:lineRule="exact"/>
        <w:jc w:val="center"/>
        <w:rPr>
          <w:rFonts w:ascii="宋体" w:hAnsi="宋体"/>
          <w:b/>
          <w:color w:val="auto"/>
          <w:szCs w:val="16"/>
        </w:rPr>
      </w:pPr>
    </w:p>
    <w:p w14:paraId="21B29378">
      <w:pPr>
        <w:snapToGrid w:val="0"/>
        <w:spacing w:line="360" w:lineRule="auto"/>
        <w:rPr>
          <w:rFonts w:ascii="宋体" w:hAnsi="宋体"/>
          <w:color w:val="auto"/>
          <w:szCs w:val="21"/>
        </w:rPr>
      </w:pPr>
      <w:r>
        <w:rPr>
          <w:rFonts w:hint="eastAsia" w:ascii="宋体" w:hAnsi="宋体"/>
          <w:color w:val="auto"/>
          <w:szCs w:val="21"/>
        </w:rPr>
        <w:t>致：</w:t>
      </w:r>
      <w:r>
        <w:rPr>
          <w:rFonts w:hint="eastAsia" w:ascii="宋体" w:hAnsi="宋体"/>
          <w:color w:val="auto"/>
          <w:szCs w:val="21"/>
          <w:u w:val="single"/>
        </w:rPr>
        <w:t>采购人名称</w:t>
      </w:r>
      <w:r>
        <w:rPr>
          <w:rFonts w:hint="eastAsia" w:ascii="宋体" w:hAnsi="宋体"/>
          <w:color w:val="auto"/>
          <w:szCs w:val="21"/>
        </w:rPr>
        <w:t>：</w:t>
      </w:r>
    </w:p>
    <w:p w14:paraId="51229CE6">
      <w:pPr>
        <w:snapToGrid w:val="0"/>
        <w:spacing w:line="360" w:lineRule="auto"/>
        <w:ind w:firstLine="480"/>
        <w:rPr>
          <w:rFonts w:ascii="宋体" w:hAnsi="宋体"/>
          <w:color w:val="auto"/>
          <w:szCs w:val="21"/>
        </w:rPr>
      </w:pPr>
      <w:r>
        <w:rPr>
          <w:rFonts w:hint="eastAsia" w:ascii="宋体" w:hAnsi="宋体"/>
          <w:color w:val="auto"/>
          <w:szCs w:val="21"/>
        </w:rPr>
        <w:t>根据贵方</w:t>
      </w:r>
      <w:r>
        <w:rPr>
          <w:rFonts w:hint="eastAsia" w:ascii="宋体" w:hAnsi="宋体"/>
          <w:color w:val="auto"/>
          <w:szCs w:val="21"/>
          <w:u w:val="single"/>
        </w:rPr>
        <w:t xml:space="preserve">      项目名称    </w:t>
      </w:r>
      <w:r>
        <w:rPr>
          <w:rFonts w:hint="eastAsia" w:ascii="宋体" w:hAnsi="宋体"/>
          <w:color w:val="auto"/>
          <w:szCs w:val="21"/>
        </w:rPr>
        <w:t>（项目编号：</w:t>
      </w:r>
      <w:r>
        <w:rPr>
          <w:rFonts w:hint="eastAsia" w:ascii="宋体" w:hAnsi="宋体"/>
          <w:color w:val="auto"/>
          <w:szCs w:val="21"/>
          <w:u w:val="single"/>
          <w:lang w:val="en-US" w:eastAsia="zh-CN"/>
        </w:rPr>
        <w:t xml:space="preserve">      </w:t>
      </w:r>
      <w:r>
        <w:rPr>
          <w:rFonts w:hint="eastAsia" w:ascii="宋体" w:hAnsi="宋体" w:cs="宋体"/>
          <w:color w:val="auto"/>
          <w:sz w:val="21"/>
          <w:szCs w:val="21"/>
          <w:highlight w:val="none"/>
          <w:u w:val="single"/>
          <w:lang w:val="en-US" w:eastAsia="zh-CN"/>
        </w:rPr>
        <w:t xml:space="preserve">标项   </w:t>
      </w:r>
      <w:r>
        <w:rPr>
          <w:rFonts w:hint="eastAsia" w:ascii="宋体" w:hAnsi="宋体"/>
          <w:color w:val="auto"/>
          <w:szCs w:val="21"/>
          <w:u w:val="single"/>
          <w:lang w:val="en-US" w:eastAsia="zh-CN"/>
        </w:rPr>
        <w:t xml:space="preserve">     </w:t>
      </w:r>
      <w:r>
        <w:rPr>
          <w:rFonts w:hint="eastAsia" w:ascii="宋体" w:hAnsi="宋体"/>
          <w:color w:val="auto"/>
          <w:szCs w:val="21"/>
        </w:rPr>
        <w:t>）的招标公告，签字代表</w:t>
      </w:r>
      <w:r>
        <w:rPr>
          <w:rFonts w:hint="eastAsia" w:ascii="宋体" w:hAnsi="宋体"/>
          <w:color w:val="auto"/>
          <w:szCs w:val="21"/>
          <w:u w:val="single"/>
        </w:rPr>
        <w:t xml:space="preserve">   （姓名）   </w:t>
      </w:r>
      <w:r>
        <w:rPr>
          <w:rFonts w:hint="eastAsia" w:ascii="宋体" w:hAnsi="宋体"/>
          <w:color w:val="auto"/>
          <w:szCs w:val="21"/>
        </w:rPr>
        <w:t>经正式授权并代表投标人</w:t>
      </w:r>
      <w:r>
        <w:rPr>
          <w:rFonts w:hint="eastAsia" w:ascii="宋体" w:hAnsi="宋体"/>
          <w:color w:val="auto"/>
          <w:szCs w:val="21"/>
          <w:u w:val="single"/>
        </w:rPr>
        <w:t xml:space="preserve">      （投标人名称）   </w:t>
      </w:r>
      <w:r>
        <w:rPr>
          <w:rFonts w:hint="eastAsia" w:ascii="宋体" w:hAnsi="宋体"/>
          <w:color w:val="auto"/>
          <w:szCs w:val="21"/>
        </w:rPr>
        <w:t>提交投标文件。</w:t>
      </w:r>
    </w:p>
    <w:p w14:paraId="56829270">
      <w:pPr>
        <w:snapToGrid w:val="0"/>
        <w:spacing w:line="360" w:lineRule="auto"/>
        <w:ind w:firstLine="420" w:firstLineChars="200"/>
        <w:rPr>
          <w:rFonts w:ascii="宋体" w:hAnsi="宋体"/>
          <w:color w:val="auto"/>
          <w:szCs w:val="21"/>
        </w:rPr>
      </w:pPr>
      <w:r>
        <w:rPr>
          <w:rFonts w:hint="eastAsia" w:ascii="宋体" w:hAnsi="宋体"/>
          <w:color w:val="auto"/>
          <w:szCs w:val="21"/>
        </w:rPr>
        <w:t>据此函，我方宣布同意如下：</w:t>
      </w:r>
    </w:p>
    <w:p w14:paraId="51C290F3">
      <w:pPr>
        <w:snapToGrid w:val="0"/>
        <w:spacing w:line="360" w:lineRule="auto"/>
        <w:ind w:firstLine="420" w:firstLineChars="200"/>
        <w:rPr>
          <w:rFonts w:ascii="宋体" w:hAnsi="宋体"/>
          <w:color w:val="auto"/>
          <w:szCs w:val="21"/>
        </w:rPr>
      </w:pPr>
      <w:r>
        <w:rPr>
          <w:rFonts w:hint="eastAsia" w:ascii="宋体" w:hAnsi="宋体"/>
          <w:color w:val="auto"/>
          <w:szCs w:val="21"/>
        </w:rPr>
        <w:t>1.我方已详细审查全部“招标文件”，包括修改文件（如有的话）以及全部参考资料和有关附件，已经了解我方对于招标文件、采购过程、采购结果有依法进行询问、质疑、投诉的权利及相关渠道和要求。</w:t>
      </w:r>
    </w:p>
    <w:p w14:paraId="5BA4741F">
      <w:pPr>
        <w:snapToGrid w:val="0"/>
        <w:spacing w:line="360" w:lineRule="auto"/>
        <w:ind w:firstLine="420" w:firstLineChars="200"/>
        <w:rPr>
          <w:rFonts w:ascii="宋体" w:hAnsi="宋体"/>
          <w:color w:val="auto"/>
          <w:szCs w:val="21"/>
        </w:rPr>
      </w:pPr>
      <w:r>
        <w:rPr>
          <w:rFonts w:hint="eastAsia" w:ascii="宋体" w:hAnsi="宋体"/>
          <w:color w:val="auto"/>
          <w:szCs w:val="21"/>
        </w:rPr>
        <w:t>2.我方在投标之前已经完全理解并接受招标文件的各项规定和要求，对招标文件的合理性、合法性不再有异议。</w:t>
      </w:r>
    </w:p>
    <w:p w14:paraId="35CC0AC0">
      <w:pPr>
        <w:snapToGrid w:val="0"/>
        <w:spacing w:line="360" w:lineRule="auto"/>
        <w:ind w:firstLine="420" w:firstLineChars="200"/>
        <w:rPr>
          <w:rFonts w:ascii="宋体" w:hAnsi="宋体"/>
          <w:color w:val="auto"/>
          <w:szCs w:val="21"/>
        </w:rPr>
      </w:pPr>
      <w:r>
        <w:rPr>
          <w:rFonts w:hint="eastAsia" w:ascii="宋体" w:hAnsi="宋体"/>
          <w:color w:val="auto"/>
          <w:szCs w:val="21"/>
        </w:rPr>
        <w:t>3.本投标有效期自投标截止之日起</w:t>
      </w:r>
      <w:r>
        <w:rPr>
          <w:rFonts w:hint="eastAsia" w:ascii="宋体" w:hAnsi="宋体"/>
          <w:color w:val="auto"/>
          <w:szCs w:val="21"/>
          <w:u w:val="single"/>
        </w:rPr>
        <w:t>90</w:t>
      </w:r>
      <w:r>
        <w:rPr>
          <w:rFonts w:hint="eastAsia" w:ascii="宋体" w:hAnsi="宋体"/>
          <w:color w:val="auto"/>
          <w:szCs w:val="21"/>
        </w:rPr>
        <w:t>日。</w:t>
      </w:r>
    </w:p>
    <w:p w14:paraId="492808B4">
      <w:pPr>
        <w:snapToGrid w:val="0"/>
        <w:spacing w:line="360" w:lineRule="auto"/>
        <w:ind w:firstLine="420" w:firstLineChars="200"/>
        <w:rPr>
          <w:rFonts w:ascii="宋体" w:hAnsi="宋体"/>
          <w:color w:val="auto"/>
          <w:szCs w:val="21"/>
        </w:rPr>
      </w:pPr>
      <w:r>
        <w:rPr>
          <w:rFonts w:hint="eastAsia" w:ascii="宋体" w:hAnsi="宋体"/>
          <w:color w:val="auto"/>
          <w:szCs w:val="21"/>
        </w:rPr>
        <w:t>4.如中标，本投标文件至本项目合同履行完毕止均保持有效，我方将按“招标文件”及政府采购法律、法规的规定履行合同责任和义务。</w:t>
      </w:r>
    </w:p>
    <w:p w14:paraId="293CA7E4">
      <w:pPr>
        <w:snapToGrid w:val="0"/>
        <w:spacing w:line="360" w:lineRule="auto"/>
        <w:ind w:firstLine="420" w:firstLineChars="200"/>
        <w:rPr>
          <w:rFonts w:ascii="宋体" w:hAnsi="宋体"/>
          <w:color w:val="auto"/>
          <w:szCs w:val="21"/>
        </w:rPr>
      </w:pPr>
      <w:r>
        <w:rPr>
          <w:rFonts w:hint="eastAsia" w:ascii="宋体" w:hAnsi="宋体"/>
          <w:color w:val="auto"/>
          <w:szCs w:val="21"/>
        </w:rPr>
        <w:t>5.我方同意按照贵方要求提供与投标有关的一切数据或者资料。</w:t>
      </w:r>
    </w:p>
    <w:p w14:paraId="7DA49462">
      <w:pPr>
        <w:snapToGrid w:val="0"/>
        <w:spacing w:line="360" w:lineRule="auto"/>
        <w:ind w:firstLine="420" w:firstLineChars="200"/>
        <w:rPr>
          <w:rFonts w:ascii="宋体" w:hAnsi="宋体"/>
          <w:color w:val="auto"/>
          <w:szCs w:val="21"/>
        </w:rPr>
      </w:pPr>
      <w:r>
        <w:rPr>
          <w:rFonts w:hint="eastAsia" w:ascii="宋体" w:hAnsi="宋体"/>
          <w:color w:val="auto"/>
          <w:szCs w:val="21"/>
        </w:rPr>
        <w:t>6.我方向贵方提交的所有投标文件、资料都是准确的和真实的。</w:t>
      </w:r>
    </w:p>
    <w:p w14:paraId="091D8E3C">
      <w:pPr>
        <w:snapToGrid w:val="0"/>
        <w:spacing w:line="360" w:lineRule="auto"/>
        <w:ind w:firstLine="420" w:firstLineChars="200"/>
        <w:rPr>
          <w:rFonts w:ascii="宋体" w:hAnsi="宋体"/>
          <w:color w:val="auto"/>
          <w:szCs w:val="21"/>
        </w:rPr>
      </w:pPr>
      <w:r>
        <w:rPr>
          <w:rFonts w:hint="eastAsia" w:ascii="宋体" w:hAnsi="宋体"/>
          <w:color w:val="auto"/>
          <w:szCs w:val="21"/>
        </w:rPr>
        <w:t>7.以上事项如有虚假或者隐瞒，我方愿意承担一切后果，并不再寻求任何旨在减轻或者免除法律责任的辩解。</w:t>
      </w:r>
    </w:p>
    <w:p w14:paraId="7BD52808">
      <w:pPr>
        <w:spacing w:line="360" w:lineRule="auto"/>
        <w:ind w:firstLine="420" w:firstLineChars="200"/>
        <w:rPr>
          <w:rFonts w:ascii="宋体" w:hAnsi="宋体"/>
          <w:color w:val="auto"/>
          <w:szCs w:val="21"/>
        </w:rPr>
      </w:pPr>
      <w:r>
        <w:rPr>
          <w:rFonts w:hint="eastAsia" w:ascii="宋体" w:hAnsi="宋体"/>
          <w:color w:val="auto"/>
          <w:szCs w:val="21"/>
        </w:rPr>
        <w:t>8.根据</w:t>
      </w:r>
      <w:r>
        <w:rPr>
          <w:rFonts w:ascii="宋体" w:hAnsi="宋体"/>
          <w:color w:val="auto"/>
          <w:szCs w:val="21"/>
        </w:rPr>
        <w:t>《中华人民共和国政府采购法实施条例》第五十条要求对政府采购合同进行公告</w:t>
      </w:r>
      <w:r>
        <w:rPr>
          <w:rFonts w:hint="eastAsia" w:ascii="宋体" w:hAnsi="宋体"/>
          <w:color w:val="auto"/>
          <w:szCs w:val="21"/>
        </w:rPr>
        <w:t>，</w:t>
      </w:r>
      <w:r>
        <w:rPr>
          <w:rFonts w:ascii="宋体" w:hAnsi="宋体"/>
          <w:color w:val="auto"/>
          <w:szCs w:val="21"/>
        </w:rPr>
        <w:t>但政府采购合同中涉及国家秘密、商业秘密的内容除外。</w:t>
      </w:r>
      <w:r>
        <w:rPr>
          <w:rFonts w:hint="eastAsia" w:ascii="宋体" w:hAnsi="宋体"/>
          <w:color w:val="auto"/>
          <w:szCs w:val="21"/>
        </w:rPr>
        <w:t>我方就对本次投标文件进行注明如下：（两项内容中必须选择一项）</w:t>
      </w:r>
    </w:p>
    <w:p w14:paraId="50C431F6">
      <w:pPr>
        <w:spacing w:line="360" w:lineRule="auto"/>
        <w:ind w:firstLine="420" w:firstLineChars="200"/>
        <w:rPr>
          <w:rFonts w:ascii="宋体" w:hAnsi="宋体"/>
          <w:color w:val="auto"/>
          <w:szCs w:val="21"/>
        </w:rPr>
      </w:pPr>
      <w:r>
        <w:rPr>
          <w:rFonts w:hint="eastAsia" w:ascii="宋体" w:hAnsi="宋体"/>
          <w:color w:val="auto"/>
          <w:szCs w:val="21"/>
        </w:rPr>
        <w:t>□我方本次投标文件</w:t>
      </w:r>
      <w:r>
        <w:rPr>
          <w:rFonts w:ascii="宋体" w:hAnsi="宋体" w:cs="宋体"/>
          <w:color w:val="auto"/>
          <w:kern w:val="0"/>
          <w:szCs w:val="21"/>
        </w:rPr>
        <w:t>内容中</w:t>
      </w:r>
      <w:r>
        <w:rPr>
          <w:rFonts w:hint="eastAsia" w:ascii="宋体" w:hAnsi="宋体"/>
          <w:color w:val="auto"/>
          <w:szCs w:val="21"/>
        </w:rPr>
        <w:t>未</w:t>
      </w:r>
      <w:r>
        <w:rPr>
          <w:rFonts w:ascii="宋体" w:hAnsi="宋体" w:cs="宋体"/>
          <w:color w:val="auto"/>
          <w:kern w:val="0"/>
          <w:szCs w:val="21"/>
        </w:rPr>
        <w:t>涉及商业秘密</w:t>
      </w:r>
      <w:r>
        <w:rPr>
          <w:rFonts w:hint="eastAsia" w:ascii="宋体" w:hAnsi="宋体" w:cs="宋体"/>
          <w:color w:val="auto"/>
          <w:kern w:val="0"/>
          <w:szCs w:val="21"/>
        </w:rPr>
        <w:t>；</w:t>
      </w:r>
    </w:p>
    <w:p w14:paraId="4A9DB8FE">
      <w:pPr>
        <w:snapToGrid w:val="0"/>
        <w:spacing w:line="360" w:lineRule="auto"/>
        <w:ind w:firstLine="420" w:firstLineChars="200"/>
        <w:rPr>
          <w:rFonts w:ascii="宋体" w:hAnsi="宋体"/>
          <w:color w:val="auto"/>
          <w:szCs w:val="21"/>
        </w:rPr>
      </w:pPr>
      <w:r>
        <w:rPr>
          <w:rFonts w:hint="eastAsia" w:ascii="宋体" w:hAnsi="宋体"/>
          <w:color w:val="auto"/>
          <w:szCs w:val="21"/>
        </w:rPr>
        <w:t>□我方本次投标文件</w:t>
      </w:r>
      <w:r>
        <w:rPr>
          <w:rFonts w:ascii="宋体" w:hAnsi="宋体" w:cs="宋体"/>
          <w:color w:val="auto"/>
          <w:kern w:val="0"/>
          <w:szCs w:val="21"/>
        </w:rPr>
        <w:t>涉及商业秘密</w:t>
      </w:r>
      <w:r>
        <w:rPr>
          <w:rFonts w:hint="eastAsia" w:ascii="宋体" w:hAnsi="宋体" w:cs="宋体"/>
          <w:color w:val="auto"/>
          <w:kern w:val="0"/>
          <w:szCs w:val="21"/>
        </w:rPr>
        <w:t>的</w:t>
      </w:r>
      <w:r>
        <w:rPr>
          <w:rFonts w:ascii="宋体" w:hAnsi="宋体" w:cs="宋体"/>
          <w:color w:val="auto"/>
          <w:kern w:val="0"/>
          <w:szCs w:val="21"/>
        </w:rPr>
        <w:t>内容</w:t>
      </w:r>
      <w:r>
        <w:rPr>
          <w:rFonts w:hint="eastAsia" w:ascii="宋体" w:hAnsi="宋体" w:cs="宋体"/>
          <w:color w:val="auto"/>
          <w:kern w:val="0"/>
          <w:szCs w:val="21"/>
        </w:rPr>
        <w:t>有：</w:t>
      </w:r>
      <w:r>
        <w:rPr>
          <w:rFonts w:hint="eastAsia" w:ascii="宋体" w:hAnsi="宋体" w:cs="宋体"/>
          <w:color w:val="auto"/>
          <w:kern w:val="0"/>
          <w:szCs w:val="21"/>
          <w:u w:val="single"/>
          <w:lang w:val="en-US" w:eastAsia="zh-CN"/>
        </w:rPr>
        <w:t xml:space="preserve">         </w:t>
      </w:r>
      <w:r>
        <w:rPr>
          <w:rFonts w:hint="eastAsia" w:ascii="宋体" w:hAnsi="宋体" w:cs="宋体"/>
          <w:color w:val="auto"/>
          <w:kern w:val="0"/>
          <w:szCs w:val="21"/>
        </w:rPr>
        <w:t>；</w:t>
      </w:r>
    </w:p>
    <w:p w14:paraId="19A1B242">
      <w:pPr>
        <w:snapToGrid w:val="0"/>
        <w:spacing w:line="360" w:lineRule="auto"/>
        <w:ind w:firstLine="420" w:firstLineChars="200"/>
        <w:rPr>
          <w:rFonts w:ascii="宋体" w:hAnsi="宋体"/>
          <w:color w:val="auto"/>
          <w:szCs w:val="21"/>
        </w:rPr>
      </w:pPr>
      <w:r>
        <w:rPr>
          <w:rFonts w:hint="eastAsia" w:ascii="宋体" w:hAnsi="宋体"/>
          <w:color w:val="auto"/>
          <w:szCs w:val="21"/>
        </w:rPr>
        <w:t>9.与本投标有关的一切正式往来信函请寄：</w:t>
      </w:r>
    </w:p>
    <w:p w14:paraId="09C22E91">
      <w:pPr>
        <w:snapToGrid w:val="0"/>
        <w:spacing w:line="360" w:lineRule="auto"/>
        <w:rPr>
          <w:rFonts w:hint="default" w:ascii="宋体" w:hAnsi="宋体" w:eastAsia="宋体"/>
          <w:color w:val="auto"/>
          <w:szCs w:val="21"/>
          <w:u w:val="single"/>
          <w:lang w:val="en-US" w:eastAsia="zh-CN"/>
        </w:rPr>
      </w:pPr>
      <w:r>
        <w:rPr>
          <w:rFonts w:hint="eastAsia" w:ascii="宋体" w:hAnsi="宋体"/>
          <w:color w:val="auto"/>
          <w:szCs w:val="21"/>
        </w:rPr>
        <w:t>地址：</w:t>
      </w:r>
      <w:r>
        <w:rPr>
          <w:rFonts w:hint="eastAsia" w:ascii="宋体" w:hAnsi="宋体"/>
          <w:color w:val="auto"/>
          <w:szCs w:val="21"/>
          <w:u w:val="single"/>
          <w:lang w:val="en-US" w:eastAsia="zh-CN"/>
        </w:rPr>
        <w:t xml:space="preserve">             </w:t>
      </w:r>
      <w:r>
        <w:rPr>
          <w:rFonts w:hint="eastAsia" w:ascii="宋体" w:hAnsi="宋体"/>
          <w:color w:val="auto"/>
          <w:szCs w:val="21"/>
        </w:rPr>
        <w:t>邮编：</w:t>
      </w:r>
      <w:r>
        <w:rPr>
          <w:rFonts w:hint="eastAsia" w:ascii="宋体" w:hAnsi="宋体"/>
          <w:color w:val="auto"/>
          <w:szCs w:val="21"/>
          <w:u w:val="single"/>
          <w:lang w:val="en-US" w:eastAsia="zh-CN"/>
        </w:rPr>
        <w:t xml:space="preserve">             </w:t>
      </w:r>
    </w:p>
    <w:p w14:paraId="6D2B76B0">
      <w:pPr>
        <w:snapToGrid w:val="0"/>
        <w:spacing w:line="360" w:lineRule="auto"/>
        <w:rPr>
          <w:rFonts w:ascii="宋体" w:hAnsi="宋体"/>
          <w:color w:val="auto"/>
          <w:szCs w:val="21"/>
        </w:rPr>
      </w:pPr>
      <w:r>
        <w:rPr>
          <w:rFonts w:hint="eastAsia" w:ascii="宋体" w:hAnsi="宋体"/>
          <w:color w:val="auto"/>
          <w:szCs w:val="21"/>
        </w:rPr>
        <w:t>电话：</w:t>
      </w:r>
      <w:r>
        <w:rPr>
          <w:rFonts w:hint="eastAsia" w:ascii="宋体" w:hAnsi="宋体"/>
          <w:color w:val="auto"/>
          <w:szCs w:val="21"/>
          <w:u w:val="single"/>
          <w:lang w:val="en-US" w:eastAsia="zh-CN"/>
        </w:rPr>
        <w:t xml:space="preserve">             </w:t>
      </w:r>
      <w:r>
        <w:rPr>
          <w:rFonts w:hint="eastAsia" w:ascii="宋体" w:hAnsi="宋体"/>
          <w:color w:val="auto"/>
          <w:szCs w:val="21"/>
        </w:rPr>
        <w:t>传真：</w:t>
      </w:r>
      <w:r>
        <w:rPr>
          <w:rFonts w:hint="eastAsia" w:ascii="宋体" w:hAnsi="宋体"/>
          <w:color w:val="auto"/>
          <w:szCs w:val="21"/>
          <w:u w:val="single"/>
          <w:lang w:val="en-US" w:eastAsia="zh-CN"/>
        </w:rPr>
        <w:t xml:space="preserve">             </w:t>
      </w:r>
    </w:p>
    <w:p w14:paraId="231F552A">
      <w:pPr>
        <w:snapToGrid w:val="0"/>
        <w:spacing w:line="360" w:lineRule="auto"/>
        <w:rPr>
          <w:rFonts w:ascii="宋体" w:hAnsi="宋体"/>
          <w:color w:val="auto"/>
          <w:szCs w:val="21"/>
        </w:rPr>
      </w:pPr>
      <w:r>
        <w:rPr>
          <w:rFonts w:hint="eastAsia" w:ascii="宋体" w:hAnsi="宋体"/>
          <w:color w:val="auto"/>
          <w:szCs w:val="21"/>
        </w:rPr>
        <w:t>投标人名称:</w:t>
      </w:r>
      <w:r>
        <w:rPr>
          <w:rFonts w:hint="eastAsia" w:ascii="宋体" w:hAnsi="宋体"/>
          <w:color w:val="auto"/>
          <w:szCs w:val="21"/>
          <w:u w:val="single"/>
          <w:lang w:val="en-US" w:eastAsia="zh-CN"/>
        </w:rPr>
        <w:t xml:space="preserve">             </w:t>
      </w:r>
    </w:p>
    <w:p w14:paraId="44409BD0">
      <w:pPr>
        <w:snapToGrid w:val="0"/>
        <w:spacing w:line="360" w:lineRule="auto"/>
        <w:jc w:val="left"/>
        <w:rPr>
          <w:rFonts w:ascii="宋体" w:hAnsi="宋体"/>
          <w:color w:val="auto"/>
          <w:szCs w:val="21"/>
        </w:rPr>
      </w:pPr>
      <w:r>
        <w:rPr>
          <w:rFonts w:hint="eastAsia" w:ascii="宋体" w:hAnsi="宋体"/>
          <w:color w:val="auto"/>
          <w:szCs w:val="21"/>
        </w:rPr>
        <w:t>开户银行：</w:t>
      </w:r>
      <w:r>
        <w:rPr>
          <w:rFonts w:hint="eastAsia" w:ascii="宋体" w:hAnsi="宋体"/>
          <w:color w:val="auto"/>
          <w:szCs w:val="21"/>
          <w:u w:val="single"/>
          <w:lang w:val="en-US" w:eastAsia="zh-CN"/>
        </w:rPr>
        <w:t xml:space="preserve">             </w:t>
      </w:r>
      <w:r>
        <w:rPr>
          <w:rFonts w:hint="eastAsia" w:ascii="宋体" w:hAnsi="宋体"/>
          <w:color w:val="auto"/>
          <w:szCs w:val="21"/>
          <w:lang w:eastAsia="zh-CN"/>
        </w:rPr>
        <w:t>银行账号：</w:t>
      </w:r>
      <w:r>
        <w:rPr>
          <w:rFonts w:hint="eastAsia" w:ascii="宋体" w:hAnsi="宋体"/>
          <w:color w:val="auto"/>
          <w:szCs w:val="21"/>
          <w:u w:val="single"/>
          <w:lang w:val="en-US" w:eastAsia="zh-CN"/>
        </w:rPr>
        <w:t xml:space="preserve">             </w:t>
      </w:r>
    </w:p>
    <w:p w14:paraId="24696321">
      <w:pPr>
        <w:snapToGrid w:val="0"/>
        <w:spacing w:before="50" w:after="50" w:line="300" w:lineRule="auto"/>
        <w:ind w:left="-6" w:leftChars="-15" w:right="-817" w:rightChars="-389" w:hanging="25" w:hangingChars="12"/>
        <w:jc w:val="left"/>
        <w:rPr>
          <w:rFonts w:ascii="宋体" w:hAnsi="宋体"/>
          <w:b/>
          <w:bCs/>
          <w:color w:val="auto"/>
          <w:szCs w:val="21"/>
        </w:rPr>
      </w:pPr>
    </w:p>
    <w:p w14:paraId="0B339A80">
      <w:pPr>
        <w:snapToGrid w:val="0"/>
        <w:spacing w:before="50" w:after="50" w:line="300" w:lineRule="auto"/>
        <w:ind w:left="-6" w:leftChars="-15" w:right="-817" w:rightChars="-389" w:hanging="25" w:hangingChars="12"/>
        <w:jc w:val="left"/>
        <w:rPr>
          <w:rFonts w:ascii="宋体" w:hAnsi="宋体"/>
          <w:b/>
          <w:bCs/>
          <w:color w:val="auto"/>
          <w:szCs w:val="21"/>
        </w:rPr>
      </w:pPr>
      <w:r>
        <w:rPr>
          <w:rFonts w:hint="eastAsia" w:ascii="宋体" w:hAnsi="宋体"/>
          <w:b/>
          <w:bCs/>
          <w:color w:val="auto"/>
          <w:szCs w:val="21"/>
        </w:rPr>
        <w:t>法定代表人或者委托代理人（签字/电子签名）：</w:t>
      </w:r>
    </w:p>
    <w:p w14:paraId="066EE749">
      <w:pPr>
        <w:snapToGrid w:val="0"/>
        <w:spacing w:before="50" w:after="50" w:line="300" w:lineRule="auto"/>
        <w:ind w:left="-6" w:leftChars="-15" w:right="-817" w:rightChars="-389" w:hanging="25" w:hangingChars="12"/>
        <w:jc w:val="left"/>
        <w:rPr>
          <w:rFonts w:ascii="宋体" w:hAnsi="宋体"/>
          <w:b/>
          <w:bCs/>
          <w:color w:val="auto"/>
          <w:szCs w:val="21"/>
        </w:rPr>
      </w:pPr>
      <w:r>
        <w:rPr>
          <w:rFonts w:hint="eastAsia" w:ascii="宋体" w:hAnsi="宋体"/>
          <w:b/>
          <w:bCs/>
          <w:color w:val="auto"/>
          <w:szCs w:val="21"/>
        </w:rPr>
        <w:t>投标人名称（公章或电子签章）：</w:t>
      </w:r>
    </w:p>
    <w:p w14:paraId="40179BF4">
      <w:pPr>
        <w:snapToGrid w:val="0"/>
        <w:spacing w:before="50" w:after="50" w:line="300" w:lineRule="auto"/>
        <w:ind w:left="-6" w:leftChars="-15" w:right="-817" w:rightChars="-389" w:hanging="25" w:hangingChars="12"/>
        <w:jc w:val="left"/>
        <w:rPr>
          <w:rFonts w:ascii="宋体" w:hAnsi="宋体"/>
          <w:b/>
          <w:bCs/>
          <w:color w:val="auto"/>
          <w:szCs w:val="21"/>
        </w:rPr>
      </w:pPr>
      <w:r>
        <w:rPr>
          <w:rFonts w:hint="eastAsia" w:ascii="宋体" w:hAnsi="宋体"/>
          <w:b/>
          <w:bCs/>
          <w:color w:val="auto"/>
          <w:szCs w:val="21"/>
        </w:rPr>
        <w:t>日期：    年   月   日</w:t>
      </w:r>
    </w:p>
    <w:p w14:paraId="2FDBC8B2">
      <w:pPr>
        <w:snapToGrid w:val="0"/>
        <w:spacing w:beforeLines="50" w:after="50"/>
        <w:jc w:val="left"/>
        <w:rPr>
          <w:rFonts w:ascii="宋体" w:hAnsi="宋体"/>
          <w:b/>
          <w:color w:val="auto"/>
          <w:sz w:val="24"/>
          <w:szCs w:val="20"/>
        </w:rPr>
      </w:pPr>
      <w:r>
        <w:rPr>
          <w:rFonts w:hAnsi="宋体"/>
          <w:color w:val="auto"/>
          <w:u w:val="single"/>
        </w:rPr>
        <w:br w:type="page"/>
      </w:r>
      <w:r>
        <w:rPr>
          <w:rFonts w:hint="eastAsia" w:ascii="宋体" w:hAnsi="宋体"/>
          <w:b/>
          <w:color w:val="auto"/>
          <w:sz w:val="24"/>
        </w:rPr>
        <w:t>2.开标一览表（货物类格式）</w:t>
      </w:r>
    </w:p>
    <w:p w14:paraId="37FB95C4">
      <w:pPr>
        <w:snapToGrid w:val="0"/>
        <w:spacing w:before="50" w:after="50"/>
        <w:jc w:val="center"/>
        <w:rPr>
          <w:rFonts w:ascii="宋体" w:hAnsi="宋体"/>
          <w:b/>
          <w:color w:val="auto"/>
          <w:sz w:val="30"/>
        </w:rPr>
      </w:pPr>
      <w:r>
        <w:rPr>
          <w:rFonts w:hint="eastAsia" w:ascii="宋体" w:hAnsi="宋体"/>
          <w:b/>
          <w:color w:val="auto"/>
          <w:sz w:val="30"/>
        </w:rPr>
        <w:t>开标一览表</w:t>
      </w:r>
    </w:p>
    <w:p w14:paraId="142C90FD">
      <w:pPr>
        <w:snapToGrid w:val="0"/>
        <w:spacing w:before="50" w:after="50"/>
        <w:jc w:val="center"/>
        <w:rPr>
          <w:rFonts w:ascii="宋体" w:hAnsi="宋体"/>
          <w:b/>
          <w:color w:val="auto"/>
          <w:sz w:val="30"/>
          <w:szCs w:val="20"/>
        </w:rPr>
      </w:pPr>
    </w:p>
    <w:p w14:paraId="25C09D08">
      <w:pPr>
        <w:snapToGrid w:val="0"/>
        <w:spacing w:before="50" w:after="50" w:line="360" w:lineRule="auto"/>
        <w:rPr>
          <w:rFonts w:ascii="宋体" w:hAnsi="宋体"/>
          <w:color w:val="auto"/>
          <w:szCs w:val="21"/>
          <w:u w:val="single"/>
        </w:rPr>
      </w:pPr>
      <w:r>
        <w:rPr>
          <w:rFonts w:hint="eastAsia" w:ascii="宋体" w:hAnsi="宋体"/>
          <w:color w:val="auto"/>
          <w:szCs w:val="21"/>
        </w:rPr>
        <w:t>项目名称：</w:t>
      </w:r>
      <w:r>
        <w:rPr>
          <w:rFonts w:hint="eastAsia" w:ascii="宋体" w:hAnsi="宋体"/>
          <w:color w:val="auto"/>
          <w:szCs w:val="21"/>
          <w:u w:val="single"/>
          <w:lang w:val="en-US" w:eastAsia="zh-CN"/>
        </w:rPr>
        <w:t xml:space="preserve">             </w:t>
      </w:r>
      <w:r>
        <w:rPr>
          <w:rFonts w:hint="eastAsia" w:ascii="宋体" w:hAnsi="宋体"/>
          <w:color w:val="auto"/>
          <w:szCs w:val="21"/>
        </w:rPr>
        <w:t>项目编号：</w:t>
      </w:r>
      <w:r>
        <w:rPr>
          <w:rFonts w:hint="eastAsia" w:ascii="宋体" w:hAnsi="宋体"/>
          <w:color w:val="auto"/>
          <w:szCs w:val="21"/>
          <w:u w:val="single"/>
          <w:lang w:val="en-US" w:eastAsia="zh-CN"/>
        </w:rPr>
        <w:t xml:space="preserve">             </w:t>
      </w:r>
      <w:r>
        <w:rPr>
          <w:rFonts w:hint="eastAsia" w:ascii="宋体" w:hAnsi="宋体"/>
          <w:color w:val="auto"/>
          <w:szCs w:val="21"/>
        </w:rPr>
        <w:t xml:space="preserve"> </w:t>
      </w:r>
      <w:r>
        <w:rPr>
          <w:rFonts w:hint="eastAsia" w:ascii="宋体" w:hAnsi="宋体"/>
          <w:color w:val="auto"/>
          <w:szCs w:val="21"/>
          <w:lang w:val="en-US" w:eastAsia="zh-CN"/>
        </w:rPr>
        <w:t>标项：</w:t>
      </w:r>
      <w:r>
        <w:rPr>
          <w:rFonts w:hint="eastAsia" w:ascii="宋体" w:hAnsi="宋体"/>
          <w:color w:val="auto"/>
          <w:szCs w:val="21"/>
          <w:u w:val="single"/>
          <w:lang w:val="en-US" w:eastAsia="zh-CN"/>
        </w:rPr>
        <w:t xml:space="preserve">             </w:t>
      </w:r>
    </w:p>
    <w:p w14:paraId="17267F74">
      <w:pPr>
        <w:snapToGrid w:val="0"/>
        <w:spacing w:before="50" w:after="50" w:line="360" w:lineRule="auto"/>
        <w:rPr>
          <w:rFonts w:ascii="宋体" w:hAnsi="宋体"/>
          <w:color w:val="auto"/>
          <w:szCs w:val="21"/>
        </w:rPr>
      </w:pPr>
      <w:r>
        <w:rPr>
          <w:rFonts w:hint="eastAsia" w:ascii="宋体" w:hAnsi="宋体"/>
          <w:color w:val="auto"/>
          <w:szCs w:val="21"/>
        </w:rPr>
        <w:t>投标人名称：</w:t>
      </w:r>
      <w:r>
        <w:rPr>
          <w:rFonts w:hint="eastAsia" w:ascii="宋体" w:hAnsi="宋体"/>
          <w:color w:val="auto"/>
          <w:szCs w:val="21"/>
          <w:u w:val="single"/>
          <w:lang w:val="en-US" w:eastAsia="zh-CN"/>
        </w:rPr>
        <w:t xml:space="preserve">             </w:t>
      </w:r>
      <w:r>
        <w:rPr>
          <w:rFonts w:hint="eastAsia" w:ascii="宋体" w:hAnsi="宋体"/>
          <w:color w:val="auto"/>
          <w:szCs w:val="21"/>
        </w:rPr>
        <w:t xml:space="preserve">  单位：元</w:t>
      </w:r>
    </w:p>
    <w:tbl>
      <w:tblPr>
        <w:tblStyle w:val="33"/>
        <w:tblW w:w="5051" w:type="pct"/>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692"/>
        <w:gridCol w:w="1025"/>
        <w:gridCol w:w="608"/>
        <w:gridCol w:w="897"/>
        <w:gridCol w:w="907"/>
        <w:gridCol w:w="907"/>
        <w:gridCol w:w="907"/>
        <w:gridCol w:w="1126"/>
        <w:gridCol w:w="1548"/>
        <w:gridCol w:w="897"/>
      </w:tblGrid>
      <w:tr w14:paraId="37193F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09" w:hRule="atLeast"/>
        </w:trPr>
        <w:tc>
          <w:tcPr>
            <w:tcW w:w="360" w:type="pct"/>
          </w:tcPr>
          <w:p w14:paraId="7523C006">
            <w:pPr>
              <w:spacing w:line="476" w:lineRule="auto"/>
              <w:rPr>
                <w:rFonts w:ascii="Arial"/>
                <w:color w:val="auto"/>
                <w:szCs w:val="21"/>
                <w:lang w:eastAsia="en-US"/>
              </w:rPr>
            </w:pPr>
          </w:p>
          <w:p w14:paraId="136644D7">
            <w:pPr>
              <w:pStyle w:val="34"/>
              <w:spacing w:before="78" w:line="221" w:lineRule="auto"/>
              <w:ind w:left="116"/>
              <w:rPr>
                <w:color w:val="auto"/>
                <w:sz w:val="21"/>
                <w:szCs w:val="21"/>
              </w:rPr>
            </w:pPr>
            <w:r>
              <w:rPr>
                <w:b/>
                <w:bCs/>
                <w:color w:val="auto"/>
                <w:spacing w:val="-7"/>
                <w:sz w:val="21"/>
                <w:szCs w:val="21"/>
              </w:rPr>
              <w:t>序号</w:t>
            </w:r>
          </w:p>
        </w:tc>
        <w:tc>
          <w:tcPr>
            <w:tcW w:w="533" w:type="pct"/>
          </w:tcPr>
          <w:p w14:paraId="332608A9">
            <w:pPr>
              <w:spacing w:line="246" w:lineRule="auto"/>
              <w:rPr>
                <w:rFonts w:ascii="Arial"/>
                <w:color w:val="auto"/>
                <w:szCs w:val="21"/>
                <w:lang w:eastAsia="en-US"/>
              </w:rPr>
            </w:pPr>
          </w:p>
          <w:p w14:paraId="3F24A3DA">
            <w:pPr>
              <w:pStyle w:val="34"/>
              <w:spacing w:before="78" w:line="361" w:lineRule="auto"/>
              <w:ind w:left="402" w:right="158" w:hanging="233"/>
              <w:rPr>
                <w:color w:val="auto"/>
                <w:sz w:val="21"/>
                <w:szCs w:val="21"/>
              </w:rPr>
            </w:pPr>
            <w:r>
              <w:rPr>
                <w:rFonts w:hint="eastAsia" w:ascii="宋体" w:hAnsi="宋体" w:cs="宋体"/>
                <w:b/>
                <w:bCs/>
                <w:color w:val="auto"/>
                <w:sz w:val="21"/>
                <w:szCs w:val="21"/>
                <w:highlight w:val="none"/>
              </w:rPr>
              <w:t>标的名称</w:t>
            </w:r>
          </w:p>
        </w:tc>
        <w:tc>
          <w:tcPr>
            <w:tcW w:w="316" w:type="pct"/>
            <w:textDirection w:val="tbRlV"/>
          </w:tcPr>
          <w:p w14:paraId="7AB50059">
            <w:pPr>
              <w:pStyle w:val="34"/>
              <w:spacing w:before="186" w:line="207" w:lineRule="auto"/>
              <w:ind w:left="324"/>
              <w:rPr>
                <w:color w:val="auto"/>
                <w:sz w:val="21"/>
                <w:szCs w:val="21"/>
              </w:rPr>
            </w:pPr>
            <w:r>
              <w:rPr>
                <w:b/>
                <w:bCs/>
                <w:color w:val="auto"/>
                <w:spacing w:val="-3"/>
                <w:sz w:val="21"/>
                <w:szCs w:val="21"/>
              </w:rPr>
              <w:t>品牌</w:t>
            </w:r>
          </w:p>
        </w:tc>
        <w:tc>
          <w:tcPr>
            <w:tcW w:w="466" w:type="pct"/>
          </w:tcPr>
          <w:p w14:paraId="337549C2">
            <w:pPr>
              <w:spacing w:line="245" w:lineRule="auto"/>
              <w:rPr>
                <w:rFonts w:ascii="Arial"/>
                <w:color w:val="auto"/>
                <w:szCs w:val="21"/>
                <w:lang w:eastAsia="en-US"/>
              </w:rPr>
            </w:pPr>
          </w:p>
          <w:p w14:paraId="0E17A85E">
            <w:pPr>
              <w:pStyle w:val="34"/>
              <w:spacing w:before="78" w:line="361" w:lineRule="auto"/>
              <w:ind w:left="226" w:right="116" w:hanging="112"/>
              <w:rPr>
                <w:color w:val="auto"/>
                <w:sz w:val="21"/>
                <w:szCs w:val="21"/>
              </w:rPr>
            </w:pPr>
            <w:r>
              <w:rPr>
                <w:b/>
                <w:bCs/>
                <w:color w:val="auto"/>
                <w:spacing w:val="-19"/>
                <w:sz w:val="21"/>
                <w:szCs w:val="21"/>
              </w:rPr>
              <w:t>规格、</w:t>
            </w:r>
            <w:r>
              <w:rPr>
                <w:b/>
                <w:bCs/>
                <w:color w:val="auto"/>
                <w:spacing w:val="-11"/>
                <w:sz w:val="21"/>
                <w:szCs w:val="21"/>
              </w:rPr>
              <w:t>型号</w:t>
            </w:r>
          </w:p>
        </w:tc>
        <w:tc>
          <w:tcPr>
            <w:tcW w:w="471" w:type="pct"/>
          </w:tcPr>
          <w:p w14:paraId="6FA177AB">
            <w:pPr>
              <w:spacing w:line="244" w:lineRule="auto"/>
              <w:rPr>
                <w:rFonts w:ascii="Arial"/>
                <w:color w:val="auto"/>
                <w:szCs w:val="21"/>
                <w:lang w:eastAsia="en-US"/>
              </w:rPr>
            </w:pPr>
          </w:p>
          <w:p w14:paraId="504304A6">
            <w:pPr>
              <w:pStyle w:val="34"/>
              <w:spacing w:before="78" w:line="361" w:lineRule="auto"/>
              <w:ind w:left="346" w:right="219" w:hanging="123"/>
              <w:rPr>
                <w:color w:val="auto"/>
                <w:sz w:val="21"/>
                <w:szCs w:val="21"/>
              </w:rPr>
            </w:pPr>
            <w:r>
              <w:rPr>
                <w:b/>
                <w:bCs/>
                <w:color w:val="auto"/>
                <w:spacing w:val="-8"/>
                <w:sz w:val="21"/>
                <w:szCs w:val="21"/>
              </w:rPr>
              <w:t>制造</w:t>
            </w:r>
            <w:r>
              <w:rPr>
                <w:b/>
                <w:bCs/>
                <w:color w:val="auto"/>
                <w:spacing w:val="-3"/>
                <w:sz w:val="21"/>
                <w:szCs w:val="21"/>
              </w:rPr>
              <w:t>商</w:t>
            </w:r>
          </w:p>
        </w:tc>
        <w:tc>
          <w:tcPr>
            <w:tcW w:w="471" w:type="pct"/>
          </w:tcPr>
          <w:p w14:paraId="4482B624">
            <w:pPr>
              <w:spacing w:line="245" w:lineRule="auto"/>
              <w:rPr>
                <w:rFonts w:ascii="Arial"/>
                <w:color w:val="auto"/>
                <w:szCs w:val="21"/>
                <w:lang w:eastAsia="en-US"/>
              </w:rPr>
            </w:pPr>
          </w:p>
          <w:p w14:paraId="4E071462">
            <w:pPr>
              <w:pStyle w:val="34"/>
              <w:spacing w:before="78" w:line="365" w:lineRule="auto"/>
              <w:ind w:left="343" w:right="217" w:hanging="114"/>
              <w:rPr>
                <w:color w:val="auto"/>
                <w:sz w:val="21"/>
                <w:szCs w:val="21"/>
              </w:rPr>
            </w:pPr>
            <w:r>
              <w:rPr>
                <w:b/>
                <w:bCs/>
                <w:color w:val="auto"/>
                <w:spacing w:val="-11"/>
                <w:sz w:val="21"/>
                <w:szCs w:val="21"/>
              </w:rPr>
              <w:t>原产</w:t>
            </w:r>
            <w:r>
              <w:rPr>
                <w:b/>
                <w:bCs/>
                <w:color w:val="auto"/>
                <w:spacing w:val="-3"/>
                <w:sz w:val="21"/>
                <w:szCs w:val="21"/>
              </w:rPr>
              <w:t>地</w:t>
            </w:r>
          </w:p>
        </w:tc>
        <w:tc>
          <w:tcPr>
            <w:tcW w:w="471" w:type="pct"/>
          </w:tcPr>
          <w:p w14:paraId="1B2CDC50">
            <w:pPr>
              <w:pStyle w:val="34"/>
              <w:spacing w:before="90" w:line="219" w:lineRule="auto"/>
              <w:ind w:left="225"/>
              <w:rPr>
                <w:color w:val="auto"/>
                <w:sz w:val="21"/>
                <w:szCs w:val="21"/>
              </w:rPr>
            </w:pPr>
            <w:r>
              <w:rPr>
                <w:b/>
                <w:bCs/>
                <w:color w:val="auto"/>
                <w:spacing w:val="-9"/>
                <w:sz w:val="21"/>
                <w:szCs w:val="21"/>
              </w:rPr>
              <w:t>数量</w:t>
            </w:r>
          </w:p>
          <w:p w14:paraId="28921422">
            <w:pPr>
              <w:pStyle w:val="34"/>
              <w:spacing w:before="182" w:line="220" w:lineRule="auto"/>
              <w:ind w:left="222"/>
              <w:rPr>
                <w:color w:val="auto"/>
                <w:sz w:val="21"/>
                <w:szCs w:val="21"/>
              </w:rPr>
            </w:pPr>
            <w:r>
              <w:rPr>
                <w:b/>
                <w:bCs/>
                <w:color w:val="auto"/>
                <w:spacing w:val="-7"/>
                <w:sz w:val="21"/>
                <w:szCs w:val="21"/>
              </w:rPr>
              <w:t>及单</w:t>
            </w:r>
          </w:p>
          <w:p w14:paraId="56D1A716">
            <w:pPr>
              <w:pStyle w:val="34"/>
              <w:spacing w:before="179" w:line="217" w:lineRule="auto"/>
              <w:ind w:left="223"/>
              <w:rPr>
                <w:color w:val="auto"/>
                <w:sz w:val="21"/>
                <w:szCs w:val="21"/>
              </w:rPr>
            </w:pPr>
            <w:r>
              <w:rPr>
                <w:b/>
                <w:bCs/>
                <w:color w:val="auto"/>
                <w:spacing w:val="-8"/>
                <w:sz w:val="21"/>
                <w:szCs w:val="21"/>
              </w:rPr>
              <w:t>位①</w:t>
            </w:r>
          </w:p>
        </w:tc>
        <w:tc>
          <w:tcPr>
            <w:tcW w:w="585" w:type="pct"/>
          </w:tcPr>
          <w:p w14:paraId="740011BB">
            <w:pPr>
              <w:pStyle w:val="34"/>
              <w:spacing w:before="298" w:line="398" w:lineRule="auto"/>
              <w:ind w:left="455" w:right="328" w:hanging="118"/>
              <w:rPr>
                <w:color w:val="auto"/>
                <w:sz w:val="21"/>
                <w:szCs w:val="21"/>
              </w:rPr>
            </w:pPr>
            <w:r>
              <w:rPr>
                <w:b/>
                <w:bCs/>
                <w:color w:val="auto"/>
                <w:spacing w:val="-9"/>
                <w:sz w:val="21"/>
                <w:szCs w:val="21"/>
              </w:rPr>
              <w:t>单价</w:t>
            </w:r>
            <w:r>
              <w:rPr>
                <w:b/>
                <w:bCs/>
                <w:color w:val="auto"/>
                <w:spacing w:val="-3"/>
                <w:sz w:val="21"/>
                <w:szCs w:val="21"/>
              </w:rPr>
              <w:t>②</w:t>
            </w:r>
          </w:p>
        </w:tc>
        <w:tc>
          <w:tcPr>
            <w:tcW w:w="804" w:type="pct"/>
          </w:tcPr>
          <w:p w14:paraId="261A9164">
            <w:pPr>
              <w:pStyle w:val="34"/>
              <w:spacing w:before="298" w:line="218" w:lineRule="auto"/>
              <w:ind w:left="312"/>
              <w:rPr>
                <w:color w:val="auto"/>
                <w:sz w:val="21"/>
                <w:szCs w:val="21"/>
              </w:rPr>
            </w:pPr>
            <w:r>
              <w:rPr>
                <w:b/>
                <w:bCs/>
                <w:color w:val="auto"/>
                <w:spacing w:val="-5"/>
                <w:sz w:val="21"/>
                <w:szCs w:val="21"/>
              </w:rPr>
              <w:t>投标报价</w:t>
            </w:r>
          </w:p>
          <w:p w14:paraId="06DE749F">
            <w:pPr>
              <w:pStyle w:val="34"/>
              <w:spacing w:before="232" w:line="217" w:lineRule="auto"/>
              <w:ind w:left="247"/>
              <w:rPr>
                <w:color w:val="auto"/>
                <w:sz w:val="21"/>
                <w:szCs w:val="21"/>
              </w:rPr>
            </w:pPr>
            <w:r>
              <w:rPr>
                <w:b/>
                <w:bCs/>
                <w:color w:val="auto"/>
                <w:spacing w:val="-4"/>
                <w:sz w:val="21"/>
                <w:szCs w:val="21"/>
              </w:rPr>
              <w:t>③=①×②</w:t>
            </w:r>
          </w:p>
        </w:tc>
        <w:tc>
          <w:tcPr>
            <w:tcW w:w="459" w:type="pct"/>
          </w:tcPr>
          <w:p w14:paraId="61761FE2">
            <w:pPr>
              <w:spacing w:line="476" w:lineRule="auto"/>
              <w:rPr>
                <w:rFonts w:ascii="Arial"/>
                <w:color w:val="auto"/>
                <w:szCs w:val="21"/>
                <w:lang w:eastAsia="en-US"/>
              </w:rPr>
            </w:pPr>
          </w:p>
          <w:p w14:paraId="56EEE4C1">
            <w:pPr>
              <w:pStyle w:val="34"/>
              <w:spacing w:before="78" w:line="221" w:lineRule="auto"/>
              <w:ind w:left="214"/>
              <w:rPr>
                <w:color w:val="auto"/>
                <w:sz w:val="21"/>
                <w:szCs w:val="21"/>
              </w:rPr>
            </w:pPr>
            <w:r>
              <w:rPr>
                <w:b/>
                <w:bCs/>
                <w:color w:val="auto"/>
                <w:spacing w:val="-9"/>
                <w:sz w:val="21"/>
                <w:szCs w:val="21"/>
              </w:rPr>
              <w:t>备注</w:t>
            </w:r>
          </w:p>
        </w:tc>
      </w:tr>
      <w:tr w14:paraId="35AD76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360" w:type="pct"/>
          </w:tcPr>
          <w:p w14:paraId="0DCD01A4">
            <w:pPr>
              <w:pStyle w:val="34"/>
              <w:spacing w:before="87" w:line="241" w:lineRule="auto"/>
              <w:ind w:left="315"/>
              <w:rPr>
                <w:color w:val="auto"/>
                <w:sz w:val="24"/>
                <w:szCs w:val="24"/>
              </w:rPr>
            </w:pPr>
            <w:r>
              <w:rPr>
                <w:b/>
                <w:bCs/>
                <w:color w:val="auto"/>
                <w:spacing w:val="-3"/>
                <w:sz w:val="24"/>
                <w:szCs w:val="24"/>
              </w:rPr>
              <w:t>1</w:t>
            </w:r>
          </w:p>
        </w:tc>
        <w:tc>
          <w:tcPr>
            <w:tcW w:w="533" w:type="pct"/>
          </w:tcPr>
          <w:p w14:paraId="112EDE95">
            <w:pPr>
              <w:rPr>
                <w:rFonts w:ascii="Arial"/>
                <w:color w:val="auto"/>
                <w:lang w:eastAsia="en-US"/>
              </w:rPr>
            </w:pPr>
          </w:p>
        </w:tc>
        <w:tc>
          <w:tcPr>
            <w:tcW w:w="316" w:type="pct"/>
          </w:tcPr>
          <w:p w14:paraId="3D11D3E0">
            <w:pPr>
              <w:rPr>
                <w:rFonts w:ascii="Arial"/>
                <w:color w:val="auto"/>
                <w:lang w:eastAsia="en-US"/>
              </w:rPr>
            </w:pPr>
          </w:p>
        </w:tc>
        <w:tc>
          <w:tcPr>
            <w:tcW w:w="466" w:type="pct"/>
          </w:tcPr>
          <w:p w14:paraId="58E16B64">
            <w:pPr>
              <w:rPr>
                <w:rFonts w:ascii="Arial"/>
                <w:color w:val="auto"/>
                <w:lang w:eastAsia="en-US"/>
              </w:rPr>
            </w:pPr>
          </w:p>
        </w:tc>
        <w:tc>
          <w:tcPr>
            <w:tcW w:w="471" w:type="pct"/>
          </w:tcPr>
          <w:p w14:paraId="476C023E">
            <w:pPr>
              <w:rPr>
                <w:rFonts w:ascii="Arial"/>
                <w:color w:val="auto"/>
                <w:lang w:eastAsia="en-US"/>
              </w:rPr>
            </w:pPr>
          </w:p>
        </w:tc>
        <w:tc>
          <w:tcPr>
            <w:tcW w:w="471" w:type="pct"/>
          </w:tcPr>
          <w:p w14:paraId="214C3704">
            <w:pPr>
              <w:rPr>
                <w:rFonts w:ascii="Arial"/>
                <w:color w:val="auto"/>
                <w:lang w:eastAsia="en-US"/>
              </w:rPr>
            </w:pPr>
          </w:p>
        </w:tc>
        <w:tc>
          <w:tcPr>
            <w:tcW w:w="471" w:type="pct"/>
          </w:tcPr>
          <w:p w14:paraId="45F959AF">
            <w:pPr>
              <w:rPr>
                <w:rFonts w:ascii="Arial"/>
                <w:color w:val="auto"/>
                <w:lang w:eastAsia="en-US"/>
              </w:rPr>
            </w:pPr>
          </w:p>
        </w:tc>
        <w:tc>
          <w:tcPr>
            <w:tcW w:w="585" w:type="pct"/>
          </w:tcPr>
          <w:p w14:paraId="565F4C11">
            <w:pPr>
              <w:rPr>
                <w:rFonts w:ascii="Arial"/>
                <w:color w:val="auto"/>
                <w:lang w:eastAsia="en-US"/>
              </w:rPr>
            </w:pPr>
          </w:p>
        </w:tc>
        <w:tc>
          <w:tcPr>
            <w:tcW w:w="804" w:type="pct"/>
          </w:tcPr>
          <w:p w14:paraId="5C55A034">
            <w:pPr>
              <w:rPr>
                <w:rFonts w:ascii="Arial"/>
                <w:color w:val="auto"/>
                <w:lang w:eastAsia="en-US"/>
              </w:rPr>
            </w:pPr>
          </w:p>
        </w:tc>
        <w:tc>
          <w:tcPr>
            <w:tcW w:w="459" w:type="pct"/>
          </w:tcPr>
          <w:p w14:paraId="45BF6133">
            <w:pPr>
              <w:rPr>
                <w:rFonts w:ascii="Arial"/>
                <w:color w:val="auto"/>
                <w:lang w:eastAsia="en-US"/>
              </w:rPr>
            </w:pPr>
          </w:p>
        </w:tc>
      </w:tr>
      <w:tr w14:paraId="164FFA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360" w:type="pct"/>
          </w:tcPr>
          <w:p w14:paraId="1A654FDF">
            <w:pPr>
              <w:pStyle w:val="34"/>
              <w:spacing w:before="87" w:line="241" w:lineRule="auto"/>
              <w:ind w:left="300"/>
              <w:rPr>
                <w:color w:val="auto"/>
                <w:sz w:val="24"/>
                <w:szCs w:val="24"/>
              </w:rPr>
            </w:pPr>
            <w:r>
              <w:rPr>
                <w:b/>
                <w:bCs/>
                <w:color w:val="auto"/>
                <w:spacing w:val="-3"/>
                <w:sz w:val="24"/>
                <w:szCs w:val="24"/>
              </w:rPr>
              <w:t>2</w:t>
            </w:r>
          </w:p>
        </w:tc>
        <w:tc>
          <w:tcPr>
            <w:tcW w:w="533" w:type="pct"/>
          </w:tcPr>
          <w:p w14:paraId="248425C0">
            <w:pPr>
              <w:rPr>
                <w:rFonts w:ascii="Arial"/>
                <w:color w:val="auto"/>
                <w:lang w:eastAsia="en-US"/>
              </w:rPr>
            </w:pPr>
          </w:p>
        </w:tc>
        <w:tc>
          <w:tcPr>
            <w:tcW w:w="316" w:type="pct"/>
          </w:tcPr>
          <w:p w14:paraId="0796B10C">
            <w:pPr>
              <w:rPr>
                <w:rFonts w:ascii="Arial"/>
                <w:color w:val="auto"/>
                <w:lang w:eastAsia="en-US"/>
              </w:rPr>
            </w:pPr>
          </w:p>
        </w:tc>
        <w:tc>
          <w:tcPr>
            <w:tcW w:w="466" w:type="pct"/>
          </w:tcPr>
          <w:p w14:paraId="525B9241">
            <w:pPr>
              <w:rPr>
                <w:rFonts w:ascii="Arial"/>
                <w:color w:val="auto"/>
                <w:lang w:eastAsia="en-US"/>
              </w:rPr>
            </w:pPr>
          </w:p>
        </w:tc>
        <w:tc>
          <w:tcPr>
            <w:tcW w:w="471" w:type="pct"/>
          </w:tcPr>
          <w:p w14:paraId="529DF298">
            <w:pPr>
              <w:rPr>
                <w:rFonts w:ascii="Arial"/>
                <w:color w:val="auto"/>
                <w:lang w:eastAsia="en-US"/>
              </w:rPr>
            </w:pPr>
          </w:p>
        </w:tc>
        <w:tc>
          <w:tcPr>
            <w:tcW w:w="471" w:type="pct"/>
          </w:tcPr>
          <w:p w14:paraId="2B2CCFF9">
            <w:pPr>
              <w:rPr>
                <w:rFonts w:ascii="Arial"/>
                <w:color w:val="auto"/>
                <w:lang w:eastAsia="en-US"/>
              </w:rPr>
            </w:pPr>
          </w:p>
        </w:tc>
        <w:tc>
          <w:tcPr>
            <w:tcW w:w="471" w:type="pct"/>
          </w:tcPr>
          <w:p w14:paraId="65E301E8">
            <w:pPr>
              <w:rPr>
                <w:rFonts w:ascii="Arial"/>
                <w:color w:val="auto"/>
                <w:lang w:eastAsia="en-US"/>
              </w:rPr>
            </w:pPr>
          </w:p>
        </w:tc>
        <w:tc>
          <w:tcPr>
            <w:tcW w:w="585" w:type="pct"/>
          </w:tcPr>
          <w:p w14:paraId="681FAA09">
            <w:pPr>
              <w:rPr>
                <w:rFonts w:ascii="Arial"/>
                <w:color w:val="auto"/>
                <w:lang w:eastAsia="en-US"/>
              </w:rPr>
            </w:pPr>
          </w:p>
        </w:tc>
        <w:tc>
          <w:tcPr>
            <w:tcW w:w="804" w:type="pct"/>
          </w:tcPr>
          <w:p w14:paraId="066B4E8E">
            <w:pPr>
              <w:rPr>
                <w:rFonts w:ascii="Arial"/>
                <w:color w:val="auto"/>
                <w:lang w:eastAsia="en-US"/>
              </w:rPr>
            </w:pPr>
          </w:p>
        </w:tc>
        <w:tc>
          <w:tcPr>
            <w:tcW w:w="459" w:type="pct"/>
          </w:tcPr>
          <w:p w14:paraId="1C369005">
            <w:pPr>
              <w:rPr>
                <w:rFonts w:ascii="Arial"/>
                <w:color w:val="auto"/>
                <w:lang w:eastAsia="en-US"/>
              </w:rPr>
            </w:pPr>
          </w:p>
        </w:tc>
      </w:tr>
      <w:tr w14:paraId="661301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360" w:type="pct"/>
          </w:tcPr>
          <w:p w14:paraId="49599250">
            <w:pPr>
              <w:pStyle w:val="34"/>
              <w:spacing w:before="87" w:line="378" w:lineRule="exact"/>
              <w:ind w:left="132"/>
              <w:rPr>
                <w:color w:val="auto"/>
                <w:sz w:val="24"/>
                <w:szCs w:val="24"/>
              </w:rPr>
            </w:pPr>
            <w:r>
              <w:rPr>
                <w:b/>
                <w:bCs/>
                <w:color w:val="auto"/>
                <w:spacing w:val="-15"/>
                <w:position w:val="3"/>
                <w:sz w:val="24"/>
                <w:szCs w:val="24"/>
              </w:rPr>
              <w:t>……</w:t>
            </w:r>
          </w:p>
        </w:tc>
        <w:tc>
          <w:tcPr>
            <w:tcW w:w="533" w:type="pct"/>
          </w:tcPr>
          <w:p w14:paraId="04685C27">
            <w:pPr>
              <w:pStyle w:val="34"/>
              <w:spacing w:before="87" w:line="378" w:lineRule="exact"/>
              <w:ind w:left="299"/>
              <w:rPr>
                <w:color w:val="auto"/>
                <w:sz w:val="24"/>
                <w:szCs w:val="24"/>
              </w:rPr>
            </w:pPr>
            <w:r>
              <w:rPr>
                <w:b/>
                <w:bCs/>
                <w:color w:val="auto"/>
                <w:spacing w:val="-15"/>
                <w:position w:val="3"/>
                <w:sz w:val="24"/>
                <w:szCs w:val="24"/>
              </w:rPr>
              <w:t>……</w:t>
            </w:r>
          </w:p>
        </w:tc>
        <w:tc>
          <w:tcPr>
            <w:tcW w:w="316" w:type="pct"/>
          </w:tcPr>
          <w:p w14:paraId="1AF9D804">
            <w:pPr>
              <w:rPr>
                <w:rFonts w:ascii="Arial"/>
                <w:color w:val="auto"/>
                <w:lang w:eastAsia="en-US"/>
              </w:rPr>
            </w:pPr>
          </w:p>
        </w:tc>
        <w:tc>
          <w:tcPr>
            <w:tcW w:w="466" w:type="pct"/>
          </w:tcPr>
          <w:p w14:paraId="7028C8CB">
            <w:pPr>
              <w:rPr>
                <w:rFonts w:ascii="Arial"/>
                <w:color w:val="auto"/>
                <w:lang w:eastAsia="en-US"/>
              </w:rPr>
            </w:pPr>
          </w:p>
        </w:tc>
        <w:tc>
          <w:tcPr>
            <w:tcW w:w="471" w:type="pct"/>
          </w:tcPr>
          <w:p w14:paraId="166423B2">
            <w:pPr>
              <w:rPr>
                <w:rFonts w:ascii="Arial"/>
                <w:color w:val="auto"/>
                <w:lang w:eastAsia="en-US"/>
              </w:rPr>
            </w:pPr>
          </w:p>
        </w:tc>
        <w:tc>
          <w:tcPr>
            <w:tcW w:w="471" w:type="pct"/>
          </w:tcPr>
          <w:p w14:paraId="24DA86A1">
            <w:pPr>
              <w:rPr>
                <w:rFonts w:ascii="Arial"/>
                <w:color w:val="auto"/>
                <w:lang w:eastAsia="en-US"/>
              </w:rPr>
            </w:pPr>
          </w:p>
        </w:tc>
        <w:tc>
          <w:tcPr>
            <w:tcW w:w="471" w:type="pct"/>
          </w:tcPr>
          <w:p w14:paraId="3B9923DE">
            <w:pPr>
              <w:rPr>
                <w:rFonts w:ascii="Arial"/>
                <w:color w:val="auto"/>
                <w:lang w:eastAsia="en-US"/>
              </w:rPr>
            </w:pPr>
          </w:p>
        </w:tc>
        <w:tc>
          <w:tcPr>
            <w:tcW w:w="585" w:type="pct"/>
          </w:tcPr>
          <w:p w14:paraId="2B9A9D95">
            <w:pPr>
              <w:rPr>
                <w:rFonts w:ascii="Arial"/>
                <w:color w:val="auto"/>
                <w:lang w:eastAsia="en-US"/>
              </w:rPr>
            </w:pPr>
          </w:p>
        </w:tc>
        <w:tc>
          <w:tcPr>
            <w:tcW w:w="804" w:type="pct"/>
          </w:tcPr>
          <w:p w14:paraId="211C4959">
            <w:pPr>
              <w:rPr>
                <w:rFonts w:ascii="Arial"/>
                <w:color w:val="auto"/>
                <w:lang w:eastAsia="en-US"/>
              </w:rPr>
            </w:pPr>
          </w:p>
        </w:tc>
        <w:tc>
          <w:tcPr>
            <w:tcW w:w="459" w:type="pct"/>
          </w:tcPr>
          <w:p w14:paraId="1672F753">
            <w:pPr>
              <w:rPr>
                <w:rFonts w:ascii="Arial"/>
                <w:color w:val="auto"/>
                <w:lang w:eastAsia="en-US"/>
              </w:rPr>
            </w:pPr>
          </w:p>
        </w:tc>
      </w:tr>
      <w:tr w14:paraId="0A0A12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4943" w:type="pct"/>
            <w:gridSpan w:val="10"/>
          </w:tcPr>
          <w:p w14:paraId="69995689">
            <w:pPr>
              <w:pStyle w:val="34"/>
              <w:spacing w:before="90" w:line="219" w:lineRule="auto"/>
              <w:ind w:left="118"/>
              <w:rPr>
                <w:color w:val="auto"/>
                <w:sz w:val="24"/>
                <w:szCs w:val="24"/>
                <w:lang w:eastAsia="zh-CN"/>
              </w:rPr>
            </w:pPr>
            <w:r>
              <w:rPr>
                <w:color w:val="auto"/>
                <w:spacing w:val="-2"/>
                <w:sz w:val="21"/>
                <w:szCs w:val="21"/>
                <w:lang w:eastAsia="zh-CN"/>
              </w:rPr>
              <w:t>合计金额大写：</w:t>
            </w:r>
            <w:r>
              <w:rPr>
                <w:rFonts w:hint="eastAsia" w:ascii="宋体" w:hAnsi="宋体"/>
                <w:color w:val="auto"/>
                <w:sz w:val="21"/>
                <w:szCs w:val="21"/>
                <w:u w:val="single"/>
                <w:lang w:val="en-US" w:eastAsia="zh-CN"/>
              </w:rPr>
              <w:t xml:space="preserve">             </w:t>
            </w:r>
            <w:r>
              <w:rPr>
                <w:color w:val="auto"/>
                <w:spacing w:val="-2"/>
                <w:sz w:val="21"/>
                <w:szCs w:val="21"/>
                <w:lang w:eastAsia="zh-CN"/>
              </w:rPr>
              <w:t>人民币</w:t>
            </w:r>
            <w:r>
              <w:rPr>
                <w:color w:val="auto"/>
                <w:spacing w:val="-3"/>
                <w:sz w:val="21"/>
                <w:szCs w:val="21"/>
                <w:lang w:eastAsia="zh-CN"/>
              </w:rPr>
              <w:t>(￥</w:t>
            </w:r>
            <w:r>
              <w:rPr>
                <w:rFonts w:hint="eastAsia" w:ascii="宋体" w:hAnsi="宋体"/>
                <w:color w:val="auto"/>
                <w:sz w:val="21"/>
                <w:szCs w:val="21"/>
                <w:u w:val="single"/>
                <w:lang w:val="en-US" w:eastAsia="zh-CN"/>
              </w:rPr>
              <w:t xml:space="preserve">             </w:t>
            </w:r>
            <w:r>
              <w:rPr>
                <w:color w:val="auto"/>
                <w:spacing w:val="-3"/>
                <w:sz w:val="21"/>
                <w:szCs w:val="21"/>
                <w:lang w:eastAsia="zh-CN"/>
              </w:rPr>
              <w:t>)</w:t>
            </w:r>
          </w:p>
        </w:tc>
      </w:tr>
    </w:tbl>
    <w:p w14:paraId="6C5D808A">
      <w:pPr>
        <w:snapToGrid w:val="0"/>
        <w:spacing w:before="50" w:after="50" w:line="360" w:lineRule="auto"/>
        <w:jc w:val="left"/>
        <w:rPr>
          <w:rFonts w:ascii="宋体" w:hAnsi="宋体"/>
          <w:color w:val="auto"/>
          <w:szCs w:val="21"/>
        </w:rPr>
      </w:pPr>
    </w:p>
    <w:p w14:paraId="5E19B9E1">
      <w:pPr>
        <w:snapToGrid w:val="0"/>
        <w:spacing w:before="50" w:after="50" w:line="360" w:lineRule="auto"/>
        <w:jc w:val="left"/>
        <w:rPr>
          <w:rFonts w:ascii="宋体" w:hAnsi="宋体"/>
          <w:color w:val="auto"/>
          <w:szCs w:val="21"/>
        </w:rPr>
      </w:pPr>
      <w:r>
        <w:rPr>
          <w:rFonts w:hint="eastAsia" w:ascii="宋体" w:hAnsi="宋体"/>
          <w:color w:val="auto"/>
          <w:szCs w:val="21"/>
        </w:rPr>
        <w:t xml:space="preserve">注: </w:t>
      </w:r>
    </w:p>
    <w:p w14:paraId="157BFC2B">
      <w:pPr>
        <w:spacing w:before="178" w:line="290" w:lineRule="auto"/>
        <w:ind w:left="118" w:right="156" w:firstLine="494"/>
        <w:rPr>
          <w:rFonts w:ascii="宋体" w:hAnsi="宋体" w:cs="宋体"/>
          <w:color w:val="auto"/>
          <w:sz w:val="24"/>
        </w:rPr>
      </w:pPr>
      <w:r>
        <w:rPr>
          <w:rFonts w:ascii="宋体" w:hAnsi="宋体" w:cs="宋体"/>
          <w:color w:val="auto"/>
          <w:spacing w:val="-1"/>
          <w:sz w:val="24"/>
        </w:rPr>
        <w:t>1.投标人的开标一览表必须加盖投标人</w:t>
      </w:r>
      <w:r>
        <w:rPr>
          <w:rFonts w:hint="eastAsia" w:ascii="宋体" w:hAnsi="宋体" w:cs="宋体"/>
          <w:color w:val="auto"/>
          <w:spacing w:val="-1"/>
          <w:sz w:val="24"/>
          <w:lang w:val="en-US" w:eastAsia="zh-CN"/>
        </w:rPr>
        <w:t>公章（或</w:t>
      </w:r>
      <w:r>
        <w:rPr>
          <w:rFonts w:ascii="宋体" w:hAnsi="宋体" w:cs="宋体"/>
          <w:color w:val="auto"/>
          <w:spacing w:val="-1"/>
          <w:sz w:val="24"/>
        </w:rPr>
        <w:t>电子签章</w:t>
      </w:r>
      <w:r>
        <w:rPr>
          <w:rFonts w:hint="eastAsia" w:ascii="宋体" w:hAnsi="宋体" w:cs="宋体"/>
          <w:color w:val="auto"/>
          <w:spacing w:val="-1"/>
          <w:sz w:val="24"/>
          <w:lang w:val="en-US" w:eastAsia="zh-CN"/>
        </w:rPr>
        <w:t>）</w:t>
      </w:r>
      <w:r>
        <w:rPr>
          <w:rFonts w:ascii="宋体" w:hAnsi="宋体" w:cs="宋体"/>
          <w:color w:val="auto"/>
          <w:spacing w:val="-1"/>
          <w:sz w:val="24"/>
        </w:rPr>
        <w:t>并由法定代表人或者委托代理人签字</w:t>
      </w:r>
      <w:r>
        <w:rPr>
          <w:rFonts w:ascii="宋体" w:hAnsi="宋体" w:cs="宋体"/>
          <w:color w:val="auto"/>
          <w:spacing w:val="-2"/>
          <w:sz w:val="24"/>
        </w:rPr>
        <w:t>或者电子签名，</w:t>
      </w:r>
      <w:r>
        <w:rPr>
          <w:rFonts w:ascii="宋体" w:hAnsi="宋体" w:cs="宋体"/>
          <w:b/>
          <w:bCs/>
          <w:color w:val="auto"/>
          <w:spacing w:val="-2"/>
          <w:sz w:val="24"/>
        </w:rPr>
        <w:t>否则其投标作无效标处理</w:t>
      </w:r>
      <w:r>
        <w:rPr>
          <w:rFonts w:ascii="宋体" w:hAnsi="宋体" w:cs="宋体"/>
          <w:color w:val="auto"/>
          <w:spacing w:val="-2"/>
          <w:sz w:val="24"/>
        </w:rPr>
        <w:t>。</w:t>
      </w:r>
    </w:p>
    <w:p w14:paraId="6A5ED175">
      <w:pPr>
        <w:spacing w:before="180" w:line="288" w:lineRule="auto"/>
        <w:ind w:left="126" w:right="156" w:firstLine="471"/>
        <w:rPr>
          <w:rFonts w:ascii="宋体" w:hAnsi="宋体" w:cs="宋体"/>
          <w:color w:val="auto"/>
          <w:sz w:val="24"/>
        </w:rPr>
      </w:pPr>
      <w:r>
        <w:rPr>
          <w:rFonts w:ascii="宋体" w:hAnsi="宋体" w:cs="宋体"/>
          <w:color w:val="auto"/>
          <w:sz w:val="24"/>
        </w:rPr>
        <w:t>2.报价一经涂改，应在涂改处加盖投标人公章</w:t>
      </w:r>
      <w:r>
        <w:rPr>
          <w:rFonts w:hint="eastAsia" w:ascii="宋体" w:hAnsi="宋体" w:cs="宋体"/>
          <w:color w:val="auto"/>
          <w:sz w:val="24"/>
          <w:lang w:eastAsia="zh-CN"/>
        </w:rPr>
        <w:t>（</w:t>
      </w:r>
      <w:r>
        <w:rPr>
          <w:rFonts w:hint="eastAsia" w:ascii="宋体" w:hAnsi="宋体" w:cs="宋体"/>
          <w:color w:val="auto"/>
          <w:sz w:val="24"/>
          <w:lang w:val="en-US" w:eastAsia="zh-CN"/>
        </w:rPr>
        <w:t>或电子签章</w:t>
      </w:r>
      <w:r>
        <w:rPr>
          <w:rFonts w:hint="eastAsia" w:ascii="宋体" w:hAnsi="宋体" w:cs="宋体"/>
          <w:color w:val="auto"/>
          <w:sz w:val="24"/>
          <w:lang w:eastAsia="zh-CN"/>
        </w:rPr>
        <w:t>）</w:t>
      </w:r>
      <w:r>
        <w:rPr>
          <w:rFonts w:ascii="宋体" w:hAnsi="宋体" w:cs="宋体"/>
          <w:color w:val="auto"/>
          <w:sz w:val="24"/>
        </w:rPr>
        <w:t>或者由</w:t>
      </w:r>
      <w:r>
        <w:rPr>
          <w:rFonts w:ascii="宋体" w:hAnsi="宋体" w:cs="宋体"/>
          <w:color w:val="auto"/>
          <w:spacing w:val="-1"/>
          <w:sz w:val="24"/>
        </w:rPr>
        <w:t>法定代表人或者委托代理人签字</w:t>
      </w:r>
      <w:r>
        <w:rPr>
          <w:rFonts w:ascii="宋体" w:hAnsi="宋体" w:cs="宋体"/>
          <w:color w:val="auto"/>
          <w:spacing w:val="-2"/>
          <w:sz w:val="24"/>
        </w:rPr>
        <w:t>（或者电子签名）</w:t>
      </w:r>
      <w:r>
        <w:rPr>
          <w:rFonts w:ascii="宋体" w:hAnsi="宋体" w:cs="宋体"/>
          <w:b/>
          <w:bCs/>
          <w:color w:val="auto"/>
          <w:spacing w:val="-2"/>
          <w:sz w:val="24"/>
        </w:rPr>
        <w:t>，否则其投标作无效标处理。</w:t>
      </w:r>
    </w:p>
    <w:p w14:paraId="04665D61">
      <w:pPr>
        <w:spacing w:before="184" w:line="289" w:lineRule="auto"/>
        <w:ind w:left="117" w:right="156" w:firstLine="482"/>
        <w:rPr>
          <w:rFonts w:ascii="宋体" w:hAnsi="宋体" w:cs="宋体"/>
          <w:color w:val="auto"/>
          <w:sz w:val="24"/>
        </w:rPr>
      </w:pPr>
      <w:r>
        <w:rPr>
          <w:rFonts w:ascii="宋体" w:hAnsi="宋体" w:cs="宋体"/>
          <w:color w:val="auto"/>
          <w:sz w:val="24"/>
        </w:rPr>
        <w:t>3.招标文件中列明采购专用耗材的，应按招标文</w:t>
      </w:r>
      <w:r>
        <w:rPr>
          <w:rFonts w:ascii="宋体" w:hAnsi="宋体" w:cs="宋体"/>
          <w:color w:val="auto"/>
          <w:spacing w:val="-1"/>
          <w:sz w:val="24"/>
        </w:rPr>
        <w:t>件规定的耗材量或者按耗材的常规试</w:t>
      </w:r>
      <w:r>
        <w:rPr>
          <w:rFonts w:ascii="宋体" w:hAnsi="宋体" w:cs="宋体"/>
          <w:color w:val="auto"/>
          <w:spacing w:val="-2"/>
          <w:sz w:val="24"/>
        </w:rPr>
        <w:t>用量提供报价。</w:t>
      </w:r>
    </w:p>
    <w:p w14:paraId="2840C3D8">
      <w:pPr>
        <w:spacing w:before="182" w:line="219" w:lineRule="auto"/>
        <w:ind w:left="594"/>
        <w:rPr>
          <w:rFonts w:ascii="宋体" w:hAnsi="宋体" w:cs="宋体"/>
          <w:color w:val="auto"/>
          <w:sz w:val="24"/>
        </w:rPr>
      </w:pPr>
      <w:r>
        <w:rPr>
          <w:rFonts w:ascii="宋体" w:hAnsi="宋体" w:cs="宋体"/>
          <w:color w:val="auto"/>
          <w:spacing w:val="-1"/>
          <w:sz w:val="24"/>
        </w:rPr>
        <w:t>4.如有多分标，按分标分别提供开标一览表，</w:t>
      </w:r>
      <w:r>
        <w:rPr>
          <w:rFonts w:ascii="宋体" w:hAnsi="宋体" w:cs="宋体"/>
          <w:b/>
          <w:bCs/>
          <w:color w:val="auto"/>
          <w:spacing w:val="-1"/>
          <w:sz w:val="24"/>
        </w:rPr>
        <w:t>否则投标无效。</w:t>
      </w:r>
    </w:p>
    <w:p w14:paraId="3B761D36">
      <w:pPr>
        <w:spacing w:line="463" w:lineRule="auto"/>
        <w:rPr>
          <w:rFonts w:ascii="Arial"/>
          <w:color w:val="auto"/>
        </w:rPr>
      </w:pPr>
    </w:p>
    <w:p w14:paraId="29937F66">
      <w:pPr>
        <w:snapToGrid w:val="0"/>
        <w:spacing w:before="50" w:after="50" w:line="300" w:lineRule="auto"/>
        <w:ind w:left="-6" w:leftChars="-15" w:right="-817" w:rightChars="-389" w:hanging="25" w:hangingChars="12"/>
        <w:jc w:val="left"/>
        <w:rPr>
          <w:rFonts w:ascii="宋体" w:hAnsi="宋体"/>
          <w:b/>
          <w:bCs/>
          <w:color w:val="auto"/>
          <w:szCs w:val="21"/>
        </w:rPr>
      </w:pPr>
      <w:r>
        <w:rPr>
          <w:rFonts w:hint="eastAsia" w:ascii="宋体" w:hAnsi="宋体"/>
          <w:b/>
          <w:bCs/>
          <w:color w:val="auto"/>
          <w:szCs w:val="21"/>
        </w:rPr>
        <w:t>法定代表人或者委托代理人（签字/电子签名）：</w:t>
      </w:r>
    </w:p>
    <w:p w14:paraId="67491E02">
      <w:pPr>
        <w:snapToGrid w:val="0"/>
        <w:spacing w:before="50" w:after="50" w:line="300" w:lineRule="auto"/>
        <w:ind w:left="-6" w:leftChars="-15" w:right="-817" w:rightChars="-389" w:hanging="25" w:hangingChars="12"/>
        <w:jc w:val="left"/>
        <w:rPr>
          <w:rFonts w:ascii="宋体" w:hAnsi="宋体"/>
          <w:b/>
          <w:bCs/>
          <w:color w:val="auto"/>
          <w:szCs w:val="21"/>
        </w:rPr>
      </w:pPr>
      <w:r>
        <w:rPr>
          <w:rFonts w:hint="eastAsia" w:ascii="宋体" w:hAnsi="宋体"/>
          <w:b/>
          <w:bCs/>
          <w:color w:val="auto"/>
          <w:szCs w:val="21"/>
        </w:rPr>
        <w:t>投标人名称（公章或电子签章）：</w:t>
      </w:r>
    </w:p>
    <w:p w14:paraId="66590181">
      <w:pPr>
        <w:snapToGrid w:val="0"/>
        <w:spacing w:before="50" w:after="50" w:line="480" w:lineRule="auto"/>
        <w:ind w:right="-817" w:rightChars="-389"/>
        <w:rPr>
          <w:rFonts w:ascii="宋体" w:hAnsi="宋体"/>
          <w:b/>
          <w:bCs/>
          <w:color w:val="auto"/>
          <w:szCs w:val="21"/>
        </w:rPr>
      </w:pPr>
      <w:r>
        <w:rPr>
          <w:rFonts w:hint="eastAsia" w:ascii="宋体" w:hAnsi="宋体"/>
          <w:b/>
          <w:bCs/>
          <w:color w:val="auto"/>
          <w:szCs w:val="21"/>
        </w:rPr>
        <w:t>日期：    年   月   日</w:t>
      </w:r>
    </w:p>
    <w:p w14:paraId="7DC9CF6C">
      <w:pPr>
        <w:pStyle w:val="35"/>
        <w:jc w:val="both"/>
        <w:rPr>
          <w:color w:val="auto"/>
          <w:sz w:val="30"/>
        </w:rPr>
      </w:pPr>
    </w:p>
    <w:p w14:paraId="69BAB0B1">
      <w:pPr>
        <w:snapToGrid w:val="0"/>
        <w:spacing w:beforeLines="50" w:after="50" w:line="360" w:lineRule="auto"/>
        <w:jc w:val="center"/>
        <w:outlineLvl w:val="1"/>
        <w:rPr>
          <w:rFonts w:hint="eastAsia"/>
          <w:b/>
          <w:color w:val="auto"/>
          <w:sz w:val="28"/>
          <w:szCs w:val="28"/>
        </w:rPr>
        <w:sectPr>
          <w:pgSz w:w="11906" w:h="16838"/>
          <w:pgMar w:top="1134" w:right="1247" w:bottom="1560" w:left="1247" w:header="851" w:footer="992" w:gutter="0"/>
          <w:pgNumType w:fmt="decimal"/>
          <w:cols w:space="720" w:num="1"/>
          <w:titlePg/>
          <w:docGrid w:linePitch="312" w:charSpace="0"/>
        </w:sectPr>
      </w:pPr>
      <w:bookmarkStart w:id="164" w:name="_Toc20754"/>
      <w:bookmarkStart w:id="165" w:name="_Toc19686837"/>
    </w:p>
    <w:p w14:paraId="077B008A">
      <w:pPr>
        <w:snapToGrid w:val="0"/>
        <w:spacing w:beforeLines="50" w:after="50" w:line="360" w:lineRule="auto"/>
        <w:jc w:val="center"/>
        <w:outlineLvl w:val="1"/>
        <w:rPr>
          <w:rFonts w:ascii="宋体" w:hAnsi="宋体"/>
          <w:b/>
          <w:bCs/>
          <w:color w:val="auto"/>
          <w:sz w:val="28"/>
          <w:szCs w:val="28"/>
        </w:rPr>
      </w:pPr>
      <w:r>
        <w:rPr>
          <w:rFonts w:hint="eastAsia"/>
          <w:b/>
          <w:color w:val="auto"/>
          <w:sz w:val="28"/>
          <w:szCs w:val="28"/>
        </w:rPr>
        <w:t>第三节</w:t>
      </w:r>
      <w:r>
        <w:rPr>
          <w:rFonts w:hint="eastAsia" w:ascii="宋体" w:hAnsi="宋体"/>
          <w:b/>
          <w:bCs/>
          <w:color w:val="auto"/>
          <w:sz w:val="28"/>
          <w:szCs w:val="28"/>
        </w:rPr>
        <w:t>资格证明文件格式</w:t>
      </w:r>
      <w:bookmarkEnd w:id="162"/>
      <w:bookmarkEnd w:id="163"/>
      <w:bookmarkEnd w:id="164"/>
      <w:bookmarkEnd w:id="165"/>
    </w:p>
    <w:p w14:paraId="6C060BE2">
      <w:pPr>
        <w:snapToGrid w:val="0"/>
        <w:spacing w:beforeLines="50" w:after="50" w:line="360" w:lineRule="auto"/>
        <w:jc w:val="left"/>
        <w:rPr>
          <w:rFonts w:ascii="宋体" w:hAnsi="宋体"/>
          <w:b/>
          <w:color w:val="auto"/>
          <w:sz w:val="24"/>
        </w:rPr>
      </w:pPr>
    </w:p>
    <w:p w14:paraId="2EFB079D">
      <w:pPr>
        <w:snapToGrid w:val="0"/>
        <w:spacing w:beforeLines="50" w:after="50" w:line="360" w:lineRule="auto"/>
        <w:jc w:val="left"/>
        <w:rPr>
          <w:rFonts w:ascii="宋体" w:hAnsi="宋体"/>
          <w:b/>
          <w:color w:val="auto"/>
          <w:sz w:val="24"/>
        </w:rPr>
      </w:pPr>
    </w:p>
    <w:p w14:paraId="6BA91BD7">
      <w:pPr>
        <w:snapToGrid w:val="0"/>
        <w:spacing w:beforeLines="50" w:after="50"/>
        <w:rPr>
          <w:rFonts w:ascii="宋体" w:hAnsi="宋体"/>
          <w:bCs/>
          <w:color w:val="auto"/>
          <w:sz w:val="32"/>
          <w:szCs w:val="20"/>
        </w:rPr>
      </w:pPr>
      <w:r>
        <w:rPr>
          <w:rFonts w:hint="eastAsia" w:ascii="宋体" w:hAnsi="宋体" w:cs="宋体"/>
          <w:bCs/>
          <w:color w:val="auto"/>
        </w:rPr>
        <w:t>电子投标文件</w:t>
      </w:r>
    </w:p>
    <w:p w14:paraId="0CD18940">
      <w:pPr>
        <w:snapToGrid w:val="0"/>
        <w:spacing w:beforeLines="50" w:after="50"/>
        <w:rPr>
          <w:rFonts w:ascii="宋体" w:hAnsi="宋体"/>
          <w:color w:val="auto"/>
          <w:sz w:val="24"/>
          <w:szCs w:val="20"/>
        </w:rPr>
      </w:pPr>
    </w:p>
    <w:p w14:paraId="071ED6AA">
      <w:pPr>
        <w:snapToGrid w:val="0"/>
        <w:spacing w:beforeLines="50" w:after="50"/>
        <w:jc w:val="center"/>
        <w:rPr>
          <w:rFonts w:ascii="宋体" w:hAnsi="宋体"/>
          <w:b/>
          <w:color w:val="auto"/>
          <w:sz w:val="24"/>
          <w:szCs w:val="20"/>
        </w:rPr>
      </w:pPr>
      <w:r>
        <w:rPr>
          <w:rFonts w:hint="eastAsia" w:ascii="宋体" w:hAnsi="宋体"/>
          <w:b/>
          <w:color w:val="auto"/>
          <w:sz w:val="32"/>
          <w:szCs w:val="32"/>
        </w:rPr>
        <w:t>资格证明文件</w:t>
      </w:r>
    </w:p>
    <w:p w14:paraId="6FD78263">
      <w:pPr>
        <w:snapToGrid w:val="0"/>
        <w:spacing w:beforeLines="50" w:after="50"/>
        <w:rPr>
          <w:rFonts w:ascii="宋体" w:hAnsi="宋体"/>
          <w:bCs/>
          <w:color w:val="auto"/>
          <w:sz w:val="24"/>
          <w:szCs w:val="20"/>
        </w:rPr>
      </w:pPr>
    </w:p>
    <w:p w14:paraId="220D5B27">
      <w:pPr>
        <w:snapToGrid w:val="0"/>
        <w:spacing w:beforeLines="50" w:after="50"/>
        <w:rPr>
          <w:rFonts w:ascii="宋体" w:hAnsi="宋体"/>
          <w:bCs/>
          <w:color w:val="auto"/>
          <w:sz w:val="24"/>
          <w:szCs w:val="20"/>
        </w:rPr>
      </w:pPr>
    </w:p>
    <w:p w14:paraId="6FD27536">
      <w:pPr>
        <w:snapToGrid w:val="0"/>
        <w:spacing w:beforeLines="50" w:after="50"/>
        <w:rPr>
          <w:rFonts w:ascii="宋体" w:hAnsi="宋体"/>
          <w:bCs/>
          <w:color w:val="auto"/>
          <w:sz w:val="24"/>
          <w:szCs w:val="20"/>
        </w:rPr>
      </w:pPr>
    </w:p>
    <w:p w14:paraId="34338D4A">
      <w:pPr>
        <w:snapToGrid w:val="0"/>
        <w:spacing w:beforeLines="50" w:after="50"/>
        <w:rPr>
          <w:rFonts w:ascii="宋体" w:hAnsi="宋体"/>
          <w:bCs/>
          <w:color w:val="auto"/>
          <w:sz w:val="24"/>
          <w:szCs w:val="20"/>
        </w:rPr>
      </w:pPr>
    </w:p>
    <w:p w14:paraId="58AB7F17">
      <w:pPr>
        <w:snapToGrid w:val="0"/>
        <w:spacing w:beforeLines="50" w:after="50"/>
        <w:rPr>
          <w:rFonts w:ascii="宋体" w:hAnsi="宋体"/>
          <w:bCs/>
          <w:color w:val="auto"/>
          <w:sz w:val="24"/>
          <w:szCs w:val="20"/>
        </w:rPr>
      </w:pPr>
    </w:p>
    <w:p w14:paraId="45D24D01">
      <w:pPr>
        <w:snapToGrid w:val="0"/>
        <w:spacing w:beforeLines="50" w:after="50"/>
        <w:rPr>
          <w:rFonts w:ascii="宋体" w:hAnsi="宋体"/>
          <w:bCs/>
          <w:color w:val="auto"/>
          <w:sz w:val="24"/>
          <w:szCs w:val="20"/>
        </w:rPr>
      </w:pPr>
    </w:p>
    <w:p w14:paraId="5C35088F">
      <w:pPr>
        <w:snapToGrid w:val="0"/>
        <w:spacing w:beforeLines="50" w:after="50"/>
        <w:rPr>
          <w:rFonts w:ascii="宋体" w:hAnsi="宋体"/>
          <w:bCs/>
          <w:color w:val="auto"/>
          <w:sz w:val="24"/>
          <w:szCs w:val="20"/>
        </w:rPr>
      </w:pPr>
    </w:p>
    <w:p w14:paraId="0B6EFB00">
      <w:pPr>
        <w:snapToGrid w:val="0"/>
        <w:spacing w:beforeLines="50" w:after="50"/>
        <w:ind w:firstLine="540" w:firstLineChars="225"/>
        <w:rPr>
          <w:rFonts w:ascii="宋体" w:hAnsi="宋体"/>
          <w:bCs/>
          <w:color w:val="auto"/>
          <w:sz w:val="24"/>
        </w:rPr>
      </w:pPr>
      <w:r>
        <w:rPr>
          <w:rFonts w:hint="eastAsia" w:ascii="宋体" w:hAnsi="宋体"/>
          <w:bCs/>
          <w:color w:val="auto"/>
          <w:sz w:val="24"/>
        </w:rPr>
        <w:t>项目名称：</w:t>
      </w:r>
    </w:p>
    <w:p w14:paraId="428539A9">
      <w:pPr>
        <w:snapToGrid w:val="0"/>
        <w:spacing w:beforeLines="50" w:after="50"/>
        <w:ind w:firstLine="540" w:firstLineChars="225"/>
        <w:rPr>
          <w:rFonts w:ascii="宋体" w:hAnsi="宋体"/>
          <w:bCs/>
          <w:color w:val="auto"/>
          <w:sz w:val="24"/>
          <w:szCs w:val="20"/>
        </w:rPr>
      </w:pPr>
    </w:p>
    <w:p w14:paraId="78E48CC1">
      <w:pPr>
        <w:snapToGrid w:val="0"/>
        <w:spacing w:beforeLines="50" w:after="50"/>
        <w:ind w:firstLine="540" w:firstLineChars="225"/>
        <w:rPr>
          <w:rFonts w:ascii="宋体" w:hAnsi="宋体"/>
          <w:bCs/>
          <w:color w:val="auto"/>
          <w:sz w:val="24"/>
        </w:rPr>
      </w:pPr>
      <w:r>
        <w:rPr>
          <w:rFonts w:hint="eastAsia" w:ascii="宋体" w:hAnsi="宋体"/>
          <w:bCs/>
          <w:color w:val="auto"/>
          <w:sz w:val="24"/>
        </w:rPr>
        <w:t>项目编号：</w:t>
      </w:r>
    </w:p>
    <w:p w14:paraId="2AC13B28">
      <w:pPr>
        <w:snapToGrid w:val="0"/>
        <w:spacing w:beforeLines="50" w:after="50"/>
        <w:ind w:firstLine="540" w:firstLineChars="225"/>
        <w:rPr>
          <w:rFonts w:ascii="宋体" w:hAnsi="宋体"/>
          <w:bCs/>
          <w:color w:val="auto"/>
          <w:sz w:val="24"/>
          <w:szCs w:val="20"/>
        </w:rPr>
      </w:pPr>
    </w:p>
    <w:p w14:paraId="36387142">
      <w:pPr>
        <w:snapToGrid w:val="0"/>
        <w:spacing w:beforeLines="50" w:after="50"/>
        <w:ind w:firstLine="540" w:firstLineChars="225"/>
        <w:rPr>
          <w:rFonts w:ascii="宋体" w:hAnsi="宋体"/>
          <w:bCs/>
          <w:color w:val="auto"/>
          <w:sz w:val="24"/>
        </w:rPr>
      </w:pPr>
      <w:r>
        <w:rPr>
          <w:rFonts w:hint="eastAsia" w:ascii="宋体" w:hAnsi="宋体"/>
          <w:bCs/>
          <w:color w:val="auto"/>
          <w:sz w:val="24"/>
        </w:rPr>
        <w:t>所投</w:t>
      </w:r>
      <w:r>
        <w:rPr>
          <w:rFonts w:hint="eastAsia" w:ascii="宋体" w:hAnsi="宋体"/>
          <w:bCs/>
          <w:color w:val="auto"/>
          <w:sz w:val="24"/>
          <w:lang w:eastAsia="zh-CN"/>
        </w:rPr>
        <w:t>标项</w:t>
      </w:r>
      <w:r>
        <w:rPr>
          <w:rFonts w:hint="eastAsia" w:ascii="宋体" w:hAnsi="宋体"/>
          <w:bCs/>
          <w:color w:val="auto"/>
          <w:sz w:val="24"/>
        </w:rPr>
        <w:t>：</w:t>
      </w:r>
    </w:p>
    <w:p w14:paraId="5FDCD33D">
      <w:pPr>
        <w:pStyle w:val="7"/>
        <w:snapToGrid w:val="0"/>
        <w:spacing w:before="50" w:after="50"/>
        <w:ind w:firstLine="540" w:firstLineChars="225"/>
        <w:rPr>
          <w:rFonts w:ascii="宋体" w:hAnsi="宋体"/>
          <w:bCs/>
          <w:color w:val="auto"/>
          <w:sz w:val="24"/>
          <w:szCs w:val="24"/>
        </w:rPr>
      </w:pPr>
    </w:p>
    <w:p w14:paraId="79F82BFA">
      <w:pPr>
        <w:pStyle w:val="7"/>
        <w:snapToGrid w:val="0"/>
        <w:spacing w:before="50" w:after="50"/>
        <w:ind w:firstLine="540" w:firstLineChars="225"/>
        <w:rPr>
          <w:rFonts w:ascii="宋体" w:hAnsi="宋体"/>
          <w:bCs/>
          <w:color w:val="auto"/>
          <w:sz w:val="24"/>
          <w:szCs w:val="24"/>
        </w:rPr>
      </w:pPr>
      <w:r>
        <w:rPr>
          <w:rFonts w:hint="eastAsia" w:ascii="宋体" w:hAnsi="宋体"/>
          <w:bCs/>
          <w:color w:val="auto"/>
          <w:sz w:val="24"/>
          <w:szCs w:val="24"/>
        </w:rPr>
        <w:t>投标人名称：</w:t>
      </w:r>
    </w:p>
    <w:p w14:paraId="2E143E67">
      <w:pPr>
        <w:pStyle w:val="7"/>
        <w:snapToGrid w:val="0"/>
        <w:spacing w:before="50" w:after="50"/>
        <w:ind w:firstLine="540" w:firstLineChars="225"/>
        <w:rPr>
          <w:rFonts w:ascii="宋体" w:hAnsi="宋体"/>
          <w:bCs/>
          <w:color w:val="auto"/>
          <w:sz w:val="24"/>
          <w:szCs w:val="24"/>
        </w:rPr>
      </w:pPr>
    </w:p>
    <w:p w14:paraId="4F1ECF8B">
      <w:pPr>
        <w:pStyle w:val="7"/>
        <w:snapToGrid w:val="0"/>
        <w:spacing w:before="50" w:after="50"/>
        <w:ind w:firstLine="960" w:firstLineChars="400"/>
        <w:rPr>
          <w:rFonts w:ascii="宋体" w:hAnsi="宋体"/>
          <w:bCs/>
          <w:color w:val="auto"/>
          <w:sz w:val="24"/>
          <w:szCs w:val="24"/>
        </w:rPr>
      </w:pPr>
    </w:p>
    <w:p w14:paraId="1823D6E0">
      <w:pPr>
        <w:snapToGrid w:val="0"/>
        <w:spacing w:beforeLines="50" w:after="50"/>
        <w:ind w:firstLine="645"/>
        <w:jc w:val="center"/>
        <w:rPr>
          <w:rFonts w:ascii="宋体" w:hAnsi="宋体"/>
          <w:color w:val="auto"/>
          <w:sz w:val="24"/>
        </w:rPr>
      </w:pPr>
      <w:r>
        <w:rPr>
          <w:rFonts w:hint="eastAsia" w:ascii="宋体" w:hAnsi="宋体"/>
          <w:color w:val="auto"/>
          <w:sz w:val="24"/>
        </w:rPr>
        <w:t>年  月  日</w:t>
      </w:r>
    </w:p>
    <w:p w14:paraId="5A5322BA">
      <w:pPr>
        <w:snapToGrid w:val="0"/>
        <w:spacing w:beforeLines="50" w:after="50"/>
        <w:rPr>
          <w:rFonts w:ascii="宋体" w:hAnsi="宋体"/>
          <w:color w:val="auto"/>
          <w:sz w:val="24"/>
          <w:szCs w:val="20"/>
        </w:rPr>
      </w:pPr>
    </w:p>
    <w:p w14:paraId="50642043">
      <w:pPr>
        <w:snapToGrid w:val="0"/>
        <w:spacing w:beforeLines="50" w:after="50"/>
        <w:rPr>
          <w:rFonts w:ascii="宋体" w:hAnsi="宋体"/>
          <w:color w:val="auto"/>
          <w:sz w:val="24"/>
          <w:szCs w:val="20"/>
        </w:rPr>
      </w:pPr>
    </w:p>
    <w:p w14:paraId="29F5F26D">
      <w:pPr>
        <w:snapToGrid w:val="0"/>
        <w:spacing w:beforeLines="50" w:after="50" w:line="360" w:lineRule="auto"/>
        <w:jc w:val="center"/>
        <w:rPr>
          <w:rFonts w:ascii="宋体" w:hAnsi="宋体"/>
          <w:color w:val="auto"/>
          <w:sz w:val="24"/>
          <w:szCs w:val="20"/>
        </w:rPr>
      </w:pPr>
      <w:r>
        <w:rPr>
          <w:rFonts w:ascii="宋体" w:hAnsi="宋体"/>
          <w:b/>
          <w:bCs/>
          <w:color w:val="auto"/>
          <w:sz w:val="24"/>
        </w:rPr>
        <w:br w:type="page"/>
      </w:r>
      <w:r>
        <w:rPr>
          <w:rFonts w:hint="eastAsia" w:ascii="宋体" w:hAnsi="宋体"/>
          <w:b/>
          <w:bCs/>
          <w:color w:val="auto"/>
          <w:sz w:val="24"/>
        </w:rPr>
        <w:t>资格证明文件目录</w:t>
      </w:r>
    </w:p>
    <w:p w14:paraId="0C4D33F6">
      <w:pPr>
        <w:snapToGrid w:val="0"/>
        <w:spacing w:line="360" w:lineRule="auto"/>
        <w:ind w:firstLine="420" w:firstLineChars="200"/>
        <w:jc w:val="center"/>
        <w:rPr>
          <w:rFonts w:ascii="宋体" w:hAnsi="宋体"/>
          <w:color w:val="auto"/>
          <w:szCs w:val="21"/>
        </w:rPr>
      </w:pPr>
      <w:r>
        <w:rPr>
          <w:rFonts w:hint="eastAsia" w:ascii="宋体" w:hAnsi="宋体"/>
          <w:color w:val="auto"/>
          <w:szCs w:val="21"/>
        </w:rPr>
        <w:t>根据招标文件规定及投标人提供的材料自行编写目录。</w:t>
      </w:r>
    </w:p>
    <w:p w14:paraId="52BAC10A">
      <w:pPr>
        <w:snapToGrid w:val="0"/>
        <w:spacing w:before="50" w:afterLines="50"/>
        <w:jc w:val="left"/>
        <w:rPr>
          <w:rFonts w:ascii="宋体" w:hAnsi="宋体"/>
          <w:color w:val="auto"/>
          <w:sz w:val="24"/>
        </w:rPr>
      </w:pPr>
    </w:p>
    <w:p w14:paraId="5AD2E653">
      <w:pPr>
        <w:snapToGrid w:val="0"/>
        <w:spacing w:before="50" w:afterLines="50"/>
        <w:jc w:val="left"/>
        <w:rPr>
          <w:rFonts w:ascii="宋体" w:hAnsi="宋体"/>
          <w:color w:val="auto"/>
          <w:sz w:val="24"/>
        </w:rPr>
      </w:pPr>
    </w:p>
    <w:p w14:paraId="600FF847">
      <w:pPr>
        <w:snapToGrid w:val="0"/>
        <w:spacing w:beforeLines="50" w:after="50"/>
        <w:jc w:val="left"/>
        <w:rPr>
          <w:rFonts w:ascii="宋体" w:hAnsi="宋体"/>
          <w:b/>
          <w:color w:val="auto"/>
          <w:sz w:val="24"/>
        </w:rPr>
      </w:pPr>
      <w:r>
        <w:rPr>
          <w:rFonts w:ascii="宋体" w:hAnsi="宋体"/>
          <w:b/>
          <w:color w:val="auto"/>
          <w:sz w:val="24"/>
        </w:rPr>
        <w:br w:type="page"/>
      </w:r>
      <w:r>
        <w:rPr>
          <w:rFonts w:hint="eastAsia" w:ascii="宋体" w:hAnsi="宋体"/>
          <w:b/>
          <w:color w:val="auto"/>
          <w:sz w:val="24"/>
        </w:rPr>
        <w:t>5.投标人直接控股、管理关系信息表</w:t>
      </w:r>
    </w:p>
    <w:p w14:paraId="297D4B89">
      <w:pPr>
        <w:snapToGrid w:val="0"/>
        <w:spacing w:before="50" w:afterLines="50" w:line="360" w:lineRule="auto"/>
        <w:jc w:val="center"/>
        <w:rPr>
          <w:rFonts w:ascii="宋体" w:hAnsi="宋体"/>
          <w:b/>
          <w:color w:val="auto"/>
          <w:sz w:val="28"/>
          <w:szCs w:val="28"/>
        </w:rPr>
      </w:pPr>
    </w:p>
    <w:p w14:paraId="40F0CC77">
      <w:pPr>
        <w:snapToGrid w:val="0"/>
        <w:spacing w:before="50" w:afterLines="50" w:line="300" w:lineRule="auto"/>
        <w:jc w:val="center"/>
        <w:rPr>
          <w:rFonts w:ascii="宋体" w:hAnsi="宋体"/>
          <w:b/>
          <w:color w:val="auto"/>
          <w:sz w:val="28"/>
          <w:szCs w:val="28"/>
        </w:rPr>
      </w:pPr>
      <w:r>
        <w:rPr>
          <w:rFonts w:hint="eastAsia" w:ascii="宋体" w:hAnsi="宋体"/>
          <w:b/>
          <w:color w:val="auto"/>
          <w:sz w:val="28"/>
          <w:szCs w:val="28"/>
        </w:rPr>
        <w:t>投标人直接控股股东信息表</w:t>
      </w:r>
    </w:p>
    <w:tbl>
      <w:tblPr>
        <w:tblStyle w:val="25"/>
        <w:tblW w:w="0" w:type="auto"/>
        <w:tblInd w:w="0"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66B870B8">
        <w:tblPrEx>
          <w:shd w:val="clear" w:color="auto" w:fill="FBFBFB"/>
          <w:tblCellMar>
            <w:top w:w="0" w:type="dxa"/>
            <w:left w:w="0" w:type="dxa"/>
            <w:bottom w:w="0" w:type="dxa"/>
            <w:right w:w="0" w:type="dxa"/>
          </w:tblCellMar>
        </w:tblPrEx>
        <w:trPr>
          <w:trHeight w:val="397" w:hRule="exact"/>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8405899">
            <w:pPr>
              <w:spacing w:line="300" w:lineRule="auto"/>
              <w:jc w:val="center"/>
              <w:rPr>
                <w:rFonts w:ascii="宋体" w:hAnsi="宋体" w:cs="宋体"/>
                <w:b/>
                <w:bCs/>
                <w:color w:val="auto"/>
                <w:kern w:val="0"/>
                <w:sz w:val="22"/>
                <w:szCs w:val="22"/>
              </w:rPr>
            </w:pPr>
            <w:r>
              <w:rPr>
                <w:rFonts w:hint="eastAsia" w:ascii="宋体" w:hAnsi="宋体" w:cs="宋体"/>
                <w:b/>
                <w:bCs/>
                <w:color w:val="auto"/>
                <w:kern w:val="0"/>
                <w:sz w:val="22"/>
                <w:szCs w:val="22"/>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AC02EB3">
            <w:pPr>
              <w:spacing w:line="300" w:lineRule="auto"/>
              <w:jc w:val="center"/>
              <w:rPr>
                <w:rFonts w:ascii="宋体" w:hAnsi="宋体" w:cs="宋体"/>
                <w:b/>
                <w:bCs/>
                <w:color w:val="auto"/>
                <w:kern w:val="0"/>
                <w:sz w:val="22"/>
                <w:szCs w:val="22"/>
              </w:rPr>
            </w:pPr>
            <w:r>
              <w:rPr>
                <w:rFonts w:hint="eastAsia" w:ascii="宋体" w:hAnsi="宋体" w:cs="宋体"/>
                <w:b/>
                <w:bCs/>
                <w:color w:val="auto"/>
                <w:kern w:val="0"/>
                <w:sz w:val="22"/>
                <w:szCs w:val="22"/>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3C83810">
            <w:pPr>
              <w:spacing w:line="300" w:lineRule="auto"/>
              <w:jc w:val="center"/>
              <w:rPr>
                <w:rFonts w:ascii="宋体" w:hAnsi="宋体" w:cs="宋体"/>
                <w:b/>
                <w:bCs/>
                <w:color w:val="auto"/>
                <w:kern w:val="0"/>
                <w:sz w:val="22"/>
                <w:szCs w:val="22"/>
              </w:rPr>
            </w:pPr>
            <w:r>
              <w:rPr>
                <w:rFonts w:hint="eastAsia" w:ascii="宋体" w:hAnsi="宋体" w:cs="宋体"/>
                <w:b/>
                <w:bCs/>
                <w:color w:val="auto"/>
                <w:kern w:val="0"/>
                <w:sz w:val="22"/>
                <w:szCs w:val="22"/>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2477916">
            <w:pPr>
              <w:spacing w:line="300" w:lineRule="auto"/>
              <w:jc w:val="center"/>
              <w:rPr>
                <w:rFonts w:ascii="宋体" w:hAnsi="宋体" w:cs="宋体"/>
                <w:b/>
                <w:bCs/>
                <w:color w:val="auto"/>
                <w:kern w:val="0"/>
                <w:sz w:val="22"/>
                <w:szCs w:val="22"/>
              </w:rPr>
            </w:pPr>
            <w:r>
              <w:rPr>
                <w:rFonts w:hint="eastAsia" w:ascii="宋体" w:hAnsi="宋体" w:cs="宋体"/>
                <w:b/>
                <w:bCs/>
                <w:color w:val="auto"/>
                <w:kern w:val="0"/>
                <w:sz w:val="22"/>
                <w:szCs w:val="22"/>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C5A7403">
            <w:pPr>
              <w:spacing w:line="300" w:lineRule="auto"/>
              <w:jc w:val="center"/>
              <w:rPr>
                <w:rFonts w:ascii="宋体" w:hAnsi="宋体" w:cs="宋体"/>
                <w:b/>
                <w:bCs/>
                <w:color w:val="auto"/>
                <w:kern w:val="0"/>
                <w:sz w:val="22"/>
                <w:szCs w:val="22"/>
              </w:rPr>
            </w:pPr>
            <w:r>
              <w:rPr>
                <w:rFonts w:hint="eastAsia" w:ascii="宋体" w:hAnsi="宋体" w:cs="宋体"/>
                <w:b/>
                <w:bCs/>
                <w:color w:val="auto"/>
                <w:kern w:val="0"/>
                <w:sz w:val="22"/>
                <w:szCs w:val="22"/>
              </w:rPr>
              <w:t>备注</w:t>
            </w:r>
          </w:p>
        </w:tc>
      </w:tr>
      <w:tr w14:paraId="2A203966">
        <w:tblPrEx>
          <w:shd w:val="clear" w:color="auto" w:fill="FBFBFB"/>
          <w:tblCellMar>
            <w:top w:w="0" w:type="dxa"/>
            <w:left w:w="0" w:type="dxa"/>
            <w:bottom w:w="0" w:type="dxa"/>
            <w:right w:w="0" w:type="dxa"/>
          </w:tblCellMar>
        </w:tblPrEx>
        <w:trPr>
          <w:trHeight w:val="397" w:hRule="exact"/>
        </w:trPr>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8B2B69F">
            <w:pPr>
              <w:spacing w:line="300" w:lineRule="auto"/>
              <w:jc w:val="center"/>
              <w:rPr>
                <w:rFonts w:ascii="宋体" w:hAnsi="宋体" w:cs="宋体"/>
                <w:color w:val="auto"/>
                <w:kern w:val="0"/>
                <w:sz w:val="22"/>
                <w:szCs w:val="22"/>
              </w:rPr>
            </w:pPr>
            <w:r>
              <w:rPr>
                <w:rFonts w:hint="eastAsia" w:ascii="宋体" w:hAnsi="宋体" w:cs="宋体"/>
                <w:color w:val="auto"/>
                <w:kern w:val="0"/>
                <w:sz w:val="22"/>
                <w:szCs w:val="22"/>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EE856DF">
            <w:pPr>
              <w:spacing w:line="300" w:lineRule="auto"/>
              <w:jc w:val="center"/>
              <w:rPr>
                <w:rFonts w:ascii="宋体" w:hAnsi="宋体" w:cs="宋体"/>
                <w:color w:val="auto"/>
                <w:kern w:val="0"/>
                <w:sz w:val="22"/>
                <w:szCs w:val="22"/>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56E77C8">
            <w:pPr>
              <w:spacing w:line="300" w:lineRule="auto"/>
              <w:jc w:val="center"/>
              <w:rPr>
                <w:rFonts w:ascii="宋体" w:hAnsi="宋体" w:cs="宋体"/>
                <w:color w:val="auto"/>
                <w:kern w:val="0"/>
                <w:sz w:val="22"/>
                <w:szCs w:val="22"/>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FC7BBE4">
            <w:pPr>
              <w:spacing w:line="300" w:lineRule="auto"/>
              <w:jc w:val="center"/>
              <w:rPr>
                <w:rFonts w:ascii="宋体" w:hAnsi="宋体" w:cs="宋体"/>
                <w:color w:val="auto"/>
                <w:kern w:val="0"/>
                <w:sz w:val="22"/>
                <w:szCs w:val="22"/>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64C7718">
            <w:pPr>
              <w:spacing w:line="300" w:lineRule="auto"/>
              <w:jc w:val="center"/>
              <w:rPr>
                <w:rFonts w:ascii="宋体" w:hAnsi="宋体" w:cs="宋体"/>
                <w:color w:val="auto"/>
                <w:kern w:val="0"/>
                <w:sz w:val="22"/>
                <w:szCs w:val="22"/>
              </w:rPr>
            </w:pPr>
          </w:p>
        </w:tc>
      </w:tr>
      <w:tr w14:paraId="102A80BC">
        <w:tblPrEx>
          <w:tblCellMar>
            <w:top w:w="0" w:type="dxa"/>
            <w:left w:w="0" w:type="dxa"/>
            <w:bottom w:w="0" w:type="dxa"/>
            <w:right w:w="0" w:type="dxa"/>
          </w:tblCellMar>
        </w:tblPrEx>
        <w:trPr>
          <w:trHeight w:val="397" w:hRule="exact"/>
        </w:trPr>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0F56725">
            <w:pPr>
              <w:spacing w:line="300" w:lineRule="auto"/>
              <w:jc w:val="center"/>
              <w:rPr>
                <w:rFonts w:ascii="宋体" w:hAnsi="宋体" w:cs="宋体"/>
                <w:color w:val="auto"/>
                <w:kern w:val="0"/>
                <w:sz w:val="22"/>
                <w:szCs w:val="22"/>
              </w:rPr>
            </w:pPr>
            <w:r>
              <w:rPr>
                <w:rFonts w:hint="eastAsia" w:ascii="宋体" w:hAnsi="宋体" w:cs="宋体"/>
                <w:color w:val="auto"/>
                <w:kern w:val="0"/>
                <w:sz w:val="22"/>
                <w:szCs w:val="22"/>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70740EE">
            <w:pPr>
              <w:spacing w:line="300" w:lineRule="auto"/>
              <w:jc w:val="center"/>
              <w:rPr>
                <w:rFonts w:ascii="宋体" w:hAnsi="宋体" w:cs="宋体"/>
                <w:color w:val="auto"/>
                <w:kern w:val="0"/>
                <w:sz w:val="22"/>
                <w:szCs w:val="22"/>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CAF868C">
            <w:pPr>
              <w:spacing w:line="300" w:lineRule="auto"/>
              <w:jc w:val="center"/>
              <w:rPr>
                <w:rFonts w:ascii="宋体" w:hAnsi="宋体" w:cs="宋体"/>
                <w:color w:val="auto"/>
                <w:kern w:val="0"/>
                <w:sz w:val="22"/>
                <w:szCs w:val="22"/>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47E1E29">
            <w:pPr>
              <w:spacing w:line="300" w:lineRule="auto"/>
              <w:jc w:val="center"/>
              <w:rPr>
                <w:rFonts w:ascii="宋体" w:hAnsi="宋体" w:cs="宋体"/>
                <w:color w:val="auto"/>
                <w:kern w:val="0"/>
                <w:sz w:val="22"/>
                <w:szCs w:val="22"/>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4412845">
            <w:pPr>
              <w:spacing w:line="300" w:lineRule="auto"/>
              <w:jc w:val="center"/>
              <w:rPr>
                <w:rFonts w:ascii="宋体" w:hAnsi="宋体" w:cs="宋体"/>
                <w:color w:val="auto"/>
                <w:kern w:val="0"/>
                <w:sz w:val="22"/>
                <w:szCs w:val="22"/>
              </w:rPr>
            </w:pPr>
          </w:p>
        </w:tc>
      </w:tr>
      <w:tr w14:paraId="4066D804">
        <w:tblPrEx>
          <w:tblCellMar>
            <w:top w:w="0" w:type="dxa"/>
            <w:left w:w="0" w:type="dxa"/>
            <w:bottom w:w="0" w:type="dxa"/>
            <w:right w:w="0" w:type="dxa"/>
          </w:tblCellMar>
        </w:tblPrEx>
        <w:trPr>
          <w:trHeight w:val="397" w:hRule="exact"/>
        </w:trPr>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566475E">
            <w:pPr>
              <w:spacing w:line="300" w:lineRule="auto"/>
              <w:jc w:val="center"/>
              <w:rPr>
                <w:rFonts w:ascii="宋体" w:hAnsi="宋体" w:cs="宋体"/>
                <w:color w:val="auto"/>
                <w:kern w:val="0"/>
                <w:sz w:val="22"/>
                <w:szCs w:val="22"/>
              </w:rPr>
            </w:pPr>
            <w:r>
              <w:rPr>
                <w:rFonts w:hint="eastAsia" w:ascii="宋体" w:hAnsi="宋体" w:cs="宋体"/>
                <w:color w:val="auto"/>
                <w:kern w:val="0"/>
                <w:sz w:val="22"/>
                <w:szCs w:val="22"/>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435D266">
            <w:pPr>
              <w:spacing w:line="300" w:lineRule="auto"/>
              <w:jc w:val="center"/>
              <w:rPr>
                <w:rFonts w:ascii="宋体" w:hAnsi="宋体" w:cs="宋体"/>
                <w:color w:val="auto"/>
                <w:kern w:val="0"/>
                <w:sz w:val="22"/>
                <w:szCs w:val="22"/>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FFA69A8">
            <w:pPr>
              <w:spacing w:line="300" w:lineRule="auto"/>
              <w:jc w:val="center"/>
              <w:rPr>
                <w:rFonts w:ascii="宋体" w:hAnsi="宋体" w:cs="宋体"/>
                <w:color w:val="auto"/>
                <w:kern w:val="0"/>
                <w:sz w:val="22"/>
                <w:szCs w:val="22"/>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0DF3A89">
            <w:pPr>
              <w:spacing w:line="300" w:lineRule="auto"/>
              <w:jc w:val="center"/>
              <w:rPr>
                <w:rFonts w:ascii="宋体" w:hAnsi="宋体" w:cs="宋体"/>
                <w:color w:val="auto"/>
                <w:kern w:val="0"/>
                <w:sz w:val="22"/>
                <w:szCs w:val="22"/>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15A3314">
            <w:pPr>
              <w:spacing w:line="300" w:lineRule="auto"/>
              <w:jc w:val="center"/>
              <w:rPr>
                <w:rFonts w:ascii="宋体" w:hAnsi="宋体" w:cs="宋体"/>
                <w:color w:val="auto"/>
                <w:kern w:val="0"/>
                <w:sz w:val="22"/>
                <w:szCs w:val="22"/>
              </w:rPr>
            </w:pPr>
          </w:p>
        </w:tc>
      </w:tr>
    </w:tbl>
    <w:p w14:paraId="2E26CF2C">
      <w:pPr>
        <w:snapToGrid w:val="0"/>
        <w:spacing w:line="300" w:lineRule="auto"/>
        <w:jc w:val="left"/>
        <w:rPr>
          <w:rFonts w:ascii="宋体" w:hAnsi="宋体"/>
          <w:color w:val="auto"/>
          <w:sz w:val="22"/>
          <w:szCs w:val="22"/>
        </w:rPr>
      </w:pPr>
      <w:r>
        <w:rPr>
          <w:rFonts w:hint="eastAsia" w:ascii="宋体" w:hAnsi="宋体"/>
          <w:color w:val="auto"/>
          <w:sz w:val="22"/>
          <w:szCs w:val="22"/>
        </w:rPr>
        <w:t>注：</w:t>
      </w:r>
    </w:p>
    <w:p w14:paraId="6081AAF4">
      <w:pPr>
        <w:snapToGrid w:val="0"/>
        <w:spacing w:line="300" w:lineRule="auto"/>
        <w:jc w:val="left"/>
        <w:rPr>
          <w:rFonts w:ascii="宋体" w:hAnsi="宋体"/>
          <w:color w:val="auto"/>
          <w:sz w:val="22"/>
          <w:szCs w:val="22"/>
        </w:rPr>
      </w:pPr>
      <w:r>
        <w:rPr>
          <w:rFonts w:hint="eastAsia" w:ascii="宋体" w:hAnsi="宋体"/>
          <w:color w:val="auto"/>
          <w:sz w:val="22"/>
          <w:szCs w:val="22"/>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1FD46CA">
      <w:pPr>
        <w:snapToGrid w:val="0"/>
        <w:spacing w:line="300" w:lineRule="auto"/>
        <w:jc w:val="left"/>
        <w:rPr>
          <w:rFonts w:ascii="宋体" w:hAnsi="宋体"/>
          <w:color w:val="auto"/>
          <w:sz w:val="22"/>
          <w:szCs w:val="22"/>
        </w:rPr>
      </w:pPr>
      <w:r>
        <w:rPr>
          <w:rFonts w:hint="eastAsia" w:ascii="宋体" w:hAnsi="宋体"/>
          <w:color w:val="auto"/>
          <w:sz w:val="22"/>
          <w:szCs w:val="22"/>
        </w:rPr>
        <w:t>2.本表所指的控股关系仅限于直接控股关系，不包括间接的控股关系。公司实际控制人与公司之间的关系不属于本表所指的直接控股关系。</w:t>
      </w:r>
    </w:p>
    <w:p w14:paraId="22BC503D">
      <w:pPr>
        <w:snapToGrid w:val="0"/>
        <w:spacing w:line="300" w:lineRule="auto"/>
        <w:jc w:val="left"/>
        <w:rPr>
          <w:rFonts w:ascii="宋体" w:hAnsi="宋体"/>
          <w:color w:val="auto"/>
          <w:sz w:val="22"/>
          <w:szCs w:val="22"/>
        </w:rPr>
      </w:pPr>
      <w:r>
        <w:rPr>
          <w:rFonts w:hint="eastAsia" w:ascii="宋体" w:hAnsi="宋体"/>
          <w:color w:val="auto"/>
          <w:sz w:val="22"/>
          <w:szCs w:val="22"/>
        </w:rPr>
        <w:t>3.供应商不存在直接控股股东的，则填“无”。</w:t>
      </w:r>
    </w:p>
    <w:p w14:paraId="768708DF">
      <w:pPr>
        <w:snapToGrid w:val="0"/>
        <w:spacing w:line="300" w:lineRule="auto"/>
        <w:jc w:val="left"/>
        <w:rPr>
          <w:rFonts w:ascii="宋体" w:hAnsi="宋体"/>
          <w:color w:val="auto"/>
          <w:sz w:val="22"/>
          <w:szCs w:val="22"/>
        </w:rPr>
      </w:pPr>
    </w:p>
    <w:p w14:paraId="120F7731">
      <w:pPr>
        <w:snapToGrid w:val="0"/>
        <w:spacing w:before="50" w:after="50" w:line="300" w:lineRule="auto"/>
        <w:ind w:left="-6" w:leftChars="-15" w:right="-817" w:rightChars="-389" w:hanging="25" w:hangingChars="12"/>
        <w:jc w:val="left"/>
        <w:rPr>
          <w:rFonts w:ascii="宋体" w:hAnsi="宋体"/>
          <w:b/>
          <w:bCs/>
          <w:color w:val="auto"/>
          <w:szCs w:val="21"/>
        </w:rPr>
      </w:pPr>
      <w:r>
        <w:rPr>
          <w:rFonts w:hint="eastAsia" w:ascii="宋体" w:hAnsi="宋体"/>
          <w:b/>
          <w:bCs/>
          <w:color w:val="auto"/>
          <w:szCs w:val="21"/>
        </w:rPr>
        <w:t>法定代表人或者委托代理人（签字/电子签名）：</w:t>
      </w:r>
    </w:p>
    <w:p w14:paraId="6C2B0E15">
      <w:pPr>
        <w:snapToGrid w:val="0"/>
        <w:spacing w:before="50" w:after="50" w:line="300" w:lineRule="auto"/>
        <w:ind w:left="-6" w:leftChars="-15" w:right="-817" w:rightChars="-389" w:hanging="25" w:hangingChars="12"/>
        <w:jc w:val="left"/>
        <w:rPr>
          <w:rFonts w:ascii="宋体" w:hAnsi="宋体"/>
          <w:b/>
          <w:bCs/>
          <w:color w:val="auto"/>
          <w:szCs w:val="21"/>
        </w:rPr>
      </w:pPr>
      <w:r>
        <w:rPr>
          <w:rFonts w:hint="eastAsia" w:ascii="宋体" w:hAnsi="宋体"/>
          <w:b/>
          <w:bCs/>
          <w:color w:val="auto"/>
          <w:szCs w:val="21"/>
        </w:rPr>
        <w:t>投标人名称（公章或电子签章）：</w:t>
      </w:r>
    </w:p>
    <w:p w14:paraId="0BC973C8">
      <w:pPr>
        <w:snapToGrid w:val="0"/>
        <w:spacing w:before="50" w:after="50" w:line="300" w:lineRule="auto"/>
        <w:ind w:left="-6" w:leftChars="-15" w:right="-817" w:rightChars="-389" w:hanging="25" w:hangingChars="12"/>
        <w:jc w:val="left"/>
        <w:rPr>
          <w:rFonts w:ascii="宋体" w:hAnsi="宋体"/>
          <w:b/>
          <w:color w:val="auto"/>
          <w:sz w:val="28"/>
          <w:szCs w:val="28"/>
        </w:rPr>
      </w:pPr>
      <w:r>
        <w:rPr>
          <w:rFonts w:hint="eastAsia" w:ascii="宋体" w:hAnsi="宋体"/>
          <w:b/>
          <w:bCs/>
          <w:color w:val="auto"/>
          <w:szCs w:val="21"/>
        </w:rPr>
        <w:t>日期：    年   月   日</w:t>
      </w:r>
    </w:p>
    <w:p w14:paraId="7BBEDC84">
      <w:pPr>
        <w:snapToGrid w:val="0"/>
        <w:spacing w:line="360" w:lineRule="auto"/>
        <w:jc w:val="center"/>
        <w:rPr>
          <w:rFonts w:ascii="宋体" w:hAnsi="宋体"/>
          <w:b/>
          <w:color w:val="auto"/>
          <w:sz w:val="32"/>
          <w:szCs w:val="32"/>
        </w:rPr>
      </w:pPr>
    </w:p>
    <w:p w14:paraId="4B013046">
      <w:pPr>
        <w:snapToGrid w:val="0"/>
        <w:spacing w:line="360" w:lineRule="auto"/>
        <w:jc w:val="center"/>
        <w:rPr>
          <w:rFonts w:ascii="宋体" w:hAnsi="宋体"/>
          <w:color w:val="auto"/>
          <w:sz w:val="32"/>
          <w:szCs w:val="32"/>
        </w:rPr>
      </w:pPr>
      <w:r>
        <w:rPr>
          <w:rFonts w:hint="eastAsia" w:ascii="宋体" w:hAnsi="宋体"/>
          <w:b/>
          <w:color w:val="auto"/>
          <w:sz w:val="32"/>
          <w:szCs w:val="32"/>
        </w:rPr>
        <w:br w:type="page"/>
      </w:r>
      <w:r>
        <w:rPr>
          <w:rFonts w:hint="eastAsia" w:ascii="宋体" w:hAnsi="宋体"/>
          <w:b/>
          <w:color w:val="auto"/>
          <w:sz w:val="32"/>
          <w:szCs w:val="32"/>
        </w:rPr>
        <w:t>投标人直接管理关系信息表</w:t>
      </w:r>
    </w:p>
    <w:tbl>
      <w:tblPr>
        <w:tblStyle w:val="25"/>
        <w:tblW w:w="0" w:type="auto"/>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785CECDB">
        <w:tblPrEx>
          <w:shd w:val="clear" w:color="auto" w:fill="FBFBFB"/>
          <w:tblCellMar>
            <w:top w:w="0" w:type="dxa"/>
            <w:left w:w="0" w:type="dxa"/>
            <w:bottom w:w="0" w:type="dxa"/>
            <w:right w:w="0" w:type="dxa"/>
          </w:tblCellMar>
        </w:tblPrEx>
        <w:trPr>
          <w:trHeight w:val="397" w:hRule="exact"/>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FEEED73">
            <w:pPr>
              <w:spacing w:line="360" w:lineRule="auto"/>
              <w:jc w:val="center"/>
              <w:rPr>
                <w:rFonts w:ascii="宋体" w:hAnsi="宋体" w:cs="宋体"/>
                <w:b/>
                <w:bCs/>
                <w:color w:val="auto"/>
                <w:kern w:val="0"/>
                <w:sz w:val="24"/>
              </w:rPr>
            </w:pPr>
            <w:r>
              <w:rPr>
                <w:rFonts w:hint="eastAsia" w:ascii="宋体" w:hAnsi="宋体" w:cs="宋体"/>
                <w:b/>
                <w:bCs/>
                <w:color w:val="auto"/>
                <w:kern w:val="0"/>
                <w:sz w:val="24"/>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FC3D8EB">
            <w:pPr>
              <w:spacing w:line="360" w:lineRule="auto"/>
              <w:jc w:val="center"/>
              <w:rPr>
                <w:rFonts w:ascii="宋体" w:hAnsi="宋体" w:cs="宋体"/>
                <w:b/>
                <w:bCs/>
                <w:color w:val="auto"/>
                <w:kern w:val="0"/>
                <w:sz w:val="24"/>
              </w:rPr>
            </w:pPr>
            <w:r>
              <w:rPr>
                <w:rFonts w:hint="eastAsia" w:ascii="宋体" w:hAnsi="宋体" w:cs="宋体"/>
                <w:b/>
                <w:bCs/>
                <w:color w:val="auto"/>
                <w:kern w:val="0"/>
                <w:sz w:val="24"/>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B954AA7">
            <w:pPr>
              <w:spacing w:line="360" w:lineRule="auto"/>
              <w:jc w:val="center"/>
              <w:rPr>
                <w:rFonts w:ascii="宋体" w:hAnsi="宋体" w:cs="宋体"/>
                <w:b/>
                <w:bCs/>
                <w:color w:val="auto"/>
                <w:kern w:val="0"/>
                <w:sz w:val="24"/>
              </w:rPr>
            </w:pPr>
            <w:r>
              <w:rPr>
                <w:rFonts w:hint="eastAsia" w:ascii="宋体" w:hAnsi="宋体" w:cs="宋体"/>
                <w:b/>
                <w:bCs/>
                <w:color w:val="auto"/>
                <w:kern w:val="0"/>
                <w:sz w:val="24"/>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B0D1ABF">
            <w:pPr>
              <w:spacing w:line="360" w:lineRule="auto"/>
              <w:jc w:val="center"/>
              <w:rPr>
                <w:rFonts w:ascii="宋体" w:hAnsi="宋体" w:cs="宋体"/>
                <w:b/>
                <w:bCs/>
                <w:color w:val="auto"/>
                <w:kern w:val="0"/>
                <w:sz w:val="24"/>
              </w:rPr>
            </w:pPr>
            <w:r>
              <w:rPr>
                <w:rFonts w:hint="eastAsia" w:ascii="宋体" w:hAnsi="宋体" w:cs="宋体"/>
                <w:b/>
                <w:bCs/>
                <w:color w:val="auto"/>
                <w:kern w:val="0"/>
                <w:sz w:val="24"/>
              </w:rPr>
              <w:t>备注</w:t>
            </w:r>
          </w:p>
        </w:tc>
      </w:tr>
      <w:tr w14:paraId="3D4366EB">
        <w:tblPrEx>
          <w:shd w:val="clear" w:color="auto" w:fill="FBFBFB"/>
          <w:tblCellMar>
            <w:top w:w="0" w:type="dxa"/>
            <w:left w:w="0" w:type="dxa"/>
            <w:bottom w:w="0" w:type="dxa"/>
            <w:right w:w="0" w:type="dxa"/>
          </w:tblCellMar>
        </w:tblPrEx>
        <w:trPr>
          <w:trHeight w:val="397" w:hRule="exact"/>
        </w:trPr>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FF1EFFF">
            <w:pPr>
              <w:spacing w:line="360" w:lineRule="auto"/>
              <w:jc w:val="center"/>
              <w:rPr>
                <w:rFonts w:ascii="宋体" w:hAnsi="宋体" w:cs="宋体"/>
                <w:color w:val="auto"/>
                <w:kern w:val="0"/>
                <w:sz w:val="24"/>
              </w:rPr>
            </w:pPr>
            <w:r>
              <w:rPr>
                <w:rFonts w:hint="eastAsia" w:ascii="宋体" w:hAnsi="宋体" w:cs="宋体"/>
                <w:color w:val="auto"/>
                <w:kern w:val="0"/>
                <w:sz w:val="24"/>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54256E4">
            <w:pPr>
              <w:spacing w:line="360" w:lineRule="auto"/>
              <w:jc w:val="center"/>
              <w:rPr>
                <w:rFonts w:ascii="宋体" w:hAnsi="宋体" w:cs="宋体"/>
                <w:color w:val="auto"/>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D876710">
            <w:pPr>
              <w:spacing w:line="360" w:lineRule="auto"/>
              <w:jc w:val="center"/>
              <w:rPr>
                <w:rFonts w:ascii="宋体" w:hAnsi="宋体" w:cs="宋体"/>
                <w:color w:val="auto"/>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39098DB">
            <w:pPr>
              <w:spacing w:line="360" w:lineRule="auto"/>
              <w:jc w:val="center"/>
              <w:rPr>
                <w:rFonts w:ascii="宋体" w:hAnsi="宋体" w:cs="宋体"/>
                <w:color w:val="auto"/>
                <w:kern w:val="0"/>
                <w:sz w:val="24"/>
              </w:rPr>
            </w:pPr>
          </w:p>
        </w:tc>
      </w:tr>
      <w:tr w14:paraId="1C0DA4DA">
        <w:tblPrEx>
          <w:shd w:val="clear" w:color="auto" w:fill="FBFBFB"/>
          <w:tblCellMar>
            <w:top w:w="0" w:type="dxa"/>
            <w:left w:w="0" w:type="dxa"/>
            <w:bottom w:w="0" w:type="dxa"/>
            <w:right w:w="0" w:type="dxa"/>
          </w:tblCellMar>
        </w:tblPrEx>
        <w:trPr>
          <w:trHeight w:val="397" w:hRule="exact"/>
        </w:trPr>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874E103">
            <w:pPr>
              <w:spacing w:line="360" w:lineRule="auto"/>
              <w:jc w:val="center"/>
              <w:rPr>
                <w:rFonts w:ascii="宋体" w:hAnsi="宋体" w:cs="宋体"/>
                <w:color w:val="auto"/>
                <w:kern w:val="0"/>
                <w:sz w:val="24"/>
              </w:rPr>
            </w:pPr>
            <w:r>
              <w:rPr>
                <w:rFonts w:hint="eastAsia" w:ascii="宋体" w:hAnsi="宋体" w:cs="宋体"/>
                <w:color w:val="auto"/>
                <w:kern w:val="0"/>
                <w:sz w:val="24"/>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D18E384">
            <w:pPr>
              <w:spacing w:line="360" w:lineRule="auto"/>
              <w:jc w:val="center"/>
              <w:rPr>
                <w:rFonts w:ascii="宋体" w:hAnsi="宋体" w:cs="宋体"/>
                <w:color w:val="auto"/>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2880D5A">
            <w:pPr>
              <w:spacing w:line="360" w:lineRule="auto"/>
              <w:jc w:val="center"/>
              <w:rPr>
                <w:rFonts w:ascii="宋体" w:hAnsi="宋体" w:cs="宋体"/>
                <w:color w:val="auto"/>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E577E29">
            <w:pPr>
              <w:spacing w:line="360" w:lineRule="auto"/>
              <w:jc w:val="center"/>
              <w:rPr>
                <w:rFonts w:ascii="宋体" w:hAnsi="宋体" w:cs="宋体"/>
                <w:color w:val="auto"/>
                <w:kern w:val="0"/>
                <w:sz w:val="24"/>
              </w:rPr>
            </w:pPr>
          </w:p>
        </w:tc>
      </w:tr>
      <w:tr w14:paraId="064ACDC7">
        <w:tblPrEx>
          <w:shd w:val="clear" w:color="auto" w:fill="FBFBFB"/>
          <w:tblCellMar>
            <w:top w:w="0" w:type="dxa"/>
            <w:left w:w="0" w:type="dxa"/>
            <w:bottom w:w="0" w:type="dxa"/>
            <w:right w:w="0" w:type="dxa"/>
          </w:tblCellMar>
        </w:tblPrEx>
        <w:trPr>
          <w:trHeight w:val="397" w:hRule="exact"/>
        </w:trPr>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FE33226">
            <w:pPr>
              <w:spacing w:line="360" w:lineRule="auto"/>
              <w:jc w:val="center"/>
              <w:rPr>
                <w:rFonts w:ascii="宋体" w:hAnsi="宋体" w:cs="宋体"/>
                <w:color w:val="auto"/>
                <w:kern w:val="0"/>
                <w:sz w:val="24"/>
              </w:rPr>
            </w:pPr>
            <w:r>
              <w:rPr>
                <w:rFonts w:hint="eastAsia" w:ascii="宋体" w:hAnsi="宋体" w:cs="宋体"/>
                <w:color w:val="auto"/>
                <w:kern w:val="0"/>
                <w:sz w:val="24"/>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67A5340">
            <w:pPr>
              <w:spacing w:line="360" w:lineRule="auto"/>
              <w:jc w:val="center"/>
              <w:rPr>
                <w:rFonts w:ascii="宋体" w:hAnsi="宋体" w:cs="宋体"/>
                <w:color w:val="auto"/>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44A5A46">
            <w:pPr>
              <w:spacing w:line="360" w:lineRule="auto"/>
              <w:jc w:val="center"/>
              <w:rPr>
                <w:rFonts w:ascii="宋体" w:hAnsi="宋体" w:cs="宋体"/>
                <w:color w:val="auto"/>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4E6B037">
            <w:pPr>
              <w:spacing w:line="360" w:lineRule="auto"/>
              <w:jc w:val="center"/>
              <w:rPr>
                <w:rFonts w:ascii="宋体" w:hAnsi="宋体" w:cs="宋体"/>
                <w:color w:val="auto"/>
                <w:kern w:val="0"/>
                <w:sz w:val="24"/>
              </w:rPr>
            </w:pPr>
          </w:p>
        </w:tc>
      </w:tr>
    </w:tbl>
    <w:p w14:paraId="2D289416">
      <w:pPr>
        <w:snapToGrid w:val="0"/>
        <w:spacing w:line="300" w:lineRule="auto"/>
        <w:jc w:val="left"/>
        <w:rPr>
          <w:rFonts w:ascii="宋体" w:hAnsi="宋体"/>
          <w:color w:val="auto"/>
          <w:sz w:val="24"/>
        </w:rPr>
      </w:pPr>
      <w:r>
        <w:rPr>
          <w:rFonts w:hint="eastAsia" w:ascii="宋体" w:hAnsi="宋体"/>
          <w:color w:val="auto"/>
          <w:sz w:val="24"/>
        </w:rPr>
        <w:t>注：</w:t>
      </w:r>
    </w:p>
    <w:p w14:paraId="144015AE">
      <w:pPr>
        <w:snapToGrid w:val="0"/>
        <w:spacing w:line="300" w:lineRule="auto"/>
        <w:ind w:firstLine="480" w:firstLineChars="200"/>
        <w:jc w:val="left"/>
        <w:rPr>
          <w:rFonts w:ascii="宋体" w:hAnsi="宋体"/>
          <w:color w:val="auto"/>
          <w:sz w:val="24"/>
        </w:rPr>
      </w:pPr>
      <w:r>
        <w:rPr>
          <w:rFonts w:hint="eastAsia" w:ascii="宋体" w:hAnsi="宋体"/>
          <w:color w:val="auto"/>
          <w:sz w:val="24"/>
        </w:rPr>
        <w:t>1.管理关系：是指不具有出资持股关系的其他单位之间存在的管理与被管理关系，如一些上下级关系的事业单位和团体组织。</w:t>
      </w:r>
    </w:p>
    <w:p w14:paraId="4180F5B3">
      <w:pPr>
        <w:snapToGrid w:val="0"/>
        <w:spacing w:line="300" w:lineRule="auto"/>
        <w:ind w:firstLine="480" w:firstLineChars="200"/>
        <w:jc w:val="left"/>
        <w:rPr>
          <w:rFonts w:ascii="宋体" w:hAnsi="宋体"/>
          <w:color w:val="auto"/>
          <w:sz w:val="24"/>
        </w:rPr>
      </w:pPr>
      <w:r>
        <w:rPr>
          <w:rFonts w:hint="eastAsia" w:ascii="宋体" w:hAnsi="宋体"/>
          <w:color w:val="auto"/>
          <w:sz w:val="24"/>
        </w:rPr>
        <w:t>2.</w:t>
      </w:r>
      <w:r>
        <w:rPr>
          <w:rFonts w:hint="eastAsia" w:ascii="宋体" w:hAnsi="宋体"/>
          <w:color w:val="auto"/>
          <w:spacing w:val="-6"/>
          <w:sz w:val="24"/>
        </w:rPr>
        <w:t>本表所指的管理关系仅限于直接管理关系，不包括间接的管理关系。</w:t>
      </w:r>
    </w:p>
    <w:p w14:paraId="281A5C50">
      <w:pPr>
        <w:snapToGrid w:val="0"/>
        <w:spacing w:line="300" w:lineRule="auto"/>
        <w:ind w:firstLine="480" w:firstLineChars="200"/>
        <w:jc w:val="left"/>
        <w:rPr>
          <w:rFonts w:ascii="宋体" w:hAnsi="宋体"/>
          <w:color w:val="auto"/>
          <w:sz w:val="24"/>
        </w:rPr>
      </w:pPr>
      <w:r>
        <w:rPr>
          <w:rFonts w:hint="eastAsia" w:ascii="宋体" w:hAnsi="宋体"/>
          <w:color w:val="auto"/>
          <w:sz w:val="24"/>
        </w:rPr>
        <w:t>3.供应商不存在直接管理关系的，则填“无”。</w:t>
      </w:r>
    </w:p>
    <w:p w14:paraId="4144C584">
      <w:pPr>
        <w:snapToGrid w:val="0"/>
        <w:spacing w:before="50" w:after="50" w:line="300" w:lineRule="auto"/>
        <w:ind w:left="-6" w:leftChars="-15" w:right="-817" w:rightChars="-389" w:hanging="25" w:hangingChars="12"/>
        <w:jc w:val="left"/>
        <w:rPr>
          <w:rFonts w:ascii="宋体" w:hAnsi="宋体"/>
          <w:b/>
          <w:bCs/>
          <w:color w:val="auto"/>
          <w:szCs w:val="21"/>
        </w:rPr>
      </w:pPr>
    </w:p>
    <w:p w14:paraId="2BA8EC51">
      <w:pPr>
        <w:snapToGrid w:val="0"/>
        <w:spacing w:before="50" w:after="50" w:line="300" w:lineRule="auto"/>
        <w:ind w:left="-6" w:leftChars="-15" w:right="-817" w:rightChars="-389" w:hanging="25" w:hangingChars="12"/>
        <w:jc w:val="left"/>
        <w:rPr>
          <w:rFonts w:ascii="宋体" w:hAnsi="宋体"/>
          <w:b/>
          <w:bCs/>
          <w:color w:val="auto"/>
          <w:szCs w:val="21"/>
        </w:rPr>
      </w:pPr>
    </w:p>
    <w:p w14:paraId="10D5E518">
      <w:pPr>
        <w:snapToGrid w:val="0"/>
        <w:spacing w:before="50" w:after="50" w:line="300" w:lineRule="auto"/>
        <w:ind w:left="-6" w:leftChars="-15" w:right="-817" w:rightChars="-389" w:hanging="25" w:hangingChars="12"/>
        <w:jc w:val="left"/>
        <w:rPr>
          <w:rFonts w:ascii="宋体" w:hAnsi="宋体"/>
          <w:b/>
          <w:bCs/>
          <w:color w:val="auto"/>
          <w:szCs w:val="21"/>
        </w:rPr>
      </w:pPr>
      <w:r>
        <w:rPr>
          <w:rFonts w:hint="eastAsia" w:ascii="宋体" w:hAnsi="宋体"/>
          <w:b/>
          <w:bCs/>
          <w:color w:val="auto"/>
          <w:szCs w:val="21"/>
        </w:rPr>
        <w:t>法定代表人或者委托代理人（签字/电子签名）：</w:t>
      </w:r>
    </w:p>
    <w:p w14:paraId="02D1B025">
      <w:pPr>
        <w:snapToGrid w:val="0"/>
        <w:spacing w:before="50" w:after="50" w:line="300" w:lineRule="auto"/>
        <w:ind w:left="-6" w:leftChars="-15" w:right="-817" w:rightChars="-389" w:hanging="25" w:hangingChars="12"/>
        <w:jc w:val="left"/>
        <w:rPr>
          <w:rFonts w:ascii="宋体" w:hAnsi="宋体"/>
          <w:b/>
          <w:bCs/>
          <w:color w:val="auto"/>
          <w:szCs w:val="21"/>
        </w:rPr>
      </w:pPr>
      <w:r>
        <w:rPr>
          <w:rFonts w:hint="eastAsia" w:ascii="宋体" w:hAnsi="宋体"/>
          <w:b/>
          <w:bCs/>
          <w:color w:val="auto"/>
          <w:szCs w:val="21"/>
        </w:rPr>
        <w:t>投标人名称（公章或电子签章）：</w:t>
      </w:r>
    </w:p>
    <w:p w14:paraId="24DE3AB9">
      <w:pPr>
        <w:snapToGrid w:val="0"/>
        <w:spacing w:before="50" w:after="50" w:line="300" w:lineRule="auto"/>
        <w:ind w:left="-6" w:leftChars="-15" w:right="-817" w:rightChars="-389" w:hanging="25" w:hangingChars="12"/>
        <w:rPr>
          <w:rFonts w:ascii="宋体" w:hAnsi="宋体"/>
          <w:b/>
          <w:color w:val="auto"/>
          <w:sz w:val="24"/>
          <w:szCs w:val="20"/>
        </w:rPr>
      </w:pPr>
      <w:r>
        <w:rPr>
          <w:rFonts w:hint="eastAsia" w:ascii="宋体" w:hAnsi="宋体"/>
          <w:b/>
          <w:bCs/>
          <w:color w:val="auto"/>
          <w:szCs w:val="21"/>
        </w:rPr>
        <w:t>日期：    年   月   日</w:t>
      </w:r>
    </w:p>
    <w:p w14:paraId="0C4549E0">
      <w:pPr>
        <w:snapToGrid w:val="0"/>
        <w:spacing w:beforeLines="50" w:after="50"/>
        <w:jc w:val="left"/>
        <w:rPr>
          <w:rFonts w:ascii="宋体" w:hAnsi="宋体"/>
          <w:b/>
          <w:color w:val="auto"/>
          <w:sz w:val="24"/>
          <w:szCs w:val="20"/>
        </w:rPr>
      </w:pPr>
      <w:r>
        <w:rPr>
          <w:rFonts w:ascii="宋体" w:hAnsi="宋体"/>
          <w:b/>
          <w:color w:val="auto"/>
          <w:sz w:val="24"/>
        </w:rPr>
        <w:br w:type="page"/>
      </w:r>
      <w:r>
        <w:rPr>
          <w:rFonts w:hint="eastAsia" w:ascii="宋体" w:hAnsi="宋体"/>
          <w:b/>
          <w:color w:val="auto"/>
          <w:sz w:val="24"/>
        </w:rPr>
        <w:t>6.投标声明</w:t>
      </w:r>
    </w:p>
    <w:p w14:paraId="0A1AF13C">
      <w:pPr>
        <w:snapToGrid w:val="0"/>
        <w:spacing w:before="50" w:afterLines="50"/>
        <w:jc w:val="left"/>
        <w:rPr>
          <w:rFonts w:ascii="宋体" w:hAnsi="宋体"/>
          <w:color w:val="auto"/>
        </w:rPr>
      </w:pPr>
    </w:p>
    <w:p w14:paraId="1CAC86C5">
      <w:pPr>
        <w:snapToGrid w:val="0"/>
        <w:spacing w:before="50" w:afterLines="50"/>
        <w:jc w:val="center"/>
        <w:rPr>
          <w:rFonts w:ascii="宋体" w:hAnsi="宋体"/>
          <w:b/>
          <w:color w:val="auto"/>
          <w:sz w:val="24"/>
        </w:rPr>
      </w:pPr>
      <w:r>
        <w:rPr>
          <w:rFonts w:hint="eastAsia" w:ascii="宋体" w:hAnsi="宋体"/>
          <w:b/>
          <w:color w:val="auto"/>
          <w:sz w:val="24"/>
        </w:rPr>
        <w:t>投标声明</w:t>
      </w:r>
    </w:p>
    <w:p w14:paraId="5DA1C913">
      <w:pPr>
        <w:snapToGrid w:val="0"/>
        <w:spacing w:before="50" w:afterLines="50" w:line="360" w:lineRule="auto"/>
        <w:jc w:val="left"/>
        <w:rPr>
          <w:color w:val="auto"/>
          <w:szCs w:val="21"/>
        </w:rPr>
      </w:pPr>
      <w:r>
        <w:rPr>
          <w:rFonts w:hint="eastAsia"/>
          <w:color w:val="auto"/>
          <w:szCs w:val="21"/>
        </w:rPr>
        <w:t>（采购人名称）：</w:t>
      </w:r>
    </w:p>
    <w:p w14:paraId="6D8C31BE">
      <w:pPr>
        <w:snapToGrid w:val="0"/>
        <w:spacing w:before="50" w:afterLines="50" w:line="360" w:lineRule="auto"/>
        <w:ind w:firstLine="405"/>
        <w:jc w:val="left"/>
        <w:rPr>
          <w:rFonts w:ascii="宋体" w:hAnsi="宋体"/>
          <w:color w:val="auto"/>
          <w:szCs w:val="21"/>
        </w:rPr>
      </w:pPr>
      <w:r>
        <w:rPr>
          <w:rFonts w:hint="eastAsia" w:ascii="宋体" w:hAnsi="宋体"/>
          <w:color w:val="auto"/>
          <w:szCs w:val="21"/>
        </w:rPr>
        <w:t>我方参加贵单位组织项目</w:t>
      </w:r>
      <w:r>
        <w:rPr>
          <w:rFonts w:hint="eastAsia" w:ascii="宋体" w:hAnsi="宋体"/>
          <w:color w:val="auto"/>
          <w:szCs w:val="21"/>
          <w:u w:val="single"/>
          <w:lang w:val="en-US" w:eastAsia="zh-CN"/>
        </w:rPr>
        <w:t xml:space="preserve">  （项目名称）  </w:t>
      </w:r>
      <w:r>
        <w:rPr>
          <w:rFonts w:hint="eastAsia" w:ascii="宋体" w:hAnsi="宋体"/>
          <w:color w:val="auto"/>
          <w:szCs w:val="21"/>
        </w:rPr>
        <w:t>（项目编号：</w:t>
      </w:r>
      <w:r>
        <w:rPr>
          <w:rFonts w:hint="eastAsia" w:ascii="宋体" w:hAnsi="宋体"/>
          <w:color w:val="auto"/>
          <w:szCs w:val="21"/>
          <w:u w:val="single"/>
          <w:lang w:val="en-US" w:eastAsia="zh-CN"/>
        </w:rPr>
        <w:t xml:space="preserve">            </w:t>
      </w:r>
      <w:r>
        <w:rPr>
          <w:rFonts w:hint="eastAsia" w:ascii="宋体" w:hAnsi="宋体" w:cs="宋体"/>
          <w:color w:val="auto"/>
          <w:sz w:val="21"/>
          <w:szCs w:val="21"/>
          <w:highlight w:val="none"/>
          <w:u w:val="none"/>
          <w:lang w:val="en-US" w:eastAsia="zh-CN"/>
        </w:rPr>
        <w:t>标项：</w:t>
      </w:r>
      <w:r>
        <w:rPr>
          <w:rFonts w:hint="eastAsia" w:ascii="宋体" w:hAnsi="宋体" w:cs="宋体"/>
          <w:color w:val="auto"/>
          <w:sz w:val="21"/>
          <w:szCs w:val="21"/>
          <w:highlight w:val="none"/>
          <w:u w:val="single"/>
          <w:lang w:val="en-US" w:eastAsia="zh-CN"/>
        </w:rPr>
        <w:t xml:space="preserve">        </w:t>
      </w:r>
      <w:r>
        <w:rPr>
          <w:rFonts w:hint="eastAsia" w:ascii="宋体" w:hAnsi="宋体"/>
          <w:color w:val="auto"/>
          <w:szCs w:val="21"/>
          <w:u w:val="single"/>
          <w:lang w:val="en-US" w:eastAsia="zh-CN"/>
        </w:rPr>
        <w:t xml:space="preserve"> </w:t>
      </w:r>
      <w:r>
        <w:rPr>
          <w:rFonts w:hint="eastAsia" w:ascii="宋体" w:hAnsi="宋体"/>
          <w:color w:val="auto"/>
          <w:szCs w:val="21"/>
        </w:rPr>
        <w:t>）的政府采购活动。我方在此郑重声明：</w:t>
      </w:r>
    </w:p>
    <w:p w14:paraId="1000DCCB">
      <w:pPr>
        <w:snapToGrid w:val="0"/>
        <w:spacing w:before="50" w:afterLines="50" w:line="324" w:lineRule="auto"/>
        <w:ind w:firstLine="420" w:firstLineChars="200"/>
        <w:jc w:val="left"/>
        <w:rPr>
          <w:rFonts w:ascii="宋体" w:hAnsi="宋体"/>
          <w:color w:val="auto"/>
          <w:szCs w:val="21"/>
        </w:rPr>
      </w:pPr>
      <w:r>
        <w:rPr>
          <w:rFonts w:hint="eastAsia" w:ascii="宋体" w:hAnsi="宋体"/>
          <w:color w:val="auto"/>
          <w:szCs w:val="21"/>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00C917F2">
      <w:pPr>
        <w:snapToGrid w:val="0"/>
        <w:spacing w:before="50" w:afterLines="50" w:line="324" w:lineRule="auto"/>
        <w:ind w:firstLine="420" w:firstLineChars="200"/>
        <w:jc w:val="left"/>
        <w:rPr>
          <w:rFonts w:ascii="宋体" w:hAnsi="宋体"/>
          <w:color w:val="auto"/>
          <w:szCs w:val="21"/>
        </w:rPr>
      </w:pPr>
      <w:r>
        <w:rPr>
          <w:rFonts w:hint="eastAsia" w:ascii="宋体" w:hAnsi="宋体"/>
          <w:color w:val="auto"/>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1B373D56">
      <w:pPr>
        <w:snapToGrid w:val="0"/>
        <w:spacing w:before="50" w:afterLines="50" w:line="324" w:lineRule="auto"/>
        <w:ind w:firstLine="420" w:firstLineChars="200"/>
        <w:jc w:val="left"/>
        <w:rPr>
          <w:rFonts w:ascii="宋体" w:hAnsi="宋体"/>
          <w:color w:val="auto"/>
          <w:szCs w:val="21"/>
        </w:rPr>
      </w:pPr>
      <w:r>
        <w:rPr>
          <w:rFonts w:hint="eastAsia" w:ascii="宋体" w:hAnsi="宋体"/>
          <w:color w:val="auto"/>
          <w:szCs w:val="21"/>
        </w:rPr>
        <w:t>3.我方承诺符合《中华人民共和国政府采购法》第二十二条规定：</w:t>
      </w:r>
    </w:p>
    <w:p w14:paraId="0828893E">
      <w:pPr>
        <w:snapToGrid w:val="0"/>
        <w:spacing w:before="50" w:afterLines="50" w:line="324" w:lineRule="auto"/>
        <w:ind w:firstLine="420" w:firstLineChars="200"/>
        <w:jc w:val="left"/>
        <w:rPr>
          <w:rFonts w:ascii="宋体" w:hAnsi="宋体"/>
          <w:color w:val="auto"/>
          <w:szCs w:val="21"/>
        </w:rPr>
      </w:pPr>
      <w:r>
        <w:rPr>
          <w:rFonts w:hint="eastAsia" w:ascii="宋体" w:hAnsi="宋体"/>
          <w:color w:val="auto"/>
          <w:szCs w:val="21"/>
        </w:rPr>
        <w:t>（一）具有独立承担民事责任的能力；</w:t>
      </w:r>
    </w:p>
    <w:p w14:paraId="0B3F3186">
      <w:pPr>
        <w:snapToGrid w:val="0"/>
        <w:spacing w:before="50" w:afterLines="50" w:line="324" w:lineRule="auto"/>
        <w:ind w:firstLine="420" w:firstLineChars="200"/>
        <w:jc w:val="left"/>
        <w:rPr>
          <w:rFonts w:ascii="宋体" w:hAnsi="宋体"/>
          <w:color w:val="auto"/>
          <w:szCs w:val="21"/>
        </w:rPr>
      </w:pPr>
      <w:r>
        <w:rPr>
          <w:rFonts w:hint="eastAsia" w:ascii="宋体" w:hAnsi="宋体"/>
          <w:color w:val="auto"/>
          <w:szCs w:val="21"/>
        </w:rPr>
        <w:t>（二）具有良好的商业信誉和健全的财务会计制度；</w:t>
      </w:r>
    </w:p>
    <w:p w14:paraId="3BDD1E3F">
      <w:pPr>
        <w:snapToGrid w:val="0"/>
        <w:spacing w:before="50" w:afterLines="50" w:line="324" w:lineRule="auto"/>
        <w:ind w:firstLine="420" w:firstLineChars="200"/>
        <w:jc w:val="left"/>
        <w:rPr>
          <w:rFonts w:ascii="宋体" w:hAnsi="宋体"/>
          <w:color w:val="auto"/>
          <w:szCs w:val="21"/>
        </w:rPr>
      </w:pPr>
      <w:r>
        <w:rPr>
          <w:rFonts w:hint="eastAsia" w:ascii="宋体" w:hAnsi="宋体"/>
          <w:color w:val="auto"/>
          <w:szCs w:val="21"/>
        </w:rPr>
        <w:t>（三）具有履行合同所必需的设备和专业技术能力；</w:t>
      </w:r>
    </w:p>
    <w:p w14:paraId="2194E521">
      <w:pPr>
        <w:snapToGrid w:val="0"/>
        <w:spacing w:before="50" w:afterLines="50" w:line="324" w:lineRule="auto"/>
        <w:ind w:firstLine="420" w:firstLineChars="200"/>
        <w:jc w:val="left"/>
        <w:rPr>
          <w:rFonts w:ascii="宋体" w:hAnsi="宋体"/>
          <w:color w:val="auto"/>
          <w:szCs w:val="21"/>
        </w:rPr>
      </w:pPr>
      <w:r>
        <w:rPr>
          <w:rFonts w:hint="eastAsia" w:ascii="宋体" w:hAnsi="宋体"/>
          <w:color w:val="auto"/>
          <w:szCs w:val="21"/>
        </w:rPr>
        <w:t>（四）有依法缴纳税收和社会保障资金的良好记录；</w:t>
      </w:r>
    </w:p>
    <w:p w14:paraId="3FA3B49D">
      <w:pPr>
        <w:snapToGrid w:val="0"/>
        <w:spacing w:before="50" w:afterLines="50" w:line="324" w:lineRule="auto"/>
        <w:ind w:firstLine="420" w:firstLineChars="200"/>
        <w:jc w:val="left"/>
        <w:rPr>
          <w:rFonts w:ascii="宋体" w:hAnsi="宋体"/>
          <w:color w:val="auto"/>
          <w:szCs w:val="21"/>
        </w:rPr>
      </w:pPr>
      <w:r>
        <w:rPr>
          <w:rFonts w:hint="eastAsia" w:ascii="宋体" w:hAnsi="宋体"/>
          <w:color w:val="auto"/>
          <w:szCs w:val="21"/>
        </w:rPr>
        <w:t>（五）参加政府采购活动前三年内，在经营活动中没有重大违法记录；</w:t>
      </w:r>
    </w:p>
    <w:p w14:paraId="635D27F9">
      <w:pPr>
        <w:snapToGrid w:val="0"/>
        <w:spacing w:before="50" w:afterLines="50" w:line="324" w:lineRule="auto"/>
        <w:ind w:firstLine="420" w:firstLineChars="200"/>
        <w:jc w:val="left"/>
        <w:rPr>
          <w:rFonts w:ascii="宋体" w:hAnsi="宋体"/>
          <w:color w:val="auto"/>
          <w:szCs w:val="21"/>
        </w:rPr>
      </w:pPr>
      <w:r>
        <w:rPr>
          <w:rFonts w:hint="eastAsia" w:ascii="宋体" w:hAnsi="宋体"/>
          <w:color w:val="auto"/>
          <w:szCs w:val="21"/>
        </w:rPr>
        <w:t>（六）法律、行政法规规定的其他条件。</w:t>
      </w:r>
    </w:p>
    <w:p w14:paraId="3F66A0A1">
      <w:pPr>
        <w:snapToGrid w:val="0"/>
        <w:spacing w:before="50" w:afterLines="50" w:line="324" w:lineRule="auto"/>
        <w:ind w:firstLine="420" w:firstLineChars="200"/>
        <w:jc w:val="left"/>
        <w:rPr>
          <w:rFonts w:ascii="宋体" w:hAnsi="宋体"/>
          <w:color w:val="auto"/>
          <w:szCs w:val="21"/>
        </w:rPr>
      </w:pPr>
      <w:r>
        <w:rPr>
          <w:rFonts w:hint="eastAsia" w:ascii="宋体" w:hAnsi="宋体"/>
          <w:color w:val="auto"/>
          <w:szCs w:val="21"/>
        </w:rPr>
        <w:t>4.以上事项如有虚假或者隐瞒，我方愿意承担一切后果，并不再寻求任何旨在减轻或者免除法律责任的辩解。</w:t>
      </w:r>
    </w:p>
    <w:p w14:paraId="435E97C3">
      <w:pPr>
        <w:snapToGrid w:val="0"/>
        <w:spacing w:before="50" w:afterLines="50" w:line="324" w:lineRule="auto"/>
        <w:jc w:val="left"/>
        <w:rPr>
          <w:rFonts w:ascii="宋体" w:hAnsi="宋体"/>
          <w:color w:val="auto"/>
          <w:szCs w:val="21"/>
        </w:rPr>
      </w:pPr>
      <w:r>
        <w:rPr>
          <w:rFonts w:hint="eastAsia" w:ascii="宋体" w:hAnsi="宋体"/>
          <w:color w:val="auto"/>
          <w:szCs w:val="21"/>
        </w:rPr>
        <w:t xml:space="preserve">    特此承诺。</w:t>
      </w:r>
    </w:p>
    <w:p w14:paraId="13854867">
      <w:pPr>
        <w:snapToGrid w:val="0"/>
        <w:spacing w:before="50" w:afterLines="50" w:line="360" w:lineRule="auto"/>
        <w:jc w:val="left"/>
        <w:rPr>
          <w:rFonts w:ascii="宋体" w:hAnsi="宋体"/>
          <w:b/>
          <w:color w:val="auto"/>
          <w:szCs w:val="21"/>
        </w:rPr>
      </w:pPr>
      <w:r>
        <w:rPr>
          <w:rFonts w:hint="eastAsia" w:ascii="宋体" w:hAnsi="宋体"/>
          <w:b/>
          <w:color w:val="auto"/>
          <w:szCs w:val="21"/>
        </w:rPr>
        <w:t>注：如为联合体投标，盖章处须加盖联合体各方公章并由联合体各方法定代表人分别签署，否则投标无效。</w:t>
      </w:r>
    </w:p>
    <w:p w14:paraId="44C312CE">
      <w:pPr>
        <w:snapToGrid w:val="0"/>
        <w:spacing w:before="50" w:after="50" w:line="300" w:lineRule="auto"/>
        <w:ind w:left="-6" w:leftChars="-15" w:right="-817" w:rightChars="-389" w:hanging="25" w:hangingChars="12"/>
        <w:jc w:val="left"/>
        <w:rPr>
          <w:rFonts w:ascii="宋体" w:hAnsi="宋体"/>
          <w:b/>
          <w:bCs/>
          <w:color w:val="auto"/>
          <w:szCs w:val="21"/>
        </w:rPr>
      </w:pPr>
    </w:p>
    <w:p w14:paraId="679A5DF2">
      <w:pPr>
        <w:snapToGrid w:val="0"/>
        <w:spacing w:before="50" w:after="50" w:line="300" w:lineRule="auto"/>
        <w:ind w:left="-6" w:leftChars="-15" w:right="-817" w:rightChars="-389" w:hanging="25" w:hangingChars="12"/>
        <w:jc w:val="left"/>
        <w:rPr>
          <w:rFonts w:ascii="宋体" w:hAnsi="宋体"/>
          <w:b/>
          <w:bCs/>
          <w:color w:val="auto"/>
          <w:szCs w:val="21"/>
        </w:rPr>
      </w:pPr>
      <w:r>
        <w:rPr>
          <w:rFonts w:hint="eastAsia" w:ascii="宋体" w:hAnsi="宋体"/>
          <w:b/>
          <w:bCs/>
          <w:color w:val="auto"/>
          <w:szCs w:val="21"/>
        </w:rPr>
        <w:t>法定代表人或者委托代理人（签字/电子签名）：</w:t>
      </w:r>
    </w:p>
    <w:p w14:paraId="03FE3332">
      <w:pPr>
        <w:snapToGrid w:val="0"/>
        <w:spacing w:before="50" w:after="50" w:line="300" w:lineRule="auto"/>
        <w:ind w:left="-6" w:leftChars="-15" w:right="-817" w:rightChars="-389" w:hanging="25" w:hangingChars="12"/>
        <w:jc w:val="left"/>
        <w:rPr>
          <w:rFonts w:ascii="宋体" w:hAnsi="宋体"/>
          <w:b/>
          <w:bCs/>
          <w:color w:val="auto"/>
          <w:szCs w:val="21"/>
        </w:rPr>
      </w:pPr>
      <w:r>
        <w:rPr>
          <w:rFonts w:hint="eastAsia" w:ascii="宋体" w:hAnsi="宋体"/>
          <w:b/>
          <w:bCs/>
          <w:color w:val="auto"/>
          <w:szCs w:val="21"/>
        </w:rPr>
        <w:t>投标人名称（公章或电子签章）：</w:t>
      </w:r>
    </w:p>
    <w:p w14:paraId="53F99876">
      <w:pPr>
        <w:snapToGrid w:val="0"/>
        <w:spacing w:before="50" w:after="50" w:line="300" w:lineRule="auto"/>
        <w:ind w:left="-6" w:leftChars="-15" w:right="-817" w:rightChars="-389" w:hanging="25" w:hangingChars="12"/>
        <w:jc w:val="left"/>
        <w:rPr>
          <w:rFonts w:ascii="宋体" w:hAnsi="宋体"/>
          <w:color w:val="auto"/>
          <w:sz w:val="20"/>
          <w:szCs w:val="22"/>
        </w:rPr>
      </w:pPr>
      <w:r>
        <w:rPr>
          <w:rFonts w:hint="eastAsia" w:ascii="宋体" w:hAnsi="宋体"/>
          <w:b/>
          <w:bCs/>
          <w:color w:val="auto"/>
          <w:szCs w:val="21"/>
        </w:rPr>
        <w:t>日期：    年   月   日</w:t>
      </w:r>
    </w:p>
    <w:p w14:paraId="4BBDE208">
      <w:pPr>
        <w:snapToGrid w:val="0"/>
        <w:spacing w:before="50" w:afterLines="50"/>
        <w:jc w:val="left"/>
        <w:rPr>
          <w:rFonts w:ascii="宋体" w:hAnsi="宋体"/>
          <w:color w:val="auto"/>
          <w:sz w:val="22"/>
          <w:szCs w:val="22"/>
        </w:rPr>
      </w:pPr>
    </w:p>
    <w:p w14:paraId="7993A8AB">
      <w:pPr>
        <w:snapToGrid w:val="0"/>
        <w:spacing w:beforeLines="50" w:after="50" w:line="360" w:lineRule="auto"/>
        <w:jc w:val="center"/>
        <w:outlineLvl w:val="1"/>
        <w:rPr>
          <w:rFonts w:ascii="宋体" w:hAnsi="宋体"/>
          <w:b/>
          <w:bCs/>
          <w:color w:val="auto"/>
          <w:sz w:val="28"/>
          <w:szCs w:val="28"/>
        </w:rPr>
      </w:pPr>
      <w:r>
        <w:rPr>
          <w:rFonts w:ascii="宋体" w:hAnsi="宋体"/>
          <w:color w:val="auto"/>
          <w:sz w:val="22"/>
          <w:szCs w:val="22"/>
        </w:rPr>
        <w:br w:type="page"/>
      </w:r>
      <w:bookmarkStart w:id="166" w:name="_Toc5155"/>
      <w:bookmarkStart w:id="167" w:name="_Toc19686838"/>
      <w:r>
        <w:rPr>
          <w:rFonts w:hint="eastAsia" w:ascii="宋体" w:hAnsi="宋体"/>
          <w:b/>
          <w:bCs/>
          <w:color w:val="auto"/>
          <w:sz w:val="28"/>
          <w:szCs w:val="28"/>
        </w:rPr>
        <w:t>第四节 商务技术文件格式</w:t>
      </w:r>
      <w:bookmarkEnd w:id="166"/>
      <w:bookmarkEnd w:id="167"/>
    </w:p>
    <w:p w14:paraId="0119C737">
      <w:pPr>
        <w:snapToGrid w:val="0"/>
        <w:spacing w:beforeLines="50" w:after="50"/>
        <w:rPr>
          <w:rFonts w:ascii="宋体" w:hAnsi="宋体"/>
          <w:color w:val="auto"/>
          <w:sz w:val="24"/>
        </w:rPr>
      </w:pPr>
    </w:p>
    <w:p w14:paraId="655997EF">
      <w:pPr>
        <w:pStyle w:val="12"/>
        <w:rPr>
          <w:rFonts w:ascii="宋体" w:hAnsi="宋体"/>
          <w:color w:val="auto"/>
        </w:rPr>
      </w:pPr>
    </w:p>
    <w:p w14:paraId="0C6EB5EF">
      <w:pPr>
        <w:rPr>
          <w:rFonts w:ascii="宋体" w:hAnsi="宋体"/>
          <w:color w:val="auto"/>
          <w:sz w:val="24"/>
        </w:rPr>
      </w:pPr>
    </w:p>
    <w:p w14:paraId="5F29812F">
      <w:pPr>
        <w:pStyle w:val="12"/>
        <w:rPr>
          <w:rFonts w:ascii="宋体" w:hAnsi="宋体"/>
          <w:color w:val="auto"/>
        </w:rPr>
      </w:pPr>
    </w:p>
    <w:p w14:paraId="40F98191">
      <w:pPr>
        <w:rPr>
          <w:color w:val="auto"/>
        </w:rPr>
      </w:pPr>
    </w:p>
    <w:p w14:paraId="330DF449">
      <w:pPr>
        <w:snapToGrid w:val="0"/>
        <w:spacing w:beforeLines="50" w:after="50"/>
        <w:rPr>
          <w:rFonts w:ascii="宋体" w:hAnsi="宋体"/>
          <w:bCs/>
          <w:color w:val="auto"/>
          <w:sz w:val="32"/>
          <w:szCs w:val="20"/>
        </w:rPr>
      </w:pPr>
      <w:r>
        <w:rPr>
          <w:rFonts w:hint="eastAsia" w:ascii="宋体" w:hAnsi="宋体" w:cs="宋体"/>
          <w:bCs/>
          <w:color w:val="auto"/>
        </w:rPr>
        <w:t>电子投标文件</w:t>
      </w:r>
    </w:p>
    <w:p w14:paraId="38EC0AFA">
      <w:pPr>
        <w:snapToGrid w:val="0"/>
        <w:spacing w:beforeLines="50" w:after="50"/>
        <w:rPr>
          <w:rFonts w:ascii="宋体" w:hAnsi="宋体"/>
          <w:color w:val="auto"/>
          <w:sz w:val="24"/>
          <w:szCs w:val="20"/>
        </w:rPr>
      </w:pPr>
    </w:p>
    <w:p w14:paraId="0B2B1820">
      <w:pPr>
        <w:pStyle w:val="12"/>
        <w:rPr>
          <w:rFonts w:ascii="宋体" w:hAnsi="宋体"/>
          <w:color w:val="auto"/>
          <w:szCs w:val="20"/>
        </w:rPr>
      </w:pPr>
    </w:p>
    <w:p w14:paraId="62D50B06">
      <w:pPr>
        <w:rPr>
          <w:color w:val="auto"/>
        </w:rPr>
      </w:pPr>
    </w:p>
    <w:p w14:paraId="45B5809E">
      <w:pPr>
        <w:snapToGrid w:val="0"/>
        <w:spacing w:beforeLines="50" w:after="50"/>
        <w:jc w:val="center"/>
        <w:rPr>
          <w:rFonts w:ascii="宋体" w:hAnsi="宋体"/>
          <w:b/>
          <w:color w:val="auto"/>
          <w:sz w:val="24"/>
          <w:szCs w:val="20"/>
        </w:rPr>
      </w:pPr>
      <w:r>
        <w:rPr>
          <w:rFonts w:hint="eastAsia" w:ascii="宋体" w:hAnsi="宋体"/>
          <w:b/>
          <w:color w:val="auto"/>
          <w:sz w:val="32"/>
          <w:szCs w:val="32"/>
        </w:rPr>
        <w:t>商务技术文件</w:t>
      </w:r>
    </w:p>
    <w:p w14:paraId="5AAEEF03">
      <w:pPr>
        <w:snapToGrid w:val="0"/>
        <w:spacing w:beforeLines="50" w:after="50"/>
        <w:rPr>
          <w:rFonts w:ascii="宋体" w:hAnsi="宋体"/>
          <w:bCs/>
          <w:color w:val="auto"/>
          <w:sz w:val="24"/>
          <w:szCs w:val="20"/>
        </w:rPr>
      </w:pPr>
    </w:p>
    <w:p w14:paraId="46B8F163">
      <w:pPr>
        <w:snapToGrid w:val="0"/>
        <w:spacing w:beforeLines="50" w:after="50"/>
        <w:ind w:firstLine="540" w:firstLineChars="225"/>
        <w:rPr>
          <w:rFonts w:ascii="宋体" w:hAnsi="宋体"/>
          <w:bCs/>
          <w:color w:val="auto"/>
          <w:sz w:val="24"/>
        </w:rPr>
      </w:pPr>
      <w:r>
        <w:rPr>
          <w:rFonts w:hint="eastAsia" w:ascii="宋体" w:hAnsi="宋体"/>
          <w:bCs/>
          <w:color w:val="auto"/>
          <w:sz w:val="24"/>
        </w:rPr>
        <w:t>项目名称：</w:t>
      </w:r>
    </w:p>
    <w:p w14:paraId="62EC485A">
      <w:pPr>
        <w:snapToGrid w:val="0"/>
        <w:spacing w:beforeLines="50" w:after="50"/>
        <w:ind w:firstLine="540" w:firstLineChars="225"/>
        <w:rPr>
          <w:rFonts w:ascii="宋体" w:hAnsi="宋体"/>
          <w:bCs/>
          <w:color w:val="auto"/>
          <w:sz w:val="24"/>
          <w:szCs w:val="20"/>
        </w:rPr>
      </w:pPr>
    </w:p>
    <w:p w14:paraId="45A995B0">
      <w:pPr>
        <w:snapToGrid w:val="0"/>
        <w:spacing w:beforeLines="50" w:after="50"/>
        <w:ind w:firstLine="540" w:firstLineChars="225"/>
        <w:rPr>
          <w:rFonts w:ascii="宋体" w:hAnsi="宋体"/>
          <w:bCs/>
          <w:color w:val="auto"/>
          <w:sz w:val="24"/>
        </w:rPr>
      </w:pPr>
      <w:r>
        <w:rPr>
          <w:rFonts w:hint="eastAsia" w:ascii="宋体" w:hAnsi="宋体"/>
          <w:bCs/>
          <w:color w:val="auto"/>
          <w:sz w:val="24"/>
        </w:rPr>
        <w:t>项目编号：</w:t>
      </w:r>
    </w:p>
    <w:p w14:paraId="19938CF0">
      <w:pPr>
        <w:snapToGrid w:val="0"/>
        <w:spacing w:beforeLines="50" w:after="50"/>
        <w:ind w:firstLine="540" w:firstLineChars="225"/>
        <w:rPr>
          <w:rFonts w:ascii="宋体" w:hAnsi="宋体"/>
          <w:bCs/>
          <w:color w:val="auto"/>
          <w:sz w:val="24"/>
          <w:szCs w:val="20"/>
        </w:rPr>
      </w:pPr>
    </w:p>
    <w:p w14:paraId="4D773F03">
      <w:pPr>
        <w:snapToGrid w:val="0"/>
        <w:spacing w:beforeLines="50" w:after="50"/>
        <w:ind w:firstLine="540" w:firstLineChars="225"/>
        <w:rPr>
          <w:rFonts w:ascii="宋体" w:hAnsi="宋体"/>
          <w:bCs/>
          <w:color w:val="auto"/>
          <w:sz w:val="24"/>
        </w:rPr>
      </w:pPr>
      <w:r>
        <w:rPr>
          <w:rFonts w:hint="eastAsia" w:ascii="宋体" w:hAnsi="宋体"/>
          <w:bCs/>
          <w:color w:val="auto"/>
          <w:sz w:val="24"/>
        </w:rPr>
        <w:t>所投</w:t>
      </w:r>
      <w:r>
        <w:rPr>
          <w:rFonts w:hint="eastAsia" w:ascii="宋体" w:hAnsi="宋体"/>
          <w:bCs/>
          <w:color w:val="auto"/>
          <w:sz w:val="24"/>
          <w:lang w:eastAsia="zh-CN"/>
        </w:rPr>
        <w:t>标项</w:t>
      </w:r>
      <w:r>
        <w:rPr>
          <w:rFonts w:hint="eastAsia" w:ascii="宋体" w:hAnsi="宋体"/>
          <w:bCs/>
          <w:color w:val="auto"/>
          <w:sz w:val="24"/>
        </w:rPr>
        <w:t>：</w:t>
      </w:r>
    </w:p>
    <w:p w14:paraId="4E0501E8">
      <w:pPr>
        <w:snapToGrid w:val="0"/>
        <w:spacing w:beforeLines="50" w:after="50"/>
        <w:ind w:firstLine="540" w:firstLineChars="225"/>
        <w:rPr>
          <w:rFonts w:ascii="宋体" w:hAnsi="宋体"/>
          <w:bCs/>
          <w:color w:val="auto"/>
          <w:sz w:val="24"/>
          <w:szCs w:val="20"/>
        </w:rPr>
      </w:pPr>
    </w:p>
    <w:p w14:paraId="1C7F105C">
      <w:pPr>
        <w:pStyle w:val="7"/>
        <w:snapToGrid w:val="0"/>
        <w:spacing w:before="50" w:after="50"/>
        <w:ind w:firstLine="540" w:firstLineChars="225"/>
        <w:rPr>
          <w:rFonts w:ascii="宋体" w:hAnsi="宋体"/>
          <w:bCs/>
          <w:color w:val="auto"/>
          <w:sz w:val="24"/>
          <w:szCs w:val="24"/>
        </w:rPr>
      </w:pPr>
      <w:r>
        <w:rPr>
          <w:rFonts w:hint="eastAsia" w:ascii="宋体" w:hAnsi="宋体"/>
          <w:bCs/>
          <w:color w:val="auto"/>
          <w:sz w:val="24"/>
          <w:szCs w:val="24"/>
        </w:rPr>
        <w:t>投标人名称：</w:t>
      </w:r>
    </w:p>
    <w:p w14:paraId="391BD823">
      <w:pPr>
        <w:pStyle w:val="7"/>
        <w:snapToGrid w:val="0"/>
        <w:spacing w:before="50" w:after="50"/>
        <w:ind w:firstLine="540" w:firstLineChars="225"/>
        <w:rPr>
          <w:rFonts w:ascii="宋体" w:hAnsi="宋体"/>
          <w:bCs/>
          <w:color w:val="auto"/>
          <w:sz w:val="24"/>
          <w:szCs w:val="24"/>
        </w:rPr>
      </w:pPr>
    </w:p>
    <w:p w14:paraId="114B2BEE">
      <w:pPr>
        <w:pStyle w:val="7"/>
        <w:snapToGrid w:val="0"/>
        <w:spacing w:before="50" w:after="50"/>
        <w:ind w:firstLine="540" w:firstLineChars="225"/>
        <w:rPr>
          <w:rFonts w:ascii="宋体" w:hAnsi="宋体"/>
          <w:bCs/>
          <w:color w:val="auto"/>
          <w:sz w:val="24"/>
          <w:szCs w:val="24"/>
        </w:rPr>
      </w:pPr>
      <w:r>
        <w:rPr>
          <w:rFonts w:hint="eastAsia" w:ascii="宋体" w:hAnsi="宋体"/>
          <w:bCs/>
          <w:color w:val="auto"/>
          <w:sz w:val="24"/>
          <w:szCs w:val="24"/>
        </w:rPr>
        <w:t>投标人地址：</w:t>
      </w:r>
    </w:p>
    <w:p w14:paraId="5B4ED03C">
      <w:pPr>
        <w:pStyle w:val="7"/>
        <w:snapToGrid w:val="0"/>
        <w:spacing w:before="50" w:after="50"/>
        <w:ind w:firstLine="960" w:firstLineChars="400"/>
        <w:rPr>
          <w:rFonts w:ascii="宋体" w:hAnsi="宋体"/>
          <w:bCs/>
          <w:color w:val="auto"/>
          <w:sz w:val="24"/>
          <w:szCs w:val="24"/>
        </w:rPr>
      </w:pPr>
    </w:p>
    <w:p w14:paraId="6B176E5A">
      <w:pPr>
        <w:snapToGrid w:val="0"/>
        <w:spacing w:beforeLines="50" w:after="50"/>
        <w:ind w:firstLine="645"/>
        <w:rPr>
          <w:rFonts w:ascii="宋体" w:hAnsi="宋体"/>
          <w:color w:val="auto"/>
          <w:sz w:val="24"/>
        </w:rPr>
      </w:pPr>
      <w:r>
        <w:rPr>
          <w:rFonts w:hint="eastAsia" w:ascii="宋体" w:hAnsi="宋体"/>
          <w:color w:val="auto"/>
          <w:sz w:val="24"/>
        </w:rPr>
        <w:t xml:space="preserve">                        年  月  日</w:t>
      </w:r>
    </w:p>
    <w:p w14:paraId="3804DB81">
      <w:pPr>
        <w:snapToGrid w:val="0"/>
        <w:spacing w:beforeLines="50" w:after="50"/>
        <w:rPr>
          <w:rFonts w:ascii="宋体" w:hAnsi="宋体"/>
          <w:color w:val="auto"/>
          <w:sz w:val="24"/>
          <w:szCs w:val="20"/>
        </w:rPr>
      </w:pPr>
    </w:p>
    <w:p w14:paraId="3D45D2E0">
      <w:pPr>
        <w:snapToGrid w:val="0"/>
        <w:spacing w:line="360" w:lineRule="auto"/>
        <w:jc w:val="center"/>
        <w:rPr>
          <w:rFonts w:ascii="宋体" w:hAnsi="宋体"/>
          <w:b/>
          <w:bCs/>
          <w:color w:val="auto"/>
          <w:sz w:val="28"/>
          <w:szCs w:val="28"/>
        </w:rPr>
      </w:pPr>
      <w:r>
        <w:rPr>
          <w:rFonts w:ascii="宋体" w:hAnsi="宋体"/>
          <w:color w:val="auto"/>
          <w:sz w:val="24"/>
          <w:szCs w:val="20"/>
        </w:rPr>
        <w:br w:type="page"/>
      </w:r>
      <w:r>
        <w:rPr>
          <w:rFonts w:hint="eastAsia" w:ascii="宋体" w:hAnsi="宋体"/>
          <w:b/>
          <w:bCs/>
          <w:color w:val="auto"/>
          <w:sz w:val="28"/>
          <w:szCs w:val="28"/>
        </w:rPr>
        <w:t>商务技术文件目录</w:t>
      </w:r>
    </w:p>
    <w:p w14:paraId="60A686F8">
      <w:pPr>
        <w:snapToGrid w:val="0"/>
        <w:spacing w:before="50" w:afterLines="50" w:line="360" w:lineRule="auto"/>
        <w:jc w:val="center"/>
        <w:rPr>
          <w:rFonts w:ascii="微软雅黑" w:hAnsi="微软雅黑" w:eastAsia="微软雅黑"/>
          <w:b/>
          <w:bCs/>
          <w:color w:val="auto"/>
          <w:sz w:val="24"/>
        </w:rPr>
      </w:pPr>
      <w:r>
        <w:rPr>
          <w:rFonts w:hint="eastAsia" w:ascii="宋体" w:hAnsi="宋体"/>
          <w:color w:val="auto"/>
          <w:szCs w:val="21"/>
        </w:rPr>
        <w:t>根据招标文件规定及投标人提供的材料自行编写目录。</w:t>
      </w:r>
    </w:p>
    <w:p w14:paraId="571205A6">
      <w:pPr>
        <w:snapToGrid w:val="0"/>
        <w:spacing w:before="50" w:afterLines="50"/>
        <w:jc w:val="center"/>
        <w:rPr>
          <w:rFonts w:ascii="宋体" w:hAnsi="宋体"/>
          <w:color w:val="auto"/>
        </w:rPr>
      </w:pPr>
    </w:p>
    <w:p w14:paraId="71043C2C">
      <w:pPr>
        <w:snapToGrid w:val="0"/>
        <w:spacing w:beforeLines="50" w:after="50"/>
        <w:jc w:val="left"/>
        <w:rPr>
          <w:rFonts w:ascii="宋体" w:hAnsi="宋体"/>
          <w:b/>
          <w:color w:val="auto"/>
          <w:sz w:val="24"/>
        </w:rPr>
      </w:pPr>
      <w:r>
        <w:rPr>
          <w:rFonts w:ascii="宋体" w:hAnsi="宋体"/>
          <w:b/>
          <w:color w:val="auto"/>
          <w:sz w:val="24"/>
        </w:rPr>
        <w:br w:type="page"/>
      </w:r>
      <w:r>
        <w:rPr>
          <w:rFonts w:hint="eastAsia" w:ascii="宋体" w:hAnsi="宋体"/>
          <w:b/>
          <w:color w:val="auto"/>
          <w:sz w:val="24"/>
        </w:rPr>
        <w:t>1.投标人参加本项目无围标串标行为的承诺</w:t>
      </w:r>
    </w:p>
    <w:p w14:paraId="599A5141">
      <w:pPr>
        <w:snapToGrid w:val="0"/>
        <w:spacing w:beforeLines="50" w:after="50"/>
        <w:ind w:left="420"/>
        <w:jc w:val="left"/>
        <w:rPr>
          <w:rFonts w:ascii="宋体" w:hAnsi="宋体"/>
          <w:b/>
          <w:color w:val="auto"/>
          <w:sz w:val="24"/>
        </w:rPr>
      </w:pPr>
    </w:p>
    <w:p w14:paraId="5A42EB9E">
      <w:pPr>
        <w:snapToGrid w:val="0"/>
        <w:spacing w:beforeLines="50" w:after="50"/>
        <w:ind w:left="420"/>
        <w:jc w:val="center"/>
        <w:rPr>
          <w:rFonts w:ascii="宋体" w:hAnsi="宋体"/>
          <w:b/>
          <w:color w:val="auto"/>
          <w:sz w:val="24"/>
        </w:rPr>
      </w:pPr>
      <w:r>
        <w:rPr>
          <w:rFonts w:hint="eastAsia" w:ascii="宋体" w:hAnsi="宋体"/>
          <w:b/>
          <w:color w:val="auto"/>
          <w:sz w:val="24"/>
        </w:rPr>
        <w:t>投标人参加本项目无围标串标行为的承诺函</w:t>
      </w:r>
    </w:p>
    <w:p w14:paraId="3664C2E4">
      <w:pPr>
        <w:snapToGrid w:val="0"/>
        <w:spacing w:beforeLines="50" w:after="50" w:line="360" w:lineRule="auto"/>
        <w:jc w:val="left"/>
        <w:rPr>
          <w:rFonts w:ascii="宋体" w:hAnsi="宋体"/>
          <w:b/>
          <w:color w:val="auto"/>
          <w:szCs w:val="21"/>
        </w:rPr>
      </w:pPr>
      <w:r>
        <w:rPr>
          <w:rFonts w:hint="eastAsia" w:ascii="宋体" w:hAnsi="宋体"/>
          <w:b/>
          <w:color w:val="auto"/>
          <w:szCs w:val="21"/>
        </w:rPr>
        <w:t>一、我方承诺无下列相互串通投标的情形：</w:t>
      </w:r>
    </w:p>
    <w:p w14:paraId="2F576AEC">
      <w:pPr>
        <w:snapToGrid w:val="0"/>
        <w:spacing w:beforeLines="50" w:after="50" w:line="360" w:lineRule="auto"/>
        <w:ind w:firstLine="411" w:firstLineChars="196"/>
        <w:jc w:val="left"/>
        <w:rPr>
          <w:rFonts w:ascii="宋体" w:hAnsi="宋体"/>
          <w:color w:val="auto"/>
          <w:szCs w:val="21"/>
        </w:rPr>
      </w:pPr>
      <w:r>
        <w:rPr>
          <w:rFonts w:hint="eastAsia" w:ascii="宋体" w:hAnsi="宋体"/>
          <w:color w:val="auto"/>
          <w:szCs w:val="21"/>
        </w:rPr>
        <w:t>1.不同投标人的投标文件由同一单位或者个人编制；或者不同投标人报名的IP地址一致的；</w:t>
      </w:r>
    </w:p>
    <w:p w14:paraId="09B31CF3">
      <w:pPr>
        <w:snapToGrid w:val="0"/>
        <w:spacing w:beforeLines="50" w:after="50" w:line="360" w:lineRule="auto"/>
        <w:ind w:firstLine="411" w:firstLineChars="196"/>
        <w:jc w:val="left"/>
        <w:rPr>
          <w:rFonts w:ascii="宋体" w:hAnsi="宋体"/>
          <w:color w:val="auto"/>
          <w:szCs w:val="21"/>
        </w:rPr>
      </w:pPr>
      <w:r>
        <w:rPr>
          <w:rFonts w:hint="eastAsia" w:ascii="宋体" w:hAnsi="宋体"/>
          <w:color w:val="auto"/>
          <w:szCs w:val="21"/>
        </w:rPr>
        <w:t>2.不同投标人委托同一单位或者个人办理投标事宜；</w:t>
      </w:r>
    </w:p>
    <w:p w14:paraId="0ADF3447">
      <w:pPr>
        <w:snapToGrid w:val="0"/>
        <w:spacing w:beforeLines="50" w:after="50" w:line="360" w:lineRule="auto"/>
        <w:ind w:firstLine="411" w:firstLineChars="196"/>
        <w:jc w:val="left"/>
        <w:rPr>
          <w:rFonts w:ascii="宋体" w:hAnsi="宋体"/>
          <w:color w:val="auto"/>
          <w:szCs w:val="21"/>
        </w:rPr>
      </w:pPr>
      <w:r>
        <w:rPr>
          <w:rFonts w:hint="eastAsia" w:ascii="宋体" w:hAnsi="宋体"/>
          <w:color w:val="auto"/>
          <w:szCs w:val="21"/>
        </w:rPr>
        <w:t>3.不同的投标人的投标文件载明的项目管理员为同一个人；</w:t>
      </w:r>
    </w:p>
    <w:p w14:paraId="43FB50D3">
      <w:pPr>
        <w:snapToGrid w:val="0"/>
        <w:spacing w:beforeLines="50" w:after="50" w:line="360" w:lineRule="auto"/>
        <w:ind w:firstLine="411" w:firstLineChars="196"/>
        <w:jc w:val="left"/>
        <w:rPr>
          <w:rFonts w:ascii="宋体" w:hAnsi="宋体"/>
          <w:color w:val="auto"/>
          <w:szCs w:val="21"/>
        </w:rPr>
      </w:pPr>
      <w:r>
        <w:rPr>
          <w:rFonts w:hint="eastAsia" w:ascii="宋体" w:hAnsi="宋体"/>
          <w:color w:val="auto"/>
          <w:szCs w:val="21"/>
        </w:rPr>
        <w:t>4.不同投标人的投标文件异常一致或者投标报价呈规律性差异；</w:t>
      </w:r>
    </w:p>
    <w:p w14:paraId="596BAB3D">
      <w:pPr>
        <w:snapToGrid w:val="0"/>
        <w:spacing w:beforeLines="50" w:after="50" w:line="360" w:lineRule="auto"/>
        <w:ind w:firstLine="411" w:firstLineChars="196"/>
        <w:jc w:val="left"/>
        <w:rPr>
          <w:rFonts w:ascii="宋体" w:hAnsi="宋体"/>
          <w:color w:val="auto"/>
          <w:szCs w:val="21"/>
        </w:rPr>
      </w:pPr>
      <w:r>
        <w:rPr>
          <w:rFonts w:hint="eastAsia" w:ascii="宋体" w:hAnsi="宋体"/>
          <w:color w:val="auto"/>
          <w:szCs w:val="21"/>
        </w:rPr>
        <w:t>5.不同投标人的投标文件相互混装；</w:t>
      </w:r>
    </w:p>
    <w:p w14:paraId="7C90E333">
      <w:pPr>
        <w:snapToGrid w:val="0"/>
        <w:spacing w:beforeLines="50" w:after="50" w:line="360" w:lineRule="auto"/>
        <w:ind w:firstLine="411" w:firstLineChars="196"/>
        <w:jc w:val="left"/>
        <w:rPr>
          <w:rFonts w:ascii="宋体" w:hAnsi="宋体"/>
          <w:color w:val="auto"/>
          <w:szCs w:val="21"/>
        </w:rPr>
      </w:pPr>
      <w:r>
        <w:rPr>
          <w:rFonts w:hint="eastAsia" w:ascii="宋体" w:hAnsi="宋体"/>
          <w:color w:val="auto"/>
          <w:szCs w:val="21"/>
        </w:rPr>
        <w:t>6.不同投标人的投标保证金从同一单位或者个人账户转出。</w:t>
      </w:r>
    </w:p>
    <w:p w14:paraId="0F2DEC83">
      <w:pPr>
        <w:snapToGrid w:val="0"/>
        <w:spacing w:beforeLines="50" w:after="50" w:line="360" w:lineRule="auto"/>
        <w:jc w:val="left"/>
        <w:rPr>
          <w:rFonts w:ascii="宋体" w:hAnsi="宋体"/>
          <w:color w:val="auto"/>
          <w:szCs w:val="21"/>
        </w:rPr>
      </w:pPr>
      <w:r>
        <w:rPr>
          <w:rFonts w:hint="eastAsia" w:ascii="宋体" w:hAnsi="宋体"/>
          <w:b/>
          <w:color w:val="auto"/>
          <w:szCs w:val="21"/>
        </w:rPr>
        <w:t>二、我方承诺无下列恶意串通的情形：</w:t>
      </w:r>
    </w:p>
    <w:p w14:paraId="2CB64F2F">
      <w:pPr>
        <w:snapToGrid w:val="0"/>
        <w:spacing w:beforeLines="50" w:after="50" w:line="360" w:lineRule="auto"/>
        <w:ind w:firstLine="411" w:firstLineChars="196"/>
        <w:jc w:val="left"/>
        <w:rPr>
          <w:rFonts w:ascii="宋体" w:hAnsi="宋体"/>
          <w:color w:val="auto"/>
          <w:szCs w:val="21"/>
        </w:rPr>
      </w:pPr>
      <w:r>
        <w:rPr>
          <w:rFonts w:hint="eastAsia" w:ascii="宋体" w:hAnsi="宋体"/>
          <w:color w:val="auto"/>
          <w:szCs w:val="21"/>
        </w:rPr>
        <w:t>1.投标人直接或者间接从采购人或者采购代理机构处获得其他投标人的相关信息并修改其投标文件或者响应文件；</w:t>
      </w:r>
    </w:p>
    <w:p w14:paraId="4DB66122">
      <w:pPr>
        <w:snapToGrid w:val="0"/>
        <w:spacing w:beforeLines="50" w:after="50" w:line="360" w:lineRule="auto"/>
        <w:ind w:firstLine="411" w:firstLineChars="196"/>
        <w:jc w:val="left"/>
        <w:rPr>
          <w:rFonts w:ascii="宋体" w:hAnsi="宋体"/>
          <w:color w:val="auto"/>
          <w:szCs w:val="21"/>
        </w:rPr>
      </w:pPr>
      <w:r>
        <w:rPr>
          <w:rFonts w:hint="eastAsia" w:ascii="宋体" w:hAnsi="宋体"/>
          <w:color w:val="auto"/>
          <w:szCs w:val="21"/>
        </w:rPr>
        <w:t>2.投标人按照采购人或者采购代理机构的授意撤换、修改投标文件或者响应文件；</w:t>
      </w:r>
    </w:p>
    <w:p w14:paraId="0231CBB8">
      <w:pPr>
        <w:snapToGrid w:val="0"/>
        <w:spacing w:beforeLines="50" w:after="50" w:line="360" w:lineRule="auto"/>
        <w:ind w:firstLine="411" w:firstLineChars="196"/>
        <w:jc w:val="left"/>
        <w:rPr>
          <w:rFonts w:ascii="宋体" w:hAnsi="宋体"/>
          <w:color w:val="auto"/>
          <w:szCs w:val="21"/>
        </w:rPr>
      </w:pPr>
      <w:r>
        <w:rPr>
          <w:rFonts w:hint="eastAsia" w:ascii="宋体" w:hAnsi="宋体"/>
          <w:color w:val="auto"/>
          <w:szCs w:val="21"/>
        </w:rPr>
        <w:t>3.投标人之间协商报价、技术方案等投标文件或者响应文件的实质性内容；</w:t>
      </w:r>
    </w:p>
    <w:p w14:paraId="1675ECB0">
      <w:pPr>
        <w:snapToGrid w:val="0"/>
        <w:spacing w:beforeLines="50" w:after="50" w:line="360" w:lineRule="auto"/>
        <w:ind w:firstLine="411" w:firstLineChars="196"/>
        <w:jc w:val="left"/>
        <w:rPr>
          <w:rFonts w:ascii="宋体" w:hAnsi="宋体"/>
          <w:color w:val="auto"/>
          <w:szCs w:val="21"/>
        </w:rPr>
      </w:pPr>
      <w:r>
        <w:rPr>
          <w:rFonts w:hint="eastAsia" w:ascii="宋体" w:hAnsi="宋体"/>
          <w:color w:val="auto"/>
          <w:szCs w:val="21"/>
        </w:rPr>
        <w:t>4.属于同一集团、协会、商会等组织成员的投标人按照该组织要求协同参加政府采购活动；</w:t>
      </w:r>
    </w:p>
    <w:p w14:paraId="5784CDD9">
      <w:pPr>
        <w:snapToGrid w:val="0"/>
        <w:spacing w:beforeLines="50" w:after="50" w:line="360" w:lineRule="auto"/>
        <w:ind w:firstLine="411" w:firstLineChars="196"/>
        <w:jc w:val="left"/>
        <w:rPr>
          <w:rFonts w:ascii="宋体" w:hAnsi="宋体"/>
          <w:color w:val="auto"/>
          <w:szCs w:val="21"/>
        </w:rPr>
      </w:pPr>
      <w:r>
        <w:rPr>
          <w:rFonts w:hint="eastAsia" w:ascii="宋体" w:hAnsi="宋体"/>
          <w:color w:val="auto"/>
          <w:szCs w:val="21"/>
        </w:rPr>
        <w:t>5.投标人之间事先约定一致抬高或者压低投标报价，或者在招标项目中事先约定轮流以高价位或者低价位中标，或者事先约定由某一特定投标人中标，然后再参加投标；</w:t>
      </w:r>
    </w:p>
    <w:p w14:paraId="7C0B5D35">
      <w:pPr>
        <w:snapToGrid w:val="0"/>
        <w:spacing w:beforeLines="50" w:after="50" w:line="360" w:lineRule="auto"/>
        <w:ind w:firstLine="411" w:firstLineChars="196"/>
        <w:jc w:val="left"/>
        <w:rPr>
          <w:rFonts w:ascii="宋体" w:hAnsi="宋体"/>
          <w:color w:val="auto"/>
          <w:szCs w:val="21"/>
        </w:rPr>
      </w:pPr>
      <w:r>
        <w:rPr>
          <w:rFonts w:hint="eastAsia" w:ascii="宋体" w:hAnsi="宋体"/>
          <w:color w:val="auto"/>
          <w:szCs w:val="21"/>
        </w:rPr>
        <w:t>6.投标人之间商定部分投标人放弃参加政府采购活动或者放弃中标；</w:t>
      </w:r>
    </w:p>
    <w:p w14:paraId="47AEE148">
      <w:pPr>
        <w:snapToGrid w:val="0"/>
        <w:spacing w:beforeLines="50" w:after="50" w:line="360" w:lineRule="auto"/>
        <w:ind w:firstLine="411" w:firstLineChars="196"/>
        <w:jc w:val="left"/>
        <w:rPr>
          <w:rFonts w:ascii="宋体" w:hAnsi="宋体"/>
          <w:color w:val="auto"/>
          <w:szCs w:val="21"/>
        </w:rPr>
      </w:pPr>
      <w:r>
        <w:rPr>
          <w:rFonts w:hint="eastAsia" w:ascii="宋体" w:hAnsi="宋体"/>
          <w:color w:val="auto"/>
          <w:szCs w:val="21"/>
        </w:rPr>
        <w:t>7.投标人与采购人或者采购代理机构之间、投标人相互之间，为谋求特定投标人中标或者排斥其他投标人的其他串通行为。</w:t>
      </w:r>
    </w:p>
    <w:p w14:paraId="536D0BEF">
      <w:pPr>
        <w:snapToGrid w:val="0"/>
        <w:spacing w:beforeLines="50" w:after="50" w:line="360" w:lineRule="auto"/>
        <w:ind w:firstLine="211" w:firstLineChars="100"/>
        <w:jc w:val="left"/>
        <w:rPr>
          <w:rFonts w:ascii="宋体" w:hAnsi="宋体"/>
          <w:b/>
          <w:color w:val="auto"/>
          <w:szCs w:val="21"/>
        </w:rPr>
      </w:pPr>
    </w:p>
    <w:p w14:paraId="40986594">
      <w:pPr>
        <w:snapToGrid w:val="0"/>
        <w:spacing w:beforeLines="50" w:after="50" w:line="360" w:lineRule="auto"/>
        <w:ind w:firstLine="211" w:firstLineChars="100"/>
        <w:jc w:val="left"/>
        <w:rPr>
          <w:rFonts w:ascii="宋体" w:hAnsi="宋体"/>
          <w:b/>
          <w:color w:val="auto"/>
          <w:szCs w:val="21"/>
        </w:rPr>
      </w:pPr>
      <w:r>
        <w:rPr>
          <w:rFonts w:hint="eastAsia" w:ascii="宋体" w:hAnsi="宋体"/>
          <w:b/>
          <w:color w:val="auto"/>
          <w:szCs w:val="21"/>
        </w:rPr>
        <w:t>以上情形一经核查属实，我方愿意承担一切后果，并不再寻求任何旨在减轻或者免除法律责任的辩解。</w:t>
      </w:r>
    </w:p>
    <w:p w14:paraId="6B74FCB9">
      <w:pPr>
        <w:snapToGrid w:val="0"/>
        <w:spacing w:before="50" w:after="50" w:line="300" w:lineRule="auto"/>
        <w:ind w:left="-6" w:leftChars="-15" w:right="-817" w:rightChars="-389" w:hanging="25" w:hangingChars="12"/>
        <w:jc w:val="left"/>
        <w:rPr>
          <w:rFonts w:ascii="宋体" w:hAnsi="宋体"/>
          <w:b/>
          <w:bCs/>
          <w:color w:val="auto"/>
          <w:szCs w:val="21"/>
        </w:rPr>
      </w:pPr>
    </w:p>
    <w:p w14:paraId="0E32BFAD">
      <w:pPr>
        <w:snapToGrid w:val="0"/>
        <w:spacing w:before="50" w:after="50" w:line="300" w:lineRule="auto"/>
        <w:ind w:left="-6" w:leftChars="-15" w:right="-817" w:rightChars="-389" w:hanging="25" w:hangingChars="12"/>
        <w:jc w:val="left"/>
        <w:rPr>
          <w:rFonts w:ascii="宋体" w:hAnsi="宋体"/>
          <w:b/>
          <w:bCs/>
          <w:color w:val="auto"/>
          <w:szCs w:val="21"/>
        </w:rPr>
      </w:pPr>
      <w:r>
        <w:rPr>
          <w:rFonts w:hint="eastAsia" w:ascii="宋体" w:hAnsi="宋体"/>
          <w:b/>
          <w:bCs/>
          <w:color w:val="auto"/>
          <w:szCs w:val="21"/>
        </w:rPr>
        <w:t>法定代表人或者委托代理人（签字/电子签名）：</w:t>
      </w:r>
    </w:p>
    <w:p w14:paraId="171E1B2A">
      <w:pPr>
        <w:snapToGrid w:val="0"/>
        <w:spacing w:before="50" w:after="50" w:line="300" w:lineRule="auto"/>
        <w:ind w:left="-6" w:leftChars="-15" w:right="-817" w:rightChars="-389" w:hanging="25" w:hangingChars="12"/>
        <w:jc w:val="left"/>
        <w:rPr>
          <w:rFonts w:ascii="宋体" w:hAnsi="宋体"/>
          <w:b/>
          <w:bCs/>
          <w:color w:val="auto"/>
          <w:szCs w:val="21"/>
        </w:rPr>
      </w:pPr>
      <w:r>
        <w:rPr>
          <w:rFonts w:hint="eastAsia" w:ascii="宋体" w:hAnsi="宋体"/>
          <w:b/>
          <w:bCs/>
          <w:color w:val="auto"/>
          <w:szCs w:val="21"/>
        </w:rPr>
        <w:t>投标人名称（公章或电子签章）：</w:t>
      </w:r>
    </w:p>
    <w:p w14:paraId="666D0D58">
      <w:pPr>
        <w:snapToGrid w:val="0"/>
        <w:spacing w:before="50" w:after="50" w:line="360" w:lineRule="auto"/>
        <w:ind w:left="-6" w:leftChars="-15" w:right="-817" w:rightChars="-389" w:hanging="25" w:hangingChars="12"/>
        <w:jc w:val="left"/>
        <w:rPr>
          <w:rFonts w:ascii="宋体" w:hAnsi="宋体"/>
          <w:color w:val="auto"/>
          <w:sz w:val="20"/>
          <w:szCs w:val="22"/>
        </w:rPr>
      </w:pPr>
      <w:r>
        <w:rPr>
          <w:rFonts w:hint="eastAsia" w:ascii="宋体" w:hAnsi="宋体"/>
          <w:b/>
          <w:bCs/>
          <w:color w:val="auto"/>
          <w:szCs w:val="21"/>
        </w:rPr>
        <w:t>日期：    年   月   日</w:t>
      </w:r>
    </w:p>
    <w:p w14:paraId="426D00EB">
      <w:pPr>
        <w:pStyle w:val="15"/>
        <w:snapToGrid w:val="0"/>
        <w:spacing w:before="295" w:after="295" w:line="360" w:lineRule="auto"/>
        <w:rPr>
          <w:rFonts w:hAnsi="宋体"/>
          <w:color w:val="auto"/>
          <w:sz w:val="21"/>
          <w:szCs w:val="18"/>
        </w:rPr>
      </w:pPr>
    </w:p>
    <w:p w14:paraId="73F35649">
      <w:pPr>
        <w:snapToGrid w:val="0"/>
        <w:spacing w:beforeLines="50" w:after="50"/>
        <w:jc w:val="left"/>
        <w:rPr>
          <w:rFonts w:ascii="宋体" w:hAnsi="宋体"/>
          <w:b/>
          <w:color w:val="auto"/>
          <w:sz w:val="24"/>
          <w:szCs w:val="20"/>
        </w:rPr>
      </w:pPr>
      <w:r>
        <w:rPr>
          <w:rFonts w:ascii="宋体" w:hAnsi="宋体"/>
          <w:b/>
          <w:color w:val="auto"/>
          <w:sz w:val="24"/>
        </w:rPr>
        <w:br w:type="page"/>
      </w:r>
      <w:r>
        <w:rPr>
          <w:rFonts w:hint="eastAsia" w:ascii="宋体" w:hAnsi="宋体"/>
          <w:b/>
          <w:color w:val="auto"/>
          <w:sz w:val="24"/>
        </w:rPr>
        <w:t>2.法定代表人身份证明</w:t>
      </w:r>
    </w:p>
    <w:p w14:paraId="3F2A2D62">
      <w:pPr>
        <w:spacing w:beforeLines="100" w:afterLines="50"/>
        <w:ind w:left="540"/>
        <w:jc w:val="center"/>
        <w:rPr>
          <w:rFonts w:ascii="宋体" w:hAnsi="Courier New"/>
          <w:b/>
          <w:color w:val="auto"/>
          <w:sz w:val="32"/>
          <w:szCs w:val="32"/>
        </w:rPr>
      </w:pPr>
    </w:p>
    <w:p w14:paraId="5F6CD01B">
      <w:pPr>
        <w:spacing w:beforeLines="100" w:afterLines="50"/>
        <w:ind w:left="540"/>
        <w:jc w:val="center"/>
        <w:rPr>
          <w:rFonts w:ascii="黑体" w:hAnsi="宋体" w:eastAsia="黑体"/>
          <w:color w:val="auto"/>
          <w:sz w:val="24"/>
        </w:rPr>
      </w:pPr>
      <w:r>
        <w:rPr>
          <w:rFonts w:hint="eastAsia" w:ascii="宋体" w:hAnsi="Courier New"/>
          <w:b/>
          <w:color w:val="auto"/>
          <w:sz w:val="24"/>
        </w:rPr>
        <w:t>法定代表人身份证明</w:t>
      </w:r>
    </w:p>
    <w:p w14:paraId="7B8A15F1">
      <w:pPr>
        <w:spacing w:line="500" w:lineRule="exact"/>
        <w:ind w:left="540"/>
        <w:rPr>
          <w:rFonts w:hint="default" w:ascii="宋体" w:hAnsi="宋体" w:eastAsia="宋体"/>
          <w:color w:val="auto"/>
          <w:szCs w:val="21"/>
          <w:lang w:val="en-US" w:eastAsia="zh-CN"/>
        </w:rPr>
      </w:pPr>
      <w:r>
        <w:rPr>
          <w:rFonts w:hint="eastAsia" w:ascii="宋体" w:hAnsi="宋体"/>
          <w:color w:val="auto"/>
          <w:szCs w:val="21"/>
        </w:rPr>
        <w:t>投 标 人：</w:t>
      </w:r>
      <w:r>
        <w:rPr>
          <w:rFonts w:hint="eastAsia" w:ascii="宋体" w:hAnsi="宋体"/>
          <w:color w:val="auto"/>
          <w:szCs w:val="21"/>
          <w:u w:val="single"/>
          <w:lang w:val="en-US" w:eastAsia="zh-CN"/>
        </w:rPr>
        <w:t xml:space="preserve">                      </w:t>
      </w:r>
    </w:p>
    <w:p w14:paraId="08955980">
      <w:pPr>
        <w:spacing w:line="500" w:lineRule="exact"/>
        <w:ind w:left="540"/>
        <w:rPr>
          <w:rFonts w:ascii="宋体" w:hAnsi="宋体"/>
          <w:color w:val="auto"/>
          <w:szCs w:val="21"/>
        </w:rPr>
      </w:pPr>
      <w:r>
        <w:rPr>
          <w:rFonts w:hint="eastAsia" w:ascii="宋体" w:hAnsi="宋体"/>
          <w:color w:val="auto"/>
          <w:szCs w:val="21"/>
        </w:rPr>
        <w:t>地    址：</w:t>
      </w:r>
      <w:r>
        <w:rPr>
          <w:rFonts w:hint="eastAsia" w:ascii="宋体" w:hAnsi="宋体"/>
          <w:color w:val="auto"/>
          <w:szCs w:val="21"/>
          <w:u w:val="single"/>
          <w:lang w:val="en-US" w:eastAsia="zh-CN"/>
        </w:rPr>
        <w:t xml:space="preserve">                      </w:t>
      </w:r>
    </w:p>
    <w:p w14:paraId="0DB3E67A">
      <w:pPr>
        <w:spacing w:line="500" w:lineRule="exact"/>
        <w:ind w:left="540"/>
        <w:rPr>
          <w:rFonts w:ascii="宋体" w:hAnsi="宋体"/>
          <w:color w:val="auto"/>
          <w:szCs w:val="21"/>
        </w:rPr>
      </w:pPr>
      <w:r>
        <w:rPr>
          <w:rFonts w:hint="eastAsia" w:ascii="宋体" w:hAnsi="宋体"/>
          <w:color w:val="auto"/>
          <w:szCs w:val="21"/>
        </w:rPr>
        <w:t>姓    名：</w:t>
      </w:r>
      <w:r>
        <w:rPr>
          <w:rFonts w:hint="eastAsia" w:ascii="宋体" w:hAnsi="宋体"/>
          <w:color w:val="auto"/>
          <w:szCs w:val="21"/>
          <w:u w:val="single"/>
          <w:lang w:val="en-US" w:eastAsia="zh-CN"/>
        </w:rPr>
        <w:t xml:space="preserve">                      </w:t>
      </w:r>
      <w:r>
        <w:rPr>
          <w:rFonts w:hint="eastAsia" w:ascii="宋体" w:hAnsi="宋体"/>
          <w:color w:val="auto"/>
          <w:szCs w:val="21"/>
        </w:rPr>
        <w:t>性      别：</w:t>
      </w:r>
      <w:r>
        <w:rPr>
          <w:rFonts w:hint="eastAsia" w:ascii="宋体" w:hAnsi="宋体"/>
          <w:color w:val="auto"/>
          <w:szCs w:val="21"/>
          <w:u w:val="single"/>
          <w:lang w:val="en-US" w:eastAsia="zh-CN"/>
        </w:rPr>
        <w:t xml:space="preserve">                      </w:t>
      </w:r>
    </w:p>
    <w:p w14:paraId="07F675D1">
      <w:pPr>
        <w:spacing w:line="500" w:lineRule="exact"/>
        <w:ind w:left="540"/>
        <w:rPr>
          <w:rFonts w:ascii="宋体" w:hAnsi="宋体"/>
          <w:color w:val="auto"/>
          <w:szCs w:val="21"/>
          <w:u w:val="single"/>
        </w:rPr>
      </w:pPr>
      <w:r>
        <w:rPr>
          <w:rFonts w:hint="eastAsia" w:ascii="宋体" w:hAnsi="宋体"/>
          <w:color w:val="auto"/>
          <w:szCs w:val="21"/>
        </w:rPr>
        <w:t>年    龄：</w:t>
      </w:r>
      <w:r>
        <w:rPr>
          <w:rFonts w:hint="eastAsia" w:ascii="宋体" w:hAnsi="宋体"/>
          <w:color w:val="auto"/>
          <w:szCs w:val="21"/>
          <w:u w:val="single"/>
          <w:lang w:val="en-US" w:eastAsia="zh-CN"/>
        </w:rPr>
        <w:t xml:space="preserve">                      </w:t>
      </w:r>
      <w:r>
        <w:rPr>
          <w:rFonts w:hint="eastAsia" w:ascii="宋体" w:hAnsi="宋体"/>
          <w:color w:val="auto"/>
          <w:szCs w:val="21"/>
        </w:rPr>
        <w:t>职      务：</w:t>
      </w:r>
      <w:r>
        <w:rPr>
          <w:rFonts w:hint="eastAsia" w:ascii="宋体" w:hAnsi="宋体"/>
          <w:color w:val="auto"/>
          <w:szCs w:val="21"/>
          <w:u w:val="single"/>
          <w:lang w:val="en-US" w:eastAsia="zh-CN"/>
        </w:rPr>
        <w:t xml:space="preserve">                      </w:t>
      </w:r>
    </w:p>
    <w:p w14:paraId="5ACE28CB">
      <w:pPr>
        <w:spacing w:line="500" w:lineRule="exact"/>
        <w:ind w:left="540"/>
        <w:rPr>
          <w:rFonts w:ascii="宋体" w:hAnsi="宋体"/>
          <w:color w:val="auto"/>
          <w:szCs w:val="21"/>
        </w:rPr>
      </w:pPr>
      <w:r>
        <w:rPr>
          <w:rFonts w:hint="eastAsia" w:ascii="宋体" w:hAnsi="宋体"/>
          <w:color w:val="auto"/>
          <w:szCs w:val="21"/>
        </w:rPr>
        <w:t>身份证</w:t>
      </w:r>
      <w:r>
        <w:rPr>
          <w:rFonts w:hint="eastAsia"/>
          <w:color w:val="auto"/>
          <w:szCs w:val="21"/>
        </w:rPr>
        <w:t>号码：</w:t>
      </w:r>
      <w:r>
        <w:rPr>
          <w:rFonts w:hint="eastAsia" w:ascii="宋体" w:hAnsi="宋体"/>
          <w:color w:val="auto"/>
          <w:szCs w:val="21"/>
          <w:u w:val="single"/>
          <w:lang w:val="en-US" w:eastAsia="zh-CN"/>
        </w:rPr>
        <w:t xml:space="preserve">                      </w:t>
      </w:r>
    </w:p>
    <w:p w14:paraId="29F6D355">
      <w:pPr>
        <w:spacing w:line="500" w:lineRule="exact"/>
        <w:ind w:left="540"/>
        <w:rPr>
          <w:rFonts w:ascii="宋体" w:hAnsi="宋体"/>
          <w:color w:val="auto"/>
          <w:szCs w:val="21"/>
        </w:rPr>
      </w:pPr>
      <w:r>
        <w:rPr>
          <w:rFonts w:hint="eastAsia" w:ascii="宋体" w:hAnsi="宋体"/>
          <w:color w:val="auto"/>
          <w:szCs w:val="21"/>
        </w:rPr>
        <w:t>系</w:t>
      </w:r>
      <w:r>
        <w:rPr>
          <w:rFonts w:hint="eastAsia" w:ascii="宋体" w:hAnsi="宋体"/>
          <w:color w:val="auto"/>
          <w:szCs w:val="21"/>
          <w:u w:val="single"/>
        </w:rPr>
        <w:t xml:space="preserve">            （投标人名称）              </w:t>
      </w:r>
      <w:r>
        <w:rPr>
          <w:rFonts w:hint="eastAsia" w:ascii="宋体" w:hAnsi="宋体"/>
          <w:color w:val="auto"/>
          <w:szCs w:val="21"/>
        </w:rPr>
        <w:t>的法定代表人。</w:t>
      </w:r>
    </w:p>
    <w:p w14:paraId="71083134">
      <w:pPr>
        <w:spacing w:line="500" w:lineRule="exact"/>
        <w:ind w:left="540"/>
        <w:rPr>
          <w:rFonts w:ascii="宋体" w:hAnsi="宋体"/>
          <w:color w:val="auto"/>
          <w:szCs w:val="21"/>
        </w:rPr>
      </w:pPr>
      <w:r>
        <w:rPr>
          <w:rFonts w:hint="eastAsia" w:ascii="宋体" w:hAnsi="宋体"/>
          <w:color w:val="auto"/>
          <w:szCs w:val="21"/>
        </w:rPr>
        <w:t>特此证明。</w:t>
      </w:r>
    </w:p>
    <w:p w14:paraId="19476370">
      <w:pPr>
        <w:spacing w:line="500" w:lineRule="exact"/>
        <w:ind w:left="540"/>
        <w:rPr>
          <w:rFonts w:ascii="宋体" w:hAnsi="宋体"/>
          <w:color w:val="auto"/>
          <w:szCs w:val="21"/>
        </w:rPr>
      </w:pPr>
    </w:p>
    <w:p w14:paraId="3F3A723D">
      <w:pPr>
        <w:spacing w:line="500" w:lineRule="exact"/>
        <w:ind w:left="540"/>
        <w:rPr>
          <w:rFonts w:ascii="宋体" w:hAnsi="宋体"/>
          <w:color w:val="auto"/>
          <w:szCs w:val="21"/>
        </w:rPr>
      </w:pPr>
      <w:r>
        <w:rPr>
          <w:rFonts w:hint="eastAsia" w:ascii="宋体" w:hAnsi="宋体"/>
          <w:color w:val="auto"/>
          <w:szCs w:val="21"/>
        </w:rPr>
        <w:t>附件：法定代表人有效身份证正反面复印件</w:t>
      </w:r>
    </w:p>
    <w:p w14:paraId="7FE55DE0">
      <w:pPr>
        <w:spacing w:line="500" w:lineRule="exact"/>
        <w:ind w:left="540"/>
        <w:rPr>
          <w:rFonts w:ascii="宋体" w:hAnsi="宋体"/>
          <w:color w:val="auto"/>
          <w:szCs w:val="21"/>
        </w:rPr>
      </w:pPr>
    </w:p>
    <w:p w14:paraId="711794B4">
      <w:pPr>
        <w:snapToGrid w:val="0"/>
        <w:spacing w:before="50" w:after="50" w:line="300" w:lineRule="auto"/>
        <w:ind w:left="-6" w:leftChars="-15" w:right="-817" w:rightChars="-389" w:hanging="25" w:hangingChars="12"/>
        <w:jc w:val="left"/>
        <w:rPr>
          <w:rFonts w:ascii="宋体" w:hAnsi="宋体"/>
          <w:b/>
          <w:bCs/>
          <w:color w:val="auto"/>
          <w:szCs w:val="21"/>
        </w:rPr>
      </w:pPr>
      <w:r>
        <w:rPr>
          <w:rFonts w:hint="eastAsia" w:ascii="宋体" w:hAnsi="宋体"/>
          <w:b/>
          <w:bCs/>
          <w:color w:val="auto"/>
          <w:szCs w:val="21"/>
        </w:rPr>
        <w:t>法定代表人或者委托代理人（签字/电子签名）：</w:t>
      </w:r>
    </w:p>
    <w:p w14:paraId="2490F9A6">
      <w:pPr>
        <w:snapToGrid w:val="0"/>
        <w:spacing w:before="50" w:after="50" w:line="300" w:lineRule="auto"/>
        <w:ind w:left="-6" w:leftChars="-15" w:right="-817" w:rightChars="-389" w:hanging="25" w:hangingChars="12"/>
        <w:jc w:val="left"/>
        <w:rPr>
          <w:rFonts w:ascii="宋体" w:hAnsi="宋体"/>
          <w:b/>
          <w:bCs/>
          <w:color w:val="auto"/>
          <w:szCs w:val="21"/>
        </w:rPr>
      </w:pPr>
      <w:r>
        <w:rPr>
          <w:rFonts w:hint="eastAsia" w:ascii="宋体" w:hAnsi="宋体"/>
          <w:b/>
          <w:bCs/>
          <w:color w:val="auto"/>
          <w:szCs w:val="21"/>
        </w:rPr>
        <w:t>投标人名称（公章或电子签章）：</w:t>
      </w:r>
    </w:p>
    <w:p w14:paraId="0FE78C3D">
      <w:pPr>
        <w:snapToGrid w:val="0"/>
        <w:spacing w:before="50" w:after="50" w:line="360" w:lineRule="auto"/>
        <w:ind w:right="-817" w:rightChars="-389"/>
        <w:jc w:val="left"/>
        <w:rPr>
          <w:rFonts w:ascii="宋体" w:hAnsi="宋体"/>
          <w:color w:val="auto"/>
          <w:sz w:val="20"/>
          <w:szCs w:val="22"/>
        </w:rPr>
      </w:pPr>
      <w:r>
        <w:rPr>
          <w:rFonts w:hint="eastAsia" w:ascii="宋体" w:hAnsi="宋体"/>
          <w:b/>
          <w:bCs/>
          <w:color w:val="auto"/>
          <w:szCs w:val="21"/>
        </w:rPr>
        <w:t>日期：    年   月   日</w:t>
      </w:r>
    </w:p>
    <w:p w14:paraId="16611E6F">
      <w:pPr>
        <w:snapToGrid w:val="0"/>
        <w:spacing w:beforeLines="50" w:after="50"/>
        <w:jc w:val="center"/>
        <w:rPr>
          <w:rFonts w:ascii="宋体" w:hAnsi="宋体"/>
          <w:b/>
          <w:color w:val="auto"/>
          <w:szCs w:val="21"/>
        </w:rPr>
      </w:pPr>
    </w:p>
    <w:p w14:paraId="206AFF0C">
      <w:pPr>
        <w:snapToGrid w:val="0"/>
        <w:spacing w:beforeLines="50" w:after="50"/>
        <w:ind w:firstLine="630" w:firstLineChars="300"/>
        <w:jc w:val="left"/>
        <w:rPr>
          <w:rFonts w:ascii="宋体" w:hAnsi="宋体"/>
          <w:b/>
          <w:color w:val="auto"/>
          <w:szCs w:val="16"/>
        </w:rPr>
      </w:pPr>
      <w:r>
        <w:rPr>
          <w:rFonts w:hint="eastAsia" w:ascii="宋体" w:hAnsi="宋体"/>
          <w:color w:val="auto"/>
          <w:szCs w:val="21"/>
        </w:rPr>
        <w:t>注：自然人投标的无需提供</w:t>
      </w:r>
    </w:p>
    <w:p w14:paraId="53387DE9">
      <w:pPr>
        <w:snapToGrid w:val="0"/>
        <w:spacing w:beforeLines="50" w:after="50"/>
        <w:jc w:val="left"/>
        <w:rPr>
          <w:rFonts w:ascii="宋体" w:hAnsi="宋体"/>
          <w:b/>
          <w:color w:val="auto"/>
          <w:sz w:val="24"/>
          <w:szCs w:val="20"/>
        </w:rPr>
      </w:pPr>
      <w:r>
        <w:rPr>
          <w:rFonts w:ascii="宋体" w:hAnsi="宋体"/>
          <w:b/>
          <w:color w:val="auto"/>
          <w:szCs w:val="21"/>
        </w:rPr>
        <w:br w:type="page"/>
      </w:r>
      <w:r>
        <w:rPr>
          <w:rFonts w:hint="eastAsia" w:ascii="宋体" w:hAnsi="宋体"/>
          <w:b/>
          <w:color w:val="auto"/>
          <w:szCs w:val="21"/>
        </w:rPr>
        <w:t>3.</w:t>
      </w:r>
      <w:r>
        <w:rPr>
          <w:rFonts w:hint="eastAsia" w:ascii="宋体" w:hAnsi="宋体"/>
          <w:b/>
          <w:color w:val="auto"/>
          <w:sz w:val="24"/>
        </w:rPr>
        <w:t>法定代表人授权委托书</w:t>
      </w:r>
    </w:p>
    <w:p w14:paraId="396AF883">
      <w:pPr>
        <w:snapToGrid w:val="0"/>
        <w:spacing w:beforeLines="50" w:after="50"/>
        <w:jc w:val="center"/>
        <w:rPr>
          <w:rFonts w:ascii="宋体" w:hAnsi="宋体"/>
          <w:b/>
          <w:color w:val="auto"/>
          <w:sz w:val="44"/>
          <w:szCs w:val="44"/>
        </w:rPr>
      </w:pPr>
    </w:p>
    <w:p w14:paraId="494E3E1B">
      <w:pPr>
        <w:snapToGrid w:val="0"/>
        <w:spacing w:beforeLines="50" w:after="50"/>
        <w:jc w:val="center"/>
        <w:rPr>
          <w:rFonts w:ascii="宋体" w:hAnsi="宋体"/>
          <w:b/>
          <w:color w:val="auto"/>
          <w:sz w:val="24"/>
        </w:rPr>
      </w:pPr>
      <w:r>
        <w:rPr>
          <w:rFonts w:hint="eastAsia" w:ascii="宋体" w:hAnsi="宋体"/>
          <w:b/>
          <w:color w:val="auto"/>
          <w:sz w:val="24"/>
        </w:rPr>
        <w:t>法定代表人授权委托书</w:t>
      </w:r>
    </w:p>
    <w:p w14:paraId="6C66957D">
      <w:pPr>
        <w:snapToGrid w:val="0"/>
        <w:spacing w:beforeLines="50" w:after="50"/>
        <w:jc w:val="center"/>
        <w:rPr>
          <w:rFonts w:ascii="宋体" w:hAnsi="宋体"/>
          <w:b/>
          <w:color w:val="auto"/>
          <w:sz w:val="24"/>
        </w:rPr>
      </w:pPr>
      <w:r>
        <w:rPr>
          <w:rFonts w:hint="eastAsia" w:ascii="宋体" w:hAnsi="宋体"/>
          <w:b/>
          <w:color w:val="auto"/>
          <w:sz w:val="24"/>
        </w:rPr>
        <w:t>（非联合体投标格式）</w:t>
      </w:r>
    </w:p>
    <w:p w14:paraId="602F2C35">
      <w:pPr>
        <w:snapToGrid w:val="0"/>
        <w:spacing w:beforeLines="50" w:after="50"/>
        <w:jc w:val="center"/>
        <w:rPr>
          <w:rFonts w:ascii="宋体" w:hAnsi="宋体"/>
          <w:b/>
          <w:color w:val="auto"/>
          <w:szCs w:val="21"/>
        </w:rPr>
      </w:pPr>
      <w:r>
        <w:rPr>
          <w:rFonts w:hint="eastAsia" w:ascii="宋体" w:hAnsi="宋体"/>
          <w:b/>
          <w:color w:val="auto"/>
          <w:sz w:val="24"/>
        </w:rPr>
        <w:t>（如有委托时）</w:t>
      </w:r>
    </w:p>
    <w:p w14:paraId="3794E343">
      <w:pPr>
        <w:snapToGrid w:val="0"/>
        <w:spacing w:beforeLines="50" w:after="50"/>
        <w:jc w:val="center"/>
        <w:rPr>
          <w:rFonts w:ascii="宋体" w:hAnsi="宋体"/>
          <w:b/>
          <w:color w:val="auto"/>
          <w:szCs w:val="21"/>
        </w:rPr>
      </w:pPr>
    </w:p>
    <w:p w14:paraId="460409C3">
      <w:pPr>
        <w:snapToGrid w:val="0"/>
        <w:spacing w:beforeLines="50" w:after="50"/>
        <w:rPr>
          <w:rFonts w:ascii="宋体" w:hAnsi="宋体"/>
          <w:b/>
          <w:bCs/>
          <w:color w:val="auto"/>
          <w:szCs w:val="21"/>
        </w:rPr>
      </w:pPr>
      <w:r>
        <w:rPr>
          <w:rFonts w:hint="eastAsia" w:ascii="宋体" w:hAnsi="宋体"/>
          <w:bCs/>
          <w:color w:val="auto"/>
          <w:szCs w:val="21"/>
        </w:rPr>
        <w:t>致：</w:t>
      </w:r>
      <w:r>
        <w:rPr>
          <w:rFonts w:hint="eastAsia" w:ascii="宋体" w:hAnsi="宋体"/>
          <w:color w:val="auto"/>
          <w:szCs w:val="21"/>
          <w:u w:val="single"/>
        </w:rPr>
        <w:t>采购人名称</w:t>
      </w:r>
      <w:r>
        <w:rPr>
          <w:rFonts w:hint="eastAsia" w:ascii="宋体" w:hAnsi="宋体"/>
          <w:color w:val="auto"/>
          <w:szCs w:val="21"/>
        </w:rPr>
        <w:t>：</w:t>
      </w:r>
    </w:p>
    <w:p w14:paraId="36F30A3A">
      <w:pPr>
        <w:snapToGrid w:val="0"/>
        <w:spacing w:beforeLines="50" w:after="50" w:line="360" w:lineRule="auto"/>
        <w:ind w:left="199" w:leftChars="95" w:firstLine="283" w:firstLineChars="135"/>
        <w:rPr>
          <w:rFonts w:ascii="宋体" w:hAnsi="宋体"/>
          <w:color w:val="auto"/>
          <w:szCs w:val="21"/>
        </w:rPr>
      </w:pPr>
      <w:r>
        <w:rPr>
          <w:rFonts w:hint="eastAsia" w:ascii="宋体" w:hAnsi="宋体"/>
          <w:color w:val="auto"/>
          <w:szCs w:val="21"/>
        </w:rPr>
        <w:t>我</w:t>
      </w:r>
      <w:r>
        <w:rPr>
          <w:rFonts w:hint="eastAsia" w:ascii="宋体" w:hAnsi="宋体"/>
          <w:color w:val="auto"/>
          <w:szCs w:val="21"/>
          <w:u w:val="single"/>
          <w:lang w:val="en-US" w:eastAsia="zh-CN"/>
        </w:rPr>
        <w:t xml:space="preserve">          </w:t>
      </w:r>
      <w:r>
        <w:rPr>
          <w:rFonts w:hint="eastAsia" w:ascii="宋体" w:hAnsi="宋体"/>
          <w:color w:val="auto"/>
          <w:szCs w:val="21"/>
        </w:rPr>
        <w:t>（姓名）系</w:t>
      </w:r>
      <w:r>
        <w:rPr>
          <w:rFonts w:hint="eastAsia" w:ascii="宋体" w:hAnsi="宋体"/>
          <w:color w:val="auto"/>
          <w:szCs w:val="21"/>
          <w:u w:val="single"/>
          <w:lang w:val="en-US" w:eastAsia="zh-CN"/>
        </w:rPr>
        <w:t xml:space="preserve">          </w:t>
      </w:r>
      <w:r>
        <w:rPr>
          <w:rFonts w:hint="eastAsia" w:ascii="宋体" w:hAnsi="宋体"/>
          <w:color w:val="auto"/>
          <w:szCs w:val="21"/>
        </w:rPr>
        <w:t>（投标人名称）的法定代表人，现授权委托</w:t>
      </w:r>
      <w:r>
        <w:rPr>
          <w:rFonts w:hint="eastAsia" w:ascii="宋体" w:hAnsi="宋体"/>
          <w:color w:val="auto"/>
          <w:szCs w:val="21"/>
          <w:u w:val="single"/>
        </w:rPr>
        <w:t xml:space="preserve">              （姓名）</w:t>
      </w:r>
      <w:r>
        <w:rPr>
          <w:rFonts w:hint="eastAsia" w:ascii="宋体" w:hAnsi="宋体"/>
          <w:color w:val="auto"/>
          <w:szCs w:val="21"/>
        </w:rPr>
        <w:t>以我方的名义参加</w:t>
      </w:r>
      <w:r>
        <w:rPr>
          <w:rFonts w:hint="eastAsia" w:ascii="宋体" w:hAnsi="宋体"/>
          <w:color w:val="auto"/>
          <w:szCs w:val="21"/>
          <w:u w:val="single"/>
          <w:lang w:val="en-US" w:eastAsia="zh-CN"/>
        </w:rPr>
        <w:t xml:space="preserve">     （项目名称）     </w:t>
      </w:r>
      <w:r>
        <w:rPr>
          <w:rFonts w:hint="eastAsia" w:ascii="宋体" w:hAnsi="宋体"/>
          <w:color w:val="auto"/>
          <w:szCs w:val="21"/>
        </w:rPr>
        <w:t>（项目编号：</w:t>
      </w:r>
      <w:r>
        <w:rPr>
          <w:rFonts w:hint="eastAsia" w:ascii="宋体" w:hAnsi="宋体"/>
          <w:color w:val="auto"/>
          <w:szCs w:val="21"/>
          <w:u w:val="single"/>
          <w:lang w:val="en-US" w:eastAsia="zh-CN"/>
        </w:rPr>
        <w:t xml:space="preserve">            </w:t>
      </w:r>
      <w:r>
        <w:rPr>
          <w:rFonts w:hint="eastAsia" w:ascii="宋体" w:hAnsi="宋体" w:cs="宋体"/>
          <w:color w:val="auto"/>
          <w:sz w:val="21"/>
          <w:szCs w:val="21"/>
          <w:highlight w:val="none"/>
          <w:u w:val="none"/>
          <w:lang w:val="en-US" w:eastAsia="zh-CN"/>
        </w:rPr>
        <w:t>标项：</w:t>
      </w:r>
      <w:r>
        <w:rPr>
          <w:rFonts w:hint="eastAsia" w:ascii="宋体" w:hAnsi="宋体" w:cs="宋体"/>
          <w:color w:val="auto"/>
          <w:sz w:val="21"/>
          <w:szCs w:val="21"/>
          <w:highlight w:val="none"/>
          <w:u w:val="single"/>
          <w:lang w:val="en-US" w:eastAsia="zh-CN"/>
        </w:rPr>
        <w:t xml:space="preserve">        </w:t>
      </w:r>
      <w:r>
        <w:rPr>
          <w:rFonts w:hint="eastAsia" w:ascii="宋体" w:hAnsi="宋体"/>
          <w:color w:val="auto"/>
          <w:szCs w:val="21"/>
          <w:u w:val="single"/>
          <w:lang w:val="en-US" w:eastAsia="zh-CN"/>
        </w:rPr>
        <w:t xml:space="preserve"> </w:t>
      </w:r>
      <w:r>
        <w:rPr>
          <w:rFonts w:hint="eastAsia" w:ascii="宋体" w:hAnsi="宋体"/>
          <w:color w:val="auto"/>
          <w:szCs w:val="21"/>
        </w:rPr>
        <w:t>）项目的投标活动，并代表我方全权办理针对上述项目的所有采购程序和环节的具体事务和签署相关文件。</w:t>
      </w:r>
    </w:p>
    <w:p w14:paraId="67A48FD6">
      <w:pPr>
        <w:snapToGrid w:val="0"/>
        <w:spacing w:beforeLines="50" w:after="50"/>
        <w:rPr>
          <w:rFonts w:ascii="宋体" w:hAnsi="宋体"/>
          <w:color w:val="auto"/>
          <w:szCs w:val="21"/>
        </w:rPr>
      </w:pPr>
      <w:r>
        <w:rPr>
          <w:rFonts w:hint="eastAsia" w:ascii="宋体" w:hAnsi="宋体"/>
          <w:color w:val="auto"/>
          <w:szCs w:val="21"/>
        </w:rPr>
        <w:t xml:space="preserve">    我方对委托代理人的签字事项负全部责任。</w:t>
      </w:r>
    </w:p>
    <w:p w14:paraId="2E292FBF">
      <w:pPr>
        <w:snapToGrid w:val="0"/>
        <w:spacing w:beforeLines="50" w:after="50" w:line="360" w:lineRule="auto"/>
        <w:ind w:firstLine="480"/>
        <w:rPr>
          <w:rFonts w:ascii="宋体" w:hAnsi="宋体"/>
          <w:color w:val="auto"/>
          <w:szCs w:val="21"/>
        </w:rPr>
      </w:pPr>
      <w:r>
        <w:rPr>
          <w:rFonts w:hint="eastAsia" w:ascii="宋体" w:hAnsi="宋体"/>
          <w:color w:val="auto"/>
          <w:szCs w:val="21"/>
          <w:u w:val="single"/>
        </w:rPr>
        <w:t>本授权书自签署之日起生效，在撤销授权的书面通知以前，本授权书一直有效。委托代理人在授权书有效期内签署的所有文件不因授权的撤销而失效。</w:t>
      </w:r>
    </w:p>
    <w:p w14:paraId="0129B7D9">
      <w:pPr>
        <w:snapToGrid w:val="0"/>
        <w:spacing w:beforeLines="50" w:after="50"/>
        <w:ind w:firstLine="480"/>
        <w:rPr>
          <w:rFonts w:ascii="宋体" w:hAnsi="宋体"/>
          <w:color w:val="auto"/>
          <w:szCs w:val="21"/>
        </w:rPr>
      </w:pPr>
      <w:r>
        <w:rPr>
          <w:rFonts w:hint="eastAsia" w:ascii="宋体" w:hAnsi="宋体"/>
          <w:color w:val="auto"/>
          <w:szCs w:val="21"/>
        </w:rPr>
        <w:t>委托代理人无转委托权，特此委托。</w:t>
      </w:r>
    </w:p>
    <w:p w14:paraId="43DA0B15">
      <w:pPr>
        <w:snapToGrid w:val="0"/>
        <w:spacing w:beforeLines="50" w:after="50"/>
        <w:ind w:firstLine="480"/>
        <w:rPr>
          <w:rFonts w:ascii="宋体" w:hAnsi="宋体"/>
          <w:color w:val="auto"/>
          <w:szCs w:val="21"/>
        </w:rPr>
      </w:pPr>
      <w:r>
        <w:rPr>
          <w:rFonts w:hint="eastAsia" w:ascii="宋体" w:hAnsi="宋体"/>
          <w:color w:val="auto"/>
          <w:szCs w:val="21"/>
        </w:rPr>
        <w:t>附：法定代表人身份证明及委托代理人有效身份证正反面复印件</w:t>
      </w:r>
    </w:p>
    <w:p w14:paraId="588D0E0D">
      <w:pPr>
        <w:snapToGrid w:val="0"/>
        <w:spacing w:beforeLines="50" w:after="50"/>
        <w:rPr>
          <w:rFonts w:ascii="宋体" w:hAnsi="宋体"/>
          <w:color w:val="auto"/>
          <w:szCs w:val="21"/>
        </w:rPr>
      </w:pPr>
    </w:p>
    <w:p w14:paraId="3072D089">
      <w:pPr>
        <w:snapToGrid w:val="0"/>
        <w:spacing w:beforeLines="50" w:after="50"/>
        <w:rPr>
          <w:rFonts w:ascii="宋体" w:hAnsi="宋体"/>
          <w:color w:val="auto"/>
          <w:szCs w:val="21"/>
          <w:u w:val="single"/>
        </w:rPr>
      </w:pPr>
      <w:r>
        <w:rPr>
          <w:rFonts w:hint="eastAsia" w:ascii="宋体" w:hAnsi="宋体"/>
          <w:color w:val="auto"/>
          <w:szCs w:val="21"/>
        </w:rPr>
        <w:t>委托代理人签字：            法定代表人签字：</w:t>
      </w:r>
    </w:p>
    <w:p w14:paraId="50232C89">
      <w:pPr>
        <w:snapToGrid w:val="0"/>
        <w:spacing w:beforeLines="50" w:after="50"/>
        <w:rPr>
          <w:rFonts w:ascii="宋体" w:hAnsi="宋体"/>
          <w:color w:val="auto"/>
          <w:szCs w:val="21"/>
        </w:rPr>
      </w:pPr>
      <w:r>
        <w:rPr>
          <w:rFonts w:hint="eastAsia" w:ascii="宋体" w:hAnsi="宋体"/>
          <w:color w:val="auto"/>
          <w:szCs w:val="21"/>
        </w:rPr>
        <w:t>所在部门职务：                      职务：</w:t>
      </w:r>
    </w:p>
    <w:p w14:paraId="393B30CC">
      <w:pPr>
        <w:snapToGrid w:val="0"/>
        <w:spacing w:beforeLines="50" w:after="50"/>
        <w:rPr>
          <w:rFonts w:ascii="宋体" w:hAnsi="宋体"/>
          <w:color w:val="auto"/>
          <w:szCs w:val="21"/>
        </w:rPr>
      </w:pPr>
      <w:r>
        <w:rPr>
          <w:rFonts w:hint="eastAsia" w:ascii="宋体" w:hAnsi="宋体"/>
          <w:color w:val="auto"/>
          <w:szCs w:val="21"/>
        </w:rPr>
        <w:t>委托代理人身份证号码：</w:t>
      </w:r>
    </w:p>
    <w:p w14:paraId="611FAAD7">
      <w:pPr>
        <w:snapToGrid w:val="0"/>
        <w:spacing w:before="50" w:after="50" w:line="360" w:lineRule="auto"/>
        <w:ind w:left="-6" w:leftChars="-15" w:right="-817" w:rightChars="-389" w:hanging="25" w:hangingChars="12"/>
        <w:jc w:val="left"/>
        <w:rPr>
          <w:rFonts w:ascii="宋体" w:hAnsi="宋体"/>
          <w:b/>
          <w:bCs/>
          <w:color w:val="auto"/>
          <w:szCs w:val="21"/>
          <w:u w:val="single"/>
        </w:rPr>
      </w:pPr>
    </w:p>
    <w:p w14:paraId="1F3083A7">
      <w:pPr>
        <w:snapToGrid w:val="0"/>
        <w:spacing w:before="50" w:after="50" w:line="480" w:lineRule="auto"/>
        <w:ind w:left="-6" w:leftChars="-15" w:right="-817" w:rightChars="-389" w:hanging="25" w:hangingChars="12"/>
        <w:jc w:val="left"/>
        <w:rPr>
          <w:rFonts w:ascii="宋体" w:hAnsi="宋体"/>
          <w:b/>
          <w:bCs/>
          <w:color w:val="auto"/>
          <w:szCs w:val="21"/>
        </w:rPr>
      </w:pPr>
      <w:r>
        <w:rPr>
          <w:rFonts w:hint="eastAsia" w:ascii="宋体" w:hAnsi="宋体"/>
          <w:b/>
          <w:bCs/>
          <w:color w:val="auto"/>
          <w:szCs w:val="21"/>
        </w:rPr>
        <w:t>投标人(公章或电子签章)：</w:t>
      </w:r>
    </w:p>
    <w:p w14:paraId="481E7B7E">
      <w:pPr>
        <w:snapToGrid w:val="0"/>
        <w:spacing w:before="50" w:after="50" w:line="480" w:lineRule="auto"/>
        <w:ind w:left="-6" w:leftChars="-15" w:right="-817" w:rightChars="-389" w:hanging="25" w:hangingChars="12"/>
        <w:jc w:val="left"/>
        <w:rPr>
          <w:rFonts w:ascii="宋体" w:hAnsi="宋体"/>
          <w:color w:val="auto"/>
          <w:sz w:val="20"/>
          <w:szCs w:val="22"/>
        </w:rPr>
      </w:pPr>
      <w:r>
        <w:rPr>
          <w:rFonts w:hint="eastAsia" w:ascii="宋体" w:hAnsi="宋体"/>
          <w:b/>
          <w:bCs/>
          <w:color w:val="auto"/>
          <w:szCs w:val="21"/>
        </w:rPr>
        <w:t>日期：    年   月   日</w:t>
      </w:r>
    </w:p>
    <w:p w14:paraId="50796367">
      <w:pPr>
        <w:snapToGrid w:val="0"/>
        <w:spacing w:beforeLines="50" w:after="50"/>
        <w:jc w:val="center"/>
        <w:rPr>
          <w:rFonts w:ascii="宋体" w:hAnsi="宋体"/>
          <w:color w:val="auto"/>
          <w:szCs w:val="21"/>
        </w:rPr>
      </w:pPr>
    </w:p>
    <w:p w14:paraId="413A3CE9">
      <w:pPr>
        <w:snapToGrid w:val="0"/>
        <w:spacing w:beforeLines="50" w:after="50"/>
        <w:jc w:val="center"/>
        <w:rPr>
          <w:rFonts w:ascii="宋体" w:hAnsi="宋体"/>
          <w:color w:val="auto"/>
          <w:szCs w:val="21"/>
        </w:rPr>
      </w:pPr>
    </w:p>
    <w:p w14:paraId="7EF82AF2">
      <w:pPr>
        <w:snapToGrid w:val="0"/>
        <w:spacing w:beforeLines="50" w:after="50"/>
        <w:jc w:val="center"/>
        <w:rPr>
          <w:rFonts w:ascii="宋体" w:hAnsi="宋体"/>
          <w:color w:val="auto"/>
          <w:szCs w:val="21"/>
        </w:rPr>
      </w:pPr>
    </w:p>
    <w:p w14:paraId="2479D40D">
      <w:pPr>
        <w:spacing w:line="360" w:lineRule="auto"/>
        <w:rPr>
          <w:rFonts w:ascii="仿宋_GB2312" w:hAnsi="仿宋_GB2312" w:eastAsia="仿宋_GB2312" w:cs="仿宋_GB2312"/>
          <w:color w:val="auto"/>
          <w:szCs w:val="21"/>
        </w:rPr>
      </w:pPr>
      <w:r>
        <w:rPr>
          <w:rFonts w:hint="eastAsia" w:ascii="仿宋_GB2312" w:hAnsi="仿宋_GB2312" w:eastAsia="仿宋_GB2312" w:cs="仿宋_GB2312"/>
          <w:color w:val="auto"/>
          <w:szCs w:val="21"/>
        </w:rPr>
        <w:t>注：1.法定代表人必须在授权委托书上签字或者盖章或者电子签名，委托代理人必须在授权委托书上签字或者电子签名，</w:t>
      </w:r>
      <w:r>
        <w:rPr>
          <w:rFonts w:hint="eastAsia" w:ascii="仿宋_GB2312" w:hAnsi="仿宋_GB2312" w:eastAsia="仿宋_GB2312" w:cs="仿宋_GB2312"/>
          <w:b/>
          <w:bCs/>
          <w:color w:val="auto"/>
          <w:szCs w:val="21"/>
        </w:rPr>
        <w:t>否则按无效投标处理</w:t>
      </w:r>
      <w:r>
        <w:rPr>
          <w:rFonts w:hint="eastAsia" w:ascii="仿宋_GB2312" w:hAnsi="仿宋_GB2312" w:eastAsia="仿宋_GB2312" w:cs="仿宋_GB2312"/>
          <w:color w:val="auto"/>
          <w:szCs w:val="21"/>
        </w:rPr>
        <w:t>；</w:t>
      </w:r>
    </w:p>
    <w:p w14:paraId="189ECD16">
      <w:pPr>
        <w:spacing w:line="360" w:lineRule="auto"/>
        <w:ind w:firstLine="420" w:firstLineChars="200"/>
        <w:jc w:val="left"/>
        <w:rPr>
          <w:rFonts w:ascii="仿宋_GB2312" w:hAnsi="仿宋_GB2312" w:eastAsia="仿宋_GB2312" w:cs="仿宋_GB2312"/>
          <w:color w:val="auto"/>
          <w:szCs w:val="21"/>
        </w:rPr>
      </w:pPr>
      <w:r>
        <w:rPr>
          <w:rFonts w:hint="eastAsia" w:ascii="仿宋_GB2312" w:hAnsi="仿宋_GB2312" w:eastAsia="仿宋_GB2312" w:cs="仿宋_GB2312"/>
          <w:color w:val="auto"/>
          <w:szCs w:val="21"/>
        </w:rPr>
        <w:t>2.以联合体形式投标的，本授权委托书应由联合体牵头人的法定代表人按上述规定签署。</w:t>
      </w:r>
    </w:p>
    <w:p w14:paraId="421FEFF0">
      <w:pPr>
        <w:snapToGrid w:val="0"/>
        <w:spacing w:before="50" w:afterLines="50" w:line="360" w:lineRule="auto"/>
        <w:ind w:firstLine="420" w:firstLineChars="200"/>
        <w:jc w:val="left"/>
        <w:rPr>
          <w:rFonts w:ascii="宋体" w:hAnsi="宋体"/>
          <w:color w:val="auto"/>
          <w:szCs w:val="21"/>
        </w:rPr>
      </w:pPr>
      <w:r>
        <w:rPr>
          <w:rFonts w:hint="eastAsia" w:ascii="仿宋_GB2312" w:hAnsi="仿宋_GB2312" w:eastAsia="仿宋_GB2312" w:cs="仿宋_GB2312"/>
          <w:color w:val="auto"/>
          <w:szCs w:val="21"/>
        </w:rPr>
        <w:t>3</w:t>
      </w:r>
      <w:r>
        <w:rPr>
          <w:rFonts w:ascii="仿宋_GB2312" w:hAnsi="仿宋_GB2312" w:eastAsia="仿宋_GB2312" w:cs="仿宋_GB2312"/>
          <w:color w:val="auto"/>
          <w:szCs w:val="21"/>
        </w:rPr>
        <w:t>.</w:t>
      </w:r>
      <w:r>
        <w:rPr>
          <w:rFonts w:hint="eastAsia" w:ascii="仿宋_GB2312" w:hAnsi="仿宋_GB2312" w:eastAsia="仿宋_GB2312" w:cs="仿宋_GB2312"/>
          <w:color w:val="auto"/>
          <w:szCs w:val="21"/>
        </w:rPr>
        <w:t>供应商为其他组织或者自然人时，本招标文件规定的法定代表人指负责人或者自然人。本招标文件所称负责人是指参加投标的其他组织营业执照上的负责人，本招标文件所称自然人指参与投标的自然人本人。</w:t>
      </w:r>
    </w:p>
    <w:p w14:paraId="11A376EE">
      <w:pPr>
        <w:snapToGrid w:val="0"/>
        <w:spacing w:beforeLines="50" w:after="50" w:line="360" w:lineRule="auto"/>
        <w:ind w:firstLine="495" w:firstLineChars="236"/>
        <w:jc w:val="center"/>
        <w:rPr>
          <w:rFonts w:ascii="宋体" w:hAnsi="宋体"/>
          <w:b/>
          <w:bCs/>
          <w:color w:val="auto"/>
          <w:sz w:val="24"/>
        </w:rPr>
      </w:pPr>
      <w:r>
        <w:rPr>
          <w:rFonts w:ascii="宋体" w:hAnsi="宋体"/>
          <w:color w:val="auto"/>
          <w:szCs w:val="21"/>
        </w:rPr>
        <w:br w:type="page"/>
      </w:r>
      <w:r>
        <w:rPr>
          <w:rFonts w:hint="eastAsia" w:ascii="宋体" w:hAnsi="宋体"/>
          <w:b/>
          <w:bCs/>
          <w:color w:val="auto"/>
          <w:sz w:val="24"/>
        </w:rPr>
        <w:t>法定代表人授权委托书</w:t>
      </w:r>
    </w:p>
    <w:p w14:paraId="69B1BB80">
      <w:pPr>
        <w:snapToGrid w:val="0"/>
        <w:spacing w:beforeLines="50" w:after="50"/>
        <w:ind w:firstLine="569" w:firstLineChars="236"/>
        <w:jc w:val="center"/>
        <w:rPr>
          <w:rFonts w:ascii="宋体" w:hAnsi="宋体"/>
          <w:b/>
          <w:bCs/>
          <w:color w:val="auto"/>
          <w:sz w:val="24"/>
        </w:rPr>
      </w:pPr>
      <w:r>
        <w:rPr>
          <w:rFonts w:hint="eastAsia" w:ascii="宋体" w:hAnsi="宋体"/>
          <w:b/>
          <w:bCs/>
          <w:color w:val="auto"/>
          <w:sz w:val="24"/>
        </w:rPr>
        <w:t>（联合体投标格式）</w:t>
      </w:r>
    </w:p>
    <w:p w14:paraId="196DF197">
      <w:pPr>
        <w:snapToGrid w:val="0"/>
        <w:spacing w:beforeLines="50" w:after="50"/>
        <w:ind w:firstLine="569" w:firstLineChars="236"/>
        <w:jc w:val="center"/>
        <w:rPr>
          <w:rFonts w:ascii="宋体" w:hAnsi="宋体"/>
          <w:color w:val="auto"/>
          <w:szCs w:val="21"/>
        </w:rPr>
      </w:pPr>
      <w:r>
        <w:rPr>
          <w:rFonts w:hint="eastAsia" w:ascii="宋体" w:hAnsi="宋体"/>
          <w:b/>
          <w:bCs/>
          <w:color w:val="auto"/>
          <w:sz w:val="24"/>
        </w:rPr>
        <w:t>（如有委托时）</w:t>
      </w:r>
    </w:p>
    <w:p w14:paraId="512F6362">
      <w:pPr>
        <w:snapToGrid w:val="0"/>
        <w:spacing w:beforeLines="50" w:after="50"/>
        <w:jc w:val="left"/>
        <w:rPr>
          <w:rFonts w:ascii="宋体" w:hAnsi="宋体"/>
          <w:color w:val="auto"/>
          <w:szCs w:val="21"/>
        </w:rPr>
      </w:pPr>
      <w:r>
        <w:rPr>
          <w:rFonts w:hint="eastAsia" w:ascii="宋体" w:hAnsi="宋体"/>
          <w:bCs/>
          <w:color w:val="auto"/>
          <w:szCs w:val="21"/>
        </w:rPr>
        <w:t>致：</w:t>
      </w:r>
      <w:r>
        <w:rPr>
          <w:rFonts w:hint="eastAsia" w:ascii="宋体" w:hAnsi="宋体"/>
          <w:color w:val="auto"/>
          <w:szCs w:val="21"/>
          <w:u w:val="single"/>
        </w:rPr>
        <w:t>采购人名称</w:t>
      </w:r>
      <w:r>
        <w:rPr>
          <w:rFonts w:hint="eastAsia" w:ascii="宋体" w:hAnsi="宋体"/>
          <w:color w:val="auto"/>
          <w:szCs w:val="21"/>
        </w:rPr>
        <w:t>：</w:t>
      </w:r>
    </w:p>
    <w:p w14:paraId="60A13A1F">
      <w:pPr>
        <w:snapToGrid w:val="0"/>
        <w:spacing w:beforeLines="50" w:after="50" w:line="360" w:lineRule="auto"/>
        <w:ind w:firstLine="495" w:firstLineChars="236"/>
        <w:rPr>
          <w:rFonts w:ascii="宋体" w:hAnsi="宋体"/>
          <w:color w:val="auto"/>
          <w:szCs w:val="21"/>
        </w:rPr>
      </w:pPr>
      <w:r>
        <w:rPr>
          <w:rFonts w:hint="eastAsia" w:ascii="宋体" w:hAnsi="宋体"/>
          <w:color w:val="auto"/>
          <w:szCs w:val="21"/>
        </w:rPr>
        <w:t xml:space="preserve">根据 </w:t>
      </w:r>
      <w:r>
        <w:rPr>
          <w:rFonts w:hint="eastAsia" w:ascii="宋体" w:hAnsi="宋体"/>
          <w:color w:val="auto"/>
          <w:szCs w:val="21"/>
          <w:u w:val="single"/>
        </w:rPr>
        <w:t xml:space="preserve"> （牵头人名称）</w:t>
      </w:r>
      <w:r>
        <w:rPr>
          <w:rFonts w:hint="eastAsia" w:ascii="宋体" w:hAnsi="宋体"/>
          <w:color w:val="auto"/>
          <w:szCs w:val="21"/>
        </w:rPr>
        <w:t>与</w:t>
      </w:r>
      <w:r>
        <w:rPr>
          <w:rFonts w:hint="eastAsia" w:ascii="宋体" w:hAnsi="宋体"/>
          <w:color w:val="auto"/>
          <w:szCs w:val="21"/>
          <w:u w:val="single"/>
        </w:rPr>
        <w:t>（联合体其他成员名称）</w:t>
      </w:r>
      <w:r>
        <w:rPr>
          <w:rFonts w:hint="eastAsia" w:ascii="宋体" w:hAnsi="宋体"/>
          <w:color w:val="auto"/>
          <w:szCs w:val="21"/>
        </w:rPr>
        <w:t>签订的《联合体投标协议书》的内容，</w:t>
      </w:r>
      <w:r>
        <w:rPr>
          <w:rFonts w:hint="eastAsia" w:ascii="宋体" w:hAnsi="宋体"/>
          <w:color w:val="auto"/>
          <w:szCs w:val="21"/>
          <w:u w:val="single"/>
        </w:rPr>
        <w:t>（牵头人名称）</w:t>
      </w:r>
      <w:r>
        <w:rPr>
          <w:rFonts w:hint="eastAsia" w:ascii="宋体" w:hAnsi="宋体"/>
          <w:color w:val="auto"/>
          <w:szCs w:val="21"/>
        </w:rPr>
        <w:t>的法定代表人</w:t>
      </w:r>
      <w:r>
        <w:rPr>
          <w:rFonts w:hint="eastAsia" w:ascii="宋体" w:hAnsi="宋体"/>
          <w:color w:val="auto"/>
          <w:szCs w:val="21"/>
          <w:u w:val="single"/>
          <w:lang w:val="en-US" w:eastAsia="zh-CN"/>
        </w:rPr>
        <w:t xml:space="preserve">   </w:t>
      </w:r>
      <w:r>
        <w:rPr>
          <w:rFonts w:hint="eastAsia" w:ascii="宋体" w:hAnsi="宋体"/>
          <w:color w:val="auto"/>
          <w:szCs w:val="21"/>
          <w:u w:val="single"/>
        </w:rPr>
        <w:t>（姓名）</w:t>
      </w:r>
      <w:r>
        <w:rPr>
          <w:rFonts w:hint="eastAsia" w:ascii="宋体" w:hAnsi="宋体"/>
          <w:color w:val="auto"/>
          <w:szCs w:val="21"/>
        </w:rPr>
        <w:t>现授权委托</w:t>
      </w:r>
      <w:r>
        <w:rPr>
          <w:rFonts w:hint="eastAsia" w:ascii="宋体" w:hAnsi="宋体"/>
          <w:color w:val="auto"/>
          <w:szCs w:val="21"/>
          <w:u w:val="single"/>
        </w:rPr>
        <w:t xml:space="preserve">              （姓名）</w:t>
      </w:r>
      <w:r>
        <w:rPr>
          <w:rFonts w:hint="eastAsia" w:ascii="宋体" w:hAnsi="宋体"/>
          <w:color w:val="auto"/>
          <w:szCs w:val="21"/>
        </w:rPr>
        <w:t>以我方的名义参加</w:t>
      </w:r>
      <w:r>
        <w:rPr>
          <w:rFonts w:hint="eastAsia" w:ascii="宋体" w:hAnsi="宋体"/>
          <w:color w:val="auto"/>
          <w:szCs w:val="21"/>
          <w:u w:val="single"/>
          <w:lang w:val="en-US" w:eastAsia="zh-CN"/>
        </w:rPr>
        <w:t xml:space="preserve">     </w:t>
      </w:r>
      <w:r>
        <w:rPr>
          <w:rFonts w:hint="eastAsia" w:ascii="宋体" w:hAnsi="宋体"/>
          <w:color w:val="auto"/>
          <w:szCs w:val="21"/>
        </w:rPr>
        <w:t>项目的投标活动，并代表我方全权办理针对上述项目的所有采购程序和环节的具体事务和签署相关文件。</w:t>
      </w:r>
    </w:p>
    <w:p w14:paraId="0FA5D6CE">
      <w:pPr>
        <w:snapToGrid w:val="0"/>
        <w:spacing w:beforeLines="50" w:after="50" w:line="360" w:lineRule="auto"/>
        <w:ind w:firstLine="495" w:firstLineChars="236"/>
        <w:rPr>
          <w:rFonts w:ascii="宋体" w:hAnsi="宋体"/>
          <w:color w:val="auto"/>
          <w:szCs w:val="21"/>
        </w:rPr>
      </w:pPr>
      <w:r>
        <w:rPr>
          <w:rFonts w:hint="eastAsia" w:ascii="宋体" w:hAnsi="宋体"/>
          <w:color w:val="auto"/>
          <w:szCs w:val="21"/>
        </w:rPr>
        <w:t>我方对委托代理人的签字事项负全部责任。</w:t>
      </w:r>
    </w:p>
    <w:p w14:paraId="313F38CE">
      <w:pPr>
        <w:snapToGrid w:val="0"/>
        <w:spacing w:beforeLines="50" w:after="50" w:line="360" w:lineRule="auto"/>
        <w:ind w:firstLine="495" w:firstLineChars="236"/>
        <w:rPr>
          <w:rFonts w:ascii="宋体" w:hAnsi="宋体"/>
          <w:color w:val="auto"/>
          <w:szCs w:val="21"/>
        </w:rPr>
      </w:pPr>
      <w:r>
        <w:rPr>
          <w:rFonts w:hint="eastAsia" w:ascii="宋体" w:hAnsi="宋体"/>
          <w:color w:val="auto"/>
          <w:szCs w:val="21"/>
        </w:rPr>
        <w:t>本授权书自签署之日起生效，在撤销授权的书面通知以前，本授权书一直有效。委托代理人在授权书有效期内签署的所有文件不因授权的撤销而失效。</w:t>
      </w:r>
    </w:p>
    <w:p w14:paraId="160454F8">
      <w:pPr>
        <w:snapToGrid w:val="0"/>
        <w:spacing w:beforeLines="50" w:after="50" w:line="360" w:lineRule="auto"/>
        <w:ind w:firstLine="495" w:firstLineChars="236"/>
        <w:rPr>
          <w:rFonts w:ascii="宋体" w:hAnsi="宋体"/>
          <w:color w:val="auto"/>
          <w:szCs w:val="21"/>
        </w:rPr>
      </w:pPr>
      <w:r>
        <w:rPr>
          <w:rFonts w:hint="eastAsia" w:ascii="宋体" w:hAnsi="宋体"/>
          <w:color w:val="auto"/>
          <w:szCs w:val="21"/>
        </w:rPr>
        <w:t>委托代理人无转委托权，特此委托。</w:t>
      </w:r>
    </w:p>
    <w:p w14:paraId="6D6558E8">
      <w:pPr>
        <w:snapToGrid w:val="0"/>
        <w:spacing w:beforeLines="50" w:after="50" w:line="360" w:lineRule="auto"/>
        <w:ind w:firstLine="495" w:firstLineChars="236"/>
        <w:rPr>
          <w:rFonts w:ascii="宋体" w:hAnsi="宋体"/>
          <w:color w:val="auto"/>
          <w:szCs w:val="21"/>
        </w:rPr>
      </w:pPr>
      <w:r>
        <w:rPr>
          <w:rFonts w:hint="eastAsia" w:ascii="宋体" w:hAnsi="宋体"/>
          <w:color w:val="auto"/>
          <w:szCs w:val="21"/>
        </w:rPr>
        <w:t>附：牵头人法定代表人身份证明及委托代理人有效身份证正反面复印件</w:t>
      </w:r>
    </w:p>
    <w:p w14:paraId="4DD6831A">
      <w:pPr>
        <w:snapToGrid w:val="0"/>
        <w:spacing w:beforeLines="50" w:after="50"/>
        <w:ind w:firstLine="495" w:firstLineChars="236"/>
        <w:rPr>
          <w:rFonts w:ascii="宋体" w:hAnsi="宋体"/>
          <w:color w:val="auto"/>
          <w:szCs w:val="21"/>
        </w:rPr>
      </w:pPr>
    </w:p>
    <w:p w14:paraId="3304AE19">
      <w:pPr>
        <w:snapToGrid w:val="0"/>
        <w:spacing w:beforeLines="50" w:after="50"/>
        <w:ind w:firstLine="495" w:firstLineChars="236"/>
        <w:rPr>
          <w:rFonts w:ascii="宋体" w:hAnsi="宋体"/>
          <w:color w:val="auto"/>
          <w:szCs w:val="21"/>
        </w:rPr>
      </w:pPr>
      <w:r>
        <w:rPr>
          <w:rFonts w:hint="eastAsia" w:ascii="宋体" w:hAnsi="宋体"/>
          <w:color w:val="auto"/>
          <w:szCs w:val="21"/>
        </w:rPr>
        <w:t>牵头人法定代表人（签字）：</w:t>
      </w:r>
    </w:p>
    <w:p w14:paraId="3918E071">
      <w:pPr>
        <w:snapToGrid w:val="0"/>
        <w:spacing w:beforeLines="50" w:after="50"/>
        <w:ind w:firstLine="495" w:firstLineChars="236"/>
        <w:rPr>
          <w:rFonts w:ascii="宋体" w:hAnsi="宋体"/>
          <w:color w:val="auto"/>
          <w:szCs w:val="21"/>
        </w:rPr>
      </w:pPr>
      <w:r>
        <w:rPr>
          <w:rFonts w:hint="eastAsia" w:ascii="宋体" w:hAnsi="宋体"/>
          <w:color w:val="auto"/>
          <w:szCs w:val="21"/>
        </w:rPr>
        <w:t>牵头人（盖公章）：</w:t>
      </w:r>
    </w:p>
    <w:p w14:paraId="4D898C01">
      <w:pPr>
        <w:snapToGrid w:val="0"/>
        <w:spacing w:beforeLines="50" w:after="50"/>
        <w:ind w:firstLine="495" w:firstLineChars="236"/>
        <w:rPr>
          <w:rFonts w:ascii="宋体" w:hAnsi="宋体"/>
          <w:color w:val="auto"/>
          <w:szCs w:val="21"/>
        </w:rPr>
      </w:pPr>
      <w:r>
        <w:rPr>
          <w:rFonts w:hint="eastAsia" w:ascii="宋体" w:hAnsi="宋体"/>
          <w:color w:val="auto"/>
          <w:szCs w:val="21"/>
        </w:rPr>
        <w:t>日期：    年   月   日</w:t>
      </w:r>
    </w:p>
    <w:p w14:paraId="3735F840">
      <w:pPr>
        <w:snapToGrid w:val="0"/>
        <w:spacing w:beforeLines="50" w:after="50"/>
        <w:ind w:firstLine="495" w:firstLineChars="236"/>
        <w:rPr>
          <w:rFonts w:ascii="宋体" w:hAnsi="宋体"/>
          <w:color w:val="auto"/>
          <w:szCs w:val="21"/>
        </w:rPr>
      </w:pPr>
    </w:p>
    <w:p w14:paraId="7F1A0124">
      <w:pPr>
        <w:snapToGrid w:val="0"/>
        <w:spacing w:beforeLines="50" w:after="50"/>
        <w:ind w:firstLine="495" w:firstLineChars="236"/>
        <w:rPr>
          <w:rFonts w:ascii="宋体" w:hAnsi="宋体"/>
          <w:color w:val="auto"/>
          <w:szCs w:val="21"/>
        </w:rPr>
      </w:pPr>
      <w:r>
        <w:rPr>
          <w:rFonts w:hint="eastAsia" w:ascii="宋体" w:hAnsi="宋体"/>
          <w:color w:val="auto"/>
          <w:szCs w:val="21"/>
        </w:rPr>
        <w:t>被授权人（签字）：</w:t>
      </w:r>
    </w:p>
    <w:p w14:paraId="13C67B30">
      <w:pPr>
        <w:snapToGrid w:val="0"/>
        <w:spacing w:beforeLines="50" w:after="50"/>
        <w:ind w:firstLine="495" w:firstLineChars="236"/>
        <w:rPr>
          <w:rFonts w:ascii="仿宋_GB2312" w:hAnsi="仿宋_GB2312" w:eastAsia="仿宋_GB2312" w:cs="仿宋_GB2312"/>
          <w:color w:val="auto"/>
          <w:sz w:val="24"/>
        </w:rPr>
      </w:pPr>
      <w:r>
        <w:rPr>
          <w:rFonts w:hint="eastAsia" w:ascii="宋体" w:hAnsi="宋体"/>
          <w:color w:val="auto"/>
          <w:szCs w:val="21"/>
        </w:rPr>
        <w:t>日期：    年   月   日</w:t>
      </w:r>
    </w:p>
    <w:p w14:paraId="45125498">
      <w:pPr>
        <w:spacing w:line="360" w:lineRule="auto"/>
        <w:rPr>
          <w:rFonts w:ascii="仿宋_GB2312" w:hAnsi="仿宋_GB2312" w:eastAsia="仿宋_GB2312" w:cs="仿宋_GB2312"/>
          <w:color w:val="auto"/>
          <w:szCs w:val="21"/>
        </w:rPr>
      </w:pPr>
    </w:p>
    <w:p w14:paraId="7C6C3A91">
      <w:pPr>
        <w:spacing w:line="360" w:lineRule="auto"/>
        <w:rPr>
          <w:rFonts w:ascii="仿宋_GB2312" w:hAnsi="仿宋_GB2312" w:eastAsia="仿宋_GB2312" w:cs="仿宋_GB2312"/>
          <w:color w:val="auto"/>
          <w:szCs w:val="21"/>
        </w:rPr>
      </w:pPr>
      <w:r>
        <w:rPr>
          <w:rFonts w:hint="eastAsia" w:ascii="仿宋_GB2312" w:hAnsi="仿宋_GB2312" w:eastAsia="仿宋_GB2312" w:cs="仿宋_GB2312"/>
          <w:color w:val="auto"/>
          <w:szCs w:val="21"/>
        </w:rPr>
        <w:t>注：1.法定代表人必须在授权委托书上签字或者盖章或者电子签名，委托代理人必须在授权委托书上签字或者电子签名，</w:t>
      </w:r>
      <w:r>
        <w:rPr>
          <w:rFonts w:hint="eastAsia" w:ascii="仿宋_GB2312" w:hAnsi="仿宋_GB2312" w:eastAsia="仿宋_GB2312" w:cs="仿宋_GB2312"/>
          <w:b/>
          <w:bCs/>
          <w:color w:val="auto"/>
          <w:szCs w:val="21"/>
        </w:rPr>
        <w:t>否则按无效投标处理</w:t>
      </w:r>
      <w:r>
        <w:rPr>
          <w:rFonts w:hint="eastAsia" w:ascii="仿宋_GB2312" w:hAnsi="仿宋_GB2312" w:eastAsia="仿宋_GB2312" w:cs="仿宋_GB2312"/>
          <w:color w:val="auto"/>
          <w:szCs w:val="21"/>
        </w:rPr>
        <w:t>；</w:t>
      </w:r>
    </w:p>
    <w:p w14:paraId="3CA07D02">
      <w:pPr>
        <w:spacing w:line="360" w:lineRule="auto"/>
        <w:ind w:firstLine="420" w:firstLineChars="200"/>
        <w:jc w:val="left"/>
        <w:rPr>
          <w:rFonts w:ascii="仿宋_GB2312" w:hAnsi="仿宋_GB2312" w:eastAsia="仿宋_GB2312" w:cs="仿宋_GB2312"/>
          <w:color w:val="auto"/>
          <w:szCs w:val="21"/>
        </w:rPr>
      </w:pPr>
      <w:r>
        <w:rPr>
          <w:rFonts w:hint="eastAsia" w:ascii="仿宋_GB2312" w:hAnsi="仿宋_GB2312" w:eastAsia="仿宋_GB2312" w:cs="仿宋_GB2312"/>
          <w:color w:val="auto"/>
          <w:szCs w:val="21"/>
        </w:rPr>
        <w:t>2.以联合体形式投标的，本授权委托书应由联合体牵头人的法定代表人按上述规定签署。</w:t>
      </w:r>
    </w:p>
    <w:p w14:paraId="4FA8C40C">
      <w:pPr>
        <w:snapToGrid w:val="0"/>
        <w:spacing w:before="50" w:afterLines="50" w:line="360" w:lineRule="auto"/>
        <w:ind w:firstLine="420" w:firstLineChars="200"/>
        <w:jc w:val="left"/>
        <w:rPr>
          <w:rFonts w:ascii="宋体" w:hAnsi="宋体"/>
          <w:color w:val="auto"/>
          <w:szCs w:val="21"/>
        </w:rPr>
        <w:sectPr>
          <w:footerReference r:id="rId12" w:type="first"/>
          <w:footerReference r:id="rId11" w:type="default"/>
          <w:pgSz w:w="11906" w:h="16838"/>
          <w:pgMar w:top="1134" w:right="1247" w:bottom="1560" w:left="1247" w:header="851" w:footer="992" w:gutter="0"/>
          <w:pgNumType w:fmt="decimal"/>
          <w:cols w:space="720" w:num="1"/>
          <w:titlePg/>
          <w:docGrid w:linePitch="312" w:charSpace="0"/>
        </w:sectPr>
      </w:pPr>
      <w:r>
        <w:rPr>
          <w:rFonts w:hint="eastAsia" w:ascii="仿宋_GB2312" w:hAnsi="仿宋_GB2312" w:eastAsia="仿宋_GB2312" w:cs="仿宋_GB2312"/>
          <w:color w:val="auto"/>
          <w:szCs w:val="21"/>
        </w:rPr>
        <w:t>3</w:t>
      </w:r>
      <w:r>
        <w:rPr>
          <w:rFonts w:ascii="仿宋_GB2312" w:hAnsi="仿宋_GB2312" w:eastAsia="仿宋_GB2312" w:cs="仿宋_GB2312"/>
          <w:color w:val="auto"/>
          <w:szCs w:val="21"/>
        </w:rPr>
        <w:t>.</w:t>
      </w:r>
      <w:r>
        <w:rPr>
          <w:rFonts w:hint="eastAsia" w:ascii="仿宋_GB2312" w:hAnsi="仿宋_GB2312" w:eastAsia="仿宋_GB2312" w:cs="仿宋_GB2312"/>
          <w:color w:val="auto"/>
          <w:szCs w:val="21"/>
        </w:rPr>
        <w:t xml:space="preserve"> 供应商为其他组织或者自然人时，本招标文件规定的法定代表人指负责人或者自然人。本招标文件所称负责人是指参加投标的其他组织营业执照上的负责人，本招标文件所称自然人指参与投标的自然人本</w:t>
      </w:r>
    </w:p>
    <w:p w14:paraId="00C57722">
      <w:pPr>
        <w:rPr>
          <w:rFonts w:ascii="宋体" w:hAnsi="宋体"/>
          <w:b/>
          <w:color w:val="auto"/>
          <w:sz w:val="24"/>
          <w:szCs w:val="20"/>
        </w:rPr>
      </w:pPr>
      <w:r>
        <w:rPr>
          <w:rFonts w:hint="eastAsia" w:ascii="宋体" w:hAnsi="宋体"/>
          <w:b/>
          <w:color w:val="auto"/>
          <w:sz w:val="24"/>
        </w:rPr>
        <w:t>4.商务条款偏离表(注：按项目需求表具体项目修改)</w:t>
      </w:r>
    </w:p>
    <w:p w14:paraId="6FA6E298">
      <w:pPr>
        <w:snapToGrid w:val="0"/>
        <w:spacing w:before="50"/>
        <w:jc w:val="left"/>
        <w:rPr>
          <w:rFonts w:ascii="宋体" w:hAnsi="宋体"/>
          <w:color w:val="auto"/>
          <w:sz w:val="24"/>
        </w:rPr>
      </w:pPr>
    </w:p>
    <w:p w14:paraId="5982890D">
      <w:pPr>
        <w:pStyle w:val="15"/>
        <w:rPr>
          <w:rFonts w:hAnsi="宋体"/>
          <w:color w:val="auto"/>
          <w:sz w:val="21"/>
          <w:u w:val="single"/>
        </w:rPr>
      </w:pPr>
      <w:r>
        <w:rPr>
          <w:rFonts w:hint="eastAsia" w:hAnsi="宋体"/>
          <w:color w:val="auto"/>
          <w:sz w:val="21"/>
        </w:rPr>
        <w:t>所投标项：</w:t>
      </w:r>
      <w:r>
        <w:rPr>
          <w:rFonts w:hint="eastAsia" w:hAnsi="宋体"/>
          <w:color w:val="auto"/>
          <w:sz w:val="21"/>
          <w:u w:val="single"/>
        </w:rPr>
        <w:t>标项</w:t>
      </w:r>
      <w:r>
        <w:rPr>
          <w:rFonts w:hint="eastAsia" w:hAnsi="宋体"/>
          <w:color w:val="auto"/>
          <w:sz w:val="21"/>
          <w:u w:val="single"/>
          <w:lang w:val="en-US" w:eastAsia="zh-CN"/>
        </w:rPr>
        <w:t xml:space="preserve">   </w:t>
      </w:r>
    </w:p>
    <w:p w14:paraId="65501A62">
      <w:pPr>
        <w:snapToGrid w:val="0"/>
        <w:spacing w:before="50"/>
        <w:jc w:val="left"/>
        <w:rPr>
          <w:rFonts w:ascii="宋体" w:hAnsi="宋体"/>
          <w:color w:val="auto"/>
          <w:szCs w:val="21"/>
          <w:u w:val="single"/>
        </w:rPr>
      </w:pPr>
    </w:p>
    <w:tbl>
      <w:tblPr>
        <w:tblStyle w:val="25"/>
        <w:tblW w:w="0" w:type="auto"/>
        <w:tblInd w:w="-11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10"/>
        <w:gridCol w:w="3336"/>
        <w:gridCol w:w="1760"/>
        <w:gridCol w:w="2035"/>
      </w:tblGrid>
      <w:tr w14:paraId="61DC64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10" w:type="dxa"/>
            <w:tcBorders>
              <w:top w:val="single" w:color="auto" w:sz="4" w:space="0"/>
              <w:left w:val="single" w:color="auto" w:sz="4" w:space="0"/>
              <w:bottom w:val="single" w:color="auto" w:sz="4" w:space="0"/>
              <w:right w:val="single" w:color="auto" w:sz="4" w:space="0"/>
            </w:tcBorders>
          </w:tcPr>
          <w:p w14:paraId="29A14E6D">
            <w:pPr>
              <w:snapToGrid w:val="0"/>
              <w:spacing w:beforeLines="50"/>
              <w:jc w:val="center"/>
              <w:rPr>
                <w:rFonts w:ascii="宋体" w:hAnsi="宋体"/>
                <w:b/>
                <w:bCs/>
                <w:color w:val="auto"/>
                <w:szCs w:val="21"/>
              </w:rPr>
            </w:pPr>
            <w:r>
              <w:rPr>
                <w:rFonts w:hint="eastAsia" w:ascii="宋体" w:hAnsi="宋体"/>
                <w:b/>
                <w:bCs/>
                <w:color w:val="auto"/>
                <w:szCs w:val="21"/>
              </w:rPr>
              <w:t>项目</w:t>
            </w:r>
          </w:p>
        </w:tc>
        <w:tc>
          <w:tcPr>
            <w:tcW w:w="3336" w:type="dxa"/>
            <w:tcBorders>
              <w:top w:val="single" w:color="auto" w:sz="4" w:space="0"/>
              <w:left w:val="single" w:color="auto" w:sz="4" w:space="0"/>
              <w:bottom w:val="single" w:color="auto" w:sz="4" w:space="0"/>
              <w:right w:val="single" w:color="auto" w:sz="4" w:space="0"/>
            </w:tcBorders>
          </w:tcPr>
          <w:p w14:paraId="3506B9C2">
            <w:pPr>
              <w:snapToGrid w:val="0"/>
              <w:spacing w:beforeLines="50"/>
              <w:jc w:val="center"/>
              <w:rPr>
                <w:rFonts w:ascii="宋体" w:hAnsi="宋体"/>
                <w:b/>
                <w:bCs/>
                <w:color w:val="auto"/>
                <w:szCs w:val="21"/>
              </w:rPr>
            </w:pPr>
            <w:r>
              <w:rPr>
                <w:rFonts w:hint="eastAsia" w:ascii="宋体" w:hAnsi="宋体"/>
                <w:b/>
                <w:bCs/>
                <w:color w:val="auto"/>
                <w:szCs w:val="21"/>
              </w:rPr>
              <w:t>招标文件商务条款要求</w:t>
            </w:r>
          </w:p>
        </w:tc>
        <w:tc>
          <w:tcPr>
            <w:tcW w:w="1760" w:type="dxa"/>
            <w:tcBorders>
              <w:top w:val="single" w:color="auto" w:sz="4" w:space="0"/>
              <w:left w:val="single" w:color="auto" w:sz="4" w:space="0"/>
              <w:bottom w:val="single" w:color="auto" w:sz="4" w:space="0"/>
              <w:right w:val="single" w:color="auto" w:sz="4" w:space="0"/>
            </w:tcBorders>
          </w:tcPr>
          <w:p w14:paraId="03268B4C">
            <w:pPr>
              <w:snapToGrid w:val="0"/>
              <w:spacing w:beforeLines="50"/>
              <w:jc w:val="center"/>
              <w:rPr>
                <w:rFonts w:ascii="宋体" w:hAnsi="宋体"/>
                <w:b/>
                <w:bCs/>
                <w:color w:val="auto"/>
                <w:szCs w:val="21"/>
              </w:rPr>
            </w:pPr>
            <w:r>
              <w:rPr>
                <w:rFonts w:hint="eastAsia" w:ascii="宋体" w:hAnsi="宋体"/>
                <w:b/>
                <w:bCs/>
                <w:color w:val="auto"/>
                <w:szCs w:val="21"/>
              </w:rPr>
              <w:t>投标人的承诺</w:t>
            </w:r>
          </w:p>
        </w:tc>
        <w:tc>
          <w:tcPr>
            <w:tcW w:w="2035" w:type="dxa"/>
            <w:tcBorders>
              <w:top w:val="single" w:color="auto" w:sz="4" w:space="0"/>
              <w:left w:val="single" w:color="auto" w:sz="4" w:space="0"/>
              <w:bottom w:val="single" w:color="auto" w:sz="4" w:space="0"/>
              <w:right w:val="single" w:color="auto" w:sz="4" w:space="0"/>
            </w:tcBorders>
          </w:tcPr>
          <w:p w14:paraId="7FF655A5">
            <w:pPr>
              <w:snapToGrid w:val="0"/>
              <w:spacing w:beforeLines="50"/>
              <w:jc w:val="center"/>
              <w:rPr>
                <w:rFonts w:ascii="宋体" w:hAnsi="宋体"/>
                <w:b/>
                <w:bCs/>
                <w:color w:val="auto"/>
                <w:szCs w:val="21"/>
              </w:rPr>
            </w:pPr>
            <w:r>
              <w:rPr>
                <w:rFonts w:hint="eastAsia" w:ascii="宋体" w:hAnsi="宋体"/>
                <w:b/>
                <w:bCs/>
                <w:color w:val="auto"/>
                <w:szCs w:val="21"/>
              </w:rPr>
              <w:t>偏离说明</w:t>
            </w:r>
          </w:p>
        </w:tc>
      </w:tr>
      <w:tr w14:paraId="46FD6C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1510" w:type="dxa"/>
            <w:tcBorders>
              <w:top w:val="single" w:color="auto" w:sz="4" w:space="0"/>
              <w:left w:val="single" w:color="auto" w:sz="4" w:space="0"/>
              <w:bottom w:val="single" w:color="auto" w:sz="4" w:space="0"/>
              <w:right w:val="single" w:color="auto" w:sz="4" w:space="0"/>
            </w:tcBorders>
            <w:vAlign w:val="center"/>
          </w:tcPr>
          <w:p w14:paraId="505F87FA">
            <w:pPr>
              <w:pStyle w:val="34"/>
              <w:spacing w:before="172" w:line="156" w:lineRule="exact"/>
              <w:ind w:left="118"/>
              <w:jc w:val="center"/>
              <w:rPr>
                <w:color w:val="auto"/>
                <w:szCs w:val="21"/>
              </w:rPr>
            </w:pPr>
            <w:r>
              <w:rPr>
                <w:color w:val="auto"/>
                <w:position w:val="-4"/>
              </w:rPr>
              <w:t>一</w:t>
            </w:r>
          </w:p>
        </w:tc>
        <w:tc>
          <w:tcPr>
            <w:tcW w:w="3336" w:type="dxa"/>
            <w:tcBorders>
              <w:top w:val="single" w:color="auto" w:sz="4" w:space="0"/>
              <w:left w:val="single" w:color="auto" w:sz="4" w:space="0"/>
              <w:bottom w:val="single" w:color="auto" w:sz="4" w:space="0"/>
              <w:right w:val="single" w:color="auto" w:sz="4" w:space="0"/>
            </w:tcBorders>
            <w:vAlign w:val="center"/>
          </w:tcPr>
          <w:p w14:paraId="1D8EE9A5">
            <w:pPr>
              <w:pStyle w:val="34"/>
              <w:spacing w:before="94" w:line="270" w:lineRule="exact"/>
              <w:ind w:left="126"/>
              <w:jc w:val="left"/>
              <w:rPr>
                <w:color w:val="auto"/>
              </w:rPr>
            </w:pPr>
            <w:r>
              <w:rPr>
                <w:color w:val="auto"/>
                <w:spacing w:val="-8"/>
                <w:position w:val="1"/>
              </w:rPr>
              <w:t>1……</w:t>
            </w:r>
          </w:p>
          <w:p w14:paraId="701F55E3">
            <w:pPr>
              <w:pStyle w:val="34"/>
              <w:spacing w:before="68" w:line="270" w:lineRule="exact"/>
              <w:ind w:left="113"/>
              <w:jc w:val="left"/>
              <w:rPr>
                <w:color w:val="auto"/>
              </w:rPr>
            </w:pPr>
            <w:r>
              <w:rPr>
                <w:color w:val="auto"/>
                <w:spacing w:val="-4"/>
                <w:position w:val="1"/>
              </w:rPr>
              <w:t>2……</w:t>
            </w:r>
          </w:p>
          <w:p w14:paraId="27042DED">
            <w:pPr>
              <w:pStyle w:val="34"/>
              <w:spacing w:before="70" w:line="269" w:lineRule="exact"/>
              <w:ind w:left="115"/>
              <w:jc w:val="left"/>
              <w:rPr>
                <w:color w:val="auto"/>
              </w:rPr>
            </w:pPr>
            <w:r>
              <w:rPr>
                <w:color w:val="auto"/>
                <w:spacing w:val="-4"/>
                <w:position w:val="1"/>
              </w:rPr>
              <w:t>3……</w:t>
            </w:r>
          </w:p>
          <w:p w14:paraId="5D2EA9B2">
            <w:pPr>
              <w:spacing w:before="159" w:line="35" w:lineRule="exact"/>
              <w:ind w:firstLine="124"/>
              <w:jc w:val="left"/>
              <w:rPr>
                <w:rFonts w:ascii="宋体" w:hAnsi="宋体"/>
                <w:color w:val="auto"/>
                <w:szCs w:val="21"/>
              </w:rPr>
            </w:pPr>
            <w:r>
              <w:rPr>
                <w:color w:val="auto"/>
              </w:rPr>
              <w:drawing>
                <wp:inline distT="0" distB="0" distL="114300" distR="114300">
                  <wp:extent cx="227330" cy="21590"/>
                  <wp:effectExtent l="0" t="0" r="1270" b="3810"/>
                  <wp:docPr id="6" name="图片 1"/>
                  <wp:cNvGraphicFramePr/>
                  <a:graphic xmlns:a="http://schemas.openxmlformats.org/drawingml/2006/main">
                    <a:graphicData uri="http://schemas.openxmlformats.org/drawingml/2006/picture">
                      <pic:pic xmlns:pic="http://schemas.openxmlformats.org/drawingml/2006/picture">
                        <pic:nvPicPr>
                          <pic:cNvPr id="6" name="图片 1"/>
                          <pic:cNvPicPr/>
                        </pic:nvPicPr>
                        <pic:blipFill>
                          <a:blip r:embed="rId17"/>
                          <a:stretch>
                            <a:fillRect/>
                          </a:stretch>
                        </pic:blipFill>
                        <pic:spPr>
                          <a:xfrm>
                            <a:off x="0" y="0"/>
                            <a:ext cx="227330" cy="21590"/>
                          </a:xfrm>
                          <a:prstGeom prst="rect">
                            <a:avLst/>
                          </a:prstGeom>
                          <a:noFill/>
                          <a:ln>
                            <a:noFill/>
                          </a:ln>
                        </pic:spPr>
                      </pic:pic>
                    </a:graphicData>
                  </a:graphic>
                </wp:inline>
              </w:drawing>
            </w:r>
          </w:p>
        </w:tc>
        <w:tc>
          <w:tcPr>
            <w:tcW w:w="1760" w:type="dxa"/>
            <w:tcBorders>
              <w:top w:val="single" w:color="auto" w:sz="4" w:space="0"/>
              <w:left w:val="single" w:color="auto" w:sz="4" w:space="0"/>
              <w:bottom w:val="single" w:color="auto" w:sz="4" w:space="0"/>
              <w:right w:val="single" w:color="auto" w:sz="4" w:space="0"/>
            </w:tcBorders>
            <w:vAlign w:val="center"/>
          </w:tcPr>
          <w:p w14:paraId="1BCB75E1">
            <w:pPr>
              <w:pStyle w:val="34"/>
              <w:spacing w:before="94" w:line="270" w:lineRule="exact"/>
              <w:ind w:left="129"/>
              <w:jc w:val="left"/>
              <w:rPr>
                <w:color w:val="auto"/>
              </w:rPr>
            </w:pPr>
            <w:r>
              <w:rPr>
                <w:color w:val="auto"/>
                <w:spacing w:val="-8"/>
                <w:position w:val="1"/>
              </w:rPr>
              <w:t>1……</w:t>
            </w:r>
          </w:p>
          <w:p w14:paraId="4A08A917">
            <w:pPr>
              <w:pStyle w:val="34"/>
              <w:spacing w:before="68" w:line="270" w:lineRule="exact"/>
              <w:ind w:left="116"/>
              <w:jc w:val="left"/>
              <w:rPr>
                <w:color w:val="auto"/>
              </w:rPr>
            </w:pPr>
            <w:r>
              <w:rPr>
                <w:color w:val="auto"/>
                <w:spacing w:val="-4"/>
                <w:position w:val="1"/>
              </w:rPr>
              <w:t>2……</w:t>
            </w:r>
          </w:p>
          <w:p w14:paraId="193BC1D9">
            <w:pPr>
              <w:pStyle w:val="34"/>
              <w:spacing w:before="70" w:line="269" w:lineRule="exact"/>
              <w:ind w:left="117"/>
              <w:jc w:val="left"/>
              <w:rPr>
                <w:color w:val="auto"/>
              </w:rPr>
            </w:pPr>
            <w:r>
              <w:rPr>
                <w:color w:val="auto"/>
                <w:spacing w:val="-4"/>
                <w:position w:val="1"/>
              </w:rPr>
              <w:t>3……</w:t>
            </w:r>
          </w:p>
          <w:p w14:paraId="01E3EDB5">
            <w:pPr>
              <w:spacing w:before="159" w:line="35" w:lineRule="exact"/>
              <w:ind w:firstLine="126"/>
              <w:jc w:val="left"/>
              <w:rPr>
                <w:rFonts w:ascii="宋体" w:hAnsi="宋体"/>
                <w:color w:val="auto"/>
                <w:szCs w:val="21"/>
              </w:rPr>
            </w:pPr>
            <w:r>
              <w:rPr>
                <w:color w:val="auto"/>
              </w:rPr>
              <w:drawing>
                <wp:inline distT="0" distB="0" distL="114300" distR="114300">
                  <wp:extent cx="251460" cy="21590"/>
                  <wp:effectExtent l="0" t="0" r="2540" b="3810"/>
                  <wp:docPr id="11" name="图片 2"/>
                  <wp:cNvGraphicFramePr/>
                  <a:graphic xmlns:a="http://schemas.openxmlformats.org/drawingml/2006/main">
                    <a:graphicData uri="http://schemas.openxmlformats.org/drawingml/2006/picture">
                      <pic:pic xmlns:pic="http://schemas.openxmlformats.org/drawingml/2006/picture">
                        <pic:nvPicPr>
                          <pic:cNvPr id="11" name="图片 2"/>
                          <pic:cNvPicPr/>
                        </pic:nvPicPr>
                        <pic:blipFill>
                          <a:blip r:embed="rId18"/>
                          <a:stretch>
                            <a:fillRect/>
                          </a:stretch>
                        </pic:blipFill>
                        <pic:spPr>
                          <a:xfrm>
                            <a:off x="0" y="0"/>
                            <a:ext cx="251460" cy="21590"/>
                          </a:xfrm>
                          <a:prstGeom prst="rect">
                            <a:avLst/>
                          </a:prstGeom>
                          <a:noFill/>
                          <a:ln>
                            <a:noFill/>
                          </a:ln>
                        </pic:spPr>
                      </pic:pic>
                    </a:graphicData>
                  </a:graphic>
                </wp:inline>
              </w:drawing>
            </w:r>
          </w:p>
        </w:tc>
        <w:tc>
          <w:tcPr>
            <w:tcW w:w="2035" w:type="dxa"/>
            <w:tcBorders>
              <w:top w:val="single" w:color="auto" w:sz="4" w:space="0"/>
              <w:left w:val="single" w:color="auto" w:sz="4" w:space="0"/>
              <w:bottom w:val="single" w:color="auto" w:sz="4" w:space="0"/>
              <w:right w:val="single" w:color="auto" w:sz="4" w:space="0"/>
            </w:tcBorders>
            <w:vAlign w:val="center"/>
          </w:tcPr>
          <w:p w14:paraId="2942466F">
            <w:pPr>
              <w:pStyle w:val="34"/>
              <w:spacing w:before="60" w:line="228" w:lineRule="auto"/>
              <w:ind w:left="121"/>
              <w:jc w:val="center"/>
              <w:rPr>
                <w:color w:val="auto"/>
                <w:szCs w:val="21"/>
                <w:lang w:eastAsia="zh-CN"/>
              </w:rPr>
            </w:pPr>
            <w:r>
              <w:rPr>
                <w:color w:val="auto"/>
                <w:spacing w:val="8"/>
                <w:lang w:eastAsia="zh-CN"/>
              </w:rPr>
              <w:t>正偏离（负</w:t>
            </w:r>
            <w:r>
              <w:rPr>
                <w:color w:val="auto"/>
                <w:spacing w:val="9"/>
                <w:lang w:eastAsia="zh-CN"/>
              </w:rPr>
              <w:t>偏离或无偏</w:t>
            </w:r>
            <w:r>
              <w:rPr>
                <w:color w:val="auto"/>
                <w:spacing w:val="-2"/>
                <w:lang w:eastAsia="zh-CN"/>
              </w:rPr>
              <w:t>离）</w:t>
            </w:r>
          </w:p>
        </w:tc>
      </w:tr>
      <w:tr w14:paraId="505FDF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1510" w:type="dxa"/>
            <w:tcBorders>
              <w:top w:val="single" w:color="auto" w:sz="4" w:space="0"/>
              <w:left w:val="single" w:color="auto" w:sz="4" w:space="0"/>
              <w:bottom w:val="single" w:color="auto" w:sz="4" w:space="0"/>
              <w:right w:val="single" w:color="auto" w:sz="4" w:space="0"/>
            </w:tcBorders>
            <w:vAlign w:val="center"/>
          </w:tcPr>
          <w:p w14:paraId="7E9C37B9">
            <w:pPr>
              <w:pStyle w:val="34"/>
              <w:spacing w:before="135" w:line="183" w:lineRule="auto"/>
              <w:ind w:left="118"/>
              <w:jc w:val="center"/>
              <w:rPr>
                <w:color w:val="auto"/>
                <w:szCs w:val="21"/>
              </w:rPr>
            </w:pPr>
            <w:r>
              <w:rPr>
                <w:color w:val="auto"/>
              </w:rPr>
              <w:t>二</w:t>
            </w:r>
          </w:p>
        </w:tc>
        <w:tc>
          <w:tcPr>
            <w:tcW w:w="3336" w:type="dxa"/>
            <w:tcBorders>
              <w:top w:val="single" w:color="auto" w:sz="4" w:space="0"/>
              <w:left w:val="single" w:color="auto" w:sz="4" w:space="0"/>
              <w:bottom w:val="single" w:color="auto" w:sz="4" w:space="0"/>
              <w:right w:val="single" w:color="auto" w:sz="4" w:space="0"/>
            </w:tcBorders>
            <w:vAlign w:val="center"/>
          </w:tcPr>
          <w:p w14:paraId="5545B9BA">
            <w:pPr>
              <w:pStyle w:val="34"/>
              <w:spacing w:before="96" w:line="270" w:lineRule="exact"/>
              <w:ind w:left="126"/>
              <w:jc w:val="left"/>
              <w:rPr>
                <w:color w:val="auto"/>
              </w:rPr>
            </w:pPr>
            <w:r>
              <w:rPr>
                <w:color w:val="auto"/>
                <w:spacing w:val="-8"/>
                <w:position w:val="1"/>
              </w:rPr>
              <w:t>1……</w:t>
            </w:r>
          </w:p>
          <w:p w14:paraId="51070236">
            <w:pPr>
              <w:pStyle w:val="34"/>
              <w:spacing w:before="68" w:line="270" w:lineRule="exact"/>
              <w:ind w:left="113"/>
              <w:jc w:val="left"/>
              <w:rPr>
                <w:color w:val="auto"/>
              </w:rPr>
            </w:pPr>
            <w:r>
              <w:rPr>
                <w:color w:val="auto"/>
                <w:spacing w:val="-4"/>
                <w:position w:val="1"/>
              </w:rPr>
              <w:t>2……</w:t>
            </w:r>
          </w:p>
          <w:p w14:paraId="7C939528">
            <w:pPr>
              <w:pStyle w:val="34"/>
              <w:spacing w:before="70" w:line="269" w:lineRule="exact"/>
              <w:ind w:left="115"/>
              <w:jc w:val="left"/>
              <w:rPr>
                <w:color w:val="auto"/>
              </w:rPr>
            </w:pPr>
            <w:r>
              <w:rPr>
                <w:color w:val="auto"/>
                <w:spacing w:val="-4"/>
                <w:position w:val="1"/>
              </w:rPr>
              <w:t>3……</w:t>
            </w:r>
          </w:p>
          <w:p w14:paraId="02D34961">
            <w:pPr>
              <w:spacing w:before="148" w:line="38" w:lineRule="exact"/>
              <w:ind w:firstLine="124"/>
              <w:jc w:val="left"/>
              <w:rPr>
                <w:rFonts w:ascii="宋体" w:hAnsi="宋体"/>
                <w:color w:val="auto"/>
                <w:szCs w:val="21"/>
                <w:u w:val="single"/>
              </w:rPr>
            </w:pPr>
            <w:r>
              <w:rPr>
                <w:color w:val="auto"/>
              </w:rPr>
              <w:drawing>
                <wp:inline distT="0" distB="0" distL="114300" distR="114300">
                  <wp:extent cx="227330" cy="23495"/>
                  <wp:effectExtent l="0" t="0" r="1270" b="1905"/>
                  <wp:docPr id="7" name="图片 3"/>
                  <wp:cNvGraphicFramePr/>
                  <a:graphic xmlns:a="http://schemas.openxmlformats.org/drawingml/2006/main">
                    <a:graphicData uri="http://schemas.openxmlformats.org/drawingml/2006/picture">
                      <pic:pic xmlns:pic="http://schemas.openxmlformats.org/drawingml/2006/picture">
                        <pic:nvPicPr>
                          <pic:cNvPr id="7" name="图片 3"/>
                          <pic:cNvPicPr/>
                        </pic:nvPicPr>
                        <pic:blipFill>
                          <a:blip r:embed="rId19"/>
                          <a:stretch>
                            <a:fillRect/>
                          </a:stretch>
                        </pic:blipFill>
                        <pic:spPr>
                          <a:xfrm>
                            <a:off x="0" y="0"/>
                            <a:ext cx="227330" cy="23495"/>
                          </a:xfrm>
                          <a:prstGeom prst="rect">
                            <a:avLst/>
                          </a:prstGeom>
                          <a:noFill/>
                          <a:ln>
                            <a:noFill/>
                          </a:ln>
                        </pic:spPr>
                      </pic:pic>
                    </a:graphicData>
                  </a:graphic>
                </wp:inline>
              </w:drawing>
            </w:r>
          </w:p>
        </w:tc>
        <w:tc>
          <w:tcPr>
            <w:tcW w:w="1760" w:type="dxa"/>
            <w:tcBorders>
              <w:top w:val="single" w:color="auto" w:sz="4" w:space="0"/>
              <w:left w:val="single" w:color="auto" w:sz="4" w:space="0"/>
              <w:bottom w:val="single" w:color="auto" w:sz="4" w:space="0"/>
              <w:right w:val="single" w:color="auto" w:sz="4" w:space="0"/>
            </w:tcBorders>
            <w:vAlign w:val="center"/>
          </w:tcPr>
          <w:p w14:paraId="5D992F63">
            <w:pPr>
              <w:pStyle w:val="34"/>
              <w:spacing w:before="96" w:line="270" w:lineRule="exact"/>
              <w:ind w:left="129"/>
              <w:jc w:val="left"/>
              <w:rPr>
                <w:color w:val="auto"/>
              </w:rPr>
            </w:pPr>
            <w:r>
              <w:rPr>
                <w:color w:val="auto"/>
                <w:spacing w:val="-8"/>
                <w:position w:val="1"/>
              </w:rPr>
              <w:t>1……</w:t>
            </w:r>
          </w:p>
          <w:p w14:paraId="0614D0E0">
            <w:pPr>
              <w:pStyle w:val="34"/>
              <w:spacing w:before="68" w:line="270" w:lineRule="exact"/>
              <w:ind w:left="116"/>
              <w:jc w:val="left"/>
              <w:rPr>
                <w:color w:val="auto"/>
              </w:rPr>
            </w:pPr>
            <w:r>
              <w:rPr>
                <w:color w:val="auto"/>
                <w:spacing w:val="-4"/>
                <w:position w:val="1"/>
              </w:rPr>
              <w:t>2……</w:t>
            </w:r>
          </w:p>
          <w:p w14:paraId="1A4FD588">
            <w:pPr>
              <w:pStyle w:val="34"/>
              <w:spacing w:before="70" w:line="269" w:lineRule="exact"/>
              <w:ind w:left="117"/>
              <w:jc w:val="left"/>
              <w:rPr>
                <w:color w:val="auto"/>
              </w:rPr>
            </w:pPr>
            <w:r>
              <w:rPr>
                <w:color w:val="auto"/>
                <w:spacing w:val="-4"/>
                <w:position w:val="1"/>
              </w:rPr>
              <w:t>3……</w:t>
            </w:r>
          </w:p>
          <w:p w14:paraId="5D71A769">
            <w:pPr>
              <w:spacing w:before="148" w:line="38" w:lineRule="exact"/>
              <w:ind w:firstLine="126"/>
              <w:jc w:val="left"/>
              <w:rPr>
                <w:rFonts w:ascii="宋体" w:hAnsi="宋体"/>
                <w:color w:val="auto"/>
                <w:szCs w:val="21"/>
              </w:rPr>
            </w:pPr>
            <w:r>
              <w:rPr>
                <w:color w:val="auto"/>
              </w:rPr>
              <w:drawing>
                <wp:inline distT="0" distB="0" distL="114300" distR="114300">
                  <wp:extent cx="251460" cy="23495"/>
                  <wp:effectExtent l="0" t="0" r="2540" b="1905"/>
                  <wp:docPr id="8" name="图片 4"/>
                  <wp:cNvGraphicFramePr/>
                  <a:graphic xmlns:a="http://schemas.openxmlformats.org/drawingml/2006/main">
                    <a:graphicData uri="http://schemas.openxmlformats.org/drawingml/2006/picture">
                      <pic:pic xmlns:pic="http://schemas.openxmlformats.org/drawingml/2006/picture">
                        <pic:nvPicPr>
                          <pic:cNvPr id="8" name="图片 4"/>
                          <pic:cNvPicPr/>
                        </pic:nvPicPr>
                        <pic:blipFill>
                          <a:blip r:embed="rId20"/>
                          <a:stretch>
                            <a:fillRect/>
                          </a:stretch>
                        </pic:blipFill>
                        <pic:spPr>
                          <a:xfrm>
                            <a:off x="0" y="0"/>
                            <a:ext cx="251460" cy="23495"/>
                          </a:xfrm>
                          <a:prstGeom prst="rect">
                            <a:avLst/>
                          </a:prstGeom>
                          <a:noFill/>
                          <a:ln>
                            <a:noFill/>
                          </a:ln>
                        </pic:spPr>
                      </pic:pic>
                    </a:graphicData>
                  </a:graphic>
                </wp:inline>
              </w:drawing>
            </w:r>
          </w:p>
        </w:tc>
        <w:tc>
          <w:tcPr>
            <w:tcW w:w="2035" w:type="dxa"/>
            <w:tcBorders>
              <w:top w:val="single" w:color="auto" w:sz="4" w:space="0"/>
              <w:left w:val="single" w:color="auto" w:sz="4" w:space="0"/>
              <w:bottom w:val="single" w:color="auto" w:sz="4" w:space="0"/>
              <w:right w:val="single" w:color="auto" w:sz="4" w:space="0"/>
            </w:tcBorders>
            <w:vAlign w:val="center"/>
          </w:tcPr>
          <w:p w14:paraId="0174DD37">
            <w:pPr>
              <w:pStyle w:val="34"/>
              <w:spacing w:before="60" w:line="228" w:lineRule="auto"/>
              <w:ind w:left="121"/>
              <w:jc w:val="center"/>
              <w:rPr>
                <w:color w:val="auto"/>
                <w:szCs w:val="21"/>
                <w:lang w:eastAsia="zh-CN"/>
              </w:rPr>
            </w:pPr>
            <w:r>
              <w:rPr>
                <w:color w:val="auto"/>
                <w:spacing w:val="8"/>
                <w:lang w:eastAsia="zh-CN"/>
              </w:rPr>
              <w:t>正偏离（负</w:t>
            </w:r>
            <w:r>
              <w:rPr>
                <w:color w:val="auto"/>
                <w:spacing w:val="9"/>
                <w:lang w:eastAsia="zh-CN"/>
              </w:rPr>
              <w:t>偏离或无偏</w:t>
            </w:r>
            <w:r>
              <w:rPr>
                <w:color w:val="auto"/>
                <w:spacing w:val="-2"/>
                <w:lang w:eastAsia="zh-CN"/>
              </w:rPr>
              <w:t>离）</w:t>
            </w:r>
          </w:p>
        </w:tc>
      </w:tr>
      <w:tr w14:paraId="13D30B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2" w:hRule="atLeast"/>
        </w:trPr>
        <w:tc>
          <w:tcPr>
            <w:tcW w:w="1510" w:type="dxa"/>
            <w:tcBorders>
              <w:top w:val="single" w:color="auto" w:sz="4" w:space="0"/>
              <w:left w:val="single" w:color="auto" w:sz="4" w:space="0"/>
              <w:bottom w:val="single" w:color="auto" w:sz="4" w:space="0"/>
              <w:right w:val="single" w:color="auto" w:sz="4" w:space="0"/>
            </w:tcBorders>
            <w:vAlign w:val="center"/>
          </w:tcPr>
          <w:p w14:paraId="56B0EADF">
            <w:pPr>
              <w:pStyle w:val="34"/>
              <w:spacing w:before="249" w:line="84" w:lineRule="exact"/>
              <w:ind w:left="120"/>
              <w:jc w:val="center"/>
              <w:rPr>
                <w:color w:val="auto"/>
                <w:szCs w:val="21"/>
              </w:rPr>
            </w:pPr>
            <w:r>
              <w:rPr>
                <w:color w:val="auto"/>
                <w:spacing w:val="3"/>
                <w:position w:val="1"/>
              </w:rPr>
              <w:t>...</w:t>
            </w:r>
          </w:p>
        </w:tc>
        <w:tc>
          <w:tcPr>
            <w:tcW w:w="3336" w:type="dxa"/>
            <w:tcBorders>
              <w:top w:val="single" w:color="auto" w:sz="4" w:space="0"/>
              <w:left w:val="single" w:color="auto" w:sz="4" w:space="0"/>
              <w:bottom w:val="single" w:color="auto" w:sz="4" w:space="0"/>
              <w:right w:val="single" w:color="auto" w:sz="4" w:space="0"/>
            </w:tcBorders>
            <w:vAlign w:val="center"/>
          </w:tcPr>
          <w:p w14:paraId="58A0F156">
            <w:pPr>
              <w:pStyle w:val="34"/>
              <w:spacing w:before="95" w:line="270" w:lineRule="exact"/>
              <w:ind w:left="126"/>
              <w:jc w:val="left"/>
              <w:rPr>
                <w:color w:val="auto"/>
              </w:rPr>
            </w:pPr>
            <w:r>
              <w:rPr>
                <w:color w:val="auto"/>
                <w:spacing w:val="-8"/>
                <w:position w:val="1"/>
              </w:rPr>
              <w:t>1……</w:t>
            </w:r>
          </w:p>
          <w:p w14:paraId="55E47779">
            <w:pPr>
              <w:pStyle w:val="34"/>
              <w:spacing w:before="70" w:line="270" w:lineRule="exact"/>
              <w:ind w:left="113"/>
              <w:jc w:val="left"/>
              <w:rPr>
                <w:color w:val="auto"/>
              </w:rPr>
            </w:pPr>
            <w:r>
              <w:rPr>
                <w:color w:val="auto"/>
                <w:spacing w:val="-4"/>
                <w:position w:val="1"/>
              </w:rPr>
              <w:t>2……</w:t>
            </w:r>
          </w:p>
          <w:p w14:paraId="3B04AAB4">
            <w:pPr>
              <w:pStyle w:val="34"/>
              <w:spacing w:before="70" w:line="269" w:lineRule="exact"/>
              <w:ind w:left="115"/>
              <w:jc w:val="left"/>
              <w:rPr>
                <w:color w:val="auto"/>
              </w:rPr>
            </w:pPr>
            <w:r>
              <w:rPr>
                <w:color w:val="auto"/>
                <w:spacing w:val="-4"/>
                <w:position w:val="1"/>
              </w:rPr>
              <w:t>3……</w:t>
            </w:r>
          </w:p>
          <w:p w14:paraId="5299790F">
            <w:pPr>
              <w:spacing w:before="156" w:line="35" w:lineRule="exact"/>
              <w:ind w:firstLine="124"/>
              <w:jc w:val="left"/>
              <w:rPr>
                <w:rFonts w:ascii="宋体" w:hAnsi="宋体"/>
                <w:color w:val="auto"/>
                <w:szCs w:val="21"/>
              </w:rPr>
            </w:pPr>
            <w:r>
              <w:rPr>
                <w:color w:val="auto"/>
              </w:rPr>
              <w:drawing>
                <wp:inline distT="0" distB="0" distL="114300" distR="114300">
                  <wp:extent cx="227330" cy="21590"/>
                  <wp:effectExtent l="0" t="0" r="1270" b="3810"/>
                  <wp:docPr id="9" name="图片 5"/>
                  <wp:cNvGraphicFramePr/>
                  <a:graphic xmlns:a="http://schemas.openxmlformats.org/drawingml/2006/main">
                    <a:graphicData uri="http://schemas.openxmlformats.org/drawingml/2006/picture">
                      <pic:pic xmlns:pic="http://schemas.openxmlformats.org/drawingml/2006/picture">
                        <pic:nvPicPr>
                          <pic:cNvPr id="9" name="图片 5"/>
                          <pic:cNvPicPr/>
                        </pic:nvPicPr>
                        <pic:blipFill>
                          <a:blip r:embed="rId19"/>
                          <a:stretch>
                            <a:fillRect/>
                          </a:stretch>
                        </pic:blipFill>
                        <pic:spPr>
                          <a:xfrm>
                            <a:off x="0" y="0"/>
                            <a:ext cx="227330" cy="21590"/>
                          </a:xfrm>
                          <a:prstGeom prst="rect">
                            <a:avLst/>
                          </a:prstGeom>
                          <a:noFill/>
                          <a:ln>
                            <a:noFill/>
                          </a:ln>
                        </pic:spPr>
                      </pic:pic>
                    </a:graphicData>
                  </a:graphic>
                </wp:inline>
              </w:drawing>
            </w:r>
          </w:p>
        </w:tc>
        <w:tc>
          <w:tcPr>
            <w:tcW w:w="1760" w:type="dxa"/>
            <w:tcBorders>
              <w:top w:val="single" w:color="auto" w:sz="4" w:space="0"/>
              <w:left w:val="single" w:color="auto" w:sz="4" w:space="0"/>
              <w:bottom w:val="single" w:color="auto" w:sz="4" w:space="0"/>
              <w:right w:val="single" w:color="auto" w:sz="4" w:space="0"/>
            </w:tcBorders>
            <w:vAlign w:val="center"/>
          </w:tcPr>
          <w:p w14:paraId="65A84ECF">
            <w:pPr>
              <w:pStyle w:val="34"/>
              <w:spacing w:before="95" w:line="270" w:lineRule="exact"/>
              <w:ind w:left="129"/>
              <w:jc w:val="left"/>
              <w:rPr>
                <w:color w:val="auto"/>
              </w:rPr>
            </w:pPr>
            <w:r>
              <w:rPr>
                <w:color w:val="auto"/>
                <w:spacing w:val="-8"/>
                <w:position w:val="1"/>
              </w:rPr>
              <w:t>1……</w:t>
            </w:r>
          </w:p>
          <w:p w14:paraId="1C832403">
            <w:pPr>
              <w:pStyle w:val="34"/>
              <w:spacing w:before="70" w:line="270" w:lineRule="exact"/>
              <w:ind w:left="116"/>
              <w:jc w:val="left"/>
              <w:rPr>
                <w:color w:val="auto"/>
              </w:rPr>
            </w:pPr>
            <w:r>
              <w:rPr>
                <w:color w:val="auto"/>
                <w:spacing w:val="-4"/>
                <w:position w:val="1"/>
              </w:rPr>
              <w:t>2……</w:t>
            </w:r>
          </w:p>
          <w:p w14:paraId="70948336">
            <w:pPr>
              <w:pStyle w:val="34"/>
              <w:spacing w:before="70" w:line="269" w:lineRule="exact"/>
              <w:ind w:left="117"/>
              <w:jc w:val="left"/>
              <w:rPr>
                <w:color w:val="auto"/>
              </w:rPr>
            </w:pPr>
            <w:r>
              <w:rPr>
                <w:color w:val="auto"/>
                <w:spacing w:val="-4"/>
                <w:position w:val="1"/>
              </w:rPr>
              <w:t>3……</w:t>
            </w:r>
          </w:p>
          <w:p w14:paraId="586ABAAA">
            <w:pPr>
              <w:spacing w:before="156" w:line="35" w:lineRule="exact"/>
              <w:ind w:firstLine="126"/>
              <w:jc w:val="left"/>
              <w:rPr>
                <w:rFonts w:ascii="宋体" w:hAnsi="宋体"/>
                <w:color w:val="auto"/>
                <w:szCs w:val="21"/>
              </w:rPr>
            </w:pPr>
            <w:r>
              <w:rPr>
                <w:color w:val="auto"/>
              </w:rPr>
              <w:drawing>
                <wp:inline distT="0" distB="0" distL="114300" distR="114300">
                  <wp:extent cx="251460" cy="21590"/>
                  <wp:effectExtent l="0" t="0" r="2540" b="3810"/>
                  <wp:docPr id="5" name="图片 6"/>
                  <wp:cNvGraphicFramePr/>
                  <a:graphic xmlns:a="http://schemas.openxmlformats.org/drawingml/2006/main">
                    <a:graphicData uri="http://schemas.openxmlformats.org/drawingml/2006/picture">
                      <pic:pic xmlns:pic="http://schemas.openxmlformats.org/drawingml/2006/picture">
                        <pic:nvPicPr>
                          <pic:cNvPr id="5" name="图片 6"/>
                          <pic:cNvPicPr/>
                        </pic:nvPicPr>
                        <pic:blipFill>
                          <a:blip r:embed="rId20"/>
                          <a:stretch>
                            <a:fillRect/>
                          </a:stretch>
                        </pic:blipFill>
                        <pic:spPr>
                          <a:xfrm>
                            <a:off x="0" y="0"/>
                            <a:ext cx="251460" cy="21590"/>
                          </a:xfrm>
                          <a:prstGeom prst="rect">
                            <a:avLst/>
                          </a:prstGeom>
                          <a:noFill/>
                          <a:ln>
                            <a:noFill/>
                          </a:ln>
                        </pic:spPr>
                      </pic:pic>
                    </a:graphicData>
                  </a:graphic>
                </wp:inline>
              </w:drawing>
            </w:r>
          </w:p>
        </w:tc>
        <w:tc>
          <w:tcPr>
            <w:tcW w:w="2035" w:type="dxa"/>
            <w:tcBorders>
              <w:top w:val="single" w:color="auto" w:sz="4" w:space="0"/>
              <w:left w:val="single" w:color="auto" w:sz="4" w:space="0"/>
              <w:bottom w:val="single" w:color="auto" w:sz="4" w:space="0"/>
              <w:right w:val="single" w:color="auto" w:sz="4" w:space="0"/>
            </w:tcBorders>
            <w:vAlign w:val="center"/>
          </w:tcPr>
          <w:p w14:paraId="4719624A">
            <w:pPr>
              <w:pStyle w:val="34"/>
              <w:spacing w:before="60" w:line="228" w:lineRule="auto"/>
              <w:ind w:left="121"/>
              <w:jc w:val="center"/>
              <w:rPr>
                <w:color w:val="auto"/>
                <w:szCs w:val="21"/>
                <w:lang w:eastAsia="zh-CN"/>
              </w:rPr>
            </w:pPr>
            <w:r>
              <w:rPr>
                <w:color w:val="auto"/>
                <w:spacing w:val="8"/>
                <w:lang w:eastAsia="zh-CN"/>
              </w:rPr>
              <w:t>正偏离（负</w:t>
            </w:r>
            <w:r>
              <w:rPr>
                <w:color w:val="auto"/>
                <w:spacing w:val="9"/>
                <w:lang w:eastAsia="zh-CN"/>
              </w:rPr>
              <w:t>偏离或无偏</w:t>
            </w:r>
            <w:r>
              <w:rPr>
                <w:color w:val="auto"/>
                <w:spacing w:val="-2"/>
                <w:lang w:eastAsia="zh-CN"/>
              </w:rPr>
              <w:t>离）</w:t>
            </w:r>
          </w:p>
        </w:tc>
      </w:tr>
      <w:tr w14:paraId="73FE7F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10" w:type="dxa"/>
            <w:tcBorders>
              <w:top w:val="single" w:color="auto" w:sz="4" w:space="0"/>
              <w:left w:val="single" w:color="auto" w:sz="4" w:space="0"/>
              <w:bottom w:val="single" w:color="auto" w:sz="4" w:space="0"/>
              <w:right w:val="single" w:color="auto" w:sz="4" w:space="0"/>
            </w:tcBorders>
          </w:tcPr>
          <w:p w14:paraId="4C51231C">
            <w:pPr>
              <w:snapToGrid w:val="0"/>
              <w:spacing w:beforeLines="50"/>
              <w:jc w:val="center"/>
              <w:rPr>
                <w:rFonts w:ascii="宋体" w:hAnsi="宋体"/>
                <w:color w:val="auto"/>
                <w:szCs w:val="21"/>
              </w:rPr>
            </w:pPr>
            <w:r>
              <w:rPr>
                <w:rFonts w:hint="eastAsia" w:ascii="宋体" w:hAnsi="宋体"/>
                <w:color w:val="auto"/>
                <w:szCs w:val="21"/>
              </w:rPr>
              <w:t>…</w:t>
            </w:r>
          </w:p>
        </w:tc>
        <w:tc>
          <w:tcPr>
            <w:tcW w:w="3336" w:type="dxa"/>
            <w:tcBorders>
              <w:top w:val="single" w:color="auto" w:sz="4" w:space="0"/>
              <w:left w:val="single" w:color="auto" w:sz="4" w:space="0"/>
              <w:bottom w:val="single" w:color="auto" w:sz="4" w:space="0"/>
              <w:right w:val="single" w:color="auto" w:sz="4" w:space="0"/>
            </w:tcBorders>
          </w:tcPr>
          <w:p w14:paraId="30707DFE">
            <w:pPr>
              <w:snapToGrid w:val="0"/>
              <w:spacing w:beforeLines="50"/>
              <w:jc w:val="center"/>
              <w:rPr>
                <w:rFonts w:ascii="宋体" w:hAnsi="宋体"/>
                <w:color w:val="auto"/>
                <w:szCs w:val="21"/>
              </w:rPr>
            </w:pPr>
          </w:p>
        </w:tc>
        <w:tc>
          <w:tcPr>
            <w:tcW w:w="1760" w:type="dxa"/>
            <w:tcBorders>
              <w:top w:val="single" w:color="auto" w:sz="4" w:space="0"/>
              <w:left w:val="single" w:color="auto" w:sz="4" w:space="0"/>
              <w:bottom w:val="single" w:color="auto" w:sz="4" w:space="0"/>
              <w:right w:val="single" w:color="auto" w:sz="4" w:space="0"/>
            </w:tcBorders>
          </w:tcPr>
          <w:p w14:paraId="38FFF6D7">
            <w:pPr>
              <w:snapToGrid w:val="0"/>
              <w:spacing w:beforeLines="50"/>
              <w:jc w:val="center"/>
              <w:rPr>
                <w:rFonts w:ascii="宋体" w:hAnsi="宋体"/>
                <w:color w:val="auto"/>
                <w:szCs w:val="21"/>
              </w:rPr>
            </w:pPr>
          </w:p>
        </w:tc>
        <w:tc>
          <w:tcPr>
            <w:tcW w:w="2035" w:type="dxa"/>
            <w:tcBorders>
              <w:top w:val="single" w:color="auto" w:sz="4" w:space="0"/>
              <w:left w:val="single" w:color="auto" w:sz="4" w:space="0"/>
              <w:bottom w:val="single" w:color="auto" w:sz="4" w:space="0"/>
              <w:right w:val="single" w:color="auto" w:sz="4" w:space="0"/>
            </w:tcBorders>
          </w:tcPr>
          <w:p w14:paraId="4A8B29C8">
            <w:pPr>
              <w:snapToGrid w:val="0"/>
              <w:spacing w:beforeLines="50"/>
              <w:jc w:val="center"/>
              <w:rPr>
                <w:rFonts w:ascii="宋体" w:hAnsi="宋体"/>
                <w:color w:val="auto"/>
                <w:szCs w:val="21"/>
              </w:rPr>
            </w:pPr>
          </w:p>
        </w:tc>
      </w:tr>
    </w:tbl>
    <w:p w14:paraId="67B99295">
      <w:pPr>
        <w:pStyle w:val="11"/>
        <w:rPr>
          <w:rFonts w:ascii="宋体" w:hAnsi="宋体"/>
          <w:color w:val="auto"/>
          <w:sz w:val="21"/>
          <w:szCs w:val="21"/>
        </w:rPr>
      </w:pPr>
      <w:r>
        <w:rPr>
          <w:rFonts w:hint="eastAsia" w:ascii="宋体" w:hAnsi="宋体"/>
          <w:color w:val="auto"/>
          <w:sz w:val="21"/>
          <w:szCs w:val="21"/>
        </w:rPr>
        <w:t>注：</w:t>
      </w:r>
    </w:p>
    <w:p w14:paraId="199A6B6E">
      <w:pPr>
        <w:pStyle w:val="14"/>
        <w:spacing w:line="520" w:lineRule="exact"/>
        <w:ind w:firstLine="0" w:firstLineChars="0"/>
        <w:rPr>
          <w:rFonts w:hAnsi="仿宋_GB2312" w:cs="仿宋_GB2312"/>
          <w:color w:val="auto"/>
          <w:sz w:val="24"/>
          <w:szCs w:val="24"/>
        </w:rPr>
      </w:pPr>
      <w:r>
        <w:rPr>
          <w:rFonts w:hint="eastAsia" w:ascii="宋体" w:hAnsi="宋体" w:eastAsia="宋体"/>
          <w:color w:val="auto"/>
          <w:sz w:val="21"/>
          <w:szCs w:val="21"/>
        </w:rPr>
        <w:t>1. 说明：应对照招标文件“第二章 采购需求”中的商务要求逐条实质性响应，并作出偏离说明。</w:t>
      </w:r>
    </w:p>
    <w:p w14:paraId="37BA8D9B">
      <w:pPr>
        <w:pStyle w:val="11"/>
        <w:rPr>
          <w:rFonts w:ascii="宋体" w:hAnsi="宋体"/>
          <w:b w:val="0"/>
          <w:bCs w:val="0"/>
          <w:color w:val="auto"/>
          <w:sz w:val="21"/>
          <w:szCs w:val="21"/>
        </w:rPr>
      </w:pPr>
      <w:r>
        <w:rPr>
          <w:rFonts w:ascii="宋体" w:hAnsi="宋体"/>
          <w:b w:val="0"/>
          <w:bCs w:val="0"/>
          <w:color w:val="auto"/>
          <w:sz w:val="21"/>
          <w:szCs w:val="21"/>
        </w:rPr>
        <w:t>2.</w:t>
      </w:r>
      <w:r>
        <w:rPr>
          <w:rFonts w:hint="eastAsia" w:ascii="宋体" w:hAnsi="宋体"/>
          <w:b w:val="0"/>
          <w:bCs w:val="0"/>
          <w:color w:val="auto"/>
          <w:sz w:val="21"/>
          <w:szCs w:val="21"/>
        </w:rPr>
        <w:t>投标人应根据自身的承诺，对照招标文件要求在“偏离说明”中注明“</w:t>
      </w:r>
      <w:r>
        <w:rPr>
          <w:rFonts w:hint="eastAsia" w:ascii="宋体" w:hAnsi="宋体"/>
          <w:color w:val="auto"/>
          <w:sz w:val="21"/>
          <w:szCs w:val="21"/>
        </w:rPr>
        <w:t>正偏离</w:t>
      </w:r>
      <w:r>
        <w:rPr>
          <w:rFonts w:hint="eastAsia" w:ascii="宋体" w:hAnsi="宋体"/>
          <w:b w:val="0"/>
          <w:bCs w:val="0"/>
          <w:color w:val="auto"/>
          <w:sz w:val="21"/>
          <w:szCs w:val="21"/>
        </w:rPr>
        <w:t>”、“</w:t>
      </w:r>
      <w:r>
        <w:rPr>
          <w:rFonts w:hint="eastAsia" w:ascii="宋体" w:hAnsi="宋体"/>
          <w:color w:val="auto"/>
          <w:sz w:val="21"/>
          <w:szCs w:val="21"/>
        </w:rPr>
        <w:t>负偏离</w:t>
      </w:r>
      <w:r>
        <w:rPr>
          <w:rFonts w:hint="eastAsia" w:ascii="宋体" w:hAnsi="宋体"/>
          <w:b w:val="0"/>
          <w:bCs w:val="0"/>
          <w:color w:val="auto"/>
          <w:sz w:val="21"/>
          <w:szCs w:val="21"/>
        </w:rPr>
        <w:t>”或者“</w:t>
      </w:r>
      <w:r>
        <w:rPr>
          <w:rFonts w:hint="eastAsia" w:ascii="宋体" w:hAnsi="宋体"/>
          <w:color w:val="auto"/>
          <w:sz w:val="21"/>
          <w:szCs w:val="21"/>
        </w:rPr>
        <w:t>无偏离</w:t>
      </w:r>
      <w:r>
        <w:rPr>
          <w:rFonts w:hint="eastAsia" w:ascii="宋体" w:hAnsi="宋体"/>
          <w:b w:val="0"/>
          <w:bCs w:val="0"/>
          <w:color w:val="auto"/>
          <w:sz w:val="21"/>
          <w:szCs w:val="21"/>
        </w:rPr>
        <w:t>”。既不属于“</w:t>
      </w:r>
      <w:r>
        <w:rPr>
          <w:rFonts w:hint="eastAsia" w:ascii="宋体" w:hAnsi="宋体"/>
          <w:color w:val="auto"/>
          <w:sz w:val="21"/>
          <w:szCs w:val="21"/>
        </w:rPr>
        <w:t>正偏离</w:t>
      </w:r>
      <w:r>
        <w:rPr>
          <w:rFonts w:hint="eastAsia" w:ascii="宋体" w:hAnsi="宋体"/>
          <w:b w:val="0"/>
          <w:bCs w:val="0"/>
          <w:color w:val="auto"/>
          <w:sz w:val="21"/>
          <w:szCs w:val="21"/>
        </w:rPr>
        <w:t>”也不属于“</w:t>
      </w:r>
      <w:r>
        <w:rPr>
          <w:rFonts w:hint="eastAsia" w:ascii="宋体" w:hAnsi="宋体"/>
          <w:color w:val="auto"/>
          <w:sz w:val="21"/>
          <w:szCs w:val="21"/>
        </w:rPr>
        <w:t>负偏离</w:t>
      </w:r>
      <w:r>
        <w:rPr>
          <w:rFonts w:hint="eastAsia" w:ascii="宋体" w:hAnsi="宋体"/>
          <w:b w:val="0"/>
          <w:bCs w:val="0"/>
          <w:color w:val="auto"/>
          <w:sz w:val="21"/>
          <w:szCs w:val="21"/>
        </w:rPr>
        <w:t>”即为“</w:t>
      </w:r>
      <w:r>
        <w:rPr>
          <w:rFonts w:hint="eastAsia" w:ascii="宋体" w:hAnsi="宋体"/>
          <w:color w:val="auto"/>
          <w:sz w:val="21"/>
          <w:szCs w:val="21"/>
        </w:rPr>
        <w:t>无偏离</w:t>
      </w:r>
      <w:r>
        <w:rPr>
          <w:rFonts w:hint="eastAsia" w:ascii="宋体" w:hAnsi="宋体"/>
          <w:b w:val="0"/>
          <w:bCs w:val="0"/>
          <w:color w:val="auto"/>
          <w:sz w:val="21"/>
          <w:szCs w:val="21"/>
        </w:rPr>
        <w:t>”。</w:t>
      </w:r>
    </w:p>
    <w:p w14:paraId="27F567EC">
      <w:pPr>
        <w:snapToGrid w:val="0"/>
        <w:spacing w:before="50" w:after="50"/>
        <w:rPr>
          <w:rFonts w:ascii="宋体" w:hAnsi="宋体"/>
          <w:color w:val="auto"/>
          <w:szCs w:val="21"/>
        </w:rPr>
      </w:pPr>
    </w:p>
    <w:p w14:paraId="2E8884EC">
      <w:pPr>
        <w:snapToGrid w:val="0"/>
        <w:spacing w:before="50" w:after="50" w:line="300" w:lineRule="auto"/>
        <w:ind w:left="-6" w:leftChars="-15" w:right="-817" w:rightChars="-389" w:hanging="25" w:hangingChars="12"/>
        <w:jc w:val="left"/>
        <w:rPr>
          <w:rFonts w:ascii="宋体" w:hAnsi="宋体"/>
          <w:b/>
          <w:bCs/>
          <w:color w:val="auto"/>
          <w:szCs w:val="21"/>
        </w:rPr>
      </w:pPr>
    </w:p>
    <w:p w14:paraId="07708CA5">
      <w:pPr>
        <w:snapToGrid w:val="0"/>
        <w:spacing w:before="50" w:after="50" w:line="300" w:lineRule="auto"/>
        <w:ind w:left="-6" w:leftChars="-15" w:right="-817" w:rightChars="-389" w:hanging="25" w:hangingChars="12"/>
        <w:jc w:val="left"/>
        <w:rPr>
          <w:rFonts w:ascii="宋体" w:hAnsi="宋体"/>
          <w:b/>
          <w:bCs/>
          <w:color w:val="auto"/>
          <w:szCs w:val="21"/>
        </w:rPr>
      </w:pPr>
      <w:r>
        <w:rPr>
          <w:rFonts w:hint="eastAsia" w:ascii="宋体" w:hAnsi="宋体"/>
          <w:b/>
          <w:bCs/>
          <w:color w:val="auto"/>
          <w:szCs w:val="21"/>
        </w:rPr>
        <w:t>法定代表人或者委托代理人（签字/电子签名）：</w:t>
      </w:r>
    </w:p>
    <w:p w14:paraId="6423616F">
      <w:pPr>
        <w:snapToGrid w:val="0"/>
        <w:spacing w:before="50" w:after="50" w:line="300" w:lineRule="auto"/>
        <w:ind w:left="-6" w:leftChars="-15" w:right="-817" w:rightChars="-389" w:hanging="25" w:hangingChars="12"/>
        <w:jc w:val="left"/>
        <w:rPr>
          <w:rFonts w:ascii="宋体" w:hAnsi="宋体"/>
          <w:b/>
          <w:bCs/>
          <w:color w:val="auto"/>
          <w:szCs w:val="21"/>
        </w:rPr>
      </w:pPr>
      <w:r>
        <w:rPr>
          <w:rFonts w:hint="eastAsia" w:ascii="宋体" w:hAnsi="宋体"/>
          <w:b/>
          <w:bCs/>
          <w:color w:val="auto"/>
          <w:szCs w:val="21"/>
        </w:rPr>
        <w:t>投标人名称（公章或电子签章）：</w:t>
      </w:r>
    </w:p>
    <w:p w14:paraId="3186101F">
      <w:pPr>
        <w:snapToGrid w:val="0"/>
        <w:spacing w:before="50" w:after="50" w:line="480" w:lineRule="auto"/>
        <w:ind w:left="-6" w:leftChars="-15" w:right="-817" w:rightChars="-389" w:hanging="25" w:hangingChars="12"/>
        <w:jc w:val="left"/>
        <w:rPr>
          <w:rFonts w:ascii="宋体" w:hAnsi="宋体"/>
          <w:color w:val="auto"/>
          <w:sz w:val="20"/>
          <w:szCs w:val="22"/>
        </w:rPr>
      </w:pPr>
      <w:r>
        <w:rPr>
          <w:rFonts w:hint="eastAsia" w:ascii="宋体" w:hAnsi="宋体"/>
          <w:b/>
          <w:bCs/>
          <w:color w:val="auto"/>
          <w:szCs w:val="21"/>
        </w:rPr>
        <w:t>日期：    年   月   日</w:t>
      </w:r>
    </w:p>
    <w:p w14:paraId="759DA47B">
      <w:pPr>
        <w:snapToGrid w:val="0"/>
        <w:spacing w:beforeLines="50" w:line="480" w:lineRule="auto"/>
        <w:rPr>
          <w:rFonts w:ascii="宋体" w:hAnsi="宋体"/>
          <w:color w:val="auto"/>
          <w:szCs w:val="16"/>
        </w:rPr>
      </w:pPr>
    </w:p>
    <w:p w14:paraId="6C399B68">
      <w:pPr>
        <w:snapToGrid w:val="0"/>
        <w:spacing w:beforeLines="50" w:after="50"/>
        <w:jc w:val="left"/>
        <w:rPr>
          <w:rFonts w:ascii="宋体" w:hAnsi="宋体"/>
          <w:color w:val="auto"/>
          <w:szCs w:val="16"/>
        </w:rPr>
        <w:sectPr>
          <w:footerReference r:id="rId15" w:type="first"/>
          <w:footerReference r:id="rId13" w:type="default"/>
          <w:footerReference r:id="rId14" w:type="even"/>
          <w:pgSz w:w="11906" w:h="16838"/>
          <w:pgMar w:top="1440" w:right="1797" w:bottom="1440" w:left="1797" w:header="851" w:footer="992" w:gutter="0"/>
          <w:pgNumType w:fmt="decimal"/>
          <w:cols w:space="720" w:num="1"/>
          <w:docGrid w:linePitch="312" w:charSpace="0"/>
        </w:sectPr>
      </w:pPr>
    </w:p>
    <w:p w14:paraId="179EDD52">
      <w:pPr>
        <w:snapToGrid w:val="0"/>
        <w:spacing w:beforeLines="50" w:after="50"/>
        <w:ind w:left="142"/>
        <w:jc w:val="left"/>
        <w:rPr>
          <w:rFonts w:ascii="宋体" w:hAnsi="宋体"/>
          <w:b/>
          <w:color w:val="auto"/>
          <w:sz w:val="24"/>
        </w:rPr>
      </w:pPr>
      <w:r>
        <w:rPr>
          <w:rFonts w:hint="eastAsia" w:ascii="宋体" w:hAnsi="宋体"/>
          <w:b/>
          <w:color w:val="auto"/>
          <w:sz w:val="24"/>
        </w:rPr>
        <w:t>6.设备性能配置清单</w:t>
      </w:r>
    </w:p>
    <w:p w14:paraId="03BD1AC8">
      <w:pPr>
        <w:snapToGrid w:val="0"/>
        <w:spacing w:beforeLines="50" w:after="50"/>
        <w:ind w:left="142"/>
        <w:jc w:val="left"/>
        <w:rPr>
          <w:rFonts w:ascii="宋体" w:hAnsi="宋体"/>
          <w:b/>
          <w:color w:val="auto"/>
          <w:sz w:val="24"/>
        </w:rPr>
      </w:pPr>
    </w:p>
    <w:p w14:paraId="586821CE">
      <w:pPr>
        <w:snapToGrid w:val="0"/>
        <w:spacing w:beforeLines="50" w:after="50"/>
        <w:ind w:left="142"/>
        <w:jc w:val="center"/>
        <w:rPr>
          <w:rFonts w:ascii="宋体" w:hAnsi="宋体"/>
          <w:b/>
          <w:color w:val="auto"/>
          <w:sz w:val="28"/>
          <w:szCs w:val="28"/>
        </w:rPr>
      </w:pPr>
      <w:r>
        <w:rPr>
          <w:rFonts w:hint="eastAsia" w:ascii="宋体" w:hAnsi="宋体"/>
          <w:b/>
          <w:color w:val="auto"/>
          <w:sz w:val="28"/>
          <w:szCs w:val="28"/>
        </w:rPr>
        <w:t>设备性能配置清单</w:t>
      </w:r>
    </w:p>
    <w:p w14:paraId="4197BF5E">
      <w:pPr>
        <w:pStyle w:val="15"/>
        <w:rPr>
          <w:color w:val="auto"/>
          <w:sz w:val="21"/>
        </w:rPr>
      </w:pPr>
      <w:r>
        <w:rPr>
          <w:rFonts w:hint="eastAsia" w:hAnsi="宋体"/>
          <w:color w:val="auto"/>
          <w:sz w:val="21"/>
        </w:rPr>
        <w:t>所投标项：</w:t>
      </w:r>
      <w:r>
        <w:rPr>
          <w:rFonts w:hint="eastAsia" w:hAnsi="宋体"/>
          <w:color w:val="auto"/>
          <w:sz w:val="21"/>
          <w:u w:val="single"/>
        </w:rPr>
        <w:t>标项</w:t>
      </w:r>
      <w:r>
        <w:rPr>
          <w:rFonts w:hint="eastAsia" w:hAnsi="宋体"/>
          <w:color w:val="auto"/>
          <w:sz w:val="21"/>
          <w:u w:val="single"/>
          <w:lang w:val="en-US" w:eastAsia="zh-CN"/>
        </w:rPr>
        <w:t xml:space="preserve">   </w:t>
      </w:r>
    </w:p>
    <w:p w14:paraId="225800CA">
      <w:pPr>
        <w:pStyle w:val="8"/>
        <w:rPr>
          <w:color w:val="auto"/>
        </w:rPr>
      </w:pPr>
    </w:p>
    <w:tbl>
      <w:tblPr>
        <w:tblStyle w:val="25"/>
        <w:tblW w:w="9469" w:type="dxa"/>
        <w:tblInd w:w="-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6"/>
        <w:gridCol w:w="1137"/>
        <w:gridCol w:w="822"/>
        <w:gridCol w:w="1085"/>
        <w:gridCol w:w="1063"/>
        <w:gridCol w:w="1283"/>
        <w:gridCol w:w="717"/>
        <w:gridCol w:w="937"/>
        <w:gridCol w:w="996"/>
        <w:gridCol w:w="723"/>
      </w:tblGrid>
      <w:tr w14:paraId="11A2F4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78" w:hRule="atLeast"/>
        </w:trPr>
        <w:tc>
          <w:tcPr>
            <w:tcW w:w="706" w:type="dxa"/>
            <w:tcBorders>
              <w:top w:val="single" w:color="auto" w:sz="4" w:space="0"/>
              <w:left w:val="single" w:color="auto" w:sz="4" w:space="0"/>
              <w:bottom w:val="single" w:color="auto" w:sz="4" w:space="0"/>
              <w:right w:val="single" w:color="auto" w:sz="4" w:space="0"/>
            </w:tcBorders>
            <w:vAlign w:val="center"/>
          </w:tcPr>
          <w:p w14:paraId="6CFDDE5F">
            <w:pPr>
              <w:snapToGrid w:val="0"/>
              <w:spacing w:line="400" w:lineRule="exact"/>
              <w:jc w:val="center"/>
              <w:rPr>
                <w:rFonts w:ascii="宋体" w:hAnsi="宋体" w:cs="宋体"/>
                <w:color w:val="auto"/>
                <w:szCs w:val="21"/>
              </w:rPr>
            </w:pPr>
            <w:r>
              <w:rPr>
                <w:rFonts w:hint="eastAsia" w:ascii="宋体" w:hAnsi="宋体" w:cs="宋体"/>
                <w:color w:val="auto"/>
                <w:szCs w:val="21"/>
              </w:rPr>
              <w:t>序号</w:t>
            </w:r>
          </w:p>
        </w:tc>
        <w:tc>
          <w:tcPr>
            <w:tcW w:w="1137" w:type="dxa"/>
            <w:tcBorders>
              <w:top w:val="single" w:color="auto" w:sz="4" w:space="0"/>
              <w:left w:val="single" w:color="auto" w:sz="4" w:space="0"/>
              <w:bottom w:val="single" w:color="auto" w:sz="4" w:space="0"/>
              <w:right w:val="single" w:color="auto" w:sz="4" w:space="0"/>
            </w:tcBorders>
            <w:vAlign w:val="center"/>
          </w:tcPr>
          <w:p w14:paraId="0D4F198D">
            <w:pPr>
              <w:snapToGrid w:val="0"/>
              <w:spacing w:line="400" w:lineRule="exact"/>
              <w:jc w:val="center"/>
              <w:rPr>
                <w:rFonts w:ascii="宋体" w:hAnsi="宋体" w:cs="宋体"/>
                <w:color w:val="auto"/>
                <w:szCs w:val="21"/>
              </w:rPr>
            </w:pPr>
            <w:r>
              <w:rPr>
                <w:rFonts w:hint="eastAsia" w:ascii="宋体" w:hAnsi="宋体" w:cs="宋体"/>
                <w:color w:val="auto"/>
                <w:szCs w:val="21"/>
              </w:rPr>
              <w:t>部件编号</w:t>
            </w:r>
          </w:p>
        </w:tc>
        <w:tc>
          <w:tcPr>
            <w:tcW w:w="822" w:type="dxa"/>
            <w:tcBorders>
              <w:top w:val="single" w:color="auto" w:sz="4" w:space="0"/>
              <w:left w:val="single" w:color="auto" w:sz="4" w:space="0"/>
              <w:bottom w:val="single" w:color="auto" w:sz="4" w:space="0"/>
              <w:right w:val="single" w:color="auto" w:sz="4" w:space="0"/>
            </w:tcBorders>
            <w:vAlign w:val="center"/>
          </w:tcPr>
          <w:p w14:paraId="1C12945D">
            <w:pPr>
              <w:snapToGrid w:val="0"/>
              <w:spacing w:line="400" w:lineRule="exact"/>
              <w:jc w:val="center"/>
              <w:rPr>
                <w:rFonts w:ascii="宋体" w:hAnsi="宋体" w:cs="宋体"/>
                <w:color w:val="auto"/>
                <w:szCs w:val="21"/>
              </w:rPr>
            </w:pPr>
            <w:r>
              <w:rPr>
                <w:rFonts w:hint="eastAsia" w:ascii="宋体" w:hAnsi="宋体"/>
                <w:color w:val="auto"/>
                <w:szCs w:val="21"/>
              </w:rPr>
              <w:t>货</w:t>
            </w:r>
            <w:r>
              <w:rPr>
                <w:rFonts w:hint="eastAsia" w:ascii="宋体" w:hAnsi="宋体" w:cs="宋体"/>
                <w:color w:val="auto"/>
                <w:szCs w:val="21"/>
              </w:rPr>
              <w:t>物名称</w:t>
            </w:r>
          </w:p>
        </w:tc>
        <w:tc>
          <w:tcPr>
            <w:tcW w:w="1085" w:type="dxa"/>
            <w:tcBorders>
              <w:top w:val="single" w:color="auto" w:sz="4" w:space="0"/>
              <w:left w:val="single" w:color="auto" w:sz="4" w:space="0"/>
              <w:bottom w:val="single" w:color="auto" w:sz="4" w:space="0"/>
              <w:right w:val="single" w:color="auto" w:sz="4" w:space="0"/>
            </w:tcBorders>
            <w:vAlign w:val="center"/>
          </w:tcPr>
          <w:p w14:paraId="633ADD0F">
            <w:pPr>
              <w:snapToGrid w:val="0"/>
              <w:spacing w:line="400" w:lineRule="exact"/>
              <w:jc w:val="center"/>
              <w:rPr>
                <w:rFonts w:ascii="宋体" w:hAnsi="宋体" w:cs="宋体"/>
                <w:color w:val="auto"/>
                <w:szCs w:val="21"/>
              </w:rPr>
            </w:pPr>
            <w:r>
              <w:rPr>
                <w:rFonts w:hint="eastAsia" w:ascii="宋体" w:hAnsi="宋体" w:cs="宋体"/>
                <w:color w:val="auto"/>
                <w:szCs w:val="21"/>
              </w:rPr>
              <w:t>注册证号</w:t>
            </w:r>
          </w:p>
        </w:tc>
        <w:tc>
          <w:tcPr>
            <w:tcW w:w="1063" w:type="dxa"/>
            <w:tcBorders>
              <w:top w:val="single" w:color="auto" w:sz="4" w:space="0"/>
              <w:left w:val="single" w:color="auto" w:sz="4" w:space="0"/>
              <w:bottom w:val="single" w:color="auto" w:sz="4" w:space="0"/>
              <w:right w:val="single" w:color="auto" w:sz="4" w:space="0"/>
            </w:tcBorders>
            <w:vAlign w:val="center"/>
          </w:tcPr>
          <w:p w14:paraId="173635DC">
            <w:pPr>
              <w:snapToGrid w:val="0"/>
              <w:spacing w:line="400" w:lineRule="exact"/>
              <w:jc w:val="center"/>
              <w:rPr>
                <w:rFonts w:ascii="宋体" w:hAnsi="宋体" w:cs="宋体"/>
                <w:color w:val="auto"/>
                <w:szCs w:val="21"/>
              </w:rPr>
            </w:pPr>
            <w:r>
              <w:rPr>
                <w:rFonts w:hint="eastAsia" w:ascii="宋体" w:hAnsi="宋体" w:cs="宋体"/>
                <w:color w:val="auto"/>
                <w:szCs w:val="21"/>
              </w:rPr>
              <w:t>规格型号</w:t>
            </w:r>
          </w:p>
        </w:tc>
        <w:tc>
          <w:tcPr>
            <w:tcW w:w="1283" w:type="dxa"/>
            <w:tcBorders>
              <w:top w:val="single" w:color="auto" w:sz="4" w:space="0"/>
              <w:left w:val="single" w:color="auto" w:sz="4" w:space="0"/>
              <w:bottom w:val="single" w:color="auto" w:sz="4" w:space="0"/>
              <w:right w:val="single" w:color="auto" w:sz="4" w:space="0"/>
            </w:tcBorders>
            <w:vAlign w:val="center"/>
          </w:tcPr>
          <w:p w14:paraId="78A25889">
            <w:pPr>
              <w:snapToGrid w:val="0"/>
              <w:spacing w:line="400" w:lineRule="exact"/>
              <w:jc w:val="center"/>
              <w:rPr>
                <w:rFonts w:ascii="宋体" w:hAnsi="宋体" w:cs="宋体"/>
                <w:color w:val="auto"/>
                <w:szCs w:val="21"/>
              </w:rPr>
            </w:pPr>
            <w:r>
              <w:rPr>
                <w:rFonts w:hint="eastAsia" w:ascii="宋体" w:hAnsi="宋体" w:cs="宋体"/>
                <w:color w:val="auto"/>
                <w:szCs w:val="21"/>
              </w:rPr>
              <w:t>生产厂家</w:t>
            </w:r>
          </w:p>
          <w:p w14:paraId="1AF58980">
            <w:pPr>
              <w:snapToGrid w:val="0"/>
              <w:spacing w:line="400" w:lineRule="exact"/>
              <w:jc w:val="center"/>
              <w:rPr>
                <w:rFonts w:ascii="宋体" w:hAnsi="宋体" w:cs="宋体"/>
                <w:color w:val="auto"/>
                <w:szCs w:val="21"/>
              </w:rPr>
            </w:pPr>
            <w:r>
              <w:rPr>
                <w:rFonts w:hint="eastAsia" w:ascii="宋体" w:hAnsi="宋体" w:cs="宋体"/>
                <w:color w:val="auto"/>
                <w:szCs w:val="21"/>
              </w:rPr>
              <w:t>及品牌</w:t>
            </w:r>
          </w:p>
        </w:tc>
        <w:tc>
          <w:tcPr>
            <w:tcW w:w="717" w:type="dxa"/>
            <w:tcBorders>
              <w:top w:val="single" w:color="auto" w:sz="4" w:space="0"/>
              <w:left w:val="single" w:color="auto" w:sz="4" w:space="0"/>
              <w:bottom w:val="single" w:color="auto" w:sz="4" w:space="0"/>
              <w:right w:val="single" w:color="auto" w:sz="4" w:space="0"/>
            </w:tcBorders>
            <w:vAlign w:val="center"/>
          </w:tcPr>
          <w:p w14:paraId="5C1348A5">
            <w:pPr>
              <w:snapToGrid w:val="0"/>
              <w:spacing w:line="400" w:lineRule="exact"/>
              <w:jc w:val="center"/>
              <w:rPr>
                <w:rFonts w:ascii="宋体" w:hAnsi="宋体" w:cs="宋体"/>
                <w:color w:val="auto"/>
                <w:szCs w:val="21"/>
              </w:rPr>
            </w:pPr>
            <w:r>
              <w:rPr>
                <w:rFonts w:hint="eastAsia" w:ascii="宋体" w:hAnsi="宋体" w:cs="宋体"/>
                <w:color w:val="auto"/>
                <w:szCs w:val="21"/>
              </w:rPr>
              <w:t>单位</w:t>
            </w:r>
          </w:p>
        </w:tc>
        <w:tc>
          <w:tcPr>
            <w:tcW w:w="937" w:type="dxa"/>
            <w:tcBorders>
              <w:top w:val="single" w:color="auto" w:sz="4" w:space="0"/>
              <w:left w:val="single" w:color="auto" w:sz="4" w:space="0"/>
              <w:bottom w:val="single" w:color="auto" w:sz="4" w:space="0"/>
              <w:right w:val="single" w:color="auto" w:sz="4" w:space="0"/>
            </w:tcBorders>
            <w:vAlign w:val="center"/>
          </w:tcPr>
          <w:p w14:paraId="6D97DD5D">
            <w:pPr>
              <w:snapToGrid w:val="0"/>
              <w:spacing w:line="400" w:lineRule="exact"/>
              <w:jc w:val="center"/>
              <w:rPr>
                <w:rFonts w:ascii="宋体" w:hAnsi="宋体" w:cs="宋体"/>
                <w:color w:val="auto"/>
                <w:szCs w:val="21"/>
              </w:rPr>
            </w:pPr>
            <w:r>
              <w:rPr>
                <w:rFonts w:hint="eastAsia" w:ascii="宋体" w:hAnsi="宋体" w:cs="宋体"/>
                <w:color w:val="auto"/>
                <w:szCs w:val="21"/>
              </w:rPr>
              <w:t>数量</w:t>
            </w:r>
          </w:p>
        </w:tc>
        <w:tc>
          <w:tcPr>
            <w:tcW w:w="996" w:type="dxa"/>
            <w:tcBorders>
              <w:top w:val="single" w:color="auto" w:sz="4" w:space="0"/>
              <w:left w:val="single" w:color="auto" w:sz="4" w:space="0"/>
              <w:bottom w:val="single" w:color="auto" w:sz="4" w:space="0"/>
              <w:right w:val="single" w:color="auto" w:sz="4" w:space="0"/>
            </w:tcBorders>
            <w:vAlign w:val="center"/>
          </w:tcPr>
          <w:p w14:paraId="2713B500">
            <w:pPr>
              <w:snapToGrid w:val="0"/>
              <w:spacing w:line="400" w:lineRule="exact"/>
              <w:jc w:val="center"/>
              <w:rPr>
                <w:rFonts w:ascii="宋体" w:hAnsi="宋体" w:cs="宋体"/>
                <w:color w:val="auto"/>
                <w:szCs w:val="21"/>
              </w:rPr>
            </w:pPr>
            <w:r>
              <w:rPr>
                <w:rFonts w:hint="eastAsia" w:ascii="宋体" w:hAnsi="宋体" w:cs="宋体"/>
                <w:color w:val="auto"/>
                <w:szCs w:val="21"/>
              </w:rPr>
              <w:t>总价（元）</w:t>
            </w:r>
          </w:p>
        </w:tc>
        <w:tc>
          <w:tcPr>
            <w:tcW w:w="723" w:type="dxa"/>
            <w:tcBorders>
              <w:top w:val="single" w:color="auto" w:sz="4" w:space="0"/>
              <w:left w:val="single" w:color="auto" w:sz="4" w:space="0"/>
              <w:bottom w:val="single" w:color="auto" w:sz="4" w:space="0"/>
              <w:right w:val="single" w:color="auto" w:sz="4" w:space="0"/>
            </w:tcBorders>
            <w:vAlign w:val="center"/>
          </w:tcPr>
          <w:p w14:paraId="5D8D9997">
            <w:pPr>
              <w:snapToGrid w:val="0"/>
              <w:spacing w:line="400" w:lineRule="exact"/>
              <w:jc w:val="center"/>
              <w:rPr>
                <w:rFonts w:ascii="宋体" w:hAnsi="宋体" w:cs="宋体"/>
                <w:color w:val="auto"/>
                <w:szCs w:val="21"/>
              </w:rPr>
            </w:pPr>
            <w:r>
              <w:rPr>
                <w:rFonts w:hint="eastAsia" w:ascii="宋体" w:hAnsi="宋体" w:cs="宋体"/>
                <w:color w:val="auto"/>
                <w:szCs w:val="21"/>
              </w:rPr>
              <w:t>备注</w:t>
            </w:r>
          </w:p>
        </w:tc>
      </w:tr>
      <w:tr w14:paraId="65E7D2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78" w:hRule="atLeast"/>
        </w:trPr>
        <w:tc>
          <w:tcPr>
            <w:tcW w:w="706" w:type="dxa"/>
            <w:tcBorders>
              <w:top w:val="single" w:color="auto" w:sz="4" w:space="0"/>
              <w:left w:val="single" w:color="auto" w:sz="4" w:space="0"/>
              <w:bottom w:val="single" w:color="auto" w:sz="4" w:space="0"/>
              <w:right w:val="single" w:color="auto" w:sz="4" w:space="0"/>
            </w:tcBorders>
            <w:vAlign w:val="center"/>
          </w:tcPr>
          <w:p w14:paraId="26A0029B">
            <w:pPr>
              <w:snapToGrid w:val="0"/>
              <w:spacing w:line="400" w:lineRule="exact"/>
              <w:jc w:val="center"/>
              <w:rPr>
                <w:rFonts w:ascii="宋体" w:hAnsi="宋体" w:cs="宋体"/>
                <w:b/>
                <w:bCs/>
                <w:color w:val="auto"/>
                <w:szCs w:val="21"/>
              </w:rPr>
            </w:pPr>
          </w:p>
        </w:tc>
        <w:tc>
          <w:tcPr>
            <w:tcW w:w="1137" w:type="dxa"/>
            <w:tcBorders>
              <w:top w:val="single" w:color="auto" w:sz="4" w:space="0"/>
              <w:left w:val="single" w:color="auto" w:sz="4" w:space="0"/>
              <w:bottom w:val="single" w:color="auto" w:sz="4" w:space="0"/>
              <w:right w:val="single" w:color="auto" w:sz="4" w:space="0"/>
            </w:tcBorders>
            <w:vAlign w:val="center"/>
          </w:tcPr>
          <w:p w14:paraId="492CCCCB">
            <w:pPr>
              <w:snapToGrid w:val="0"/>
              <w:spacing w:line="400" w:lineRule="exact"/>
              <w:jc w:val="center"/>
              <w:rPr>
                <w:rFonts w:ascii="宋体" w:hAnsi="宋体" w:cs="宋体"/>
                <w:b/>
                <w:bCs/>
                <w:color w:val="auto"/>
                <w:szCs w:val="21"/>
              </w:rPr>
            </w:pPr>
          </w:p>
        </w:tc>
        <w:tc>
          <w:tcPr>
            <w:tcW w:w="822" w:type="dxa"/>
            <w:tcBorders>
              <w:top w:val="single" w:color="auto" w:sz="4" w:space="0"/>
              <w:left w:val="single" w:color="auto" w:sz="4" w:space="0"/>
              <w:bottom w:val="single" w:color="auto" w:sz="4" w:space="0"/>
              <w:right w:val="single" w:color="auto" w:sz="4" w:space="0"/>
            </w:tcBorders>
            <w:vAlign w:val="center"/>
          </w:tcPr>
          <w:p w14:paraId="7D1A2011">
            <w:pPr>
              <w:snapToGrid w:val="0"/>
              <w:spacing w:line="400" w:lineRule="exact"/>
              <w:jc w:val="center"/>
              <w:rPr>
                <w:rFonts w:ascii="宋体" w:hAnsi="宋体" w:cs="宋体"/>
                <w:b/>
                <w:bCs/>
                <w:color w:val="auto"/>
                <w:szCs w:val="21"/>
              </w:rPr>
            </w:pPr>
          </w:p>
        </w:tc>
        <w:tc>
          <w:tcPr>
            <w:tcW w:w="1085" w:type="dxa"/>
            <w:tcBorders>
              <w:top w:val="single" w:color="auto" w:sz="4" w:space="0"/>
              <w:left w:val="single" w:color="auto" w:sz="4" w:space="0"/>
              <w:bottom w:val="single" w:color="auto" w:sz="4" w:space="0"/>
              <w:right w:val="single" w:color="auto" w:sz="4" w:space="0"/>
            </w:tcBorders>
            <w:vAlign w:val="center"/>
          </w:tcPr>
          <w:p w14:paraId="330FE9D9">
            <w:pPr>
              <w:snapToGrid w:val="0"/>
              <w:spacing w:line="400" w:lineRule="exact"/>
              <w:jc w:val="center"/>
              <w:rPr>
                <w:rFonts w:ascii="宋体" w:hAnsi="宋体" w:cs="宋体"/>
                <w:b/>
                <w:bCs/>
                <w:color w:val="auto"/>
                <w:szCs w:val="21"/>
              </w:rPr>
            </w:pPr>
          </w:p>
        </w:tc>
        <w:tc>
          <w:tcPr>
            <w:tcW w:w="1063" w:type="dxa"/>
            <w:tcBorders>
              <w:top w:val="single" w:color="auto" w:sz="4" w:space="0"/>
              <w:left w:val="single" w:color="auto" w:sz="4" w:space="0"/>
              <w:bottom w:val="single" w:color="auto" w:sz="4" w:space="0"/>
              <w:right w:val="single" w:color="auto" w:sz="4" w:space="0"/>
            </w:tcBorders>
            <w:vAlign w:val="center"/>
          </w:tcPr>
          <w:p w14:paraId="37582D64">
            <w:pPr>
              <w:snapToGrid w:val="0"/>
              <w:spacing w:line="400" w:lineRule="exact"/>
              <w:jc w:val="center"/>
              <w:rPr>
                <w:rFonts w:ascii="宋体" w:hAnsi="宋体" w:cs="宋体"/>
                <w:b/>
                <w:bCs/>
                <w:color w:val="auto"/>
                <w:szCs w:val="21"/>
              </w:rPr>
            </w:pPr>
          </w:p>
        </w:tc>
        <w:tc>
          <w:tcPr>
            <w:tcW w:w="1283" w:type="dxa"/>
            <w:tcBorders>
              <w:top w:val="single" w:color="auto" w:sz="4" w:space="0"/>
              <w:left w:val="single" w:color="auto" w:sz="4" w:space="0"/>
              <w:bottom w:val="single" w:color="auto" w:sz="4" w:space="0"/>
              <w:right w:val="single" w:color="auto" w:sz="4" w:space="0"/>
            </w:tcBorders>
            <w:vAlign w:val="center"/>
          </w:tcPr>
          <w:p w14:paraId="7A699965">
            <w:pPr>
              <w:snapToGrid w:val="0"/>
              <w:spacing w:line="400" w:lineRule="exact"/>
              <w:jc w:val="center"/>
              <w:rPr>
                <w:rFonts w:ascii="宋体" w:hAnsi="宋体" w:cs="宋体"/>
                <w:b/>
                <w:bCs/>
                <w:color w:val="auto"/>
                <w:szCs w:val="21"/>
              </w:rPr>
            </w:pPr>
          </w:p>
        </w:tc>
        <w:tc>
          <w:tcPr>
            <w:tcW w:w="717" w:type="dxa"/>
            <w:tcBorders>
              <w:top w:val="single" w:color="auto" w:sz="4" w:space="0"/>
              <w:left w:val="single" w:color="auto" w:sz="4" w:space="0"/>
              <w:bottom w:val="single" w:color="auto" w:sz="4" w:space="0"/>
              <w:right w:val="single" w:color="auto" w:sz="4" w:space="0"/>
            </w:tcBorders>
            <w:vAlign w:val="center"/>
          </w:tcPr>
          <w:p w14:paraId="3F20B088">
            <w:pPr>
              <w:snapToGrid w:val="0"/>
              <w:spacing w:line="400" w:lineRule="exact"/>
              <w:jc w:val="center"/>
              <w:rPr>
                <w:rFonts w:ascii="宋体" w:hAnsi="宋体" w:cs="宋体"/>
                <w:b/>
                <w:bCs/>
                <w:color w:val="auto"/>
                <w:szCs w:val="21"/>
              </w:rPr>
            </w:pPr>
          </w:p>
        </w:tc>
        <w:tc>
          <w:tcPr>
            <w:tcW w:w="937" w:type="dxa"/>
            <w:tcBorders>
              <w:top w:val="single" w:color="auto" w:sz="4" w:space="0"/>
              <w:left w:val="single" w:color="auto" w:sz="4" w:space="0"/>
              <w:bottom w:val="single" w:color="auto" w:sz="4" w:space="0"/>
              <w:right w:val="single" w:color="auto" w:sz="4" w:space="0"/>
            </w:tcBorders>
            <w:vAlign w:val="center"/>
          </w:tcPr>
          <w:p w14:paraId="3E1305FA">
            <w:pPr>
              <w:snapToGrid w:val="0"/>
              <w:spacing w:line="400" w:lineRule="exact"/>
              <w:jc w:val="center"/>
              <w:rPr>
                <w:rFonts w:ascii="宋体" w:hAnsi="宋体" w:cs="宋体"/>
                <w:b/>
                <w:bCs/>
                <w:color w:val="auto"/>
                <w:szCs w:val="21"/>
              </w:rPr>
            </w:pPr>
          </w:p>
        </w:tc>
        <w:tc>
          <w:tcPr>
            <w:tcW w:w="996" w:type="dxa"/>
            <w:tcBorders>
              <w:top w:val="single" w:color="auto" w:sz="4" w:space="0"/>
              <w:left w:val="single" w:color="auto" w:sz="4" w:space="0"/>
              <w:bottom w:val="single" w:color="auto" w:sz="4" w:space="0"/>
              <w:right w:val="single" w:color="auto" w:sz="4" w:space="0"/>
            </w:tcBorders>
            <w:vAlign w:val="center"/>
          </w:tcPr>
          <w:p w14:paraId="1484A5E9">
            <w:pPr>
              <w:snapToGrid w:val="0"/>
              <w:spacing w:line="400" w:lineRule="exact"/>
              <w:jc w:val="center"/>
              <w:rPr>
                <w:rFonts w:ascii="宋体" w:hAnsi="宋体" w:cs="宋体"/>
                <w:b/>
                <w:bCs/>
                <w:color w:val="auto"/>
                <w:szCs w:val="21"/>
              </w:rPr>
            </w:pPr>
          </w:p>
        </w:tc>
        <w:tc>
          <w:tcPr>
            <w:tcW w:w="723" w:type="dxa"/>
            <w:tcBorders>
              <w:top w:val="single" w:color="auto" w:sz="4" w:space="0"/>
              <w:left w:val="single" w:color="auto" w:sz="4" w:space="0"/>
              <w:bottom w:val="single" w:color="auto" w:sz="4" w:space="0"/>
              <w:right w:val="single" w:color="auto" w:sz="4" w:space="0"/>
            </w:tcBorders>
            <w:vAlign w:val="center"/>
          </w:tcPr>
          <w:p w14:paraId="782BB717">
            <w:pPr>
              <w:snapToGrid w:val="0"/>
              <w:spacing w:line="400" w:lineRule="exact"/>
              <w:jc w:val="center"/>
              <w:rPr>
                <w:rFonts w:ascii="宋体" w:hAnsi="宋体" w:cs="宋体"/>
                <w:b/>
                <w:bCs/>
                <w:color w:val="auto"/>
                <w:szCs w:val="21"/>
              </w:rPr>
            </w:pPr>
          </w:p>
        </w:tc>
      </w:tr>
      <w:tr w14:paraId="523F72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78" w:hRule="atLeast"/>
        </w:trPr>
        <w:tc>
          <w:tcPr>
            <w:tcW w:w="706" w:type="dxa"/>
            <w:tcBorders>
              <w:top w:val="single" w:color="auto" w:sz="4" w:space="0"/>
              <w:left w:val="single" w:color="auto" w:sz="4" w:space="0"/>
              <w:bottom w:val="single" w:color="auto" w:sz="4" w:space="0"/>
              <w:right w:val="single" w:color="auto" w:sz="4" w:space="0"/>
            </w:tcBorders>
            <w:vAlign w:val="center"/>
          </w:tcPr>
          <w:p w14:paraId="154AE823">
            <w:pPr>
              <w:snapToGrid w:val="0"/>
              <w:spacing w:line="400" w:lineRule="exact"/>
              <w:jc w:val="center"/>
              <w:rPr>
                <w:rFonts w:ascii="宋体" w:hAnsi="宋体" w:cs="宋体"/>
                <w:b/>
                <w:bCs/>
                <w:color w:val="auto"/>
                <w:szCs w:val="21"/>
              </w:rPr>
            </w:pPr>
          </w:p>
        </w:tc>
        <w:tc>
          <w:tcPr>
            <w:tcW w:w="1137" w:type="dxa"/>
            <w:tcBorders>
              <w:top w:val="single" w:color="auto" w:sz="4" w:space="0"/>
              <w:left w:val="single" w:color="auto" w:sz="4" w:space="0"/>
              <w:bottom w:val="single" w:color="auto" w:sz="4" w:space="0"/>
              <w:right w:val="single" w:color="auto" w:sz="4" w:space="0"/>
            </w:tcBorders>
            <w:vAlign w:val="center"/>
          </w:tcPr>
          <w:p w14:paraId="4812B59C">
            <w:pPr>
              <w:snapToGrid w:val="0"/>
              <w:spacing w:line="400" w:lineRule="exact"/>
              <w:jc w:val="center"/>
              <w:rPr>
                <w:rFonts w:ascii="宋体" w:hAnsi="宋体" w:cs="宋体"/>
                <w:b/>
                <w:bCs/>
                <w:color w:val="auto"/>
                <w:szCs w:val="21"/>
              </w:rPr>
            </w:pPr>
          </w:p>
        </w:tc>
        <w:tc>
          <w:tcPr>
            <w:tcW w:w="822" w:type="dxa"/>
            <w:tcBorders>
              <w:top w:val="single" w:color="auto" w:sz="4" w:space="0"/>
              <w:left w:val="single" w:color="auto" w:sz="4" w:space="0"/>
              <w:bottom w:val="single" w:color="auto" w:sz="4" w:space="0"/>
              <w:right w:val="single" w:color="auto" w:sz="4" w:space="0"/>
            </w:tcBorders>
            <w:vAlign w:val="center"/>
          </w:tcPr>
          <w:p w14:paraId="754578F1">
            <w:pPr>
              <w:snapToGrid w:val="0"/>
              <w:spacing w:line="400" w:lineRule="exact"/>
              <w:jc w:val="center"/>
              <w:rPr>
                <w:rFonts w:ascii="宋体" w:hAnsi="宋体" w:cs="宋体"/>
                <w:b/>
                <w:bCs/>
                <w:color w:val="auto"/>
                <w:szCs w:val="21"/>
              </w:rPr>
            </w:pPr>
          </w:p>
        </w:tc>
        <w:tc>
          <w:tcPr>
            <w:tcW w:w="1085" w:type="dxa"/>
            <w:tcBorders>
              <w:top w:val="single" w:color="auto" w:sz="4" w:space="0"/>
              <w:left w:val="single" w:color="auto" w:sz="4" w:space="0"/>
              <w:bottom w:val="single" w:color="auto" w:sz="4" w:space="0"/>
              <w:right w:val="single" w:color="auto" w:sz="4" w:space="0"/>
            </w:tcBorders>
            <w:vAlign w:val="center"/>
          </w:tcPr>
          <w:p w14:paraId="3976007C">
            <w:pPr>
              <w:snapToGrid w:val="0"/>
              <w:spacing w:line="400" w:lineRule="exact"/>
              <w:jc w:val="center"/>
              <w:rPr>
                <w:rFonts w:ascii="宋体" w:hAnsi="宋体" w:cs="宋体"/>
                <w:b/>
                <w:bCs/>
                <w:color w:val="auto"/>
                <w:szCs w:val="21"/>
              </w:rPr>
            </w:pPr>
          </w:p>
        </w:tc>
        <w:tc>
          <w:tcPr>
            <w:tcW w:w="1063" w:type="dxa"/>
            <w:tcBorders>
              <w:top w:val="single" w:color="auto" w:sz="4" w:space="0"/>
              <w:left w:val="single" w:color="auto" w:sz="4" w:space="0"/>
              <w:bottom w:val="single" w:color="auto" w:sz="4" w:space="0"/>
              <w:right w:val="single" w:color="auto" w:sz="4" w:space="0"/>
            </w:tcBorders>
            <w:vAlign w:val="center"/>
          </w:tcPr>
          <w:p w14:paraId="06822211">
            <w:pPr>
              <w:snapToGrid w:val="0"/>
              <w:spacing w:line="400" w:lineRule="exact"/>
              <w:jc w:val="center"/>
              <w:rPr>
                <w:rFonts w:ascii="宋体" w:hAnsi="宋体" w:cs="宋体"/>
                <w:b/>
                <w:bCs/>
                <w:color w:val="auto"/>
                <w:szCs w:val="21"/>
              </w:rPr>
            </w:pPr>
          </w:p>
        </w:tc>
        <w:tc>
          <w:tcPr>
            <w:tcW w:w="1283" w:type="dxa"/>
            <w:tcBorders>
              <w:top w:val="single" w:color="auto" w:sz="4" w:space="0"/>
              <w:left w:val="single" w:color="auto" w:sz="4" w:space="0"/>
              <w:bottom w:val="single" w:color="auto" w:sz="4" w:space="0"/>
              <w:right w:val="single" w:color="auto" w:sz="4" w:space="0"/>
            </w:tcBorders>
            <w:vAlign w:val="center"/>
          </w:tcPr>
          <w:p w14:paraId="4FBE93B8">
            <w:pPr>
              <w:snapToGrid w:val="0"/>
              <w:spacing w:line="400" w:lineRule="exact"/>
              <w:jc w:val="center"/>
              <w:rPr>
                <w:rFonts w:ascii="宋体" w:hAnsi="宋体" w:cs="宋体"/>
                <w:b/>
                <w:bCs/>
                <w:color w:val="auto"/>
                <w:szCs w:val="21"/>
              </w:rPr>
            </w:pPr>
          </w:p>
        </w:tc>
        <w:tc>
          <w:tcPr>
            <w:tcW w:w="717" w:type="dxa"/>
            <w:tcBorders>
              <w:top w:val="single" w:color="auto" w:sz="4" w:space="0"/>
              <w:left w:val="single" w:color="auto" w:sz="4" w:space="0"/>
              <w:bottom w:val="single" w:color="auto" w:sz="4" w:space="0"/>
              <w:right w:val="single" w:color="auto" w:sz="4" w:space="0"/>
            </w:tcBorders>
            <w:vAlign w:val="center"/>
          </w:tcPr>
          <w:p w14:paraId="4F707952">
            <w:pPr>
              <w:snapToGrid w:val="0"/>
              <w:spacing w:line="400" w:lineRule="exact"/>
              <w:jc w:val="center"/>
              <w:rPr>
                <w:rFonts w:ascii="宋体" w:hAnsi="宋体" w:cs="宋体"/>
                <w:b/>
                <w:bCs/>
                <w:color w:val="auto"/>
                <w:szCs w:val="21"/>
              </w:rPr>
            </w:pPr>
          </w:p>
        </w:tc>
        <w:tc>
          <w:tcPr>
            <w:tcW w:w="937" w:type="dxa"/>
            <w:tcBorders>
              <w:top w:val="single" w:color="auto" w:sz="4" w:space="0"/>
              <w:left w:val="single" w:color="auto" w:sz="4" w:space="0"/>
              <w:bottom w:val="single" w:color="auto" w:sz="4" w:space="0"/>
              <w:right w:val="single" w:color="auto" w:sz="4" w:space="0"/>
            </w:tcBorders>
            <w:vAlign w:val="center"/>
          </w:tcPr>
          <w:p w14:paraId="502E2BA8">
            <w:pPr>
              <w:snapToGrid w:val="0"/>
              <w:spacing w:line="400" w:lineRule="exact"/>
              <w:jc w:val="center"/>
              <w:rPr>
                <w:rFonts w:ascii="宋体" w:hAnsi="宋体" w:cs="宋体"/>
                <w:b/>
                <w:bCs/>
                <w:color w:val="auto"/>
                <w:szCs w:val="21"/>
              </w:rPr>
            </w:pPr>
          </w:p>
        </w:tc>
        <w:tc>
          <w:tcPr>
            <w:tcW w:w="996" w:type="dxa"/>
            <w:tcBorders>
              <w:top w:val="single" w:color="auto" w:sz="4" w:space="0"/>
              <w:left w:val="single" w:color="auto" w:sz="4" w:space="0"/>
              <w:bottom w:val="single" w:color="auto" w:sz="4" w:space="0"/>
              <w:right w:val="single" w:color="auto" w:sz="4" w:space="0"/>
            </w:tcBorders>
            <w:vAlign w:val="center"/>
          </w:tcPr>
          <w:p w14:paraId="40575604">
            <w:pPr>
              <w:snapToGrid w:val="0"/>
              <w:spacing w:line="400" w:lineRule="exact"/>
              <w:jc w:val="center"/>
              <w:rPr>
                <w:rFonts w:ascii="宋体" w:hAnsi="宋体" w:cs="宋体"/>
                <w:b/>
                <w:bCs/>
                <w:color w:val="auto"/>
                <w:szCs w:val="21"/>
              </w:rPr>
            </w:pPr>
          </w:p>
        </w:tc>
        <w:tc>
          <w:tcPr>
            <w:tcW w:w="723" w:type="dxa"/>
            <w:tcBorders>
              <w:top w:val="single" w:color="auto" w:sz="4" w:space="0"/>
              <w:left w:val="single" w:color="auto" w:sz="4" w:space="0"/>
              <w:bottom w:val="single" w:color="auto" w:sz="4" w:space="0"/>
              <w:right w:val="single" w:color="auto" w:sz="4" w:space="0"/>
            </w:tcBorders>
            <w:vAlign w:val="center"/>
          </w:tcPr>
          <w:p w14:paraId="73F6191A">
            <w:pPr>
              <w:snapToGrid w:val="0"/>
              <w:spacing w:line="400" w:lineRule="exact"/>
              <w:jc w:val="center"/>
              <w:rPr>
                <w:rFonts w:ascii="宋体" w:hAnsi="宋体" w:cs="宋体"/>
                <w:b/>
                <w:bCs/>
                <w:color w:val="auto"/>
                <w:szCs w:val="21"/>
              </w:rPr>
            </w:pPr>
          </w:p>
        </w:tc>
      </w:tr>
    </w:tbl>
    <w:p w14:paraId="244C562F">
      <w:pPr>
        <w:snapToGrid w:val="0"/>
        <w:spacing w:before="50" w:after="50" w:line="360" w:lineRule="auto"/>
        <w:rPr>
          <w:rFonts w:ascii="宋体" w:hAnsi="宋体"/>
          <w:color w:val="auto"/>
          <w:szCs w:val="21"/>
        </w:rPr>
      </w:pPr>
    </w:p>
    <w:p w14:paraId="28A91DE6">
      <w:pPr>
        <w:snapToGrid w:val="0"/>
        <w:spacing w:before="50" w:after="50" w:line="360" w:lineRule="auto"/>
        <w:rPr>
          <w:rFonts w:ascii="宋体" w:hAnsi="宋体"/>
          <w:color w:val="auto"/>
          <w:szCs w:val="21"/>
        </w:rPr>
      </w:pPr>
      <w:r>
        <w:rPr>
          <w:rFonts w:hint="eastAsia" w:ascii="宋体" w:hAnsi="宋体"/>
          <w:color w:val="auto"/>
          <w:szCs w:val="21"/>
        </w:rPr>
        <w:t>备注：</w:t>
      </w:r>
    </w:p>
    <w:p w14:paraId="0C68034F">
      <w:pPr>
        <w:snapToGrid w:val="0"/>
        <w:spacing w:before="50" w:after="50" w:line="360" w:lineRule="auto"/>
        <w:rPr>
          <w:rFonts w:ascii="宋体" w:hAnsi="宋体"/>
          <w:color w:val="auto"/>
          <w:szCs w:val="21"/>
        </w:rPr>
      </w:pPr>
      <w:r>
        <w:rPr>
          <w:rFonts w:hint="eastAsia" w:ascii="宋体" w:hAnsi="宋体"/>
          <w:color w:val="auto"/>
          <w:szCs w:val="21"/>
        </w:rPr>
        <w:t>以上性能配置清单中“部件编号、名称、注册证号、规格型号、生产厂家及品牌、单位、数量、总价（元）”必须如实填写完整，品牌、规格型号没有则填无，填写有缺漏</w:t>
      </w:r>
      <w:r>
        <w:rPr>
          <w:rFonts w:hint="eastAsia" w:ascii="宋体" w:hAnsi="宋体"/>
          <w:bCs/>
          <w:color w:val="auto"/>
          <w:szCs w:val="21"/>
        </w:rPr>
        <w:t>的，</w:t>
      </w:r>
      <w:r>
        <w:rPr>
          <w:rFonts w:hint="eastAsia" w:ascii="宋体" w:hAnsi="宋体"/>
          <w:b/>
          <w:color w:val="auto"/>
          <w:szCs w:val="21"/>
        </w:rPr>
        <w:t>作无效投标处理。</w:t>
      </w:r>
      <w:r>
        <w:rPr>
          <w:rFonts w:hint="eastAsia" w:ascii="宋体" w:hAnsi="宋体"/>
          <w:color w:val="auto"/>
          <w:szCs w:val="21"/>
        </w:rPr>
        <w:t>货物名称、数量、单位、品牌必须与“开标一览表”一致，</w:t>
      </w:r>
      <w:r>
        <w:rPr>
          <w:rFonts w:hint="eastAsia" w:ascii="宋体" w:hAnsi="宋体"/>
          <w:b/>
          <w:color w:val="auto"/>
          <w:szCs w:val="21"/>
        </w:rPr>
        <w:t>否则作无效投标处理。</w:t>
      </w:r>
    </w:p>
    <w:p w14:paraId="4DB71B7B">
      <w:pPr>
        <w:snapToGrid w:val="0"/>
        <w:spacing w:before="50" w:after="50" w:line="480" w:lineRule="auto"/>
        <w:ind w:left="-6" w:leftChars="-15" w:right="-817" w:rightChars="-389" w:hanging="25" w:hangingChars="12"/>
        <w:jc w:val="left"/>
        <w:rPr>
          <w:rFonts w:ascii="宋体" w:hAnsi="宋体"/>
          <w:b/>
          <w:bCs/>
          <w:color w:val="auto"/>
          <w:szCs w:val="21"/>
        </w:rPr>
      </w:pPr>
    </w:p>
    <w:p w14:paraId="1577823C">
      <w:pPr>
        <w:snapToGrid w:val="0"/>
        <w:spacing w:before="50" w:after="50" w:line="300" w:lineRule="auto"/>
        <w:ind w:left="-6" w:leftChars="-15" w:right="-817" w:rightChars="-389" w:hanging="25" w:hangingChars="12"/>
        <w:jc w:val="left"/>
        <w:rPr>
          <w:rFonts w:ascii="宋体" w:hAnsi="宋体"/>
          <w:b/>
          <w:bCs/>
          <w:color w:val="auto"/>
          <w:szCs w:val="21"/>
        </w:rPr>
      </w:pPr>
      <w:r>
        <w:rPr>
          <w:rFonts w:hint="eastAsia" w:ascii="宋体" w:hAnsi="宋体"/>
          <w:b/>
          <w:bCs/>
          <w:color w:val="auto"/>
          <w:szCs w:val="21"/>
        </w:rPr>
        <w:t>法定代表人或者委托代理人（签字/电子签名）：</w:t>
      </w:r>
    </w:p>
    <w:p w14:paraId="68B9D8B4">
      <w:pPr>
        <w:snapToGrid w:val="0"/>
        <w:spacing w:before="50" w:after="50" w:line="300" w:lineRule="auto"/>
        <w:ind w:left="-6" w:leftChars="-15" w:right="-817" w:rightChars="-389" w:hanging="25" w:hangingChars="12"/>
        <w:jc w:val="left"/>
        <w:rPr>
          <w:rFonts w:ascii="宋体" w:hAnsi="宋体"/>
          <w:b/>
          <w:bCs/>
          <w:color w:val="auto"/>
          <w:szCs w:val="21"/>
        </w:rPr>
      </w:pPr>
      <w:r>
        <w:rPr>
          <w:rFonts w:hint="eastAsia" w:ascii="宋体" w:hAnsi="宋体"/>
          <w:b/>
          <w:bCs/>
          <w:color w:val="auto"/>
          <w:szCs w:val="21"/>
        </w:rPr>
        <w:t>投标人名称（公章或电子签章）：</w:t>
      </w:r>
    </w:p>
    <w:p w14:paraId="1D6EA99E">
      <w:pPr>
        <w:snapToGrid w:val="0"/>
        <w:spacing w:before="50" w:after="50" w:line="480" w:lineRule="auto"/>
        <w:ind w:left="-6" w:leftChars="-15" w:right="-817" w:rightChars="-389" w:hanging="25" w:hangingChars="12"/>
        <w:jc w:val="left"/>
        <w:rPr>
          <w:rFonts w:ascii="宋体" w:hAnsi="宋体"/>
          <w:color w:val="auto"/>
          <w:sz w:val="20"/>
          <w:szCs w:val="22"/>
        </w:rPr>
      </w:pPr>
      <w:r>
        <w:rPr>
          <w:rFonts w:hint="eastAsia" w:ascii="宋体" w:hAnsi="宋体"/>
          <w:b/>
          <w:bCs/>
          <w:color w:val="auto"/>
          <w:szCs w:val="21"/>
        </w:rPr>
        <w:t>日期：    年   月   日</w:t>
      </w:r>
    </w:p>
    <w:p w14:paraId="6E6BFD04">
      <w:pPr>
        <w:snapToGrid w:val="0"/>
        <w:spacing w:beforeLines="50" w:line="480" w:lineRule="auto"/>
        <w:rPr>
          <w:rFonts w:ascii="宋体" w:hAnsi="宋体"/>
          <w:color w:val="auto"/>
          <w:szCs w:val="16"/>
        </w:rPr>
      </w:pPr>
    </w:p>
    <w:p w14:paraId="390AB35E">
      <w:pPr>
        <w:snapToGrid w:val="0"/>
        <w:spacing w:before="50" w:afterLines="50"/>
        <w:jc w:val="left"/>
        <w:rPr>
          <w:rFonts w:ascii="宋体" w:hAnsi="宋体"/>
          <w:color w:val="auto"/>
          <w:sz w:val="24"/>
          <w:szCs w:val="20"/>
        </w:rPr>
      </w:pPr>
    </w:p>
    <w:p w14:paraId="40000BB0">
      <w:pPr>
        <w:snapToGrid w:val="0"/>
        <w:spacing w:before="50" w:afterLines="50"/>
        <w:jc w:val="left"/>
        <w:rPr>
          <w:rFonts w:ascii="宋体" w:hAnsi="宋体"/>
          <w:color w:val="auto"/>
          <w:sz w:val="24"/>
          <w:szCs w:val="20"/>
        </w:rPr>
      </w:pPr>
    </w:p>
    <w:p w14:paraId="0FCD8C01">
      <w:pPr>
        <w:snapToGrid w:val="0"/>
        <w:spacing w:beforeLines="50" w:after="50"/>
        <w:ind w:left="142"/>
        <w:jc w:val="left"/>
        <w:rPr>
          <w:rFonts w:ascii="宋体" w:hAnsi="宋体"/>
          <w:b/>
          <w:color w:val="auto"/>
          <w:sz w:val="24"/>
        </w:rPr>
      </w:pPr>
      <w:r>
        <w:rPr>
          <w:rFonts w:ascii="宋体" w:hAnsi="宋体"/>
          <w:b/>
          <w:color w:val="auto"/>
          <w:sz w:val="24"/>
        </w:rPr>
        <w:br w:type="page"/>
      </w:r>
      <w:r>
        <w:rPr>
          <w:rFonts w:hint="eastAsia" w:ascii="宋体" w:hAnsi="宋体"/>
          <w:b/>
          <w:color w:val="auto"/>
          <w:sz w:val="24"/>
        </w:rPr>
        <w:t>7.技术偏离表格式</w:t>
      </w:r>
    </w:p>
    <w:p w14:paraId="05A0690C">
      <w:pPr>
        <w:snapToGrid w:val="0"/>
        <w:spacing w:beforeLines="50" w:after="50"/>
        <w:ind w:left="142"/>
        <w:jc w:val="left"/>
        <w:rPr>
          <w:rFonts w:ascii="宋体" w:hAnsi="宋体"/>
          <w:b/>
          <w:color w:val="auto"/>
          <w:szCs w:val="21"/>
        </w:rPr>
      </w:pPr>
    </w:p>
    <w:p w14:paraId="31FEACBA">
      <w:pPr>
        <w:snapToGrid w:val="0"/>
        <w:spacing w:beforeLines="50" w:after="50"/>
        <w:ind w:left="142"/>
        <w:jc w:val="center"/>
        <w:rPr>
          <w:rFonts w:ascii="宋体" w:hAnsi="宋体"/>
          <w:b/>
          <w:color w:val="auto"/>
          <w:sz w:val="24"/>
        </w:rPr>
      </w:pPr>
      <w:r>
        <w:rPr>
          <w:rFonts w:hint="eastAsia" w:ascii="宋体" w:hAnsi="宋体"/>
          <w:b/>
          <w:color w:val="auto"/>
          <w:sz w:val="24"/>
        </w:rPr>
        <w:t>技术偏离表</w:t>
      </w:r>
    </w:p>
    <w:p w14:paraId="101B431F">
      <w:pPr>
        <w:pStyle w:val="15"/>
        <w:rPr>
          <w:rFonts w:hAnsi="宋体"/>
          <w:color w:val="auto"/>
          <w:sz w:val="21"/>
        </w:rPr>
      </w:pPr>
      <w:r>
        <w:rPr>
          <w:rFonts w:hint="eastAsia" w:hAnsi="宋体"/>
          <w:color w:val="auto"/>
          <w:sz w:val="21"/>
        </w:rPr>
        <w:t>所投标项：标项</w:t>
      </w:r>
    </w:p>
    <w:tbl>
      <w:tblPr>
        <w:tblStyle w:val="25"/>
        <w:tblW w:w="89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2143"/>
        <w:gridCol w:w="1834"/>
        <w:gridCol w:w="2181"/>
        <w:gridCol w:w="1934"/>
      </w:tblGrid>
      <w:tr w14:paraId="3921A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52" w:type="dxa"/>
            <w:vAlign w:val="center"/>
          </w:tcPr>
          <w:p w14:paraId="52025AC9">
            <w:pPr>
              <w:pStyle w:val="15"/>
              <w:spacing w:line="400" w:lineRule="exact"/>
              <w:jc w:val="center"/>
              <w:rPr>
                <w:rFonts w:hAnsi="宋体" w:cs="Courier New"/>
                <w:b/>
                <w:bCs/>
                <w:color w:val="auto"/>
                <w:kern w:val="2"/>
                <w:sz w:val="21"/>
              </w:rPr>
            </w:pPr>
            <w:r>
              <w:rPr>
                <w:rFonts w:hint="eastAsia" w:hAnsi="宋体" w:cs="Courier New"/>
                <w:b/>
                <w:bCs/>
                <w:color w:val="auto"/>
                <w:kern w:val="2"/>
                <w:sz w:val="21"/>
              </w:rPr>
              <w:t>项号</w:t>
            </w:r>
          </w:p>
        </w:tc>
        <w:tc>
          <w:tcPr>
            <w:tcW w:w="2143" w:type="dxa"/>
            <w:vAlign w:val="center"/>
          </w:tcPr>
          <w:p w14:paraId="2DA5BAD8">
            <w:pPr>
              <w:pStyle w:val="15"/>
              <w:spacing w:line="400" w:lineRule="exact"/>
              <w:jc w:val="center"/>
              <w:rPr>
                <w:rFonts w:hAnsi="宋体" w:cs="Courier New"/>
                <w:b/>
                <w:bCs/>
                <w:color w:val="auto"/>
                <w:kern w:val="2"/>
                <w:sz w:val="21"/>
              </w:rPr>
            </w:pPr>
            <w:r>
              <w:rPr>
                <w:rFonts w:hint="eastAsia" w:hAnsi="宋体" w:cs="Courier New"/>
                <w:b/>
                <w:bCs/>
                <w:color w:val="auto"/>
                <w:kern w:val="2"/>
                <w:sz w:val="21"/>
              </w:rPr>
              <w:t>标的名称</w:t>
            </w:r>
          </w:p>
        </w:tc>
        <w:tc>
          <w:tcPr>
            <w:tcW w:w="1834" w:type="dxa"/>
            <w:vAlign w:val="center"/>
          </w:tcPr>
          <w:p w14:paraId="1D6D6A2B">
            <w:pPr>
              <w:pStyle w:val="15"/>
              <w:spacing w:line="400" w:lineRule="exact"/>
              <w:jc w:val="center"/>
              <w:rPr>
                <w:rFonts w:hAnsi="宋体" w:cs="Courier New"/>
                <w:b/>
                <w:bCs/>
                <w:color w:val="auto"/>
                <w:kern w:val="2"/>
                <w:sz w:val="21"/>
              </w:rPr>
            </w:pPr>
            <w:r>
              <w:rPr>
                <w:rFonts w:hint="eastAsia" w:hAnsi="宋体" w:cs="Courier New"/>
                <w:b/>
                <w:bCs/>
                <w:color w:val="auto"/>
                <w:kern w:val="2"/>
                <w:sz w:val="21"/>
              </w:rPr>
              <w:t>招标要求</w:t>
            </w:r>
          </w:p>
        </w:tc>
        <w:tc>
          <w:tcPr>
            <w:tcW w:w="2181" w:type="dxa"/>
            <w:vAlign w:val="center"/>
          </w:tcPr>
          <w:p w14:paraId="32C395AF">
            <w:pPr>
              <w:pStyle w:val="15"/>
              <w:spacing w:line="400" w:lineRule="exact"/>
              <w:jc w:val="center"/>
              <w:rPr>
                <w:rFonts w:hAnsi="宋体" w:cs="Courier New"/>
                <w:b/>
                <w:bCs/>
                <w:color w:val="auto"/>
                <w:kern w:val="2"/>
                <w:sz w:val="21"/>
              </w:rPr>
            </w:pPr>
            <w:r>
              <w:rPr>
                <w:rFonts w:hint="eastAsia" w:hAnsi="宋体" w:cs="Courier New"/>
                <w:b/>
                <w:bCs/>
                <w:color w:val="auto"/>
                <w:kern w:val="2"/>
                <w:sz w:val="21"/>
              </w:rPr>
              <w:t>投标响应</w:t>
            </w:r>
          </w:p>
        </w:tc>
        <w:tc>
          <w:tcPr>
            <w:tcW w:w="1934" w:type="dxa"/>
            <w:vAlign w:val="center"/>
          </w:tcPr>
          <w:p w14:paraId="16743ADA">
            <w:pPr>
              <w:pStyle w:val="15"/>
              <w:spacing w:line="400" w:lineRule="exact"/>
              <w:jc w:val="center"/>
              <w:rPr>
                <w:rFonts w:hAnsi="宋体" w:cs="Courier New"/>
                <w:b/>
                <w:bCs/>
                <w:color w:val="auto"/>
                <w:kern w:val="2"/>
                <w:sz w:val="21"/>
              </w:rPr>
            </w:pPr>
            <w:r>
              <w:rPr>
                <w:rFonts w:hint="eastAsia" w:hAnsi="宋体" w:cs="Courier New"/>
                <w:b/>
                <w:bCs/>
                <w:color w:val="auto"/>
                <w:kern w:val="2"/>
                <w:sz w:val="21"/>
              </w:rPr>
              <w:t>偏离说明</w:t>
            </w:r>
          </w:p>
        </w:tc>
      </w:tr>
      <w:tr w14:paraId="7256F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5CAB285E">
            <w:pPr>
              <w:pStyle w:val="15"/>
              <w:spacing w:line="600" w:lineRule="exact"/>
              <w:jc w:val="center"/>
              <w:rPr>
                <w:rFonts w:hAnsi="宋体" w:cs="Courier New"/>
                <w:color w:val="auto"/>
                <w:kern w:val="2"/>
                <w:sz w:val="21"/>
              </w:rPr>
            </w:pPr>
          </w:p>
        </w:tc>
        <w:tc>
          <w:tcPr>
            <w:tcW w:w="2143" w:type="dxa"/>
            <w:vAlign w:val="center"/>
          </w:tcPr>
          <w:p w14:paraId="722C124E">
            <w:pPr>
              <w:pStyle w:val="15"/>
              <w:spacing w:line="600" w:lineRule="exact"/>
              <w:jc w:val="center"/>
              <w:rPr>
                <w:rFonts w:hAnsi="宋体" w:cs="Courier New"/>
                <w:color w:val="auto"/>
                <w:kern w:val="2"/>
                <w:sz w:val="21"/>
              </w:rPr>
            </w:pPr>
          </w:p>
        </w:tc>
        <w:tc>
          <w:tcPr>
            <w:tcW w:w="1834" w:type="dxa"/>
            <w:vAlign w:val="center"/>
          </w:tcPr>
          <w:p w14:paraId="0860D994">
            <w:pPr>
              <w:pStyle w:val="15"/>
              <w:spacing w:line="600" w:lineRule="exact"/>
              <w:jc w:val="center"/>
              <w:rPr>
                <w:rFonts w:hAnsi="宋体" w:cs="Courier New"/>
                <w:color w:val="auto"/>
                <w:kern w:val="2"/>
                <w:sz w:val="21"/>
              </w:rPr>
            </w:pPr>
          </w:p>
        </w:tc>
        <w:tc>
          <w:tcPr>
            <w:tcW w:w="2181" w:type="dxa"/>
            <w:vAlign w:val="center"/>
          </w:tcPr>
          <w:p w14:paraId="0DBA3CA9">
            <w:pPr>
              <w:pStyle w:val="15"/>
              <w:spacing w:line="600" w:lineRule="exact"/>
              <w:jc w:val="center"/>
              <w:rPr>
                <w:rFonts w:hAnsi="宋体" w:cs="Courier New"/>
                <w:color w:val="auto"/>
                <w:kern w:val="2"/>
                <w:sz w:val="21"/>
              </w:rPr>
            </w:pPr>
          </w:p>
        </w:tc>
        <w:tc>
          <w:tcPr>
            <w:tcW w:w="1934" w:type="dxa"/>
            <w:vAlign w:val="center"/>
          </w:tcPr>
          <w:p w14:paraId="7C605E18">
            <w:pPr>
              <w:pStyle w:val="15"/>
              <w:spacing w:line="600" w:lineRule="exact"/>
              <w:jc w:val="center"/>
              <w:rPr>
                <w:rFonts w:hAnsi="宋体" w:cs="Courier New"/>
                <w:color w:val="auto"/>
                <w:kern w:val="2"/>
                <w:sz w:val="21"/>
              </w:rPr>
            </w:pPr>
          </w:p>
        </w:tc>
      </w:tr>
      <w:tr w14:paraId="6639E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5331152C">
            <w:pPr>
              <w:pStyle w:val="15"/>
              <w:spacing w:line="600" w:lineRule="exact"/>
              <w:rPr>
                <w:rFonts w:hAnsi="宋体" w:cs="Courier New"/>
                <w:color w:val="auto"/>
                <w:kern w:val="2"/>
                <w:sz w:val="21"/>
              </w:rPr>
            </w:pPr>
          </w:p>
        </w:tc>
        <w:tc>
          <w:tcPr>
            <w:tcW w:w="2143" w:type="dxa"/>
          </w:tcPr>
          <w:p w14:paraId="3DF90F05">
            <w:pPr>
              <w:pStyle w:val="15"/>
              <w:spacing w:line="600" w:lineRule="exact"/>
              <w:rPr>
                <w:rFonts w:hAnsi="宋体" w:cs="Courier New"/>
                <w:color w:val="auto"/>
                <w:kern w:val="2"/>
                <w:sz w:val="21"/>
              </w:rPr>
            </w:pPr>
          </w:p>
        </w:tc>
        <w:tc>
          <w:tcPr>
            <w:tcW w:w="1834" w:type="dxa"/>
          </w:tcPr>
          <w:p w14:paraId="4D18658E">
            <w:pPr>
              <w:pStyle w:val="15"/>
              <w:spacing w:line="600" w:lineRule="exact"/>
              <w:rPr>
                <w:rFonts w:hAnsi="宋体" w:cs="Courier New"/>
                <w:color w:val="auto"/>
                <w:kern w:val="2"/>
                <w:sz w:val="21"/>
              </w:rPr>
            </w:pPr>
          </w:p>
        </w:tc>
        <w:tc>
          <w:tcPr>
            <w:tcW w:w="2181" w:type="dxa"/>
          </w:tcPr>
          <w:p w14:paraId="550C2363">
            <w:pPr>
              <w:pStyle w:val="15"/>
              <w:spacing w:line="600" w:lineRule="exact"/>
              <w:rPr>
                <w:rFonts w:hAnsi="宋体" w:cs="Courier New"/>
                <w:color w:val="auto"/>
                <w:kern w:val="2"/>
                <w:sz w:val="21"/>
              </w:rPr>
            </w:pPr>
          </w:p>
        </w:tc>
        <w:tc>
          <w:tcPr>
            <w:tcW w:w="1934" w:type="dxa"/>
          </w:tcPr>
          <w:p w14:paraId="2E06B344">
            <w:pPr>
              <w:pStyle w:val="15"/>
              <w:spacing w:line="600" w:lineRule="exact"/>
              <w:rPr>
                <w:rFonts w:hAnsi="宋体" w:cs="Courier New"/>
                <w:color w:val="auto"/>
                <w:kern w:val="2"/>
                <w:sz w:val="21"/>
              </w:rPr>
            </w:pPr>
          </w:p>
        </w:tc>
      </w:tr>
      <w:tr w14:paraId="6B610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1411910C">
            <w:pPr>
              <w:pStyle w:val="15"/>
              <w:spacing w:line="600" w:lineRule="exact"/>
              <w:rPr>
                <w:rFonts w:hAnsi="宋体" w:cs="Courier New"/>
                <w:color w:val="auto"/>
                <w:kern w:val="2"/>
                <w:sz w:val="21"/>
              </w:rPr>
            </w:pPr>
          </w:p>
        </w:tc>
        <w:tc>
          <w:tcPr>
            <w:tcW w:w="2143" w:type="dxa"/>
          </w:tcPr>
          <w:p w14:paraId="44502332">
            <w:pPr>
              <w:pStyle w:val="15"/>
              <w:spacing w:line="600" w:lineRule="exact"/>
              <w:rPr>
                <w:rFonts w:hAnsi="宋体" w:cs="Courier New"/>
                <w:color w:val="auto"/>
                <w:kern w:val="2"/>
                <w:sz w:val="21"/>
              </w:rPr>
            </w:pPr>
          </w:p>
        </w:tc>
        <w:tc>
          <w:tcPr>
            <w:tcW w:w="1834" w:type="dxa"/>
          </w:tcPr>
          <w:p w14:paraId="7B8A5AB5">
            <w:pPr>
              <w:pStyle w:val="15"/>
              <w:spacing w:line="600" w:lineRule="exact"/>
              <w:rPr>
                <w:rFonts w:hAnsi="宋体" w:cs="Courier New"/>
                <w:color w:val="auto"/>
                <w:kern w:val="2"/>
                <w:sz w:val="21"/>
              </w:rPr>
            </w:pPr>
          </w:p>
        </w:tc>
        <w:tc>
          <w:tcPr>
            <w:tcW w:w="2181" w:type="dxa"/>
          </w:tcPr>
          <w:p w14:paraId="17DEEC9D">
            <w:pPr>
              <w:pStyle w:val="15"/>
              <w:spacing w:line="600" w:lineRule="exact"/>
              <w:rPr>
                <w:rFonts w:hAnsi="宋体" w:cs="Courier New"/>
                <w:color w:val="auto"/>
                <w:kern w:val="2"/>
                <w:sz w:val="21"/>
              </w:rPr>
            </w:pPr>
          </w:p>
        </w:tc>
        <w:tc>
          <w:tcPr>
            <w:tcW w:w="1934" w:type="dxa"/>
          </w:tcPr>
          <w:p w14:paraId="57A7235D">
            <w:pPr>
              <w:pStyle w:val="15"/>
              <w:spacing w:line="600" w:lineRule="exact"/>
              <w:rPr>
                <w:rFonts w:hAnsi="宋体" w:cs="Courier New"/>
                <w:color w:val="auto"/>
                <w:kern w:val="2"/>
                <w:sz w:val="21"/>
              </w:rPr>
            </w:pPr>
          </w:p>
        </w:tc>
      </w:tr>
      <w:tr w14:paraId="220FF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62716F1F">
            <w:pPr>
              <w:pStyle w:val="15"/>
              <w:spacing w:line="600" w:lineRule="exact"/>
              <w:rPr>
                <w:rFonts w:hAnsi="宋体" w:cs="Courier New"/>
                <w:color w:val="auto"/>
                <w:kern w:val="2"/>
                <w:sz w:val="21"/>
              </w:rPr>
            </w:pPr>
          </w:p>
        </w:tc>
        <w:tc>
          <w:tcPr>
            <w:tcW w:w="2143" w:type="dxa"/>
          </w:tcPr>
          <w:p w14:paraId="540178E6">
            <w:pPr>
              <w:pStyle w:val="15"/>
              <w:spacing w:line="600" w:lineRule="exact"/>
              <w:rPr>
                <w:rFonts w:hAnsi="宋体" w:cs="Courier New"/>
                <w:color w:val="auto"/>
                <w:kern w:val="2"/>
                <w:sz w:val="21"/>
              </w:rPr>
            </w:pPr>
          </w:p>
        </w:tc>
        <w:tc>
          <w:tcPr>
            <w:tcW w:w="1834" w:type="dxa"/>
          </w:tcPr>
          <w:p w14:paraId="1B62333A">
            <w:pPr>
              <w:pStyle w:val="15"/>
              <w:spacing w:line="600" w:lineRule="exact"/>
              <w:rPr>
                <w:rFonts w:hAnsi="宋体" w:cs="Courier New"/>
                <w:color w:val="auto"/>
                <w:kern w:val="2"/>
                <w:sz w:val="21"/>
              </w:rPr>
            </w:pPr>
          </w:p>
        </w:tc>
        <w:tc>
          <w:tcPr>
            <w:tcW w:w="2181" w:type="dxa"/>
          </w:tcPr>
          <w:p w14:paraId="14DC2F12">
            <w:pPr>
              <w:pStyle w:val="15"/>
              <w:spacing w:line="600" w:lineRule="exact"/>
              <w:rPr>
                <w:rFonts w:hAnsi="宋体" w:cs="Courier New"/>
                <w:color w:val="auto"/>
                <w:kern w:val="2"/>
                <w:sz w:val="21"/>
              </w:rPr>
            </w:pPr>
          </w:p>
        </w:tc>
        <w:tc>
          <w:tcPr>
            <w:tcW w:w="1934" w:type="dxa"/>
          </w:tcPr>
          <w:p w14:paraId="02F6BFEC">
            <w:pPr>
              <w:pStyle w:val="15"/>
              <w:spacing w:line="600" w:lineRule="exact"/>
              <w:rPr>
                <w:rFonts w:hAnsi="宋体" w:cs="Courier New"/>
                <w:color w:val="auto"/>
                <w:kern w:val="2"/>
                <w:sz w:val="21"/>
              </w:rPr>
            </w:pPr>
          </w:p>
        </w:tc>
      </w:tr>
      <w:tr w14:paraId="3670B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5DD5F90F">
            <w:pPr>
              <w:pStyle w:val="15"/>
              <w:spacing w:line="600" w:lineRule="exact"/>
              <w:rPr>
                <w:rFonts w:hAnsi="宋体" w:cs="Courier New"/>
                <w:color w:val="auto"/>
                <w:kern w:val="2"/>
                <w:sz w:val="21"/>
              </w:rPr>
            </w:pPr>
          </w:p>
        </w:tc>
        <w:tc>
          <w:tcPr>
            <w:tcW w:w="2143" w:type="dxa"/>
          </w:tcPr>
          <w:p w14:paraId="6BD15881">
            <w:pPr>
              <w:pStyle w:val="15"/>
              <w:spacing w:line="600" w:lineRule="exact"/>
              <w:rPr>
                <w:rFonts w:hAnsi="宋体" w:cs="Courier New"/>
                <w:color w:val="auto"/>
                <w:kern w:val="2"/>
                <w:sz w:val="21"/>
              </w:rPr>
            </w:pPr>
          </w:p>
        </w:tc>
        <w:tc>
          <w:tcPr>
            <w:tcW w:w="1834" w:type="dxa"/>
          </w:tcPr>
          <w:p w14:paraId="66722E75">
            <w:pPr>
              <w:pStyle w:val="15"/>
              <w:spacing w:line="600" w:lineRule="exact"/>
              <w:rPr>
                <w:rFonts w:hAnsi="宋体" w:cs="Courier New"/>
                <w:color w:val="auto"/>
                <w:kern w:val="2"/>
                <w:sz w:val="21"/>
              </w:rPr>
            </w:pPr>
          </w:p>
        </w:tc>
        <w:tc>
          <w:tcPr>
            <w:tcW w:w="2181" w:type="dxa"/>
          </w:tcPr>
          <w:p w14:paraId="020CFD18">
            <w:pPr>
              <w:pStyle w:val="15"/>
              <w:spacing w:line="600" w:lineRule="exact"/>
              <w:rPr>
                <w:rFonts w:hAnsi="宋体" w:cs="Courier New"/>
                <w:color w:val="auto"/>
                <w:kern w:val="2"/>
                <w:sz w:val="21"/>
              </w:rPr>
            </w:pPr>
          </w:p>
        </w:tc>
        <w:tc>
          <w:tcPr>
            <w:tcW w:w="1934" w:type="dxa"/>
          </w:tcPr>
          <w:p w14:paraId="6541802B">
            <w:pPr>
              <w:pStyle w:val="15"/>
              <w:spacing w:line="600" w:lineRule="exact"/>
              <w:rPr>
                <w:rFonts w:hAnsi="宋体" w:cs="Courier New"/>
                <w:color w:val="auto"/>
                <w:kern w:val="2"/>
                <w:sz w:val="21"/>
              </w:rPr>
            </w:pPr>
          </w:p>
        </w:tc>
      </w:tr>
      <w:tr w14:paraId="0E902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5FA3F7AF">
            <w:pPr>
              <w:pStyle w:val="15"/>
              <w:spacing w:line="600" w:lineRule="exact"/>
              <w:rPr>
                <w:rFonts w:hAnsi="宋体" w:cs="Courier New"/>
                <w:color w:val="auto"/>
                <w:kern w:val="2"/>
                <w:sz w:val="21"/>
              </w:rPr>
            </w:pPr>
          </w:p>
        </w:tc>
        <w:tc>
          <w:tcPr>
            <w:tcW w:w="2143" w:type="dxa"/>
          </w:tcPr>
          <w:p w14:paraId="0A17CDF6">
            <w:pPr>
              <w:pStyle w:val="15"/>
              <w:spacing w:line="600" w:lineRule="exact"/>
              <w:rPr>
                <w:rFonts w:hAnsi="宋体" w:cs="Courier New"/>
                <w:color w:val="auto"/>
                <w:kern w:val="2"/>
                <w:sz w:val="21"/>
              </w:rPr>
            </w:pPr>
          </w:p>
        </w:tc>
        <w:tc>
          <w:tcPr>
            <w:tcW w:w="1834" w:type="dxa"/>
          </w:tcPr>
          <w:p w14:paraId="5505AA66">
            <w:pPr>
              <w:pStyle w:val="15"/>
              <w:spacing w:line="600" w:lineRule="exact"/>
              <w:rPr>
                <w:rFonts w:hAnsi="宋体" w:cs="Courier New"/>
                <w:color w:val="auto"/>
                <w:kern w:val="2"/>
                <w:sz w:val="21"/>
              </w:rPr>
            </w:pPr>
          </w:p>
        </w:tc>
        <w:tc>
          <w:tcPr>
            <w:tcW w:w="2181" w:type="dxa"/>
          </w:tcPr>
          <w:p w14:paraId="599D2FB6">
            <w:pPr>
              <w:pStyle w:val="15"/>
              <w:spacing w:line="600" w:lineRule="exact"/>
              <w:rPr>
                <w:rFonts w:hAnsi="宋体" w:cs="Courier New"/>
                <w:color w:val="auto"/>
                <w:kern w:val="2"/>
                <w:sz w:val="21"/>
              </w:rPr>
            </w:pPr>
          </w:p>
        </w:tc>
        <w:tc>
          <w:tcPr>
            <w:tcW w:w="1934" w:type="dxa"/>
          </w:tcPr>
          <w:p w14:paraId="5FE55245">
            <w:pPr>
              <w:pStyle w:val="15"/>
              <w:spacing w:line="600" w:lineRule="exact"/>
              <w:rPr>
                <w:rFonts w:hAnsi="宋体" w:cs="Courier New"/>
                <w:color w:val="auto"/>
                <w:kern w:val="2"/>
                <w:sz w:val="21"/>
              </w:rPr>
            </w:pPr>
          </w:p>
        </w:tc>
      </w:tr>
      <w:tr w14:paraId="0936B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1AF5C2F5">
            <w:pPr>
              <w:pStyle w:val="15"/>
              <w:spacing w:line="600" w:lineRule="exact"/>
              <w:rPr>
                <w:rFonts w:hAnsi="宋体" w:cs="Courier New"/>
                <w:color w:val="auto"/>
                <w:kern w:val="2"/>
                <w:sz w:val="21"/>
              </w:rPr>
            </w:pPr>
          </w:p>
        </w:tc>
        <w:tc>
          <w:tcPr>
            <w:tcW w:w="2143" w:type="dxa"/>
          </w:tcPr>
          <w:p w14:paraId="2C7B7A1B">
            <w:pPr>
              <w:pStyle w:val="15"/>
              <w:spacing w:line="600" w:lineRule="exact"/>
              <w:rPr>
                <w:rFonts w:hAnsi="宋体" w:cs="Courier New"/>
                <w:color w:val="auto"/>
                <w:kern w:val="2"/>
                <w:sz w:val="21"/>
              </w:rPr>
            </w:pPr>
          </w:p>
        </w:tc>
        <w:tc>
          <w:tcPr>
            <w:tcW w:w="1834" w:type="dxa"/>
          </w:tcPr>
          <w:p w14:paraId="0195620F">
            <w:pPr>
              <w:pStyle w:val="15"/>
              <w:spacing w:line="600" w:lineRule="exact"/>
              <w:rPr>
                <w:rFonts w:hAnsi="宋体" w:cs="Courier New"/>
                <w:color w:val="auto"/>
                <w:kern w:val="2"/>
                <w:sz w:val="21"/>
              </w:rPr>
            </w:pPr>
          </w:p>
        </w:tc>
        <w:tc>
          <w:tcPr>
            <w:tcW w:w="2181" w:type="dxa"/>
          </w:tcPr>
          <w:p w14:paraId="2E6843B8">
            <w:pPr>
              <w:pStyle w:val="15"/>
              <w:spacing w:line="600" w:lineRule="exact"/>
              <w:rPr>
                <w:rFonts w:hAnsi="宋体" w:cs="Courier New"/>
                <w:color w:val="auto"/>
                <w:kern w:val="2"/>
                <w:sz w:val="21"/>
              </w:rPr>
            </w:pPr>
          </w:p>
        </w:tc>
        <w:tc>
          <w:tcPr>
            <w:tcW w:w="1934" w:type="dxa"/>
          </w:tcPr>
          <w:p w14:paraId="646C7CE0">
            <w:pPr>
              <w:pStyle w:val="15"/>
              <w:spacing w:line="600" w:lineRule="exact"/>
              <w:rPr>
                <w:rFonts w:hAnsi="宋体" w:cs="Courier New"/>
                <w:color w:val="auto"/>
                <w:kern w:val="2"/>
                <w:sz w:val="21"/>
              </w:rPr>
            </w:pPr>
          </w:p>
        </w:tc>
      </w:tr>
    </w:tbl>
    <w:p w14:paraId="58685CE8">
      <w:pPr>
        <w:pStyle w:val="11"/>
        <w:rPr>
          <w:rFonts w:ascii="宋体" w:hAnsi="宋体"/>
          <w:color w:val="auto"/>
          <w:sz w:val="21"/>
          <w:szCs w:val="21"/>
        </w:rPr>
      </w:pPr>
      <w:r>
        <w:rPr>
          <w:rFonts w:hint="eastAsia" w:ascii="宋体" w:hAnsi="宋体"/>
          <w:color w:val="auto"/>
          <w:sz w:val="21"/>
          <w:szCs w:val="21"/>
        </w:rPr>
        <w:t>注：</w:t>
      </w:r>
    </w:p>
    <w:p w14:paraId="36E4D7A3">
      <w:pPr>
        <w:pStyle w:val="14"/>
        <w:spacing w:line="520" w:lineRule="exact"/>
        <w:ind w:firstLine="0" w:firstLineChars="0"/>
        <w:rPr>
          <w:rFonts w:hAnsi="仿宋_GB2312" w:cs="仿宋_GB2312"/>
          <w:color w:val="auto"/>
          <w:sz w:val="24"/>
          <w:szCs w:val="24"/>
        </w:rPr>
      </w:pPr>
      <w:r>
        <w:rPr>
          <w:rFonts w:hint="eastAsia" w:ascii="宋体" w:hAnsi="宋体" w:eastAsia="宋体"/>
          <w:color w:val="auto"/>
          <w:sz w:val="21"/>
          <w:szCs w:val="21"/>
        </w:rPr>
        <w:t>1. 说明：应对照招标文件“第二章 采购需求”中的技术</w:t>
      </w:r>
      <w:r>
        <w:rPr>
          <w:rFonts w:hint="eastAsia" w:ascii="宋体" w:hAnsi="宋体" w:eastAsia="宋体"/>
          <w:color w:val="auto"/>
          <w:sz w:val="21"/>
          <w:szCs w:val="21"/>
          <w:lang w:val="en-US" w:eastAsia="zh-CN"/>
        </w:rPr>
        <w:t>参数</w:t>
      </w:r>
      <w:r>
        <w:rPr>
          <w:rFonts w:hint="eastAsia" w:ascii="宋体" w:hAnsi="宋体" w:eastAsia="宋体"/>
          <w:color w:val="auto"/>
          <w:sz w:val="21"/>
          <w:szCs w:val="21"/>
        </w:rPr>
        <w:t>逐条实质性响应，并作出偏离说明。</w:t>
      </w:r>
    </w:p>
    <w:p w14:paraId="0C03EDD8">
      <w:pPr>
        <w:pStyle w:val="11"/>
        <w:rPr>
          <w:rFonts w:ascii="宋体" w:hAnsi="宋体"/>
          <w:color w:val="auto"/>
          <w:sz w:val="21"/>
          <w:szCs w:val="21"/>
        </w:rPr>
      </w:pPr>
      <w:r>
        <w:rPr>
          <w:rFonts w:ascii="宋体" w:hAnsi="宋体"/>
          <w:b w:val="0"/>
          <w:bCs w:val="0"/>
          <w:color w:val="auto"/>
          <w:sz w:val="21"/>
          <w:szCs w:val="21"/>
        </w:rPr>
        <w:t>2.</w:t>
      </w:r>
      <w:r>
        <w:rPr>
          <w:rFonts w:hint="eastAsia" w:ascii="宋体" w:hAnsi="宋体"/>
          <w:b w:val="0"/>
          <w:bCs w:val="0"/>
          <w:color w:val="auto"/>
          <w:sz w:val="21"/>
          <w:szCs w:val="21"/>
        </w:rPr>
        <w:t>投标人应根据投标设备的性能指标，对照招标文件要求，在“偏离说明”中注明“</w:t>
      </w:r>
      <w:r>
        <w:rPr>
          <w:rFonts w:hint="eastAsia" w:ascii="宋体" w:hAnsi="宋体"/>
          <w:color w:val="auto"/>
          <w:sz w:val="21"/>
          <w:szCs w:val="21"/>
        </w:rPr>
        <w:t>正偏离</w:t>
      </w:r>
      <w:r>
        <w:rPr>
          <w:rFonts w:hint="eastAsia" w:ascii="宋体" w:hAnsi="宋体"/>
          <w:b w:val="0"/>
          <w:bCs w:val="0"/>
          <w:color w:val="auto"/>
          <w:sz w:val="21"/>
          <w:szCs w:val="21"/>
        </w:rPr>
        <w:t>”、“</w:t>
      </w:r>
      <w:r>
        <w:rPr>
          <w:rFonts w:hint="eastAsia" w:ascii="宋体" w:hAnsi="宋体"/>
          <w:color w:val="auto"/>
          <w:sz w:val="21"/>
          <w:szCs w:val="21"/>
        </w:rPr>
        <w:t>负偏离</w:t>
      </w:r>
      <w:r>
        <w:rPr>
          <w:rFonts w:hint="eastAsia" w:ascii="宋体" w:hAnsi="宋体"/>
          <w:b w:val="0"/>
          <w:bCs w:val="0"/>
          <w:color w:val="auto"/>
          <w:sz w:val="21"/>
          <w:szCs w:val="21"/>
        </w:rPr>
        <w:t>”或者“</w:t>
      </w:r>
      <w:r>
        <w:rPr>
          <w:rFonts w:hint="eastAsia" w:ascii="宋体" w:hAnsi="宋体"/>
          <w:color w:val="auto"/>
          <w:sz w:val="21"/>
          <w:szCs w:val="21"/>
        </w:rPr>
        <w:t>无偏离</w:t>
      </w:r>
      <w:r>
        <w:rPr>
          <w:rFonts w:hint="eastAsia" w:ascii="宋体" w:hAnsi="宋体"/>
          <w:b w:val="0"/>
          <w:bCs w:val="0"/>
          <w:color w:val="auto"/>
          <w:sz w:val="21"/>
          <w:szCs w:val="21"/>
        </w:rPr>
        <w:t>”。既不属于“</w:t>
      </w:r>
      <w:r>
        <w:rPr>
          <w:rFonts w:hint="eastAsia" w:ascii="宋体" w:hAnsi="宋体"/>
          <w:color w:val="auto"/>
          <w:sz w:val="21"/>
          <w:szCs w:val="21"/>
        </w:rPr>
        <w:t>正偏离</w:t>
      </w:r>
      <w:r>
        <w:rPr>
          <w:rFonts w:hint="eastAsia" w:ascii="宋体" w:hAnsi="宋体"/>
          <w:b w:val="0"/>
          <w:bCs w:val="0"/>
          <w:color w:val="auto"/>
          <w:sz w:val="21"/>
          <w:szCs w:val="21"/>
        </w:rPr>
        <w:t>”也不属于“</w:t>
      </w:r>
      <w:r>
        <w:rPr>
          <w:rFonts w:hint="eastAsia" w:ascii="宋体" w:hAnsi="宋体"/>
          <w:color w:val="auto"/>
          <w:sz w:val="21"/>
          <w:szCs w:val="21"/>
        </w:rPr>
        <w:t>负偏离</w:t>
      </w:r>
      <w:r>
        <w:rPr>
          <w:rFonts w:hint="eastAsia" w:ascii="宋体" w:hAnsi="宋体"/>
          <w:b w:val="0"/>
          <w:bCs w:val="0"/>
          <w:color w:val="auto"/>
          <w:sz w:val="21"/>
          <w:szCs w:val="21"/>
        </w:rPr>
        <w:t>”即为“</w:t>
      </w:r>
      <w:r>
        <w:rPr>
          <w:rFonts w:hint="eastAsia" w:ascii="宋体" w:hAnsi="宋体"/>
          <w:color w:val="auto"/>
          <w:sz w:val="21"/>
          <w:szCs w:val="21"/>
        </w:rPr>
        <w:t>无偏离</w:t>
      </w:r>
      <w:r>
        <w:rPr>
          <w:rFonts w:hint="eastAsia" w:ascii="宋体" w:hAnsi="宋体"/>
          <w:b w:val="0"/>
          <w:bCs w:val="0"/>
          <w:color w:val="auto"/>
          <w:sz w:val="21"/>
          <w:szCs w:val="21"/>
        </w:rPr>
        <w:t>”。</w:t>
      </w:r>
    </w:p>
    <w:p w14:paraId="3AA56C00">
      <w:pPr>
        <w:pStyle w:val="11"/>
        <w:rPr>
          <w:rFonts w:ascii="宋体" w:hAnsi="宋体"/>
          <w:color w:val="auto"/>
          <w:spacing w:val="20"/>
        </w:rPr>
      </w:pPr>
    </w:p>
    <w:p w14:paraId="4928136C">
      <w:pPr>
        <w:snapToGrid w:val="0"/>
        <w:spacing w:before="50" w:after="50" w:line="300" w:lineRule="auto"/>
        <w:ind w:left="-6" w:leftChars="-15" w:right="-817" w:rightChars="-389" w:hanging="25" w:hangingChars="12"/>
        <w:jc w:val="left"/>
        <w:rPr>
          <w:rFonts w:ascii="宋体" w:hAnsi="宋体"/>
          <w:b/>
          <w:bCs/>
          <w:color w:val="auto"/>
          <w:szCs w:val="21"/>
        </w:rPr>
      </w:pPr>
      <w:r>
        <w:rPr>
          <w:rFonts w:hint="eastAsia" w:ascii="宋体" w:hAnsi="宋体"/>
          <w:b/>
          <w:bCs/>
          <w:color w:val="auto"/>
          <w:szCs w:val="21"/>
        </w:rPr>
        <w:t>法定代表人或者委托代理人（签字/电子签名）：</w:t>
      </w:r>
    </w:p>
    <w:p w14:paraId="6FEA0823">
      <w:pPr>
        <w:snapToGrid w:val="0"/>
        <w:spacing w:before="50" w:after="50" w:line="300" w:lineRule="auto"/>
        <w:ind w:left="-6" w:leftChars="-15" w:right="-817" w:rightChars="-389" w:hanging="25" w:hangingChars="12"/>
        <w:jc w:val="left"/>
        <w:rPr>
          <w:rFonts w:ascii="宋体" w:hAnsi="宋体"/>
          <w:b/>
          <w:bCs/>
          <w:color w:val="auto"/>
          <w:szCs w:val="21"/>
        </w:rPr>
      </w:pPr>
      <w:r>
        <w:rPr>
          <w:rFonts w:hint="eastAsia" w:ascii="宋体" w:hAnsi="宋体"/>
          <w:b/>
          <w:bCs/>
          <w:color w:val="auto"/>
          <w:szCs w:val="21"/>
        </w:rPr>
        <w:t>投标人名称（公章或电子签章）：</w:t>
      </w:r>
    </w:p>
    <w:p w14:paraId="2B67BBF8">
      <w:pPr>
        <w:snapToGrid w:val="0"/>
        <w:spacing w:before="50" w:after="50" w:line="480" w:lineRule="auto"/>
        <w:ind w:left="-6" w:leftChars="-15" w:right="-817" w:rightChars="-389" w:hanging="25" w:hangingChars="12"/>
        <w:jc w:val="left"/>
        <w:rPr>
          <w:rFonts w:ascii="宋体" w:hAnsi="宋体"/>
          <w:b/>
          <w:bCs/>
          <w:color w:val="auto"/>
          <w:szCs w:val="21"/>
        </w:rPr>
      </w:pPr>
      <w:r>
        <w:rPr>
          <w:rFonts w:hint="eastAsia" w:ascii="宋体" w:hAnsi="宋体"/>
          <w:b/>
          <w:bCs/>
          <w:color w:val="auto"/>
          <w:szCs w:val="21"/>
        </w:rPr>
        <w:t>日期：    年   月   日</w:t>
      </w:r>
    </w:p>
    <w:p w14:paraId="3738A681">
      <w:pPr>
        <w:snapToGrid w:val="0"/>
        <w:spacing w:beforeLines="50" w:after="50"/>
        <w:jc w:val="left"/>
        <w:rPr>
          <w:rFonts w:ascii="宋体" w:hAnsi="宋体"/>
          <w:b/>
          <w:color w:val="auto"/>
          <w:sz w:val="24"/>
        </w:rPr>
      </w:pPr>
      <w:r>
        <w:rPr>
          <w:rFonts w:hint="eastAsia" w:ascii="宋体" w:hAnsi="宋体"/>
          <w:b/>
          <w:bCs/>
          <w:color w:val="auto"/>
          <w:szCs w:val="21"/>
        </w:rPr>
        <w:br w:type="page"/>
      </w:r>
      <w:r>
        <w:rPr>
          <w:rFonts w:hint="eastAsia" w:ascii="宋体" w:hAnsi="宋体"/>
          <w:b/>
          <w:color w:val="auto"/>
          <w:sz w:val="24"/>
          <w:lang w:val="en-US" w:eastAsia="zh-CN"/>
        </w:rPr>
        <w:t>10</w:t>
      </w:r>
      <w:r>
        <w:rPr>
          <w:rFonts w:hint="eastAsia" w:ascii="宋体" w:hAnsi="宋体"/>
          <w:b/>
          <w:color w:val="auto"/>
          <w:sz w:val="24"/>
        </w:rPr>
        <w:t>.信誉业绩证明文件</w:t>
      </w:r>
    </w:p>
    <w:p w14:paraId="234463E5">
      <w:pPr>
        <w:pStyle w:val="20"/>
        <w:snapToGrid w:val="0"/>
        <w:ind w:left="480" w:hanging="480"/>
        <w:rPr>
          <w:rFonts w:ascii="宋体" w:hAnsi="宋体"/>
          <w:color w:val="auto"/>
          <w:sz w:val="24"/>
        </w:rPr>
      </w:pPr>
    </w:p>
    <w:p w14:paraId="7EA5B50F">
      <w:pPr>
        <w:pStyle w:val="20"/>
        <w:snapToGrid w:val="0"/>
        <w:ind w:left="480" w:hanging="480"/>
        <w:rPr>
          <w:rFonts w:ascii="宋体" w:hAnsi="宋体"/>
          <w:color w:val="auto"/>
          <w:sz w:val="24"/>
        </w:rPr>
      </w:pPr>
      <w:r>
        <w:rPr>
          <w:rFonts w:hint="eastAsia" w:ascii="宋体" w:hAnsi="宋体"/>
          <w:color w:val="auto"/>
          <w:sz w:val="24"/>
        </w:rPr>
        <w:t>投标人同类项目情况一览表格式：</w:t>
      </w:r>
    </w:p>
    <w:p w14:paraId="1ACE3C66">
      <w:pPr>
        <w:pStyle w:val="20"/>
        <w:snapToGrid w:val="0"/>
        <w:ind w:left="480" w:hanging="480"/>
        <w:rPr>
          <w:rFonts w:ascii="宋体" w:hAnsi="宋体"/>
          <w:color w:val="auto"/>
          <w:sz w:val="24"/>
        </w:rPr>
      </w:pPr>
    </w:p>
    <w:p w14:paraId="2EF4BDE6">
      <w:pPr>
        <w:pStyle w:val="20"/>
        <w:snapToGrid w:val="0"/>
        <w:ind w:left="482" w:hanging="482"/>
        <w:jc w:val="center"/>
        <w:rPr>
          <w:rFonts w:hint="eastAsia" w:ascii="宋体" w:hAnsi="宋体"/>
          <w:b/>
          <w:color w:val="auto"/>
          <w:sz w:val="24"/>
        </w:rPr>
      </w:pPr>
      <w:r>
        <w:rPr>
          <w:rFonts w:hint="eastAsia" w:ascii="宋体" w:hAnsi="宋体"/>
          <w:b/>
          <w:color w:val="auto"/>
          <w:sz w:val="24"/>
        </w:rPr>
        <w:t>投标人业绩情况一览表</w:t>
      </w:r>
    </w:p>
    <w:p w14:paraId="11C17398">
      <w:pPr>
        <w:pStyle w:val="20"/>
        <w:snapToGrid w:val="0"/>
        <w:ind w:left="482" w:hanging="482"/>
        <w:jc w:val="left"/>
        <w:rPr>
          <w:rFonts w:hint="default" w:ascii="宋体" w:hAnsi="宋体" w:eastAsia="宋体"/>
          <w:b/>
          <w:color w:val="auto"/>
          <w:sz w:val="24"/>
          <w:lang w:val="en-US" w:eastAsia="zh-CN"/>
        </w:rPr>
      </w:pPr>
      <w:r>
        <w:rPr>
          <w:rFonts w:hint="eastAsia" w:hAnsi="宋体"/>
          <w:color w:val="auto"/>
          <w:sz w:val="21"/>
        </w:rPr>
        <w:t>所投标项：</w:t>
      </w:r>
      <w:r>
        <w:rPr>
          <w:rFonts w:hint="eastAsia" w:hAnsi="宋体"/>
          <w:color w:val="auto"/>
          <w:sz w:val="21"/>
          <w:u w:val="single"/>
        </w:rPr>
        <w:t>标项</w:t>
      </w:r>
      <w:r>
        <w:rPr>
          <w:rFonts w:hint="eastAsia" w:hAnsi="宋体"/>
          <w:color w:val="auto"/>
          <w:sz w:val="21"/>
          <w:u w:val="single"/>
          <w:lang w:val="en-US" w:eastAsia="zh-CN"/>
        </w:rPr>
        <w:t xml:space="preserve">    </w:t>
      </w:r>
    </w:p>
    <w:tbl>
      <w:tblPr>
        <w:tblStyle w:val="25"/>
        <w:tblW w:w="917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294"/>
        <w:gridCol w:w="1905"/>
        <w:gridCol w:w="1905"/>
        <w:gridCol w:w="3074"/>
      </w:tblGrid>
      <w:tr w14:paraId="47296E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48" w:hRule="atLeast"/>
        </w:trPr>
        <w:tc>
          <w:tcPr>
            <w:tcW w:w="2294" w:type="dxa"/>
            <w:vMerge w:val="restart"/>
            <w:tcBorders>
              <w:top w:val="single" w:color="auto" w:sz="4" w:space="0"/>
              <w:left w:val="single" w:color="auto" w:sz="4" w:space="0"/>
              <w:bottom w:val="single" w:color="auto" w:sz="4" w:space="0"/>
              <w:right w:val="single" w:color="auto" w:sz="4" w:space="0"/>
            </w:tcBorders>
            <w:vAlign w:val="center"/>
          </w:tcPr>
          <w:p w14:paraId="7FD395FA">
            <w:pPr>
              <w:pStyle w:val="15"/>
              <w:spacing w:line="400" w:lineRule="exact"/>
              <w:contextualSpacing/>
              <w:jc w:val="center"/>
              <w:rPr>
                <w:rFonts w:hAnsi="宋体" w:cs="Courier New"/>
                <w:b/>
                <w:bCs/>
                <w:color w:val="auto"/>
                <w:kern w:val="2"/>
                <w:sz w:val="21"/>
              </w:rPr>
            </w:pPr>
            <w:r>
              <w:rPr>
                <w:rFonts w:hint="eastAsia" w:hAnsi="宋体" w:cs="Courier New"/>
                <w:b/>
                <w:bCs/>
                <w:color w:val="auto"/>
                <w:kern w:val="2"/>
                <w:sz w:val="21"/>
              </w:rPr>
              <w:t>采购人名称</w:t>
            </w:r>
          </w:p>
        </w:tc>
        <w:tc>
          <w:tcPr>
            <w:tcW w:w="1905" w:type="dxa"/>
            <w:vMerge w:val="restart"/>
            <w:tcBorders>
              <w:top w:val="single" w:color="auto" w:sz="4" w:space="0"/>
              <w:left w:val="single" w:color="auto" w:sz="4" w:space="0"/>
              <w:bottom w:val="single" w:color="auto" w:sz="4" w:space="0"/>
              <w:right w:val="single" w:color="auto" w:sz="4" w:space="0"/>
            </w:tcBorders>
            <w:vAlign w:val="center"/>
          </w:tcPr>
          <w:p w14:paraId="3A28ADD6">
            <w:pPr>
              <w:pStyle w:val="15"/>
              <w:spacing w:line="400" w:lineRule="exact"/>
              <w:contextualSpacing/>
              <w:jc w:val="center"/>
              <w:rPr>
                <w:rFonts w:hAnsi="宋体" w:cs="Courier New"/>
                <w:b/>
                <w:bCs/>
                <w:color w:val="auto"/>
                <w:kern w:val="2"/>
                <w:sz w:val="21"/>
              </w:rPr>
            </w:pPr>
            <w:r>
              <w:rPr>
                <w:rFonts w:hint="eastAsia" w:hAnsi="宋体" w:cs="Courier New"/>
                <w:b/>
                <w:bCs/>
                <w:color w:val="auto"/>
                <w:kern w:val="2"/>
                <w:sz w:val="21"/>
              </w:rPr>
              <w:t>项目名称</w:t>
            </w:r>
          </w:p>
        </w:tc>
        <w:tc>
          <w:tcPr>
            <w:tcW w:w="1905" w:type="dxa"/>
            <w:vMerge w:val="restart"/>
            <w:tcBorders>
              <w:top w:val="single" w:color="auto" w:sz="4" w:space="0"/>
              <w:left w:val="single" w:color="auto" w:sz="4" w:space="0"/>
              <w:bottom w:val="single" w:color="auto" w:sz="4" w:space="0"/>
              <w:right w:val="single" w:color="auto" w:sz="4" w:space="0"/>
            </w:tcBorders>
            <w:vAlign w:val="center"/>
          </w:tcPr>
          <w:p w14:paraId="31C6F0C0">
            <w:pPr>
              <w:pStyle w:val="15"/>
              <w:spacing w:line="400" w:lineRule="exact"/>
              <w:contextualSpacing/>
              <w:jc w:val="center"/>
              <w:rPr>
                <w:rFonts w:hAnsi="宋体" w:cs="Courier New"/>
                <w:b/>
                <w:bCs/>
                <w:color w:val="auto"/>
                <w:kern w:val="2"/>
                <w:sz w:val="21"/>
              </w:rPr>
            </w:pPr>
            <w:r>
              <w:rPr>
                <w:rFonts w:hint="eastAsia" w:hAnsi="宋体" w:cs="Courier New"/>
                <w:b/>
                <w:bCs/>
                <w:color w:val="auto"/>
                <w:kern w:val="2"/>
                <w:sz w:val="21"/>
              </w:rPr>
              <w:t>合同金额</w:t>
            </w:r>
          </w:p>
          <w:p w14:paraId="33FFFB26">
            <w:pPr>
              <w:pStyle w:val="15"/>
              <w:spacing w:line="400" w:lineRule="exact"/>
              <w:contextualSpacing/>
              <w:jc w:val="center"/>
              <w:rPr>
                <w:rFonts w:hAnsi="宋体" w:cs="Courier New"/>
                <w:b/>
                <w:bCs/>
                <w:color w:val="auto"/>
                <w:kern w:val="2"/>
                <w:sz w:val="21"/>
              </w:rPr>
            </w:pPr>
            <w:r>
              <w:rPr>
                <w:rFonts w:hint="eastAsia" w:hAnsi="宋体" w:cs="Courier New"/>
                <w:b/>
                <w:bCs/>
                <w:color w:val="auto"/>
                <w:kern w:val="2"/>
                <w:sz w:val="21"/>
              </w:rPr>
              <w:t>（万元）</w:t>
            </w:r>
          </w:p>
        </w:tc>
        <w:tc>
          <w:tcPr>
            <w:tcW w:w="3074" w:type="dxa"/>
            <w:vMerge w:val="restart"/>
            <w:tcBorders>
              <w:top w:val="single" w:color="auto" w:sz="4" w:space="0"/>
              <w:left w:val="single" w:color="auto" w:sz="4" w:space="0"/>
              <w:bottom w:val="single" w:color="auto" w:sz="4" w:space="0"/>
              <w:right w:val="single" w:color="auto" w:sz="4" w:space="0"/>
            </w:tcBorders>
            <w:vAlign w:val="center"/>
          </w:tcPr>
          <w:p w14:paraId="7A06F382">
            <w:pPr>
              <w:pStyle w:val="15"/>
              <w:spacing w:line="400" w:lineRule="exact"/>
              <w:contextualSpacing/>
              <w:jc w:val="center"/>
              <w:rPr>
                <w:rFonts w:hAnsi="宋体" w:cs="Courier New"/>
                <w:b/>
                <w:bCs/>
                <w:color w:val="auto"/>
                <w:kern w:val="2"/>
                <w:sz w:val="21"/>
              </w:rPr>
            </w:pPr>
            <w:r>
              <w:rPr>
                <w:rFonts w:hint="eastAsia" w:hAnsi="宋体" w:cs="Courier New"/>
                <w:b/>
                <w:bCs/>
                <w:color w:val="auto"/>
                <w:kern w:val="2"/>
                <w:sz w:val="21"/>
              </w:rPr>
              <w:t>采购人联系人及</w:t>
            </w:r>
          </w:p>
          <w:p w14:paraId="5DD570F7">
            <w:pPr>
              <w:pStyle w:val="15"/>
              <w:spacing w:line="400" w:lineRule="exact"/>
              <w:contextualSpacing/>
              <w:jc w:val="center"/>
              <w:rPr>
                <w:rFonts w:hAnsi="宋体" w:cs="Courier New"/>
                <w:b/>
                <w:bCs/>
                <w:color w:val="auto"/>
                <w:kern w:val="2"/>
                <w:sz w:val="21"/>
              </w:rPr>
            </w:pPr>
            <w:r>
              <w:rPr>
                <w:rFonts w:hint="eastAsia" w:hAnsi="宋体" w:cs="Courier New"/>
                <w:b/>
                <w:bCs/>
                <w:color w:val="auto"/>
                <w:kern w:val="2"/>
                <w:sz w:val="21"/>
              </w:rPr>
              <w:t>联系电话</w:t>
            </w:r>
          </w:p>
        </w:tc>
      </w:tr>
      <w:tr w14:paraId="53193B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63" w:hRule="atLeast"/>
        </w:trPr>
        <w:tc>
          <w:tcPr>
            <w:tcW w:w="2294" w:type="dxa"/>
            <w:vMerge w:val="continue"/>
            <w:tcBorders>
              <w:top w:val="single" w:color="auto" w:sz="4" w:space="0"/>
              <w:left w:val="single" w:color="auto" w:sz="4" w:space="0"/>
              <w:bottom w:val="single" w:color="auto" w:sz="4" w:space="0"/>
              <w:right w:val="single" w:color="auto" w:sz="4" w:space="0"/>
            </w:tcBorders>
            <w:vAlign w:val="center"/>
          </w:tcPr>
          <w:p w14:paraId="5F96520E">
            <w:pPr>
              <w:jc w:val="left"/>
              <w:rPr>
                <w:rFonts w:ascii="宋体" w:hAnsi="宋体"/>
                <w:color w:val="auto"/>
                <w:sz w:val="24"/>
              </w:rPr>
            </w:pPr>
          </w:p>
        </w:tc>
        <w:tc>
          <w:tcPr>
            <w:tcW w:w="1905" w:type="dxa"/>
            <w:vMerge w:val="continue"/>
            <w:tcBorders>
              <w:top w:val="single" w:color="auto" w:sz="4" w:space="0"/>
              <w:left w:val="single" w:color="auto" w:sz="4" w:space="0"/>
              <w:bottom w:val="single" w:color="auto" w:sz="4" w:space="0"/>
              <w:right w:val="single" w:color="auto" w:sz="4" w:space="0"/>
            </w:tcBorders>
            <w:vAlign w:val="center"/>
          </w:tcPr>
          <w:p w14:paraId="1F340973">
            <w:pPr>
              <w:jc w:val="left"/>
              <w:rPr>
                <w:rFonts w:ascii="宋体" w:hAnsi="宋体"/>
                <w:color w:val="auto"/>
                <w:sz w:val="24"/>
              </w:rPr>
            </w:pPr>
          </w:p>
        </w:tc>
        <w:tc>
          <w:tcPr>
            <w:tcW w:w="1905" w:type="dxa"/>
            <w:vMerge w:val="continue"/>
            <w:tcBorders>
              <w:top w:val="single" w:color="auto" w:sz="4" w:space="0"/>
              <w:left w:val="single" w:color="auto" w:sz="4" w:space="0"/>
              <w:bottom w:val="single" w:color="auto" w:sz="4" w:space="0"/>
              <w:right w:val="single" w:color="auto" w:sz="4" w:space="0"/>
            </w:tcBorders>
            <w:vAlign w:val="center"/>
          </w:tcPr>
          <w:p w14:paraId="73983972">
            <w:pPr>
              <w:jc w:val="left"/>
              <w:rPr>
                <w:rFonts w:ascii="宋体" w:hAnsi="宋体"/>
                <w:color w:val="auto"/>
                <w:sz w:val="24"/>
              </w:rPr>
            </w:pPr>
          </w:p>
        </w:tc>
        <w:tc>
          <w:tcPr>
            <w:tcW w:w="3074" w:type="dxa"/>
            <w:vMerge w:val="continue"/>
            <w:tcBorders>
              <w:top w:val="single" w:color="auto" w:sz="4" w:space="0"/>
              <w:left w:val="single" w:color="auto" w:sz="4" w:space="0"/>
              <w:bottom w:val="single" w:color="auto" w:sz="4" w:space="0"/>
              <w:right w:val="single" w:color="auto" w:sz="4" w:space="0"/>
            </w:tcBorders>
            <w:vAlign w:val="center"/>
          </w:tcPr>
          <w:p w14:paraId="39C2314F">
            <w:pPr>
              <w:jc w:val="left"/>
              <w:rPr>
                <w:rFonts w:ascii="宋体" w:hAnsi="宋体"/>
                <w:color w:val="auto"/>
                <w:sz w:val="24"/>
              </w:rPr>
            </w:pPr>
          </w:p>
        </w:tc>
      </w:tr>
      <w:tr w14:paraId="731F83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4" w:hRule="atLeast"/>
        </w:trPr>
        <w:tc>
          <w:tcPr>
            <w:tcW w:w="2294" w:type="dxa"/>
            <w:tcBorders>
              <w:top w:val="single" w:color="auto" w:sz="4" w:space="0"/>
              <w:left w:val="single" w:color="auto" w:sz="4" w:space="0"/>
              <w:bottom w:val="single" w:color="auto" w:sz="4" w:space="0"/>
              <w:right w:val="single" w:color="auto" w:sz="4" w:space="0"/>
            </w:tcBorders>
          </w:tcPr>
          <w:p w14:paraId="647C28CD">
            <w:pPr>
              <w:snapToGrid w:val="0"/>
              <w:spacing w:line="240" w:lineRule="exact"/>
              <w:jc w:val="left"/>
              <w:rPr>
                <w:rFonts w:ascii="宋体" w:hAnsi="宋体"/>
                <w:color w:val="auto"/>
                <w:sz w:val="24"/>
              </w:rPr>
            </w:pPr>
          </w:p>
        </w:tc>
        <w:tc>
          <w:tcPr>
            <w:tcW w:w="1905" w:type="dxa"/>
            <w:tcBorders>
              <w:top w:val="single" w:color="auto" w:sz="4" w:space="0"/>
              <w:left w:val="single" w:color="auto" w:sz="4" w:space="0"/>
              <w:bottom w:val="single" w:color="auto" w:sz="4" w:space="0"/>
              <w:right w:val="single" w:color="auto" w:sz="4" w:space="0"/>
            </w:tcBorders>
          </w:tcPr>
          <w:p w14:paraId="596B8946">
            <w:pPr>
              <w:snapToGrid w:val="0"/>
              <w:spacing w:line="240" w:lineRule="exact"/>
              <w:jc w:val="left"/>
              <w:rPr>
                <w:rFonts w:ascii="宋体" w:hAnsi="宋体"/>
                <w:color w:val="auto"/>
                <w:sz w:val="24"/>
              </w:rPr>
            </w:pPr>
          </w:p>
        </w:tc>
        <w:tc>
          <w:tcPr>
            <w:tcW w:w="1905" w:type="dxa"/>
            <w:tcBorders>
              <w:top w:val="single" w:color="auto" w:sz="4" w:space="0"/>
              <w:left w:val="single" w:color="auto" w:sz="4" w:space="0"/>
              <w:bottom w:val="single" w:color="auto" w:sz="4" w:space="0"/>
              <w:right w:val="single" w:color="auto" w:sz="4" w:space="0"/>
            </w:tcBorders>
          </w:tcPr>
          <w:p w14:paraId="5818672A">
            <w:pPr>
              <w:snapToGrid w:val="0"/>
              <w:spacing w:line="240" w:lineRule="exact"/>
              <w:jc w:val="left"/>
              <w:rPr>
                <w:rFonts w:ascii="宋体" w:hAnsi="宋体"/>
                <w:color w:val="auto"/>
                <w:sz w:val="24"/>
              </w:rPr>
            </w:pPr>
          </w:p>
        </w:tc>
        <w:tc>
          <w:tcPr>
            <w:tcW w:w="3074" w:type="dxa"/>
            <w:tcBorders>
              <w:top w:val="single" w:color="auto" w:sz="4" w:space="0"/>
              <w:left w:val="single" w:color="auto" w:sz="4" w:space="0"/>
              <w:bottom w:val="single" w:color="auto" w:sz="4" w:space="0"/>
              <w:right w:val="single" w:color="auto" w:sz="4" w:space="0"/>
            </w:tcBorders>
          </w:tcPr>
          <w:p w14:paraId="6A0D18D7">
            <w:pPr>
              <w:snapToGrid w:val="0"/>
              <w:spacing w:line="240" w:lineRule="exact"/>
              <w:jc w:val="left"/>
              <w:rPr>
                <w:rFonts w:ascii="宋体" w:hAnsi="宋体"/>
                <w:color w:val="auto"/>
                <w:sz w:val="24"/>
              </w:rPr>
            </w:pPr>
          </w:p>
        </w:tc>
      </w:tr>
      <w:tr w14:paraId="3A154A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3" w:hRule="atLeast"/>
        </w:trPr>
        <w:tc>
          <w:tcPr>
            <w:tcW w:w="2294" w:type="dxa"/>
            <w:tcBorders>
              <w:top w:val="single" w:color="auto" w:sz="4" w:space="0"/>
              <w:left w:val="single" w:color="auto" w:sz="4" w:space="0"/>
              <w:bottom w:val="single" w:color="auto" w:sz="4" w:space="0"/>
              <w:right w:val="single" w:color="auto" w:sz="4" w:space="0"/>
            </w:tcBorders>
          </w:tcPr>
          <w:p w14:paraId="24DCECFB">
            <w:pPr>
              <w:snapToGrid w:val="0"/>
              <w:spacing w:before="50" w:afterLines="50" w:line="400" w:lineRule="exact"/>
              <w:jc w:val="left"/>
              <w:rPr>
                <w:rFonts w:ascii="宋体" w:hAnsi="宋体"/>
                <w:color w:val="auto"/>
                <w:sz w:val="24"/>
              </w:rPr>
            </w:pPr>
          </w:p>
        </w:tc>
        <w:tc>
          <w:tcPr>
            <w:tcW w:w="1905" w:type="dxa"/>
            <w:tcBorders>
              <w:top w:val="single" w:color="auto" w:sz="4" w:space="0"/>
              <w:left w:val="single" w:color="auto" w:sz="4" w:space="0"/>
              <w:bottom w:val="single" w:color="auto" w:sz="4" w:space="0"/>
              <w:right w:val="single" w:color="auto" w:sz="4" w:space="0"/>
            </w:tcBorders>
          </w:tcPr>
          <w:p w14:paraId="057AF391">
            <w:pPr>
              <w:snapToGrid w:val="0"/>
              <w:spacing w:before="50" w:afterLines="50" w:line="400" w:lineRule="exact"/>
              <w:jc w:val="left"/>
              <w:rPr>
                <w:rFonts w:ascii="宋体" w:hAnsi="宋体"/>
                <w:color w:val="auto"/>
                <w:sz w:val="24"/>
              </w:rPr>
            </w:pPr>
          </w:p>
        </w:tc>
        <w:tc>
          <w:tcPr>
            <w:tcW w:w="1905" w:type="dxa"/>
            <w:tcBorders>
              <w:top w:val="single" w:color="auto" w:sz="4" w:space="0"/>
              <w:left w:val="single" w:color="auto" w:sz="4" w:space="0"/>
              <w:bottom w:val="single" w:color="auto" w:sz="4" w:space="0"/>
              <w:right w:val="single" w:color="auto" w:sz="4" w:space="0"/>
            </w:tcBorders>
          </w:tcPr>
          <w:p w14:paraId="1A32DEE6">
            <w:pPr>
              <w:snapToGrid w:val="0"/>
              <w:spacing w:before="50" w:afterLines="50" w:line="400" w:lineRule="exact"/>
              <w:jc w:val="left"/>
              <w:rPr>
                <w:rFonts w:ascii="宋体" w:hAnsi="宋体"/>
                <w:color w:val="auto"/>
                <w:sz w:val="24"/>
              </w:rPr>
            </w:pPr>
          </w:p>
        </w:tc>
        <w:tc>
          <w:tcPr>
            <w:tcW w:w="3074" w:type="dxa"/>
            <w:tcBorders>
              <w:top w:val="single" w:color="auto" w:sz="4" w:space="0"/>
              <w:left w:val="single" w:color="auto" w:sz="4" w:space="0"/>
              <w:bottom w:val="single" w:color="auto" w:sz="4" w:space="0"/>
              <w:right w:val="single" w:color="auto" w:sz="4" w:space="0"/>
            </w:tcBorders>
          </w:tcPr>
          <w:p w14:paraId="2C87DE33">
            <w:pPr>
              <w:snapToGrid w:val="0"/>
              <w:spacing w:before="50" w:afterLines="50" w:line="400" w:lineRule="exact"/>
              <w:jc w:val="left"/>
              <w:rPr>
                <w:rFonts w:ascii="宋体" w:hAnsi="宋体"/>
                <w:color w:val="auto"/>
                <w:sz w:val="24"/>
              </w:rPr>
            </w:pPr>
          </w:p>
        </w:tc>
      </w:tr>
      <w:tr w14:paraId="3824FD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2294" w:type="dxa"/>
            <w:tcBorders>
              <w:top w:val="single" w:color="auto" w:sz="4" w:space="0"/>
              <w:left w:val="single" w:color="auto" w:sz="4" w:space="0"/>
              <w:bottom w:val="single" w:color="auto" w:sz="4" w:space="0"/>
              <w:right w:val="single" w:color="auto" w:sz="4" w:space="0"/>
            </w:tcBorders>
          </w:tcPr>
          <w:p w14:paraId="4FBEB337">
            <w:pPr>
              <w:snapToGrid w:val="0"/>
              <w:spacing w:before="50" w:afterLines="50" w:line="400" w:lineRule="exact"/>
              <w:jc w:val="left"/>
              <w:rPr>
                <w:rFonts w:ascii="宋体" w:hAnsi="宋体"/>
                <w:color w:val="auto"/>
                <w:sz w:val="24"/>
              </w:rPr>
            </w:pPr>
          </w:p>
        </w:tc>
        <w:tc>
          <w:tcPr>
            <w:tcW w:w="1905" w:type="dxa"/>
            <w:tcBorders>
              <w:top w:val="single" w:color="auto" w:sz="4" w:space="0"/>
              <w:left w:val="single" w:color="auto" w:sz="4" w:space="0"/>
              <w:bottom w:val="single" w:color="auto" w:sz="4" w:space="0"/>
              <w:right w:val="single" w:color="auto" w:sz="4" w:space="0"/>
            </w:tcBorders>
          </w:tcPr>
          <w:p w14:paraId="617A0D0B">
            <w:pPr>
              <w:snapToGrid w:val="0"/>
              <w:spacing w:before="50" w:afterLines="50" w:line="400" w:lineRule="exact"/>
              <w:jc w:val="left"/>
              <w:rPr>
                <w:rFonts w:ascii="宋体" w:hAnsi="宋体"/>
                <w:color w:val="auto"/>
                <w:sz w:val="24"/>
              </w:rPr>
            </w:pPr>
          </w:p>
        </w:tc>
        <w:tc>
          <w:tcPr>
            <w:tcW w:w="1905" w:type="dxa"/>
            <w:tcBorders>
              <w:top w:val="single" w:color="auto" w:sz="4" w:space="0"/>
              <w:left w:val="single" w:color="auto" w:sz="4" w:space="0"/>
              <w:bottom w:val="single" w:color="auto" w:sz="4" w:space="0"/>
              <w:right w:val="single" w:color="auto" w:sz="4" w:space="0"/>
            </w:tcBorders>
          </w:tcPr>
          <w:p w14:paraId="44B905E8">
            <w:pPr>
              <w:snapToGrid w:val="0"/>
              <w:spacing w:before="50" w:afterLines="50" w:line="400" w:lineRule="exact"/>
              <w:jc w:val="left"/>
              <w:rPr>
                <w:rFonts w:ascii="宋体" w:hAnsi="宋体"/>
                <w:color w:val="auto"/>
                <w:sz w:val="24"/>
              </w:rPr>
            </w:pPr>
          </w:p>
        </w:tc>
        <w:tc>
          <w:tcPr>
            <w:tcW w:w="3074" w:type="dxa"/>
            <w:tcBorders>
              <w:top w:val="single" w:color="auto" w:sz="4" w:space="0"/>
              <w:left w:val="single" w:color="auto" w:sz="4" w:space="0"/>
              <w:bottom w:val="single" w:color="auto" w:sz="4" w:space="0"/>
              <w:right w:val="single" w:color="auto" w:sz="4" w:space="0"/>
            </w:tcBorders>
          </w:tcPr>
          <w:p w14:paraId="71C1B265">
            <w:pPr>
              <w:snapToGrid w:val="0"/>
              <w:spacing w:before="50" w:afterLines="50" w:line="400" w:lineRule="exact"/>
              <w:jc w:val="left"/>
              <w:rPr>
                <w:rFonts w:ascii="宋体" w:hAnsi="宋体"/>
                <w:color w:val="auto"/>
                <w:sz w:val="24"/>
              </w:rPr>
            </w:pPr>
          </w:p>
        </w:tc>
      </w:tr>
      <w:tr w14:paraId="5D28F7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3" w:hRule="atLeast"/>
        </w:trPr>
        <w:tc>
          <w:tcPr>
            <w:tcW w:w="2294" w:type="dxa"/>
            <w:tcBorders>
              <w:top w:val="single" w:color="auto" w:sz="4" w:space="0"/>
              <w:left w:val="single" w:color="auto" w:sz="4" w:space="0"/>
              <w:bottom w:val="single" w:color="auto" w:sz="4" w:space="0"/>
              <w:right w:val="single" w:color="auto" w:sz="4" w:space="0"/>
            </w:tcBorders>
          </w:tcPr>
          <w:p w14:paraId="5AB0198D">
            <w:pPr>
              <w:snapToGrid w:val="0"/>
              <w:spacing w:before="50" w:afterLines="50" w:line="400" w:lineRule="exact"/>
              <w:jc w:val="left"/>
              <w:rPr>
                <w:rFonts w:ascii="宋体" w:hAnsi="宋体"/>
                <w:color w:val="auto"/>
                <w:sz w:val="24"/>
              </w:rPr>
            </w:pPr>
          </w:p>
        </w:tc>
        <w:tc>
          <w:tcPr>
            <w:tcW w:w="1905" w:type="dxa"/>
            <w:tcBorders>
              <w:top w:val="single" w:color="auto" w:sz="4" w:space="0"/>
              <w:left w:val="single" w:color="auto" w:sz="4" w:space="0"/>
              <w:bottom w:val="single" w:color="auto" w:sz="4" w:space="0"/>
              <w:right w:val="single" w:color="auto" w:sz="4" w:space="0"/>
            </w:tcBorders>
          </w:tcPr>
          <w:p w14:paraId="41894DAD">
            <w:pPr>
              <w:snapToGrid w:val="0"/>
              <w:spacing w:before="50" w:afterLines="50" w:line="400" w:lineRule="exact"/>
              <w:jc w:val="left"/>
              <w:rPr>
                <w:rFonts w:ascii="宋体" w:hAnsi="宋体"/>
                <w:color w:val="auto"/>
                <w:sz w:val="24"/>
              </w:rPr>
            </w:pPr>
          </w:p>
        </w:tc>
        <w:tc>
          <w:tcPr>
            <w:tcW w:w="1905" w:type="dxa"/>
            <w:tcBorders>
              <w:top w:val="single" w:color="auto" w:sz="4" w:space="0"/>
              <w:left w:val="single" w:color="auto" w:sz="4" w:space="0"/>
              <w:bottom w:val="single" w:color="auto" w:sz="4" w:space="0"/>
              <w:right w:val="single" w:color="auto" w:sz="4" w:space="0"/>
            </w:tcBorders>
          </w:tcPr>
          <w:p w14:paraId="2C07BAE3">
            <w:pPr>
              <w:snapToGrid w:val="0"/>
              <w:spacing w:before="50" w:afterLines="50" w:line="400" w:lineRule="exact"/>
              <w:jc w:val="left"/>
              <w:rPr>
                <w:rFonts w:ascii="宋体" w:hAnsi="宋体"/>
                <w:color w:val="auto"/>
                <w:sz w:val="24"/>
              </w:rPr>
            </w:pPr>
          </w:p>
        </w:tc>
        <w:tc>
          <w:tcPr>
            <w:tcW w:w="3074" w:type="dxa"/>
            <w:tcBorders>
              <w:top w:val="single" w:color="auto" w:sz="4" w:space="0"/>
              <w:left w:val="single" w:color="auto" w:sz="4" w:space="0"/>
              <w:bottom w:val="single" w:color="auto" w:sz="4" w:space="0"/>
              <w:right w:val="single" w:color="auto" w:sz="4" w:space="0"/>
            </w:tcBorders>
          </w:tcPr>
          <w:p w14:paraId="09067B30">
            <w:pPr>
              <w:snapToGrid w:val="0"/>
              <w:spacing w:before="50" w:afterLines="50" w:line="400" w:lineRule="exact"/>
              <w:jc w:val="left"/>
              <w:rPr>
                <w:rFonts w:ascii="宋体" w:hAnsi="宋体"/>
                <w:color w:val="auto"/>
                <w:sz w:val="24"/>
              </w:rPr>
            </w:pPr>
          </w:p>
        </w:tc>
      </w:tr>
      <w:tr w14:paraId="16EA99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2" w:hRule="atLeast"/>
        </w:trPr>
        <w:tc>
          <w:tcPr>
            <w:tcW w:w="2294" w:type="dxa"/>
            <w:tcBorders>
              <w:top w:val="single" w:color="auto" w:sz="4" w:space="0"/>
              <w:left w:val="single" w:color="auto" w:sz="4" w:space="0"/>
              <w:bottom w:val="single" w:color="auto" w:sz="4" w:space="0"/>
              <w:right w:val="single" w:color="auto" w:sz="4" w:space="0"/>
            </w:tcBorders>
          </w:tcPr>
          <w:p w14:paraId="091582BD">
            <w:pPr>
              <w:snapToGrid w:val="0"/>
              <w:spacing w:before="50" w:afterLines="50" w:line="400" w:lineRule="exact"/>
              <w:jc w:val="left"/>
              <w:rPr>
                <w:rFonts w:ascii="宋体" w:hAnsi="宋体"/>
                <w:color w:val="auto"/>
                <w:sz w:val="24"/>
              </w:rPr>
            </w:pPr>
          </w:p>
        </w:tc>
        <w:tc>
          <w:tcPr>
            <w:tcW w:w="1905" w:type="dxa"/>
            <w:tcBorders>
              <w:top w:val="single" w:color="auto" w:sz="4" w:space="0"/>
              <w:left w:val="single" w:color="auto" w:sz="4" w:space="0"/>
              <w:bottom w:val="single" w:color="auto" w:sz="4" w:space="0"/>
              <w:right w:val="single" w:color="auto" w:sz="4" w:space="0"/>
            </w:tcBorders>
          </w:tcPr>
          <w:p w14:paraId="0FCF4216">
            <w:pPr>
              <w:snapToGrid w:val="0"/>
              <w:spacing w:before="50" w:afterLines="50" w:line="400" w:lineRule="exact"/>
              <w:jc w:val="left"/>
              <w:rPr>
                <w:rFonts w:ascii="宋体" w:hAnsi="宋体"/>
                <w:color w:val="auto"/>
                <w:sz w:val="24"/>
              </w:rPr>
            </w:pPr>
          </w:p>
        </w:tc>
        <w:tc>
          <w:tcPr>
            <w:tcW w:w="1905" w:type="dxa"/>
            <w:tcBorders>
              <w:top w:val="single" w:color="auto" w:sz="4" w:space="0"/>
              <w:left w:val="single" w:color="auto" w:sz="4" w:space="0"/>
              <w:bottom w:val="single" w:color="auto" w:sz="4" w:space="0"/>
              <w:right w:val="single" w:color="auto" w:sz="4" w:space="0"/>
            </w:tcBorders>
          </w:tcPr>
          <w:p w14:paraId="132F5355">
            <w:pPr>
              <w:snapToGrid w:val="0"/>
              <w:spacing w:before="50" w:afterLines="50" w:line="400" w:lineRule="exact"/>
              <w:jc w:val="left"/>
              <w:rPr>
                <w:rFonts w:ascii="宋体" w:hAnsi="宋体"/>
                <w:color w:val="auto"/>
                <w:sz w:val="24"/>
              </w:rPr>
            </w:pPr>
          </w:p>
        </w:tc>
        <w:tc>
          <w:tcPr>
            <w:tcW w:w="3074" w:type="dxa"/>
            <w:tcBorders>
              <w:top w:val="single" w:color="auto" w:sz="4" w:space="0"/>
              <w:left w:val="single" w:color="auto" w:sz="4" w:space="0"/>
              <w:bottom w:val="single" w:color="auto" w:sz="4" w:space="0"/>
              <w:right w:val="single" w:color="auto" w:sz="4" w:space="0"/>
            </w:tcBorders>
          </w:tcPr>
          <w:p w14:paraId="03BAB97F">
            <w:pPr>
              <w:snapToGrid w:val="0"/>
              <w:spacing w:before="50" w:afterLines="50" w:line="400" w:lineRule="exact"/>
              <w:jc w:val="left"/>
              <w:rPr>
                <w:rFonts w:ascii="宋体" w:hAnsi="宋体"/>
                <w:color w:val="auto"/>
                <w:sz w:val="24"/>
              </w:rPr>
            </w:pPr>
          </w:p>
        </w:tc>
      </w:tr>
    </w:tbl>
    <w:p w14:paraId="14483C40">
      <w:pPr>
        <w:pStyle w:val="9"/>
        <w:snapToGrid w:val="0"/>
        <w:rPr>
          <w:rFonts w:ascii="宋体" w:hAnsi="宋体" w:eastAsia="宋体"/>
          <w:color w:val="auto"/>
          <w:sz w:val="24"/>
          <w:szCs w:val="24"/>
        </w:rPr>
      </w:pPr>
    </w:p>
    <w:p w14:paraId="68BA8CE8">
      <w:pPr>
        <w:snapToGrid w:val="0"/>
        <w:spacing w:before="50" w:after="50" w:line="480" w:lineRule="auto"/>
        <w:ind w:left="-3" w:leftChars="-15" w:right="-817" w:rightChars="-389" w:hanging="28" w:hangingChars="12"/>
        <w:jc w:val="left"/>
        <w:rPr>
          <w:rFonts w:ascii="宋体" w:hAnsi="宋体"/>
          <w:color w:val="auto"/>
          <w:sz w:val="24"/>
        </w:rPr>
      </w:pPr>
      <w:r>
        <w:rPr>
          <w:rFonts w:hint="eastAsia" w:ascii="宋体" w:hAnsi="宋体"/>
          <w:color w:val="auto"/>
          <w:sz w:val="24"/>
        </w:rPr>
        <w:t>注：投标人根据评标标准具体要求附业绩证明材料</w:t>
      </w:r>
    </w:p>
    <w:p w14:paraId="76709148">
      <w:pPr>
        <w:snapToGrid w:val="0"/>
        <w:spacing w:before="50" w:after="50" w:line="300" w:lineRule="auto"/>
        <w:ind w:left="-6" w:leftChars="-15" w:right="-817" w:rightChars="-389" w:hanging="25" w:hangingChars="12"/>
        <w:jc w:val="left"/>
        <w:rPr>
          <w:rFonts w:ascii="宋体" w:hAnsi="宋体"/>
          <w:b/>
          <w:bCs/>
          <w:color w:val="auto"/>
          <w:szCs w:val="21"/>
        </w:rPr>
      </w:pPr>
      <w:r>
        <w:rPr>
          <w:rFonts w:hint="eastAsia" w:ascii="宋体" w:hAnsi="宋体"/>
          <w:b/>
          <w:bCs/>
          <w:color w:val="auto"/>
          <w:szCs w:val="21"/>
        </w:rPr>
        <w:t>法定代表人或者委托代理人（签字/电子签名）：</w:t>
      </w:r>
    </w:p>
    <w:p w14:paraId="73054697">
      <w:pPr>
        <w:snapToGrid w:val="0"/>
        <w:spacing w:before="50" w:after="50" w:line="300" w:lineRule="auto"/>
        <w:ind w:left="-6" w:leftChars="-15" w:right="-817" w:rightChars="-389" w:hanging="25" w:hangingChars="12"/>
        <w:jc w:val="left"/>
        <w:rPr>
          <w:rFonts w:ascii="宋体" w:hAnsi="宋体"/>
          <w:b/>
          <w:bCs/>
          <w:color w:val="auto"/>
          <w:szCs w:val="21"/>
        </w:rPr>
      </w:pPr>
      <w:r>
        <w:rPr>
          <w:rFonts w:hint="eastAsia" w:ascii="宋体" w:hAnsi="宋体"/>
          <w:b/>
          <w:bCs/>
          <w:color w:val="auto"/>
          <w:szCs w:val="21"/>
        </w:rPr>
        <w:t>投标人名称（公章或电子签章）：</w:t>
      </w:r>
    </w:p>
    <w:p w14:paraId="2F568F38">
      <w:pPr>
        <w:snapToGrid w:val="0"/>
        <w:spacing w:before="50" w:after="50" w:line="480" w:lineRule="auto"/>
        <w:ind w:left="-6" w:leftChars="-15" w:right="-817" w:rightChars="-389" w:hanging="25" w:hangingChars="12"/>
        <w:jc w:val="left"/>
        <w:rPr>
          <w:rFonts w:ascii="宋体" w:hAnsi="宋体"/>
          <w:b/>
          <w:bCs/>
          <w:color w:val="auto"/>
          <w:szCs w:val="21"/>
        </w:rPr>
      </w:pPr>
      <w:r>
        <w:rPr>
          <w:rFonts w:hint="eastAsia" w:ascii="宋体" w:hAnsi="宋体"/>
          <w:b/>
          <w:bCs/>
          <w:color w:val="auto"/>
          <w:szCs w:val="21"/>
        </w:rPr>
        <w:t>日期：    年   月   日</w:t>
      </w:r>
    </w:p>
    <w:p w14:paraId="223F5554">
      <w:pPr>
        <w:snapToGrid w:val="0"/>
        <w:spacing w:before="50" w:after="50" w:line="480" w:lineRule="auto"/>
        <w:ind w:left="-6" w:leftChars="-15" w:right="-817" w:rightChars="-389" w:hanging="25" w:hangingChars="12"/>
        <w:jc w:val="left"/>
        <w:rPr>
          <w:rFonts w:ascii="宋体" w:hAnsi="宋体"/>
          <w:b/>
          <w:bCs/>
          <w:color w:val="auto"/>
          <w:szCs w:val="21"/>
        </w:rPr>
      </w:pPr>
    </w:p>
    <w:p w14:paraId="4B6432A3">
      <w:pPr>
        <w:snapToGrid w:val="0"/>
        <w:spacing w:before="50" w:after="50" w:line="480" w:lineRule="auto"/>
        <w:ind w:left="-6" w:leftChars="-15" w:right="-817" w:rightChars="-389" w:hanging="25" w:hangingChars="12"/>
        <w:jc w:val="left"/>
        <w:rPr>
          <w:rFonts w:ascii="宋体" w:hAnsi="宋体"/>
          <w:b/>
          <w:bCs/>
          <w:color w:val="auto"/>
          <w:szCs w:val="21"/>
        </w:rPr>
      </w:pPr>
      <w:r>
        <w:rPr>
          <w:rFonts w:hint="eastAsia" w:ascii="宋体" w:hAnsi="宋体"/>
          <w:b/>
          <w:bCs/>
          <w:color w:val="auto"/>
          <w:szCs w:val="21"/>
        </w:rPr>
        <w:br w:type="page"/>
      </w:r>
      <w:r>
        <w:rPr>
          <w:rFonts w:hint="eastAsia" w:ascii="宋体" w:hAnsi="宋体"/>
          <w:b/>
          <w:color w:val="auto"/>
          <w:sz w:val="24"/>
        </w:rPr>
        <w:t>1</w:t>
      </w:r>
      <w:r>
        <w:rPr>
          <w:rFonts w:hint="eastAsia" w:ascii="宋体" w:hAnsi="宋体"/>
          <w:b/>
          <w:color w:val="auto"/>
          <w:sz w:val="24"/>
          <w:lang w:val="en-US" w:eastAsia="zh-CN"/>
        </w:rPr>
        <w:t>1</w:t>
      </w:r>
      <w:r>
        <w:rPr>
          <w:rFonts w:hint="eastAsia" w:ascii="宋体" w:hAnsi="宋体"/>
          <w:b/>
          <w:color w:val="auto"/>
          <w:sz w:val="24"/>
        </w:rPr>
        <w:t>.项目实施人员一览表</w:t>
      </w:r>
    </w:p>
    <w:p w14:paraId="7540111D">
      <w:pPr>
        <w:pStyle w:val="20"/>
        <w:snapToGrid w:val="0"/>
        <w:ind w:left="0" w:firstLine="0" w:firstLineChars="0"/>
        <w:jc w:val="center"/>
        <w:rPr>
          <w:rFonts w:ascii="仿宋" w:hAnsi="仿宋" w:eastAsia="仿宋" w:cs="仿宋"/>
          <w:bCs/>
          <w:color w:val="auto"/>
          <w:sz w:val="44"/>
          <w:szCs w:val="44"/>
        </w:rPr>
      </w:pPr>
      <w:r>
        <w:rPr>
          <w:rFonts w:hint="eastAsia" w:ascii="宋体" w:hAnsi="宋体"/>
          <w:b/>
          <w:color w:val="auto"/>
          <w:sz w:val="24"/>
        </w:rPr>
        <w:t>项目实施人员一览表</w:t>
      </w:r>
    </w:p>
    <w:p w14:paraId="68947B74">
      <w:pPr>
        <w:pStyle w:val="15"/>
        <w:rPr>
          <w:color w:val="auto"/>
          <w:sz w:val="24"/>
          <w:szCs w:val="24"/>
        </w:rPr>
      </w:pPr>
    </w:p>
    <w:p w14:paraId="4CC46EF7">
      <w:pPr>
        <w:pStyle w:val="15"/>
        <w:rPr>
          <w:rFonts w:hint="default" w:eastAsia="宋体"/>
          <w:color w:val="auto"/>
          <w:sz w:val="24"/>
          <w:szCs w:val="24"/>
          <w:lang w:val="en-US" w:eastAsia="zh-CN"/>
        </w:rPr>
      </w:pPr>
      <w:r>
        <w:rPr>
          <w:rFonts w:hint="eastAsia"/>
          <w:color w:val="auto"/>
          <w:sz w:val="24"/>
          <w:szCs w:val="24"/>
          <w:lang w:eastAsia="zh-CN"/>
        </w:rPr>
        <w:t>所投标项：</w:t>
      </w:r>
      <w:r>
        <w:rPr>
          <w:rFonts w:hint="eastAsia"/>
          <w:color w:val="auto"/>
          <w:sz w:val="24"/>
          <w:szCs w:val="24"/>
          <w:u w:val="single"/>
          <w:lang w:eastAsia="zh-CN"/>
        </w:rPr>
        <w:t>标项</w:t>
      </w:r>
      <w:r>
        <w:rPr>
          <w:rFonts w:hint="eastAsia"/>
          <w:color w:val="auto"/>
          <w:sz w:val="24"/>
          <w:szCs w:val="24"/>
          <w:u w:val="single"/>
          <w:lang w:val="en-US" w:eastAsia="zh-CN"/>
        </w:rPr>
        <w:t xml:space="preserve">    </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4"/>
        <w:gridCol w:w="784"/>
        <w:gridCol w:w="1882"/>
        <w:gridCol w:w="1571"/>
        <w:gridCol w:w="1878"/>
        <w:gridCol w:w="2039"/>
      </w:tblGrid>
      <w:tr w14:paraId="61796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4" w:hRule="atLeast"/>
          <w:jc w:val="center"/>
        </w:trPr>
        <w:tc>
          <w:tcPr>
            <w:tcW w:w="904" w:type="dxa"/>
            <w:vAlign w:val="center"/>
          </w:tcPr>
          <w:p w14:paraId="41607182">
            <w:pPr>
              <w:snapToGrid w:val="0"/>
              <w:spacing w:before="50" w:afterLines="50"/>
              <w:jc w:val="center"/>
              <w:rPr>
                <w:rFonts w:ascii="宋体" w:hAnsi="宋体"/>
                <w:color w:val="auto"/>
                <w:sz w:val="24"/>
                <w:szCs w:val="20"/>
              </w:rPr>
            </w:pPr>
            <w:r>
              <w:rPr>
                <w:rFonts w:hint="eastAsia" w:ascii="宋体" w:hAnsi="宋体"/>
                <w:color w:val="auto"/>
                <w:sz w:val="24"/>
                <w:szCs w:val="20"/>
              </w:rPr>
              <w:t>姓名</w:t>
            </w:r>
          </w:p>
        </w:tc>
        <w:tc>
          <w:tcPr>
            <w:tcW w:w="784" w:type="dxa"/>
            <w:vAlign w:val="center"/>
          </w:tcPr>
          <w:p w14:paraId="039B23C6">
            <w:pPr>
              <w:snapToGrid w:val="0"/>
              <w:spacing w:before="50" w:afterLines="50"/>
              <w:jc w:val="center"/>
              <w:rPr>
                <w:rFonts w:ascii="宋体" w:hAnsi="宋体"/>
                <w:color w:val="auto"/>
                <w:sz w:val="24"/>
                <w:szCs w:val="20"/>
              </w:rPr>
            </w:pPr>
            <w:r>
              <w:rPr>
                <w:rFonts w:hint="eastAsia" w:ascii="宋体" w:hAnsi="宋体"/>
                <w:color w:val="auto"/>
                <w:sz w:val="24"/>
                <w:szCs w:val="20"/>
              </w:rPr>
              <w:t>职务</w:t>
            </w:r>
          </w:p>
        </w:tc>
        <w:tc>
          <w:tcPr>
            <w:tcW w:w="1882" w:type="dxa"/>
            <w:vAlign w:val="center"/>
          </w:tcPr>
          <w:p w14:paraId="1500D85C">
            <w:pPr>
              <w:snapToGrid w:val="0"/>
              <w:spacing w:before="50" w:afterLines="50"/>
              <w:jc w:val="center"/>
              <w:rPr>
                <w:rFonts w:ascii="宋体" w:hAnsi="宋体"/>
                <w:color w:val="auto"/>
                <w:sz w:val="24"/>
                <w:szCs w:val="20"/>
              </w:rPr>
            </w:pPr>
            <w:r>
              <w:rPr>
                <w:rFonts w:hint="eastAsia" w:ascii="宋体" w:hAnsi="宋体"/>
                <w:color w:val="auto"/>
                <w:sz w:val="24"/>
                <w:szCs w:val="20"/>
              </w:rPr>
              <w:t>专业技术资格（职称）或者职业资格或者执业资格证或者其他证书</w:t>
            </w:r>
          </w:p>
        </w:tc>
        <w:tc>
          <w:tcPr>
            <w:tcW w:w="1571" w:type="dxa"/>
            <w:vAlign w:val="center"/>
          </w:tcPr>
          <w:p w14:paraId="5711A523">
            <w:pPr>
              <w:snapToGrid w:val="0"/>
              <w:spacing w:before="50" w:afterLines="50"/>
              <w:jc w:val="center"/>
              <w:rPr>
                <w:rFonts w:ascii="宋体" w:hAnsi="宋体"/>
                <w:color w:val="auto"/>
                <w:sz w:val="24"/>
                <w:szCs w:val="20"/>
              </w:rPr>
            </w:pPr>
            <w:r>
              <w:rPr>
                <w:rFonts w:hint="eastAsia" w:ascii="宋体" w:hAnsi="宋体"/>
                <w:color w:val="auto"/>
                <w:sz w:val="24"/>
                <w:szCs w:val="20"/>
              </w:rPr>
              <w:t>证书编号</w:t>
            </w:r>
          </w:p>
        </w:tc>
        <w:tc>
          <w:tcPr>
            <w:tcW w:w="1878" w:type="dxa"/>
            <w:vAlign w:val="center"/>
          </w:tcPr>
          <w:p w14:paraId="0DFE3459">
            <w:pPr>
              <w:snapToGrid w:val="0"/>
              <w:spacing w:before="50" w:afterLines="50"/>
              <w:jc w:val="center"/>
              <w:rPr>
                <w:rFonts w:ascii="宋体" w:hAnsi="宋体"/>
                <w:color w:val="auto"/>
                <w:sz w:val="24"/>
                <w:szCs w:val="20"/>
              </w:rPr>
            </w:pPr>
            <w:r>
              <w:rPr>
                <w:rFonts w:hint="eastAsia" w:ascii="宋体" w:hAnsi="宋体"/>
                <w:color w:val="auto"/>
                <w:sz w:val="24"/>
                <w:szCs w:val="20"/>
              </w:rPr>
              <w:t>参加本单位</w:t>
            </w:r>
          </w:p>
          <w:p w14:paraId="2ADC71EF">
            <w:pPr>
              <w:snapToGrid w:val="0"/>
              <w:spacing w:before="50" w:afterLines="50"/>
              <w:jc w:val="center"/>
              <w:rPr>
                <w:rFonts w:ascii="宋体" w:hAnsi="宋体"/>
                <w:color w:val="auto"/>
                <w:sz w:val="24"/>
                <w:szCs w:val="20"/>
              </w:rPr>
            </w:pPr>
            <w:r>
              <w:rPr>
                <w:rFonts w:hint="eastAsia" w:ascii="宋体" w:hAnsi="宋体"/>
                <w:color w:val="auto"/>
                <w:sz w:val="24"/>
                <w:szCs w:val="20"/>
              </w:rPr>
              <w:t>工作时间</w:t>
            </w:r>
          </w:p>
        </w:tc>
        <w:tc>
          <w:tcPr>
            <w:tcW w:w="2039" w:type="dxa"/>
            <w:vAlign w:val="center"/>
          </w:tcPr>
          <w:p w14:paraId="5281CC22">
            <w:pPr>
              <w:snapToGrid w:val="0"/>
              <w:spacing w:before="50" w:afterLines="50"/>
              <w:jc w:val="center"/>
              <w:rPr>
                <w:rFonts w:ascii="宋体" w:hAnsi="宋体"/>
                <w:color w:val="auto"/>
                <w:sz w:val="24"/>
                <w:szCs w:val="20"/>
              </w:rPr>
            </w:pPr>
            <w:r>
              <w:rPr>
                <w:rFonts w:hint="eastAsia" w:ascii="宋体" w:hAnsi="宋体"/>
                <w:color w:val="auto"/>
                <w:sz w:val="24"/>
                <w:szCs w:val="20"/>
              </w:rPr>
              <w:t>劳动合同编号</w:t>
            </w:r>
          </w:p>
        </w:tc>
      </w:tr>
      <w:tr w14:paraId="67441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904" w:type="dxa"/>
            <w:vAlign w:val="center"/>
          </w:tcPr>
          <w:p w14:paraId="6E07FCF1">
            <w:pPr>
              <w:snapToGrid w:val="0"/>
              <w:spacing w:before="50" w:afterLines="50"/>
              <w:jc w:val="center"/>
              <w:rPr>
                <w:rFonts w:ascii="宋体" w:hAnsi="宋体"/>
                <w:color w:val="auto"/>
                <w:sz w:val="24"/>
                <w:szCs w:val="20"/>
              </w:rPr>
            </w:pPr>
          </w:p>
        </w:tc>
        <w:tc>
          <w:tcPr>
            <w:tcW w:w="784" w:type="dxa"/>
            <w:vAlign w:val="center"/>
          </w:tcPr>
          <w:p w14:paraId="0013D221">
            <w:pPr>
              <w:snapToGrid w:val="0"/>
              <w:spacing w:before="50" w:afterLines="50"/>
              <w:jc w:val="center"/>
              <w:rPr>
                <w:rFonts w:ascii="宋体" w:hAnsi="宋体"/>
                <w:color w:val="auto"/>
                <w:sz w:val="24"/>
                <w:szCs w:val="20"/>
              </w:rPr>
            </w:pPr>
          </w:p>
        </w:tc>
        <w:tc>
          <w:tcPr>
            <w:tcW w:w="1882" w:type="dxa"/>
            <w:vAlign w:val="center"/>
          </w:tcPr>
          <w:p w14:paraId="3B039CE3">
            <w:pPr>
              <w:snapToGrid w:val="0"/>
              <w:spacing w:before="50" w:afterLines="50"/>
              <w:jc w:val="center"/>
              <w:rPr>
                <w:rFonts w:ascii="宋体" w:hAnsi="宋体"/>
                <w:color w:val="auto"/>
                <w:sz w:val="24"/>
                <w:szCs w:val="20"/>
              </w:rPr>
            </w:pPr>
          </w:p>
        </w:tc>
        <w:tc>
          <w:tcPr>
            <w:tcW w:w="1571" w:type="dxa"/>
            <w:vAlign w:val="center"/>
          </w:tcPr>
          <w:p w14:paraId="48A4975E">
            <w:pPr>
              <w:snapToGrid w:val="0"/>
              <w:spacing w:before="50" w:afterLines="50"/>
              <w:jc w:val="center"/>
              <w:rPr>
                <w:rFonts w:ascii="宋体" w:hAnsi="宋体"/>
                <w:color w:val="auto"/>
                <w:sz w:val="24"/>
                <w:szCs w:val="20"/>
              </w:rPr>
            </w:pPr>
          </w:p>
        </w:tc>
        <w:tc>
          <w:tcPr>
            <w:tcW w:w="1878" w:type="dxa"/>
            <w:vAlign w:val="center"/>
          </w:tcPr>
          <w:p w14:paraId="73234746">
            <w:pPr>
              <w:snapToGrid w:val="0"/>
              <w:spacing w:before="50" w:afterLines="50"/>
              <w:jc w:val="center"/>
              <w:rPr>
                <w:rFonts w:ascii="宋体" w:hAnsi="宋体"/>
                <w:color w:val="auto"/>
                <w:sz w:val="24"/>
                <w:szCs w:val="20"/>
              </w:rPr>
            </w:pPr>
          </w:p>
        </w:tc>
        <w:tc>
          <w:tcPr>
            <w:tcW w:w="2039" w:type="dxa"/>
            <w:vAlign w:val="center"/>
          </w:tcPr>
          <w:p w14:paraId="69C901D1">
            <w:pPr>
              <w:snapToGrid w:val="0"/>
              <w:spacing w:before="50" w:afterLines="50"/>
              <w:jc w:val="center"/>
              <w:rPr>
                <w:rFonts w:ascii="宋体" w:hAnsi="宋体"/>
                <w:color w:val="auto"/>
                <w:sz w:val="24"/>
                <w:szCs w:val="20"/>
              </w:rPr>
            </w:pPr>
          </w:p>
        </w:tc>
      </w:tr>
      <w:tr w14:paraId="09931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904" w:type="dxa"/>
            <w:vAlign w:val="center"/>
          </w:tcPr>
          <w:p w14:paraId="77DE5C69">
            <w:pPr>
              <w:snapToGrid w:val="0"/>
              <w:spacing w:before="50" w:afterLines="50"/>
              <w:jc w:val="center"/>
              <w:rPr>
                <w:rFonts w:ascii="宋体" w:hAnsi="宋体"/>
                <w:color w:val="auto"/>
                <w:sz w:val="24"/>
                <w:szCs w:val="20"/>
              </w:rPr>
            </w:pPr>
          </w:p>
        </w:tc>
        <w:tc>
          <w:tcPr>
            <w:tcW w:w="784" w:type="dxa"/>
            <w:vAlign w:val="center"/>
          </w:tcPr>
          <w:p w14:paraId="71A02C3E">
            <w:pPr>
              <w:snapToGrid w:val="0"/>
              <w:spacing w:before="50" w:afterLines="50"/>
              <w:jc w:val="center"/>
              <w:rPr>
                <w:rFonts w:ascii="宋体" w:hAnsi="宋体"/>
                <w:color w:val="auto"/>
                <w:sz w:val="24"/>
                <w:szCs w:val="20"/>
              </w:rPr>
            </w:pPr>
          </w:p>
        </w:tc>
        <w:tc>
          <w:tcPr>
            <w:tcW w:w="1882" w:type="dxa"/>
            <w:vAlign w:val="center"/>
          </w:tcPr>
          <w:p w14:paraId="5A22A8D2">
            <w:pPr>
              <w:snapToGrid w:val="0"/>
              <w:spacing w:before="50" w:afterLines="50"/>
              <w:jc w:val="center"/>
              <w:rPr>
                <w:rFonts w:ascii="宋体" w:hAnsi="宋体"/>
                <w:color w:val="auto"/>
                <w:sz w:val="24"/>
                <w:szCs w:val="20"/>
              </w:rPr>
            </w:pPr>
          </w:p>
        </w:tc>
        <w:tc>
          <w:tcPr>
            <w:tcW w:w="1571" w:type="dxa"/>
            <w:vAlign w:val="center"/>
          </w:tcPr>
          <w:p w14:paraId="356CA7D0">
            <w:pPr>
              <w:snapToGrid w:val="0"/>
              <w:spacing w:before="50" w:afterLines="50"/>
              <w:jc w:val="center"/>
              <w:rPr>
                <w:rFonts w:ascii="宋体" w:hAnsi="宋体"/>
                <w:color w:val="auto"/>
                <w:sz w:val="24"/>
                <w:szCs w:val="20"/>
              </w:rPr>
            </w:pPr>
          </w:p>
        </w:tc>
        <w:tc>
          <w:tcPr>
            <w:tcW w:w="1878" w:type="dxa"/>
            <w:vAlign w:val="center"/>
          </w:tcPr>
          <w:p w14:paraId="460C23B0">
            <w:pPr>
              <w:snapToGrid w:val="0"/>
              <w:spacing w:before="50" w:afterLines="50"/>
              <w:jc w:val="center"/>
              <w:rPr>
                <w:rFonts w:ascii="宋体" w:hAnsi="宋体"/>
                <w:color w:val="auto"/>
                <w:sz w:val="24"/>
                <w:szCs w:val="20"/>
              </w:rPr>
            </w:pPr>
          </w:p>
        </w:tc>
        <w:tc>
          <w:tcPr>
            <w:tcW w:w="2039" w:type="dxa"/>
            <w:vAlign w:val="center"/>
          </w:tcPr>
          <w:p w14:paraId="6D9935FB">
            <w:pPr>
              <w:snapToGrid w:val="0"/>
              <w:spacing w:before="50" w:afterLines="50"/>
              <w:jc w:val="center"/>
              <w:rPr>
                <w:rFonts w:ascii="宋体" w:hAnsi="宋体"/>
                <w:color w:val="auto"/>
                <w:sz w:val="24"/>
                <w:szCs w:val="20"/>
              </w:rPr>
            </w:pPr>
          </w:p>
        </w:tc>
      </w:tr>
      <w:tr w14:paraId="5B8BC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904" w:type="dxa"/>
            <w:vAlign w:val="center"/>
          </w:tcPr>
          <w:p w14:paraId="145E7225">
            <w:pPr>
              <w:snapToGrid w:val="0"/>
              <w:spacing w:before="50" w:afterLines="50"/>
              <w:jc w:val="center"/>
              <w:rPr>
                <w:rFonts w:ascii="宋体" w:hAnsi="宋体"/>
                <w:color w:val="auto"/>
                <w:sz w:val="24"/>
                <w:szCs w:val="20"/>
              </w:rPr>
            </w:pPr>
          </w:p>
        </w:tc>
        <w:tc>
          <w:tcPr>
            <w:tcW w:w="784" w:type="dxa"/>
            <w:vAlign w:val="center"/>
          </w:tcPr>
          <w:p w14:paraId="48CFDF73">
            <w:pPr>
              <w:snapToGrid w:val="0"/>
              <w:spacing w:before="50" w:afterLines="50"/>
              <w:jc w:val="center"/>
              <w:rPr>
                <w:rFonts w:ascii="宋体" w:hAnsi="宋体"/>
                <w:color w:val="auto"/>
                <w:sz w:val="24"/>
                <w:szCs w:val="20"/>
              </w:rPr>
            </w:pPr>
          </w:p>
        </w:tc>
        <w:tc>
          <w:tcPr>
            <w:tcW w:w="1882" w:type="dxa"/>
            <w:vAlign w:val="center"/>
          </w:tcPr>
          <w:p w14:paraId="06DC3F62">
            <w:pPr>
              <w:snapToGrid w:val="0"/>
              <w:spacing w:before="50" w:afterLines="50"/>
              <w:jc w:val="center"/>
              <w:rPr>
                <w:rFonts w:ascii="宋体" w:hAnsi="宋体"/>
                <w:color w:val="auto"/>
                <w:sz w:val="24"/>
                <w:szCs w:val="20"/>
              </w:rPr>
            </w:pPr>
          </w:p>
        </w:tc>
        <w:tc>
          <w:tcPr>
            <w:tcW w:w="1571" w:type="dxa"/>
            <w:vAlign w:val="center"/>
          </w:tcPr>
          <w:p w14:paraId="220C938C">
            <w:pPr>
              <w:snapToGrid w:val="0"/>
              <w:spacing w:before="50" w:afterLines="50"/>
              <w:jc w:val="center"/>
              <w:rPr>
                <w:rFonts w:ascii="宋体" w:hAnsi="宋体"/>
                <w:color w:val="auto"/>
                <w:sz w:val="24"/>
                <w:szCs w:val="20"/>
              </w:rPr>
            </w:pPr>
          </w:p>
        </w:tc>
        <w:tc>
          <w:tcPr>
            <w:tcW w:w="1878" w:type="dxa"/>
            <w:vAlign w:val="center"/>
          </w:tcPr>
          <w:p w14:paraId="2211D05B">
            <w:pPr>
              <w:snapToGrid w:val="0"/>
              <w:spacing w:before="50" w:afterLines="50"/>
              <w:jc w:val="center"/>
              <w:rPr>
                <w:rFonts w:ascii="宋体" w:hAnsi="宋体"/>
                <w:color w:val="auto"/>
                <w:sz w:val="24"/>
                <w:szCs w:val="20"/>
              </w:rPr>
            </w:pPr>
          </w:p>
        </w:tc>
        <w:tc>
          <w:tcPr>
            <w:tcW w:w="2039" w:type="dxa"/>
            <w:vAlign w:val="center"/>
          </w:tcPr>
          <w:p w14:paraId="4FFEA204">
            <w:pPr>
              <w:snapToGrid w:val="0"/>
              <w:spacing w:before="50" w:afterLines="50"/>
              <w:jc w:val="center"/>
              <w:rPr>
                <w:rFonts w:ascii="宋体" w:hAnsi="宋体"/>
                <w:color w:val="auto"/>
                <w:sz w:val="24"/>
                <w:szCs w:val="20"/>
              </w:rPr>
            </w:pPr>
          </w:p>
        </w:tc>
      </w:tr>
    </w:tbl>
    <w:p w14:paraId="1FE04309">
      <w:pPr>
        <w:snapToGrid w:val="0"/>
        <w:spacing w:before="50" w:afterLines="50"/>
        <w:jc w:val="left"/>
        <w:rPr>
          <w:rFonts w:ascii="宋体" w:hAnsi="宋体"/>
          <w:color w:val="auto"/>
          <w:sz w:val="24"/>
          <w:szCs w:val="20"/>
        </w:rPr>
      </w:pPr>
    </w:p>
    <w:p w14:paraId="7DF8986A">
      <w:pPr>
        <w:spacing w:line="360" w:lineRule="auto"/>
        <w:contextualSpacing/>
        <w:jc w:val="left"/>
        <w:rPr>
          <w:rFonts w:ascii="宋体" w:hAnsi="宋体"/>
          <w:color w:val="auto"/>
          <w:sz w:val="24"/>
          <w:szCs w:val="20"/>
        </w:rPr>
      </w:pPr>
      <w:r>
        <w:rPr>
          <w:rFonts w:hint="eastAsia" w:ascii="宋体" w:hAnsi="宋体"/>
          <w:color w:val="auto"/>
          <w:sz w:val="24"/>
          <w:szCs w:val="20"/>
        </w:rPr>
        <w:t>注：</w:t>
      </w:r>
    </w:p>
    <w:p w14:paraId="0CC45955">
      <w:pPr>
        <w:spacing w:line="360" w:lineRule="auto"/>
        <w:contextualSpacing/>
        <w:jc w:val="left"/>
        <w:rPr>
          <w:rFonts w:ascii="宋体" w:hAnsi="宋体"/>
          <w:color w:val="auto"/>
          <w:sz w:val="24"/>
          <w:szCs w:val="20"/>
        </w:rPr>
      </w:pPr>
      <w:r>
        <w:rPr>
          <w:rFonts w:hint="eastAsia" w:ascii="宋体" w:hAnsi="宋体"/>
          <w:color w:val="auto"/>
          <w:sz w:val="24"/>
          <w:szCs w:val="20"/>
        </w:rPr>
        <w:t>1</w:t>
      </w:r>
      <w:r>
        <w:rPr>
          <w:rFonts w:ascii="宋体" w:hAnsi="宋体"/>
          <w:color w:val="auto"/>
          <w:sz w:val="24"/>
          <w:szCs w:val="20"/>
        </w:rPr>
        <w:t>.</w:t>
      </w:r>
      <w:r>
        <w:rPr>
          <w:rFonts w:hint="eastAsia" w:ascii="宋体" w:hAnsi="宋体"/>
          <w:color w:val="auto"/>
          <w:sz w:val="24"/>
          <w:szCs w:val="20"/>
        </w:rPr>
        <w:t>在填写时，如本表格不适合投标单位的实际情况，可根据本表格式自行制表填写。</w:t>
      </w:r>
    </w:p>
    <w:p w14:paraId="7C1C931C">
      <w:pPr>
        <w:snapToGrid w:val="0"/>
        <w:spacing w:before="50" w:after="50" w:line="480" w:lineRule="auto"/>
        <w:ind w:left="-3" w:leftChars="-15" w:right="-817" w:rightChars="-389" w:hanging="28" w:hangingChars="12"/>
        <w:jc w:val="left"/>
        <w:rPr>
          <w:rFonts w:ascii="宋体" w:hAnsi="宋体"/>
          <w:color w:val="auto"/>
          <w:sz w:val="24"/>
        </w:rPr>
      </w:pPr>
      <w:r>
        <w:rPr>
          <w:rFonts w:ascii="宋体" w:hAnsi="宋体"/>
          <w:color w:val="auto"/>
          <w:sz w:val="24"/>
          <w:szCs w:val="20"/>
        </w:rPr>
        <w:t>2.</w:t>
      </w:r>
      <w:r>
        <w:rPr>
          <w:rFonts w:hint="eastAsia" w:ascii="宋体" w:hAnsi="宋体"/>
          <w:color w:val="auto"/>
          <w:sz w:val="24"/>
          <w:szCs w:val="20"/>
        </w:rPr>
        <w:t>投标人应当附本表所列证书的复印件并加盖投标人电子公章。</w:t>
      </w:r>
    </w:p>
    <w:p w14:paraId="4377FF9E">
      <w:pPr>
        <w:jc w:val="left"/>
        <w:rPr>
          <w:rFonts w:ascii="宋体" w:hAnsi="宋体"/>
          <w:b/>
          <w:color w:val="auto"/>
          <w:sz w:val="24"/>
        </w:rPr>
      </w:pPr>
      <w:r>
        <w:rPr>
          <w:rFonts w:hint="eastAsia" w:ascii="宋体" w:hAnsi="宋体"/>
          <w:color w:val="auto"/>
          <w:sz w:val="24"/>
        </w:rPr>
        <w:br w:type="page"/>
      </w:r>
      <w:r>
        <w:rPr>
          <w:rFonts w:hint="eastAsia" w:ascii="宋体" w:hAnsi="宋体"/>
          <w:b/>
          <w:color w:val="auto"/>
          <w:sz w:val="24"/>
        </w:rPr>
        <w:t>1</w:t>
      </w:r>
      <w:r>
        <w:rPr>
          <w:rFonts w:hint="eastAsia" w:ascii="宋体" w:hAnsi="宋体"/>
          <w:b/>
          <w:color w:val="auto"/>
          <w:sz w:val="24"/>
          <w:lang w:val="en-US" w:eastAsia="zh-CN"/>
        </w:rPr>
        <w:t>2</w:t>
      </w:r>
      <w:r>
        <w:rPr>
          <w:rFonts w:hint="eastAsia" w:ascii="宋体" w:hAnsi="宋体"/>
          <w:b/>
          <w:color w:val="auto"/>
          <w:sz w:val="24"/>
        </w:rPr>
        <w:t>.选配件、专用耗材、售后服务优惠表格式(注：按项目需求表具体项目修改)</w:t>
      </w:r>
    </w:p>
    <w:p w14:paraId="0A303C87">
      <w:pPr>
        <w:snapToGrid w:val="0"/>
        <w:spacing w:beforeLines="50" w:after="50"/>
        <w:ind w:left="142"/>
        <w:jc w:val="left"/>
        <w:rPr>
          <w:rFonts w:ascii="宋体" w:hAnsi="宋体"/>
          <w:b/>
          <w:color w:val="auto"/>
          <w:sz w:val="24"/>
        </w:rPr>
      </w:pPr>
    </w:p>
    <w:p w14:paraId="1D520DCC">
      <w:pPr>
        <w:snapToGrid w:val="0"/>
        <w:spacing w:beforeLines="50" w:after="50"/>
        <w:ind w:left="142"/>
        <w:jc w:val="center"/>
        <w:rPr>
          <w:rFonts w:ascii="宋体" w:hAnsi="宋体"/>
          <w:b/>
          <w:color w:val="auto"/>
          <w:sz w:val="24"/>
        </w:rPr>
      </w:pPr>
      <w:r>
        <w:rPr>
          <w:rFonts w:hint="eastAsia" w:ascii="宋体" w:hAnsi="宋体"/>
          <w:b/>
          <w:color w:val="auto"/>
          <w:sz w:val="24"/>
        </w:rPr>
        <w:t>选配件、专用耗材、售后服务优惠表</w:t>
      </w:r>
    </w:p>
    <w:p w14:paraId="207C2867">
      <w:pPr>
        <w:pStyle w:val="15"/>
        <w:rPr>
          <w:rFonts w:hint="eastAsia" w:eastAsia="宋体"/>
          <w:color w:val="auto"/>
          <w:sz w:val="21"/>
          <w:lang w:eastAsia="zh-CN"/>
        </w:rPr>
      </w:pPr>
      <w:r>
        <w:rPr>
          <w:rFonts w:hint="eastAsia"/>
          <w:color w:val="auto"/>
          <w:sz w:val="21"/>
          <w:lang w:eastAsia="zh-CN"/>
        </w:rPr>
        <w:t>所投标项：标项</w:t>
      </w:r>
    </w:p>
    <w:tbl>
      <w:tblPr>
        <w:tblStyle w:val="25"/>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35"/>
        <w:gridCol w:w="2700"/>
        <w:gridCol w:w="1440"/>
        <w:gridCol w:w="1440"/>
        <w:gridCol w:w="2340"/>
      </w:tblGrid>
      <w:tr w14:paraId="641708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01" w:hRule="atLeast"/>
        </w:trPr>
        <w:tc>
          <w:tcPr>
            <w:tcW w:w="735"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62843D5F">
            <w:pPr>
              <w:pStyle w:val="15"/>
              <w:snapToGrid w:val="0"/>
              <w:spacing w:before="295" w:after="295"/>
              <w:jc w:val="center"/>
              <w:rPr>
                <w:rFonts w:hAnsi="宋体" w:cs="Courier New"/>
                <w:color w:val="auto"/>
                <w:kern w:val="2"/>
                <w:sz w:val="21"/>
              </w:rPr>
            </w:pPr>
            <w:r>
              <w:rPr>
                <w:rFonts w:hint="eastAsia" w:hAnsi="宋体" w:cs="Courier New"/>
                <w:color w:val="auto"/>
                <w:kern w:val="2"/>
                <w:sz w:val="21"/>
              </w:rPr>
              <w:t>序号</w:t>
            </w:r>
          </w:p>
        </w:tc>
        <w:tc>
          <w:tcPr>
            <w:tcW w:w="2700" w:type="dxa"/>
            <w:tcBorders>
              <w:top w:val="single" w:color="auto" w:sz="4" w:space="0"/>
              <w:left w:val="single" w:color="auto" w:sz="4" w:space="0"/>
              <w:bottom w:val="single" w:color="auto" w:sz="2" w:space="0"/>
              <w:right w:val="single" w:color="auto" w:sz="4" w:space="0"/>
            </w:tcBorders>
            <w:vAlign w:val="center"/>
          </w:tcPr>
          <w:p w14:paraId="545F08B0">
            <w:pPr>
              <w:pStyle w:val="15"/>
              <w:snapToGrid w:val="0"/>
              <w:spacing w:before="295" w:after="295"/>
              <w:jc w:val="center"/>
              <w:rPr>
                <w:rFonts w:hAnsi="宋体" w:cs="Courier New"/>
                <w:color w:val="auto"/>
                <w:kern w:val="2"/>
                <w:sz w:val="21"/>
              </w:rPr>
            </w:pPr>
            <w:r>
              <w:rPr>
                <w:rFonts w:hint="eastAsia" w:hAnsi="宋体" w:cs="Courier New"/>
                <w:color w:val="auto"/>
                <w:kern w:val="2"/>
                <w:sz w:val="21"/>
              </w:rPr>
              <w:t>优惠内容</w:t>
            </w:r>
          </w:p>
        </w:tc>
        <w:tc>
          <w:tcPr>
            <w:tcW w:w="1440" w:type="dxa"/>
            <w:tcBorders>
              <w:top w:val="single" w:color="auto" w:sz="4" w:space="0"/>
              <w:left w:val="single" w:color="auto" w:sz="4" w:space="0"/>
              <w:bottom w:val="single" w:color="auto" w:sz="2" w:space="0"/>
              <w:right w:val="single" w:color="auto" w:sz="4" w:space="0"/>
            </w:tcBorders>
            <w:vAlign w:val="center"/>
          </w:tcPr>
          <w:p w14:paraId="29BF3D7C">
            <w:pPr>
              <w:pStyle w:val="15"/>
              <w:snapToGrid w:val="0"/>
              <w:spacing w:before="295" w:after="295"/>
              <w:jc w:val="center"/>
              <w:rPr>
                <w:rFonts w:hAnsi="宋体" w:cs="Courier New"/>
                <w:color w:val="auto"/>
                <w:kern w:val="2"/>
                <w:sz w:val="21"/>
              </w:rPr>
            </w:pPr>
            <w:r>
              <w:rPr>
                <w:rFonts w:hint="eastAsia" w:hAnsi="宋体" w:cs="Courier New"/>
                <w:color w:val="auto"/>
                <w:kern w:val="2"/>
                <w:sz w:val="21"/>
              </w:rPr>
              <w:t>适用机型</w:t>
            </w:r>
          </w:p>
        </w:tc>
        <w:tc>
          <w:tcPr>
            <w:tcW w:w="1440" w:type="dxa"/>
            <w:tcBorders>
              <w:top w:val="single" w:color="auto" w:sz="4" w:space="0"/>
              <w:left w:val="single" w:color="auto" w:sz="4" w:space="0"/>
              <w:bottom w:val="single" w:color="auto" w:sz="2" w:space="0"/>
              <w:right w:val="single" w:color="auto" w:sz="4" w:space="0"/>
            </w:tcBorders>
            <w:tcMar>
              <w:top w:w="15" w:type="dxa"/>
              <w:left w:w="15" w:type="dxa"/>
              <w:bottom w:w="0" w:type="dxa"/>
              <w:right w:w="15" w:type="dxa"/>
            </w:tcMar>
            <w:vAlign w:val="center"/>
          </w:tcPr>
          <w:p w14:paraId="106A994A">
            <w:pPr>
              <w:pStyle w:val="15"/>
              <w:snapToGrid w:val="0"/>
              <w:spacing w:before="295" w:after="295"/>
              <w:jc w:val="center"/>
              <w:rPr>
                <w:rFonts w:hAnsi="宋体" w:cs="Courier New"/>
                <w:color w:val="auto"/>
                <w:kern w:val="2"/>
                <w:sz w:val="21"/>
              </w:rPr>
            </w:pPr>
            <w:r>
              <w:rPr>
                <w:rFonts w:hint="eastAsia" w:hAnsi="宋体" w:cs="Courier New"/>
                <w:color w:val="auto"/>
                <w:kern w:val="2"/>
                <w:sz w:val="21"/>
              </w:rPr>
              <w:t>单价</w:t>
            </w:r>
          </w:p>
        </w:tc>
        <w:tc>
          <w:tcPr>
            <w:tcW w:w="2340" w:type="dxa"/>
            <w:tcBorders>
              <w:top w:val="single" w:color="auto" w:sz="4" w:space="0"/>
              <w:left w:val="single" w:color="auto" w:sz="4" w:space="0"/>
              <w:bottom w:val="single" w:color="auto" w:sz="2" w:space="0"/>
              <w:right w:val="single" w:color="auto" w:sz="4" w:space="0"/>
            </w:tcBorders>
            <w:vAlign w:val="center"/>
          </w:tcPr>
          <w:p w14:paraId="1ACC3F52">
            <w:pPr>
              <w:pStyle w:val="15"/>
              <w:snapToGrid w:val="0"/>
              <w:spacing w:before="295" w:after="295"/>
              <w:jc w:val="center"/>
              <w:rPr>
                <w:rFonts w:hAnsi="宋体" w:cs="Courier New"/>
                <w:color w:val="auto"/>
                <w:kern w:val="2"/>
                <w:sz w:val="21"/>
              </w:rPr>
            </w:pPr>
            <w:r>
              <w:rPr>
                <w:rFonts w:hint="eastAsia" w:hAnsi="宋体" w:cs="Courier New"/>
                <w:color w:val="auto"/>
                <w:kern w:val="2"/>
                <w:sz w:val="21"/>
              </w:rPr>
              <w:t>比市场价优惠率</w:t>
            </w:r>
          </w:p>
        </w:tc>
      </w:tr>
      <w:tr w14:paraId="1CB242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84" w:hRule="atLeast"/>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14:paraId="282A3282">
            <w:pPr>
              <w:pStyle w:val="15"/>
              <w:snapToGrid w:val="0"/>
              <w:spacing w:before="295" w:after="295"/>
              <w:jc w:val="center"/>
              <w:rPr>
                <w:rFonts w:hAnsi="宋体"/>
                <w:color w:val="auto"/>
                <w:kern w:val="2"/>
                <w:sz w:val="21"/>
              </w:rPr>
            </w:pPr>
            <w:r>
              <w:rPr>
                <w:rFonts w:hint="eastAsia" w:hAnsi="宋体"/>
                <w:color w:val="auto"/>
                <w:kern w:val="2"/>
                <w:sz w:val="21"/>
              </w:rPr>
              <w:t>1</w:t>
            </w:r>
          </w:p>
        </w:tc>
        <w:tc>
          <w:tcPr>
            <w:tcW w:w="2700" w:type="dxa"/>
            <w:tcBorders>
              <w:top w:val="single" w:color="auto" w:sz="2" w:space="0"/>
              <w:left w:val="single" w:color="auto" w:sz="2" w:space="0"/>
              <w:bottom w:val="single" w:color="auto" w:sz="6" w:space="0"/>
              <w:right w:val="single" w:color="auto" w:sz="4" w:space="0"/>
            </w:tcBorders>
            <w:vAlign w:val="center"/>
          </w:tcPr>
          <w:p w14:paraId="3E58D5EB">
            <w:pPr>
              <w:pStyle w:val="15"/>
              <w:snapToGrid w:val="0"/>
              <w:spacing w:before="295" w:after="295"/>
              <w:jc w:val="center"/>
              <w:rPr>
                <w:rFonts w:hAnsi="宋体"/>
                <w:color w:val="auto"/>
                <w:kern w:val="2"/>
                <w:sz w:val="21"/>
              </w:rPr>
            </w:pPr>
          </w:p>
        </w:tc>
        <w:tc>
          <w:tcPr>
            <w:tcW w:w="1440" w:type="dxa"/>
            <w:tcBorders>
              <w:top w:val="single" w:color="auto" w:sz="2" w:space="0"/>
              <w:left w:val="single" w:color="auto" w:sz="4" w:space="0"/>
              <w:bottom w:val="single" w:color="auto" w:sz="6" w:space="0"/>
              <w:right w:val="single" w:color="auto" w:sz="6" w:space="0"/>
            </w:tcBorders>
            <w:vAlign w:val="center"/>
          </w:tcPr>
          <w:p w14:paraId="23884A3E">
            <w:pPr>
              <w:pStyle w:val="15"/>
              <w:snapToGrid w:val="0"/>
              <w:spacing w:before="295" w:after="295"/>
              <w:jc w:val="center"/>
              <w:rPr>
                <w:rFonts w:hAnsi="宋体"/>
                <w:color w:val="auto"/>
                <w:kern w:val="2"/>
                <w:sz w:val="21"/>
              </w:rPr>
            </w:pPr>
          </w:p>
        </w:tc>
        <w:tc>
          <w:tcPr>
            <w:tcW w:w="1440" w:type="dxa"/>
            <w:tcBorders>
              <w:top w:val="single" w:color="auto" w:sz="2" w:space="0"/>
              <w:left w:val="single" w:color="auto" w:sz="6" w:space="0"/>
              <w:bottom w:val="single" w:color="auto" w:sz="6" w:space="0"/>
              <w:right w:val="single" w:color="auto" w:sz="6" w:space="0"/>
            </w:tcBorders>
            <w:tcMar>
              <w:top w:w="15" w:type="dxa"/>
              <w:left w:w="15" w:type="dxa"/>
              <w:bottom w:w="0" w:type="dxa"/>
              <w:right w:w="15" w:type="dxa"/>
            </w:tcMar>
            <w:vAlign w:val="center"/>
          </w:tcPr>
          <w:p w14:paraId="7FA435BB">
            <w:pPr>
              <w:pStyle w:val="15"/>
              <w:snapToGrid w:val="0"/>
              <w:spacing w:before="295" w:after="295"/>
              <w:jc w:val="center"/>
              <w:rPr>
                <w:rFonts w:hAnsi="宋体"/>
                <w:color w:val="auto"/>
                <w:kern w:val="2"/>
                <w:sz w:val="21"/>
              </w:rPr>
            </w:pPr>
          </w:p>
        </w:tc>
        <w:tc>
          <w:tcPr>
            <w:tcW w:w="2340" w:type="dxa"/>
            <w:tcBorders>
              <w:top w:val="single" w:color="auto" w:sz="2" w:space="0"/>
              <w:left w:val="single" w:color="auto" w:sz="6" w:space="0"/>
              <w:bottom w:val="single" w:color="auto" w:sz="6" w:space="0"/>
              <w:right w:val="single" w:color="auto" w:sz="2" w:space="0"/>
            </w:tcBorders>
            <w:vAlign w:val="center"/>
          </w:tcPr>
          <w:p w14:paraId="7E4CB8BB">
            <w:pPr>
              <w:pStyle w:val="15"/>
              <w:snapToGrid w:val="0"/>
              <w:spacing w:before="295" w:after="295"/>
              <w:jc w:val="center"/>
              <w:rPr>
                <w:rFonts w:hAnsi="宋体"/>
                <w:color w:val="auto"/>
                <w:kern w:val="2"/>
                <w:sz w:val="21"/>
              </w:rPr>
            </w:pPr>
            <w:r>
              <w:rPr>
                <w:rFonts w:hint="eastAsia" w:hAnsi="宋体"/>
                <w:color w:val="auto"/>
                <w:kern w:val="2"/>
                <w:sz w:val="21"/>
              </w:rPr>
              <w:t>%</w:t>
            </w:r>
          </w:p>
        </w:tc>
      </w:tr>
      <w:tr w14:paraId="3808D2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84" w:hRule="atLeast"/>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14:paraId="20A88D29">
            <w:pPr>
              <w:pStyle w:val="15"/>
              <w:snapToGrid w:val="0"/>
              <w:spacing w:before="295" w:after="295"/>
              <w:jc w:val="center"/>
              <w:rPr>
                <w:rFonts w:hAnsi="宋体"/>
                <w:color w:val="auto"/>
                <w:kern w:val="2"/>
                <w:sz w:val="21"/>
              </w:rPr>
            </w:pPr>
            <w:r>
              <w:rPr>
                <w:rFonts w:hint="eastAsia" w:hAnsi="宋体"/>
                <w:color w:val="auto"/>
                <w:kern w:val="2"/>
                <w:sz w:val="21"/>
              </w:rPr>
              <w:t>2</w:t>
            </w:r>
          </w:p>
        </w:tc>
        <w:tc>
          <w:tcPr>
            <w:tcW w:w="2700" w:type="dxa"/>
            <w:tcBorders>
              <w:top w:val="single" w:color="auto" w:sz="6" w:space="0"/>
              <w:left w:val="single" w:color="auto" w:sz="2" w:space="0"/>
              <w:bottom w:val="single" w:color="auto" w:sz="6" w:space="0"/>
              <w:right w:val="single" w:color="auto" w:sz="4" w:space="0"/>
            </w:tcBorders>
            <w:vAlign w:val="center"/>
          </w:tcPr>
          <w:p w14:paraId="433C2DE8">
            <w:pPr>
              <w:pStyle w:val="15"/>
              <w:snapToGrid w:val="0"/>
              <w:spacing w:before="295" w:after="295"/>
              <w:jc w:val="center"/>
              <w:rPr>
                <w:rFonts w:hAnsi="宋体"/>
                <w:color w:val="auto"/>
                <w:kern w:val="2"/>
                <w:sz w:val="21"/>
              </w:rPr>
            </w:pPr>
          </w:p>
        </w:tc>
        <w:tc>
          <w:tcPr>
            <w:tcW w:w="1440" w:type="dxa"/>
            <w:tcBorders>
              <w:top w:val="single" w:color="auto" w:sz="6" w:space="0"/>
              <w:left w:val="single" w:color="auto" w:sz="4" w:space="0"/>
              <w:bottom w:val="single" w:color="auto" w:sz="6" w:space="0"/>
              <w:right w:val="single" w:color="auto" w:sz="6" w:space="0"/>
            </w:tcBorders>
            <w:vAlign w:val="center"/>
          </w:tcPr>
          <w:p w14:paraId="0C140AB9">
            <w:pPr>
              <w:pStyle w:val="15"/>
              <w:snapToGrid w:val="0"/>
              <w:spacing w:before="295" w:after="295"/>
              <w:jc w:val="center"/>
              <w:rPr>
                <w:rFonts w:hAnsi="宋体"/>
                <w:color w:val="auto"/>
                <w:kern w:val="2"/>
                <w:sz w:val="21"/>
              </w:rPr>
            </w:pPr>
          </w:p>
        </w:tc>
        <w:tc>
          <w:tcPr>
            <w:tcW w:w="144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14:paraId="4B77D4E0">
            <w:pPr>
              <w:pStyle w:val="15"/>
              <w:snapToGrid w:val="0"/>
              <w:spacing w:before="295" w:after="295"/>
              <w:jc w:val="center"/>
              <w:rPr>
                <w:rFonts w:hAnsi="宋体"/>
                <w:color w:val="auto"/>
                <w:kern w:val="2"/>
                <w:sz w:val="21"/>
              </w:rPr>
            </w:pPr>
          </w:p>
        </w:tc>
        <w:tc>
          <w:tcPr>
            <w:tcW w:w="2340" w:type="dxa"/>
            <w:tcBorders>
              <w:top w:val="single" w:color="auto" w:sz="6" w:space="0"/>
              <w:left w:val="single" w:color="auto" w:sz="6" w:space="0"/>
              <w:bottom w:val="single" w:color="auto" w:sz="6" w:space="0"/>
              <w:right w:val="single" w:color="auto" w:sz="2" w:space="0"/>
            </w:tcBorders>
            <w:vAlign w:val="center"/>
          </w:tcPr>
          <w:p w14:paraId="78BE2EEB">
            <w:pPr>
              <w:pStyle w:val="15"/>
              <w:snapToGrid w:val="0"/>
              <w:spacing w:before="295" w:after="295"/>
              <w:jc w:val="center"/>
              <w:rPr>
                <w:rFonts w:hAnsi="宋体"/>
                <w:color w:val="auto"/>
                <w:kern w:val="2"/>
                <w:sz w:val="21"/>
              </w:rPr>
            </w:pPr>
            <w:r>
              <w:rPr>
                <w:rFonts w:hint="eastAsia" w:hAnsi="宋体"/>
                <w:color w:val="auto"/>
                <w:kern w:val="2"/>
                <w:sz w:val="21"/>
              </w:rPr>
              <w:t>%</w:t>
            </w:r>
          </w:p>
        </w:tc>
      </w:tr>
      <w:tr w14:paraId="01A52D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84" w:hRule="atLeast"/>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14:paraId="04BC3FB5">
            <w:pPr>
              <w:pStyle w:val="15"/>
              <w:snapToGrid w:val="0"/>
              <w:spacing w:before="295" w:after="295"/>
              <w:jc w:val="center"/>
              <w:rPr>
                <w:rFonts w:hAnsi="宋体"/>
                <w:color w:val="auto"/>
                <w:kern w:val="2"/>
                <w:sz w:val="21"/>
              </w:rPr>
            </w:pPr>
            <w:r>
              <w:rPr>
                <w:rFonts w:hint="eastAsia" w:hAnsi="宋体"/>
                <w:color w:val="auto"/>
                <w:kern w:val="2"/>
                <w:sz w:val="21"/>
              </w:rPr>
              <w:t>3</w:t>
            </w:r>
          </w:p>
        </w:tc>
        <w:tc>
          <w:tcPr>
            <w:tcW w:w="2700" w:type="dxa"/>
            <w:tcBorders>
              <w:top w:val="single" w:color="auto" w:sz="6" w:space="0"/>
              <w:left w:val="single" w:color="auto" w:sz="2" w:space="0"/>
              <w:bottom w:val="single" w:color="auto" w:sz="6" w:space="0"/>
              <w:right w:val="single" w:color="auto" w:sz="4" w:space="0"/>
            </w:tcBorders>
            <w:vAlign w:val="center"/>
          </w:tcPr>
          <w:p w14:paraId="76D13756">
            <w:pPr>
              <w:pStyle w:val="15"/>
              <w:snapToGrid w:val="0"/>
              <w:spacing w:before="295" w:after="295"/>
              <w:jc w:val="center"/>
              <w:rPr>
                <w:rFonts w:hAnsi="宋体"/>
                <w:color w:val="auto"/>
                <w:kern w:val="2"/>
                <w:sz w:val="21"/>
              </w:rPr>
            </w:pPr>
          </w:p>
        </w:tc>
        <w:tc>
          <w:tcPr>
            <w:tcW w:w="1440" w:type="dxa"/>
            <w:tcBorders>
              <w:top w:val="single" w:color="auto" w:sz="6" w:space="0"/>
              <w:left w:val="single" w:color="auto" w:sz="4" w:space="0"/>
              <w:bottom w:val="single" w:color="auto" w:sz="6" w:space="0"/>
              <w:right w:val="single" w:color="auto" w:sz="6" w:space="0"/>
            </w:tcBorders>
            <w:vAlign w:val="center"/>
          </w:tcPr>
          <w:p w14:paraId="70E7EEA1">
            <w:pPr>
              <w:pStyle w:val="15"/>
              <w:snapToGrid w:val="0"/>
              <w:spacing w:before="295" w:after="295"/>
              <w:jc w:val="center"/>
              <w:rPr>
                <w:rFonts w:hAnsi="宋体"/>
                <w:color w:val="auto"/>
                <w:kern w:val="2"/>
                <w:sz w:val="21"/>
              </w:rPr>
            </w:pPr>
          </w:p>
        </w:tc>
        <w:tc>
          <w:tcPr>
            <w:tcW w:w="144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14:paraId="3DF961FC">
            <w:pPr>
              <w:pStyle w:val="15"/>
              <w:snapToGrid w:val="0"/>
              <w:spacing w:before="295" w:after="295"/>
              <w:jc w:val="center"/>
              <w:rPr>
                <w:rFonts w:hAnsi="宋体"/>
                <w:color w:val="auto"/>
                <w:kern w:val="2"/>
                <w:sz w:val="21"/>
              </w:rPr>
            </w:pPr>
          </w:p>
        </w:tc>
        <w:tc>
          <w:tcPr>
            <w:tcW w:w="2340" w:type="dxa"/>
            <w:tcBorders>
              <w:top w:val="single" w:color="auto" w:sz="6" w:space="0"/>
              <w:left w:val="single" w:color="auto" w:sz="6" w:space="0"/>
              <w:bottom w:val="single" w:color="auto" w:sz="6" w:space="0"/>
              <w:right w:val="single" w:color="auto" w:sz="2" w:space="0"/>
            </w:tcBorders>
            <w:vAlign w:val="center"/>
          </w:tcPr>
          <w:p w14:paraId="7000D0E9">
            <w:pPr>
              <w:pStyle w:val="15"/>
              <w:snapToGrid w:val="0"/>
              <w:spacing w:before="295" w:after="295"/>
              <w:jc w:val="center"/>
              <w:rPr>
                <w:rFonts w:hAnsi="宋体"/>
                <w:color w:val="auto"/>
                <w:kern w:val="2"/>
                <w:sz w:val="21"/>
              </w:rPr>
            </w:pPr>
            <w:r>
              <w:rPr>
                <w:rFonts w:hint="eastAsia" w:hAnsi="宋体"/>
                <w:color w:val="auto"/>
                <w:kern w:val="2"/>
                <w:sz w:val="21"/>
              </w:rPr>
              <w:t>%</w:t>
            </w:r>
          </w:p>
        </w:tc>
      </w:tr>
    </w:tbl>
    <w:p w14:paraId="34F21450">
      <w:pPr>
        <w:snapToGrid w:val="0"/>
        <w:spacing w:beforeLines="50" w:after="50"/>
        <w:outlineLvl w:val="1"/>
        <w:rPr>
          <w:rFonts w:ascii="宋体" w:hAnsi="宋体"/>
          <w:b/>
          <w:bCs/>
          <w:color w:val="auto"/>
          <w:szCs w:val="21"/>
        </w:rPr>
      </w:pPr>
    </w:p>
    <w:p w14:paraId="5EF283A4">
      <w:pPr>
        <w:snapToGrid w:val="0"/>
        <w:spacing w:before="50" w:after="50" w:line="300" w:lineRule="auto"/>
        <w:ind w:left="-6" w:leftChars="-15" w:right="-817" w:rightChars="-389" w:hanging="25" w:hangingChars="12"/>
        <w:jc w:val="left"/>
        <w:rPr>
          <w:rFonts w:ascii="宋体" w:hAnsi="宋体"/>
          <w:b/>
          <w:bCs/>
          <w:color w:val="auto"/>
          <w:szCs w:val="21"/>
        </w:rPr>
      </w:pPr>
      <w:r>
        <w:rPr>
          <w:rFonts w:hint="eastAsia" w:ascii="宋体" w:hAnsi="宋体"/>
          <w:b/>
          <w:bCs/>
          <w:color w:val="auto"/>
          <w:szCs w:val="21"/>
        </w:rPr>
        <w:t>法定代表人或者委托代理人（签字/电子签名）：</w:t>
      </w:r>
    </w:p>
    <w:p w14:paraId="74A40FD2">
      <w:pPr>
        <w:snapToGrid w:val="0"/>
        <w:spacing w:before="50" w:after="50" w:line="300" w:lineRule="auto"/>
        <w:ind w:left="-6" w:leftChars="-15" w:right="-817" w:rightChars="-389" w:hanging="25" w:hangingChars="12"/>
        <w:jc w:val="left"/>
        <w:rPr>
          <w:rFonts w:ascii="宋体" w:hAnsi="宋体"/>
          <w:b/>
          <w:bCs/>
          <w:color w:val="auto"/>
          <w:szCs w:val="21"/>
        </w:rPr>
      </w:pPr>
      <w:r>
        <w:rPr>
          <w:rFonts w:hint="eastAsia" w:ascii="宋体" w:hAnsi="宋体"/>
          <w:b/>
          <w:bCs/>
          <w:color w:val="auto"/>
          <w:szCs w:val="21"/>
        </w:rPr>
        <w:t>投标人名称（公章或电子签章）：</w:t>
      </w:r>
    </w:p>
    <w:p w14:paraId="1BAC380C">
      <w:pPr>
        <w:snapToGrid w:val="0"/>
        <w:spacing w:before="50" w:after="50" w:line="480" w:lineRule="auto"/>
        <w:ind w:left="-6" w:leftChars="-15" w:right="-817" w:rightChars="-389" w:hanging="25" w:hangingChars="12"/>
        <w:jc w:val="left"/>
        <w:rPr>
          <w:rFonts w:ascii="宋体" w:hAnsi="宋体"/>
          <w:color w:val="auto"/>
          <w:sz w:val="16"/>
          <w:szCs w:val="20"/>
        </w:rPr>
      </w:pPr>
      <w:r>
        <w:rPr>
          <w:rFonts w:hint="eastAsia" w:ascii="宋体" w:hAnsi="宋体"/>
          <w:b/>
          <w:bCs/>
          <w:color w:val="auto"/>
          <w:szCs w:val="21"/>
        </w:rPr>
        <w:t>日期：    年   月   日</w:t>
      </w:r>
    </w:p>
    <w:p w14:paraId="1D108FEF">
      <w:pPr>
        <w:snapToGrid w:val="0"/>
        <w:spacing w:beforeLines="50" w:line="480" w:lineRule="auto"/>
        <w:rPr>
          <w:rFonts w:ascii="宋体" w:hAnsi="宋体"/>
          <w:color w:val="auto"/>
          <w:szCs w:val="16"/>
        </w:rPr>
      </w:pPr>
    </w:p>
    <w:p w14:paraId="1E0E3186">
      <w:pPr>
        <w:snapToGrid w:val="0"/>
        <w:spacing w:beforeLines="50" w:after="50"/>
        <w:jc w:val="center"/>
        <w:outlineLvl w:val="1"/>
        <w:rPr>
          <w:rFonts w:ascii="Arial" w:hAnsi="Arial" w:eastAsia="黑体"/>
          <w:b/>
          <w:bCs/>
          <w:color w:val="auto"/>
          <w:kern w:val="0"/>
          <w:sz w:val="32"/>
          <w:szCs w:val="32"/>
        </w:rPr>
      </w:pPr>
      <w:r>
        <w:rPr>
          <w:rFonts w:ascii="宋体" w:hAnsi="宋体"/>
          <w:b/>
          <w:bCs/>
          <w:color w:val="auto"/>
          <w:sz w:val="24"/>
        </w:rPr>
        <w:br w:type="page"/>
      </w:r>
      <w:bookmarkStart w:id="168" w:name="_Toc19686840"/>
      <w:bookmarkStart w:id="169" w:name="_Toc16006"/>
      <w:r>
        <w:rPr>
          <w:rFonts w:hint="eastAsia" w:ascii="Arial" w:hAnsi="Arial" w:eastAsia="黑体"/>
          <w:b/>
          <w:bCs/>
          <w:color w:val="auto"/>
          <w:kern w:val="0"/>
          <w:sz w:val="32"/>
          <w:szCs w:val="32"/>
        </w:rPr>
        <w:t>第七章其他文书、文件格式</w:t>
      </w:r>
      <w:bookmarkEnd w:id="168"/>
      <w:bookmarkEnd w:id="169"/>
    </w:p>
    <w:p w14:paraId="48DC8CB1">
      <w:pPr>
        <w:spacing w:beforeLines="50" w:afterLines="50" w:line="400" w:lineRule="exact"/>
        <w:rPr>
          <w:rFonts w:ascii="宋体" w:hAnsi="宋体"/>
          <w:color w:val="auto"/>
          <w:sz w:val="24"/>
        </w:rPr>
      </w:pPr>
    </w:p>
    <w:p w14:paraId="1B5B5D8A">
      <w:pPr>
        <w:snapToGrid w:val="0"/>
        <w:spacing w:beforeLines="50" w:after="50"/>
        <w:ind w:left="142"/>
        <w:jc w:val="left"/>
        <w:rPr>
          <w:rFonts w:ascii="宋体" w:hAnsi="宋体"/>
          <w:b/>
          <w:color w:val="auto"/>
          <w:spacing w:val="20"/>
          <w:sz w:val="24"/>
        </w:rPr>
      </w:pPr>
      <w:r>
        <w:rPr>
          <w:rFonts w:hint="eastAsia" w:ascii="宋体" w:hAnsi="宋体"/>
          <w:b/>
          <w:color w:val="auto"/>
          <w:spacing w:val="20"/>
          <w:sz w:val="24"/>
        </w:rPr>
        <w:t>联合投标协议书格式</w:t>
      </w:r>
    </w:p>
    <w:p w14:paraId="05794B5E">
      <w:pPr>
        <w:pStyle w:val="7"/>
        <w:overflowPunct w:val="0"/>
        <w:jc w:val="center"/>
        <w:rPr>
          <w:rFonts w:ascii="宋体" w:hAnsi="宋体"/>
          <w:b/>
          <w:bCs/>
          <w:color w:val="auto"/>
          <w:sz w:val="32"/>
          <w:szCs w:val="32"/>
        </w:rPr>
      </w:pPr>
      <w:r>
        <w:rPr>
          <w:rFonts w:hint="eastAsia" w:ascii="宋体" w:hAnsi="宋体"/>
          <w:b/>
          <w:bCs/>
          <w:color w:val="auto"/>
          <w:sz w:val="32"/>
          <w:szCs w:val="32"/>
        </w:rPr>
        <w:t>联合体协议书</w:t>
      </w:r>
    </w:p>
    <w:p w14:paraId="7C8D1D6D">
      <w:pPr>
        <w:pStyle w:val="7"/>
        <w:overflowPunct w:val="0"/>
        <w:rPr>
          <w:rFonts w:ascii="宋体" w:hAnsi="宋体"/>
          <w:color w:val="auto"/>
          <w:sz w:val="24"/>
        </w:rPr>
      </w:pPr>
    </w:p>
    <w:p w14:paraId="5FED7A3B">
      <w:pPr>
        <w:pStyle w:val="7"/>
        <w:overflowPunct w:val="0"/>
        <w:rPr>
          <w:rFonts w:ascii="宋体" w:hAnsi="宋体"/>
          <w:color w:val="auto"/>
          <w:sz w:val="24"/>
        </w:rPr>
      </w:pPr>
    </w:p>
    <w:p w14:paraId="2866F509">
      <w:pPr>
        <w:pStyle w:val="7"/>
        <w:overflowPunct w:val="0"/>
        <w:rPr>
          <w:rFonts w:ascii="宋体" w:hAnsi="宋体"/>
          <w:color w:val="auto"/>
          <w:sz w:val="24"/>
        </w:rPr>
      </w:pPr>
    </w:p>
    <w:p w14:paraId="0A4B1F42">
      <w:pPr>
        <w:pStyle w:val="7"/>
        <w:overflowPunct w:val="0"/>
        <w:rPr>
          <w:rFonts w:ascii="宋体" w:hAnsi="宋体"/>
          <w:color w:val="auto"/>
          <w:sz w:val="24"/>
        </w:rPr>
      </w:pPr>
      <w:r>
        <w:rPr>
          <w:rFonts w:ascii="宋体" w:hAnsi="宋体"/>
          <w:color w:val="auto"/>
          <w:sz w:val="24"/>
          <w:u w:val="single"/>
        </w:rPr>
        <w:tab/>
      </w:r>
      <w:r>
        <w:rPr>
          <w:rFonts w:hint="eastAsia" w:ascii="宋体" w:hAnsi="宋体"/>
          <w:color w:val="auto"/>
          <w:sz w:val="24"/>
        </w:rPr>
        <w:t>（所有成员单位名称）自愿组成</w:t>
      </w:r>
      <w:r>
        <w:rPr>
          <w:rFonts w:ascii="宋体" w:hAnsi="宋体"/>
          <w:color w:val="auto"/>
          <w:sz w:val="24"/>
          <w:u w:val="single"/>
        </w:rPr>
        <w:tab/>
      </w:r>
      <w:r>
        <w:rPr>
          <w:rFonts w:hint="eastAsia" w:ascii="宋体" w:hAnsi="宋体"/>
          <w:color w:val="auto"/>
          <w:sz w:val="24"/>
        </w:rPr>
        <w:t>（联合体名称）联合体，共同参加</w:t>
      </w:r>
      <w:r>
        <w:rPr>
          <w:rFonts w:ascii="宋体" w:hAnsi="宋体"/>
          <w:color w:val="auto"/>
          <w:sz w:val="24"/>
          <w:u w:val="single"/>
        </w:rPr>
        <w:tab/>
      </w:r>
      <w:r>
        <w:rPr>
          <w:rFonts w:hint="eastAsia" w:ascii="宋体" w:hAnsi="宋体"/>
          <w:color w:val="auto"/>
          <w:sz w:val="24"/>
          <w:u w:val="single"/>
        </w:rPr>
        <w:t>（项</w:t>
      </w:r>
      <w:r>
        <w:rPr>
          <w:rFonts w:hint="eastAsia" w:ascii="宋体" w:hAnsi="宋体"/>
          <w:color w:val="auto"/>
          <w:sz w:val="24"/>
        </w:rPr>
        <w:t>目名称）采购招标项目投标。现就联合体投标事宜订立如下协议。</w:t>
      </w:r>
    </w:p>
    <w:p w14:paraId="750D6979">
      <w:pPr>
        <w:pStyle w:val="7"/>
        <w:overflowPunct w:val="0"/>
        <w:rPr>
          <w:rFonts w:ascii="宋体" w:hAnsi="宋体"/>
          <w:color w:val="auto"/>
          <w:sz w:val="24"/>
        </w:rPr>
      </w:pPr>
    </w:p>
    <w:p w14:paraId="65185FF4">
      <w:pPr>
        <w:pStyle w:val="7"/>
        <w:overflowPunct w:val="0"/>
        <w:ind w:firstLineChars="175"/>
        <w:rPr>
          <w:rFonts w:ascii="宋体" w:hAnsi="宋体"/>
          <w:color w:val="auto"/>
          <w:sz w:val="24"/>
        </w:rPr>
      </w:pPr>
      <w:r>
        <w:rPr>
          <w:rFonts w:ascii="宋体" w:hAnsi="宋体"/>
          <w:color w:val="auto"/>
          <w:sz w:val="24"/>
        </w:rPr>
        <w:t xml:space="preserve">1.  </w:t>
      </w:r>
      <w:r>
        <w:rPr>
          <w:rFonts w:ascii="宋体" w:hAnsi="宋体"/>
          <w:color w:val="auto"/>
          <w:sz w:val="24"/>
          <w:u w:val="single"/>
        </w:rPr>
        <w:tab/>
      </w:r>
      <w:r>
        <w:rPr>
          <w:rFonts w:hint="eastAsia" w:ascii="宋体" w:hAnsi="宋体"/>
          <w:color w:val="auto"/>
          <w:sz w:val="24"/>
        </w:rPr>
        <w:t>（某成员单位名称）为</w:t>
      </w:r>
      <w:r>
        <w:rPr>
          <w:rFonts w:ascii="宋体" w:hAnsi="宋体"/>
          <w:color w:val="auto"/>
          <w:sz w:val="24"/>
          <w:u w:val="single"/>
        </w:rPr>
        <w:tab/>
      </w:r>
      <w:r>
        <w:rPr>
          <w:rFonts w:hint="eastAsia" w:ascii="宋体" w:hAnsi="宋体"/>
          <w:color w:val="auto"/>
          <w:sz w:val="24"/>
        </w:rPr>
        <w:t>（联合体名称）牵头人。</w:t>
      </w:r>
    </w:p>
    <w:p w14:paraId="2E900B7C">
      <w:pPr>
        <w:pStyle w:val="7"/>
        <w:overflowPunct w:val="0"/>
        <w:ind w:firstLineChars="175"/>
        <w:rPr>
          <w:rFonts w:ascii="宋体" w:hAnsi="宋体"/>
          <w:color w:val="auto"/>
          <w:sz w:val="24"/>
        </w:rPr>
      </w:pPr>
      <w:r>
        <w:rPr>
          <w:rFonts w:ascii="宋体" w:hAnsi="宋体"/>
          <w:color w:val="auto"/>
          <w:sz w:val="24"/>
        </w:rPr>
        <w:t>2.</w:t>
      </w:r>
      <w:r>
        <w:rPr>
          <w:rFonts w:hint="eastAsia" w:ascii="宋体" w:hAnsi="宋体"/>
          <w:color w:val="auto"/>
          <w:sz w:val="24"/>
        </w:rPr>
        <w:t>联合体各成员授权牵头人代表联合体参加投标活动，签署文件及对文件的盖章，提交和接收相关的资料、信息及指示，进行合同谈判活动，负责合同实施阶段的组织和协调工作，以及处理与本招标项目有关的一切事宜。</w:t>
      </w:r>
    </w:p>
    <w:p w14:paraId="5B2E956B">
      <w:pPr>
        <w:pStyle w:val="7"/>
        <w:overflowPunct w:val="0"/>
        <w:ind w:firstLineChars="175"/>
        <w:rPr>
          <w:rFonts w:ascii="宋体" w:hAnsi="宋体"/>
          <w:color w:val="auto"/>
          <w:sz w:val="24"/>
        </w:rPr>
      </w:pPr>
      <w:r>
        <w:rPr>
          <w:rFonts w:ascii="宋体" w:hAnsi="宋体"/>
          <w:color w:val="auto"/>
          <w:sz w:val="24"/>
        </w:rPr>
        <w:t>3.</w:t>
      </w:r>
      <w:r>
        <w:rPr>
          <w:rFonts w:hint="eastAsia" w:ascii="宋体" w:hAnsi="宋体"/>
          <w:color w:val="auto"/>
          <w:sz w:val="24"/>
        </w:rPr>
        <w:t>联合体牵头人在本项目中签署和盖章的一切文件和处理的一切事宜，联合体各成员均予以承认。联合体各成员将严格按照招标文件、投标文件和合同的要求全面履行义务，并向招标人承担连带责任。</w:t>
      </w:r>
    </w:p>
    <w:p w14:paraId="616C3CDF">
      <w:pPr>
        <w:pStyle w:val="7"/>
        <w:overflowPunct w:val="0"/>
        <w:ind w:firstLineChars="175"/>
        <w:rPr>
          <w:rFonts w:ascii="宋体" w:hAnsi="宋体"/>
          <w:color w:val="auto"/>
          <w:sz w:val="24"/>
        </w:rPr>
      </w:pPr>
      <w:r>
        <w:rPr>
          <w:rFonts w:ascii="宋体" w:hAnsi="宋体"/>
          <w:color w:val="auto"/>
          <w:sz w:val="24"/>
        </w:rPr>
        <w:t>4.</w:t>
      </w:r>
      <w:r>
        <w:rPr>
          <w:rFonts w:hint="eastAsia" w:ascii="宋体" w:hAnsi="宋体"/>
          <w:color w:val="auto"/>
          <w:sz w:val="24"/>
        </w:rPr>
        <w:t>联合体各成员单位内部的职责分工如下：</w:t>
      </w:r>
      <w:r>
        <w:rPr>
          <w:rFonts w:ascii="宋体" w:hAnsi="宋体"/>
          <w:color w:val="auto"/>
          <w:sz w:val="24"/>
          <w:u w:val="single"/>
        </w:rPr>
        <w:tab/>
      </w:r>
      <w:r>
        <w:rPr>
          <w:rFonts w:hint="eastAsia" w:ascii="宋体" w:hAnsi="宋体"/>
          <w:color w:val="auto"/>
          <w:sz w:val="24"/>
        </w:rPr>
        <w:t>。</w:t>
      </w:r>
    </w:p>
    <w:p w14:paraId="4ECC6C21">
      <w:pPr>
        <w:pStyle w:val="7"/>
        <w:overflowPunct w:val="0"/>
        <w:ind w:firstLineChars="175"/>
        <w:rPr>
          <w:rFonts w:ascii="宋体" w:hAnsi="宋体"/>
          <w:color w:val="auto"/>
          <w:sz w:val="24"/>
        </w:rPr>
      </w:pPr>
      <w:r>
        <w:rPr>
          <w:rFonts w:ascii="宋体" w:hAnsi="宋体"/>
          <w:color w:val="auto"/>
          <w:sz w:val="24"/>
        </w:rPr>
        <w:t>5.</w:t>
      </w:r>
      <w:r>
        <w:rPr>
          <w:rFonts w:hint="eastAsia" w:ascii="宋体" w:hAnsi="宋体"/>
          <w:color w:val="auto"/>
          <w:sz w:val="24"/>
        </w:rPr>
        <w:t>本协议书自所有成员单位法定代表人或者其委托代理人签字或者盖公章之日起生效，合同履行完毕后自动失效。</w:t>
      </w:r>
    </w:p>
    <w:p w14:paraId="0D655A63">
      <w:pPr>
        <w:pStyle w:val="7"/>
        <w:overflowPunct w:val="0"/>
        <w:ind w:firstLineChars="175"/>
        <w:rPr>
          <w:rFonts w:ascii="宋体" w:hAnsi="宋体"/>
          <w:color w:val="auto"/>
          <w:sz w:val="24"/>
        </w:rPr>
      </w:pPr>
      <w:r>
        <w:rPr>
          <w:rFonts w:ascii="宋体" w:hAnsi="宋体"/>
          <w:color w:val="auto"/>
          <w:sz w:val="24"/>
        </w:rPr>
        <w:t>6.</w:t>
      </w:r>
      <w:r>
        <w:rPr>
          <w:rFonts w:hint="eastAsia" w:ascii="宋体" w:hAnsi="宋体"/>
          <w:color w:val="auto"/>
          <w:sz w:val="24"/>
        </w:rPr>
        <w:t>本协议书一式</w:t>
      </w:r>
      <w:r>
        <w:rPr>
          <w:rFonts w:ascii="宋体" w:hAnsi="宋体"/>
          <w:color w:val="auto"/>
          <w:sz w:val="24"/>
          <w:u w:val="single"/>
        </w:rPr>
        <w:tab/>
      </w:r>
      <w:r>
        <w:rPr>
          <w:rFonts w:hint="eastAsia" w:ascii="宋体" w:hAnsi="宋体"/>
          <w:color w:val="auto"/>
          <w:sz w:val="24"/>
        </w:rPr>
        <w:t>份，联合体成员和招标人各执一份。</w:t>
      </w:r>
    </w:p>
    <w:p w14:paraId="5F8125B5">
      <w:pPr>
        <w:pStyle w:val="7"/>
        <w:overflowPunct w:val="0"/>
        <w:ind w:firstLine="0"/>
        <w:rPr>
          <w:rFonts w:ascii="宋体" w:hAnsi="宋体"/>
          <w:color w:val="auto"/>
          <w:sz w:val="24"/>
        </w:rPr>
      </w:pPr>
    </w:p>
    <w:p w14:paraId="55838BF4">
      <w:pPr>
        <w:pStyle w:val="7"/>
        <w:overflowPunct w:val="0"/>
        <w:ind w:firstLineChars="175"/>
        <w:rPr>
          <w:rFonts w:ascii="宋体" w:hAnsi="宋体"/>
          <w:color w:val="auto"/>
          <w:sz w:val="24"/>
        </w:rPr>
      </w:pPr>
      <w:r>
        <w:rPr>
          <w:rFonts w:hint="eastAsia" w:ascii="宋体" w:hAnsi="宋体"/>
          <w:color w:val="auto"/>
          <w:sz w:val="24"/>
        </w:rPr>
        <w:t>注：本协议书由法定代表人签字的，应附法定代表人身份</w:t>
      </w:r>
    </w:p>
    <w:p w14:paraId="4279B69F">
      <w:pPr>
        <w:pStyle w:val="7"/>
        <w:overflowPunct w:val="0"/>
        <w:ind w:firstLineChars="175"/>
        <w:rPr>
          <w:rFonts w:ascii="宋体" w:hAnsi="宋体"/>
          <w:color w:val="auto"/>
          <w:sz w:val="24"/>
        </w:rPr>
      </w:pPr>
      <w:r>
        <w:rPr>
          <w:rFonts w:hint="eastAsia" w:ascii="宋体" w:hAnsi="宋体"/>
          <w:color w:val="auto"/>
          <w:sz w:val="24"/>
        </w:rPr>
        <w:t>证明；由委托代理人签字的，应附授权委托书。</w:t>
      </w:r>
    </w:p>
    <w:p w14:paraId="5AF6CE8C">
      <w:pPr>
        <w:pStyle w:val="7"/>
        <w:overflowPunct w:val="0"/>
        <w:ind w:firstLineChars="175"/>
        <w:rPr>
          <w:rFonts w:ascii="宋体" w:hAnsi="宋体"/>
          <w:color w:val="auto"/>
          <w:sz w:val="24"/>
        </w:rPr>
      </w:pPr>
    </w:p>
    <w:p w14:paraId="1566163D">
      <w:pPr>
        <w:pStyle w:val="7"/>
        <w:overflowPunct w:val="0"/>
        <w:ind w:firstLineChars="175"/>
        <w:rPr>
          <w:rFonts w:ascii="宋体" w:hAnsi="宋体"/>
          <w:color w:val="auto"/>
          <w:sz w:val="24"/>
        </w:rPr>
      </w:pPr>
      <w:r>
        <w:rPr>
          <w:rFonts w:hint="eastAsia" w:ascii="宋体" w:hAnsi="宋体"/>
          <w:color w:val="auto"/>
          <w:sz w:val="24"/>
        </w:rPr>
        <w:t>联合体牵头人名称（盖公章）：</w:t>
      </w:r>
    </w:p>
    <w:p w14:paraId="1F187181">
      <w:pPr>
        <w:pStyle w:val="7"/>
        <w:overflowPunct w:val="0"/>
        <w:ind w:firstLineChars="175"/>
        <w:rPr>
          <w:rFonts w:ascii="宋体" w:hAnsi="宋体"/>
          <w:color w:val="auto"/>
          <w:sz w:val="24"/>
        </w:rPr>
      </w:pPr>
    </w:p>
    <w:p w14:paraId="55762DB9">
      <w:pPr>
        <w:pStyle w:val="7"/>
        <w:overflowPunct w:val="0"/>
        <w:ind w:firstLineChars="175"/>
        <w:rPr>
          <w:rFonts w:ascii="宋体" w:hAnsi="宋体"/>
          <w:color w:val="auto"/>
          <w:sz w:val="24"/>
        </w:rPr>
      </w:pPr>
      <w:r>
        <w:rPr>
          <w:rFonts w:hint="eastAsia" w:ascii="宋体" w:hAnsi="宋体"/>
          <w:color w:val="auto"/>
          <w:sz w:val="24"/>
        </w:rPr>
        <w:t>法定代表人或者其委托代理人：</w:t>
      </w:r>
      <w:r>
        <w:rPr>
          <w:rFonts w:ascii="宋体" w:hAnsi="宋体"/>
          <w:color w:val="auto"/>
          <w:sz w:val="24"/>
        </w:rPr>
        <w:tab/>
      </w:r>
      <w:r>
        <w:rPr>
          <w:rFonts w:hint="eastAsia" w:ascii="宋体" w:hAnsi="宋体"/>
          <w:color w:val="auto"/>
          <w:sz w:val="24"/>
        </w:rPr>
        <w:t>（签字）</w:t>
      </w:r>
    </w:p>
    <w:p w14:paraId="74D985B8">
      <w:pPr>
        <w:pStyle w:val="7"/>
        <w:overflowPunct w:val="0"/>
        <w:ind w:firstLineChars="175"/>
        <w:rPr>
          <w:rFonts w:ascii="宋体" w:hAnsi="宋体"/>
          <w:color w:val="auto"/>
          <w:sz w:val="24"/>
        </w:rPr>
      </w:pPr>
    </w:p>
    <w:p w14:paraId="343CD9FE">
      <w:pPr>
        <w:pStyle w:val="7"/>
        <w:overflowPunct w:val="0"/>
        <w:ind w:firstLineChars="175"/>
        <w:rPr>
          <w:rFonts w:ascii="宋体" w:hAnsi="宋体"/>
          <w:color w:val="auto"/>
          <w:sz w:val="24"/>
        </w:rPr>
      </w:pPr>
      <w:r>
        <w:rPr>
          <w:rFonts w:hint="eastAsia" w:ascii="宋体" w:hAnsi="宋体"/>
          <w:color w:val="auto"/>
          <w:sz w:val="24"/>
        </w:rPr>
        <w:t>联合体成员名称（盖公章）：</w:t>
      </w:r>
    </w:p>
    <w:p w14:paraId="1E6E6B1E">
      <w:pPr>
        <w:pStyle w:val="7"/>
        <w:overflowPunct w:val="0"/>
        <w:ind w:firstLineChars="175"/>
        <w:rPr>
          <w:rFonts w:ascii="宋体" w:hAnsi="宋体"/>
          <w:color w:val="auto"/>
          <w:sz w:val="24"/>
        </w:rPr>
      </w:pPr>
    </w:p>
    <w:p w14:paraId="1AA2EE02">
      <w:pPr>
        <w:pStyle w:val="7"/>
        <w:overflowPunct w:val="0"/>
        <w:ind w:firstLineChars="175"/>
        <w:rPr>
          <w:rFonts w:ascii="宋体" w:hAnsi="宋体"/>
          <w:color w:val="auto"/>
          <w:sz w:val="24"/>
        </w:rPr>
      </w:pPr>
      <w:r>
        <w:rPr>
          <w:rFonts w:hint="eastAsia" w:ascii="宋体" w:hAnsi="宋体"/>
          <w:color w:val="auto"/>
          <w:sz w:val="24"/>
        </w:rPr>
        <w:t>法定代表人或者其委托代理人：</w:t>
      </w:r>
      <w:r>
        <w:rPr>
          <w:rFonts w:ascii="宋体" w:hAnsi="宋体"/>
          <w:color w:val="auto"/>
          <w:sz w:val="24"/>
        </w:rPr>
        <w:tab/>
      </w:r>
      <w:r>
        <w:rPr>
          <w:rFonts w:hint="eastAsia" w:ascii="宋体" w:hAnsi="宋体"/>
          <w:color w:val="auto"/>
          <w:sz w:val="24"/>
        </w:rPr>
        <w:t>（签字）</w:t>
      </w:r>
    </w:p>
    <w:p w14:paraId="6A1B9DCF">
      <w:pPr>
        <w:pStyle w:val="7"/>
        <w:overflowPunct w:val="0"/>
        <w:ind w:firstLineChars="175"/>
        <w:rPr>
          <w:rFonts w:ascii="宋体" w:hAnsi="宋体"/>
          <w:color w:val="auto"/>
          <w:sz w:val="24"/>
        </w:rPr>
      </w:pPr>
    </w:p>
    <w:p w14:paraId="055FD819">
      <w:pPr>
        <w:pStyle w:val="7"/>
        <w:overflowPunct w:val="0"/>
        <w:ind w:firstLineChars="175"/>
        <w:rPr>
          <w:rFonts w:ascii="宋体" w:hAnsi="宋体"/>
          <w:color w:val="auto"/>
          <w:sz w:val="24"/>
        </w:rPr>
      </w:pPr>
      <w:r>
        <w:rPr>
          <w:rFonts w:hint="eastAsia" w:ascii="宋体" w:hAnsi="宋体"/>
          <w:color w:val="auto"/>
          <w:sz w:val="24"/>
        </w:rPr>
        <w:t>联合体成员名称（盖公章）：</w:t>
      </w:r>
    </w:p>
    <w:p w14:paraId="6CD11210">
      <w:pPr>
        <w:pStyle w:val="7"/>
        <w:overflowPunct w:val="0"/>
        <w:ind w:firstLineChars="175"/>
        <w:rPr>
          <w:rFonts w:ascii="宋体" w:hAnsi="宋体"/>
          <w:color w:val="auto"/>
          <w:sz w:val="24"/>
        </w:rPr>
      </w:pPr>
    </w:p>
    <w:p w14:paraId="3E02EDA0">
      <w:pPr>
        <w:pStyle w:val="7"/>
        <w:overflowPunct w:val="0"/>
        <w:ind w:firstLineChars="175"/>
        <w:rPr>
          <w:rFonts w:ascii="宋体" w:hAnsi="宋体"/>
          <w:color w:val="auto"/>
          <w:sz w:val="24"/>
        </w:rPr>
      </w:pPr>
      <w:r>
        <w:rPr>
          <w:rFonts w:hint="eastAsia" w:ascii="宋体" w:hAnsi="宋体"/>
          <w:color w:val="auto"/>
          <w:sz w:val="24"/>
        </w:rPr>
        <w:t>法定代表人或者其委托代理人：</w:t>
      </w:r>
      <w:r>
        <w:rPr>
          <w:rFonts w:ascii="宋体" w:hAnsi="宋体"/>
          <w:color w:val="auto"/>
          <w:sz w:val="24"/>
        </w:rPr>
        <w:tab/>
      </w:r>
      <w:r>
        <w:rPr>
          <w:rFonts w:hint="eastAsia" w:ascii="宋体" w:hAnsi="宋体"/>
          <w:color w:val="auto"/>
          <w:sz w:val="24"/>
        </w:rPr>
        <w:t>（签字）</w:t>
      </w:r>
    </w:p>
    <w:p w14:paraId="07FAB5F0">
      <w:pPr>
        <w:pStyle w:val="7"/>
        <w:overflowPunct w:val="0"/>
        <w:ind w:firstLineChars="175"/>
        <w:rPr>
          <w:rFonts w:ascii="宋体" w:hAnsi="宋体"/>
          <w:color w:val="auto"/>
          <w:sz w:val="24"/>
        </w:rPr>
      </w:pPr>
    </w:p>
    <w:p w14:paraId="7493205F">
      <w:pPr>
        <w:pStyle w:val="7"/>
        <w:overflowPunct w:val="0"/>
        <w:ind w:firstLineChars="175"/>
        <w:rPr>
          <w:rFonts w:ascii="宋体" w:hAnsi="宋体"/>
          <w:color w:val="auto"/>
          <w:sz w:val="24"/>
        </w:rPr>
      </w:pPr>
      <w:r>
        <w:rPr>
          <w:rFonts w:ascii="宋体" w:hAnsi="宋体"/>
          <w:color w:val="auto"/>
          <w:sz w:val="24"/>
        </w:rPr>
        <w:t>……</w:t>
      </w:r>
    </w:p>
    <w:p w14:paraId="5EE9390F">
      <w:pPr>
        <w:pStyle w:val="7"/>
        <w:overflowPunct w:val="0"/>
        <w:ind w:firstLineChars="175"/>
        <w:rPr>
          <w:rFonts w:ascii="宋体" w:hAnsi="宋体"/>
          <w:color w:val="auto"/>
          <w:sz w:val="24"/>
        </w:rPr>
      </w:pPr>
    </w:p>
    <w:p w14:paraId="3DA36C91">
      <w:pPr>
        <w:pStyle w:val="7"/>
        <w:overflowPunct w:val="0"/>
        <w:ind w:firstLineChars="175"/>
        <w:rPr>
          <w:rFonts w:ascii="宋体" w:hAnsi="宋体"/>
          <w:color w:val="auto"/>
          <w:sz w:val="24"/>
        </w:rPr>
      </w:pPr>
      <w:r>
        <w:rPr>
          <w:rFonts w:ascii="宋体" w:hAnsi="宋体"/>
          <w:color w:val="auto"/>
          <w:sz w:val="24"/>
        </w:rPr>
        <w:tab/>
      </w:r>
      <w:r>
        <w:rPr>
          <w:rFonts w:hint="eastAsia" w:ascii="宋体" w:hAnsi="宋体"/>
          <w:color w:val="auto"/>
          <w:sz w:val="24"/>
        </w:rPr>
        <w:t>年</w:t>
      </w:r>
      <w:r>
        <w:rPr>
          <w:rFonts w:ascii="宋体" w:hAnsi="宋体"/>
          <w:color w:val="auto"/>
          <w:sz w:val="24"/>
        </w:rPr>
        <w:tab/>
      </w:r>
      <w:r>
        <w:rPr>
          <w:rFonts w:hint="eastAsia" w:ascii="宋体" w:hAnsi="宋体"/>
          <w:color w:val="auto"/>
          <w:sz w:val="24"/>
        </w:rPr>
        <w:t>月</w:t>
      </w:r>
      <w:r>
        <w:rPr>
          <w:rFonts w:ascii="宋体" w:hAnsi="宋体"/>
          <w:color w:val="auto"/>
          <w:sz w:val="24"/>
        </w:rPr>
        <w:tab/>
      </w:r>
      <w:r>
        <w:rPr>
          <w:rFonts w:hint="eastAsia" w:ascii="宋体" w:hAnsi="宋体"/>
          <w:color w:val="auto"/>
          <w:sz w:val="24"/>
        </w:rPr>
        <w:t>日</w:t>
      </w:r>
    </w:p>
    <w:p w14:paraId="4FB015E9">
      <w:pPr>
        <w:snapToGrid w:val="0"/>
        <w:spacing w:beforeLines="50" w:after="50"/>
        <w:jc w:val="left"/>
        <w:rPr>
          <w:rFonts w:ascii="宋体" w:hAnsi="宋体"/>
          <w:b/>
          <w:color w:val="auto"/>
          <w:sz w:val="24"/>
        </w:rPr>
      </w:pPr>
    </w:p>
    <w:p w14:paraId="278ACA42">
      <w:pPr>
        <w:snapToGrid w:val="0"/>
        <w:spacing w:beforeLines="50" w:after="50"/>
        <w:jc w:val="left"/>
        <w:rPr>
          <w:rFonts w:ascii="宋体" w:hAnsi="宋体"/>
          <w:b/>
          <w:color w:val="auto"/>
          <w:sz w:val="24"/>
        </w:rPr>
      </w:pPr>
    </w:p>
    <w:p w14:paraId="1624EABF">
      <w:pPr>
        <w:snapToGrid w:val="0"/>
        <w:spacing w:beforeLines="50" w:after="50"/>
        <w:jc w:val="left"/>
        <w:rPr>
          <w:color w:val="auto"/>
        </w:rPr>
      </w:pPr>
      <w:r>
        <w:rPr>
          <w:rFonts w:hint="eastAsia" w:ascii="宋体" w:hAnsi="宋体"/>
          <w:b/>
          <w:color w:val="auto"/>
          <w:sz w:val="24"/>
        </w:rPr>
        <w:t xml:space="preserve"> 中小企业声明函格式</w:t>
      </w:r>
    </w:p>
    <w:p w14:paraId="4136E188">
      <w:pPr>
        <w:rPr>
          <w:color w:val="auto"/>
        </w:rPr>
      </w:pPr>
    </w:p>
    <w:p w14:paraId="4E15B3A4">
      <w:pPr>
        <w:spacing w:line="588" w:lineRule="exact"/>
        <w:jc w:val="center"/>
        <w:rPr>
          <w:rFonts w:ascii="宋体" w:hAnsi="宋体"/>
          <w:b/>
          <w:color w:val="auto"/>
          <w:spacing w:val="6"/>
          <w:sz w:val="32"/>
          <w:szCs w:val="32"/>
        </w:rPr>
      </w:pPr>
      <w:r>
        <w:rPr>
          <w:rFonts w:hint="eastAsia" w:ascii="宋体" w:hAnsi="宋体"/>
          <w:b/>
          <w:color w:val="auto"/>
          <w:spacing w:val="6"/>
          <w:sz w:val="32"/>
          <w:szCs w:val="32"/>
        </w:rPr>
        <w:t>中小企业声明函</w:t>
      </w:r>
    </w:p>
    <w:p w14:paraId="7522C96F">
      <w:pPr>
        <w:spacing w:line="588" w:lineRule="exact"/>
        <w:rPr>
          <w:rFonts w:ascii="仿宋_GB2312" w:eastAsia="仿宋_GB2312"/>
          <w:b/>
          <w:color w:val="auto"/>
          <w:spacing w:val="6"/>
          <w:sz w:val="32"/>
          <w:szCs w:val="32"/>
        </w:rPr>
      </w:pPr>
    </w:p>
    <w:p w14:paraId="402F7D5B">
      <w:pPr>
        <w:pStyle w:val="12"/>
        <w:spacing w:line="360" w:lineRule="auto"/>
        <w:ind w:left="-426" w:leftChars="-203" w:right="142" w:firstLine="480" w:firstLineChars="200"/>
        <w:contextualSpacing/>
        <w:rPr>
          <w:rFonts w:ascii="宋体" w:hAnsi="宋体"/>
          <w:color w:val="auto"/>
          <w:kern w:val="24"/>
        </w:rPr>
      </w:pPr>
      <w:r>
        <w:rPr>
          <w:rFonts w:ascii="宋体" w:hAnsi="宋体"/>
          <w:color w:val="auto"/>
          <w:kern w:val="24"/>
        </w:rPr>
        <w:t>本公司（联合体）郑重声明，根据《政府采购促进中小企业发展管理办法》（财库﹝2020﹞46号）的规定，本公司（联合体）参加</w:t>
      </w:r>
      <w:r>
        <w:rPr>
          <w:rFonts w:ascii="宋体" w:hAnsi="宋体"/>
          <w:color w:val="auto"/>
          <w:kern w:val="24"/>
          <w:u w:val="single"/>
        </w:rPr>
        <w:t>（单位名称）</w:t>
      </w:r>
      <w:r>
        <w:rPr>
          <w:rFonts w:ascii="宋体" w:hAnsi="宋体"/>
          <w:color w:val="auto"/>
          <w:kern w:val="24"/>
        </w:rPr>
        <w:t>的</w:t>
      </w:r>
      <w:r>
        <w:rPr>
          <w:rFonts w:ascii="宋体" w:hAnsi="宋体"/>
          <w:color w:val="auto"/>
          <w:kern w:val="24"/>
          <w:u w:val="single"/>
        </w:rPr>
        <w:t>（项目名称）</w:t>
      </w:r>
      <w:r>
        <w:rPr>
          <w:rFonts w:ascii="宋体" w:hAnsi="宋体"/>
          <w:color w:val="auto"/>
          <w:kern w:val="24"/>
        </w:rPr>
        <w:t>采购活动，提供的货物全部由符合政策要求的中小企业制造。相关企业（含联合体中的中小企业、签订分包意向协议的中小企业）的具体情况如下：</w:t>
      </w:r>
    </w:p>
    <w:p w14:paraId="502E87CD">
      <w:pPr>
        <w:tabs>
          <w:tab w:val="left" w:pos="1384"/>
          <w:tab w:val="left" w:pos="4562"/>
          <w:tab w:val="left" w:pos="6803"/>
        </w:tabs>
        <w:spacing w:line="360" w:lineRule="auto"/>
        <w:ind w:left="-426" w:right="-58" w:firstLine="655"/>
        <w:contextualSpacing/>
        <w:rPr>
          <w:rFonts w:ascii="宋体" w:hAnsi="宋体"/>
          <w:color w:val="auto"/>
          <w:kern w:val="24"/>
          <w:sz w:val="24"/>
        </w:rPr>
      </w:pPr>
      <w:r>
        <w:rPr>
          <w:rFonts w:ascii="宋体" w:hAnsi="宋体"/>
          <w:color w:val="auto"/>
          <w:kern w:val="24"/>
          <w:sz w:val="24"/>
        </w:rPr>
        <w:t>1.</w:t>
      </w:r>
      <w:r>
        <w:rPr>
          <w:rFonts w:ascii="宋体" w:hAnsi="宋体"/>
          <w:color w:val="auto"/>
          <w:kern w:val="24"/>
          <w:sz w:val="24"/>
          <w:u w:val="single"/>
        </w:rPr>
        <w:t>（标的名称）</w:t>
      </w:r>
      <w:r>
        <w:rPr>
          <w:rFonts w:ascii="宋体" w:hAnsi="宋体"/>
          <w:color w:val="auto"/>
          <w:kern w:val="24"/>
          <w:sz w:val="24"/>
        </w:rPr>
        <w:t>，属于</w:t>
      </w:r>
      <w:r>
        <w:rPr>
          <w:rFonts w:ascii="宋体" w:hAnsi="宋体"/>
          <w:color w:val="auto"/>
          <w:kern w:val="24"/>
          <w:sz w:val="24"/>
          <w:u w:val="single"/>
        </w:rPr>
        <w:t>（采购文件中明确的所属行业）</w:t>
      </w:r>
      <w:r>
        <w:rPr>
          <w:rFonts w:ascii="宋体" w:hAnsi="宋体"/>
          <w:color w:val="auto"/>
          <w:kern w:val="24"/>
          <w:sz w:val="24"/>
        </w:rPr>
        <w:t>行业；制造商为</w:t>
      </w:r>
      <w:r>
        <w:rPr>
          <w:rFonts w:ascii="宋体" w:hAnsi="宋体"/>
          <w:color w:val="auto"/>
          <w:kern w:val="24"/>
          <w:sz w:val="24"/>
          <w:u w:val="single"/>
        </w:rPr>
        <w:t>（企业名称）</w:t>
      </w:r>
      <w:r>
        <w:rPr>
          <w:rFonts w:ascii="宋体" w:hAnsi="宋体"/>
          <w:color w:val="auto"/>
          <w:kern w:val="24"/>
          <w:sz w:val="24"/>
        </w:rPr>
        <w:t>，从业人员</w:t>
      </w:r>
      <w:r>
        <w:rPr>
          <w:rFonts w:hint="eastAsia" w:ascii="宋体" w:hAnsi="宋体"/>
          <w:color w:val="auto"/>
          <w:kern w:val="24"/>
          <w:sz w:val="24"/>
          <w:lang w:val="en-US" w:eastAsia="zh-CN"/>
        </w:rPr>
        <w:t xml:space="preserve">  </w:t>
      </w:r>
      <w:r>
        <w:rPr>
          <w:rFonts w:ascii="宋体" w:hAnsi="宋体"/>
          <w:color w:val="auto"/>
          <w:kern w:val="24"/>
          <w:sz w:val="24"/>
        </w:rPr>
        <w:t>人，营业收入为</w:t>
      </w:r>
      <w:r>
        <w:rPr>
          <w:rFonts w:hint="eastAsia" w:ascii="宋体" w:hAnsi="宋体"/>
          <w:color w:val="auto"/>
          <w:kern w:val="24"/>
          <w:sz w:val="24"/>
          <w:lang w:val="en-US" w:eastAsia="zh-CN"/>
        </w:rPr>
        <w:t xml:space="preserve">  </w:t>
      </w:r>
      <w:r>
        <w:rPr>
          <w:rFonts w:ascii="宋体" w:hAnsi="宋体"/>
          <w:color w:val="auto"/>
          <w:kern w:val="24"/>
          <w:sz w:val="24"/>
        </w:rPr>
        <w:t>万元，资产总额为</w:t>
      </w:r>
      <w:r>
        <w:rPr>
          <w:rFonts w:hint="eastAsia" w:ascii="宋体" w:hAnsi="宋体"/>
          <w:color w:val="auto"/>
          <w:kern w:val="24"/>
          <w:sz w:val="24"/>
          <w:lang w:val="en-US" w:eastAsia="zh-CN"/>
        </w:rPr>
        <w:t xml:space="preserve">  </w:t>
      </w:r>
      <w:r>
        <w:rPr>
          <w:rFonts w:ascii="宋体" w:hAnsi="宋体"/>
          <w:color w:val="auto"/>
          <w:kern w:val="24"/>
          <w:sz w:val="24"/>
        </w:rPr>
        <w:t>万元，属于</w:t>
      </w:r>
      <w:r>
        <w:rPr>
          <w:rFonts w:ascii="宋体" w:hAnsi="宋体"/>
          <w:color w:val="auto"/>
          <w:kern w:val="24"/>
          <w:sz w:val="24"/>
          <w:u w:val="single"/>
        </w:rPr>
        <w:t>（中型企业、小型企业、微型企业）</w:t>
      </w:r>
      <w:r>
        <w:rPr>
          <w:rFonts w:ascii="宋体" w:hAnsi="宋体"/>
          <w:color w:val="auto"/>
          <w:kern w:val="24"/>
          <w:sz w:val="24"/>
        </w:rPr>
        <w:t>；</w:t>
      </w:r>
    </w:p>
    <w:p w14:paraId="52AFE136">
      <w:pPr>
        <w:tabs>
          <w:tab w:val="left" w:pos="1065"/>
          <w:tab w:val="left" w:pos="6477"/>
        </w:tabs>
        <w:spacing w:line="360" w:lineRule="auto"/>
        <w:ind w:left="-426" w:right="-58" w:firstLine="655"/>
        <w:contextualSpacing/>
        <w:rPr>
          <w:rFonts w:ascii="宋体" w:hAnsi="宋体"/>
          <w:color w:val="auto"/>
          <w:kern w:val="24"/>
          <w:sz w:val="24"/>
        </w:rPr>
      </w:pPr>
      <w:r>
        <w:rPr>
          <w:rFonts w:ascii="宋体" w:hAnsi="宋体"/>
          <w:color w:val="auto"/>
          <w:kern w:val="24"/>
          <w:sz w:val="24"/>
        </w:rPr>
        <w:t>2.</w:t>
      </w:r>
      <w:r>
        <w:rPr>
          <w:rFonts w:ascii="宋体" w:hAnsi="宋体"/>
          <w:color w:val="auto"/>
          <w:kern w:val="24"/>
          <w:sz w:val="24"/>
          <w:u w:val="single"/>
        </w:rPr>
        <w:t>（标的名称）</w:t>
      </w:r>
      <w:r>
        <w:rPr>
          <w:rFonts w:ascii="宋体" w:hAnsi="宋体"/>
          <w:color w:val="auto"/>
          <w:kern w:val="24"/>
          <w:sz w:val="24"/>
        </w:rPr>
        <w:t>，属于</w:t>
      </w:r>
      <w:r>
        <w:rPr>
          <w:rFonts w:ascii="宋体" w:hAnsi="宋体"/>
          <w:color w:val="auto"/>
          <w:kern w:val="24"/>
          <w:sz w:val="24"/>
          <w:u w:val="single"/>
        </w:rPr>
        <w:t>（采购文件中明确的所属行业）</w:t>
      </w:r>
      <w:r>
        <w:rPr>
          <w:rFonts w:ascii="宋体" w:hAnsi="宋体"/>
          <w:color w:val="auto"/>
          <w:kern w:val="24"/>
          <w:sz w:val="24"/>
        </w:rPr>
        <w:t>行业；制造商为</w:t>
      </w:r>
      <w:r>
        <w:rPr>
          <w:rFonts w:ascii="宋体" w:hAnsi="宋体"/>
          <w:color w:val="auto"/>
          <w:kern w:val="24"/>
          <w:sz w:val="24"/>
          <w:u w:val="single"/>
        </w:rPr>
        <w:t>（企业名称）</w:t>
      </w:r>
      <w:r>
        <w:rPr>
          <w:rFonts w:ascii="宋体" w:hAnsi="宋体"/>
          <w:color w:val="auto"/>
          <w:kern w:val="24"/>
          <w:sz w:val="24"/>
        </w:rPr>
        <w:t>，从业人员</w:t>
      </w:r>
      <w:r>
        <w:rPr>
          <w:rFonts w:hint="eastAsia" w:ascii="宋体" w:hAnsi="宋体"/>
          <w:color w:val="auto"/>
          <w:kern w:val="24"/>
          <w:sz w:val="24"/>
          <w:lang w:val="en-US" w:eastAsia="zh-CN"/>
        </w:rPr>
        <w:t xml:space="preserve">  </w:t>
      </w:r>
      <w:r>
        <w:rPr>
          <w:rFonts w:ascii="宋体" w:hAnsi="宋体"/>
          <w:color w:val="auto"/>
          <w:kern w:val="24"/>
          <w:sz w:val="24"/>
        </w:rPr>
        <w:t>人，营业收入为</w:t>
      </w:r>
      <w:r>
        <w:rPr>
          <w:rFonts w:hint="eastAsia" w:ascii="宋体" w:hAnsi="宋体"/>
          <w:color w:val="auto"/>
          <w:kern w:val="24"/>
          <w:sz w:val="24"/>
          <w:lang w:val="en-US" w:eastAsia="zh-CN"/>
        </w:rPr>
        <w:t xml:space="preserve">  </w:t>
      </w:r>
      <w:r>
        <w:rPr>
          <w:rFonts w:ascii="宋体" w:hAnsi="宋体"/>
          <w:color w:val="auto"/>
          <w:kern w:val="24"/>
          <w:sz w:val="24"/>
        </w:rPr>
        <w:t>万元，资产总额为</w:t>
      </w:r>
      <w:r>
        <w:rPr>
          <w:rFonts w:hint="eastAsia" w:ascii="宋体" w:hAnsi="宋体"/>
          <w:color w:val="auto"/>
          <w:kern w:val="24"/>
          <w:sz w:val="24"/>
          <w:lang w:val="en-US" w:eastAsia="zh-CN"/>
        </w:rPr>
        <w:t xml:space="preserve">  </w:t>
      </w:r>
      <w:r>
        <w:rPr>
          <w:rFonts w:ascii="宋体" w:hAnsi="宋体"/>
          <w:color w:val="auto"/>
          <w:kern w:val="24"/>
          <w:sz w:val="24"/>
        </w:rPr>
        <w:t>万元，属于</w:t>
      </w:r>
      <w:r>
        <w:rPr>
          <w:rFonts w:ascii="宋体" w:hAnsi="宋体"/>
          <w:color w:val="auto"/>
          <w:kern w:val="24"/>
          <w:sz w:val="24"/>
          <w:u w:val="single"/>
        </w:rPr>
        <w:t>（中型企业、小型企业、微型企业）</w:t>
      </w:r>
      <w:r>
        <w:rPr>
          <w:rFonts w:ascii="宋体" w:hAnsi="宋体"/>
          <w:color w:val="auto"/>
          <w:kern w:val="24"/>
          <w:sz w:val="24"/>
        </w:rPr>
        <w:t>；</w:t>
      </w:r>
    </w:p>
    <w:p w14:paraId="576C1852">
      <w:pPr>
        <w:pStyle w:val="12"/>
        <w:spacing w:line="360" w:lineRule="auto"/>
        <w:ind w:left="142" w:right="142"/>
        <w:contextualSpacing/>
        <w:rPr>
          <w:rFonts w:ascii="宋体" w:hAnsi="宋体"/>
          <w:color w:val="auto"/>
          <w:kern w:val="24"/>
        </w:rPr>
      </w:pPr>
      <w:r>
        <w:rPr>
          <w:rFonts w:ascii="宋体" w:hAnsi="宋体"/>
          <w:color w:val="auto"/>
          <w:kern w:val="24"/>
        </w:rPr>
        <w:t xml:space="preserve">…… </w:t>
      </w:r>
    </w:p>
    <w:p w14:paraId="654C8B12">
      <w:pPr>
        <w:pStyle w:val="12"/>
        <w:spacing w:line="360" w:lineRule="auto"/>
        <w:ind w:left="-405" w:leftChars="-193" w:right="142" w:firstLine="453" w:firstLineChars="189"/>
        <w:contextualSpacing/>
        <w:rPr>
          <w:rFonts w:ascii="宋体" w:hAnsi="宋体"/>
          <w:color w:val="auto"/>
          <w:kern w:val="24"/>
        </w:rPr>
      </w:pPr>
      <w:r>
        <w:rPr>
          <w:rFonts w:ascii="宋体" w:hAnsi="宋体"/>
          <w:color w:val="auto"/>
          <w:kern w:val="24"/>
        </w:rPr>
        <w:t>以上企业，不属于大企业的分支机构，不存在控股股东为大企业的情形，也不存在与大企业的负责人为同一人的情形。</w:t>
      </w:r>
    </w:p>
    <w:p w14:paraId="6DEC598A">
      <w:pPr>
        <w:spacing w:line="588" w:lineRule="exact"/>
        <w:rPr>
          <w:rFonts w:ascii="宋体" w:hAnsi="宋体"/>
          <w:color w:val="auto"/>
          <w:kern w:val="24"/>
          <w:sz w:val="24"/>
        </w:rPr>
      </w:pPr>
      <w:r>
        <w:rPr>
          <w:rFonts w:ascii="宋体" w:hAnsi="宋体"/>
          <w:color w:val="auto"/>
          <w:kern w:val="24"/>
          <w:sz w:val="24"/>
        </w:rPr>
        <w:t>本企业对上述声明内容的真实性负责。如有虚假，将依法承担相应责任。</w:t>
      </w:r>
    </w:p>
    <w:p w14:paraId="51BC153A">
      <w:pPr>
        <w:spacing w:line="588" w:lineRule="exact"/>
        <w:ind w:firstLine="504" w:firstLineChars="200"/>
        <w:rPr>
          <w:rFonts w:ascii="宋体" w:hAnsi="宋体"/>
          <w:color w:val="auto"/>
          <w:spacing w:val="6"/>
          <w:sz w:val="24"/>
        </w:rPr>
      </w:pPr>
    </w:p>
    <w:p w14:paraId="369DB489">
      <w:pPr>
        <w:spacing w:line="588" w:lineRule="exact"/>
        <w:ind w:firstLine="504" w:firstLineChars="200"/>
        <w:rPr>
          <w:rFonts w:ascii="宋体" w:hAnsi="宋体"/>
          <w:color w:val="auto"/>
          <w:spacing w:val="6"/>
          <w:sz w:val="24"/>
        </w:rPr>
      </w:pPr>
    </w:p>
    <w:p w14:paraId="779BDC60">
      <w:pPr>
        <w:snapToGrid w:val="0"/>
        <w:spacing w:before="50" w:after="50" w:line="480" w:lineRule="auto"/>
        <w:ind w:left="-6" w:leftChars="-15" w:right="-817" w:rightChars="-389" w:hanging="25" w:hangingChars="12"/>
        <w:jc w:val="left"/>
        <w:rPr>
          <w:rFonts w:ascii="宋体" w:hAnsi="宋体"/>
          <w:b/>
          <w:bCs/>
          <w:color w:val="auto"/>
          <w:szCs w:val="21"/>
        </w:rPr>
      </w:pPr>
      <w:r>
        <w:rPr>
          <w:rFonts w:hint="eastAsia" w:ascii="宋体" w:hAnsi="宋体"/>
          <w:b/>
          <w:bCs/>
          <w:color w:val="auto"/>
          <w:szCs w:val="21"/>
        </w:rPr>
        <w:t>投标人(公章或电子签章)：</w:t>
      </w:r>
    </w:p>
    <w:p w14:paraId="6A84C04F">
      <w:pPr>
        <w:snapToGrid w:val="0"/>
        <w:spacing w:before="50" w:after="50" w:line="480" w:lineRule="auto"/>
        <w:ind w:left="-6" w:leftChars="-15" w:right="-817" w:rightChars="-389" w:hanging="25" w:hangingChars="12"/>
        <w:jc w:val="left"/>
        <w:rPr>
          <w:rFonts w:ascii="宋体" w:hAnsi="宋体"/>
          <w:color w:val="auto"/>
          <w:sz w:val="20"/>
          <w:szCs w:val="22"/>
        </w:rPr>
      </w:pPr>
      <w:r>
        <w:rPr>
          <w:rFonts w:hint="eastAsia" w:ascii="宋体" w:hAnsi="宋体"/>
          <w:b/>
          <w:bCs/>
          <w:color w:val="auto"/>
          <w:szCs w:val="21"/>
        </w:rPr>
        <w:t>日期：    年   月   日</w:t>
      </w:r>
    </w:p>
    <w:p w14:paraId="2B1B93A7">
      <w:pPr>
        <w:snapToGrid w:val="0"/>
        <w:spacing w:beforeLines="50" w:line="480" w:lineRule="auto"/>
        <w:rPr>
          <w:rFonts w:ascii="宋体" w:hAnsi="宋体"/>
          <w:color w:val="auto"/>
          <w:szCs w:val="16"/>
        </w:rPr>
      </w:pPr>
    </w:p>
    <w:p w14:paraId="710840D9">
      <w:pPr>
        <w:rPr>
          <w:rFonts w:ascii="宋体" w:hAnsi="宋体"/>
          <w:color w:val="auto"/>
          <w:sz w:val="24"/>
        </w:rPr>
      </w:pPr>
    </w:p>
    <w:p w14:paraId="69121C5F">
      <w:pPr>
        <w:rPr>
          <w:rFonts w:ascii="宋体" w:hAnsi="宋体"/>
          <w:color w:val="auto"/>
          <w:sz w:val="24"/>
        </w:rPr>
      </w:pPr>
    </w:p>
    <w:p w14:paraId="4869C90B">
      <w:pPr>
        <w:rPr>
          <w:color w:val="auto"/>
        </w:rPr>
      </w:pPr>
      <w:r>
        <w:rPr>
          <w:rFonts w:hint="eastAsia" w:ascii="宋体" w:hAnsi="宋体"/>
          <w:color w:val="auto"/>
          <w:sz w:val="24"/>
        </w:rPr>
        <w:t>注：享受《政府采购促进中小企业发展管理办法》（财库〔2020〕46号）规定的中小企业扶持政策的，采购人、采购代理机构应当随中标结果公开中标供应商的《中小企业声明函》。从业人员、营业收入、资产总额填报上一年度数据，无上一年度数据的新成立企业可不填报。</w:t>
      </w:r>
      <w:r>
        <w:rPr>
          <w:color w:val="auto"/>
        </w:rPr>
        <w:br w:type="page"/>
      </w:r>
    </w:p>
    <w:p w14:paraId="5A659370">
      <w:pPr>
        <w:snapToGrid w:val="0"/>
        <w:spacing w:beforeLines="50" w:after="50"/>
        <w:ind w:left="142"/>
        <w:jc w:val="left"/>
        <w:rPr>
          <w:rFonts w:ascii="宋体" w:hAnsi="宋体"/>
          <w:b/>
          <w:color w:val="auto"/>
          <w:sz w:val="24"/>
        </w:rPr>
      </w:pPr>
      <w:r>
        <w:rPr>
          <w:rFonts w:hint="eastAsia" w:ascii="宋体" w:hAnsi="宋体"/>
          <w:b/>
          <w:color w:val="auto"/>
          <w:sz w:val="24"/>
        </w:rPr>
        <w:t>残疾人福利性单位声明函格式</w:t>
      </w:r>
    </w:p>
    <w:p w14:paraId="18E6814C">
      <w:pPr>
        <w:spacing w:line="588" w:lineRule="exact"/>
        <w:jc w:val="center"/>
        <w:rPr>
          <w:rFonts w:ascii="仿宋_GB2312" w:eastAsia="仿宋_GB2312"/>
          <w:b/>
          <w:color w:val="auto"/>
          <w:spacing w:val="6"/>
          <w:sz w:val="32"/>
          <w:szCs w:val="32"/>
        </w:rPr>
      </w:pPr>
      <w:bookmarkStart w:id="170" w:name="OLE_LINK14"/>
      <w:bookmarkStart w:id="171" w:name="OLE_LINK13"/>
    </w:p>
    <w:p w14:paraId="578365ED">
      <w:pPr>
        <w:spacing w:line="588" w:lineRule="exact"/>
        <w:jc w:val="center"/>
        <w:rPr>
          <w:rFonts w:ascii="宋体" w:hAnsi="宋体"/>
          <w:b/>
          <w:color w:val="auto"/>
          <w:spacing w:val="6"/>
          <w:sz w:val="32"/>
          <w:szCs w:val="32"/>
        </w:rPr>
      </w:pPr>
      <w:r>
        <w:rPr>
          <w:rFonts w:hint="eastAsia" w:ascii="宋体" w:hAnsi="宋体"/>
          <w:b/>
          <w:color w:val="auto"/>
          <w:spacing w:val="6"/>
          <w:sz w:val="32"/>
          <w:szCs w:val="32"/>
        </w:rPr>
        <w:t>残疾人福利性单位声明函</w:t>
      </w:r>
    </w:p>
    <w:bookmarkEnd w:id="170"/>
    <w:bookmarkEnd w:id="171"/>
    <w:p w14:paraId="63B564C2">
      <w:pPr>
        <w:spacing w:line="588" w:lineRule="exact"/>
        <w:rPr>
          <w:rFonts w:ascii="仿宋_GB2312" w:eastAsia="仿宋_GB2312"/>
          <w:b/>
          <w:color w:val="auto"/>
          <w:spacing w:val="6"/>
          <w:sz w:val="30"/>
          <w:szCs w:val="30"/>
        </w:rPr>
      </w:pPr>
    </w:p>
    <w:p w14:paraId="3BB9B7ED">
      <w:pPr>
        <w:spacing w:line="588" w:lineRule="exact"/>
        <w:ind w:firstLine="504" w:firstLineChars="200"/>
        <w:rPr>
          <w:rFonts w:ascii="宋体" w:hAnsi="宋体"/>
          <w:color w:val="auto"/>
          <w:spacing w:val="6"/>
          <w:sz w:val="24"/>
        </w:rPr>
      </w:pPr>
      <w:r>
        <w:rPr>
          <w:rFonts w:hint="eastAsia" w:ascii="宋体" w:hAnsi="宋体"/>
          <w:color w:val="auto"/>
          <w:spacing w:val="6"/>
          <w:sz w:val="24"/>
        </w:rPr>
        <w:t>本单位郑重声明，根据《财政部 民政部 中国残疾人联合会关于促进残疾人就业政府采购政策的通知》（财库</w:t>
      </w:r>
      <w:r>
        <w:rPr>
          <w:rFonts w:hint="eastAsia" w:ascii="宋体" w:hAnsi="宋体"/>
          <w:color w:val="auto"/>
          <w:sz w:val="24"/>
        </w:rPr>
        <w:t>〔2017〕 141</w:t>
      </w:r>
      <w:r>
        <w:rPr>
          <w:rFonts w:hint="eastAsia" w:ascii="宋体" w:hAnsi="宋体"/>
          <w:color w:val="auto"/>
          <w:spacing w:val="6"/>
          <w:sz w:val="24"/>
        </w:rPr>
        <w:t>号）的规定，本单位为符合条件的残疾人福利性单位，且本单位参加______单位的______项目采购活动提供本单位制造的货物（由本单位承担工程/提供服务），或者提供其他残</w:t>
      </w:r>
      <w:r>
        <w:rPr>
          <w:rFonts w:hint="eastAsia" w:ascii="宋体" w:hAnsi="宋体"/>
          <w:color w:val="auto"/>
          <w:spacing w:val="-6"/>
          <w:sz w:val="24"/>
        </w:rPr>
        <w:t>疾人福利性单位制造的货物（不包括使用非残疾人福利性单位注册商标的货物）。</w:t>
      </w:r>
    </w:p>
    <w:p w14:paraId="4BE0BBA5">
      <w:pPr>
        <w:spacing w:line="588" w:lineRule="exact"/>
        <w:ind w:firstLine="504" w:firstLineChars="200"/>
        <w:rPr>
          <w:rFonts w:ascii="宋体" w:hAnsi="宋体"/>
          <w:color w:val="auto"/>
          <w:spacing w:val="6"/>
          <w:sz w:val="24"/>
        </w:rPr>
      </w:pPr>
      <w:r>
        <w:rPr>
          <w:rFonts w:hint="eastAsia" w:ascii="宋体" w:hAnsi="宋体"/>
          <w:color w:val="auto"/>
          <w:spacing w:val="6"/>
          <w:sz w:val="24"/>
        </w:rPr>
        <w:t>本单位对上述声明的真实性负责。如有虚假，将依法承担相应责任。</w:t>
      </w:r>
    </w:p>
    <w:p w14:paraId="761B2918">
      <w:pPr>
        <w:spacing w:line="588" w:lineRule="exact"/>
        <w:ind w:firstLine="504" w:firstLineChars="200"/>
        <w:rPr>
          <w:rFonts w:ascii="宋体" w:hAnsi="宋体"/>
          <w:color w:val="auto"/>
          <w:spacing w:val="6"/>
          <w:sz w:val="24"/>
        </w:rPr>
      </w:pPr>
    </w:p>
    <w:p w14:paraId="7E383EE7">
      <w:pPr>
        <w:spacing w:line="588" w:lineRule="exact"/>
        <w:ind w:firstLine="504" w:firstLineChars="200"/>
        <w:rPr>
          <w:rFonts w:ascii="宋体" w:hAnsi="宋体"/>
          <w:color w:val="auto"/>
          <w:spacing w:val="6"/>
          <w:sz w:val="24"/>
        </w:rPr>
      </w:pPr>
    </w:p>
    <w:p w14:paraId="1FB79B7D">
      <w:pPr>
        <w:snapToGrid w:val="0"/>
        <w:spacing w:before="50" w:after="50" w:line="480" w:lineRule="auto"/>
        <w:ind w:left="-6" w:leftChars="-15" w:right="-817" w:rightChars="-389" w:hanging="25" w:hangingChars="12"/>
        <w:jc w:val="left"/>
        <w:rPr>
          <w:rFonts w:ascii="宋体" w:hAnsi="宋体"/>
          <w:b/>
          <w:bCs/>
          <w:color w:val="auto"/>
          <w:szCs w:val="21"/>
        </w:rPr>
      </w:pPr>
      <w:r>
        <w:rPr>
          <w:rFonts w:hint="eastAsia" w:ascii="宋体" w:hAnsi="宋体"/>
          <w:b/>
          <w:bCs/>
          <w:color w:val="auto"/>
          <w:szCs w:val="21"/>
        </w:rPr>
        <w:t>投标人(公章或电子签章)：</w:t>
      </w:r>
    </w:p>
    <w:p w14:paraId="46296A18">
      <w:pPr>
        <w:snapToGrid w:val="0"/>
        <w:spacing w:before="50" w:after="50" w:line="480" w:lineRule="auto"/>
        <w:ind w:left="-6" w:leftChars="-15" w:right="-817" w:rightChars="-389" w:hanging="25" w:hangingChars="12"/>
        <w:jc w:val="left"/>
        <w:rPr>
          <w:rFonts w:ascii="宋体" w:hAnsi="宋体"/>
          <w:color w:val="auto"/>
          <w:sz w:val="20"/>
          <w:szCs w:val="22"/>
        </w:rPr>
      </w:pPr>
      <w:r>
        <w:rPr>
          <w:rFonts w:hint="eastAsia" w:ascii="宋体" w:hAnsi="宋体"/>
          <w:b/>
          <w:bCs/>
          <w:color w:val="auto"/>
          <w:szCs w:val="21"/>
        </w:rPr>
        <w:t>日期：    年   月   日</w:t>
      </w:r>
    </w:p>
    <w:p w14:paraId="7E78D172">
      <w:pPr>
        <w:snapToGrid w:val="0"/>
        <w:spacing w:beforeLines="50" w:line="480" w:lineRule="auto"/>
        <w:rPr>
          <w:rFonts w:ascii="宋体" w:hAnsi="宋体"/>
          <w:color w:val="auto"/>
          <w:szCs w:val="16"/>
        </w:rPr>
      </w:pPr>
    </w:p>
    <w:p w14:paraId="7C2FFA4B">
      <w:pPr>
        <w:rPr>
          <w:rFonts w:ascii="宋体" w:hAnsi="宋体"/>
          <w:color w:val="auto"/>
          <w:sz w:val="24"/>
        </w:rPr>
      </w:pPr>
    </w:p>
    <w:p w14:paraId="792D9091">
      <w:pPr>
        <w:rPr>
          <w:rFonts w:ascii="宋体" w:hAnsi="宋体"/>
          <w:color w:val="auto"/>
          <w:sz w:val="24"/>
        </w:rPr>
      </w:pPr>
    </w:p>
    <w:p w14:paraId="30191B34">
      <w:pPr>
        <w:rPr>
          <w:rFonts w:ascii="宋体" w:hAnsi="宋体"/>
          <w:color w:val="auto"/>
          <w:sz w:val="24"/>
        </w:rPr>
      </w:pPr>
    </w:p>
    <w:p w14:paraId="667D20E3">
      <w:pPr>
        <w:rPr>
          <w:rFonts w:ascii="宋体" w:hAnsi="宋体"/>
          <w:color w:val="auto"/>
          <w:sz w:val="24"/>
        </w:rPr>
      </w:pPr>
      <w:r>
        <w:rPr>
          <w:rFonts w:hint="eastAsia" w:ascii="宋体" w:hAnsi="宋体"/>
          <w:color w:val="auto"/>
          <w:sz w:val="24"/>
        </w:rPr>
        <w:t>注：请根据自己的真实情况出具《残疾人福利性单位声明函》。依法享受中小企业优惠政策的，采购人或者采购代理机构在公告中标结果时，同时公告其《残疾人福利性单位声明函》，接受社会监督。</w:t>
      </w:r>
    </w:p>
    <w:p w14:paraId="3C99852C">
      <w:pPr>
        <w:spacing w:line="240" w:lineRule="auto"/>
        <w:jc w:val="left"/>
        <w:rPr>
          <w:rFonts w:ascii="宋体" w:hAnsi="宋体"/>
          <w:color w:val="auto"/>
          <w:sz w:val="24"/>
        </w:rPr>
      </w:pPr>
      <w:r>
        <w:rPr>
          <w:rFonts w:ascii="宋体" w:hAnsi="宋体"/>
          <w:color w:val="auto"/>
          <w:sz w:val="24"/>
        </w:rPr>
        <w:br w:type="page"/>
      </w:r>
    </w:p>
    <w:p w14:paraId="585EB747">
      <w:pPr>
        <w:spacing w:line="360" w:lineRule="auto"/>
        <w:jc w:val="left"/>
        <w:rPr>
          <w:rFonts w:hint="eastAsia" w:ascii="宋体" w:hAnsi="宋体"/>
          <w:b/>
          <w:color w:val="auto"/>
          <w:sz w:val="24"/>
        </w:rPr>
      </w:pPr>
      <w:r>
        <w:rPr>
          <w:rFonts w:hint="eastAsia" w:ascii="宋体" w:hAnsi="宋体"/>
          <w:b/>
          <w:color w:val="auto"/>
          <w:sz w:val="24"/>
        </w:rPr>
        <w:t xml:space="preserve"> 关于符合本国产品标准的声明函格式</w:t>
      </w:r>
    </w:p>
    <w:p w14:paraId="268B9E95">
      <w:pPr>
        <w:spacing w:before="360" w:beforeLines="150" w:after="240" w:afterLines="100" w:line="360" w:lineRule="auto"/>
        <w:jc w:val="center"/>
        <w:rPr>
          <w:rFonts w:hint="eastAsia" w:ascii="仿宋" w:hAnsi="仿宋" w:eastAsia="仿宋" w:cs="仿宋"/>
          <w:b/>
          <w:bCs/>
          <w:sz w:val="24"/>
          <w:szCs w:val="24"/>
        </w:rPr>
      </w:pPr>
      <w:r>
        <w:rPr>
          <w:rFonts w:hint="eastAsia" w:ascii="宋体" w:hAnsi="宋体" w:eastAsia="宋体" w:cs="Times New Roman"/>
          <w:b/>
          <w:bCs w:val="0"/>
          <w:color w:val="auto"/>
          <w:spacing w:val="6"/>
          <w:sz w:val="32"/>
          <w:szCs w:val="32"/>
        </w:rPr>
        <w:t>关于符合本国产品标准的声明函</w:t>
      </w:r>
    </w:p>
    <w:p w14:paraId="3E864AB5">
      <w:pPr>
        <w:spacing w:line="460" w:lineRule="exact"/>
        <w:ind w:firstLine="504" w:firstLineChars="200"/>
        <w:rPr>
          <w:rFonts w:hint="eastAsia" w:ascii="宋体" w:hAnsi="宋体" w:eastAsia="宋体" w:cs="宋体"/>
          <w:spacing w:val="6"/>
          <w:sz w:val="24"/>
          <w:szCs w:val="24"/>
        </w:rPr>
      </w:pPr>
      <w:r>
        <w:rPr>
          <w:rFonts w:hint="eastAsia" w:ascii="宋体" w:hAnsi="宋体" w:eastAsia="宋体" w:cs="宋体"/>
          <w:spacing w:val="6"/>
          <w:sz w:val="24"/>
          <w:szCs w:val="24"/>
        </w:rPr>
        <w:t>本公司</w:t>
      </w:r>
      <w:r>
        <w:rPr>
          <w:rFonts w:hint="eastAsia" w:ascii="宋体" w:hAnsi="宋体" w:eastAsia="宋体" w:cs="宋体"/>
          <w:spacing w:val="6"/>
          <w:sz w:val="24"/>
          <w:szCs w:val="24"/>
          <w:u w:val="single"/>
        </w:rPr>
        <w:t xml:space="preserve">             （单位名称）</w:t>
      </w:r>
      <w:r>
        <w:rPr>
          <w:rFonts w:hint="eastAsia" w:ascii="宋体" w:hAnsi="宋体" w:eastAsia="宋体" w:cs="宋体"/>
          <w:spacing w:val="6"/>
          <w:sz w:val="24"/>
          <w:szCs w:val="24"/>
        </w:rPr>
        <w:t>郑重声明，根据《国务院办公厅关于在政府采购中实施本国产品标准及相关政策的通知》（国办发[2025]34号）的规定，本公司（单位）提供的以下产品属于本国产品。具体情况如下:</w:t>
      </w:r>
    </w:p>
    <w:p w14:paraId="00541519">
      <w:pPr>
        <w:spacing w:line="460" w:lineRule="exact"/>
        <w:ind w:left="210" w:leftChars="100" w:firstLine="252" w:firstLineChars="100"/>
        <w:rPr>
          <w:rFonts w:hint="eastAsia" w:ascii="宋体" w:hAnsi="宋体" w:eastAsia="宋体" w:cs="宋体"/>
          <w:spacing w:val="6"/>
          <w:sz w:val="24"/>
          <w:szCs w:val="24"/>
        </w:rPr>
      </w:pPr>
      <w:r>
        <w:rPr>
          <w:rFonts w:hint="eastAsia" w:ascii="宋体" w:hAnsi="宋体" w:eastAsia="宋体" w:cs="宋体"/>
          <w:spacing w:val="6"/>
          <w:sz w:val="24"/>
          <w:szCs w:val="24"/>
        </w:rPr>
        <w:t>1.</w:t>
      </w:r>
      <w:r>
        <w:rPr>
          <w:rFonts w:hint="eastAsia" w:ascii="宋体" w:hAnsi="宋体" w:eastAsia="宋体" w:cs="宋体"/>
          <w:spacing w:val="6"/>
          <w:sz w:val="24"/>
          <w:szCs w:val="24"/>
          <w:u w:val="single"/>
        </w:rPr>
        <w:t xml:space="preserve">       （产品名称1）</w:t>
      </w:r>
      <w:r>
        <w:rPr>
          <w:rFonts w:hint="eastAsia" w:ascii="宋体" w:hAnsi="宋体" w:eastAsia="宋体" w:cs="宋体"/>
          <w:spacing w:val="6"/>
          <w:sz w:val="24"/>
          <w:szCs w:val="24"/>
        </w:rPr>
        <w:t>，生产厂为</w:t>
      </w:r>
      <w:r>
        <w:rPr>
          <w:rFonts w:hint="eastAsia" w:ascii="宋体" w:hAnsi="宋体" w:eastAsia="宋体" w:cs="宋体"/>
          <w:spacing w:val="6"/>
          <w:sz w:val="24"/>
          <w:szCs w:val="24"/>
          <w:u w:val="single"/>
        </w:rPr>
        <w:t xml:space="preserve">          （厂名） </w:t>
      </w:r>
      <w:r>
        <w:rPr>
          <w:rFonts w:hint="eastAsia" w:ascii="宋体" w:hAnsi="宋体" w:eastAsia="宋体" w:cs="宋体"/>
          <w:spacing w:val="6"/>
          <w:sz w:val="24"/>
          <w:szCs w:val="24"/>
        </w:rPr>
        <w:t xml:space="preserve">，厂址为 </w:t>
      </w:r>
      <w:r>
        <w:rPr>
          <w:rFonts w:hint="eastAsia" w:ascii="宋体" w:hAnsi="宋体" w:eastAsia="宋体" w:cs="宋体"/>
          <w:spacing w:val="6"/>
          <w:sz w:val="24"/>
          <w:szCs w:val="24"/>
          <w:u w:val="single"/>
        </w:rPr>
        <w:t xml:space="preserve">        </w:t>
      </w:r>
      <w:r>
        <w:rPr>
          <w:rFonts w:hint="eastAsia" w:ascii="宋体" w:hAnsi="宋体" w:eastAsia="宋体" w:cs="宋体"/>
          <w:spacing w:val="6"/>
          <w:sz w:val="24"/>
          <w:szCs w:val="24"/>
          <w:u w:val="single"/>
          <w:lang w:eastAsia="zh-CN"/>
        </w:rPr>
        <w:t xml:space="preserve">  </w:t>
      </w:r>
      <w:r>
        <w:rPr>
          <w:rFonts w:hint="eastAsia" w:ascii="宋体" w:hAnsi="宋体" w:eastAsia="宋体" w:cs="宋体"/>
          <w:spacing w:val="6"/>
          <w:sz w:val="24"/>
          <w:szCs w:val="24"/>
          <w:u w:val="single"/>
        </w:rPr>
        <w:t xml:space="preserve">    （生产厂址）</w:t>
      </w:r>
      <w:r>
        <w:rPr>
          <w:rFonts w:hint="eastAsia" w:ascii="宋体" w:hAnsi="宋体" w:eastAsia="宋体" w:cs="宋体"/>
          <w:spacing w:val="6"/>
          <w:sz w:val="24"/>
          <w:szCs w:val="24"/>
        </w:rPr>
        <w:t>。</w:t>
      </w:r>
      <w:r>
        <w:rPr>
          <w:rFonts w:hint="eastAsia" w:ascii="宋体" w:hAnsi="宋体" w:eastAsia="宋体" w:cs="宋体"/>
          <w:spacing w:val="6"/>
          <w:sz w:val="24"/>
          <w:szCs w:val="24"/>
          <w:u w:val="single"/>
        </w:rPr>
        <w:t xml:space="preserve">     （产品名称1）</w:t>
      </w:r>
      <w:r>
        <w:rPr>
          <w:rFonts w:hint="eastAsia" w:ascii="宋体" w:hAnsi="宋体" w:eastAsia="宋体" w:cs="宋体"/>
          <w:spacing w:val="6"/>
          <w:sz w:val="24"/>
          <w:szCs w:val="24"/>
          <w:u w:val="single"/>
          <w:lang w:eastAsia="zh-CN"/>
        </w:rPr>
        <w:t xml:space="preserve">   </w:t>
      </w:r>
      <w:r>
        <w:rPr>
          <w:rFonts w:hint="eastAsia" w:ascii="宋体" w:hAnsi="宋体" w:eastAsia="宋体" w:cs="宋体"/>
          <w:spacing w:val="6"/>
          <w:sz w:val="24"/>
          <w:szCs w:val="24"/>
        </w:rPr>
        <w:t>的中国境内生产的组件成本占比≥</w:t>
      </w:r>
      <w:r>
        <w:rPr>
          <w:rFonts w:hint="eastAsia" w:ascii="宋体" w:hAnsi="宋体" w:eastAsia="宋体" w:cs="宋体"/>
          <w:spacing w:val="6"/>
          <w:sz w:val="24"/>
          <w:szCs w:val="24"/>
          <w:u w:val="single"/>
        </w:rPr>
        <w:t>（规定比例）</w:t>
      </w:r>
      <w:r>
        <w:rPr>
          <w:rFonts w:hint="eastAsia" w:ascii="宋体" w:hAnsi="宋体" w:eastAsia="宋体" w:cs="宋体"/>
          <w:spacing w:val="6"/>
          <w:sz w:val="24"/>
          <w:szCs w:val="24"/>
        </w:rPr>
        <w:t>。</w:t>
      </w:r>
      <w:r>
        <w:rPr>
          <w:rFonts w:hint="eastAsia" w:ascii="宋体" w:hAnsi="宋体" w:eastAsia="宋体" w:cs="宋体"/>
          <w:spacing w:val="6"/>
          <w:sz w:val="24"/>
          <w:szCs w:val="24"/>
          <w:u w:val="single"/>
        </w:rPr>
        <w:t xml:space="preserve">     （产品名称1）</w:t>
      </w:r>
      <w:r>
        <w:rPr>
          <w:rFonts w:hint="eastAsia" w:ascii="宋体" w:hAnsi="宋体" w:eastAsia="宋体" w:cs="宋体"/>
          <w:spacing w:val="6"/>
          <w:sz w:val="24"/>
          <w:szCs w:val="24"/>
          <w:u w:val="single"/>
          <w:lang w:eastAsia="zh-CN"/>
        </w:rPr>
        <w:t xml:space="preserve">  </w:t>
      </w:r>
      <w:r>
        <w:rPr>
          <w:rFonts w:hint="eastAsia" w:ascii="宋体" w:hAnsi="宋体" w:eastAsia="宋体" w:cs="宋体"/>
          <w:spacing w:val="6"/>
          <w:sz w:val="24"/>
          <w:szCs w:val="24"/>
        </w:rPr>
        <w:t>的</w:t>
      </w:r>
      <w:r>
        <w:rPr>
          <w:rFonts w:hint="eastAsia" w:ascii="宋体" w:hAnsi="宋体" w:eastAsia="宋体" w:cs="宋体"/>
          <w:spacing w:val="6"/>
          <w:sz w:val="24"/>
          <w:szCs w:val="24"/>
          <w:u w:val="single"/>
        </w:rPr>
        <w:t>（关键组件）</w:t>
      </w:r>
      <w:r>
        <w:rPr>
          <w:rFonts w:hint="eastAsia" w:ascii="宋体" w:hAnsi="宋体" w:eastAsia="宋体" w:cs="宋体"/>
          <w:spacing w:val="6"/>
          <w:sz w:val="24"/>
          <w:szCs w:val="24"/>
        </w:rPr>
        <w:t>在中国境内生产。</w:t>
      </w:r>
      <w:r>
        <w:rPr>
          <w:rFonts w:hint="eastAsia" w:ascii="宋体" w:hAnsi="宋体" w:eastAsia="宋体" w:cs="宋体"/>
          <w:spacing w:val="6"/>
          <w:sz w:val="24"/>
          <w:szCs w:val="24"/>
          <w:u w:val="single"/>
        </w:rPr>
        <w:t xml:space="preserve">   （产品名称1）</w:t>
      </w:r>
      <w:r>
        <w:rPr>
          <w:rFonts w:hint="eastAsia" w:ascii="宋体" w:hAnsi="宋体" w:eastAsia="宋体" w:cs="宋体"/>
          <w:spacing w:val="6"/>
          <w:sz w:val="24"/>
          <w:szCs w:val="24"/>
        </w:rPr>
        <w:t>的</w:t>
      </w:r>
      <w:r>
        <w:rPr>
          <w:rFonts w:hint="eastAsia" w:ascii="宋体" w:hAnsi="宋体" w:eastAsia="宋体" w:cs="宋体"/>
          <w:spacing w:val="6"/>
          <w:sz w:val="24"/>
          <w:szCs w:val="24"/>
          <w:u w:val="single"/>
        </w:rPr>
        <w:t>（关键工序）</w:t>
      </w:r>
      <w:r>
        <w:rPr>
          <w:rFonts w:hint="eastAsia" w:ascii="宋体" w:hAnsi="宋体" w:eastAsia="宋体" w:cs="宋体"/>
          <w:spacing w:val="6"/>
          <w:sz w:val="24"/>
          <w:szCs w:val="24"/>
        </w:rPr>
        <w:t>在中国境内完成。</w:t>
      </w:r>
    </w:p>
    <w:p w14:paraId="6165AE83">
      <w:pPr>
        <w:spacing w:line="460" w:lineRule="exact"/>
        <w:ind w:firstLine="504" w:firstLineChars="200"/>
        <w:rPr>
          <w:rFonts w:hint="eastAsia" w:ascii="宋体" w:hAnsi="宋体" w:eastAsia="宋体" w:cs="宋体"/>
          <w:sz w:val="24"/>
        </w:rPr>
      </w:pPr>
      <w:r>
        <w:rPr>
          <w:rFonts w:hint="eastAsia" w:ascii="宋体" w:hAnsi="宋体" w:eastAsia="宋体" w:cs="宋体"/>
          <w:spacing w:val="6"/>
          <w:sz w:val="24"/>
          <w:szCs w:val="24"/>
        </w:rPr>
        <w:t>2.</w:t>
      </w:r>
      <w:r>
        <w:rPr>
          <w:rFonts w:hint="eastAsia" w:ascii="宋体" w:hAnsi="宋体" w:eastAsia="宋体" w:cs="宋体"/>
          <w:spacing w:val="6"/>
          <w:sz w:val="24"/>
          <w:szCs w:val="24"/>
          <w:u w:val="single"/>
        </w:rPr>
        <w:t xml:space="preserve">       （产品名称2）</w:t>
      </w:r>
      <w:r>
        <w:rPr>
          <w:rFonts w:hint="eastAsia" w:ascii="宋体" w:hAnsi="宋体" w:eastAsia="宋体" w:cs="宋体"/>
          <w:spacing w:val="6"/>
          <w:sz w:val="24"/>
          <w:szCs w:val="24"/>
        </w:rPr>
        <w:t>，生产厂为</w:t>
      </w:r>
      <w:r>
        <w:rPr>
          <w:rFonts w:hint="eastAsia" w:ascii="宋体" w:hAnsi="宋体" w:eastAsia="宋体" w:cs="宋体"/>
          <w:spacing w:val="6"/>
          <w:sz w:val="24"/>
          <w:szCs w:val="24"/>
          <w:u w:val="single"/>
        </w:rPr>
        <w:t xml:space="preserve">          （厂名） </w:t>
      </w:r>
      <w:r>
        <w:rPr>
          <w:rFonts w:hint="eastAsia" w:ascii="宋体" w:hAnsi="宋体" w:eastAsia="宋体" w:cs="宋体"/>
          <w:spacing w:val="6"/>
          <w:sz w:val="24"/>
          <w:szCs w:val="24"/>
        </w:rPr>
        <w:t xml:space="preserve">，厂址为 </w:t>
      </w:r>
      <w:r>
        <w:rPr>
          <w:rFonts w:hint="eastAsia" w:ascii="宋体" w:hAnsi="宋体" w:eastAsia="宋体" w:cs="宋体"/>
          <w:spacing w:val="6"/>
          <w:sz w:val="24"/>
          <w:szCs w:val="24"/>
          <w:u w:val="single"/>
        </w:rPr>
        <w:t xml:space="preserve">    （生产厂址）</w:t>
      </w:r>
      <w:r>
        <w:rPr>
          <w:rFonts w:hint="eastAsia" w:ascii="宋体" w:hAnsi="宋体" w:eastAsia="宋体" w:cs="宋体"/>
          <w:spacing w:val="6"/>
          <w:sz w:val="24"/>
          <w:szCs w:val="24"/>
        </w:rPr>
        <w:t>。</w:t>
      </w:r>
      <w:r>
        <w:rPr>
          <w:rFonts w:hint="eastAsia" w:ascii="宋体" w:hAnsi="宋体" w:eastAsia="宋体" w:cs="宋体"/>
          <w:spacing w:val="6"/>
          <w:sz w:val="24"/>
          <w:szCs w:val="24"/>
          <w:u w:val="single"/>
        </w:rPr>
        <w:t xml:space="preserve">        （产品名称2）</w:t>
      </w:r>
      <w:r>
        <w:rPr>
          <w:rFonts w:hint="eastAsia" w:ascii="宋体" w:hAnsi="宋体" w:eastAsia="宋体" w:cs="宋体"/>
          <w:spacing w:val="6"/>
          <w:sz w:val="24"/>
          <w:szCs w:val="24"/>
        </w:rPr>
        <w:t>的中国境内生产的组件成本占比≥</w:t>
      </w:r>
      <w:r>
        <w:rPr>
          <w:rFonts w:hint="eastAsia" w:ascii="宋体" w:hAnsi="宋体" w:eastAsia="宋体" w:cs="宋体"/>
          <w:spacing w:val="6"/>
          <w:sz w:val="24"/>
          <w:szCs w:val="24"/>
          <w:u w:val="single"/>
        </w:rPr>
        <w:t>（规定比例）</w:t>
      </w:r>
      <w:r>
        <w:rPr>
          <w:rFonts w:hint="eastAsia" w:ascii="宋体" w:hAnsi="宋体" w:eastAsia="宋体" w:cs="宋体"/>
          <w:spacing w:val="6"/>
          <w:sz w:val="24"/>
          <w:szCs w:val="24"/>
        </w:rPr>
        <w:t>。</w:t>
      </w:r>
      <w:r>
        <w:rPr>
          <w:rFonts w:hint="eastAsia" w:ascii="宋体" w:hAnsi="宋体" w:eastAsia="宋体" w:cs="宋体"/>
          <w:spacing w:val="6"/>
          <w:sz w:val="24"/>
          <w:szCs w:val="24"/>
          <w:u w:val="single"/>
        </w:rPr>
        <w:t xml:space="preserve">        （产品名称2）</w:t>
      </w:r>
      <w:r>
        <w:rPr>
          <w:rFonts w:hint="eastAsia" w:ascii="宋体" w:hAnsi="宋体" w:eastAsia="宋体" w:cs="宋体"/>
          <w:spacing w:val="6"/>
          <w:sz w:val="24"/>
          <w:szCs w:val="24"/>
        </w:rPr>
        <w:t>的</w:t>
      </w:r>
      <w:r>
        <w:rPr>
          <w:rFonts w:hint="eastAsia" w:ascii="宋体" w:hAnsi="宋体" w:eastAsia="宋体" w:cs="宋体"/>
          <w:spacing w:val="6"/>
          <w:sz w:val="24"/>
          <w:szCs w:val="24"/>
          <w:u w:val="single"/>
        </w:rPr>
        <w:t>（关键组件）</w:t>
      </w:r>
      <w:r>
        <w:rPr>
          <w:rFonts w:hint="eastAsia" w:ascii="宋体" w:hAnsi="宋体" w:eastAsia="宋体" w:cs="宋体"/>
          <w:spacing w:val="6"/>
          <w:sz w:val="24"/>
          <w:szCs w:val="24"/>
        </w:rPr>
        <w:t>在中国境内生产。</w:t>
      </w:r>
      <w:r>
        <w:rPr>
          <w:rFonts w:hint="eastAsia" w:ascii="宋体" w:hAnsi="宋体" w:eastAsia="宋体" w:cs="宋体"/>
          <w:spacing w:val="6"/>
          <w:sz w:val="24"/>
          <w:szCs w:val="24"/>
          <w:u w:val="single"/>
        </w:rPr>
        <w:t xml:space="preserve">        （产品名称2）</w:t>
      </w:r>
      <w:r>
        <w:rPr>
          <w:rFonts w:hint="eastAsia" w:ascii="宋体" w:hAnsi="宋体" w:eastAsia="宋体" w:cs="宋体"/>
          <w:spacing w:val="6"/>
          <w:sz w:val="24"/>
          <w:szCs w:val="24"/>
        </w:rPr>
        <w:t>的</w:t>
      </w:r>
      <w:r>
        <w:rPr>
          <w:rFonts w:hint="eastAsia" w:ascii="宋体" w:hAnsi="宋体" w:eastAsia="宋体" w:cs="宋体"/>
          <w:spacing w:val="6"/>
          <w:sz w:val="24"/>
          <w:szCs w:val="24"/>
          <w:u w:val="single"/>
        </w:rPr>
        <w:t>（关键工序）</w:t>
      </w:r>
      <w:r>
        <w:rPr>
          <w:rFonts w:hint="eastAsia" w:ascii="宋体" w:hAnsi="宋体" w:eastAsia="宋体" w:cs="宋体"/>
          <w:spacing w:val="6"/>
          <w:sz w:val="24"/>
          <w:szCs w:val="24"/>
        </w:rPr>
        <w:t>在中国境内完成。</w:t>
      </w:r>
    </w:p>
    <w:p w14:paraId="69A06386">
      <w:pPr>
        <w:spacing w:line="460" w:lineRule="exact"/>
        <w:rPr>
          <w:rFonts w:hint="eastAsia" w:ascii="宋体" w:hAnsi="宋体" w:eastAsia="宋体" w:cs="宋体"/>
          <w:sz w:val="24"/>
        </w:rPr>
      </w:pPr>
      <w:r>
        <w:rPr>
          <w:rFonts w:hint="eastAsia" w:ascii="宋体" w:hAnsi="宋体" w:eastAsia="宋体" w:cs="宋体"/>
          <w:sz w:val="24"/>
        </w:rPr>
        <w:t>......</w:t>
      </w:r>
    </w:p>
    <w:p w14:paraId="75BD489E">
      <w:pPr>
        <w:spacing w:line="460" w:lineRule="exact"/>
        <w:ind w:firstLine="480" w:firstLineChars="200"/>
        <w:rPr>
          <w:rFonts w:hint="eastAsia" w:ascii="宋体" w:hAnsi="宋体" w:eastAsia="宋体" w:cs="宋体"/>
          <w:sz w:val="24"/>
        </w:rPr>
      </w:pPr>
      <w:r>
        <w:rPr>
          <w:rFonts w:hint="eastAsia" w:ascii="宋体" w:hAnsi="宋体" w:eastAsia="宋体" w:cs="宋体"/>
          <w:sz w:val="24"/>
        </w:rPr>
        <w:t>本公司（单位）对上述声明内容的真实性负责。如有虚假，愿承担相应法律责任。</w:t>
      </w:r>
    </w:p>
    <w:p w14:paraId="4AA3A94C">
      <w:pPr>
        <w:rPr>
          <w:rFonts w:hint="eastAsia" w:ascii="宋体" w:hAnsi="宋体" w:eastAsia="宋体" w:cs="宋体"/>
          <w:sz w:val="24"/>
        </w:rPr>
      </w:pPr>
    </w:p>
    <w:p w14:paraId="022AE622">
      <w:pPr>
        <w:rPr>
          <w:rFonts w:hint="eastAsia" w:ascii="宋体" w:hAnsi="宋体" w:eastAsia="宋体" w:cs="宋体"/>
          <w:sz w:val="24"/>
        </w:rPr>
      </w:pPr>
    </w:p>
    <w:p w14:paraId="27345ADE">
      <w:pPr>
        <w:pStyle w:val="23"/>
        <w:spacing w:line="360" w:lineRule="auto"/>
        <w:jc w:val="center"/>
        <w:rPr>
          <w:rFonts w:hint="eastAsia" w:ascii="宋体" w:hAnsi="宋体" w:eastAsia="宋体" w:cs="宋体"/>
          <w:b/>
          <w:sz w:val="21"/>
          <w:szCs w:val="21"/>
        </w:rPr>
      </w:pPr>
      <w:r>
        <w:rPr>
          <w:rFonts w:hint="eastAsia" w:ascii="宋体" w:hAnsi="宋体" w:eastAsia="宋体" w:cs="宋体"/>
          <w:b/>
          <w:sz w:val="24"/>
        </w:rPr>
        <w:t xml:space="preserve">                 </w:t>
      </w:r>
      <w:r>
        <w:rPr>
          <w:rFonts w:hint="eastAsia" w:ascii="宋体" w:hAnsi="宋体" w:eastAsia="宋体" w:cs="宋体"/>
          <w:b/>
          <w:sz w:val="21"/>
          <w:szCs w:val="21"/>
        </w:rPr>
        <w:t>公司（单位）名称（盖章或电子签章）：</w:t>
      </w:r>
      <w:r>
        <w:rPr>
          <w:rFonts w:hint="eastAsia" w:ascii="宋体" w:hAnsi="宋体" w:eastAsia="宋体" w:cs="宋体"/>
          <w:b/>
          <w:sz w:val="21"/>
          <w:szCs w:val="21"/>
          <w:u w:val="single"/>
        </w:rPr>
        <w:t xml:space="preserve">              </w:t>
      </w:r>
      <w:r>
        <w:rPr>
          <w:rFonts w:hint="eastAsia" w:ascii="宋体" w:hAnsi="宋体" w:eastAsia="宋体" w:cs="宋体"/>
          <w:b/>
          <w:sz w:val="21"/>
          <w:szCs w:val="21"/>
        </w:rPr>
        <w:t xml:space="preserve">   </w:t>
      </w:r>
    </w:p>
    <w:p w14:paraId="30C7CCD9">
      <w:pPr>
        <w:pStyle w:val="41"/>
        <w:spacing w:line="360" w:lineRule="auto"/>
        <w:ind w:firstLine="4216" w:firstLineChars="2000"/>
        <w:jc w:val="both"/>
        <w:rPr>
          <w:rFonts w:hint="eastAsia" w:ascii="宋体" w:hAnsi="宋体" w:eastAsia="宋体" w:cs="宋体"/>
          <w:sz w:val="21"/>
          <w:szCs w:val="21"/>
        </w:rPr>
      </w:pPr>
      <w:r>
        <w:rPr>
          <w:rFonts w:hint="eastAsia" w:ascii="宋体" w:hAnsi="宋体" w:eastAsia="宋体" w:cs="宋体"/>
          <w:sz w:val="21"/>
          <w:szCs w:val="21"/>
        </w:rPr>
        <w:t>日期：</w:t>
      </w:r>
      <w:r>
        <w:rPr>
          <w:rFonts w:hint="eastAsia" w:ascii="宋体" w:hAnsi="宋体"/>
          <w:b/>
          <w:bCs/>
          <w:color w:val="auto"/>
          <w:szCs w:val="21"/>
        </w:rPr>
        <w:t xml:space="preserve"> </w:t>
      </w:r>
      <w:r>
        <w:rPr>
          <w:rFonts w:hint="eastAsia" w:hAnsi="宋体" w:eastAsia="宋体"/>
          <w:b/>
          <w:bCs/>
          <w:color w:val="auto"/>
          <w:szCs w:val="21"/>
          <w:lang w:val="en-US" w:eastAsia="zh-CN"/>
        </w:rPr>
        <w:t xml:space="preserve">  </w:t>
      </w:r>
      <w:r>
        <w:rPr>
          <w:rFonts w:hint="eastAsia" w:ascii="宋体" w:hAnsi="宋体"/>
          <w:b/>
          <w:bCs/>
          <w:color w:val="auto"/>
          <w:szCs w:val="21"/>
        </w:rPr>
        <w:t>年   月   日</w:t>
      </w:r>
    </w:p>
    <w:p w14:paraId="51D1D6B6">
      <w:pPr>
        <w:spacing w:line="360" w:lineRule="auto"/>
        <w:ind w:firstLine="480" w:firstLineChars="200"/>
        <w:rPr>
          <w:rFonts w:hint="eastAsia" w:ascii="仿宋" w:hAnsi="仿宋" w:eastAsia="仿宋" w:cs="仿宋"/>
          <w:bCs/>
          <w:sz w:val="24"/>
        </w:rPr>
      </w:pPr>
      <w:r>
        <w:rPr>
          <w:rFonts w:hint="eastAsia" w:ascii="仿宋" w:hAnsi="仿宋" w:eastAsia="仿宋" w:cs="仿宋"/>
          <w:bCs/>
          <w:sz w:val="24"/>
          <w:lang w:eastAsia="zh-CN"/>
        </w:rPr>
        <w:t>1.</w:t>
      </w:r>
      <w:r>
        <w:rPr>
          <w:rFonts w:hint="eastAsia" w:ascii="仿宋" w:hAnsi="仿宋" w:eastAsia="仿宋" w:cs="仿宋"/>
          <w:bCs/>
          <w:sz w:val="24"/>
        </w:rPr>
        <w:t>产品如有型号，请在“产品名称”栏一并填写。</w:t>
      </w:r>
    </w:p>
    <w:p w14:paraId="4B08CFE6">
      <w:pPr>
        <w:spacing w:line="360" w:lineRule="auto"/>
        <w:ind w:left="420" w:leftChars="200"/>
        <w:rPr>
          <w:rFonts w:hint="eastAsia" w:ascii="仿宋" w:hAnsi="仿宋" w:eastAsia="仿宋" w:cs="仿宋"/>
          <w:bCs/>
          <w:sz w:val="24"/>
        </w:rPr>
      </w:pPr>
      <w:r>
        <w:rPr>
          <w:rFonts w:hint="eastAsia" w:ascii="仿宋" w:hAnsi="仿宋" w:eastAsia="仿宋" w:cs="仿宋"/>
          <w:bCs/>
          <w:sz w:val="24"/>
          <w:lang w:eastAsia="zh-CN"/>
        </w:rPr>
        <w:t>2.</w:t>
      </w:r>
      <w:r>
        <w:rPr>
          <w:rFonts w:hint="eastAsia" w:ascii="仿宋" w:hAnsi="仿宋" w:eastAsia="仿宋" w:cs="仿宋"/>
          <w:bCs/>
          <w:sz w:val="24"/>
        </w:rPr>
        <w:t>生产厂名与厂址应与生产厂营业执照载明的相关信息保持一致。</w:t>
      </w:r>
    </w:p>
    <w:p w14:paraId="2FF6E5C4">
      <w:pPr>
        <w:spacing w:line="360" w:lineRule="auto"/>
        <w:ind w:left="420" w:leftChars="200"/>
        <w:rPr>
          <w:rFonts w:hint="eastAsia" w:ascii="仿宋" w:hAnsi="仿宋" w:eastAsia="仿宋" w:cs="仿宋"/>
          <w:bCs/>
          <w:sz w:val="24"/>
        </w:rPr>
      </w:pPr>
      <w:r>
        <w:rPr>
          <w:rFonts w:hint="eastAsia" w:ascii="仿宋" w:hAnsi="仿宋" w:eastAsia="仿宋" w:cs="仿宋"/>
          <w:bCs/>
          <w:sz w:val="24"/>
          <w:lang w:eastAsia="zh-CN"/>
        </w:rPr>
        <w:t>3.</w:t>
      </w:r>
      <w:r>
        <w:rPr>
          <w:rFonts w:hint="eastAsia" w:ascii="仿宋" w:hAnsi="仿宋" w:eastAsia="仿宋" w:cs="仿宋"/>
          <w:bCs/>
          <w:sz w:val="24"/>
        </w:rPr>
        <w:t>该产品的中国境内生产的组件成本占比相关要求实施前，“规定比例”栏可不填，下同。</w:t>
      </w:r>
    </w:p>
    <w:p w14:paraId="56FED6F3">
      <w:pPr>
        <w:spacing w:line="360" w:lineRule="auto"/>
        <w:ind w:left="420" w:leftChars="200"/>
        <w:rPr>
          <w:rFonts w:hint="eastAsia" w:ascii="仿宋" w:hAnsi="仿宋" w:eastAsia="仿宋" w:cs="仿宋"/>
          <w:bCs/>
          <w:sz w:val="24"/>
        </w:rPr>
      </w:pPr>
      <w:r>
        <w:rPr>
          <w:rFonts w:hint="eastAsia" w:ascii="仿宋" w:hAnsi="仿宋" w:eastAsia="仿宋" w:cs="仿宋"/>
          <w:bCs/>
          <w:sz w:val="24"/>
        </w:rPr>
        <w:t>4.该产品的关键组件要求实施前，“关键组件”栏可不填，下同。</w:t>
      </w:r>
    </w:p>
    <w:p w14:paraId="6EA64294">
      <w:pPr>
        <w:spacing w:line="360" w:lineRule="auto"/>
        <w:ind w:left="420" w:leftChars="200"/>
        <w:rPr>
          <w:rFonts w:hint="eastAsia" w:ascii="仿宋" w:hAnsi="仿宋" w:eastAsia="仿宋" w:cs="仿宋"/>
          <w:b/>
          <w:sz w:val="24"/>
          <w:szCs w:val="24"/>
        </w:rPr>
      </w:pPr>
      <w:r>
        <w:rPr>
          <w:rFonts w:hint="eastAsia" w:ascii="仿宋" w:hAnsi="仿宋" w:eastAsia="仿宋" w:cs="仿宋"/>
          <w:bCs/>
          <w:sz w:val="24"/>
        </w:rPr>
        <w:t>5.该产品的关键工序要求实施前，“关键工序”栏可不填，下同。</w:t>
      </w:r>
    </w:p>
    <w:p w14:paraId="4710499F">
      <w:pPr>
        <w:spacing w:line="360" w:lineRule="auto"/>
        <w:jc w:val="left"/>
        <w:rPr>
          <w:rFonts w:ascii="宋体" w:hAnsi="宋体"/>
          <w:b/>
          <w:bCs/>
          <w:color w:val="auto"/>
          <w:sz w:val="32"/>
          <w:szCs w:val="32"/>
        </w:rPr>
      </w:pPr>
      <w:r>
        <w:rPr>
          <w:rFonts w:ascii="宋体" w:hAnsi="宋体"/>
          <w:color w:val="auto"/>
          <w:sz w:val="24"/>
        </w:rPr>
        <w:br w:type="page"/>
      </w:r>
      <w:r>
        <w:rPr>
          <w:rFonts w:hint="eastAsia" w:ascii="宋体" w:hAnsi="宋体"/>
          <w:b/>
          <w:bCs/>
          <w:color w:val="auto"/>
          <w:sz w:val="32"/>
          <w:szCs w:val="32"/>
        </w:rPr>
        <w:t>质疑函（格式）</w:t>
      </w:r>
    </w:p>
    <w:p w14:paraId="15810341">
      <w:pPr>
        <w:pStyle w:val="15"/>
        <w:snapToGrid w:val="0"/>
        <w:spacing w:line="360" w:lineRule="auto"/>
        <w:ind w:firstLine="482" w:firstLineChars="200"/>
        <w:rPr>
          <w:rFonts w:hAnsi="宋体"/>
          <w:b/>
          <w:bCs/>
          <w:color w:val="auto"/>
          <w:sz w:val="24"/>
          <w:szCs w:val="24"/>
        </w:rPr>
      </w:pPr>
      <w:r>
        <w:rPr>
          <w:rFonts w:hint="eastAsia" w:hAnsi="宋体"/>
          <w:b/>
          <w:bCs/>
          <w:color w:val="auto"/>
          <w:sz w:val="24"/>
          <w:szCs w:val="24"/>
        </w:rPr>
        <w:t>一、质疑供应商基本信息：</w:t>
      </w:r>
    </w:p>
    <w:p w14:paraId="44B52BCE">
      <w:pPr>
        <w:pStyle w:val="15"/>
        <w:snapToGrid w:val="0"/>
        <w:spacing w:line="360" w:lineRule="auto"/>
        <w:ind w:firstLine="480" w:firstLineChars="200"/>
        <w:rPr>
          <w:rFonts w:hAnsi="宋体"/>
          <w:bCs/>
          <w:color w:val="auto"/>
          <w:sz w:val="24"/>
          <w:szCs w:val="24"/>
          <w:u w:val="single"/>
        </w:rPr>
      </w:pPr>
      <w:r>
        <w:rPr>
          <w:rFonts w:hint="eastAsia" w:hAnsi="宋体"/>
          <w:bCs/>
          <w:color w:val="auto"/>
          <w:sz w:val="24"/>
          <w:szCs w:val="24"/>
        </w:rPr>
        <w:t>质疑供应商：</w:t>
      </w:r>
    </w:p>
    <w:p w14:paraId="71D1E6F9">
      <w:pPr>
        <w:pStyle w:val="15"/>
        <w:snapToGrid w:val="0"/>
        <w:spacing w:line="360" w:lineRule="auto"/>
        <w:ind w:firstLine="480" w:firstLineChars="200"/>
        <w:rPr>
          <w:rFonts w:hAnsi="宋体"/>
          <w:bCs/>
          <w:color w:val="auto"/>
          <w:sz w:val="24"/>
          <w:szCs w:val="24"/>
        </w:rPr>
      </w:pPr>
      <w:r>
        <w:rPr>
          <w:rFonts w:hAnsi="宋体"/>
          <w:bCs/>
          <w:color w:val="auto"/>
          <w:sz w:val="24"/>
          <w:szCs w:val="24"/>
        </w:rPr>
        <w:t>地址</w:t>
      </w:r>
      <w:r>
        <w:rPr>
          <w:rFonts w:hint="eastAsia" w:hAnsi="宋体"/>
          <w:bCs/>
          <w:color w:val="auto"/>
          <w:sz w:val="24"/>
          <w:szCs w:val="24"/>
        </w:rPr>
        <w:t>：</w:t>
      </w:r>
      <w:r>
        <w:rPr>
          <w:rFonts w:hint="eastAsia" w:hAnsi="宋体"/>
          <w:bCs/>
          <w:color w:val="auto"/>
          <w:sz w:val="24"/>
          <w:szCs w:val="24"/>
          <w:lang w:val="en-US" w:eastAsia="zh-CN"/>
        </w:rPr>
        <w:t xml:space="preserve">                  </w:t>
      </w:r>
      <w:r>
        <w:rPr>
          <w:rFonts w:hAnsi="宋体"/>
          <w:bCs/>
          <w:color w:val="auto"/>
          <w:sz w:val="24"/>
          <w:szCs w:val="24"/>
        </w:rPr>
        <w:t>邮编</w:t>
      </w:r>
      <w:r>
        <w:rPr>
          <w:rFonts w:hint="eastAsia" w:hAnsi="宋体"/>
          <w:bCs/>
          <w:color w:val="auto"/>
          <w:sz w:val="24"/>
          <w:szCs w:val="24"/>
        </w:rPr>
        <w:t>：</w:t>
      </w:r>
    </w:p>
    <w:p w14:paraId="777CF253">
      <w:pPr>
        <w:pStyle w:val="15"/>
        <w:snapToGrid w:val="0"/>
        <w:spacing w:line="360" w:lineRule="auto"/>
        <w:ind w:firstLine="480" w:firstLineChars="200"/>
        <w:rPr>
          <w:rFonts w:hAnsi="宋体"/>
          <w:bCs/>
          <w:color w:val="auto"/>
          <w:sz w:val="24"/>
          <w:szCs w:val="24"/>
        </w:rPr>
      </w:pPr>
      <w:r>
        <w:rPr>
          <w:rFonts w:hAnsi="宋体"/>
          <w:bCs/>
          <w:color w:val="auto"/>
          <w:sz w:val="24"/>
          <w:szCs w:val="24"/>
        </w:rPr>
        <w:t>联系人</w:t>
      </w:r>
      <w:r>
        <w:rPr>
          <w:rFonts w:hint="eastAsia" w:hAnsi="宋体"/>
          <w:bCs/>
          <w:color w:val="auto"/>
          <w:sz w:val="24"/>
          <w:szCs w:val="24"/>
        </w:rPr>
        <w:t>：</w:t>
      </w:r>
      <w:r>
        <w:rPr>
          <w:rFonts w:hint="eastAsia" w:hAnsi="宋体"/>
          <w:bCs/>
          <w:color w:val="auto"/>
          <w:sz w:val="24"/>
          <w:szCs w:val="24"/>
          <w:lang w:val="en-US" w:eastAsia="zh-CN"/>
        </w:rPr>
        <w:t xml:space="preserve">                </w:t>
      </w:r>
      <w:r>
        <w:rPr>
          <w:rFonts w:hAnsi="宋体"/>
          <w:bCs/>
          <w:color w:val="auto"/>
          <w:sz w:val="24"/>
          <w:szCs w:val="24"/>
        </w:rPr>
        <w:t>联系电话</w:t>
      </w:r>
      <w:r>
        <w:rPr>
          <w:rFonts w:hint="eastAsia" w:hAnsi="宋体"/>
          <w:bCs/>
          <w:color w:val="auto"/>
          <w:sz w:val="24"/>
          <w:szCs w:val="24"/>
        </w:rPr>
        <w:t>：</w:t>
      </w:r>
    </w:p>
    <w:p w14:paraId="38097BAD">
      <w:pPr>
        <w:pStyle w:val="15"/>
        <w:snapToGrid w:val="0"/>
        <w:spacing w:line="360" w:lineRule="auto"/>
        <w:ind w:firstLine="480" w:firstLineChars="200"/>
        <w:rPr>
          <w:rFonts w:hAnsi="宋体"/>
          <w:bCs/>
          <w:color w:val="auto"/>
          <w:sz w:val="24"/>
          <w:szCs w:val="24"/>
        </w:rPr>
      </w:pPr>
      <w:r>
        <w:rPr>
          <w:rFonts w:hint="eastAsia" w:hAnsi="宋体"/>
          <w:bCs/>
          <w:color w:val="auto"/>
          <w:sz w:val="24"/>
          <w:szCs w:val="24"/>
        </w:rPr>
        <w:t>授权代表：</w:t>
      </w:r>
    </w:p>
    <w:p w14:paraId="6D68CE88">
      <w:pPr>
        <w:pStyle w:val="15"/>
        <w:snapToGrid w:val="0"/>
        <w:spacing w:line="360" w:lineRule="auto"/>
        <w:ind w:firstLine="480" w:firstLineChars="200"/>
        <w:rPr>
          <w:rFonts w:hAnsi="宋体"/>
          <w:bCs/>
          <w:color w:val="auto"/>
          <w:sz w:val="24"/>
          <w:szCs w:val="24"/>
          <w:u w:val="single"/>
        </w:rPr>
      </w:pPr>
      <w:r>
        <w:rPr>
          <w:rFonts w:hAnsi="宋体"/>
          <w:bCs/>
          <w:color w:val="auto"/>
          <w:sz w:val="24"/>
          <w:szCs w:val="24"/>
        </w:rPr>
        <w:t>联系</w:t>
      </w:r>
      <w:r>
        <w:rPr>
          <w:rFonts w:hint="eastAsia" w:hAnsi="宋体"/>
          <w:bCs/>
          <w:color w:val="auto"/>
          <w:sz w:val="24"/>
          <w:szCs w:val="24"/>
        </w:rPr>
        <w:t>电话：</w:t>
      </w:r>
    </w:p>
    <w:p w14:paraId="771DF5BE">
      <w:pPr>
        <w:pStyle w:val="15"/>
        <w:snapToGrid w:val="0"/>
        <w:spacing w:line="360" w:lineRule="auto"/>
        <w:ind w:firstLine="480" w:firstLineChars="200"/>
        <w:rPr>
          <w:rFonts w:hAnsi="宋体"/>
          <w:bCs/>
          <w:color w:val="auto"/>
          <w:sz w:val="24"/>
          <w:szCs w:val="24"/>
        </w:rPr>
      </w:pPr>
      <w:r>
        <w:rPr>
          <w:rFonts w:hAnsi="宋体"/>
          <w:bCs/>
          <w:color w:val="auto"/>
          <w:sz w:val="24"/>
          <w:szCs w:val="24"/>
        </w:rPr>
        <w:t>地址</w:t>
      </w:r>
      <w:r>
        <w:rPr>
          <w:rFonts w:hint="eastAsia" w:hAnsi="宋体"/>
          <w:bCs/>
          <w:color w:val="auto"/>
          <w:sz w:val="24"/>
          <w:szCs w:val="24"/>
        </w:rPr>
        <w:t>：</w:t>
      </w:r>
      <w:r>
        <w:rPr>
          <w:rFonts w:hint="eastAsia" w:hAnsi="宋体"/>
          <w:bCs/>
          <w:color w:val="auto"/>
          <w:sz w:val="24"/>
          <w:szCs w:val="24"/>
          <w:lang w:val="en-US" w:eastAsia="zh-CN"/>
        </w:rPr>
        <w:t xml:space="preserve">                  </w:t>
      </w:r>
      <w:r>
        <w:rPr>
          <w:rFonts w:hAnsi="宋体"/>
          <w:bCs/>
          <w:color w:val="auto"/>
          <w:sz w:val="24"/>
          <w:szCs w:val="24"/>
        </w:rPr>
        <w:t>邮编</w:t>
      </w:r>
      <w:r>
        <w:rPr>
          <w:rFonts w:hint="eastAsia" w:hAnsi="宋体"/>
          <w:bCs/>
          <w:color w:val="auto"/>
          <w:sz w:val="24"/>
          <w:szCs w:val="24"/>
        </w:rPr>
        <w:t>：</w:t>
      </w:r>
    </w:p>
    <w:p w14:paraId="6F1516E8">
      <w:pPr>
        <w:pStyle w:val="15"/>
        <w:snapToGrid w:val="0"/>
        <w:spacing w:line="360" w:lineRule="auto"/>
        <w:ind w:firstLine="482" w:firstLineChars="200"/>
        <w:rPr>
          <w:rFonts w:hAnsi="宋体"/>
          <w:b/>
          <w:bCs/>
          <w:color w:val="auto"/>
          <w:sz w:val="24"/>
          <w:szCs w:val="24"/>
        </w:rPr>
      </w:pPr>
      <w:r>
        <w:rPr>
          <w:rFonts w:hint="eastAsia" w:hAnsi="宋体"/>
          <w:b/>
          <w:bCs/>
          <w:color w:val="auto"/>
          <w:sz w:val="24"/>
          <w:szCs w:val="24"/>
        </w:rPr>
        <w:t>二、质疑项目基本情况：</w:t>
      </w:r>
    </w:p>
    <w:p w14:paraId="689FDC20">
      <w:pPr>
        <w:pStyle w:val="15"/>
        <w:spacing w:line="360" w:lineRule="auto"/>
        <w:ind w:left="25" w:leftChars="12" w:firstLine="472" w:firstLineChars="197"/>
        <w:rPr>
          <w:rFonts w:hAnsi="宋体"/>
          <w:color w:val="auto"/>
          <w:sz w:val="24"/>
          <w:szCs w:val="24"/>
        </w:rPr>
      </w:pPr>
      <w:r>
        <w:rPr>
          <w:rFonts w:hint="eastAsia" w:hAnsi="宋体"/>
          <w:bCs/>
          <w:color w:val="auto"/>
          <w:sz w:val="24"/>
          <w:szCs w:val="24"/>
        </w:rPr>
        <w:t>质疑</w:t>
      </w:r>
      <w:r>
        <w:rPr>
          <w:rFonts w:hint="eastAsia" w:hAnsi="宋体"/>
          <w:color w:val="auto"/>
          <w:sz w:val="24"/>
          <w:szCs w:val="24"/>
        </w:rPr>
        <w:t>项目的名称：</w:t>
      </w:r>
    </w:p>
    <w:p w14:paraId="2763F79E">
      <w:pPr>
        <w:pStyle w:val="15"/>
        <w:spacing w:line="360" w:lineRule="auto"/>
        <w:ind w:left="25" w:leftChars="12" w:firstLine="472" w:firstLineChars="197"/>
        <w:rPr>
          <w:rFonts w:hAnsi="宋体"/>
          <w:color w:val="auto"/>
          <w:sz w:val="24"/>
          <w:szCs w:val="24"/>
        </w:rPr>
      </w:pPr>
      <w:r>
        <w:rPr>
          <w:rFonts w:hint="eastAsia" w:hAnsi="宋体"/>
          <w:bCs/>
          <w:color w:val="auto"/>
          <w:sz w:val="24"/>
          <w:szCs w:val="24"/>
        </w:rPr>
        <w:t>质疑</w:t>
      </w:r>
      <w:r>
        <w:rPr>
          <w:rFonts w:hint="eastAsia" w:hAnsi="宋体"/>
          <w:color w:val="auto"/>
          <w:sz w:val="24"/>
          <w:szCs w:val="24"/>
        </w:rPr>
        <w:t>项目的编号：</w:t>
      </w:r>
    </w:p>
    <w:p w14:paraId="125BF078">
      <w:pPr>
        <w:pStyle w:val="15"/>
        <w:spacing w:line="360" w:lineRule="auto"/>
        <w:ind w:left="25" w:leftChars="12" w:firstLine="472" w:firstLineChars="197"/>
        <w:rPr>
          <w:rFonts w:hAnsi="宋体"/>
          <w:color w:val="auto"/>
          <w:sz w:val="24"/>
          <w:szCs w:val="24"/>
        </w:rPr>
      </w:pPr>
      <w:r>
        <w:rPr>
          <w:rFonts w:hint="eastAsia" w:hAnsi="宋体"/>
          <w:color w:val="auto"/>
          <w:sz w:val="24"/>
          <w:szCs w:val="24"/>
        </w:rPr>
        <w:t>采购人名称：</w:t>
      </w:r>
    </w:p>
    <w:p w14:paraId="6907E690">
      <w:pPr>
        <w:pStyle w:val="15"/>
        <w:spacing w:line="360" w:lineRule="auto"/>
        <w:ind w:left="25" w:leftChars="12" w:firstLine="472" w:firstLineChars="197"/>
        <w:rPr>
          <w:rFonts w:hAnsi="宋体"/>
          <w:color w:val="auto"/>
          <w:sz w:val="24"/>
          <w:szCs w:val="24"/>
        </w:rPr>
      </w:pPr>
      <w:r>
        <w:rPr>
          <w:rFonts w:hint="eastAsia" w:hAnsi="宋体"/>
          <w:color w:val="auto"/>
          <w:sz w:val="24"/>
          <w:szCs w:val="24"/>
        </w:rPr>
        <w:t>质疑事项：</w:t>
      </w:r>
    </w:p>
    <w:p w14:paraId="0A9F9136">
      <w:pPr>
        <w:pStyle w:val="15"/>
        <w:spacing w:line="360" w:lineRule="auto"/>
        <w:ind w:left="25" w:leftChars="12" w:firstLine="352" w:firstLineChars="147"/>
        <w:rPr>
          <w:rFonts w:hAnsi="宋体"/>
          <w:color w:val="auto"/>
          <w:sz w:val="24"/>
          <w:szCs w:val="24"/>
        </w:rPr>
      </w:pPr>
      <w:r>
        <w:rPr>
          <w:rFonts w:hint="eastAsia" w:hAnsi="宋体"/>
          <w:color w:val="auto"/>
          <w:sz w:val="24"/>
          <w:szCs w:val="24"/>
        </w:rPr>
        <w:t>□招标文件   招标文件获取日期：</w:t>
      </w:r>
    </w:p>
    <w:p w14:paraId="4DAC84E1">
      <w:pPr>
        <w:pStyle w:val="15"/>
        <w:spacing w:line="360" w:lineRule="auto"/>
        <w:ind w:left="25" w:leftChars="12" w:firstLine="352" w:firstLineChars="147"/>
        <w:rPr>
          <w:rFonts w:hAnsi="宋体"/>
          <w:color w:val="auto"/>
          <w:sz w:val="24"/>
          <w:szCs w:val="24"/>
        </w:rPr>
      </w:pPr>
      <w:r>
        <w:rPr>
          <w:rFonts w:hint="eastAsia" w:hAnsi="宋体"/>
          <w:color w:val="auto"/>
          <w:sz w:val="24"/>
          <w:szCs w:val="24"/>
        </w:rPr>
        <w:t xml:space="preserve">□采购过程   </w:t>
      </w:r>
    </w:p>
    <w:p w14:paraId="0CCF5EA1">
      <w:pPr>
        <w:pStyle w:val="15"/>
        <w:spacing w:line="360" w:lineRule="auto"/>
        <w:ind w:left="25" w:leftChars="12" w:firstLine="352" w:firstLineChars="147"/>
        <w:rPr>
          <w:rFonts w:hAnsi="宋体"/>
          <w:bCs/>
          <w:color w:val="auto"/>
          <w:sz w:val="24"/>
          <w:szCs w:val="24"/>
          <w:u w:val="single"/>
        </w:rPr>
      </w:pPr>
      <w:r>
        <w:rPr>
          <w:rFonts w:hint="eastAsia" w:hAnsi="宋体"/>
          <w:color w:val="auto"/>
          <w:sz w:val="24"/>
          <w:szCs w:val="24"/>
        </w:rPr>
        <w:t xml:space="preserve">□中标结果   </w:t>
      </w:r>
    </w:p>
    <w:p w14:paraId="36871D15">
      <w:pPr>
        <w:pStyle w:val="15"/>
        <w:spacing w:line="360" w:lineRule="auto"/>
        <w:ind w:left="25" w:leftChars="12" w:firstLine="472" w:firstLineChars="196"/>
        <w:rPr>
          <w:rFonts w:hAnsi="宋体"/>
          <w:b/>
          <w:color w:val="auto"/>
          <w:sz w:val="24"/>
          <w:szCs w:val="24"/>
        </w:rPr>
      </w:pPr>
      <w:r>
        <w:rPr>
          <w:rFonts w:hint="eastAsia" w:hAnsi="宋体"/>
          <w:b/>
          <w:color w:val="auto"/>
          <w:sz w:val="24"/>
          <w:szCs w:val="24"/>
        </w:rPr>
        <w:t>三、质疑事项具体内容</w:t>
      </w:r>
    </w:p>
    <w:p w14:paraId="1B4AA128">
      <w:pPr>
        <w:pStyle w:val="15"/>
        <w:spacing w:line="360" w:lineRule="auto"/>
        <w:ind w:left="25" w:leftChars="12" w:firstLine="472" w:firstLineChars="197"/>
        <w:rPr>
          <w:rFonts w:hAnsi="宋体"/>
          <w:color w:val="auto"/>
          <w:sz w:val="24"/>
          <w:szCs w:val="24"/>
        </w:rPr>
      </w:pPr>
      <w:r>
        <w:rPr>
          <w:rFonts w:hint="eastAsia" w:hAnsi="宋体"/>
          <w:color w:val="auto"/>
          <w:sz w:val="24"/>
          <w:szCs w:val="24"/>
        </w:rPr>
        <w:t>质疑事项1：</w:t>
      </w:r>
    </w:p>
    <w:p w14:paraId="5B01D56E">
      <w:pPr>
        <w:pStyle w:val="15"/>
        <w:spacing w:line="360" w:lineRule="auto"/>
        <w:ind w:left="25" w:leftChars="12" w:firstLine="472" w:firstLineChars="197"/>
        <w:rPr>
          <w:rFonts w:hAnsi="宋体"/>
          <w:color w:val="auto"/>
          <w:sz w:val="24"/>
          <w:szCs w:val="24"/>
        </w:rPr>
      </w:pPr>
      <w:r>
        <w:rPr>
          <w:rFonts w:hint="eastAsia" w:hAnsi="宋体"/>
          <w:color w:val="auto"/>
          <w:sz w:val="24"/>
          <w:szCs w:val="24"/>
        </w:rPr>
        <w:t>事实依据：</w:t>
      </w:r>
    </w:p>
    <w:p w14:paraId="59C997D4">
      <w:pPr>
        <w:pStyle w:val="15"/>
        <w:spacing w:line="360" w:lineRule="auto"/>
        <w:ind w:left="25" w:leftChars="12" w:firstLine="472" w:firstLineChars="197"/>
        <w:rPr>
          <w:rFonts w:hAnsi="宋体"/>
          <w:color w:val="auto"/>
          <w:sz w:val="24"/>
          <w:szCs w:val="24"/>
        </w:rPr>
      </w:pPr>
      <w:r>
        <w:rPr>
          <w:rFonts w:hint="eastAsia" w:hAnsi="宋体"/>
          <w:color w:val="auto"/>
          <w:sz w:val="24"/>
          <w:szCs w:val="24"/>
        </w:rPr>
        <w:t>法律依据：</w:t>
      </w:r>
    </w:p>
    <w:p w14:paraId="02BF7733">
      <w:pPr>
        <w:pStyle w:val="15"/>
        <w:spacing w:line="360" w:lineRule="auto"/>
        <w:ind w:left="25" w:leftChars="12" w:firstLine="472" w:firstLineChars="197"/>
        <w:rPr>
          <w:rFonts w:hAnsi="宋体"/>
          <w:color w:val="auto"/>
          <w:sz w:val="24"/>
          <w:szCs w:val="24"/>
        </w:rPr>
      </w:pPr>
      <w:r>
        <w:rPr>
          <w:rFonts w:hint="eastAsia" w:hAnsi="宋体"/>
          <w:color w:val="auto"/>
          <w:sz w:val="24"/>
          <w:szCs w:val="24"/>
        </w:rPr>
        <w:t>质疑事项2</w:t>
      </w:r>
    </w:p>
    <w:p w14:paraId="4B078EAE">
      <w:pPr>
        <w:pStyle w:val="15"/>
        <w:spacing w:line="360" w:lineRule="auto"/>
        <w:ind w:left="25" w:leftChars="12" w:firstLine="472" w:firstLineChars="197"/>
        <w:rPr>
          <w:rFonts w:hAnsi="宋体"/>
          <w:color w:val="auto"/>
          <w:sz w:val="24"/>
          <w:szCs w:val="24"/>
        </w:rPr>
      </w:pPr>
      <w:r>
        <w:rPr>
          <w:rFonts w:hAnsi="宋体"/>
          <w:color w:val="auto"/>
          <w:sz w:val="24"/>
          <w:szCs w:val="24"/>
        </w:rPr>
        <w:t>……</w:t>
      </w:r>
    </w:p>
    <w:p w14:paraId="58F34960">
      <w:pPr>
        <w:pStyle w:val="15"/>
        <w:spacing w:line="360" w:lineRule="auto"/>
        <w:ind w:left="25" w:leftChars="12" w:firstLine="472" w:firstLineChars="197"/>
        <w:rPr>
          <w:rFonts w:hAnsi="宋体"/>
          <w:color w:val="auto"/>
          <w:sz w:val="24"/>
          <w:szCs w:val="24"/>
        </w:rPr>
      </w:pPr>
      <w:r>
        <w:rPr>
          <w:rFonts w:hint="eastAsia" w:hAnsi="宋体"/>
          <w:color w:val="auto"/>
          <w:sz w:val="24"/>
          <w:szCs w:val="24"/>
        </w:rPr>
        <w:t>四、与质疑事项相关的质疑请求：</w:t>
      </w:r>
    </w:p>
    <w:p w14:paraId="6B412DEE">
      <w:pPr>
        <w:pStyle w:val="15"/>
        <w:spacing w:line="360" w:lineRule="auto"/>
        <w:ind w:left="25" w:leftChars="12" w:firstLine="472" w:firstLineChars="197"/>
        <w:rPr>
          <w:rFonts w:hAnsi="宋体"/>
          <w:color w:val="auto"/>
          <w:sz w:val="24"/>
          <w:szCs w:val="24"/>
        </w:rPr>
      </w:pPr>
      <w:r>
        <w:rPr>
          <w:rFonts w:hint="eastAsia" w:hAnsi="宋体"/>
          <w:color w:val="auto"/>
          <w:sz w:val="24"/>
          <w:szCs w:val="24"/>
        </w:rPr>
        <w:t>请求：</w:t>
      </w:r>
    </w:p>
    <w:p w14:paraId="5EACB3F3">
      <w:pPr>
        <w:pStyle w:val="15"/>
        <w:spacing w:line="360" w:lineRule="auto"/>
        <w:ind w:left="25" w:leftChars="12" w:firstLine="352" w:firstLineChars="147"/>
        <w:rPr>
          <w:rFonts w:hAnsi="宋体"/>
          <w:color w:val="auto"/>
          <w:sz w:val="24"/>
          <w:szCs w:val="24"/>
        </w:rPr>
      </w:pPr>
    </w:p>
    <w:p w14:paraId="1B7D610B">
      <w:pPr>
        <w:pStyle w:val="15"/>
        <w:spacing w:line="360" w:lineRule="auto"/>
        <w:ind w:left="25" w:leftChars="12" w:firstLine="472" w:firstLineChars="197"/>
        <w:rPr>
          <w:rFonts w:hAnsi="宋体"/>
          <w:color w:val="auto"/>
          <w:sz w:val="24"/>
          <w:szCs w:val="24"/>
        </w:rPr>
      </w:pPr>
      <w:r>
        <w:rPr>
          <w:rFonts w:hint="eastAsia" w:hAnsi="宋体"/>
          <w:color w:val="auto"/>
          <w:sz w:val="24"/>
          <w:szCs w:val="24"/>
        </w:rPr>
        <w:t>签字（签章）：                                       公章：</w:t>
      </w:r>
    </w:p>
    <w:p w14:paraId="25DCFC6A">
      <w:pPr>
        <w:pStyle w:val="15"/>
        <w:spacing w:line="360" w:lineRule="auto"/>
        <w:ind w:left="25" w:leftChars="12" w:firstLine="352" w:firstLineChars="147"/>
        <w:rPr>
          <w:rFonts w:hAnsi="宋体"/>
          <w:color w:val="auto"/>
          <w:sz w:val="24"/>
          <w:szCs w:val="24"/>
        </w:rPr>
      </w:pPr>
    </w:p>
    <w:p w14:paraId="395304A0">
      <w:pPr>
        <w:pStyle w:val="15"/>
        <w:spacing w:line="360" w:lineRule="auto"/>
        <w:ind w:left="25" w:leftChars="12" w:firstLine="472" w:firstLineChars="197"/>
        <w:rPr>
          <w:rFonts w:hAnsi="宋体"/>
          <w:color w:val="auto"/>
          <w:sz w:val="24"/>
          <w:szCs w:val="24"/>
        </w:rPr>
      </w:pPr>
      <w:r>
        <w:rPr>
          <w:rFonts w:hint="eastAsia" w:hAnsi="宋体"/>
          <w:color w:val="auto"/>
          <w:sz w:val="24"/>
          <w:szCs w:val="24"/>
        </w:rPr>
        <w:t>日期：</w:t>
      </w:r>
    </w:p>
    <w:p w14:paraId="27CE3427">
      <w:pPr>
        <w:pStyle w:val="15"/>
        <w:snapToGrid w:val="0"/>
        <w:spacing w:line="360" w:lineRule="auto"/>
        <w:rPr>
          <w:rFonts w:hAnsi="宋体"/>
          <w:b/>
          <w:color w:val="auto"/>
          <w:sz w:val="24"/>
          <w:szCs w:val="24"/>
        </w:rPr>
      </w:pPr>
    </w:p>
    <w:p w14:paraId="65F511C2">
      <w:pPr>
        <w:pStyle w:val="15"/>
        <w:snapToGrid w:val="0"/>
        <w:spacing w:line="360" w:lineRule="auto"/>
        <w:rPr>
          <w:rFonts w:hAnsi="宋体"/>
          <w:b/>
          <w:color w:val="auto"/>
          <w:sz w:val="24"/>
          <w:szCs w:val="24"/>
        </w:rPr>
      </w:pPr>
      <w:r>
        <w:rPr>
          <w:rFonts w:hint="eastAsia" w:hAnsi="宋体"/>
          <w:b/>
          <w:color w:val="auto"/>
          <w:sz w:val="24"/>
          <w:szCs w:val="24"/>
        </w:rPr>
        <w:t>说明：</w:t>
      </w:r>
    </w:p>
    <w:p w14:paraId="56E5EA10">
      <w:pPr>
        <w:pStyle w:val="15"/>
        <w:spacing w:line="360" w:lineRule="auto"/>
        <w:ind w:left="25" w:leftChars="12" w:firstLine="354" w:firstLineChars="147"/>
        <w:rPr>
          <w:rFonts w:hAnsi="宋体"/>
          <w:b/>
          <w:bCs/>
          <w:color w:val="auto"/>
          <w:sz w:val="24"/>
          <w:szCs w:val="24"/>
        </w:rPr>
      </w:pPr>
      <w:r>
        <w:rPr>
          <w:rFonts w:hint="eastAsia" w:hAnsi="宋体"/>
          <w:b/>
          <w:color w:val="auto"/>
          <w:sz w:val="24"/>
          <w:szCs w:val="24"/>
        </w:rPr>
        <w:t>1.供应商提出质疑时，应提交质疑函和必要的证明材料</w:t>
      </w:r>
      <w:r>
        <w:rPr>
          <w:rFonts w:hint="eastAsia" w:hAnsi="宋体"/>
          <w:b/>
          <w:bCs/>
          <w:color w:val="auto"/>
          <w:sz w:val="24"/>
          <w:szCs w:val="24"/>
        </w:rPr>
        <w:t>。</w:t>
      </w:r>
    </w:p>
    <w:p w14:paraId="038A76E1">
      <w:pPr>
        <w:pStyle w:val="15"/>
        <w:spacing w:line="360" w:lineRule="auto"/>
        <w:ind w:left="25" w:leftChars="12" w:firstLine="354" w:firstLineChars="147"/>
        <w:rPr>
          <w:rFonts w:hAnsi="宋体"/>
          <w:b/>
          <w:color w:val="auto"/>
          <w:sz w:val="24"/>
          <w:szCs w:val="24"/>
        </w:rPr>
      </w:pPr>
      <w:r>
        <w:rPr>
          <w:rFonts w:hint="eastAsia" w:hAnsi="宋体"/>
          <w:b/>
          <w:color w:val="auto"/>
          <w:sz w:val="24"/>
          <w:szCs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2461DD48">
      <w:pPr>
        <w:pStyle w:val="15"/>
        <w:spacing w:line="360" w:lineRule="auto"/>
        <w:ind w:left="25" w:leftChars="12" w:firstLine="354" w:firstLineChars="147"/>
        <w:rPr>
          <w:rFonts w:hAnsi="宋体"/>
          <w:b/>
          <w:color w:val="auto"/>
          <w:sz w:val="24"/>
          <w:szCs w:val="24"/>
        </w:rPr>
      </w:pPr>
      <w:r>
        <w:rPr>
          <w:rFonts w:hint="eastAsia" w:hAnsi="宋体"/>
          <w:b/>
          <w:color w:val="auto"/>
          <w:sz w:val="24"/>
          <w:szCs w:val="24"/>
        </w:rPr>
        <w:t>3.质疑函的质疑事项应具体、明确，并有必要的事实依据和法律依据。</w:t>
      </w:r>
    </w:p>
    <w:p w14:paraId="3B1E7943">
      <w:pPr>
        <w:pStyle w:val="15"/>
        <w:spacing w:line="360" w:lineRule="auto"/>
        <w:ind w:left="25" w:leftChars="12" w:firstLine="354" w:firstLineChars="147"/>
        <w:rPr>
          <w:rFonts w:hAnsi="宋体"/>
          <w:b/>
          <w:color w:val="auto"/>
          <w:sz w:val="24"/>
          <w:szCs w:val="24"/>
        </w:rPr>
      </w:pPr>
      <w:r>
        <w:rPr>
          <w:rFonts w:hint="eastAsia" w:hAnsi="宋体"/>
          <w:b/>
          <w:color w:val="auto"/>
          <w:sz w:val="24"/>
          <w:szCs w:val="24"/>
        </w:rPr>
        <w:t>4.质疑函的质疑请求应与质疑事项相关。</w:t>
      </w:r>
    </w:p>
    <w:p w14:paraId="0361F201">
      <w:pPr>
        <w:pStyle w:val="15"/>
        <w:spacing w:line="360" w:lineRule="auto"/>
        <w:ind w:left="25" w:leftChars="12" w:firstLine="354" w:firstLineChars="147"/>
        <w:rPr>
          <w:rFonts w:hAnsi="宋体"/>
          <w:b/>
          <w:color w:val="auto"/>
        </w:rPr>
      </w:pPr>
      <w:r>
        <w:rPr>
          <w:rFonts w:hint="eastAsia" w:hAnsi="宋体"/>
          <w:b/>
          <w:color w:val="auto"/>
          <w:sz w:val="24"/>
          <w:szCs w:val="24"/>
        </w:rPr>
        <w:t>5.质疑供应商为法人或者其他组织的，质疑函应由法定代表人、主要负责人，或者其授权代表签字或者盖章，并加盖公章。</w:t>
      </w:r>
    </w:p>
    <w:p w14:paraId="4637B9A6">
      <w:pPr>
        <w:pStyle w:val="15"/>
        <w:snapToGrid w:val="0"/>
        <w:rPr>
          <w:b/>
          <w:color w:val="auto"/>
          <w:sz w:val="24"/>
          <w:szCs w:val="24"/>
        </w:rPr>
      </w:pPr>
    </w:p>
    <w:p w14:paraId="16D9E289">
      <w:pPr>
        <w:spacing w:line="460" w:lineRule="exact"/>
        <w:jc w:val="center"/>
        <w:rPr>
          <w:rFonts w:eastAsia="隶书"/>
          <w:color w:val="auto"/>
          <w:sz w:val="44"/>
        </w:rPr>
      </w:pPr>
      <w:r>
        <w:rPr>
          <w:rFonts w:eastAsia="隶书"/>
          <w:color w:val="auto"/>
          <w:sz w:val="44"/>
        </w:rPr>
        <w:br w:type="page"/>
      </w:r>
    </w:p>
    <w:p w14:paraId="2D9C09A7">
      <w:pPr>
        <w:spacing w:line="360" w:lineRule="auto"/>
        <w:jc w:val="center"/>
        <w:rPr>
          <w:rFonts w:ascii="宋体" w:hAnsi="宋体"/>
          <w:b/>
          <w:bCs/>
          <w:color w:val="auto"/>
          <w:sz w:val="32"/>
          <w:szCs w:val="32"/>
        </w:rPr>
      </w:pPr>
      <w:r>
        <w:rPr>
          <w:rFonts w:hint="eastAsia" w:ascii="宋体" w:hAnsi="宋体"/>
          <w:b/>
          <w:bCs/>
          <w:color w:val="auto"/>
          <w:sz w:val="32"/>
          <w:szCs w:val="32"/>
        </w:rPr>
        <w:t>投诉书（格式）</w:t>
      </w:r>
    </w:p>
    <w:p w14:paraId="254C4AE0">
      <w:pPr>
        <w:pStyle w:val="15"/>
        <w:snapToGrid w:val="0"/>
        <w:spacing w:line="360" w:lineRule="auto"/>
        <w:ind w:firstLine="482" w:firstLineChars="200"/>
        <w:rPr>
          <w:rFonts w:hAnsi="宋体"/>
          <w:b/>
          <w:bCs/>
          <w:color w:val="auto"/>
          <w:sz w:val="24"/>
          <w:szCs w:val="24"/>
        </w:rPr>
      </w:pPr>
      <w:r>
        <w:rPr>
          <w:rFonts w:hint="eastAsia" w:hAnsi="宋体"/>
          <w:b/>
          <w:bCs/>
          <w:color w:val="auto"/>
          <w:sz w:val="24"/>
          <w:szCs w:val="24"/>
        </w:rPr>
        <w:t>一、投诉相关主体基本情况：</w:t>
      </w:r>
    </w:p>
    <w:p w14:paraId="040656B2">
      <w:pPr>
        <w:pStyle w:val="15"/>
        <w:snapToGrid w:val="0"/>
        <w:spacing w:line="360" w:lineRule="auto"/>
        <w:ind w:firstLine="480" w:firstLineChars="200"/>
        <w:rPr>
          <w:rFonts w:hAnsi="宋体"/>
          <w:bCs/>
          <w:color w:val="auto"/>
          <w:sz w:val="24"/>
          <w:szCs w:val="24"/>
          <w:u w:val="single"/>
        </w:rPr>
      </w:pPr>
      <w:r>
        <w:rPr>
          <w:rFonts w:hint="eastAsia" w:hAnsi="宋体"/>
          <w:bCs/>
          <w:color w:val="auto"/>
          <w:sz w:val="24"/>
          <w:szCs w:val="24"/>
        </w:rPr>
        <w:t>投标人：</w:t>
      </w:r>
    </w:p>
    <w:p w14:paraId="4513600C">
      <w:pPr>
        <w:pStyle w:val="15"/>
        <w:snapToGrid w:val="0"/>
        <w:spacing w:line="360" w:lineRule="auto"/>
        <w:ind w:firstLine="480" w:firstLineChars="200"/>
        <w:rPr>
          <w:rFonts w:hAnsi="宋体"/>
          <w:bCs/>
          <w:color w:val="auto"/>
          <w:sz w:val="24"/>
          <w:szCs w:val="24"/>
        </w:rPr>
      </w:pPr>
      <w:r>
        <w:rPr>
          <w:rFonts w:hAnsi="宋体"/>
          <w:bCs/>
          <w:color w:val="auto"/>
          <w:sz w:val="24"/>
          <w:szCs w:val="24"/>
        </w:rPr>
        <w:t>地址</w:t>
      </w:r>
      <w:r>
        <w:rPr>
          <w:rFonts w:hint="eastAsia" w:hAnsi="宋体"/>
          <w:bCs/>
          <w:color w:val="auto"/>
          <w:sz w:val="24"/>
          <w:szCs w:val="24"/>
        </w:rPr>
        <w:t>：</w:t>
      </w:r>
      <w:r>
        <w:rPr>
          <w:rFonts w:hint="eastAsia" w:hAnsi="宋体"/>
          <w:bCs/>
          <w:color w:val="auto"/>
          <w:sz w:val="24"/>
          <w:szCs w:val="24"/>
          <w:lang w:val="en-US" w:eastAsia="zh-CN"/>
        </w:rPr>
        <w:t xml:space="preserve">                      </w:t>
      </w:r>
      <w:r>
        <w:rPr>
          <w:rFonts w:hAnsi="宋体"/>
          <w:bCs/>
          <w:color w:val="auto"/>
          <w:sz w:val="24"/>
          <w:szCs w:val="24"/>
        </w:rPr>
        <w:t>邮编</w:t>
      </w:r>
      <w:r>
        <w:rPr>
          <w:rFonts w:hint="eastAsia" w:hAnsi="宋体"/>
          <w:bCs/>
          <w:color w:val="auto"/>
          <w:sz w:val="24"/>
          <w:szCs w:val="24"/>
        </w:rPr>
        <w:t>：</w:t>
      </w:r>
    </w:p>
    <w:p w14:paraId="5159A80F">
      <w:pPr>
        <w:pStyle w:val="15"/>
        <w:snapToGrid w:val="0"/>
        <w:spacing w:line="360" w:lineRule="auto"/>
        <w:ind w:firstLine="480" w:firstLineChars="200"/>
        <w:rPr>
          <w:rFonts w:hAnsi="宋体"/>
          <w:bCs/>
          <w:color w:val="auto"/>
          <w:sz w:val="24"/>
          <w:szCs w:val="24"/>
          <w:u w:val="single"/>
        </w:rPr>
      </w:pPr>
      <w:r>
        <w:rPr>
          <w:rFonts w:hint="eastAsia" w:hAnsi="宋体"/>
          <w:bCs/>
          <w:color w:val="auto"/>
          <w:sz w:val="24"/>
          <w:szCs w:val="24"/>
        </w:rPr>
        <w:t>法定代表人/主要负责人：</w:t>
      </w:r>
    </w:p>
    <w:p w14:paraId="4DCE5DE7">
      <w:pPr>
        <w:pStyle w:val="15"/>
        <w:snapToGrid w:val="0"/>
        <w:spacing w:line="360" w:lineRule="auto"/>
        <w:ind w:firstLine="480" w:firstLineChars="200"/>
        <w:rPr>
          <w:rFonts w:hAnsi="宋体"/>
          <w:bCs/>
          <w:color w:val="auto"/>
          <w:sz w:val="24"/>
          <w:szCs w:val="24"/>
        </w:rPr>
      </w:pPr>
      <w:r>
        <w:rPr>
          <w:rFonts w:hAnsi="宋体"/>
          <w:bCs/>
          <w:color w:val="auto"/>
          <w:sz w:val="24"/>
          <w:szCs w:val="24"/>
        </w:rPr>
        <w:t>联系电话</w:t>
      </w:r>
      <w:r>
        <w:rPr>
          <w:rFonts w:hint="eastAsia" w:hAnsi="宋体"/>
          <w:bCs/>
          <w:color w:val="auto"/>
          <w:sz w:val="24"/>
          <w:szCs w:val="24"/>
        </w:rPr>
        <w:t>：</w:t>
      </w:r>
    </w:p>
    <w:p w14:paraId="4FDCEED1">
      <w:pPr>
        <w:pStyle w:val="15"/>
        <w:snapToGrid w:val="0"/>
        <w:spacing w:line="360" w:lineRule="auto"/>
        <w:ind w:firstLine="480" w:firstLineChars="200"/>
        <w:rPr>
          <w:rFonts w:hAnsi="宋体"/>
          <w:bCs/>
          <w:color w:val="auto"/>
          <w:sz w:val="24"/>
          <w:szCs w:val="24"/>
          <w:u w:val="single"/>
        </w:rPr>
      </w:pPr>
      <w:r>
        <w:rPr>
          <w:rFonts w:hint="eastAsia" w:hAnsi="宋体"/>
          <w:bCs/>
          <w:color w:val="auto"/>
          <w:sz w:val="24"/>
          <w:szCs w:val="24"/>
        </w:rPr>
        <w:t>授权代表：</w:t>
      </w:r>
      <w:r>
        <w:rPr>
          <w:rFonts w:hint="eastAsia" w:hAnsi="宋体"/>
          <w:bCs/>
          <w:color w:val="auto"/>
          <w:sz w:val="24"/>
          <w:szCs w:val="24"/>
          <w:lang w:val="en-US" w:eastAsia="zh-CN"/>
        </w:rPr>
        <w:t xml:space="preserve">                  </w:t>
      </w:r>
      <w:r>
        <w:rPr>
          <w:rFonts w:hAnsi="宋体"/>
          <w:bCs/>
          <w:color w:val="auto"/>
          <w:sz w:val="24"/>
          <w:szCs w:val="24"/>
        </w:rPr>
        <w:t>联系</w:t>
      </w:r>
      <w:r>
        <w:rPr>
          <w:rFonts w:hint="eastAsia" w:hAnsi="宋体"/>
          <w:bCs/>
          <w:color w:val="auto"/>
          <w:sz w:val="24"/>
          <w:szCs w:val="24"/>
        </w:rPr>
        <w:t>电话：</w:t>
      </w:r>
    </w:p>
    <w:p w14:paraId="51A7185C">
      <w:pPr>
        <w:pStyle w:val="15"/>
        <w:snapToGrid w:val="0"/>
        <w:spacing w:line="360" w:lineRule="auto"/>
        <w:ind w:firstLine="480" w:firstLineChars="200"/>
        <w:rPr>
          <w:rFonts w:hAnsi="宋体"/>
          <w:bCs/>
          <w:color w:val="auto"/>
          <w:sz w:val="24"/>
          <w:szCs w:val="24"/>
        </w:rPr>
      </w:pPr>
      <w:r>
        <w:rPr>
          <w:rFonts w:hAnsi="宋体"/>
          <w:bCs/>
          <w:color w:val="auto"/>
          <w:sz w:val="24"/>
          <w:szCs w:val="24"/>
        </w:rPr>
        <w:t>地址</w:t>
      </w:r>
      <w:r>
        <w:rPr>
          <w:rFonts w:hint="eastAsia" w:hAnsi="宋体"/>
          <w:bCs/>
          <w:color w:val="auto"/>
          <w:sz w:val="24"/>
          <w:szCs w:val="24"/>
        </w:rPr>
        <w:t>：</w:t>
      </w:r>
      <w:r>
        <w:rPr>
          <w:rFonts w:hint="eastAsia" w:hAnsi="宋体"/>
          <w:bCs/>
          <w:color w:val="auto"/>
          <w:sz w:val="24"/>
          <w:szCs w:val="24"/>
          <w:lang w:val="en-US" w:eastAsia="zh-CN"/>
        </w:rPr>
        <w:t xml:space="preserve">                      </w:t>
      </w:r>
      <w:r>
        <w:rPr>
          <w:rFonts w:hAnsi="宋体"/>
          <w:bCs/>
          <w:color w:val="auto"/>
          <w:sz w:val="24"/>
          <w:szCs w:val="24"/>
        </w:rPr>
        <w:t>邮编</w:t>
      </w:r>
      <w:r>
        <w:rPr>
          <w:rFonts w:hint="eastAsia" w:hAnsi="宋体"/>
          <w:bCs/>
          <w:color w:val="auto"/>
          <w:sz w:val="24"/>
          <w:szCs w:val="24"/>
        </w:rPr>
        <w:t>：</w:t>
      </w:r>
    </w:p>
    <w:p w14:paraId="2FCB2954">
      <w:pPr>
        <w:pStyle w:val="15"/>
        <w:snapToGrid w:val="0"/>
        <w:spacing w:line="360" w:lineRule="auto"/>
        <w:ind w:firstLine="480" w:firstLineChars="200"/>
        <w:rPr>
          <w:rFonts w:hAnsi="宋体"/>
          <w:bCs/>
          <w:color w:val="auto"/>
          <w:sz w:val="24"/>
          <w:szCs w:val="24"/>
        </w:rPr>
      </w:pPr>
      <w:r>
        <w:rPr>
          <w:rFonts w:hint="eastAsia" w:hAnsi="宋体"/>
          <w:bCs/>
          <w:color w:val="auto"/>
          <w:sz w:val="24"/>
          <w:szCs w:val="24"/>
        </w:rPr>
        <w:t>被投诉人1：</w:t>
      </w:r>
    </w:p>
    <w:p w14:paraId="558B475C">
      <w:pPr>
        <w:pStyle w:val="15"/>
        <w:snapToGrid w:val="0"/>
        <w:spacing w:line="360" w:lineRule="auto"/>
        <w:ind w:firstLine="480" w:firstLineChars="200"/>
        <w:rPr>
          <w:rFonts w:hAnsi="宋体"/>
          <w:bCs/>
          <w:color w:val="auto"/>
          <w:sz w:val="24"/>
          <w:szCs w:val="24"/>
        </w:rPr>
      </w:pPr>
      <w:r>
        <w:rPr>
          <w:rFonts w:hint="eastAsia" w:hAnsi="宋体"/>
          <w:bCs/>
          <w:color w:val="auto"/>
          <w:sz w:val="24"/>
          <w:szCs w:val="24"/>
        </w:rPr>
        <w:t>地址：</w:t>
      </w:r>
      <w:r>
        <w:rPr>
          <w:rFonts w:hint="eastAsia" w:hAnsi="宋体"/>
          <w:bCs/>
          <w:color w:val="auto"/>
          <w:sz w:val="24"/>
          <w:szCs w:val="24"/>
          <w:lang w:val="en-US" w:eastAsia="zh-CN"/>
        </w:rPr>
        <w:t xml:space="preserve">                      </w:t>
      </w:r>
      <w:r>
        <w:rPr>
          <w:rFonts w:hAnsi="宋体"/>
          <w:bCs/>
          <w:color w:val="auto"/>
          <w:sz w:val="24"/>
          <w:szCs w:val="24"/>
        </w:rPr>
        <w:t>邮编</w:t>
      </w:r>
      <w:r>
        <w:rPr>
          <w:rFonts w:hint="eastAsia" w:hAnsi="宋体"/>
          <w:bCs/>
          <w:color w:val="auto"/>
          <w:sz w:val="24"/>
          <w:szCs w:val="24"/>
        </w:rPr>
        <w:t>：</w:t>
      </w:r>
    </w:p>
    <w:p w14:paraId="3E812F8D">
      <w:pPr>
        <w:pStyle w:val="15"/>
        <w:snapToGrid w:val="0"/>
        <w:spacing w:line="360" w:lineRule="auto"/>
        <w:ind w:firstLine="480" w:firstLineChars="200"/>
        <w:rPr>
          <w:rFonts w:hAnsi="宋体"/>
          <w:bCs/>
          <w:color w:val="auto"/>
          <w:sz w:val="24"/>
          <w:szCs w:val="24"/>
          <w:u w:val="single"/>
        </w:rPr>
      </w:pPr>
      <w:r>
        <w:rPr>
          <w:rFonts w:hint="eastAsia" w:hAnsi="宋体"/>
          <w:bCs/>
          <w:color w:val="auto"/>
          <w:sz w:val="24"/>
          <w:szCs w:val="24"/>
        </w:rPr>
        <w:t>联系人：</w:t>
      </w:r>
      <w:r>
        <w:rPr>
          <w:rFonts w:hint="eastAsia" w:hAnsi="宋体"/>
          <w:bCs/>
          <w:color w:val="auto"/>
          <w:sz w:val="24"/>
          <w:szCs w:val="24"/>
          <w:lang w:val="en-US" w:eastAsia="zh-CN"/>
        </w:rPr>
        <w:t xml:space="preserve">                    </w:t>
      </w:r>
      <w:r>
        <w:rPr>
          <w:rFonts w:hAnsi="宋体"/>
          <w:bCs/>
          <w:color w:val="auto"/>
          <w:sz w:val="24"/>
          <w:szCs w:val="24"/>
        </w:rPr>
        <w:t>联系</w:t>
      </w:r>
      <w:r>
        <w:rPr>
          <w:rFonts w:hint="eastAsia" w:hAnsi="宋体"/>
          <w:bCs/>
          <w:color w:val="auto"/>
          <w:sz w:val="24"/>
          <w:szCs w:val="24"/>
        </w:rPr>
        <w:t>电话：</w:t>
      </w:r>
    </w:p>
    <w:p w14:paraId="4B2962D9">
      <w:pPr>
        <w:pStyle w:val="15"/>
        <w:snapToGrid w:val="0"/>
        <w:spacing w:line="360" w:lineRule="auto"/>
        <w:ind w:firstLine="480" w:firstLineChars="200"/>
        <w:rPr>
          <w:rFonts w:hAnsi="宋体"/>
          <w:bCs/>
          <w:color w:val="auto"/>
          <w:sz w:val="24"/>
          <w:szCs w:val="24"/>
        </w:rPr>
      </w:pPr>
      <w:r>
        <w:rPr>
          <w:rFonts w:hint="eastAsia" w:hAnsi="宋体"/>
          <w:bCs/>
          <w:color w:val="auto"/>
          <w:sz w:val="24"/>
          <w:szCs w:val="24"/>
        </w:rPr>
        <w:t>被投诉人2：</w:t>
      </w:r>
    </w:p>
    <w:p w14:paraId="5083D191">
      <w:pPr>
        <w:pStyle w:val="15"/>
        <w:snapToGrid w:val="0"/>
        <w:spacing w:line="360" w:lineRule="auto"/>
        <w:ind w:firstLine="480" w:firstLineChars="200"/>
        <w:rPr>
          <w:rFonts w:hAnsi="宋体"/>
          <w:bCs/>
          <w:color w:val="auto"/>
          <w:sz w:val="24"/>
          <w:szCs w:val="24"/>
        </w:rPr>
      </w:pPr>
      <w:r>
        <w:rPr>
          <w:rFonts w:hAnsi="宋体"/>
          <w:bCs/>
          <w:color w:val="auto"/>
          <w:sz w:val="24"/>
          <w:szCs w:val="24"/>
        </w:rPr>
        <w:t>……</w:t>
      </w:r>
    </w:p>
    <w:p w14:paraId="6665756D">
      <w:pPr>
        <w:pStyle w:val="15"/>
        <w:snapToGrid w:val="0"/>
        <w:spacing w:line="360" w:lineRule="auto"/>
        <w:ind w:firstLine="480" w:firstLineChars="200"/>
        <w:rPr>
          <w:rFonts w:hAnsi="宋体"/>
          <w:bCs/>
          <w:color w:val="auto"/>
          <w:sz w:val="24"/>
          <w:szCs w:val="24"/>
          <w:u w:val="single"/>
        </w:rPr>
      </w:pPr>
      <w:r>
        <w:rPr>
          <w:rFonts w:hint="eastAsia" w:hAnsi="宋体"/>
          <w:bCs/>
          <w:color w:val="auto"/>
          <w:sz w:val="24"/>
          <w:szCs w:val="24"/>
        </w:rPr>
        <w:t>相关供应商：</w:t>
      </w:r>
    </w:p>
    <w:p w14:paraId="294F478B">
      <w:pPr>
        <w:pStyle w:val="15"/>
        <w:snapToGrid w:val="0"/>
        <w:spacing w:line="360" w:lineRule="auto"/>
        <w:ind w:firstLine="480" w:firstLineChars="200"/>
        <w:rPr>
          <w:rFonts w:hAnsi="宋体"/>
          <w:bCs/>
          <w:color w:val="auto"/>
          <w:sz w:val="24"/>
          <w:szCs w:val="24"/>
          <w:u w:val="single"/>
        </w:rPr>
      </w:pPr>
      <w:r>
        <w:rPr>
          <w:rFonts w:hAnsi="宋体"/>
          <w:bCs/>
          <w:color w:val="auto"/>
          <w:sz w:val="24"/>
          <w:szCs w:val="24"/>
        </w:rPr>
        <w:t>地址</w:t>
      </w:r>
      <w:r>
        <w:rPr>
          <w:rFonts w:hint="eastAsia" w:hAnsi="宋体"/>
          <w:bCs/>
          <w:color w:val="auto"/>
          <w:sz w:val="24"/>
          <w:szCs w:val="24"/>
        </w:rPr>
        <w:t>：</w:t>
      </w:r>
      <w:r>
        <w:rPr>
          <w:rFonts w:hint="eastAsia" w:hAnsi="宋体"/>
          <w:bCs/>
          <w:color w:val="auto"/>
          <w:sz w:val="24"/>
          <w:szCs w:val="24"/>
          <w:lang w:val="en-US" w:eastAsia="zh-CN"/>
        </w:rPr>
        <w:t xml:space="preserve">                      </w:t>
      </w:r>
      <w:r>
        <w:rPr>
          <w:rFonts w:hAnsi="宋体"/>
          <w:bCs/>
          <w:color w:val="auto"/>
          <w:sz w:val="24"/>
          <w:szCs w:val="24"/>
        </w:rPr>
        <w:t>邮编</w:t>
      </w:r>
      <w:r>
        <w:rPr>
          <w:rFonts w:hint="eastAsia" w:hAnsi="宋体"/>
          <w:bCs/>
          <w:color w:val="auto"/>
          <w:sz w:val="24"/>
          <w:szCs w:val="24"/>
        </w:rPr>
        <w:t>：</w:t>
      </w:r>
    </w:p>
    <w:p w14:paraId="6F79EA0E">
      <w:pPr>
        <w:pStyle w:val="15"/>
        <w:snapToGrid w:val="0"/>
        <w:spacing w:line="360" w:lineRule="auto"/>
        <w:ind w:firstLine="480" w:firstLineChars="200"/>
        <w:rPr>
          <w:rFonts w:hAnsi="宋体"/>
          <w:bCs/>
          <w:color w:val="auto"/>
          <w:sz w:val="24"/>
          <w:szCs w:val="24"/>
        </w:rPr>
      </w:pPr>
      <w:r>
        <w:rPr>
          <w:rFonts w:hint="eastAsia" w:hAnsi="宋体"/>
          <w:bCs/>
          <w:color w:val="auto"/>
          <w:sz w:val="24"/>
          <w:szCs w:val="24"/>
        </w:rPr>
        <w:t>联系人：</w:t>
      </w:r>
      <w:r>
        <w:rPr>
          <w:rFonts w:hint="eastAsia" w:hAnsi="宋体"/>
          <w:bCs/>
          <w:color w:val="auto"/>
          <w:sz w:val="24"/>
          <w:szCs w:val="24"/>
          <w:lang w:val="en-US" w:eastAsia="zh-CN"/>
        </w:rPr>
        <w:t xml:space="preserve">                    </w:t>
      </w:r>
      <w:r>
        <w:rPr>
          <w:rFonts w:hAnsi="宋体"/>
          <w:bCs/>
          <w:color w:val="auto"/>
          <w:sz w:val="24"/>
          <w:szCs w:val="24"/>
        </w:rPr>
        <w:t>联系</w:t>
      </w:r>
      <w:r>
        <w:rPr>
          <w:rFonts w:hint="eastAsia" w:hAnsi="宋体"/>
          <w:bCs/>
          <w:color w:val="auto"/>
          <w:sz w:val="24"/>
          <w:szCs w:val="24"/>
        </w:rPr>
        <w:t>电话：</w:t>
      </w:r>
    </w:p>
    <w:p w14:paraId="12FD5A8B">
      <w:pPr>
        <w:pStyle w:val="15"/>
        <w:snapToGrid w:val="0"/>
        <w:spacing w:line="360" w:lineRule="auto"/>
        <w:ind w:firstLine="482" w:firstLineChars="200"/>
        <w:rPr>
          <w:rFonts w:hAnsi="宋体"/>
          <w:b/>
          <w:bCs/>
          <w:color w:val="auto"/>
          <w:sz w:val="24"/>
          <w:szCs w:val="24"/>
        </w:rPr>
      </w:pPr>
      <w:r>
        <w:rPr>
          <w:rFonts w:hint="eastAsia" w:hAnsi="宋体"/>
          <w:b/>
          <w:bCs/>
          <w:color w:val="auto"/>
          <w:sz w:val="24"/>
          <w:szCs w:val="24"/>
        </w:rPr>
        <w:t>二、投诉项目基本情况：</w:t>
      </w:r>
    </w:p>
    <w:p w14:paraId="29C59107">
      <w:pPr>
        <w:pStyle w:val="15"/>
        <w:spacing w:line="360" w:lineRule="auto"/>
        <w:ind w:left="25" w:leftChars="12" w:firstLine="472" w:firstLineChars="197"/>
        <w:rPr>
          <w:rFonts w:hAnsi="宋体"/>
          <w:color w:val="auto"/>
          <w:sz w:val="24"/>
          <w:szCs w:val="24"/>
        </w:rPr>
      </w:pPr>
      <w:r>
        <w:rPr>
          <w:rFonts w:hint="eastAsia" w:hAnsi="宋体"/>
          <w:bCs/>
          <w:color w:val="auto"/>
          <w:sz w:val="24"/>
          <w:szCs w:val="24"/>
        </w:rPr>
        <w:t>采购</w:t>
      </w:r>
      <w:r>
        <w:rPr>
          <w:rFonts w:hint="eastAsia" w:hAnsi="宋体"/>
          <w:color w:val="auto"/>
          <w:sz w:val="24"/>
          <w:szCs w:val="24"/>
        </w:rPr>
        <w:t>项目的名称：</w:t>
      </w:r>
    </w:p>
    <w:p w14:paraId="33DD1C81">
      <w:pPr>
        <w:pStyle w:val="15"/>
        <w:spacing w:line="360" w:lineRule="auto"/>
        <w:ind w:left="25" w:leftChars="12" w:firstLine="472" w:firstLineChars="197"/>
        <w:rPr>
          <w:rFonts w:hAnsi="宋体"/>
          <w:color w:val="auto"/>
          <w:sz w:val="24"/>
          <w:szCs w:val="24"/>
        </w:rPr>
      </w:pPr>
      <w:r>
        <w:rPr>
          <w:rFonts w:hint="eastAsia" w:hAnsi="宋体"/>
          <w:bCs/>
          <w:color w:val="auto"/>
          <w:sz w:val="24"/>
          <w:szCs w:val="24"/>
        </w:rPr>
        <w:t>采购</w:t>
      </w:r>
      <w:r>
        <w:rPr>
          <w:rFonts w:hint="eastAsia" w:hAnsi="宋体"/>
          <w:color w:val="auto"/>
          <w:sz w:val="24"/>
          <w:szCs w:val="24"/>
        </w:rPr>
        <w:t>项目的编号：</w:t>
      </w:r>
    </w:p>
    <w:p w14:paraId="7B0DEDBF">
      <w:pPr>
        <w:pStyle w:val="15"/>
        <w:spacing w:line="360" w:lineRule="auto"/>
        <w:ind w:left="25" w:leftChars="12" w:firstLine="472" w:firstLineChars="197"/>
        <w:rPr>
          <w:rFonts w:hAnsi="宋体"/>
          <w:bCs/>
          <w:color w:val="auto"/>
          <w:sz w:val="24"/>
          <w:szCs w:val="24"/>
          <w:u w:val="single"/>
        </w:rPr>
      </w:pPr>
      <w:r>
        <w:rPr>
          <w:rFonts w:hint="eastAsia" w:hAnsi="宋体"/>
          <w:color w:val="auto"/>
          <w:sz w:val="24"/>
          <w:szCs w:val="24"/>
        </w:rPr>
        <w:t>采购人名称：</w:t>
      </w:r>
    </w:p>
    <w:p w14:paraId="3C245D96">
      <w:pPr>
        <w:pStyle w:val="15"/>
        <w:spacing w:line="360" w:lineRule="auto"/>
        <w:ind w:left="25" w:leftChars="12" w:firstLine="472" w:firstLineChars="197"/>
        <w:rPr>
          <w:rFonts w:hAnsi="宋体"/>
          <w:bCs/>
          <w:color w:val="auto"/>
          <w:sz w:val="24"/>
          <w:szCs w:val="24"/>
          <w:u w:val="single"/>
        </w:rPr>
      </w:pPr>
      <w:r>
        <w:rPr>
          <w:rFonts w:hint="eastAsia" w:hAnsi="宋体"/>
          <w:color w:val="auto"/>
          <w:sz w:val="24"/>
          <w:szCs w:val="24"/>
        </w:rPr>
        <w:t>代理机构名称：</w:t>
      </w:r>
    </w:p>
    <w:p w14:paraId="33955A02">
      <w:pPr>
        <w:pStyle w:val="15"/>
        <w:spacing w:line="360" w:lineRule="auto"/>
        <w:ind w:left="25" w:leftChars="12" w:firstLine="472" w:firstLineChars="197"/>
        <w:rPr>
          <w:rFonts w:hAnsi="宋体"/>
          <w:bCs/>
          <w:color w:val="auto"/>
          <w:sz w:val="24"/>
          <w:szCs w:val="24"/>
          <w:u w:val="single"/>
        </w:rPr>
      </w:pPr>
      <w:r>
        <w:rPr>
          <w:rFonts w:hint="eastAsia" w:hAnsi="宋体"/>
          <w:bCs/>
          <w:color w:val="auto"/>
          <w:sz w:val="24"/>
          <w:szCs w:val="24"/>
        </w:rPr>
        <w:t>招标文件公告：</w:t>
      </w:r>
      <w:r>
        <w:rPr>
          <w:rFonts w:hint="eastAsia" w:hAnsi="宋体"/>
          <w:bCs/>
          <w:color w:val="auto"/>
          <w:sz w:val="24"/>
          <w:szCs w:val="24"/>
          <w:u w:val="single"/>
        </w:rPr>
        <w:t>是/否</w:t>
      </w:r>
      <w:r>
        <w:rPr>
          <w:rFonts w:hint="eastAsia" w:hAnsi="宋体"/>
          <w:bCs/>
          <w:color w:val="auto"/>
          <w:sz w:val="24"/>
          <w:szCs w:val="24"/>
        </w:rPr>
        <w:t>公告期限：</w:t>
      </w:r>
    </w:p>
    <w:p w14:paraId="321DE241">
      <w:pPr>
        <w:pStyle w:val="15"/>
        <w:spacing w:line="360" w:lineRule="auto"/>
        <w:ind w:left="25" w:leftChars="12" w:firstLine="472" w:firstLineChars="197"/>
        <w:rPr>
          <w:rFonts w:hAnsi="宋体"/>
          <w:b/>
          <w:color w:val="auto"/>
          <w:sz w:val="24"/>
          <w:szCs w:val="24"/>
        </w:rPr>
      </w:pPr>
      <w:r>
        <w:rPr>
          <w:rFonts w:hint="eastAsia" w:hAnsi="宋体"/>
          <w:bCs/>
          <w:color w:val="auto"/>
          <w:sz w:val="24"/>
          <w:szCs w:val="24"/>
        </w:rPr>
        <w:t>采购结果公告：</w:t>
      </w:r>
      <w:r>
        <w:rPr>
          <w:rFonts w:hint="eastAsia" w:hAnsi="宋体"/>
          <w:bCs/>
          <w:color w:val="auto"/>
          <w:sz w:val="24"/>
          <w:szCs w:val="24"/>
          <w:u w:val="single"/>
        </w:rPr>
        <w:t>是/否</w:t>
      </w:r>
      <w:r>
        <w:rPr>
          <w:rFonts w:hint="eastAsia" w:hAnsi="宋体"/>
          <w:bCs/>
          <w:color w:val="auto"/>
          <w:sz w:val="24"/>
          <w:szCs w:val="24"/>
        </w:rPr>
        <w:t>公告期限：</w:t>
      </w:r>
    </w:p>
    <w:p w14:paraId="7A262AB9">
      <w:pPr>
        <w:pStyle w:val="15"/>
        <w:spacing w:line="360" w:lineRule="auto"/>
        <w:ind w:left="25" w:leftChars="12" w:firstLine="472" w:firstLineChars="196"/>
        <w:rPr>
          <w:rFonts w:hAnsi="宋体"/>
          <w:b/>
          <w:color w:val="auto"/>
          <w:sz w:val="24"/>
          <w:szCs w:val="24"/>
        </w:rPr>
      </w:pPr>
      <w:r>
        <w:rPr>
          <w:rFonts w:hint="eastAsia" w:hAnsi="宋体"/>
          <w:b/>
          <w:color w:val="auto"/>
          <w:sz w:val="24"/>
          <w:szCs w:val="24"/>
        </w:rPr>
        <w:t>三、质疑基本情况</w:t>
      </w:r>
    </w:p>
    <w:p w14:paraId="25EED8B1">
      <w:pPr>
        <w:pStyle w:val="15"/>
        <w:spacing w:line="360" w:lineRule="auto"/>
        <w:ind w:left="25" w:leftChars="12" w:firstLine="952" w:firstLineChars="397"/>
        <w:rPr>
          <w:rFonts w:hAnsi="宋体"/>
          <w:color w:val="auto"/>
          <w:sz w:val="24"/>
          <w:szCs w:val="24"/>
        </w:rPr>
      </w:pPr>
      <w:r>
        <w:rPr>
          <w:rFonts w:hint="eastAsia" w:hAnsi="宋体"/>
          <w:color w:val="auto"/>
          <w:sz w:val="24"/>
          <w:szCs w:val="24"/>
        </w:rPr>
        <w:t>投诉人于</w:t>
      </w:r>
      <w:r>
        <w:rPr>
          <w:rFonts w:hint="eastAsia" w:hAnsi="宋体"/>
          <w:color w:val="auto"/>
          <w:sz w:val="24"/>
          <w:szCs w:val="24"/>
          <w:lang w:val="en-US" w:eastAsia="zh-CN"/>
        </w:rPr>
        <w:t xml:space="preserve">  </w:t>
      </w:r>
      <w:r>
        <w:rPr>
          <w:rFonts w:hint="eastAsia" w:hAnsi="宋体"/>
          <w:color w:val="auto"/>
          <w:sz w:val="24"/>
          <w:szCs w:val="24"/>
        </w:rPr>
        <w:t>年</w:t>
      </w:r>
      <w:r>
        <w:rPr>
          <w:rFonts w:hint="eastAsia" w:hAnsi="宋体"/>
          <w:color w:val="auto"/>
          <w:sz w:val="24"/>
          <w:szCs w:val="24"/>
          <w:lang w:val="en-US" w:eastAsia="zh-CN"/>
        </w:rPr>
        <w:t xml:space="preserve">  </w:t>
      </w:r>
      <w:r>
        <w:rPr>
          <w:rFonts w:hint="eastAsia" w:hAnsi="宋体"/>
          <w:color w:val="auto"/>
          <w:sz w:val="24"/>
          <w:szCs w:val="24"/>
        </w:rPr>
        <w:t>月</w:t>
      </w:r>
      <w:r>
        <w:rPr>
          <w:rFonts w:hint="eastAsia" w:hAnsi="宋体"/>
          <w:color w:val="auto"/>
          <w:sz w:val="24"/>
          <w:szCs w:val="24"/>
          <w:lang w:val="en-US" w:eastAsia="zh-CN"/>
        </w:rPr>
        <w:t xml:space="preserve">  </w:t>
      </w:r>
      <w:r>
        <w:rPr>
          <w:rFonts w:hint="eastAsia" w:hAnsi="宋体"/>
          <w:color w:val="auto"/>
          <w:sz w:val="24"/>
          <w:szCs w:val="24"/>
        </w:rPr>
        <w:t>日，向提出质疑，质疑事项为：</w:t>
      </w:r>
    </w:p>
    <w:p w14:paraId="07F754C4">
      <w:pPr>
        <w:pStyle w:val="15"/>
        <w:spacing w:line="360" w:lineRule="auto"/>
        <w:ind w:firstLine="241"/>
        <w:rPr>
          <w:rFonts w:hAnsi="宋体"/>
          <w:bCs/>
          <w:color w:val="auto"/>
          <w:sz w:val="24"/>
          <w:szCs w:val="24"/>
          <w:u w:val="single"/>
        </w:rPr>
      </w:pPr>
    </w:p>
    <w:p w14:paraId="6518AF03">
      <w:pPr>
        <w:pStyle w:val="15"/>
        <w:spacing w:line="360" w:lineRule="auto"/>
        <w:ind w:firstLine="241"/>
        <w:rPr>
          <w:rFonts w:hAnsi="宋体"/>
          <w:bCs/>
          <w:color w:val="auto"/>
          <w:sz w:val="24"/>
          <w:szCs w:val="24"/>
          <w:u w:val="single"/>
        </w:rPr>
      </w:pPr>
    </w:p>
    <w:p w14:paraId="7D4C7A31">
      <w:pPr>
        <w:pStyle w:val="15"/>
        <w:spacing w:line="360" w:lineRule="auto"/>
        <w:ind w:firstLine="241"/>
        <w:rPr>
          <w:rFonts w:hAnsi="宋体"/>
          <w:color w:val="auto"/>
          <w:sz w:val="24"/>
          <w:szCs w:val="24"/>
        </w:rPr>
      </w:pPr>
      <w:r>
        <w:rPr>
          <w:rFonts w:hint="eastAsia" w:hAnsi="宋体"/>
          <w:bCs/>
          <w:color w:val="auto"/>
          <w:sz w:val="24"/>
          <w:szCs w:val="24"/>
          <w:u w:val="single"/>
        </w:rPr>
        <w:t>采购人/代理机构</w:t>
      </w:r>
      <w:r>
        <w:rPr>
          <w:rFonts w:hint="eastAsia" w:hAnsi="宋体"/>
          <w:bCs/>
          <w:color w:val="auto"/>
          <w:sz w:val="24"/>
          <w:szCs w:val="24"/>
        </w:rPr>
        <w:t>于</w:t>
      </w:r>
      <w:r>
        <w:rPr>
          <w:rFonts w:hint="eastAsia" w:hAnsi="宋体"/>
          <w:color w:val="auto"/>
          <w:sz w:val="24"/>
          <w:szCs w:val="24"/>
        </w:rPr>
        <w:t>年月日，</w:t>
      </w:r>
      <w:r>
        <w:rPr>
          <w:rFonts w:hint="eastAsia" w:hAnsi="宋体"/>
          <w:bCs/>
          <w:color w:val="auto"/>
          <w:sz w:val="24"/>
          <w:szCs w:val="24"/>
        </w:rPr>
        <w:t xml:space="preserve">就质疑事项作出了答复/没有在法定期限内作出答复。                                                                                             </w:t>
      </w:r>
    </w:p>
    <w:p w14:paraId="67FE3E62">
      <w:pPr>
        <w:pStyle w:val="15"/>
        <w:spacing w:line="360" w:lineRule="auto"/>
        <w:ind w:left="25" w:leftChars="12" w:firstLine="472" w:firstLineChars="196"/>
        <w:rPr>
          <w:rFonts w:hAnsi="宋体"/>
          <w:b/>
          <w:color w:val="auto"/>
          <w:sz w:val="24"/>
          <w:szCs w:val="24"/>
        </w:rPr>
      </w:pPr>
      <w:r>
        <w:rPr>
          <w:rFonts w:hint="eastAsia" w:hAnsi="宋体"/>
          <w:b/>
          <w:color w:val="auto"/>
          <w:sz w:val="24"/>
          <w:szCs w:val="24"/>
        </w:rPr>
        <w:t>四、投诉事项具体内容</w:t>
      </w:r>
    </w:p>
    <w:p w14:paraId="0CCA006F">
      <w:pPr>
        <w:pStyle w:val="15"/>
        <w:spacing w:line="360" w:lineRule="auto"/>
        <w:ind w:left="25" w:leftChars="12" w:firstLine="472" w:firstLineChars="197"/>
        <w:rPr>
          <w:rFonts w:hAnsi="宋体"/>
          <w:bCs/>
          <w:color w:val="auto"/>
          <w:sz w:val="24"/>
          <w:szCs w:val="24"/>
          <w:u w:val="single"/>
        </w:rPr>
      </w:pPr>
      <w:r>
        <w:rPr>
          <w:rFonts w:hint="eastAsia" w:hAnsi="宋体"/>
          <w:color w:val="auto"/>
          <w:sz w:val="24"/>
          <w:szCs w:val="24"/>
        </w:rPr>
        <w:t>投诉事项1：</w:t>
      </w:r>
    </w:p>
    <w:p w14:paraId="7EE75CB6">
      <w:pPr>
        <w:pStyle w:val="15"/>
        <w:spacing w:line="360" w:lineRule="auto"/>
        <w:ind w:firstLine="480" w:firstLineChars="200"/>
        <w:rPr>
          <w:rFonts w:hAnsi="宋体"/>
          <w:bCs/>
          <w:color w:val="auto"/>
          <w:sz w:val="24"/>
          <w:szCs w:val="24"/>
          <w:u w:val="single"/>
        </w:rPr>
      </w:pPr>
      <w:r>
        <w:rPr>
          <w:rFonts w:hint="eastAsia" w:hAnsi="宋体"/>
          <w:bCs/>
          <w:color w:val="auto"/>
          <w:sz w:val="24"/>
          <w:szCs w:val="24"/>
        </w:rPr>
        <w:t>事实依据：</w:t>
      </w:r>
    </w:p>
    <w:p w14:paraId="15516930">
      <w:pPr>
        <w:pStyle w:val="15"/>
        <w:spacing w:line="360" w:lineRule="auto"/>
        <w:ind w:left="25" w:leftChars="12" w:firstLine="472" w:firstLineChars="197"/>
        <w:rPr>
          <w:rFonts w:hAnsi="宋体"/>
          <w:color w:val="auto"/>
          <w:sz w:val="24"/>
          <w:szCs w:val="24"/>
        </w:rPr>
      </w:pPr>
    </w:p>
    <w:p w14:paraId="6A96AA17">
      <w:pPr>
        <w:pStyle w:val="15"/>
        <w:spacing w:line="360" w:lineRule="auto"/>
        <w:ind w:firstLine="480" w:firstLineChars="200"/>
        <w:rPr>
          <w:rFonts w:hAnsi="宋体"/>
          <w:bCs/>
          <w:color w:val="auto"/>
          <w:sz w:val="24"/>
          <w:szCs w:val="24"/>
          <w:u w:val="single"/>
        </w:rPr>
      </w:pPr>
      <w:r>
        <w:rPr>
          <w:rFonts w:hint="eastAsia" w:hAnsi="宋体"/>
          <w:bCs/>
          <w:color w:val="auto"/>
          <w:sz w:val="24"/>
          <w:szCs w:val="24"/>
        </w:rPr>
        <w:t>法律依据：</w:t>
      </w:r>
    </w:p>
    <w:p w14:paraId="497F1BBB">
      <w:pPr>
        <w:pStyle w:val="15"/>
        <w:spacing w:line="360" w:lineRule="auto"/>
        <w:ind w:left="25" w:leftChars="12" w:firstLine="352" w:firstLineChars="147"/>
        <w:rPr>
          <w:rFonts w:hAnsi="宋体"/>
          <w:bCs/>
          <w:color w:val="auto"/>
          <w:sz w:val="24"/>
          <w:szCs w:val="24"/>
          <w:u w:val="single"/>
        </w:rPr>
      </w:pPr>
    </w:p>
    <w:p w14:paraId="1C028DFF">
      <w:pPr>
        <w:pStyle w:val="15"/>
        <w:spacing w:line="360" w:lineRule="auto"/>
        <w:ind w:left="25" w:leftChars="12" w:firstLine="472" w:firstLineChars="197"/>
        <w:rPr>
          <w:rFonts w:hAnsi="宋体"/>
          <w:bCs/>
          <w:color w:val="auto"/>
          <w:sz w:val="24"/>
          <w:szCs w:val="24"/>
        </w:rPr>
      </w:pPr>
      <w:r>
        <w:rPr>
          <w:rFonts w:hint="eastAsia" w:hAnsi="宋体"/>
          <w:color w:val="auto"/>
          <w:sz w:val="24"/>
          <w:szCs w:val="24"/>
        </w:rPr>
        <w:t xml:space="preserve">投诉事项2  </w:t>
      </w:r>
    </w:p>
    <w:p w14:paraId="60587018">
      <w:pPr>
        <w:pStyle w:val="15"/>
        <w:spacing w:line="360" w:lineRule="auto"/>
        <w:ind w:left="25" w:leftChars="12" w:firstLine="472" w:firstLineChars="197"/>
        <w:rPr>
          <w:rFonts w:hAnsi="宋体"/>
          <w:bCs/>
          <w:color w:val="auto"/>
          <w:sz w:val="24"/>
          <w:szCs w:val="24"/>
        </w:rPr>
      </w:pPr>
      <w:r>
        <w:rPr>
          <w:rFonts w:hAnsi="宋体"/>
          <w:bCs/>
          <w:color w:val="auto"/>
          <w:sz w:val="24"/>
          <w:szCs w:val="24"/>
        </w:rPr>
        <w:t>……</w:t>
      </w:r>
    </w:p>
    <w:p w14:paraId="0C9FDF70">
      <w:pPr>
        <w:pStyle w:val="15"/>
        <w:spacing w:line="360" w:lineRule="auto"/>
        <w:ind w:left="25" w:leftChars="12" w:firstLine="472" w:firstLineChars="196"/>
        <w:rPr>
          <w:rFonts w:hAnsi="宋体"/>
          <w:b/>
          <w:color w:val="auto"/>
          <w:sz w:val="24"/>
          <w:szCs w:val="24"/>
        </w:rPr>
      </w:pPr>
      <w:r>
        <w:rPr>
          <w:rFonts w:hint="eastAsia" w:hAnsi="宋体"/>
          <w:b/>
          <w:color w:val="auto"/>
          <w:sz w:val="24"/>
          <w:szCs w:val="24"/>
        </w:rPr>
        <w:t>五、与投诉事项相关的投诉请求：</w:t>
      </w:r>
    </w:p>
    <w:p w14:paraId="0283FDF0">
      <w:pPr>
        <w:pStyle w:val="15"/>
        <w:spacing w:line="360" w:lineRule="auto"/>
        <w:ind w:left="25" w:leftChars="12" w:firstLine="472" w:firstLineChars="197"/>
        <w:rPr>
          <w:rFonts w:hAnsi="宋体"/>
          <w:color w:val="auto"/>
          <w:sz w:val="24"/>
          <w:szCs w:val="24"/>
        </w:rPr>
      </w:pPr>
      <w:r>
        <w:rPr>
          <w:rFonts w:hint="eastAsia" w:hAnsi="宋体"/>
          <w:color w:val="auto"/>
          <w:sz w:val="24"/>
          <w:szCs w:val="24"/>
        </w:rPr>
        <w:t>请求：</w:t>
      </w:r>
    </w:p>
    <w:p w14:paraId="3A7BF10B">
      <w:pPr>
        <w:pStyle w:val="15"/>
        <w:spacing w:line="360" w:lineRule="auto"/>
        <w:ind w:left="25" w:leftChars="12" w:firstLine="352" w:firstLineChars="147"/>
        <w:rPr>
          <w:rFonts w:hAnsi="宋体"/>
          <w:color w:val="auto"/>
          <w:sz w:val="24"/>
          <w:szCs w:val="24"/>
        </w:rPr>
      </w:pPr>
    </w:p>
    <w:p w14:paraId="665CCA9D">
      <w:pPr>
        <w:pStyle w:val="15"/>
        <w:spacing w:line="360" w:lineRule="auto"/>
        <w:ind w:left="25" w:leftChars="12" w:firstLine="472" w:firstLineChars="197"/>
        <w:rPr>
          <w:rFonts w:hAnsi="宋体"/>
          <w:color w:val="auto"/>
          <w:sz w:val="24"/>
          <w:szCs w:val="24"/>
        </w:rPr>
      </w:pPr>
      <w:r>
        <w:rPr>
          <w:rFonts w:hint="eastAsia" w:hAnsi="宋体"/>
          <w:color w:val="auto"/>
          <w:sz w:val="24"/>
          <w:szCs w:val="24"/>
        </w:rPr>
        <w:t>签字（签章）：                                       公章：</w:t>
      </w:r>
    </w:p>
    <w:p w14:paraId="4BFA36AC">
      <w:pPr>
        <w:pStyle w:val="15"/>
        <w:spacing w:line="360" w:lineRule="auto"/>
        <w:ind w:left="25" w:leftChars="12" w:firstLine="352" w:firstLineChars="147"/>
        <w:rPr>
          <w:rFonts w:hAnsi="宋体"/>
          <w:color w:val="auto"/>
          <w:sz w:val="24"/>
          <w:szCs w:val="24"/>
        </w:rPr>
      </w:pPr>
    </w:p>
    <w:p w14:paraId="17901BEE">
      <w:pPr>
        <w:pStyle w:val="15"/>
        <w:spacing w:line="360" w:lineRule="auto"/>
        <w:ind w:left="25" w:leftChars="12" w:firstLine="472" w:firstLineChars="197"/>
        <w:rPr>
          <w:rFonts w:hAnsi="宋体"/>
          <w:color w:val="auto"/>
          <w:sz w:val="24"/>
          <w:szCs w:val="24"/>
        </w:rPr>
      </w:pPr>
      <w:r>
        <w:rPr>
          <w:rFonts w:hint="eastAsia" w:hAnsi="宋体"/>
          <w:color w:val="auto"/>
          <w:sz w:val="24"/>
          <w:szCs w:val="24"/>
        </w:rPr>
        <w:t>日期：</w:t>
      </w:r>
    </w:p>
    <w:p w14:paraId="7AF3EE78">
      <w:pPr>
        <w:pStyle w:val="15"/>
        <w:spacing w:line="360" w:lineRule="auto"/>
        <w:ind w:left="25" w:leftChars="12" w:firstLine="472" w:firstLineChars="197"/>
        <w:rPr>
          <w:rFonts w:hAnsi="宋体"/>
          <w:color w:val="auto"/>
          <w:sz w:val="24"/>
          <w:szCs w:val="24"/>
        </w:rPr>
      </w:pPr>
    </w:p>
    <w:p w14:paraId="452A183E">
      <w:pPr>
        <w:pStyle w:val="15"/>
        <w:snapToGrid w:val="0"/>
        <w:spacing w:line="360" w:lineRule="auto"/>
        <w:rPr>
          <w:rFonts w:hAnsi="宋体"/>
          <w:b/>
          <w:color w:val="auto"/>
          <w:sz w:val="24"/>
          <w:szCs w:val="24"/>
        </w:rPr>
      </w:pPr>
      <w:r>
        <w:rPr>
          <w:rFonts w:hint="eastAsia" w:hAnsi="宋体"/>
          <w:b/>
          <w:color w:val="auto"/>
          <w:sz w:val="24"/>
          <w:szCs w:val="24"/>
        </w:rPr>
        <w:t>说明：</w:t>
      </w:r>
    </w:p>
    <w:p w14:paraId="61439067">
      <w:pPr>
        <w:pStyle w:val="15"/>
        <w:spacing w:line="360" w:lineRule="auto"/>
        <w:ind w:left="25" w:leftChars="12" w:firstLine="354" w:firstLineChars="147"/>
        <w:rPr>
          <w:rFonts w:hAnsi="宋体"/>
          <w:b/>
          <w:bCs/>
          <w:color w:val="auto"/>
          <w:sz w:val="24"/>
          <w:szCs w:val="24"/>
        </w:rPr>
      </w:pPr>
      <w:r>
        <w:rPr>
          <w:rFonts w:hint="eastAsia" w:hAnsi="宋体"/>
          <w:b/>
          <w:color w:val="auto"/>
          <w:sz w:val="24"/>
          <w:szCs w:val="24"/>
        </w:rPr>
        <w:t>1.投诉人提起投诉时，应当提交投诉书和必要的证明材料，并按照被投诉人和与投诉事项有关的供应商数量提供投诉书副本</w:t>
      </w:r>
      <w:r>
        <w:rPr>
          <w:rFonts w:hint="eastAsia" w:hAnsi="宋体"/>
          <w:b/>
          <w:bCs/>
          <w:color w:val="auto"/>
          <w:sz w:val="24"/>
          <w:szCs w:val="24"/>
        </w:rPr>
        <w:t>。</w:t>
      </w:r>
    </w:p>
    <w:p w14:paraId="51EE705A">
      <w:pPr>
        <w:pStyle w:val="15"/>
        <w:spacing w:line="360" w:lineRule="auto"/>
        <w:ind w:left="25" w:leftChars="12" w:firstLine="354" w:firstLineChars="147"/>
        <w:rPr>
          <w:rFonts w:hAnsi="宋体"/>
          <w:b/>
          <w:color w:val="auto"/>
          <w:sz w:val="24"/>
          <w:szCs w:val="24"/>
        </w:rPr>
      </w:pPr>
      <w:r>
        <w:rPr>
          <w:rFonts w:hint="eastAsia" w:hAnsi="宋体"/>
          <w:b/>
          <w:color w:val="auto"/>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251677C8">
      <w:pPr>
        <w:pStyle w:val="15"/>
        <w:spacing w:line="360" w:lineRule="auto"/>
        <w:ind w:left="25" w:leftChars="12" w:firstLine="354" w:firstLineChars="147"/>
        <w:rPr>
          <w:rFonts w:hAnsi="宋体"/>
          <w:b/>
          <w:color w:val="auto"/>
          <w:sz w:val="24"/>
          <w:szCs w:val="24"/>
        </w:rPr>
      </w:pPr>
      <w:r>
        <w:rPr>
          <w:rFonts w:hint="eastAsia" w:hAnsi="宋体"/>
          <w:b/>
          <w:color w:val="auto"/>
          <w:sz w:val="24"/>
          <w:szCs w:val="24"/>
        </w:rPr>
        <w:t>3.投诉书应简要列明质疑事项，质疑函、质疑答复等作为附件材料提供。</w:t>
      </w:r>
    </w:p>
    <w:p w14:paraId="5A1AA4CE">
      <w:pPr>
        <w:pStyle w:val="15"/>
        <w:spacing w:line="360" w:lineRule="auto"/>
        <w:ind w:left="25" w:leftChars="12" w:firstLine="354" w:firstLineChars="147"/>
        <w:rPr>
          <w:rFonts w:hAnsi="宋体"/>
          <w:b/>
          <w:color w:val="auto"/>
          <w:sz w:val="24"/>
          <w:szCs w:val="24"/>
        </w:rPr>
      </w:pPr>
      <w:r>
        <w:rPr>
          <w:rFonts w:hint="eastAsia" w:hAnsi="宋体"/>
          <w:b/>
          <w:color w:val="auto"/>
          <w:sz w:val="24"/>
          <w:szCs w:val="24"/>
        </w:rPr>
        <w:t>4.投诉书的投诉事项应具体、明确，并有必要的事实依据和法律依据。</w:t>
      </w:r>
    </w:p>
    <w:p w14:paraId="31F9773B">
      <w:pPr>
        <w:pStyle w:val="15"/>
        <w:spacing w:line="360" w:lineRule="auto"/>
        <w:ind w:left="25" w:leftChars="12" w:firstLine="354" w:firstLineChars="147"/>
        <w:rPr>
          <w:rFonts w:hAnsi="宋体"/>
          <w:b/>
          <w:color w:val="auto"/>
          <w:sz w:val="24"/>
          <w:szCs w:val="24"/>
        </w:rPr>
      </w:pPr>
      <w:r>
        <w:rPr>
          <w:rFonts w:hint="eastAsia" w:hAnsi="宋体"/>
          <w:b/>
          <w:color w:val="auto"/>
          <w:sz w:val="24"/>
          <w:szCs w:val="24"/>
        </w:rPr>
        <w:t>5.投诉书的投诉请求应与投诉事项相关。</w:t>
      </w:r>
    </w:p>
    <w:p w14:paraId="6139EB04">
      <w:pPr>
        <w:pStyle w:val="15"/>
        <w:spacing w:line="360" w:lineRule="auto"/>
        <w:ind w:left="25" w:leftChars="12" w:firstLine="354" w:firstLineChars="147"/>
        <w:rPr>
          <w:rFonts w:hAnsi="宋体"/>
          <w:b/>
          <w:color w:val="auto"/>
        </w:rPr>
      </w:pPr>
      <w:r>
        <w:rPr>
          <w:rFonts w:hint="eastAsia" w:hAnsi="宋体"/>
          <w:b/>
          <w:color w:val="auto"/>
          <w:sz w:val="24"/>
          <w:szCs w:val="24"/>
        </w:rPr>
        <w:t>6.投诉人为法人或者其他组织的，投诉书应由法定代表人、主要负责人，或者其授权代表签字或者盖章，并加盖公章。</w:t>
      </w:r>
    </w:p>
    <w:p w14:paraId="2E097FE5">
      <w:pPr>
        <w:rPr>
          <w:color w:val="auto"/>
        </w:rPr>
      </w:pPr>
    </w:p>
    <w:sectPr>
      <w:pgSz w:w="11906" w:h="16838"/>
      <w:pgMar w:top="1440" w:right="1797" w:bottom="1440" w:left="1797" w:header="851" w:footer="992"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华文新魏">
    <w:altName w:val="宋体"/>
    <w:panose1 w:val="02010800040101010101"/>
    <w:charset w:val="86"/>
    <w:family w:val="auto"/>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MS Mincho">
    <w:altName w:val="Yu Gothic UI"/>
    <w:panose1 w:val="02020609040205080304"/>
    <w:charset w:val="80"/>
    <w:family w:val="roman"/>
    <w:pitch w:val="default"/>
    <w:sig w:usb0="00000000" w:usb1="00000000" w:usb2="00000010" w:usb3="00000000" w:csb0="00020000" w:csb1="00000000"/>
  </w:font>
  <w:font w:name="Yu Gothic UI">
    <w:panose1 w:val="020B0500000000000000"/>
    <w:charset w:val="80"/>
    <w:family w:val="auto"/>
    <w:pitch w:val="default"/>
    <w:sig w:usb0="E00002FF" w:usb1="2AC7FDFF" w:usb2="00000016" w:usb3="00000000" w:csb0="2002009F" w:csb1="00000000"/>
  </w:font>
  <w:font w:name="Helvetica">
    <w:altName w:val="Arial"/>
    <w:panose1 w:val="00000000000000000000"/>
    <w:charset w:val="00"/>
    <w:family w:val="swiss"/>
    <w:pitch w:val="default"/>
    <w:sig w:usb0="00000000" w:usb1="00000000" w:usb2="00000000" w:usb3="00000000" w:csb0="2000019F" w:csb1="4F010000"/>
  </w:font>
  <w:font w:name="Verdana">
    <w:panose1 w:val="020B0604030504040204"/>
    <w:charset w:val="00"/>
    <w:family w:val="swiss"/>
    <w:pitch w:val="default"/>
    <w:sig w:usb0="A00006FF" w:usb1="4000205B" w:usb2="00000010" w:usb3="00000000" w:csb0="2000019F" w:csb1="00000000"/>
  </w:font>
  <w:font w:name="隶书">
    <w:altName w:val="微软雅黑"/>
    <w:panose1 w:val="02010509060101010101"/>
    <w:charset w:val="86"/>
    <w:family w:val="modern"/>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DC256B">
    <w:pPr>
      <w:pStyle w:val="17"/>
      <w:framePr w:wrap="around" w:vAnchor="text" w:hAnchor="margin" w:xAlign="center" w:y="1"/>
      <w:rPr>
        <w:rStyle w:val="29"/>
      </w:rPr>
    </w:pPr>
    <w:r>
      <w:fldChar w:fldCharType="begin"/>
    </w:r>
    <w:r>
      <w:rPr>
        <w:rStyle w:val="29"/>
      </w:rPr>
      <w:instrText xml:space="preserve">PAGE  </w:instrText>
    </w:r>
    <w:r>
      <w:fldChar w:fldCharType="end"/>
    </w:r>
  </w:p>
  <w:p w14:paraId="56D4DD80">
    <w:pPr>
      <w:pStyle w:val="17"/>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B1C260">
    <w:pPr>
      <w:pStyle w:val="17"/>
      <w:framePr w:wrap="around" w:vAnchor="text" w:hAnchor="margin" w:xAlign="right" w:y="1"/>
      <w:rPr>
        <w:rStyle w:val="29"/>
      </w:rPr>
    </w:pPr>
    <w:r>
      <w:fldChar w:fldCharType="begin"/>
    </w:r>
    <w:r>
      <w:rPr>
        <w:rStyle w:val="29"/>
      </w:rPr>
      <w:instrText xml:space="preserve">PAGE  </w:instrText>
    </w:r>
    <w:r>
      <w:fldChar w:fldCharType="separate"/>
    </w:r>
    <w:r>
      <w:rPr>
        <w:rStyle w:val="29"/>
      </w:rPr>
      <w:t>122</w:t>
    </w:r>
    <w:r>
      <w:fldChar w:fldCharType="end"/>
    </w:r>
  </w:p>
  <w:p w14:paraId="289C9BC4">
    <w:pPr>
      <w:pStyle w:val="17"/>
      <w:ind w:right="360"/>
      <w:jc w:val="both"/>
    </w:pPr>
    <w:r>
      <w:rPr>
        <w:rFonts w:hint="eastAsia"/>
      </w:rPr>
      <w:t>121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80CBE4">
    <w:pPr>
      <w:pStyle w:val="17"/>
      <w:ind w:right="360"/>
      <w:jc w:val="both"/>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E5AEF3">
    <w:pPr>
      <w:pStyle w:val="1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B011FA9">
                          <w:pPr>
                            <w:pStyle w:val="17"/>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N5Ro/IAQAAmQMAAA4AAAAAAAAAAQAgAAAAHgEAAGRycy9lMm9Eb2Mu&#10;eG1sUEsFBgAAAAAGAAYAWQEAAFgFAAAAAA==&#10;">
              <v:fill on="f" focussize="0,0"/>
              <v:stroke on="f"/>
              <v:imagedata o:title=""/>
              <o:lock v:ext="edit" aspectratio="f"/>
              <v:textbox inset="0mm,0mm,0mm,0mm" style="mso-fit-shape-to-text:t;">
                <w:txbxContent>
                  <w:p w14:paraId="1B011FA9">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EE2B58">
    <w:pPr>
      <w:tabs>
        <w:tab w:val="center" w:pos="4873"/>
      </w:tabs>
      <w:snapToGrid w:val="0"/>
      <w:jc w:val="left"/>
      <w:rPr>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6BC5547">
                          <w:pPr>
                            <w:pStyle w:val="17"/>
                          </w:pPr>
                          <w:r>
                            <w:fldChar w:fldCharType="begin"/>
                          </w:r>
                          <w:r>
                            <w:instrText xml:space="preserve"> PAGE  \* MERGEFORMAT </w:instrText>
                          </w:r>
                          <w:r>
                            <w:fldChar w:fldCharType="separate"/>
                          </w:r>
                          <w:r>
                            <w:t>6</w:t>
                          </w:r>
                          <w:r>
                            <w:fldChar w:fldCharType="end"/>
                          </w:r>
                        </w:p>
                      </w:txbxContent>
                    </wps:txbx>
                    <wps:bodyPr wrap="none" lIns="0" tIns="0" rIns="0" bIns="0" upright="0">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PFYOeHIAQAAmQMAAA4AAAAAAAAAAQAgAAAAHgEAAGRycy9lMm9Eb2Mu&#10;eG1sUEsFBgAAAAAGAAYAWQEAAFgFAAAAAA==&#10;">
              <v:fill on="f" focussize="0,0"/>
              <v:stroke on="f"/>
              <v:imagedata o:title=""/>
              <o:lock v:ext="edit" aspectratio="f"/>
              <v:textbox inset="0mm,0mm,0mm,0mm" style="mso-fit-shape-to-text:t;">
                <w:txbxContent>
                  <w:p w14:paraId="16BC5547">
                    <w:pPr>
                      <w:pStyle w:val="17"/>
                    </w:pPr>
                    <w:r>
                      <w:fldChar w:fldCharType="begin"/>
                    </w:r>
                    <w:r>
                      <w:instrText xml:space="preserve"> PAGE  \* MERGEFORMAT </w:instrText>
                    </w:r>
                    <w:r>
                      <w:fldChar w:fldCharType="separate"/>
                    </w:r>
                    <w:r>
                      <w:t>6</w:t>
                    </w:r>
                    <w:r>
                      <w:fldChar w:fldCharType="end"/>
                    </w:r>
                  </w:p>
                </w:txbxContent>
              </v:textbox>
            </v:shape>
          </w:pict>
        </mc:Fallback>
      </mc:AlternateContent>
    </w:r>
    <w:r>
      <w:rPr>
        <w:rFonts w:hint="eastAsia"/>
        <w:sz w:val="18"/>
        <w:szCs w:val="18"/>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A1FD28">
    <w:pPr>
      <w:pStyle w:val="17"/>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066C734">
                          <w:pPr>
                            <w:pStyle w:val="17"/>
                          </w:pPr>
                          <w:r>
                            <w:fldChar w:fldCharType="begin"/>
                          </w:r>
                          <w:r>
                            <w:instrText xml:space="preserve"> PAGE  \* MERGEFORMAT </w:instrText>
                          </w:r>
                          <w:r>
                            <w:fldChar w:fldCharType="separate"/>
                          </w:r>
                          <w:r>
                            <w:t>14</w:t>
                          </w:r>
                          <w:r>
                            <w:fldChar w:fldCharType="end"/>
                          </w:r>
                        </w:p>
                      </w:txbxContent>
                    </wps:txbx>
                    <wps:bodyPr wrap="none" lIns="0" tIns="0" rIns="0" bIns="0" upright="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D4j/V8cBAACZAwAADgAAAAAAAAABACAAAAAeAQAAZHJzL2Uyb0RvYy54&#10;bWxQSwUGAAAAAAYABgBZAQAAVwUAAAAA&#10;">
              <v:fill on="f" focussize="0,0"/>
              <v:stroke on="f"/>
              <v:imagedata o:title=""/>
              <o:lock v:ext="edit" aspectratio="f"/>
              <v:textbox inset="0mm,0mm,0mm,0mm" style="mso-fit-shape-to-text:t;">
                <w:txbxContent>
                  <w:p w14:paraId="2066C734">
                    <w:pPr>
                      <w:pStyle w:val="17"/>
                    </w:pPr>
                    <w:r>
                      <w:fldChar w:fldCharType="begin"/>
                    </w:r>
                    <w:r>
                      <w:instrText xml:space="preserve"> PAGE  \* MERGEFORMAT </w:instrText>
                    </w:r>
                    <w:r>
                      <w:fldChar w:fldCharType="separate"/>
                    </w:r>
                    <w:r>
                      <w:t>14</w:t>
                    </w:r>
                    <w:r>
                      <w:fldChar w:fldCharType="end"/>
                    </w:r>
                  </w:p>
                </w:txbxContent>
              </v:textbox>
            </v:shape>
          </w:pict>
        </mc:Fallback>
      </mc:AlternateContent>
    </w:r>
  </w:p>
  <w:p w14:paraId="7EA30B1A">
    <w:pPr>
      <w:pStyle w:val="17"/>
    </w:pPr>
  </w:p>
  <w:p w14:paraId="573BE0B7"/>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D4F65E">
    <w:pPr>
      <w:pStyle w:val="17"/>
      <w:tabs>
        <w:tab w:val="center" w:pos="4534"/>
        <w:tab w:val="clear" w:pos="4153"/>
      </w:tabs>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8305197">
                          <w:pPr>
                            <w:pStyle w:val="17"/>
                          </w:pPr>
                          <w:r>
                            <w:fldChar w:fldCharType="begin"/>
                          </w:r>
                          <w:r>
                            <w:instrText xml:space="preserve"> PAGE  \* MERGEFORMAT </w:instrText>
                          </w:r>
                          <w:r>
                            <w:fldChar w:fldCharType="separate"/>
                          </w:r>
                          <w:r>
                            <w:t>61</w:t>
                          </w:r>
                          <w:r>
                            <w:fldChar w:fldCharType="end"/>
                          </w:r>
                        </w:p>
                      </w:txbxContent>
                    </wps:txbx>
                    <wps:bodyPr wrap="none" lIns="0" tIns="0" rIns="0" bIns="0" upright="0">
                      <a:spAutoFit/>
                    </wps:bodyPr>
                  </wps:wsp>
                </a:graphicData>
              </a:graphic>
            </wp:anchor>
          </w:drawing>
        </mc:Choice>
        <mc:Fallback>
          <w:pict>
            <v:shape id="文本框 17"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CzWuHyQEAAJsDAAAOAAAAAAAAAAEAIAAAAB4BAABkcnMvZTJvRG9j&#10;LnhtbFBLBQYAAAAABgAGAFkBAABZBQAAAAA=&#10;">
              <v:fill on="f" focussize="0,0"/>
              <v:stroke on="f"/>
              <v:imagedata o:title=""/>
              <o:lock v:ext="edit" aspectratio="f"/>
              <v:textbox inset="0mm,0mm,0mm,0mm" style="mso-fit-shape-to-text:t;">
                <w:txbxContent>
                  <w:p w14:paraId="28305197">
                    <w:pPr>
                      <w:pStyle w:val="17"/>
                    </w:pPr>
                    <w:r>
                      <w:fldChar w:fldCharType="begin"/>
                    </w:r>
                    <w:r>
                      <w:instrText xml:space="preserve"> PAGE  \* MERGEFORMAT </w:instrText>
                    </w:r>
                    <w:r>
                      <w:fldChar w:fldCharType="separate"/>
                    </w:r>
                    <w:r>
                      <w:t>61</w:t>
                    </w:r>
                    <w:r>
                      <w:fldChar w:fldCharType="end"/>
                    </w:r>
                  </w:p>
                </w:txbxContent>
              </v:textbox>
            </v:shape>
          </w:pict>
        </mc:Fallback>
      </mc:AlternateContent>
    </w:r>
    <w:r>
      <w:rPr>
        <w:rFonts w:hint="eastAsia"/>
      </w:rPr>
      <w:tab/>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8ADB6">
    <w:pPr>
      <w:pStyle w:val="17"/>
      <w:ind w:right="360"/>
      <w:jc w:val="both"/>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E92F209">
                          <w:pPr>
                            <w:pStyle w:val="17"/>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8"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kcU4BcoBAACbAwAADgAAAAAAAAABACAAAAAeAQAAZHJzL2Uyb0Rv&#10;Yy54bWxQSwUGAAAAAAYABgBZAQAAWgUAAAAA&#10;">
              <v:fill on="f" focussize="0,0"/>
              <v:stroke on="f"/>
              <v:imagedata o:title=""/>
              <o:lock v:ext="edit" aspectratio="f"/>
              <v:textbox inset="0mm,0mm,0mm,0mm" style="mso-fit-shape-to-text:t;">
                <w:txbxContent>
                  <w:p w14:paraId="2E92F209">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B8410F">
    <w:pPr>
      <w:pStyle w:val="17"/>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4F07488">
                          <w:pPr>
                            <w:pStyle w:val="17"/>
                          </w:pPr>
                          <w:r>
                            <w:fldChar w:fldCharType="begin"/>
                          </w:r>
                          <w:r>
                            <w:instrText xml:space="preserve"> PAGE  \* MERGEFORMAT </w:instrText>
                          </w:r>
                          <w:r>
                            <w:fldChar w:fldCharType="separate"/>
                          </w:r>
                          <w:r>
                            <w:t>12</w:t>
                          </w:r>
                          <w:r>
                            <w:fldChar w:fldCharType="end"/>
                          </w:r>
                        </w:p>
                      </w:txbxContent>
                    </wps:txbx>
                    <wps:bodyPr wrap="none" lIns="0" tIns="0" rIns="0" bIns="0" upright="0">
                      <a:spAutoFit/>
                    </wps:bodyPr>
                  </wps:wsp>
                </a:graphicData>
              </a:graphic>
            </wp:anchor>
          </w:drawing>
        </mc:Choice>
        <mc:Fallback>
          <w:pict>
            <v:shape id="文本框 19"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5pv3UyQEAAJsDAAAOAAAAAAAAAAEAIAAAAB4BAABkcnMvZTJvRG9j&#10;LnhtbFBLBQYAAAAABgAGAFkBAABZBQAAAAA=&#10;">
              <v:fill on="f" focussize="0,0"/>
              <v:stroke on="f"/>
              <v:imagedata o:title=""/>
              <o:lock v:ext="edit" aspectratio="f"/>
              <v:textbox inset="0mm,0mm,0mm,0mm" style="mso-fit-shape-to-text:t;">
                <w:txbxContent>
                  <w:p w14:paraId="74F07488">
                    <w:pPr>
                      <w:pStyle w:val="17"/>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CC8AE">
    <w:pPr>
      <w:pStyle w:val="17"/>
      <w:framePr w:wrap="around" w:vAnchor="text" w:hAnchor="margin" w:xAlign="center" w:y="1"/>
      <w:rPr>
        <w:rStyle w:val="29"/>
      </w:rPr>
    </w:pPr>
    <w:r>
      <w:fldChar w:fldCharType="begin"/>
    </w:r>
    <w:r>
      <w:rPr>
        <w:rStyle w:val="29"/>
      </w:rPr>
      <w:instrText xml:space="preserve">PAGE  </w:instrText>
    </w:r>
    <w:r>
      <w:fldChar w:fldCharType="end"/>
    </w:r>
  </w:p>
  <w:p w14:paraId="031C94B5">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824D28">
    <w:pPr>
      <w:pStyle w:val="18"/>
      <w:jc w:val="both"/>
      <w:rPr>
        <w:rFonts w:hint="eastAsia"/>
        <w:lang w:val="en-US" w:eastAsia="zh-CN"/>
      </w:rPr>
    </w:pPr>
    <w:r>
      <w:rPr>
        <w:rFonts w:hint="eastAsia"/>
      </w:rPr>
      <w:t>项目名称：</w:t>
    </w:r>
    <w:r>
      <w:rPr>
        <w:rFonts w:hint="eastAsia"/>
        <w:lang w:eastAsia="zh-CN"/>
      </w:rPr>
      <w:t>南溪山医院医疗设备一批项目（十一）（彩色多普勒超声诊断仪、DR）</w:t>
    </w:r>
    <w:r>
      <w:rPr>
        <w:rFonts w:hint="eastAsia"/>
        <w:lang w:val="en-US" w:eastAsia="zh-CN"/>
      </w:rPr>
      <w:t xml:space="preserve">        </w:t>
    </w:r>
  </w:p>
  <w:p w14:paraId="1C7D9F89">
    <w:pPr>
      <w:pStyle w:val="18"/>
      <w:jc w:val="both"/>
      <w:rPr>
        <w:rFonts w:hint="default" w:eastAsia="宋体"/>
        <w:lang w:val="en-US" w:eastAsia="zh-CN"/>
      </w:rPr>
    </w:pPr>
    <w:r>
      <w:rPr>
        <w:rFonts w:hint="eastAsia"/>
      </w:rPr>
      <w:t>项目编号：</w:t>
    </w:r>
    <w:r>
      <w:rPr>
        <w:rFonts w:hint="eastAsia"/>
        <w:lang w:eastAsia="zh-CN"/>
      </w:rPr>
      <w:t>GXZC2026-G1-002918-JYZX</w:t>
    </w:r>
    <w:r>
      <w:rPr>
        <w:rFonts w:hint="eastAsia"/>
        <w:lang w:val="en-US" w:eastAsia="zh-CN"/>
      </w:rPr>
      <w:t xml:space="preserve"> </w:t>
    </w:r>
  </w:p>
  <w:p w14:paraId="68F0CF6F">
    <w:pPr>
      <w:pStyle w:val="1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D2CD51">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AFEE58">
    <w:pPr>
      <w:pStyle w:val="18"/>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E42689"/>
    <w:multiLevelType w:val="singleLevel"/>
    <w:tmpl w:val="B6E42689"/>
    <w:lvl w:ilvl="0" w:tentative="0">
      <w:start w:val="1"/>
      <w:numFmt w:val="chineseCounting"/>
      <w:suff w:val="nothing"/>
      <w:lvlText w:val="%1、"/>
      <w:lvlJc w:val="left"/>
      <w:rPr>
        <w:rFonts w:hint="eastAsia"/>
      </w:rPr>
    </w:lvl>
  </w:abstractNum>
  <w:abstractNum w:abstractNumId="1">
    <w:nsid w:val="2A4DCFD8"/>
    <w:multiLevelType w:val="singleLevel"/>
    <w:tmpl w:val="2A4DCFD8"/>
    <w:lvl w:ilvl="0" w:tentative="0">
      <w:start w:val="2"/>
      <w:numFmt w:val="decimal"/>
      <w:suff w:val="nothing"/>
      <w:lvlText w:val="%1、"/>
      <w:lvlJc w:val="left"/>
    </w:lvl>
  </w:abstractNum>
  <w:abstractNum w:abstractNumId="2">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6"/>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2"/>
  </w:num>
  <w:num w:numId="2">
    <w:abstractNumId w:val="0"/>
  </w:num>
  <w:num w:numId="3">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½一半">
    <w15:presenceInfo w15:providerId="WPS Office" w15:userId="814822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F37"/>
    <w:rsid w:val="001A67EA"/>
    <w:rsid w:val="002F4601"/>
    <w:rsid w:val="00504F4C"/>
    <w:rsid w:val="00811D8D"/>
    <w:rsid w:val="008B43ED"/>
    <w:rsid w:val="00A20F37"/>
    <w:rsid w:val="00CC6C25"/>
    <w:rsid w:val="00FF7EF3"/>
    <w:rsid w:val="02567741"/>
    <w:rsid w:val="041F679F"/>
    <w:rsid w:val="04F5599B"/>
    <w:rsid w:val="0549522C"/>
    <w:rsid w:val="05975099"/>
    <w:rsid w:val="06F86E33"/>
    <w:rsid w:val="0814053A"/>
    <w:rsid w:val="08286B1D"/>
    <w:rsid w:val="08820EDA"/>
    <w:rsid w:val="09505D00"/>
    <w:rsid w:val="095F7744"/>
    <w:rsid w:val="09CC303E"/>
    <w:rsid w:val="0A413D69"/>
    <w:rsid w:val="0A441786"/>
    <w:rsid w:val="0B5D195B"/>
    <w:rsid w:val="0C034006"/>
    <w:rsid w:val="0C92409A"/>
    <w:rsid w:val="0CB200F5"/>
    <w:rsid w:val="0CD608CE"/>
    <w:rsid w:val="0D197B03"/>
    <w:rsid w:val="0E125CE9"/>
    <w:rsid w:val="0F1134DA"/>
    <w:rsid w:val="105166EC"/>
    <w:rsid w:val="12D26636"/>
    <w:rsid w:val="141F6BFC"/>
    <w:rsid w:val="14E54E9B"/>
    <w:rsid w:val="14FD6A90"/>
    <w:rsid w:val="16BD0153"/>
    <w:rsid w:val="16EF3298"/>
    <w:rsid w:val="17C0574B"/>
    <w:rsid w:val="19FA5AFA"/>
    <w:rsid w:val="1AD05A50"/>
    <w:rsid w:val="1AEC6857"/>
    <w:rsid w:val="1B2A1C24"/>
    <w:rsid w:val="1C502F25"/>
    <w:rsid w:val="1DE86925"/>
    <w:rsid w:val="204D01CF"/>
    <w:rsid w:val="21A32365"/>
    <w:rsid w:val="225727E3"/>
    <w:rsid w:val="22F357B7"/>
    <w:rsid w:val="235038A8"/>
    <w:rsid w:val="2406124B"/>
    <w:rsid w:val="258C6CBA"/>
    <w:rsid w:val="258D0B3D"/>
    <w:rsid w:val="28BE7C53"/>
    <w:rsid w:val="28E60D8A"/>
    <w:rsid w:val="28FB65E3"/>
    <w:rsid w:val="292C513C"/>
    <w:rsid w:val="2944036D"/>
    <w:rsid w:val="29BF215B"/>
    <w:rsid w:val="2B40246B"/>
    <w:rsid w:val="2BB533C1"/>
    <w:rsid w:val="2D062F57"/>
    <w:rsid w:val="2DD613CD"/>
    <w:rsid w:val="2FB7059F"/>
    <w:rsid w:val="34411F49"/>
    <w:rsid w:val="34D90675"/>
    <w:rsid w:val="35266DD8"/>
    <w:rsid w:val="36047336"/>
    <w:rsid w:val="379F0C07"/>
    <w:rsid w:val="37A855FF"/>
    <w:rsid w:val="38F26EB2"/>
    <w:rsid w:val="39223BA3"/>
    <w:rsid w:val="3E2E7003"/>
    <w:rsid w:val="3E2F0FC8"/>
    <w:rsid w:val="3E7013C9"/>
    <w:rsid w:val="3F051B12"/>
    <w:rsid w:val="40DA7512"/>
    <w:rsid w:val="41D852BC"/>
    <w:rsid w:val="42115344"/>
    <w:rsid w:val="442332CF"/>
    <w:rsid w:val="444852EC"/>
    <w:rsid w:val="447A08AC"/>
    <w:rsid w:val="458F48DD"/>
    <w:rsid w:val="488B1468"/>
    <w:rsid w:val="4A2C5BCD"/>
    <w:rsid w:val="4AFB05D5"/>
    <w:rsid w:val="4B9761E7"/>
    <w:rsid w:val="4DB7278A"/>
    <w:rsid w:val="4E092CA1"/>
    <w:rsid w:val="4EE07EA5"/>
    <w:rsid w:val="4F875CEA"/>
    <w:rsid w:val="514F754C"/>
    <w:rsid w:val="51667EAD"/>
    <w:rsid w:val="516F3329"/>
    <w:rsid w:val="51C62035"/>
    <w:rsid w:val="51FA77A2"/>
    <w:rsid w:val="529E6199"/>
    <w:rsid w:val="53A30BF3"/>
    <w:rsid w:val="5435330D"/>
    <w:rsid w:val="547C1FE5"/>
    <w:rsid w:val="553F17A3"/>
    <w:rsid w:val="5918314C"/>
    <w:rsid w:val="59311389"/>
    <w:rsid w:val="595C62AC"/>
    <w:rsid w:val="5A3F50BF"/>
    <w:rsid w:val="5B28425D"/>
    <w:rsid w:val="5DC843AE"/>
    <w:rsid w:val="5E0B0AD6"/>
    <w:rsid w:val="5EF46A53"/>
    <w:rsid w:val="5F021633"/>
    <w:rsid w:val="60A07495"/>
    <w:rsid w:val="60D71124"/>
    <w:rsid w:val="61840CC8"/>
    <w:rsid w:val="6426706F"/>
    <w:rsid w:val="648832D0"/>
    <w:rsid w:val="6545060B"/>
    <w:rsid w:val="654B1974"/>
    <w:rsid w:val="65562C0F"/>
    <w:rsid w:val="65711400"/>
    <w:rsid w:val="66E3632D"/>
    <w:rsid w:val="684E4BE4"/>
    <w:rsid w:val="688A085A"/>
    <w:rsid w:val="696543D2"/>
    <w:rsid w:val="6BC57C40"/>
    <w:rsid w:val="6CE030E7"/>
    <w:rsid w:val="6D2823F3"/>
    <w:rsid w:val="6E893572"/>
    <w:rsid w:val="70125E9D"/>
    <w:rsid w:val="70EC66C4"/>
    <w:rsid w:val="70FC4273"/>
    <w:rsid w:val="720B4271"/>
    <w:rsid w:val="72B868C0"/>
    <w:rsid w:val="72D178A1"/>
    <w:rsid w:val="753C2DFC"/>
    <w:rsid w:val="76BB731D"/>
    <w:rsid w:val="76C754F5"/>
    <w:rsid w:val="785D1696"/>
    <w:rsid w:val="79012C29"/>
    <w:rsid w:val="7A3C7303"/>
    <w:rsid w:val="7B9A4B6F"/>
    <w:rsid w:val="7BED45A7"/>
    <w:rsid w:val="7BEE3875"/>
    <w:rsid w:val="7CE0517B"/>
    <w:rsid w:val="7D8D62E6"/>
    <w:rsid w:val="7D950062"/>
    <w:rsid w:val="7E1362CF"/>
    <w:rsid w:val="7EBD037D"/>
    <w:rsid w:val="7F67322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0" w:semiHidden="0" w:name="annotation text"/>
    <w:lsdException w:qFormat="1" w:uiPriority="99" w:semiHidden="0" w:name="header"/>
    <w:lsdException w:qFormat="1"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kern w:val="0"/>
      <w:sz w:val="32"/>
      <w:szCs w:val="32"/>
    </w:rPr>
  </w:style>
  <w:style w:type="paragraph" w:styleId="4">
    <w:name w:val="heading 3"/>
    <w:basedOn w:val="1"/>
    <w:next w:val="1"/>
    <w:qFormat/>
    <w:uiPriority w:val="0"/>
    <w:pPr>
      <w:keepNext/>
      <w:keepLines/>
      <w:spacing w:before="260" w:after="260" w:line="416" w:lineRule="auto"/>
      <w:outlineLvl w:val="2"/>
    </w:pPr>
    <w:rPr>
      <w:b/>
      <w:bCs/>
      <w:kern w:val="0"/>
      <w:sz w:val="32"/>
      <w:szCs w:val="32"/>
    </w:rPr>
  </w:style>
  <w:style w:type="paragraph" w:styleId="5">
    <w:name w:val="heading 4"/>
    <w:basedOn w:val="1"/>
    <w:next w:val="1"/>
    <w:qFormat/>
    <w:uiPriority w:val="9"/>
    <w:pPr>
      <w:keepNext/>
      <w:keepLines/>
      <w:widowControl/>
      <w:spacing w:before="120" w:after="120" w:line="360" w:lineRule="auto"/>
      <w:jc w:val="center"/>
      <w:outlineLvl w:val="3"/>
    </w:pPr>
    <w:rPr>
      <w:rFonts w:ascii="Arial" w:hAnsi="Arial" w:eastAsia="黑体"/>
      <w:kern w:val="0"/>
      <w:sz w:val="28"/>
      <w:szCs w:val="20"/>
    </w:rPr>
  </w:style>
  <w:style w:type="paragraph" w:styleId="6">
    <w:name w:val="heading 5"/>
    <w:basedOn w:val="1"/>
    <w:next w:val="7"/>
    <w:qFormat/>
    <w:uiPriority w:val="0"/>
    <w:pPr>
      <w:keepNext/>
      <w:keepLines/>
      <w:numPr>
        <w:ilvl w:val="4"/>
        <w:numId w:val="1"/>
      </w:numPr>
      <w:spacing w:before="280" w:after="290" w:line="376" w:lineRule="auto"/>
      <w:outlineLvl w:val="4"/>
    </w:pPr>
    <w:rPr>
      <w:b/>
      <w:sz w:val="28"/>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8">
    <w:name w:val="index 8"/>
    <w:basedOn w:val="1"/>
    <w:next w:val="1"/>
    <w:qFormat/>
    <w:uiPriority w:val="0"/>
    <w:pPr>
      <w:ind w:left="2940"/>
    </w:pPr>
  </w:style>
  <w:style w:type="paragraph" w:styleId="9">
    <w:name w:val="caption"/>
    <w:basedOn w:val="1"/>
    <w:next w:val="1"/>
    <w:qFormat/>
    <w:uiPriority w:val="0"/>
    <w:pPr>
      <w:spacing w:before="152" w:after="160"/>
    </w:pPr>
    <w:rPr>
      <w:rFonts w:ascii="Arial" w:hAnsi="Arial" w:eastAsia="黑体" w:cs="Arial"/>
      <w:sz w:val="20"/>
      <w:szCs w:val="20"/>
    </w:rPr>
  </w:style>
  <w:style w:type="paragraph" w:styleId="10">
    <w:name w:val="annotation text"/>
    <w:basedOn w:val="1"/>
    <w:unhideWhenUsed/>
    <w:qFormat/>
    <w:uiPriority w:val="0"/>
    <w:pPr>
      <w:jc w:val="left"/>
    </w:pPr>
  </w:style>
  <w:style w:type="paragraph" w:styleId="11">
    <w:name w:val="Body Text 3"/>
    <w:basedOn w:val="1"/>
    <w:qFormat/>
    <w:uiPriority w:val="0"/>
    <w:pPr>
      <w:spacing w:line="500" w:lineRule="exact"/>
    </w:pPr>
    <w:rPr>
      <w:b/>
      <w:bCs/>
      <w:kern w:val="0"/>
      <w:sz w:val="24"/>
    </w:rPr>
  </w:style>
  <w:style w:type="paragraph" w:styleId="12">
    <w:name w:val="Body Text"/>
    <w:basedOn w:val="1"/>
    <w:next w:val="13"/>
    <w:qFormat/>
    <w:uiPriority w:val="99"/>
    <w:pPr>
      <w:spacing w:line="380" w:lineRule="exact"/>
    </w:pPr>
    <w:rPr>
      <w:kern w:val="0"/>
      <w:sz w:val="24"/>
    </w:rPr>
  </w:style>
  <w:style w:type="paragraph" w:styleId="13">
    <w:name w:val="Title"/>
    <w:basedOn w:val="1"/>
    <w:next w:val="1"/>
    <w:qFormat/>
    <w:uiPriority w:val="0"/>
    <w:pPr>
      <w:spacing w:before="240" w:after="60"/>
      <w:jc w:val="center"/>
      <w:outlineLvl w:val="0"/>
    </w:pPr>
    <w:rPr>
      <w:rFonts w:ascii="等线 Light" w:hAnsi="等线 Light"/>
      <w:b/>
      <w:bCs/>
      <w:sz w:val="32"/>
      <w:szCs w:val="32"/>
    </w:rPr>
  </w:style>
  <w:style w:type="paragraph" w:styleId="14">
    <w:name w:val="Body Text Indent"/>
    <w:basedOn w:val="1"/>
    <w:qFormat/>
    <w:uiPriority w:val="0"/>
    <w:pPr>
      <w:ind w:firstLine="830" w:firstLineChars="352"/>
    </w:pPr>
    <w:rPr>
      <w:rFonts w:ascii="仿宋_GB2312" w:eastAsia="仿宋_GB2312"/>
      <w:kern w:val="0"/>
      <w:sz w:val="32"/>
      <w:szCs w:val="20"/>
    </w:rPr>
  </w:style>
  <w:style w:type="paragraph" w:styleId="15">
    <w:name w:val="Plain Text"/>
    <w:basedOn w:val="1"/>
    <w:next w:val="8"/>
    <w:qFormat/>
    <w:uiPriority w:val="0"/>
    <w:rPr>
      <w:rFonts w:ascii="宋体" w:hAnsi="Courier New"/>
      <w:kern w:val="0"/>
      <w:sz w:val="20"/>
      <w:szCs w:val="21"/>
    </w:rPr>
  </w:style>
  <w:style w:type="paragraph" w:styleId="16">
    <w:name w:val="Balloon Text"/>
    <w:basedOn w:val="1"/>
    <w:link w:val="36"/>
    <w:qFormat/>
    <w:uiPriority w:val="0"/>
    <w:rPr>
      <w:sz w:val="18"/>
      <w:szCs w:val="18"/>
    </w:rPr>
  </w:style>
  <w:style w:type="paragraph" w:styleId="17">
    <w:name w:val="footer"/>
    <w:basedOn w:val="1"/>
    <w:next w:val="1"/>
    <w:unhideWhenUsed/>
    <w:qFormat/>
    <w:uiPriority w:val="99"/>
    <w:pPr>
      <w:tabs>
        <w:tab w:val="center" w:pos="4153"/>
        <w:tab w:val="right" w:pos="8306"/>
      </w:tabs>
      <w:snapToGrid w:val="0"/>
      <w:jc w:val="left"/>
    </w:pPr>
    <w:rPr>
      <w:kern w:val="0"/>
      <w:sz w:val="18"/>
      <w:szCs w:val="18"/>
    </w:rPr>
  </w:style>
  <w:style w:type="paragraph" w:styleId="18">
    <w:name w:val="header"/>
    <w:basedOn w:val="1"/>
    <w:unhideWhenUsed/>
    <w:qFormat/>
    <w:uiPriority w:val="99"/>
    <w:pPr>
      <w:pBdr>
        <w:bottom w:val="single" w:color="auto" w:sz="6" w:space="1"/>
      </w:pBdr>
      <w:tabs>
        <w:tab w:val="center" w:pos="0"/>
        <w:tab w:val="left" w:pos="8306"/>
      </w:tabs>
      <w:snapToGrid w:val="0"/>
      <w:jc w:val="center"/>
    </w:pPr>
    <w:rPr>
      <w:sz w:val="18"/>
      <w:szCs w:val="18"/>
    </w:rPr>
  </w:style>
  <w:style w:type="paragraph" w:styleId="19">
    <w:name w:val="toc 1"/>
    <w:basedOn w:val="1"/>
    <w:next w:val="1"/>
    <w:qFormat/>
    <w:uiPriority w:val="39"/>
    <w:pPr>
      <w:tabs>
        <w:tab w:val="right" w:leader="dot" w:pos="8398"/>
      </w:tabs>
      <w:spacing w:before="120" w:after="120"/>
      <w:ind w:firstLine="240" w:firstLineChars="100"/>
      <w:jc w:val="left"/>
    </w:pPr>
    <w:rPr>
      <w:rFonts w:ascii="宋体" w:hAnsi="宋体"/>
      <w:b/>
      <w:bCs/>
      <w:caps/>
      <w:sz w:val="24"/>
    </w:rPr>
  </w:style>
  <w:style w:type="paragraph" w:styleId="20">
    <w:name w:val="List"/>
    <w:basedOn w:val="1"/>
    <w:qFormat/>
    <w:uiPriority w:val="0"/>
    <w:pPr>
      <w:ind w:left="200" w:hanging="200" w:hangingChars="200"/>
    </w:pPr>
    <w:rPr>
      <w:sz w:val="28"/>
    </w:rPr>
  </w:style>
  <w:style w:type="paragraph" w:styleId="21">
    <w:name w:val="toc 2"/>
    <w:basedOn w:val="1"/>
    <w:next w:val="1"/>
    <w:unhideWhenUsed/>
    <w:qFormat/>
    <w:uiPriority w:val="39"/>
    <w:pPr>
      <w:ind w:left="420" w:leftChars="200"/>
    </w:pPr>
  </w:style>
  <w:style w:type="paragraph" w:styleId="22">
    <w:name w:val="Body Text 2"/>
    <w:basedOn w:val="1"/>
    <w:qFormat/>
    <w:uiPriority w:val="0"/>
    <w:pPr>
      <w:spacing w:after="120" w:line="480" w:lineRule="auto"/>
    </w:pPr>
    <w:rPr>
      <w:kern w:val="0"/>
      <w:sz w:val="20"/>
    </w:rPr>
  </w:style>
  <w:style w:type="paragraph" w:styleId="23">
    <w:name w:val="Normal (Web)"/>
    <w:basedOn w:val="1"/>
    <w:qFormat/>
    <w:uiPriority w:val="99"/>
    <w:pPr>
      <w:widowControl/>
      <w:spacing w:before="100" w:beforeAutospacing="1" w:after="100" w:afterAutospacing="1"/>
      <w:jc w:val="left"/>
    </w:pPr>
    <w:rPr>
      <w:rFonts w:ascii="宋体" w:hAnsi="宋体"/>
      <w:kern w:val="0"/>
      <w:sz w:val="24"/>
    </w:rPr>
  </w:style>
  <w:style w:type="paragraph" w:styleId="24">
    <w:name w:val="index 1"/>
    <w:basedOn w:val="1"/>
    <w:next w:val="1"/>
    <w:semiHidden/>
    <w:qFormat/>
    <w:uiPriority w:val="0"/>
    <w:pPr>
      <w:spacing w:line="400" w:lineRule="exact"/>
      <w:ind w:firstLine="420" w:firstLineChars="200"/>
    </w:pPr>
    <w:rPr>
      <w:rFonts w:ascii="宋体" w:hAnsi="Courier New"/>
      <w:b/>
      <w:szCs w:val="20"/>
    </w:rPr>
  </w:style>
  <w:style w:type="table" w:styleId="26">
    <w:name w:val="Table Grid"/>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basedOn w:val="27"/>
    <w:qFormat/>
    <w:uiPriority w:val="0"/>
    <w:rPr>
      <w:b/>
    </w:rPr>
  </w:style>
  <w:style w:type="character" w:styleId="29">
    <w:name w:val="page number"/>
    <w:qFormat/>
    <w:uiPriority w:val="0"/>
  </w:style>
  <w:style w:type="character" w:styleId="30">
    <w:name w:val="annotation reference"/>
    <w:basedOn w:val="27"/>
    <w:qFormat/>
    <w:uiPriority w:val="0"/>
    <w:rPr>
      <w:sz w:val="21"/>
      <w:szCs w:val="21"/>
    </w:rPr>
  </w:style>
  <w:style w:type="character" w:styleId="31">
    <w:name w:val="HTML Sample"/>
    <w:basedOn w:val="27"/>
    <w:qFormat/>
    <w:uiPriority w:val="0"/>
    <w:rPr>
      <w:rFonts w:ascii="Courier New" w:hAnsi="Courier New"/>
    </w:rPr>
  </w:style>
  <w:style w:type="character" w:customStyle="1" w:styleId="32">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table" w:customStyle="1" w:styleId="33">
    <w:name w:val="Table Normal"/>
    <w:semiHidden/>
    <w:qFormat/>
    <w:uiPriority w:val="2"/>
    <w:pPr>
      <w:widowControl w:val="0"/>
    </w:pPr>
    <w:rPr>
      <w:rFonts w:ascii="Calibri" w:hAnsi="Calibri" w:eastAsia="Times New Roman"/>
      <w:sz w:val="22"/>
      <w:szCs w:val="22"/>
      <w:lang w:eastAsia="en-US"/>
    </w:rPr>
    <w:tblPr>
      <w:tblCellMar>
        <w:top w:w="0" w:type="dxa"/>
        <w:left w:w="0" w:type="dxa"/>
        <w:bottom w:w="0" w:type="dxa"/>
        <w:right w:w="0" w:type="dxa"/>
      </w:tblCellMar>
    </w:tblPr>
  </w:style>
  <w:style w:type="paragraph" w:customStyle="1" w:styleId="34">
    <w:name w:val="Table Text"/>
    <w:basedOn w:val="1"/>
    <w:semiHidden/>
    <w:qFormat/>
    <w:uiPriority w:val="0"/>
    <w:rPr>
      <w:rFonts w:ascii="宋体" w:hAnsi="宋体" w:cs="宋体"/>
      <w:sz w:val="20"/>
      <w:szCs w:val="20"/>
      <w:lang w:eastAsia="en-US"/>
    </w:rPr>
  </w:style>
  <w:style w:type="paragraph" w:customStyle="1" w:styleId="35">
    <w:name w:val="表内文字"/>
    <w:basedOn w:val="1"/>
    <w:qFormat/>
    <w:uiPriority w:val="0"/>
    <w:pPr>
      <w:snapToGrid w:val="0"/>
      <w:spacing w:before="50" w:after="50"/>
      <w:jc w:val="center"/>
    </w:pPr>
    <w:rPr>
      <w:rFonts w:ascii="仿宋_GB2312" w:hAnsi="宋体" w:eastAsia="仿宋_GB2312"/>
      <w:b/>
      <w:color w:val="000000"/>
      <w:sz w:val="32"/>
      <w:szCs w:val="32"/>
    </w:rPr>
  </w:style>
  <w:style w:type="character" w:customStyle="1" w:styleId="36">
    <w:name w:val="批注框文本 Char"/>
    <w:basedOn w:val="27"/>
    <w:link w:val="16"/>
    <w:qFormat/>
    <w:uiPriority w:val="0"/>
    <w:rPr>
      <w:rFonts w:ascii="Times New Roman" w:hAnsi="Times New Roman" w:eastAsia="宋体" w:cs="Times New Roman"/>
      <w:kern w:val="2"/>
      <w:sz w:val="18"/>
      <w:szCs w:val="18"/>
    </w:rPr>
  </w:style>
  <w:style w:type="paragraph" w:customStyle="1" w:styleId="37">
    <w:name w:val="null3"/>
    <w:qFormat/>
    <w:uiPriority w:val="0"/>
    <w:rPr>
      <w:rFonts w:hint="eastAsia" w:ascii="Calibri" w:hAnsi="Calibri" w:eastAsia="宋体" w:cs="宋体"/>
      <w:lang w:val="en-US"/>
    </w:rPr>
  </w:style>
  <w:style w:type="paragraph" w:customStyle="1" w:styleId="38">
    <w:name w:val="列出段落1"/>
    <w:basedOn w:val="1"/>
    <w:qFormat/>
    <w:uiPriority w:val="34"/>
    <w:pPr>
      <w:ind w:firstLine="420" w:firstLineChars="200"/>
    </w:pPr>
  </w:style>
  <w:style w:type="paragraph" w:styleId="39">
    <w:name w:val="List Paragraph"/>
    <w:basedOn w:val="1"/>
    <w:qFormat/>
    <w:uiPriority w:val="34"/>
    <w:pPr>
      <w:ind w:left="720"/>
      <w:contextualSpacing/>
    </w:pPr>
  </w:style>
  <w:style w:type="paragraph" w:customStyle="1" w:styleId="40">
    <w:name w:val="首行缩进"/>
    <w:basedOn w:val="1"/>
    <w:qFormat/>
    <w:uiPriority w:val="0"/>
    <w:pPr>
      <w:ind w:firstLine="480" w:firstLineChars="200"/>
    </w:pPr>
    <w:rPr>
      <w:rFonts w:ascii="Times New Roman" w:hAnsi="Times New Roman" w:eastAsia="宋体" w:cs="Times New Roman"/>
    </w:rPr>
  </w:style>
  <w:style w:type="paragraph" w:customStyle="1" w:styleId="41">
    <w:name w:val="Default"/>
    <w:basedOn w:val="13"/>
    <w:next w:val="2"/>
    <w:qFormat/>
    <w:uiPriority w:val="99"/>
    <w:pPr>
      <w:autoSpaceDE w:val="0"/>
      <w:autoSpaceDN w:val="0"/>
      <w:adjustRightInd w:val="0"/>
    </w:pPr>
    <w:rPr>
      <w:rFonts w:ascii="宋体" w:eastAsia="Arial"/>
      <w:snapToGrid w:val="0"/>
      <w:kern w:val="0"/>
      <w:sz w:val="24"/>
      <w:szCs w:val="24"/>
    </w:rPr>
  </w:style>
  <w:style w:type="character" w:customStyle="1" w:styleId="42">
    <w:name w:val="font51"/>
    <w:basedOn w:val="27"/>
    <w:qFormat/>
    <w:uiPriority w:val="0"/>
    <w:rPr>
      <w:rFonts w:hint="eastAsia" w:ascii="微软雅黑" w:hAnsi="微软雅黑" w:eastAsia="微软雅黑" w:cs="微软雅黑"/>
      <w:color w:val="000000"/>
      <w:sz w:val="20"/>
      <w:szCs w:val="20"/>
      <w:u w:val="none"/>
    </w:rPr>
  </w:style>
  <w:style w:type="character" w:customStyle="1" w:styleId="43">
    <w:name w:val="font21"/>
    <w:basedOn w:val="27"/>
    <w:qFormat/>
    <w:uiPriority w:val="0"/>
    <w:rPr>
      <w:rFonts w:hint="eastAsia" w:ascii="微软雅黑" w:hAnsi="微软雅黑" w:eastAsia="微软雅黑" w:cs="微软雅黑"/>
      <w:b/>
      <w:bCs/>
      <w:color w:val="000000"/>
      <w:sz w:val="20"/>
      <w:szCs w:val="20"/>
      <w:u w:val="none"/>
    </w:rPr>
  </w:style>
  <w:style w:type="character" w:customStyle="1" w:styleId="44">
    <w:name w:val="font111"/>
    <w:basedOn w:val="27"/>
    <w:qFormat/>
    <w:uiPriority w:val="0"/>
    <w:rPr>
      <w:rFonts w:hint="eastAsia" w:ascii="宋体" w:hAnsi="宋体" w:eastAsia="宋体" w:cs="宋体"/>
      <w:b/>
      <w:bCs/>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5" Type="http://schemas.microsoft.com/office/2011/relationships/people" Target="people.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4.png"/><Relationship Id="rId2" Type="http://schemas.openxmlformats.org/officeDocument/2006/relationships/settings" Target="settings.xml"/><Relationship Id="rId19" Type="http://schemas.openxmlformats.org/officeDocument/2006/relationships/image" Target="media/image3.png"/><Relationship Id="rId18" Type="http://schemas.openxmlformats.org/officeDocument/2006/relationships/image" Target="media/image2.png"/><Relationship Id="rId17" Type="http://schemas.openxmlformats.org/officeDocument/2006/relationships/image" Target="media/image1.png"/><Relationship Id="rId16" Type="http://schemas.openxmlformats.org/officeDocument/2006/relationships/theme" Target="theme/theme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f63663f4-ac7b-4a10-8abd-faf98e1f7ee8</errorID>
      <errorWord>：/</errorWord>
      <group>L1_Punc</group>
      <groupName>标点问题</groupName>
      <ability>L2_Punc_CN</ability>
      <abilityName>标点符号检查</abilityName>
      <candidateList>
        <item>：</item>
      </candidateList>
      <explain/>
      <paraID>2CC43825</paraID>
      <start>2</start>
      <end>4</end>
      <status>unmodified</status>
      <modifiedWord/>
      <trackRevisions>false</trackRevisions>
    </reviewItem>
    <reviewItem>
      <errorID>ca3c1171-914f-4e36-b6a0-0bfd03ab84c7</errorID>
      <errorWord>：/</errorWord>
      <group>L1_Punc</group>
      <groupName>标点问题</groupName>
      <ability>L2_Punc_CN</ability>
      <abilityName>标点符号检查</abilityName>
      <candidateList>
        <item>：</item>
      </candidateList>
      <explain/>
      <paraID>1C522A1E</paraID>
      <start>2</start>
      <end>4</end>
      <status>unmodified</status>
      <modifiedWord/>
      <trackRevisions>false</trackRevisions>
    </reviewItem>
    <reviewItem>
      <errorID>cb336d12-49a3-49a3-aef6-36797e4d8d8f</errorID>
      <errorWord>日至2026年</errorWord>
      <group>L1_Word</group>
      <groupName>字词问题</groupName>
      <ability>L2_Typo</ability>
      <abilityName>字词错误</abilityName>
      <candidateList>
        <item>日起至2026年</item>
      </candidateList>
      <explain/>
      <paraID>218438BB</paraID>
      <start>18</start>
      <end>26</end>
      <status>unmodified</status>
      <modifiedWord/>
      <trackRevisions>false</trackRevisions>
    </reviewItem>
    <reviewItem>
      <errorID>675e085f-330f-4ffa-914f-1c1c30009d8d</errorID>
      <errorWord>上午00:00</errorWord>
      <group>L1_Knowledge</group>
      <groupName>知识性问题</groupName>
      <ability>L2_Time</ability>
      <abilityName>日期时间</abilityName>
      <candidateList/>
      <explain>时间与前缀不匹配，可能的时间前缀有“下午、晚上、凌晨、午夜”。</explain>
      <paraID>218438BB</paraID>
      <start>40</start>
      <end>47</end>
      <status>unmodified</status>
      <modifiedWord/>
      <trackRevisions>false</trackRevisions>
    </reviewItem>
    <reviewItem>
      <errorID>3bf6b6fd-8f5b-444e-b92c-bbad9192842b</errorID>
      <errorWord>(</errorWord>
      <group>L1_Format</group>
      <groupName>格式问题</groupName>
      <ability>L2_HalfPunc_CN</ability>
      <abilityName>全半角检查</abilityName>
      <candidateList>
        <item>（</item>
      </candidateList>
      <explain>文本全半角错误。</explain>
      <paraID>5816CA24</paraID>
      <start>80</start>
      <end>81</end>
      <status>unmodified</status>
      <modifiedWord/>
      <trackRevisions>false</trackRevisions>
    </reviewItem>
    <reviewItem>
      <errorID>bb5305bc-6e84-4e87-8181-3abc1065d43d</errorID>
      <errorWord>-</errorWord>
      <group>L1_Format</group>
      <groupName>格式问题</groupName>
      <ability>L2_HalfPunc_CN</ability>
      <abilityName>全半角检查</abilityName>
      <candidateList>
        <item>－</item>
      </candidateList>
      <explain>文本全半角错误。</explain>
      <paraID>5816CA24</paraID>
      <start>97</start>
      <end>98</end>
      <status>unmodified</status>
      <modifiedWord/>
      <trackRevisions>false</trackRevisions>
    </reviewItem>
    <reviewItem>
      <errorID>0fcd90ca-db9a-4fb3-a4c2-880a22580d7c</errorID>
      <errorWord>-</errorWord>
      <group>L1_Format</group>
      <groupName>格式问题</groupName>
      <ability>L2_HalfPunc_CN</ability>
      <abilityName>全半角检查</abilityName>
      <candidateList>
        <item>－</item>
      </candidateList>
      <explain>文本全半角错误。</explain>
      <paraID>5816CA24</paraID>
      <start>102</start>
      <end>103</end>
      <status>unmodified</status>
      <modifiedWord/>
      <trackRevisions>false</trackRevisions>
    </reviewItem>
    <reviewItem>
      <errorID>64f4d15c-de38-43ec-80d2-ed2e00ccae54</errorID>
      <errorWord>-</errorWord>
      <group>L1_Format</group>
      <groupName>格式问题</groupName>
      <ability>L2_HalfPunc_CN</ability>
      <abilityName>全半角检查</abilityName>
      <candidateList>
        <item>－</item>
      </candidateList>
      <explain>文本全半角错误。</explain>
      <paraID>5816CA24</paraID>
      <start>109</start>
      <end>110</end>
      <status>unmodified</status>
      <modifiedWord/>
      <trackRevisions>false</trackRevisions>
    </reviewItem>
    <reviewItem>
      <errorID>87155327-ce7d-4a94-9783-676acf82ab18</errorID>
      <errorWord>-</errorWord>
      <group>L1_Format</group>
      <groupName>格式问题</groupName>
      <ability>L2_HalfPunc_CN</ability>
      <abilityName>全半角检查</abilityName>
      <candidateList>
        <item>－</item>
      </candidateList>
      <explain>文本全半角错误。</explain>
      <paraID>5816CA24</paraID>
      <start>115</start>
      <end>116</end>
      <status>unmodified</status>
      <modifiedWord/>
      <trackRevisions>false</trackRevisions>
    </reviewItem>
    <reviewItem>
      <errorID>5b92e28b-4915-4712-80d0-032a5945425b</errorID>
      <errorWord>)</errorWord>
      <group>L1_Format</group>
      <groupName>格式问题</groupName>
      <ability>L2_HalfPunc_CN</ability>
      <abilityName>全半角检查</abilityName>
      <candidateList>
        <item>）</item>
      </candidateList>
      <explain>文本全半角错误。</explain>
      <paraID>5816CA24</paraID>
      <start>128</start>
      <end>129</end>
      <status>unmodified</status>
      <modifiedWord/>
      <trackRevisions>false</trackRevisions>
    </reviewItem>
    <reviewItem>
      <errorID>cb323b37-eb6d-46e0-a99e-206a4fc8cab3</errorID>
      <errorWord>：</errorWord>
      <group>L1_Format</group>
      <groupName>格式问题</groupName>
      <ability>L2_HalfPunc_CN</ability>
      <abilityName>全半角检查</abilityName>
      <candidateList>
        <item>:</item>
      </candidateList>
      <explain>文本全半角错误。</explain>
      <paraID>6FEEAA85</paraID>
      <start>31</start>
      <end>32</end>
      <status>unmodified</status>
      <modifiedWord/>
      <trackRevisions>false</trackRevisions>
    </reviewItem>
    <reviewItem>
      <errorID>b22db0fb-4b8b-496a-8042-a88869b1a8e3</errorID>
      <errorWord>(</errorWord>
      <group>L1_Format</group>
      <groupName>格式问题</groupName>
      <ability>L2_HalfPunc_CN</ability>
      <abilityName>全半角检查</abilityName>
      <candidateList>
        <item>（</item>
      </candidateList>
      <explain>文本全半角错误。</explain>
      <paraID>6FEEAA85</paraID>
      <start>34</start>
      <end>35</end>
      <status>unmodified</status>
      <modifiedWord/>
      <trackRevisions>false</trackRevisions>
    </reviewItem>
    <reviewItem>
      <errorID>29895e58-88a1-41bf-8fb5-a3cdcdbd7b98</errorID>
      <errorWord>)</errorWord>
      <group>L1_Format</group>
      <groupName>格式问题</groupName>
      <ability>L2_HalfPunc_CN</ability>
      <abilityName>全半角检查</abilityName>
      <candidateList>
        <item>）</item>
      </candidateList>
      <explain>文本全半角错误。</explain>
      <paraID>6FEEAA85</paraID>
      <start>39</start>
      <end>40</end>
      <status>unmodified</status>
      <modifiedWord/>
      <trackRevisions>false</trackRevisions>
    </reviewItem>
    <reviewItem>
      <errorID>e3e913f2-4121-424a-a7e5-4327b5bebe33</errorID>
      <errorWord>：</errorWord>
      <group>L1_Format</group>
      <groupName>格式问题</groupName>
      <ability>L2_HalfPunc_CN</ability>
      <abilityName>全半角检查</abilityName>
      <candidateList>
        <item>:</item>
      </candidateList>
      <explain>文本全半角错误。</explain>
      <paraID> F1F36CE</paraID>
      <start>25</start>
      <end>26</end>
      <status>unmodified</status>
      <modifiedWord/>
      <trackRevisions>false</trackRevisions>
    </reviewItem>
    <reviewItem>
      <errorID>d7137875-8f0c-4f70-ba8a-0329bcf83631</errorID>
      <errorWord>(</errorWord>
      <group>L1_Format</group>
      <groupName>格式问题</groupName>
      <ability>L2_HalfPunc_CN</ability>
      <abilityName>全半角检查</abilityName>
      <candidateList>
        <item>（</item>
      </candidateList>
      <explain>文本全半角错误。</explain>
      <paraID> F1F36CE</paraID>
      <start>28</start>
      <end>29</end>
      <status>unmodified</status>
      <modifiedWord/>
      <trackRevisions>false</trackRevisions>
    </reviewItem>
    <reviewItem>
      <errorID>d1704b06-dd91-442f-9f7c-b82586882f87</errorID>
      <errorWord>)</errorWord>
      <group>L1_Format</group>
      <groupName>格式问题</groupName>
      <ability>L2_HalfPunc_CN</ability>
      <abilityName>全半角检查</abilityName>
      <candidateList>
        <item>）</item>
      </candidateList>
      <explain>文本全半角错误。</explain>
      <paraID> F1F36CE</paraID>
      <start>33</start>
      <end>34</end>
      <status>unmodified</status>
      <modifiedWord/>
      <trackRevisions>false</trackRevisions>
    </reviewItem>
    <reviewItem>
      <errorID>93c44ed7-35b7-4eda-a940-823ea7ffb22b</errorID>
      <errorWord>(</errorWord>
      <group>L1_Format</group>
      <groupName>格式问题</groupName>
      <ability>L2_HalfPunc_CN</ability>
      <abilityName>全半角检查</abilityName>
      <candidateList>
        <item>（</item>
      </candidateList>
      <explain>文本全半角错误。</explain>
      <paraID>242C7E26</paraID>
      <start>13</start>
      <end>14</end>
      <status>unmodified</status>
      <modifiedWord/>
      <trackRevisions>false</trackRevisions>
    </reviewItem>
    <reviewItem>
      <errorID>99fd2922-b183-45ef-b57e-9fcf6e17d5b1</errorID>
      <errorWord>)</errorWord>
      <group>L1_Format</group>
      <groupName>格式问题</groupName>
      <ability>L2_HalfPunc_CN</ability>
      <abilityName>全半角检查</abilityName>
      <candidateList>
        <item>）</item>
      </candidateList>
      <explain>文本全半角错误。</explain>
      <paraID>242C7E26</paraID>
      <start>36</start>
      <end>37</end>
      <status>unmodified</status>
      <modifiedWord/>
      <trackRevisions>false</trackRevisions>
    </reviewItem>
    <reviewItem>
      <errorID>b61e048b-3a35-4180-bac5-56e11042fb12</errorID>
      <errorWord>(</errorWord>
      <group>L1_Format</group>
      <groupName>格式问题</groupName>
      <ability>L2_HalfPunc_CN</ability>
      <abilityName>全半角检查</abilityName>
      <candidateList>
        <item>（</item>
      </candidateList>
      <explain>文本全半角错误。</explain>
      <paraID>242C7E26</paraID>
      <start>45</start>
      <end>46</end>
      <status>unmodified</status>
      <modifiedWord/>
      <trackRevisions>false</trackRevisions>
    </reviewItem>
    <reviewItem>
      <errorID>aa6cfd61-d223-4c8a-ba0b-9ece838fc60a</errorID>
      <errorWord>)</errorWord>
      <group>L1_Format</group>
      <groupName>格式问题</groupName>
      <ability>L2_HalfPunc_CN</ability>
      <abilityName>全半角检查</abilityName>
      <candidateList>
        <item>）</item>
      </candidateList>
      <explain>文本全半角错误。</explain>
      <paraID>242C7E26</paraID>
      <start>61</start>
      <end>62</end>
      <status>unmodified</status>
      <modifiedWord/>
      <trackRevisions>false</trackRevisions>
    </reviewItem>
    <reviewItem>
      <errorID>17766acb-8bb4-4e3e-bceb-1f2f91a4029a</errorID>
      <errorWord>-</errorWord>
      <group>L1_Format</group>
      <groupName>格式问题</groupName>
      <ability>L2_HalfPunc_CN</ability>
      <abilityName>全半角检查</abilityName>
      <candidateList>
        <item>－</item>
      </candidateList>
      <explain>文本全半角错误。</explain>
      <paraID>5AE205D0</paraID>
      <start>303</start>
      <end>304</end>
      <status>unmodified</status>
      <modifiedWord/>
      <trackRevisions>false</trackRevisions>
    </reviewItem>
    <reviewItem>
      <errorID>1cc13797-87a1-4637-b327-3d7360d53e5d</errorID>
      <errorWord>-</errorWord>
      <group>L1_Format</group>
      <groupName>格式问题</groupName>
      <ability>L2_HalfPunc_CN</ability>
      <abilityName>全半角检查</abilityName>
      <candidateList>
        <item>－</item>
      </candidateList>
      <explain>文本全半角错误。</explain>
      <paraID>5AE205D0</paraID>
      <start>308</start>
      <end>309</end>
      <status>unmodified</status>
      <modifiedWord/>
      <trackRevisions>false</trackRevisions>
    </reviewItem>
    <reviewItem>
      <errorID>f7ed909b-23b8-4dbe-99f5-bd24ff1955a9</errorID>
      <errorWord>-</errorWord>
      <group>L1_Format</group>
      <groupName>格式问题</groupName>
      <ability>L2_HalfPunc_CN</ability>
      <abilityName>全半角检查</abilityName>
      <candidateList>
        <item>－</item>
      </candidateList>
      <explain>文本全半角错误。</explain>
      <paraID>5AE205D0</paraID>
      <start>313</start>
      <end>314</end>
      <status>unmodified</status>
      <modifiedWord/>
      <trackRevisions>false</trackRevisions>
    </reviewItem>
    <reviewItem>
      <errorID>5e0eed61-ea99-46a0-be22-427389e5a097</errorID>
      <errorWord>-</errorWord>
      <group>L1_Format</group>
      <groupName>格式问题</groupName>
      <ability>L2_HalfPunc_CN</ability>
      <abilityName>全半角检查</abilityName>
      <candidateList>
        <item>－</item>
      </candidateList>
      <explain>文本全半角错误。</explain>
      <paraID>5AE205D0</paraID>
      <start>319</start>
      <end>320</end>
      <status>unmodified</status>
      <modifiedWord/>
      <trackRevisions>false</trackRevisions>
    </reviewItem>
    <reviewItem>
      <errorID>db0eeab5-4caf-4b1e-8e1e-905d6064f00f</errorID>
      <errorWord>-</errorWord>
      <group>L1_Format</group>
      <groupName>格式问题</groupName>
      <ability>L2_HalfPunc_CN</ability>
      <abilityName>全半角检查</abilityName>
      <candidateList>
        <item>－</item>
      </candidateList>
      <explain>文本全半角错误。</explain>
      <paraID>5AE205D0</paraID>
      <start>336</start>
      <end>337</end>
      <status>unmodified</status>
      <modifiedWord/>
      <trackRevisions>false</trackRevisions>
    </reviewItem>
    <reviewItem>
      <errorID>26e5ea79-65b1-4455-9aa7-d399f6ab4f6f</errorID>
      <errorWord>-</errorWord>
      <group>L1_Format</group>
      <groupName>格式问题</groupName>
      <ability>L2_HalfPunc_CN</ability>
      <abilityName>全半角检查</abilityName>
      <candidateList>
        <item>－</item>
      </candidateList>
      <explain>文本全半角错误。</explain>
      <paraID>417E770E</paraID>
      <start>108</start>
      <end>109</end>
      <status>unmodified</status>
      <modifiedWord/>
      <trackRevisions>false</trackRevisions>
    </reviewItem>
    <reviewItem>
      <errorID>7d71e3cd-b150-4f87-8a46-06c8f315790c</errorID>
      <errorWord>-</errorWord>
      <group>L1_Format</group>
      <groupName>格式问题</groupName>
      <ability>L2_HalfPunc_CN</ability>
      <abilityName>全半角检查</abilityName>
      <candidateList>
        <item>－</item>
      </candidateList>
      <explain>文本全半角错误。</explain>
      <paraID>417E770E</paraID>
      <start>137</start>
      <end>138</end>
      <status>unmodified</status>
      <modifiedWord/>
      <trackRevisions>false</trackRevisions>
    </reviewItem>
    <reviewItem>
      <errorID>16515945-be9e-44a7-9d76-38049b5d514f</errorID>
      <errorWord>操作合</errorWord>
      <group>L1_Word</group>
      <groupName>字词问题</groupName>
      <ability>L2_Typo</ability>
      <abilityName>字词错误</abilityName>
      <candidateList>
        <item>操作台</item>
      </candidateList>
      <explain/>
      <paraID>751BCD6B</paraID>
      <start>9</start>
      <end>12</end>
      <status>unmodified</status>
      <modifiedWord/>
      <trackRevisions>false</trackRevisions>
    </reviewItem>
    <reviewItem>
      <errorID>487ba060-9fbf-4766-bd9a-0d65e794c052</errorID>
      <errorWord>桂林市崇信</errorWord>
      <group>L1_Knowledge</group>
      <groupName>知识性问题</groupName>
      <ability>L2_Location</ability>
      <abilityName>地名检查</abilityName>
      <candidateList>
        <item>平凉崇信</item>
      </candidateList>
      <explain>地名表述错误。</explain>
      <paraID>21011C3C</paraID>
      <start>3</start>
      <end>8</end>
      <status>unmodified</status>
      <modifiedWord/>
      <trackRevisions>false</trackRevisions>
    </reviewItem>
    <reviewItem>
      <errorID>6f419543-8c10-49c8-8259-461831d51fc2</errorID>
      <errorWord>)</errorWord>
      <group>L1_Format</group>
      <groupName>格式问题</groupName>
      <ability>L2_HalfPunc_CN</ability>
      <abilityName>全半角检查</abilityName>
      <candidateList>
        <item>）</item>
      </candidateList>
      <explain>文本全半角错误。</explain>
      <paraID>5C7536F9</paraID>
      <start>77</start>
      <end>78</end>
      <status>unmodified</status>
      <modifiedWord/>
      <trackRevisions>false</trackRevisions>
    </reviewItem>
    <reviewItem>
      <errorID>7cb11d7e-3bd8-467f-a073-3f76f915b69d</errorID>
      <errorWord>(</errorWord>
      <group>L1_Format</group>
      <groupName>格式问题</groupName>
      <ability>L2_HalfPunc_CN</ability>
      <abilityName>全半角检查</abilityName>
      <candidateList>
        <item>（</item>
      </candidateList>
      <explain>文本全半角错误。</explain>
      <paraID>2D0BDB9B</paraID>
      <start>39</start>
      <end>40</end>
      <status>unmodified</status>
      <modifiedWord/>
      <trackRevisions>false</trackRevisions>
    </reviewItem>
    <reviewItem>
      <errorID>6d7bf4e0-fcff-442a-aa36-26269df2d973</errorID>
      <errorWord>)</errorWord>
      <group>L1_Format</group>
      <groupName>格式问题</groupName>
      <ability>L2_HalfPunc_CN</ability>
      <abilityName>全半角检查</abilityName>
      <candidateList>
        <item>）</item>
      </candidateList>
      <explain>文本全半角错误。</explain>
      <paraID>2D0BDB9B</paraID>
      <start>49</start>
      <end>50</end>
      <status>unmodified</status>
      <modifiedWord/>
      <trackRevisions>false</trackRevisions>
    </reviewItem>
    <reviewItem>
      <errorID>237e5b0e-a5a8-4cca-b68b-795087d2b357</errorID>
      <errorWord>(</errorWord>
      <group>L1_Format</group>
      <groupName>格式问题</groupName>
      <ability>L2_HalfPunc_CN</ability>
      <abilityName>全半角检查</abilityName>
      <candidateList>
        <item>（</item>
      </candidateList>
      <explain>文本全半角错误。</explain>
      <paraID>2D0BDB9B</paraID>
      <start>68</start>
      <end>69</end>
      <status>unmodified</status>
      <modifiedWord/>
      <trackRevisions>false</trackRevisions>
    </reviewItem>
    <reviewItem>
      <errorID>400dd0bb-28c8-4dc5-8724-5255cb49a013</errorID>
      <errorWord>)</errorWord>
      <group>L1_Format</group>
      <groupName>格式问题</groupName>
      <ability>L2_HalfPunc_CN</ability>
      <abilityName>全半角检查</abilityName>
      <candidateList>
        <item>）</item>
      </candidateList>
      <explain>文本全半角错误。</explain>
      <paraID>2D0BDB9B</paraID>
      <start>76</start>
      <end>77</end>
      <status>unmodified</status>
      <modifiedWord/>
      <trackRevisions>false</trackRevisions>
    </reviewItem>
    <reviewItem>
      <errorID>3d8487de-1d00-4caf-8ecc-7fa69cfb349e</errorID>
      <errorWord>国家质量监督检验检疫总局</errorWord>
      <group>L1_Knowledge</group>
      <groupName>知识性问题</groupName>
      <ability>L2_Organization</ability>
      <abilityName>机构检查</abilityName>
      <candidateList/>
      <explain>2018年3月，中共中央印发了《深化党和国家机构改革方案》，国家质量监督检验检疫总局的职责整合到新组建的国家市场监督管理总局，出入境检验检疫管理职责和队伍划入海关总署。不再保留国家质量监督检验检疫总局。</explain>
      <paraID>2D0BDB9B</paraID>
      <start>128</start>
      <end>140</end>
      <status>unmodified</status>
      <modifiedWord/>
      <trackRevisions>false</trackRevisions>
    </reviewItem>
    <reviewItem>
      <errorID>a8323789-85d6-403a-8054-3af075745efc</errorID>
      <errorWord>(</errorWord>
      <group>L1_Format</group>
      <groupName>格式问题</groupName>
      <ability>L2_HalfPunc_CN</ability>
      <abilityName>全半角检查</abilityName>
      <candidateList>
        <item>（</item>
      </candidateList>
      <explain>文本全半角错误。</explain>
      <paraID>2D0BDB9B</paraID>
      <start>202</start>
      <end>203</end>
      <status>unmodified</status>
      <modifiedWord/>
      <trackRevisions>false</trackRevisions>
    </reviewItem>
    <reviewItem>
      <errorID>7ad7396d-a5fe-4393-b643-99d1385d2853</errorID>
      <errorWord>)</errorWord>
      <group>L1_Format</group>
      <groupName>格式问题</groupName>
      <ability>L2_HalfPunc_CN</ability>
      <abilityName>全半角检查</abilityName>
      <candidateList>
        <item>）</item>
      </candidateList>
      <explain>文本全半角错误。</explain>
      <paraID>2D0BDB9B</paraID>
      <start>212</start>
      <end>213</end>
      <status>unmodified</status>
      <modifiedWord/>
      <trackRevisions>false</trackRevisions>
    </reviewItem>
    <reviewItem>
      <errorID>fc5db7c1-c61e-4263-8d4a-38337130da80</errorID>
      <errorWord>(</errorWord>
      <group>L1_Format</group>
      <groupName>格式问题</groupName>
      <ability>L2_HalfPunc_CN</ability>
      <abilityName>全半角检查</abilityName>
      <candidateList>
        <item>（</item>
      </candidateList>
      <explain>文本全半角错误。</explain>
      <paraID>2D0BDB9B</paraID>
      <start>230</start>
      <end>231</end>
      <status>unmodified</status>
      <modifiedWord/>
      <trackRevisions>false</trackRevisions>
    </reviewItem>
    <reviewItem>
      <errorID>0965fa62-c4e2-4ec4-a1c4-ca0e1533a512</errorID>
      <errorWord>)</errorWord>
      <group>L1_Format</group>
      <groupName>格式问题</groupName>
      <ability>L2_HalfPunc_CN</ability>
      <abilityName>全半角检查</abilityName>
      <candidateList>
        <item>）</item>
      </candidateList>
      <explain>文本全半角错误。</explain>
      <paraID>2D0BDB9B</paraID>
      <start>239</start>
      <end>240</end>
      <status>unmodified</status>
      <modifiedWord/>
      <trackRevisions>false</trackRevisions>
    </reviewItem>
    <reviewItem>
      <errorID>7bb973f2-d51c-485d-82c5-e7fff0a702a5</errorID>
      <errorWord>:</errorWord>
      <group>L1_Format</group>
      <groupName>格式问题</groupName>
      <ability>L2_HalfPunc_CN</ability>
      <abilityName>全半角检查</abilityName>
      <candidateList>
        <item>：</item>
      </candidateList>
      <explain>文本全半角错误。</explain>
      <paraID>112AF82F</paraID>
      <start>7</start>
      <end>8</end>
      <status>unmodified</status>
      <modifiedWord/>
      <trackRevisions>false</trackRevisions>
    </reviewItem>
    <reviewItem>
      <errorID>48443d10-69ae-477d-bbf1-0c303b43075b</errorID>
      <errorWord>使用性</errorWord>
      <group>L1_Word</group>
      <groupName>字词问题</groupName>
      <ability>L2_Typo</ability>
      <abilityName>字词错误</abilityName>
      <candidateList>
        <item>实用性</item>
      </candidateList>
      <explain/>
      <paraID>37CD4021</paraID>
      <start>60</start>
      <end>63</end>
      <status>unmodified</status>
      <modifiedWord/>
      <trackRevisions>false</trackRevisions>
    </reviewItem>
    <reviewItem>
      <errorID>fcdcea13-47b1-49ca-b86f-2c7cbb6961d2</errorID>
      <errorWord>(</errorWord>
      <group>L1_Format</group>
      <groupName>格式问题</groupName>
      <ability>L2_HalfPunc_CN</ability>
      <abilityName>全半角检查</abilityName>
      <candidateList>
        <item>（</item>
      </candidateList>
      <explain>文本全半角错误。</explain>
      <paraID>56451E23</paraID>
      <start>35</start>
      <end>36</end>
      <status>unmodified</status>
      <modifiedWord/>
      <trackRevisions>false</trackRevisions>
    </reviewItem>
    <reviewItem>
      <errorID>207e167c-f0a6-44e1-8876-88d1ffa5f074</errorID>
      <errorWord>)</errorWord>
      <group>L1_Format</group>
      <groupName>格式问题</groupName>
      <ability>L2_HalfPunc_CN</ability>
      <abilityName>全半角检查</abilityName>
      <candidateList>
        <item>）</item>
      </candidateList>
      <explain>文本全半角错误。</explain>
      <paraID>56451E23</paraID>
      <start>44</start>
      <end>45</end>
      <status>unmodified</status>
      <modifiedWord/>
      <trackRevisions>false</trackRevisions>
    </reviewItem>
    <reviewItem>
      <errorID>4c167b40-4259-4896-9472-3e9238fae939</errorID>
      <errorWord>(</errorWord>
      <group>L1_Format</group>
      <groupName>格式问题</groupName>
      <ability>L2_HalfPunc_CN</ability>
      <abilityName>全半角检查</abilityName>
      <candidateList>
        <item>（</item>
      </candidateList>
      <explain>文本全半角错误。</explain>
      <paraID>56451E23</paraID>
      <start>68</start>
      <end>69</end>
      <status>unmodified</status>
      <modifiedWord/>
      <trackRevisions>false</trackRevisions>
    </reviewItem>
    <reviewItem>
      <errorID>65e659ad-0ed1-4f84-87a1-00ca540147ef</errorID>
      <errorWord>)</errorWord>
      <group>L1_Format</group>
      <groupName>格式问题</groupName>
      <ability>L2_HalfPunc_CN</ability>
      <abilityName>全半角检查</abilityName>
      <candidateList>
        <item>）</item>
      </candidateList>
      <explain>文本全半角错误。</explain>
      <paraID>56451E23</paraID>
      <start>73</start>
      <end>74</end>
      <status>unmodified</status>
      <modifiedWord/>
      <trackRevisions>false</trackRevisions>
    </reviewItem>
    <reviewItem>
      <errorID>29961950-d6ce-4f1b-af34-d509a5586a60</errorID>
      <errorWord>以下内镜</errorWord>
      <group>L1_Word</group>
      <groupName>字词问题</groupName>
      <ability>L2_Typo</ability>
      <abilityName>字词错误</abilityName>
      <candidateList>
        <item>以下内容</item>
      </candidateList>
      <explain/>
      <paraID>20D2821E</paraID>
      <start>6</start>
      <end>10</end>
      <status>unmodified</status>
      <modifiedWord/>
      <trackRevisions>false</trackRevisions>
    </reviewItem>
    <reviewItem>
      <errorID>7d29a1cc-41bd-433a-b03b-99e677879c6b</errorID>
      <errorWord>:</errorWord>
      <group>L1_Format</group>
      <groupName>格式问题</groupName>
      <ability>L2_HalfPunc_CN</ability>
      <abilityName>全半角检查</abilityName>
      <candidateList>
        <item>：</item>
      </candidateList>
      <explain>文本全半角错误。</explain>
      <paraID>57F228A4</paraID>
      <start>2</start>
      <end>3</end>
      <status>unmodified</status>
      <modifiedWord/>
      <trackRevisions>false</trackRevisions>
    </reviewItem>
    <reviewItem>
      <errorID>ffde8369-edb5-4b21-904d-037387c78909</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57F228A4</paraID>
      <start>4</start>
      <end>5</end>
      <status>unmodified</status>
      <modifiedWord/>
      <trackRevisions>false</trackRevisions>
    </reviewItem>
    <reviewItem>
      <errorID>1d46814d-37a0-46e0-b42b-10d597951f72</errorID>
      <errorWord>:</errorWord>
      <group>L1_Format</group>
      <groupName>格式问题</groupName>
      <ability>L2_HalfPunc_CN</ability>
      <abilityName>全半角检查</abilityName>
      <candidateList>
        <item>：</item>
      </candidateList>
      <explain>文本全半角错误。</explain>
      <paraID>22DFCD31</paraID>
      <start>2</start>
      <end>3</end>
      <status>unmodified</status>
      <modifiedWord/>
      <trackRevisions>false</trackRevisions>
    </reviewItem>
    <reviewItem>
      <errorID>ca9192ac-28e9-4cbe-a743-4bba158bd620</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22DFCD31</paraID>
      <start>4</start>
      <end>5</end>
      <status>unmodified</status>
      <modifiedWord/>
      <trackRevisions>false</trackRevisions>
    </reviewItem>
    <reviewItem>
      <errorID>c3930d89-6850-4c2e-9e6b-59ef09c8bb1b</errorID>
      <errorWord>:</errorWord>
      <group>L1_Format</group>
      <groupName>格式问题</groupName>
      <ability>L2_HalfPunc_CN</ability>
      <abilityName>全半角检查</abilityName>
      <candidateList>
        <item>：</item>
      </candidateList>
      <explain>文本全半角错误。</explain>
      <paraID>3DE84694</paraID>
      <start>2</start>
      <end>3</end>
      <status>unmodified</status>
      <modifiedWord/>
      <trackRevisions>false</trackRevisions>
    </reviewItem>
    <reviewItem>
      <errorID>5e935b2e-4321-4162-904d-0e846f7a9484</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3DE84694</paraID>
      <start>4</start>
      <end>5</end>
      <status>unmodified</status>
      <modifiedWord/>
      <trackRevisions>false</trackRevisions>
    </reviewItem>
    <reviewItem>
      <errorID>10c8ba43-8a51-4ce5-87ca-d995f58ce524</errorID>
      <errorWord>:</errorWord>
      <group>L1_Format</group>
      <groupName>格式问题</groupName>
      <ability>L2_HalfPunc_CN</ability>
      <abilityName>全半角检查</abilityName>
      <candidateList>
        <item>：</item>
      </candidateList>
      <explain>文本全半角错误。</explain>
      <paraID>4EEBF6E0</paraID>
      <start>8</start>
      <end>9</end>
      <status>unmodified</status>
      <modifiedWord/>
      <trackRevisions>false</trackRevisions>
    </reviewItem>
    <reviewItem>
      <errorID>dd561de6-64f1-4394-9ca2-1ba6f8326534</errorID>
      <errorWord>终生</errorWord>
      <group>L1_Word</group>
      <groupName>字词问题</groupName>
      <ability>L2_Typo</ability>
      <abilityName>字词错误</abilityName>
      <candidateList>
        <item>终身</item>
      </candidateList>
      <explain/>
      <paraID> D478ABE</paraID>
      <start>48</start>
      <end>50</end>
      <status>unmodified</status>
      <modifiedWord/>
      <trackRevisions>false</trackRevisions>
    </reviewItem>
    <reviewItem>
      <errorID>c20d58a2-1cd1-4adb-a7f5-ceae603103a1</errorID>
      <errorWord>其它</errorWord>
      <group>L1_Word</group>
      <groupName>字词问题</groupName>
      <ability>L2_Alias</ability>
      <abilityName>也作/曾用词</abilityName>
      <candidateList>
        <item>其他</item>
      </candidateList>
      <explain>词汇[其它]为不规范表述或旧称，其规范书面表述为[其他]。</explain>
      <paraID>308EAFD0</paraID>
      <start>33</start>
      <end>35</end>
      <status>unmodified</status>
      <modifiedWord/>
      <trackRevisions>false</trackRevisions>
    </reviewItem>
    <reviewItem>
      <errorID>9755b121-27c7-44ec-ae8e-40e5261cb534</errorID>
      <errorWord>其它</errorWord>
      <group>L1_Word</group>
      <groupName>字词问题</groupName>
      <ability>L2_Alias</ability>
      <abilityName>也作/曾用词</abilityName>
      <candidateList>
        <item>其他</item>
      </candidateList>
      <explain>词汇[其它]为不规范表述或旧称，其规范书面表述为[其他]。</explain>
      <paraID>2604419F</paraID>
      <start>28</start>
      <end>30</end>
      <status>unmodified</status>
      <modifiedWord/>
      <trackRevisions>false</trackRevisions>
    </reviewItem>
    <reviewItem>
      <errorID>09809496-7610-4ce4-a9f1-7d0c828d4cd0</errorID>
      <errorWord>KW</errorWord>
      <group>L1_Word</group>
      <groupName>字词问题</groupName>
      <ability>L2_Typo</ability>
      <abilityName>字词错误</abilityName>
      <candidateList>
        <item>kW</item>
      </candidateList>
      <explain/>
      <paraID>1FDE75EE</paraID>
      <start>17</start>
      <end>19</end>
      <status>unmodified</status>
      <modifiedWord/>
      <trackRevisions>false</trackRevisions>
    </reviewItem>
    <reviewItem>
      <errorID>c8f00416-06e9-4bdf-b386-6ec3c449708a</errorID>
      <errorWord>:</errorWord>
      <group>L1_Format</group>
      <groupName>格式问题</groupName>
      <ability>L2_HalfPunc_CN</ability>
      <abilityName>全半角检查</abilityName>
      <candidateList>
        <item>：</item>
      </candidateList>
      <explain>文本全半角错误。</explain>
      <paraID>5A12927D</paraID>
      <start>8</start>
      <end>9</end>
      <status>unmodified</status>
      <modifiedWord/>
      <trackRevisions>false</trackRevisions>
    </reviewItem>
    <reviewItem>
      <errorID>99c1abaa-85c2-4e0b-99aa-76f99b53837e</errorID>
      <errorWord>终生</errorWord>
      <group>L1_Word</group>
      <groupName>字词问题</groupName>
      <ability>L2_Typo</ability>
      <abilityName>字词错误</abilityName>
      <candidateList>
        <item>终身</item>
      </candidateList>
      <explain/>
      <paraID>42FF97F9</paraID>
      <start>48</start>
      <end>50</end>
      <status>unmodified</status>
      <modifiedWord/>
      <trackRevisions>false</trackRevisions>
    </reviewItem>
    <reviewItem>
      <errorID>ddd53014-eb7b-4b6b-b737-13ddf00cb0b0</errorID>
      <errorWord>其它</errorWord>
      <group>L1_Word</group>
      <groupName>字词问题</groupName>
      <ability>L2_Alias</ability>
      <abilityName>也作/曾用词</abilityName>
      <candidateList>
        <item>其他</item>
      </candidateList>
      <explain>词汇[其它]为不规范表述或旧称，其规范书面表述为[其他]。</explain>
      <paraID>19251AD6</paraID>
      <start>33</start>
      <end>35</end>
      <status>unmodified</status>
      <modifiedWord/>
      <trackRevisions>false</trackRevisions>
    </reviewItem>
    <reviewItem>
      <errorID>7d0a0406-34f3-48fc-b04b-1c67c2c38978</errorID>
      <errorWord>其它</errorWord>
      <group>L1_Word</group>
      <groupName>字词问题</groupName>
      <ability>L2_Alias</ability>
      <abilityName>也作/曾用词</abilityName>
      <candidateList>
        <item>其他</item>
      </candidateList>
      <explain>词汇[其它]为不规范表述或旧称，其规范书面表述为[其他]。</explain>
      <paraID>2C0976EC</paraID>
      <start>28</start>
      <end>30</end>
      <status>unmodified</status>
      <modifiedWord/>
      <trackRevisions>false</trackRevisions>
    </reviewItem>
    <reviewItem>
      <errorID>89144fec-98e3-464b-a3b7-f8ffc85504a6</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75E6BA86</paraID>
      <start>25</start>
      <end>26</end>
      <status>unmodified</status>
      <modifiedWord/>
      <trackRevisions>false</trackRevisions>
    </reviewItem>
    <reviewItem>
      <errorID>287e367e-f3b9-4a71-98a5-33433844582d</errorID>
      <errorWord>(</errorWord>
      <group>L1_Format</group>
      <groupName>格式问题</groupName>
      <ability>L2_HalfPunc_CN</ability>
      <abilityName>全半角检查</abilityName>
      <candidateList>
        <item>（</item>
      </candidateList>
      <explain>文本全半角错误。</explain>
      <paraID>29B98182</paraID>
      <start>11</start>
      <end>12</end>
      <status>unmodified</status>
      <modifiedWord/>
      <trackRevisions>false</trackRevisions>
    </reviewItem>
    <reviewItem>
      <errorID>afc08b57-57d8-4b69-97a1-1774e137c7d6</errorID>
      <errorWord>)</errorWord>
      <group>L1_Format</group>
      <groupName>格式问题</groupName>
      <ability>L2_HalfPunc_CN</ability>
      <abilityName>全半角检查</abilityName>
      <candidateList>
        <item>）</item>
      </candidateList>
      <explain>文本全半角错误。</explain>
      <paraID>29B98182</paraID>
      <start>22</start>
      <end>23</end>
      <status>unmodified</status>
      <modifiedWord/>
      <trackRevisions>false</trackRevisions>
    </reviewItem>
    <reviewItem>
      <errorID>05c01325-0401-4517-b8a3-40c0ef202bdf</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5A0FBCFA</paraID>
      <start>8</start>
      <end>9</end>
      <status>unmodified</status>
      <modifiedWord/>
      <trackRevisions>false</trackRevisions>
    </reviewItem>
    <reviewItem>
      <errorID>02901798-32ed-4016-a6a5-a988eb30a2bf</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 679EA34</paraID>
      <start>71</start>
      <end>72</end>
      <status>unmodified</status>
      <modifiedWord/>
      <trackRevisions>false</trackRevisions>
    </reviewItem>
    <reviewItem>
      <errorID>1ecc4f60-4da8-4aaf-9d26-76fb59bd020b</errorID>
      <errorWord>(</errorWord>
      <group>L1_Format</group>
      <groupName>格式问题</groupName>
      <ability>L2_HalfPunc_CN</ability>
      <abilityName>全半角检查</abilityName>
      <candidateList>
        <item>（</item>
      </candidateList>
      <explain>文本全半角错误。</explain>
      <paraID>4F7266CF</paraID>
      <start>8</start>
      <end>9</end>
      <status>unmodified</status>
      <modifiedWord/>
      <trackRevisions>false</trackRevisions>
    </reviewItem>
    <reviewItem>
      <errorID>557f169e-004d-40c6-956e-2842acc79a1a</errorID>
      <errorWord>)</errorWord>
      <group>L1_Format</group>
      <groupName>格式问题</groupName>
      <ability>L2_HalfPunc_CN</ability>
      <abilityName>全半角检查</abilityName>
      <candidateList>
        <item>）</item>
      </candidateList>
      <explain>文本全半角错误。</explain>
      <paraID>4F7266CF</paraID>
      <start>19</start>
      <end>20</end>
      <status>unmodified</status>
      <modifiedWord/>
      <trackRevisions>false</trackRevisions>
    </reviewItem>
    <reviewItem>
      <errorID>5876020c-a7d8-4291-960b-a509eb73e66d</errorID>
      <errorWord>[2011]300号</errorWord>
      <group>L1_Knowledge</group>
      <groupName>知识性问题</groupName>
      <ability>L2_Knowledge</ability>
      <abilityName>其他知识</abilityName>
      <candidateList>
        <item>〔2011〕300号</item>
      </candidateList>
      <explain>发文字号格式错误。</explain>
      <paraID>60767591</paraID>
      <start>35</start>
      <end>45</end>
      <status>unmodified</status>
      <modifiedWord/>
      <trackRevisions>false</trackRevisions>
    </reviewItem>
    <reviewItem>
      <errorID>3b958bc7-68aa-40be-a99a-44cddd562e0f</errorID>
      <errorWord>须</errorWord>
      <group>L1_Word</group>
      <groupName>字词问题</groupName>
      <ability>L2_Typo</ability>
      <abilityName>字词错误</abilityName>
      <candidateList>
        <item>需</item>
      </candidateList>
      <explain>存在发音相同字词的误用。</explain>
      <paraID>60767591</paraID>
      <start>82</start>
      <end>83</end>
      <status>unmodified</status>
      <modifiedWord/>
      <trackRevisions>false</trackRevisions>
    </reviewItem>
    <reviewItem>
      <errorID>f194b77e-0c69-4f61-8c62-10cea168d0a6</errorID>
      <errorWord>：/</errorWord>
      <group>L1_Punc</group>
      <groupName>标点问题</groupName>
      <ability>L2_Punc_CN</ability>
      <abilityName>标点符号检查</abilityName>
      <candidateList>
        <item>：</item>
      </candidateList>
      <explain/>
      <paraID>53F2A812</paraID>
      <start>18</start>
      <end>20</end>
      <status>unmodified</status>
      <modifiedWord/>
      <trackRevisions>false</trackRevisions>
    </reviewItem>
    <reviewItem>
      <errorID>13bf0352-1982-4837-862b-376a5fdc4b6f</errorID>
      <errorWord>（</errorWord>
      <group>L1_Format</group>
      <groupName>格式问题</groupName>
      <ability>L2_HalfPunc_CN</ability>
      <abilityName>全半角检查</abilityName>
      <candidateList>
        <item>(</item>
      </candidateList>
      <explain>文本全半角错误。</explain>
      <paraID>7E33176D</paraID>
      <start>4</start>
      <end>5</end>
      <status>unmodified</status>
      <modifiedWord/>
      <trackRevisions>false</trackRevisions>
    </reviewItem>
    <reviewItem>
      <errorID>ea67cb2b-ad91-42e2-943b-f5cf931ff502</errorID>
      <errorWord>）</errorWord>
      <group>L1_Format</group>
      <groupName>格式问题</groupName>
      <ability>L2_HalfPunc_CN</ability>
      <abilityName>全半角检查</abilityName>
      <candidateList>
        <item>)</item>
      </candidateList>
      <explain>文本全半角错误。</explain>
      <paraID>7E33176D</paraID>
      <start>6</start>
      <end>7</end>
      <status>unmodified</status>
      <modifiedWord/>
      <trackRevisions>false</trackRevisions>
    </reviewItem>
    <reviewItem>
      <errorID>61abe9f0-b4da-4a1c-ae28-000809f6d9b8</errorID>
      <errorWord>(</errorWord>
      <group>L1_Format</group>
      <groupName>格式问题</groupName>
      <ability>L2_HalfPunc_CN</ability>
      <abilityName>全半角检查</abilityName>
      <candidateList>
        <item>（</item>
      </candidateList>
      <explain>文本全半角错误。</explain>
      <paraID>3702A695</paraID>
      <start>13</start>
      <end>14</end>
      <status>unmodified</status>
      <modifiedWord/>
      <trackRevisions>false</trackRevisions>
    </reviewItem>
    <reviewItem>
      <errorID>c0281c57-17be-4e4c-8435-4bc370176304</errorID>
      <errorWord>)</errorWord>
      <group>L1_Format</group>
      <groupName>格式问题</groupName>
      <ability>L2_HalfPunc_CN</ability>
      <abilityName>全半角检查</abilityName>
      <candidateList>
        <item>）</item>
      </candidateList>
      <explain>文本全半角错误。</explain>
      <paraID>3702A695</paraID>
      <start>36</start>
      <end>37</end>
      <status>unmodified</status>
      <modifiedWord/>
      <trackRevisions>false</trackRevisions>
    </reviewItem>
    <reviewItem>
      <errorID>a59e94f3-51ae-478c-b556-e897c75fae06</errorID>
      <errorWord>(</errorWord>
      <group>L1_Format</group>
      <groupName>格式问题</groupName>
      <ability>L2_HalfPunc_CN</ability>
      <abilityName>全半角检查</abilityName>
      <candidateList>
        <item>（</item>
      </candidateList>
      <explain>文本全半角错误。</explain>
      <paraID>3702A695</paraID>
      <start>46</start>
      <end>47</end>
      <status>unmodified</status>
      <modifiedWord/>
      <trackRevisions>false</trackRevisions>
    </reviewItem>
    <reviewItem>
      <errorID>6eaad0cb-f6dc-4d0d-8dde-39faf9b97b1c</errorID>
      <errorWord>)</errorWord>
      <group>L1_Format</group>
      <groupName>格式问题</groupName>
      <ability>L2_HalfPunc_CN</ability>
      <abilityName>全半角检查</abilityName>
      <candidateList>
        <item>）</item>
      </candidateList>
      <explain>文本全半角错误。</explain>
      <paraID>3702A695</paraID>
      <start>62</start>
      <end>63</end>
      <status>unmodified</status>
      <modifiedWord/>
      <trackRevisions>false</trackRevisions>
    </reviewItem>
    <reviewItem>
      <errorID>501c9eaf-3334-4f45-8ca7-a211b46632ee</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3702A695</paraID>
      <start>63</start>
      <end>64</end>
      <status>unmodified</status>
      <modifiedWord/>
      <trackRevisions>false</trackRevisions>
    </reviewItem>
    <reviewItem>
      <errorID>a32d01dc-eea0-4981-a767-9113d06182cd</errorID>
      <errorWord>(</errorWord>
      <group>L1_Format</group>
      <groupName>格式问题</groupName>
      <ability>L2_HalfPunc_CN</ability>
      <abilityName>全半角检查</abilityName>
      <candidateList>
        <item>（</item>
      </candidateList>
      <explain>文本全半角错误。</explain>
      <paraID> 1D67CB3</paraID>
      <start>19</start>
      <end>20</end>
      <status>unmodified</status>
      <modifiedWord/>
      <trackRevisions>false</trackRevisions>
    </reviewItem>
    <reviewItem>
      <errorID>fefd2850-e0ae-4fbc-909f-330027e5511e</errorID>
      <errorWord>)</errorWord>
      <group>L1_Format</group>
      <groupName>格式问题</groupName>
      <ability>L2_HalfPunc_CN</ability>
      <abilityName>全半角检查</abilityName>
      <candidateList>
        <item>）</item>
      </candidateList>
      <explain>文本全半角错误。</explain>
      <paraID> 1D67CB3</paraID>
      <start>42</start>
      <end>43</end>
      <status>unmodified</status>
      <modifiedWord/>
      <trackRevisions>false</trackRevisions>
    </reviewItem>
    <reviewItem>
      <errorID>5b17bfa0-80b9-40b0-8a55-54b1b590e311</errorID>
      <errorWord>(</errorWord>
      <group>L1_Format</group>
      <groupName>格式问题</groupName>
      <ability>L2_HalfPunc_CN</ability>
      <abilityName>全半角检查</abilityName>
      <candidateList>
        <item>（</item>
      </candidateList>
      <explain>文本全半角错误。</explain>
      <paraID> 1D67CB3</paraID>
      <start>52</start>
      <end>53</end>
      <status>unmodified</status>
      <modifiedWord/>
      <trackRevisions>false</trackRevisions>
    </reviewItem>
    <reviewItem>
      <errorID>391c4216-9bc6-4418-a94a-0743ca811bc5</errorID>
      <errorWord>)</errorWord>
      <group>L1_Format</group>
      <groupName>格式问题</groupName>
      <ability>L2_HalfPunc_CN</ability>
      <abilityName>全半角检查</abilityName>
      <candidateList>
        <item>）</item>
      </candidateList>
      <explain>文本全半角错误。</explain>
      <paraID> 1D67CB3</paraID>
      <start>68</start>
      <end>69</end>
      <status>unmodified</status>
      <modifiedWord/>
      <trackRevisions>false</trackRevisions>
    </reviewItem>
    <reviewItem>
      <errorID>bd6adb0b-a68c-4d26-9668-d31f4be488ad</errorID>
      <errorWord>以下的</errorWord>
      <group>L1_Word</group>
      <groupName>字词问题</groupName>
      <ability>L2_Typo</ability>
      <abilityName>字词错误</abilityName>
      <candidateList>
        <item>以下</item>
      </candidateList>
      <explain/>
      <paraID>15E077C7</paraID>
      <start>27</start>
      <end>30</end>
      <status>unmodified</status>
      <modifiedWord/>
      <trackRevisions>false</trackRevisions>
    </reviewItem>
    <reviewItem>
      <errorID>e0705e2e-b5e5-40d6-a5fb-ede5566f50a3</errorID>
      <errorWord>：/</errorWord>
      <group>L1_Punc</group>
      <groupName>标点问题</groupName>
      <ability>L2_Punc_CN</ability>
      <abilityName>标点符号检查</abilityName>
      <candidateList>
        <item>：</item>
      </candidateList>
      <explain/>
      <paraID>4DF070AC</paraID>
      <start>4</start>
      <end>6</end>
      <status>unmodified</status>
      <modifiedWord/>
      <trackRevisions>false</trackRevisions>
    </reviewItem>
    <reviewItem>
      <errorID>de158ff9-a34a-4342-8ce3-13abdd32cfcb</errorID>
      <errorWord>：/</errorWord>
      <group>L1_Punc</group>
      <groupName>标点问题</groupName>
      <ability>L2_Punc_CN</ability>
      <abilityName>标点符号检查</abilityName>
      <candidateList>
        <item>：</item>
      </candidateList>
      <explain/>
      <paraID> 96B8D2A</paraID>
      <start>4</start>
      <end>6</end>
      <status>unmodified</status>
      <modifiedWord/>
      <trackRevisions>false</trackRevisions>
    </reviewItem>
    <reviewItem>
      <errorID>3f930acc-713f-4da6-b7fd-4443b69fdc60</errorID>
      <errorWord>：/</errorWord>
      <group>L1_Punc</group>
      <groupName>标点问题</groupName>
      <ability>L2_Punc_CN</ability>
      <abilityName>标点符号检查</abilityName>
      <candidateList>
        <item>：</item>
      </candidateList>
      <explain/>
      <paraID>4CB0DAED</paraID>
      <start>4</start>
      <end>6</end>
      <status>unmodified</status>
      <modifiedWord/>
      <trackRevisions>false</trackRevisions>
    </reviewItem>
    <reviewItem>
      <errorID>27c2e276-4994-4d6c-9cc3-76da5c81356c</errorID>
      <errorWord>［2003］</errorWord>
      <group>L1_Punc</group>
      <groupName>标点问题</groupName>
      <ability>L2_Punc_CN</ability>
      <abilityName>标点符号检查</abilityName>
      <candidateList>
        <item>〔2003〕</item>
      </candidateList>
      <explain/>
      <paraID>74466E7A</paraID>
      <start>152</start>
      <end>158</end>
      <status>unmodified</status>
      <modifiedWord/>
      <trackRevisions>false</trackRevisions>
    </reviewItem>
    <reviewItem>
      <errorID>08481b0b-6ad8-4e8a-9eb3-e14a5e9290bc</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6F9A2B5A</paraID>
      <start>22</start>
      <end>25</end>
      <status>unmodified</status>
      <modifiedWord/>
      <trackRevisions>false</trackRevisions>
    </reviewItem>
    <reviewItem>
      <errorID>875f59fb-899f-401e-90e8-920ea7eca2be</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6F9A2B5A</paraID>
      <start>54</start>
      <end>57</end>
      <status>unmodified</status>
      <modifiedWord/>
      <trackRevisions>false</trackRevisions>
    </reviewItem>
    <reviewItem>
      <errorID>fdae994c-c9f0-4191-be64-1fa5ebdbf722</errorID>
      <errorWord>法律、法规</errorWord>
      <group>L1_Word</group>
      <groupName>字词问题</groupName>
      <ability>L2_Typo</ability>
      <abilityName>字词错误</abilityName>
      <candidateList>
        <item>法律法规</item>
      </candidateList>
      <explain/>
      <paraID>6F9A2B5A</paraID>
      <start>76</start>
      <end>81</end>
      <status>unmodified</status>
      <modifiedWord/>
      <trackRevisions>false</trackRevisions>
    </reviewItem>
    <reviewItem>
      <errorID>62ce4f3f-7bf8-4c26-bf54-39d52cd9271b</errorID>
      <errorWord>，</errorWord>
      <group>L1_Word</group>
      <groupName>字词问题</groupName>
      <ability>L2_Typo</ability>
      <abilityName>字词错误</abilityName>
      <candidateList>
        <item>，使</item>
      </candidateList>
      <explain/>
      <paraID>7E6C4491</paraID>
      <start>32</start>
      <end>33</end>
      <status>unmodified</status>
      <modifiedWord/>
      <trackRevisions>false</trackRevisions>
    </reviewItem>
    <reviewItem>
      <errorID>24d9da48-e2b3-4dee-9f4e-dbbb605b8ff1</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2043A524</paraID>
      <start>51</start>
      <end>54</end>
      <status>unmodified</status>
      <modifiedWord/>
      <trackRevisions>false</trackRevisions>
    </reviewItem>
    <reviewItem>
      <errorID>40febb0c-d24a-41c9-b445-59a78ed1fe58</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2043A524</paraID>
      <start>70</start>
      <end>73</end>
      <status>unmodified</status>
      <modifiedWord/>
      <trackRevisions>false</trackRevisions>
    </reviewItem>
    <reviewItem>
      <errorID>91b4bdd4-5e76-4127-bebb-38ed46567aeb</errorID>
      <errorWord>法律、法规</errorWord>
      <group>L1_Word</group>
      <groupName>字词问题</groupName>
      <ability>L2_Typo</ability>
      <abilityName>字词错误</abilityName>
      <candidateList>
        <item>法律法规</item>
      </candidateList>
      <explain/>
      <paraID>5BDA7D17</paraID>
      <start>25</start>
      <end>30</end>
      <status>unmodified</status>
      <modifiedWord/>
      <trackRevisions>false</trackRevisions>
    </reviewItem>
    <reviewItem>
      <errorID>48f2367a-2752-43b9-8fa4-c4f1fd9bc874</errorID>
      <errorWord>[2020]46号</errorWord>
      <group>L1_Knowledge</group>
      <groupName>知识性问题</groupName>
      <ability>L2_Knowledge</ability>
      <abilityName>其他知识</abilityName>
      <candidateList>
        <item>〔2020〕46号</item>
      </candidateList>
      <explain>发文字号格式错误。</explain>
      <paraID>2DFEF0F8</paraID>
      <start>26</start>
      <end>35</end>
      <status>unmodified</status>
      <modifiedWord/>
      <trackRevisions>false</trackRevisions>
    </reviewItem>
    <reviewItem>
      <errorID>f4b83a43-4159-424a-8cf4-68dad950ab9c</errorID>
      <errorWord>第九条、</errorWord>
      <group>L1_Punc</group>
      <groupName>标点问题</groupName>
      <ability>L2_Punc_CN</ability>
      <abilityName>标点符号检查</abilityName>
      <candidateList>
        <item>第九条，</item>
      </candidateList>
      <explain>连接词前后不宜使用顿号，建议使用逗号。</explain>
      <paraID>2DFEF0F8</paraID>
      <start>36</start>
      <end>40</end>
      <status>unmodified</status>
      <modifiedWord/>
      <trackRevisions>false</trackRevisions>
    </reviewItem>
    <reviewItem>
      <errorID>4a4f0b2e-187f-4850-bb49-1399720d48f5</errorID>
      <errorWord>(</errorWord>
      <group>L1_Format</group>
      <groupName>格式问题</groupName>
      <ability>L2_HalfPunc_CN</ability>
      <abilityName>全半角检查</abilityName>
      <candidateList>
        <item>（</item>
      </candidateList>
      <explain>文本全半角错误。</explain>
      <paraID>58F1DD7C</paraID>
      <start>59</start>
      <end>60</end>
      <status>unmodified</status>
      <modifiedWord/>
      <trackRevisions>false</trackRevisions>
    </reviewItem>
    <reviewItem>
      <errorID>d4d0b2ab-7e85-40c2-9081-23ad4e4e8bd3</errorID>
      <errorWord>)</errorWord>
      <group>L1_Format</group>
      <groupName>格式问题</groupName>
      <ability>L2_HalfPunc_CN</ability>
      <abilityName>全半角检查</abilityName>
      <candidateList>
        <item>）</item>
      </candidateList>
      <explain>文本全半角错误。</explain>
      <paraID>58F1DD7C</paraID>
      <start>82</start>
      <end>83</end>
      <status>unmodified</status>
      <modifiedWord/>
      <trackRevisions>false</trackRevisions>
    </reviewItem>
    <reviewItem>
      <errorID>3967b997-1907-4282-874b-da9fc1b4fa28</errorID>
      <errorWord>操作合</errorWord>
      <group>L1_Word</group>
      <groupName>字词问题</groupName>
      <ability>L2_Typo</ability>
      <abilityName>字词错误</abilityName>
      <candidateList>
        <item>操作台</item>
      </candidateList>
      <explain/>
      <paraID>5C9D87C6</paraID>
      <start>9</start>
      <end>12</end>
      <status>unmodified</status>
      <modifiedWord/>
      <trackRevisions>false</trackRevisions>
    </reviewItem>
    <reviewItem>
      <errorID>51e05252-9417-431f-b8fa-1d540303c239</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6AD77334</paraID>
      <start>87</start>
      <end>90</end>
      <status>unmodified</status>
      <modifiedWord/>
      <trackRevisions>false</trackRevisions>
    </reviewItem>
    <reviewItem>
      <errorID>75b682f1-f114-4d0c-b0e8-951b2ffeef05</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6AD77334</paraID>
      <start>125</start>
      <end>128</end>
      <status>unmodified</status>
      <modifiedWord/>
      <trackRevisions>false</trackRevisions>
    </reviewItem>
    <reviewItem>
      <errorID>b98ec5be-c628-4fcd-a853-a2fcd9540a06</errorID>
      <errorWord>详见在</errorWord>
      <group>L1_Word</group>
      <groupName>字词问题</groupName>
      <ability>L2_Typo</ability>
      <abilityName>字词错误</abilityName>
      <candidateList>
        <item>详见</item>
      </candidateList>
      <explain/>
      <paraID> 324A70D</paraID>
      <start>63</start>
      <end>66</end>
      <status>unmodified</status>
      <modifiedWord/>
      <trackRevisions>false</trackRevisions>
    </reviewItem>
    <reviewItem>
      <errorID>d1fb5119-3b90-4064-8a1f-241e771be0b3</errorID>
      <errorWord>可登陆</errorWord>
      <group>L1_Word</group>
      <groupName>字词问题</groupName>
      <ability>L2_Typo</ability>
      <abilityName>字词错误</abilityName>
      <candidateList>
        <item>可登录</item>
      </candidateList>
      <explain/>
      <paraID>38992578</paraID>
      <start>164</start>
      <end>167</end>
      <status>unmodified</status>
      <modifiedWord/>
      <trackRevisions>false</trackRevisions>
    </reviewItem>
    <reviewItem>
      <errorID>9b4082ea-76b1-4b28-8e25-3dec4a4552f0</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38992578</paraID>
      <start>167</start>
      <end>168</end>
      <status>unmodified</status>
      <modifiedWord/>
      <trackRevisions>false</trackRevisions>
    </reviewItem>
    <reviewItem>
      <errorID>1e714238-b048-4c07-a7db-5697708db6bb</errorID>
      <errorWord>间</errorWord>
      <group>L1_Word</group>
      <groupName>字词问题</groupName>
      <ability>L2_Typo</ability>
      <abilityName>字词错误</abilityName>
      <candidateList>
        <item>间之</item>
      </candidateList>
      <explain/>
      <paraID>42839A5A</paraID>
      <start>39</start>
      <end>40</end>
      <status>unmodified</status>
      <modifiedWord/>
      <trackRevisions>false</trackRevisions>
    </reviewItem>
    <reviewItem>
      <errorID>dda8807c-3def-45b5-8fb7-7e07ba2fe242</errorID>
      <errorWord>会</errorWord>
      <group>L1_Word</group>
      <groupName>字词问题</groupName>
      <ability>L2_Typo</ability>
      <abilityName>字词错误</abilityName>
      <candidateList>
        <item>会在</item>
      </candidateList>
      <explain/>
      <paraID>1208DA34</paraID>
      <start>13</start>
      <end>14</end>
      <status>unmodified</status>
      <modifiedWord/>
      <trackRevisions>false</trackRevisions>
    </reviewItem>
    <reviewItem>
      <errorID>89b79ab9-3c83-4a91-9802-81e08210ad54</errorID>
      <errorWord>:</errorWord>
      <group>L1_Format</group>
      <groupName>格式问题</groupName>
      <ability>L2_HalfPunc_CN</ability>
      <abilityName>全半角检查</abilityName>
      <candidateList>
        <item>：</item>
      </candidateList>
      <explain>文本全半角错误。</explain>
      <paraID>11AC2038</paraID>
      <start>57</start>
      <end>58</end>
      <status>unmodified</status>
      <modifiedWord/>
      <trackRevisions>false</trackRevisions>
    </reviewItem>
    <reviewItem>
      <errorID>b11ce597-c3c2-41bd-bbe7-942fc22ab26b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593DF828</paraID>
      <start>0</start>
      <end>3</end>
      <status>unmodified</status>
      <modifiedWord/>
      <trackRevisions>false</trackRevisions>
    </reviewItem>
    <reviewItem>
      <errorID>f39090a6-b27b-47af-9380-b03ad33ea9ce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63F2C091</paraID>
      <start>0</start>
      <end>3</end>
      <status>unmodified</status>
      <modifiedWord/>
      <trackRevisions>false</trackRevisions>
    </reviewItem>
    <reviewItem>
      <errorID>17183a45-98a8-41e4-ad1a-6a8b43d8d60e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27C579C7</paraID>
      <start>0</start>
      <end>3</end>
      <status>unmodified</status>
      <modifiedWord/>
      <trackRevisions>false</trackRevisions>
    </reviewItem>
    <reviewItem>
      <errorID>ffd1bc51-8095-4b85-b4f7-c5c1d3dc5c3a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396C9A64</paraID>
      <start>0</start>
      <end>3</end>
      <status>unmodified</status>
      <modifiedWord/>
      <trackRevisions>false</trackRevisions>
    </reviewItem>
    <reviewItem>
      <errorID>79edf554-f7a1-4bbe-b755-f5b9b9f4d87f</errorID>
      <errorWord>：）</errorWord>
      <group>L1_Punc</group>
      <groupName>标点问题</groupName>
      <ability>L2_Punc_CN</ability>
      <abilityName>标点符号检查</abilityName>
      <candidateList>
        <item>）</item>
      </candidateList>
      <explain/>
      <paraID>11F7EE8E</paraID>
      <start>15</start>
      <end>17</end>
      <status>unmodified</status>
      <modifiedWord/>
      <trackRevisions>false</trackRevisions>
    </reviewItem>
    <reviewItem>
      <errorID>157666c5-750e-4c66-b35d-d416b5bed6df</errorID>
      <errorWord>可附件</errorWord>
      <group>L1_Word</group>
      <groupName>字词问题</groupName>
      <ability>L2_Typo</ability>
      <abilityName>字词错误</abilityName>
      <candidateList>
        <item>见附件</item>
      </candidateList>
      <explain/>
      <paraID> 85F260E</paraID>
      <start>99</start>
      <end>102</end>
      <status>unmodified</status>
      <modifiedWord/>
      <trackRevisions>false</trackRevisions>
    </reviewItem>
    <reviewItem>
      <errorID>31d665a8-c161-44b8-81a6-f45b8db9fe01</errorID>
      <errorWord>)</errorWord>
      <group>L1_Format</group>
      <groupName>格式问题</groupName>
      <ability>L2_HalfPunc_CN</ability>
      <abilityName>全半角检查</abilityName>
      <candidateList>
        <item>）</item>
      </candidateList>
      <explain>文本全半角错误。</explain>
      <paraID> 85F260E</paraID>
      <start>102</start>
      <end>103</end>
      <status>unmodified</status>
      <modifiedWord/>
      <trackRevisions>false</trackRevisions>
    </reviewItem>
    <reviewItem>
      <errorID>d12b3323-af5f-4b28-b99a-243071a05be3</errorID>
      <errorWord>法律、法规</errorWord>
      <group>L1_Word</group>
      <groupName>字词问题</groupName>
      <ability>L2_Typo</ability>
      <abilityName>字词错误</abilityName>
      <candidateList>
        <item>法律法规</item>
      </candidateList>
      <explain/>
      <paraID>6865D893</paraID>
      <start>4</start>
      <end>9</end>
      <status>unmodified</status>
      <modifiedWord/>
      <trackRevisions>false</trackRevisions>
    </reviewItem>
    <reviewItem>
      <errorID>3347898a-41ff-45b6-86d6-19963f6b55dc</errorID>
      <errorWord>-</errorWord>
      <group>L1_Format</group>
      <groupName>格式问题</groupName>
      <ability>L2_HalfPunc_CN</ability>
      <abilityName>全半角检查</abilityName>
      <candidateList>
        <item>－</item>
      </candidateList>
      <explain>文本全半角错误。</explain>
      <paraID> 5DED353</paraID>
      <start>20</start>
      <end>21</end>
      <status>unmodified</status>
      <modifiedWord/>
      <trackRevisions>false</trackRevisions>
    </reviewItem>
    <reviewItem>
      <errorID>308d3bb5-63ac-4c89-9d01-57e5f87c31c1</errorID>
      <errorWord>做出</errorWord>
      <group>L1_Word</group>
      <groupName>字词问题</groupName>
      <ability>L2_Typo</ability>
      <abilityName>字词错误</abilityName>
      <candidateList>
        <item>作出</item>
      </candidateList>
      <explain/>
      <paraID>7EA7389E</paraID>
      <start>116</start>
      <end>118</end>
      <status>unmodified</status>
      <modifiedWord/>
      <trackRevisions>false</trackRevisions>
    </reviewItem>
    <reviewItem>
      <errorID>650271c2-1a22-44ea-9d89-0d6c288f28dd</errorID>
      <errorWord>(</errorWord>
      <group>L1_Format</group>
      <groupName>格式问题</groupName>
      <ability>L2_HalfPunc_CN</ability>
      <abilityName>全半角检查</abilityName>
      <candidateList>
        <item>（</item>
      </candidateList>
      <explain>文本全半角错误。</explain>
      <paraID>21C944D0</paraID>
      <start>4</start>
      <end>5</end>
      <status>unmodified</status>
      <modifiedWord/>
      <trackRevisions>false</trackRevisions>
    </reviewItem>
    <reviewItem>
      <errorID>c8fdb1f2-a4db-4662-9b22-6ba5cdfc0f8a</errorID>
      <errorWord>)</errorWord>
      <group>L1_Format</group>
      <groupName>格式问题</groupName>
      <ability>L2_HalfPunc_CN</ability>
      <abilityName>全半角检查</abilityName>
      <candidateList>
        <item>）</item>
      </candidateList>
      <explain>文本全半角错误。</explain>
      <paraID>21C944D0</paraID>
      <start>14</start>
      <end>15</end>
      <status>unmodified</status>
      <modifiedWord/>
      <trackRevisions>false</trackRevisions>
    </reviewItem>
    <reviewItem>
      <errorID>dd56876f-02c3-4417-be70-54b8f46b10dc</errorID>
      <errorWord>具有</errorWord>
      <group>L1_Word</group>
      <groupName>字词问题</groupName>
      <ability>L2_Typo</ability>
      <abilityName>字词错误</abilityName>
      <candidateList>
        <item>有</item>
      </candidateList>
      <explain>〈书〉同“又”▲：三十～八年。</explain>
      <paraID>1A5E2E78</paraID>
      <start>20</start>
      <end>22</end>
      <status>unmodified</status>
      <modifiedWord/>
      <trackRevisions>false</trackRevisions>
    </reviewItem>
    <reviewItem>
      <errorID>8ddc0efc-4b61-4c70-a148-8e79e4200604</errorID>
      <errorWord>具有</errorWord>
      <group>L1_Word</group>
      <groupName>字词问题</groupName>
      <ability>L2_Typo</ability>
      <abilityName>字词错误</abilityName>
      <candidateList>
        <item>有</item>
      </candidateList>
      <explain>〈书〉同“又”▲：三十～八年。</explain>
      <paraID>1098CF7A</paraID>
      <start>20</start>
      <end>22</end>
      <status>unmodified</status>
      <modifiedWord/>
      <trackRevisions>false</trackRevisions>
    </reviewItem>
    <reviewItem>
      <errorID>a0d05b51-1212-4f56-a85e-5131155f44ae</errorID>
      <errorWord>）内</errorWord>
      <group>L1_Word</group>
      <groupName>字词问题</groupName>
      <ability>L2_Typo</ability>
      <abilityName>字词错误</abilityName>
      <candidateList>
        <item>）</item>
      </candidateList>
      <explain/>
      <paraID>62E357E6</paraID>
      <start>60</start>
      <end>62</end>
      <status>unmodified</status>
      <modifiedWord/>
      <trackRevisions>false</trackRevisions>
    </reviewItem>
    <reviewItem>
      <errorID>266b7ed3-b61b-4c5f-a8b6-e340f5e71cf7</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 979D889</paraID>
      <start>40</start>
      <end>42</end>
      <status>unmodified</status>
      <modifiedWord/>
      <trackRevisions>false</trackRevisions>
    </reviewItem>
    <reviewItem>
      <errorID>d79507ce-b9a3-4fe1-8d69-5ad50c550281</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251B396C</paraID>
      <start>40</start>
      <end>42</end>
      <status>unmodified</status>
      <modifiedWord/>
      <trackRevisions>false</trackRevisions>
    </reviewItem>
    <reviewItem>
      <errorID>8164a418-c755-4060-9cbd-7e997839d2de</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77E289C8</paraID>
      <start>41</start>
      <end>43</end>
      <status>unmodified</status>
      <modifiedWord/>
      <trackRevisions>false</trackRevisions>
    </reviewItem>
    <reviewItem>
      <errorID>69b7775e-7d30-43a9-985a-7beebd3038df</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2D68D695</paraID>
      <start>39</start>
      <end>41</end>
      <status>unmodified</status>
      <modifiedWord/>
      <trackRevisions>false</trackRevisions>
    </reviewItem>
    <reviewItem>
      <errorID>fb8ff22b-3931-4c77-9935-2ac650cefbbb</errorID>
      <errorWord>。】</errorWord>
      <group>L1_Punc</group>
      <groupName>标点问题</groupName>
      <ability>L2_Punc_CN</ability>
      <abilityName>标点符号检查</abilityName>
      <candidateList>
        <item>】</item>
      </candidateList>
      <explain/>
      <paraID>7648A1D2</paraID>
      <start>121</start>
      <end>123</end>
      <status>unmodified</status>
      <modifiedWord/>
      <trackRevisions>false</trackRevisions>
    </reviewItem>
    <reviewItem>
      <errorID>4414caff-2fb8-4304-8413-670c0d4389be</errorID>
      <errorWord>(</errorWord>
      <group>L1_Format</group>
      <groupName>格式问题</groupName>
      <ability>L2_HalfPunc_CN</ability>
      <abilityName>全半角检查</abilityName>
      <candidateList>
        <item>（</item>
      </candidateList>
      <explain>文本全半角错误。</explain>
      <paraID>1F915903</paraID>
      <start>4</start>
      <end>5</end>
      <status>unmodified</status>
      <modifiedWord/>
      <trackRevisions>false</trackRevisions>
    </reviewItem>
    <reviewItem>
      <errorID>98ddd56d-b9fb-496e-9b1e-e020cad4307a</errorID>
      <errorWord>)</errorWord>
      <group>L1_Format</group>
      <groupName>格式问题</groupName>
      <ability>L2_HalfPunc_CN</ability>
      <abilityName>全半角检查</abilityName>
      <candidateList>
        <item>）</item>
      </candidateList>
      <explain>文本全半角错误。</explain>
      <paraID>1F915903</paraID>
      <start>14</start>
      <end>15</end>
      <status>unmodified</status>
      <modifiedWord/>
      <trackRevisions>false</trackRevisions>
    </reviewItem>
    <reviewItem>
      <errorID>a90fa4cf-40a5-4b28-83be-6236d2609d30</errorID>
      <errorWord>具有</errorWord>
      <group>L1_Word</group>
      <groupName>字词问题</groupName>
      <ability>L2_Typo</ability>
      <abilityName>字词错误</abilityName>
      <candidateList>
        <item>有</item>
      </candidateList>
      <explain>〈书〉同“又”▲：三十～八年。</explain>
      <paraID>1E055F02</paraID>
      <start>20</start>
      <end>22</end>
      <status>unmodified</status>
      <modifiedWord/>
      <trackRevisions>false</trackRevisions>
    </reviewItem>
    <reviewItem>
      <errorID>ab30b469-cd07-4be8-9073-6925105a456a</errorID>
      <errorWord>具有</errorWord>
      <group>L1_Word</group>
      <groupName>字词问题</groupName>
      <ability>L2_Typo</ability>
      <abilityName>字词错误</abilityName>
      <candidateList>
        <item>有</item>
      </candidateList>
      <explain>〈书〉同“又”▲：三十～八年。</explain>
      <paraID> B0B813C</paraID>
      <start>20</start>
      <end>22</end>
      <status>unmodified</status>
      <modifiedWord/>
      <trackRevisions>false</trackRevisions>
    </reviewItem>
    <reviewItem>
      <errorID>11172e51-5626-4b76-9f26-9af84c79fed9</errorID>
      <errorWord>）内</errorWord>
      <group>L1_Word</group>
      <groupName>字词问题</groupName>
      <ability>L2_Typo</ability>
      <abilityName>字词错误</abilityName>
      <candidateList>
        <item>）</item>
      </candidateList>
      <explain/>
      <paraID> D7E5842</paraID>
      <start>60</start>
      <end>62</end>
      <status>unmodified</status>
      <modifiedWord/>
      <trackRevisions>false</trackRevisions>
    </reviewItem>
    <reviewItem>
      <errorID>e17cb194-78e3-4430-9565-3b580053d3a2</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5D11A6DE</paraID>
      <start>40</start>
      <end>42</end>
      <status>unmodified</status>
      <modifiedWord/>
      <trackRevisions>false</trackRevisions>
    </reviewItem>
    <reviewItem>
      <errorID>80080ac4-7aa6-40af-a87e-ea7c5ebc10fd</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66F57671</paraID>
      <start>40</start>
      <end>42</end>
      <status>unmodified</status>
      <modifiedWord/>
      <trackRevisions>false</trackRevisions>
    </reviewItem>
    <reviewItem>
      <errorID>a0d8cce1-e0b5-476c-9da7-664052b72e2b</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48D3B5CB</paraID>
      <start>41</start>
      <end>43</end>
      <status>unmodified</status>
      <modifiedWord/>
      <trackRevisions>false</trackRevisions>
    </reviewItem>
    <reviewItem>
      <errorID>06bfb4a0-475b-479f-8387-336dba70a4ed</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6DB1C975</paraID>
      <start>39</start>
      <end>41</end>
      <status>unmodified</status>
      <modifiedWord/>
      <trackRevisions>false</trackRevisions>
    </reviewItem>
    <reviewItem>
      <errorID>37f9ba57-1176-417c-be16-c71ca17cccde</errorID>
      <errorWord>。】</errorWord>
      <group>L1_Punc</group>
      <groupName>标点问题</groupName>
      <ability>L2_Punc_CN</ability>
      <abilityName>标点符号检查</abilityName>
      <candidateList>
        <item>】</item>
      </candidateList>
      <explain/>
      <paraID>1F520819</paraID>
      <start>121</start>
      <end>123</end>
      <status>unmodified</status>
      <modifiedWord/>
      <trackRevisions>false</trackRevisions>
    </reviewItem>
    <reviewItem>
      <errorID>971ad89e-8285-4d73-95a2-25d376316339</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7CC878B</paraID>
      <start>15</start>
      <end>18</end>
      <status>unmodified</status>
      <modifiedWord/>
      <trackRevisions>false</trackRevisions>
    </reviewItem>
    <reviewItem>
      <errorID>294efcb1-00be-430f-b48d-7a7f278f2725</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7CC878B</paraID>
      <start>35</start>
      <end>38</end>
      <status>unmodified</status>
      <modifiedWord/>
      <trackRevisions>false</trackRevisions>
    </reviewItem>
    <reviewItem>
      <errorID>6b7634f8-5b76-46f3-8f22-96670a7bcd0a</errorID>
      <errorWord>法律、法规</errorWord>
      <group>L1_Word</group>
      <groupName>字词问题</groupName>
      <ability>L2_Typo</ability>
      <abilityName>字词错误</abilityName>
      <candidateList>
        <item>法律法规</item>
      </candidateList>
      <explain/>
      <paraID> 7CC878B</paraID>
      <start>50</start>
      <end>55</end>
      <status>unmodified</status>
      <modifiedWord/>
      <trackRevisions>false</trackRevisions>
    </reviewItem>
    <reviewItem>
      <errorID>82333db9-736d-43fe-88e2-f754389da1bb</errorID>
      <errorWord>(</errorWord>
      <group>L1_Format</group>
      <groupName>格式问题</groupName>
      <ability>L2_HalfPunc_CN</ability>
      <abilityName>全半角检查</abilityName>
      <candidateList>
        <item>（</item>
      </candidateList>
      <explain>文本全半角错误。</explain>
      <paraID>682A946E</paraID>
      <start>4</start>
      <end>5</end>
      <status>unmodified</status>
      <modifiedWord/>
      <trackRevisions>false</trackRevisions>
    </reviewItem>
    <reviewItem>
      <errorID>9ce3d19e-7748-4ee9-8b49-f767dad335fc</errorID>
      <errorWord>):</errorWord>
      <group>L1_Format</group>
      <groupName>格式问题</groupName>
      <ability>L2_HalfPunc_CN</ability>
      <abilityName>全半角检查</abilityName>
      <candidateList>
        <item>）：</item>
      </candidateList>
      <explain>文本全半角错误。</explain>
      <paraID>682A946E</paraID>
      <start>8</start>
      <end>10</end>
      <status>unmodified</status>
      <modifiedWord/>
      <trackRevisions>false</trackRevisions>
    </reviewItem>
    <reviewItem>
      <errorID>61cf058a-6eac-4fde-8cb9-244e34d9d57e</errorID>
      <errorWord>:</errorWord>
      <group>L1_Format</group>
      <groupName>格式问题</groupName>
      <ability>L2_HalfPunc_CN</ability>
      <abilityName>全半角检查</abilityName>
      <candidateList>
        <item>：</item>
      </candidateList>
      <explain>文本全半角错误。</explain>
      <paraID>68840091</paraID>
      <start>6</start>
      <end>7</end>
      <status>unmodified</status>
      <modifiedWord/>
      <trackRevisions>false</trackRevisions>
    </reviewItem>
    <reviewItem>
      <errorID>b65b1014-4643-4a98-ab82-2d2c5825ede2</errorID>
      <errorWord>,</errorWord>
      <group>L1_Format</group>
      <groupName>格式问题</groupName>
      <ability>L2_HalfPunc_CN</ability>
      <abilityName>全半角检查</abilityName>
      <candidateList>
        <item>，</item>
      </candidateList>
      <explain>文本全半角错误。</explain>
      <paraID>6693F174</paraID>
      <start>30</start>
      <end>31</end>
      <status>unmodified</status>
      <modifiedWord/>
      <trackRevisions>false</trackRevisions>
    </reviewItem>
    <reviewItem>
      <errorID>df464398-845c-440c-93d1-110f8c483f46</errorID>
      <errorWord>造成损失的，乙方</errorWord>
      <group>L1_Word</group>
      <groupName>字词问题</groupName>
      <ability>L2_Typo</ability>
      <abilityName>字词错误</abilityName>
      <candidateList>
        <item>造成损失的，由乙方</item>
      </candidateList>
      <explain/>
      <paraID>32047D59</paraID>
      <start>82</start>
      <end>90</end>
      <status>unmodified</status>
      <modifiedWord/>
      <trackRevisions>false</trackRevisions>
    </reviewItem>
    <reviewItem>
      <errorID>61296385-9ee3-47ac-91ae-7e75b4680557</errorID>
      <errorWord>(</errorWord>
      <group>L1_Format</group>
      <groupName>格式问题</groupName>
      <ability>L2_HalfPunc_CN</ability>
      <abilityName>全半角检查</abilityName>
      <candidateList>
        <item>（</item>
      </candidateList>
      <explain>文本全半角错误。</explain>
      <paraID>291814DF</paraID>
      <start>6</start>
      <end>7</end>
      <status>unmodified</status>
      <modifiedWord/>
      <trackRevisions>false</trackRevisions>
    </reviewItem>
    <reviewItem>
      <errorID>2ac0c168-a32e-4cc6-84d3-3243229be7f6</errorID>
      <errorWord>):</errorWord>
      <group>L1_Format</group>
      <groupName>格式问题</groupName>
      <ability>L2_HalfPunc_CN</ability>
      <abilityName>全半角检查</abilityName>
      <candidateList>
        <item>）：</item>
      </candidateList>
      <explain>文本全半角错误。</explain>
      <paraID>291814DF</paraID>
      <start>10</start>
      <end>12</end>
      <status>unmodified</status>
      <modifiedWord/>
      <trackRevisions>false</trackRevisions>
    </reviewItem>
    <reviewItem>
      <errorID>ec117b21-7986-4f2b-b06c-98dfb4cf4757</errorID>
      <errorWord>:</errorWord>
      <group>L1_Format</group>
      <groupName>格式问题</groupName>
      <ability>L2_HalfPunc_CN</ability>
      <abilityName>全半角检查</abilityName>
      <candidateList>
        <item>：</item>
      </candidateList>
      <explain>文本全半角错误。</explain>
      <paraID>4B0C6F02</paraID>
      <start>8</start>
      <end>9</end>
      <status>unmodified</status>
      <modifiedWord/>
      <trackRevisions>false</trackRevisions>
    </reviewItem>
    <reviewItem>
      <errorID>32f84497-8741-4721-8a88-c4eea522ca4e</errorID>
      <errorWord>格</errorWord>
      <group>L1_Word</group>
      <groupName>字词问题</groupName>
      <ability>L2_Typo</ability>
      <abilityName>字词错误</abilityName>
      <candidateList>
        <item>格后</item>
      </candidateList>
      <explain/>
      <paraID>680AEBCE</paraID>
      <start>65</start>
      <end>66</end>
      <status>unmodified</status>
      <modifiedWord/>
      <trackRevisions>false</trackRevisions>
    </reviewItem>
    <reviewItem>
      <errorID>1f545cf8-e37c-401e-b49c-cda77d8e646a</errorID>
      <errorWord>由乙方负责承担</errorWord>
      <group>L1_Word</group>
      <groupName>字词问题</groupName>
      <ability>L2_Typo</ability>
      <abilityName>字词错误</abilityName>
      <candidateList>
        <item>由乙方承担</item>
      </candidateList>
      <explain/>
      <paraID>3EF8F4D9</paraID>
      <start>96</start>
      <end>103</end>
      <status>unmodified</status>
      <modifiedWord/>
      <trackRevisions>false</trackRevisions>
    </reviewItem>
    <reviewItem>
      <errorID>cf6f731f-1720-49f0-95e8-7e1af0ae0b42</errorID>
      <errorWord>:</errorWord>
      <group>L1_Format</group>
      <groupName>格式问题</groupName>
      <ability>L2_HalfPunc_CN</ability>
      <abilityName>全半角检查</abilityName>
      <candidateList>
        <item>：</item>
      </candidateList>
      <explain>文本全半角错误。</explain>
      <paraID>3C19F3EB</paraID>
      <start>8</start>
      <end>9</end>
      <status>unmodified</status>
      <modifiedWord/>
      <trackRevisions>false</trackRevisions>
    </reviewItem>
    <reviewItem>
      <errorID>2a81d64c-8866-4ea2-8bc3-10e1aa043c3b</errorID>
      <errorWord>终生</errorWord>
      <group>L1_Word</group>
      <groupName>字词问题</groupName>
      <ability>L2_Typo</ability>
      <abilityName>字词错误</abilityName>
      <candidateList>
        <item>终身</item>
      </candidateList>
      <explain/>
      <paraID>724993D5</paraID>
      <start>48</start>
      <end>50</end>
      <status>unmodified</status>
      <modifiedWord/>
      <trackRevisions>false</trackRevisions>
    </reviewItem>
    <reviewItem>
      <errorID>ef7c7d60-49a4-4bc6-b2c7-d05794ec7000</errorID>
      <errorWord>其它</errorWord>
      <group>L1_Word</group>
      <groupName>字词问题</groupName>
      <ability>L2_Alias</ability>
      <abilityName>也作/曾用词</abilityName>
      <candidateList>
        <item>其他</item>
      </candidateList>
      <explain>词汇[其它]为不规范表述或旧称，其规范书面表述为[其他]。</explain>
      <paraID>1CC2EF68</paraID>
      <start>31</start>
      <end>33</end>
      <status>unmodified</status>
      <modifiedWord/>
      <trackRevisions>false</trackRevisions>
    </reviewItem>
    <reviewItem>
      <errorID>bf2bc9d7-bf30-4aa2-94b1-0bcd102c7559</errorID>
      <errorWord>其它</errorWord>
      <group>L1_Word</group>
      <groupName>字词问题</groupName>
      <ability>L2_Alias</ability>
      <abilityName>也作/曾用词</abilityName>
      <candidateList>
        <item>其他</item>
      </candidateList>
      <explain>词汇[其它]为不规范表述或旧称，其规范书面表述为[其他]。</explain>
      <paraID>674F1FA7</paraID>
      <start>25</start>
      <end>27</end>
      <status>unmodified</status>
      <modifiedWord/>
      <trackRevisions>false</trackRevisions>
    </reviewItem>
    <reviewItem>
      <errorID>36c80c5d-f133-4991-a94a-5917a9beb90d</errorID>
      <errorWord>其它</errorWord>
      <group>L1_Word</group>
      <groupName>字词问题</groupName>
      <ability>L2_Alias</ability>
      <abilityName>也作/曾用词</abilityName>
      <candidateList>
        <item>其他</item>
      </candidateList>
      <explain>词汇[其它]为不规范表述或旧称，其规范书面表述为[其他]。</explain>
      <paraID>71656CC1</paraID>
      <start>2</start>
      <end>4</end>
      <status>unmodified</status>
      <modifiedWord/>
      <trackRevisions>false</trackRevisions>
    </reviewItem>
    <reviewItem>
      <errorID>0a4b4a7f-226e-4280-b48b-51f31730d72c</errorID>
      <errorWord>按《中华人民共和国</errorWord>
      <group>L1_Political</group>
      <groupName>政治性问题</groupName>
      <ability>L2_Unpolitical</ability>
      <abilityName>政治敏感错误</abilityName>
      <candidateList>
        <item>按照《中华人民共和国</item>
      </candidateList>
      <explain/>
      <paraID>71656CC1</paraID>
      <start>8</start>
      <end>17</end>
      <status>unmodified</status>
      <modifiedWord/>
      <trackRevisions>false</trackRevisions>
    </reviewItem>
    <reviewItem>
      <errorID>db94819e-ceeb-4bc9-8e04-18f090718256</errorID>
      <errorWord>签</errorWord>
      <group>L1_Word</group>
      <groupName>字词问题</groupName>
      <ability>L2_Typo</ability>
      <abilityName>字词错误</abilityName>
      <candidateList>
        <item>签订</item>
      </candidateList>
      <explain>〈动〉订立条约或合同并签字：两国～了贸易议定书和支付协定。</explain>
      <paraID>310E8106</paraID>
      <start>27</start>
      <end>28</end>
      <status>unmodified</status>
      <modifiedWord/>
      <trackRevisions>false</trackRevisions>
    </reviewItem>
    <reviewItem>
      <errorID>54e0a070-1271-40c1-9d29-e6de628c7251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73190F3A</paraID>
      <start>0</start>
      <end>2</end>
      <status>unmodified</status>
      <modifiedWord/>
      <trackRevisions>false</trackRevisions>
    </reviewItem>
    <reviewItem>
      <errorID>860b1321-8af9-42b7-93e0-d66969b3316a</errorID>
      <errorWord>国家的</errorWord>
      <group>L1_Word</group>
      <groupName>字词问题</groupName>
      <ability>L2_Typo</ability>
      <abilityName>字词错误</abilityName>
      <candidateList>
        <item>国家</item>
      </candidateList>
      <explain/>
      <paraID>73190F3A</paraID>
      <start>4</start>
      <end>7</end>
      <status>unmodified</status>
      <modifiedWord/>
      <trackRevisions>false</trackRevisions>
    </reviewItem>
    <reviewItem>
      <errorID>0f5f1620-a6e8-433f-94ff-f0f6fb121a07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1F526346</paraID>
      <start>0</start>
      <end>2</end>
      <status>unmodified</status>
      <modifiedWord/>
      <trackRevisions>false</trackRevisions>
    </reviewItem>
    <reviewItem>
      <errorID>df50db92-6114-483c-af71-13e856d92b1b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2C0F59D5</paraID>
      <start>0</start>
      <end>2</end>
      <status>unmodified</status>
      <modifiedWord/>
      <trackRevisions>false</trackRevisions>
    </reviewItem>
    <reviewItem>
      <errorID>65020848-f382-44f7-8cad-9ccf435d38e1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34170F7</paraID>
      <start>0</start>
      <end>2</end>
      <status>unmodified</status>
      <modifiedWord/>
      <trackRevisions>false</trackRevisions>
    </reviewItem>
    <reviewItem>
      <errorID>9ebb80ce-288d-43b5-85f0-0a9ea611d453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7F97194B</paraID>
      <start>0</start>
      <end>2</end>
      <status>unmodified</status>
      <modifiedWord/>
      <trackRevisions>false</trackRevisions>
    </reviewItem>
    <reviewItem>
      <errorID>2a706fc1-2ff6-4646-baec-69f2ae1ec5f0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3396FAC2</paraID>
      <start>0</start>
      <end>2</end>
      <status>unmodified</status>
      <modifiedWord/>
      <trackRevisions>false</trackRevisions>
    </reviewItem>
    <reviewItem>
      <errorID>2046c9fc-b041-431c-ad23-da62a97e9884</errorID>
      <errorWord>法律、法规</errorWord>
      <group>L1_Word</group>
      <groupName>字词问题</groupName>
      <ability>L2_Typo</ability>
      <abilityName>字词错误</abilityName>
      <candidateList>
        <item>法律法规</item>
      </candidateList>
      <explain/>
      <paraID>492808B4</paraID>
      <start>43</start>
      <end>48</end>
      <status>unmodified</status>
      <modifiedWord/>
      <trackRevisions>false</trackRevisions>
    </reviewItem>
    <reviewItem>
      <errorID>ac21e713-457b-472d-bc73-d2d2d14dec98</errorID>
      <errorWord>本</errorWord>
      <group>L1_Word</group>
      <groupName>字词问题</groupName>
      <ability>L2_Typo</ability>
      <abilityName>字词错误</abilityName>
      <candidateList>
        <item>本次</item>
      </candidateList>
      <explain/>
      <paraID>19A1B242</paraID>
      <start>3</start>
      <end>4</end>
      <status>unmodified</status>
      <modifiedWord/>
      <trackRevisions>false</trackRevisions>
    </reviewItem>
    <reviewItem>
      <errorID>59a6855f-5e3f-4422-bc85-729cbc564b30</errorID>
      <errorWord>:</errorWord>
      <group>L1_Format</group>
      <groupName>格式问题</groupName>
      <ability>L2_HalfPunc_CN</ability>
      <abilityName>全半角检查</abilityName>
      <candidateList>
        <item>：</item>
      </candidateList>
      <explain>文本全半角错误。</explain>
      <paraID>231F552A</paraID>
      <start>5</start>
      <end>6</end>
      <status>unmodified</status>
      <modifiedWord/>
      <trackRevisions>false</trackRevisions>
    </reviewItem>
    <reviewItem>
      <errorID>96d13637-1bb0-422b-a05b-151af6b9dd06</errorID>
      <errorWord>(</errorWord>
      <group>L1_Format</group>
      <groupName>格式问题</groupName>
      <ability>L2_HalfPunc_CN</ability>
      <abilityName>全半角检查</abilityName>
      <candidateList>
        <item>（</item>
      </candidateList>
      <explain>文本全半角错误。</explain>
      <paraID>69995689</paraID>
      <start>23</start>
      <end>24</end>
      <status>unmodified</status>
      <modifiedWord/>
      <trackRevisions>false</trackRevisions>
    </reviewItem>
    <reviewItem>
      <errorID>03ffded7-95a6-46d3-babd-5973a5c0210b</errorID>
      <errorWord>)</errorWord>
      <group>L1_Format</group>
      <groupName>格式问题</groupName>
      <ability>L2_HalfPunc_CN</ability>
      <abilityName>全半角检查</abilityName>
      <candidateList>
        <item>）</item>
      </candidateList>
      <explain>文本全半角错误。</explain>
      <paraID>69995689</paraID>
      <start>38</start>
      <end>39</end>
      <status>unmodified</status>
      <modifiedWord/>
      <trackRevisions>false</trackRevisions>
    </reviewItem>
    <reviewItem>
      <errorID>04e43a32-9d94-48bf-aeef-0e58393679e1</errorID>
      <errorWord>:</errorWord>
      <group>L1_Format</group>
      <groupName>格式问题</groupName>
      <ability>L2_HalfPunc_CN</ability>
      <abilityName>全半角检查</abilityName>
      <candidateList>
        <item>：</item>
      </candidateList>
      <explain>文本全半角错误。</explain>
      <paraID>5E19B9E1</paraID>
      <start>1</start>
      <end>2</end>
      <status>unmodified</status>
      <modifiedWord/>
      <trackRevisions>false</trackRevisions>
    </reviewItem>
    <reviewItem>
      <errorID>dd851dda-bcb2-4d4a-a543-dac439a70388</errorID>
      <errorWord>股东大会</errorWord>
      <group>L1_Word</group>
      <groupName>字词问题</groupName>
      <ability>L2_Typo</ability>
      <abilityName>字词错误</abilityName>
      <candidateList>
        <item>股东会</item>
      </candidateList>
      <explain/>
      <paraID>6081AAF4</paraID>
      <start>113</start>
      <end>117</end>
      <status>unmodified</status>
      <modifiedWord/>
      <trackRevisions>false</trackRevisions>
    </reviewItem>
    <reviewItem>
      <errorID>15e43bb9-24af-4844-80eb-dca84ed4d714</errorID>
      <errorWord>(</errorWord>
      <group>L1_Format</group>
      <groupName>格式问题</groupName>
      <ability>L2_HalfPunc_CN</ability>
      <abilityName>全半角检查</abilityName>
      <candidateList>
        <item>（</item>
      </candidateList>
      <explain>文本全半角错误。</explain>
      <paraID>1F3083A7</paraID>
      <start>3</start>
      <end>4</end>
      <status>unmodified</status>
      <modifiedWord/>
      <trackRevisions>false</trackRevisions>
    </reviewItem>
    <reviewItem>
      <errorID>1808b24b-f238-4544-9aa2-b85bd83b3528</errorID>
      <errorWord>)</errorWord>
      <group>L1_Format</group>
      <groupName>格式问题</groupName>
      <ability>L2_HalfPunc_CN</ability>
      <abilityName>全半角检查</abilityName>
      <candidateList>
        <item>）</item>
      </candidateList>
      <explain>文本全半角错误。</explain>
      <paraID>1F3083A7</paraID>
      <start>11</start>
      <end>12</end>
      <status>unmodified</status>
      <modifiedWord/>
      <trackRevisions>false</trackRevisions>
    </reviewItem>
    <reviewItem>
      <errorID>bbc9ea29-a2a2-4d4c-a67f-b1909b53043f</errorID>
      <errorWord>(</errorWord>
      <group>L1_Format</group>
      <groupName>格式问题</groupName>
      <ability>L2_HalfPunc_CN</ability>
      <abilityName>全半角检查</abilityName>
      <candidateList>
        <item>（</item>
      </candidateList>
      <explain>文本全半角错误。</explain>
      <paraID>  C57722</paraID>
      <start>9</start>
      <end>10</end>
      <status>unmodified</status>
      <modifiedWord/>
      <trackRevisions>false</trackRevisions>
    </reviewItem>
    <reviewItem>
      <errorID>6e37b3e8-1fe3-4470-9d21-18e29ab3de51</errorID>
      <errorWord>)</errorWord>
      <group>L1_Format</group>
      <groupName>格式问题</groupName>
      <ability>L2_HalfPunc_CN</ability>
      <abilityName>全半角检查</abilityName>
      <candidateList>
        <item>）</item>
      </candidateList>
      <explain>文本全半角错误。</explain>
      <paraID>  C57722</paraID>
      <start>24</start>
      <end>25</end>
      <status>unmodified</status>
      <modifiedWord/>
      <trackRevisions>false</trackRevisions>
    </reviewItem>
    <reviewItem>
      <errorID>f6ff5219-4d5c-4e65-b872-703713d04155</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37BA8D9B</paraID>
      <start>36</start>
      <end>39</end>
      <status>unmodified</status>
      <modifiedWord/>
      <trackRevisions>false</trackRevisions>
    </reviewItem>
    <reviewItem>
      <errorID>5f810510-e337-4a86-9449-b56a8cfaf66d</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C03EDD8</paraID>
      <start>41</start>
      <end>44</end>
      <status>unmodified</status>
      <modifiedWord/>
      <trackRevisions>false</trackRevisions>
    </reviewItem>
    <reviewItem>
      <errorID>aa40c089-b9f1-4ac0-a32f-cf7c6535ca29</errorID>
      <errorWord>(</errorWord>
      <group>L1_Format</group>
      <groupName>格式问题</groupName>
      <ability>L2_HalfPunc_CN</ability>
      <abilityName>全半角检查</abilityName>
      <candidateList>
        <item>（</item>
      </candidateList>
      <explain>文本全半角错误。</explain>
      <paraID>4377FF9E</paraID>
      <start>23</start>
      <end>24</end>
      <status>unmodified</status>
      <modifiedWord/>
      <trackRevisions>false</trackRevisions>
    </reviewItem>
    <reviewItem>
      <errorID>52a73f90-b29d-48ee-af95-ecce27434627</errorID>
      <errorWord>)</errorWord>
      <group>L1_Format</group>
      <groupName>格式问题</groupName>
      <ability>L2_HalfPunc_CN</ability>
      <abilityName>全半角检查</abilityName>
      <candidateList>
        <item>）</item>
      </candidateList>
      <explain>文本全半角错误。</explain>
      <paraID>4377FF9E</paraID>
      <start>38</start>
      <end>39</end>
      <status>unmodified</status>
      <modifiedWord/>
      <trackRevisions>false</trackRevisions>
    </reviewItem>
    <reviewItem>
      <errorID>c0d64fa9-c9e1-464d-bab4-ec9627ed6297</errorID>
      <errorWord>者</errorWord>
      <group>L1_Word</group>
      <groupName>字词问题</groupName>
      <ability>L2_Typo</ability>
      <abilityName>字词错误</abilityName>
      <candidateList>
        <item>者加</item>
      </candidateList>
      <explain/>
      <paraID>4ECC6C21</paraID>
      <start>29</start>
      <end>30</end>
      <status>unmodified</status>
      <modifiedWord/>
      <trackRevisions>false</trackRevisions>
    </reviewItem>
    <reviewItem>
      <errorID>ba5b21d2-cc4c-4941-9565-cf76863e091d</errorID>
      <errorWord>(</errorWord>
      <group>L1_Format</group>
      <groupName>格式问题</groupName>
      <ability>L2_HalfPunc_CN</ability>
      <abilityName>全半角检查</abilityName>
      <candidateList>
        <item>（</item>
      </candidateList>
      <explain>文本全半角错误。</explain>
      <paraID>779BDC60</paraID>
      <start>3</start>
      <end>4</end>
      <status>unmodified</status>
      <modifiedWord/>
      <trackRevisions>false</trackRevisions>
    </reviewItem>
    <reviewItem>
      <errorID>0e3daa7f-1eaa-4df6-8d8e-1e10f1d38e9b</errorID>
      <errorWord>)</errorWord>
      <group>L1_Format</group>
      <groupName>格式问题</groupName>
      <ability>L2_HalfPunc_CN</ability>
      <abilityName>全半角检查</abilityName>
      <candidateList>
        <item>）</item>
      </candidateList>
      <explain>文本全半角错误。</explain>
      <paraID>779BDC60</paraID>
      <start>11</start>
      <end>12</end>
      <status>unmodified</status>
      <modifiedWord/>
      <trackRevisions>false</trackRevisions>
    </reviewItem>
    <reviewItem>
      <errorID>067659e2-fb1d-46e8-9d09-26ecd75eb946</errorID>
      <errorWord>〔2017〕 141号</errorWord>
      <group>L1_Knowledge</group>
      <groupName>知识性问题</groupName>
      <ability>L2_Knowledge</ability>
      <abilityName>其他知识</abilityName>
      <candidateList>
        <item>〔2017〕141号</item>
      </candidateList>
      <explain>发文字号格式错误。</explain>
      <paraID>3BB9B7ED</paraID>
      <start>49</start>
      <end>60</end>
      <status>unmodified</status>
      <modifiedWord/>
      <trackRevisions>false</trackRevisions>
    </reviewItem>
    <reviewItem>
      <errorID>2f9a965c-380e-49b2-b747-7e8ebeed8eb3</errorID>
      <errorWord>(</errorWord>
      <group>L1_Format</group>
      <groupName>格式问题</groupName>
      <ability>L2_HalfPunc_CN</ability>
      <abilityName>全半角检查</abilityName>
      <candidateList>
        <item>（</item>
      </candidateList>
      <explain>文本全半角错误。</explain>
      <paraID>1FB79B7D</paraID>
      <start>3</start>
      <end>4</end>
      <status>unmodified</status>
      <modifiedWord/>
      <trackRevisions>false</trackRevisions>
    </reviewItem>
    <reviewItem>
      <errorID>7ec169e9-9974-4709-a84f-79d667836a21</errorID>
      <errorWord>)</errorWord>
      <group>L1_Format</group>
      <groupName>格式问题</groupName>
      <ability>L2_HalfPunc_CN</ability>
      <abilityName>全半角检查</abilityName>
      <candidateList>
        <item>）</item>
      </candidateList>
      <explain>文本全半角错误。</explain>
      <paraID>1FB79B7D</paraID>
      <start>11</start>
      <end>12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8a30bde-6302-4614-aa13-47a3a99761e1}">
  <ds:schemaRefs/>
</ds:datastoreItem>
</file>

<file path=docProps/app.xml><?xml version="1.0" encoding="utf-8"?>
<Properties xmlns="http://schemas.openxmlformats.org/officeDocument/2006/extended-properties" xmlns:vt="http://schemas.openxmlformats.org/officeDocument/2006/docPropsVTypes">
  <Template>Normal.dotm</Template>
  <Pages>103</Pages>
  <Words>17250</Words>
  <Characters>19014</Characters>
  <Lines>62</Lines>
  <Paragraphs>106</Paragraphs>
  <TotalTime>7</TotalTime>
  <ScaleCrop>false</ScaleCrop>
  <LinksUpToDate>false</LinksUpToDate>
  <CharactersWithSpaces>19237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2025-08-26T23:33:00Z</dcterms:created>
  <dc:creator>季威</dc:creator>
  <cp:lastModifiedBy>½一半</cp:lastModifiedBy>
  <dcterms:modified xsi:type="dcterms:W3CDTF">2026-09-07T09:20:38Z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eyJoZGlkIjoiZWZiMjVkYzk2NWU2ZWQ3YTYxZGUwODk5YTdjN2RiNGYiLCJ1c2VySWQiOiI0NjcxODg5MTkifQ==</vt:lpwstr>
  </property>
  <property fmtid="{D5CDD505-2E9C-101B-9397-08002B2CF9AE}" pid="4" name="ICV">
    <vt:lpwstr>9370D16E10854F1E89A553DAD474E959_13</vt:lpwstr>
  </property>
</Properties>
</file>