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DC04DF">
      <w:pPr>
        <w:jc w:val="center"/>
        <w:rPr>
          <w:rFonts w:hint="eastAsia" w:ascii="宋体" w:hAnsi="宋体" w:eastAsia="宋体" w:cs="宋体"/>
          <w:b/>
          <w:bCs/>
          <w:color w:val="auto"/>
          <w:sz w:val="44"/>
          <w:szCs w:val="44"/>
          <w:highlight w:val="none"/>
          <w:lang w:val="en-US" w:eastAsia="zh-CN"/>
        </w:rPr>
      </w:pPr>
      <w:r>
        <w:rPr>
          <w:rFonts w:hint="eastAsia" w:ascii="宋体" w:hAnsi="宋体" w:cs="宋体"/>
          <w:b/>
          <w:color w:val="auto"/>
          <w:sz w:val="44"/>
          <w:szCs w:val="44"/>
          <w:highlight w:val="none"/>
        </w:rPr>
        <w:drawing>
          <wp:inline distT="0" distB="0" distL="0" distR="0">
            <wp:extent cx="488950" cy="488950"/>
            <wp:effectExtent l="0" t="0" r="0" b="0"/>
            <wp:docPr id="3" name="图片 2" descr="8dc398a9-b84f-48b4-b641-18b8eedbf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8dc398a9-b84f-48b4-b641-18b8eedbf41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88950" cy="488950"/>
                    </a:xfrm>
                    <a:prstGeom prst="rect">
                      <a:avLst/>
                    </a:prstGeom>
                    <a:noFill/>
                    <a:ln>
                      <a:noFill/>
                    </a:ln>
                  </pic:spPr>
                </pic:pic>
              </a:graphicData>
            </a:graphic>
          </wp:inline>
        </w:drawing>
      </w:r>
      <w:r>
        <w:rPr>
          <w:rFonts w:hint="eastAsia" w:ascii="宋体" w:hAnsi="宋体" w:cs="宋体"/>
          <w:b/>
          <w:color w:val="auto"/>
          <w:sz w:val="44"/>
          <w:szCs w:val="44"/>
          <w:highlight w:val="none"/>
          <w:lang w:val="en-US" w:eastAsia="zh-CN"/>
        </w:rPr>
        <w:t xml:space="preserve"> </w:t>
      </w:r>
    </w:p>
    <w:p w14:paraId="73503A14">
      <w:pPr>
        <w:widowControl/>
        <w:adjustRightInd w:val="0"/>
        <w:spacing w:line="540" w:lineRule="exact"/>
        <w:jc w:val="center"/>
        <w:rPr>
          <w:rFonts w:ascii="宋体" w:hAnsi="宋体" w:cs="宋体"/>
          <w:b/>
          <w:bCs/>
          <w:color w:val="auto"/>
          <w:sz w:val="52"/>
          <w:highlight w:val="none"/>
        </w:rPr>
      </w:pPr>
      <w:r>
        <w:rPr>
          <w:rFonts w:hint="eastAsia" w:ascii="方正小标宋_GBK" w:hAnsi="方正小标宋_GBK" w:eastAsia="方正小标宋_GBK" w:cs="方正小标宋_GBK"/>
          <w:color w:val="auto"/>
          <w:sz w:val="44"/>
          <w:szCs w:val="44"/>
          <w:highlight w:val="none"/>
        </w:rPr>
        <w:t>公诚管理咨询有限公司</w:t>
      </w:r>
    </w:p>
    <w:p w14:paraId="43A554B3">
      <w:pPr>
        <w:jc w:val="center"/>
        <w:rPr>
          <w:rFonts w:ascii="宋体" w:hAnsi="宋体" w:cs="宋体"/>
          <w:b/>
          <w:bCs/>
          <w:color w:val="auto"/>
          <w:sz w:val="36"/>
          <w:szCs w:val="36"/>
          <w:highlight w:val="none"/>
        </w:rPr>
      </w:pPr>
      <w:r>
        <w:rPr>
          <w:rFonts w:hint="eastAsia" w:asciiTheme="minorEastAsia" w:hAnsiTheme="minorEastAsia" w:eastAsiaTheme="minorEastAsia" w:cstheme="minorEastAsia"/>
          <w:b/>
          <w:bCs/>
          <w:color w:val="auto"/>
          <w:sz w:val="36"/>
          <w:szCs w:val="36"/>
          <w:highlight w:val="none"/>
        </w:rPr>
        <w:t>Gongcheng Management Consulting Co. , Ltd.</w:t>
      </w:r>
    </w:p>
    <w:p w14:paraId="23AC837B">
      <w:pPr>
        <w:spacing w:after="120"/>
        <w:ind w:firstLine="404"/>
        <w:rPr>
          <w:rFonts w:ascii="宋体" w:hAnsi="宋体" w:cs="宋体"/>
          <w:b/>
          <w:bCs/>
          <w:color w:val="auto"/>
          <w:sz w:val="10"/>
          <w:highlight w:val="none"/>
        </w:rPr>
      </w:pPr>
      <w:r>
        <w:rPr>
          <w:rFonts w:ascii="宋体" w:hAnsi="宋体" w:cs="宋体"/>
          <w:color w:val="auto"/>
          <w:highlight w:val="none"/>
        </w:rPr>
        <mc:AlternateContent>
          <mc:Choice Requires="wps">
            <w:drawing>
              <wp:anchor distT="0" distB="0" distL="114300" distR="114300" simplePos="0" relativeHeight="251662336" behindDoc="0" locked="0" layoutInCell="1" allowOverlap="1">
                <wp:simplePos x="0" y="0"/>
                <wp:positionH relativeFrom="column">
                  <wp:posOffset>-289560</wp:posOffset>
                </wp:positionH>
                <wp:positionV relativeFrom="paragraph">
                  <wp:posOffset>57150</wp:posOffset>
                </wp:positionV>
                <wp:extent cx="5733415" cy="33655"/>
                <wp:effectExtent l="0" t="13970" r="635" b="28575"/>
                <wp:wrapNone/>
                <wp:docPr id="4" name="直接连接符 4"/>
                <wp:cNvGraphicFramePr/>
                <a:graphic xmlns:a="http://schemas.openxmlformats.org/drawingml/2006/main">
                  <a:graphicData uri="http://schemas.microsoft.com/office/word/2010/wordprocessingShape">
                    <wps:wsp>
                      <wps:cNvCnPr/>
                      <wps:spPr>
                        <a:xfrm>
                          <a:off x="0" y="0"/>
                          <a:ext cx="5733415" cy="33655"/>
                        </a:xfrm>
                        <a:prstGeom prst="line">
                          <a:avLst/>
                        </a:prstGeom>
                        <a:ln w="2857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22.8pt;margin-top:4.5pt;height:2.65pt;width:451.45pt;z-index:251662336;mso-width-relative:page;mso-height-relative:page;" filled="f" stroked="t" coordsize="21600,21600" o:gfxdata="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c0jwc2AAAAAgBAAAPAAAAAAAAAAEAIAAAACIAAABkcnMvZG93bnJldi54bWxQSwEC&#10;FAAUAAAACACHTuJAypzkXfQBAADrAwAADgAAAAAAAAABACAAAAAnAQAAZHJzL2Uyb0RvYy54bWxQ&#10;SwUGAAAAAAYABgBZAQAAjQUAAAAA&#10;">
                <v:fill on="f" focussize="0,0"/>
                <v:stroke weight="2.25pt" color="#000000" joinstyle="round"/>
                <v:imagedata o:title=""/>
                <o:lock v:ext="edit" aspectratio="f"/>
              </v:line>
            </w:pict>
          </mc:Fallback>
        </mc:AlternateContent>
      </w:r>
    </w:p>
    <w:p w14:paraId="4D55CD28">
      <w:pPr>
        <w:spacing w:beforeLines="100" w:afterLines="50" w:line="360" w:lineRule="auto"/>
        <w:jc w:val="center"/>
        <w:rPr>
          <w:rFonts w:ascii="宋体" w:hAnsi="宋体" w:cs="宋体"/>
          <w:color w:val="auto"/>
          <w:sz w:val="44"/>
          <w:szCs w:val="44"/>
          <w:highlight w:val="none"/>
        </w:rPr>
      </w:pPr>
    </w:p>
    <w:p w14:paraId="4B208BA2">
      <w:pPr>
        <w:tabs>
          <w:tab w:val="left" w:pos="2277"/>
        </w:tabs>
        <w:spacing w:beforeLines="100" w:afterLines="50" w:line="360" w:lineRule="auto"/>
        <w:jc w:val="left"/>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ab/>
      </w:r>
    </w:p>
    <w:p w14:paraId="12806D11">
      <w:pPr>
        <w:jc w:val="center"/>
        <w:rPr>
          <w:rFonts w:ascii="宋体" w:hAnsi="宋体" w:cs="宋体"/>
          <w:b/>
          <w:color w:val="auto"/>
          <w:sz w:val="32"/>
          <w:szCs w:val="32"/>
          <w:highlight w:val="none"/>
        </w:rPr>
      </w:pPr>
      <w:r>
        <w:rPr>
          <w:rFonts w:hint="eastAsia" w:asciiTheme="minorEastAsia" w:hAnsiTheme="minorEastAsia" w:eastAsiaTheme="minorEastAsia" w:cstheme="minorEastAsia"/>
          <w:b/>
          <w:bCs/>
          <w:color w:val="auto"/>
          <w:sz w:val="72"/>
          <w:szCs w:val="72"/>
          <w:highlight w:val="none"/>
        </w:rPr>
        <w:t>竞争性磋商文件</w:t>
      </w:r>
    </w:p>
    <w:p w14:paraId="68520DB5">
      <w:pPr>
        <w:pStyle w:val="27"/>
        <w:rPr>
          <w:rFonts w:ascii="宋体" w:hAnsi="宋体" w:cs="宋体"/>
          <w:color w:val="auto"/>
          <w:highlight w:val="none"/>
        </w:rPr>
      </w:pPr>
    </w:p>
    <w:p w14:paraId="2C6651AB">
      <w:pPr>
        <w:pStyle w:val="27"/>
        <w:rPr>
          <w:rFonts w:ascii="宋体" w:hAnsi="宋体" w:cs="宋体"/>
          <w:color w:val="auto"/>
          <w:highlight w:val="none"/>
        </w:rPr>
      </w:pPr>
    </w:p>
    <w:p w14:paraId="578173BE">
      <w:pPr>
        <w:pStyle w:val="27"/>
        <w:rPr>
          <w:rFonts w:ascii="宋体" w:hAnsi="宋体" w:cs="宋体"/>
          <w:color w:val="auto"/>
          <w:highlight w:val="none"/>
        </w:rPr>
      </w:pPr>
    </w:p>
    <w:p w14:paraId="3D1C83F4">
      <w:pPr>
        <w:pStyle w:val="27"/>
        <w:rPr>
          <w:rFonts w:ascii="宋体" w:hAnsi="宋体" w:cs="宋体"/>
          <w:color w:val="auto"/>
          <w:highlight w:val="none"/>
        </w:rPr>
      </w:pPr>
    </w:p>
    <w:p w14:paraId="2408F7E8">
      <w:pPr>
        <w:pStyle w:val="27"/>
        <w:rPr>
          <w:rFonts w:ascii="宋体" w:hAnsi="宋体" w:cs="宋体"/>
          <w:color w:val="auto"/>
          <w:highlight w:val="none"/>
        </w:rPr>
      </w:pPr>
    </w:p>
    <w:p w14:paraId="6F474D0C">
      <w:pPr>
        <w:widowControl/>
        <w:adjustRightInd w:val="0"/>
        <w:spacing w:line="540" w:lineRule="exact"/>
        <w:rPr>
          <w:rFonts w:ascii="方正小标宋_GBK" w:hAnsi="方正小标宋_GBK" w:eastAsia="方正小标宋_GBK" w:cs="方正小标宋_GBK"/>
          <w:color w:val="auto"/>
          <w:sz w:val="32"/>
          <w:szCs w:val="32"/>
          <w:highlight w:val="none"/>
        </w:rPr>
      </w:pPr>
      <w:r>
        <w:rPr>
          <w:rFonts w:hint="eastAsia" w:ascii="方正小标宋_GBK" w:hAnsi="方正小标宋_GBK" w:eastAsia="方正小标宋_GBK" w:cs="方正小标宋_GBK"/>
          <w:color w:val="auto"/>
          <w:sz w:val="32"/>
          <w:szCs w:val="32"/>
          <w:highlight w:val="none"/>
        </w:rPr>
        <w:t>项目名称：</w:t>
      </w:r>
      <w:bookmarkStart w:id="0" w:name="OLE_LINK10"/>
      <w:r>
        <w:rPr>
          <w:rFonts w:hint="eastAsia" w:ascii="方正小标宋_GBK" w:hAnsi="方正小标宋_GBK" w:eastAsia="方正小标宋_GBK" w:cs="方正小标宋_GBK"/>
          <w:color w:val="auto"/>
          <w:sz w:val="32"/>
          <w:szCs w:val="32"/>
          <w:highlight w:val="none"/>
        </w:rPr>
        <w:t>2026年度中央财政林业草原生态保护恢复资金——广西合浦儒艮国家级自然保护区保护设施设备购置维护、专项监测及宣传教育项目（监测平台维护）</w:t>
      </w:r>
    </w:p>
    <w:bookmarkEnd w:id="0"/>
    <w:p w14:paraId="0DB1AFAF">
      <w:pPr>
        <w:widowControl/>
        <w:adjustRightInd w:val="0"/>
        <w:spacing w:line="540" w:lineRule="exact"/>
        <w:rPr>
          <w:rFonts w:hint="eastAsia" w:ascii="方正小标宋_GBK" w:hAnsi="方正小标宋_GBK" w:eastAsia="方正小标宋_GBK" w:cs="方正小标宋_GBK"/>
          <w:color w:val="auto"/>
          <w:sz w:val="32"/>
          <w:szCs w:val="32"/>
          <w:highlight w:val="none"/>
          <w:lang w:eastAsia="zh-CN"/>
        </w:rPr>
      </w:pPr>
      <w:r>
        <w:rPr>
          <w:rFonts w:hint="eastAsia" w:ascii="方正小标宋_GBK" w:hAnsi="方正小标宋_GBK" w:eastAsia="方正小标宋_GBK" w:cs="方正小标宋_GBK"/>
          <w:color w:val="auto"/>
          <w:sz w:val="32"/>
          <w:szCs w:val="32"/>
          <w:highlight w:val="none"/>
        </w:rPr>
        <w:t>项目编号：</w:t>
      </w:r>
      <w:r>
        <w:rPr>
          <w:rFonts w:hint="eastAsia" w:ascii="方正小标宋_GBK" w:hAnsi="方正小标宋_GBK" w:eastAsia="方正小标宋_GBK" w:cs="方正小标宋_GBK"/>
          <w:color w:val="auto"/>
          <w:sz w:val="32"/>
          <w:szCs w:val="32"/>
          <w:highlight w:val="none"/>
          <w:lang w:eastAsia="zh-CN"/>
        </w:rPr>
        <w:t>GXZC2026-C3-002631-GCZX</w:t>
      </w:r>
    </w:p>
    <w:p w14:paraId="111AF73E">
      <w:pPr>
        <w:widowControl/>
        <w:adjustRightInd w:val="0"/>
        <w:spacing w:line="540" w:lineRule="exact"/>
        <w:rPr>
          <w:rFonts w:ascii="方正小标宋_GBK" w:hAnsi="方正小标宋_GBK" w:eastAsia="方正小标宋_GBK" w:cs="方正小标宋_GBK"/>
          <w:color w:val="auto"/>
          <w:sz w:val="32"/>
          <w:szCs w:val="32"/>
          <w:highlight w:val="none"/>
        </w:rPr>
      </w:pPr>
      <w:r>
        <w:rPr>
          <w:rFonts w:hint="eastAsia" w:ascii="方正小标宋_GBK" w:hAnsi="方正小标宋_GBK" w:eastAsia="方正小标宋_GBK" w:cs="方正小标宋_GBK"/>
          <w:color w:val="auto"/>
          <w:sz w:val="32"/>
          <w:szCs w:val="32"/>
          <w:highlight w:val="none"/>
        </w:rPr>
        <w:t>采 购 人：广西壮族自治区合浦儒艮国家级自然保护区管理中心</w:t>
      </w:r>
    </w:p>
    <w:p w14:paraId="7CE2248C">
      <w:pPr>
        <w:widowControl/>
        <w:adjustRightInd w:val="0"/>
        <w:spacing w:line="540" w:lineRule="exact"/>
        <w:rPr>
          <w:rFonts w:ascii="宋体" w:hAnsi="宋体" w:cs="宋体"/>
          <w:b/>
          <w:color w:val="auto"/>
          <w:sz w:val="30"/>
          <w:szCs w:val="30"/>
          <w:highlight w:val="none"/>
        </w:rPr>
      </w:pPr>
      <w:r>
        <w:rPr>
          <w:rFonts w:hint="eastAsia" w:ascii="方正小标宋_GBK" w:hAnsi="方正小标宋_GBK" w:eastAsia="方正小标宋_GBK" w:cs="方正小标宋_GBK"/>
          <w:color w:val="auto"/>
          <w:sz w:val="32"/>
          <w:szCs w:val="32"/>
          <w:highlight w:val="none"/>
        </w:rPr>
        <w:t>采购代理机构：公诚管理咨询有限公司</w:t>
      </w:r>
    </w:p>
    <w:p w14:paraId="656DC4E6">
      <w:pPr>
        <w:pStyle w:val="27"/>
        <w:rPr>
          <w:rFonts w:ascii="宋体" w:hAnsi="宋体" w:cs="宋体"/>
          <w:color w:val="auto"/>
          <w:highlight w:val="none"/>
        </w:rPr>
      </w:pPr>
    </w:p>
    <w:p w14:paraId="79E4CF73">
      <w:pPr>
        <w:pStyle w:val="27"/>
        <w:rPr>
          <w:rFonts w:ascii="宋体" w:hAnsi="宋体" w:cs="宋体"/>
          <w:color w:val="auto"/>
          <w:highlight w:val="none"/>
        </w:rPr>
      </w:pPr>
    </w:p>
    <w:p w14:paraId="3E22D2FA">
      <w:pPr>
        <w:pStyle w:val="27"/>
        <w:rPr>
          <w:rFonts w:ascii="宋体" w:hAnsi="宋体" w:cs="宋体"/>
          <w:color w:val="auto"/>
          <w:highlight w:val="none"/>
        </w:rPr>
      </w:pPr>
    </w:p>
    <w:p w14:paraId="1D7AD198">
      <w:pPr>
        <w:pStyle w:val="27"/>
        <w:rPr>
          <w:rFonts w:ascii="宋体" w:hAnsi="宋体" w:cs="宋体"/>
          <w:color w:val="auto"/>
          <w:highlight w:val="none"/>
        </w:rPr>
      </w:pPr>
    </w:p>
    <w:p w14:paraId="468DCDB1">
      <w:pPr>
        <w:pStyle w:val="27"/>
        <w:rPr>
          <w:rFonts w:ascii="宋体" w:hAnsi="宋体" w:cs="宋体"/>
          <w:color w:val="auto"/>
          <w:highlight w:val="none"/>
        </w:rPr>
      </w:pPr>
    </w:p>
    <w:p w14:paraId="524447EA">
      <w:pPr>
        <w:pStyle w:val="27"/>
        <w:rPr>
          <w:rFonts w:ascii="宋体" w:hAnsi="宋体" w:cs="宋体"/>
          <w:color w:val="auto"/>
          <w:highlight w:val="none"/>
        </w:rPr>
      </w:pPr>
    </w:p>
    <w:p w14:paraId="3DA60B73">
      <w:pPr>
        <w:spacing w:line="360" w:lineRule="auto"/>
        <w:jc w:val="center"/>
        <w:rPr>
          <w:rFonts w:ascii="宋体" w:hAnsi="宋体" w:cs="宋体"/>
          <w:b/>
          <w:color w:val="auto"/>
          <w:sz w:val="30"/>
          <w:szCs w:val="30"/>
          <w:highlight w:val="none"/>
        </w:rPr>
      </w:pPr>
      <w:r>
        <w:rPr>
          <w:rFonts w:hint="eastAsia" w:ascii="方正小标宋_GBK" w:hAnsi="方正小标宋_GBK" w:eastAsia="方正小标宋_GBK" w:cs="方正小标宋_GBK"/>
          <w:color w:val="auto"/>
          <w:sz w:val="32"/>
          <w:szCs w:val="32"/>
          <w:highlight w:val="none"/>
        </w:rPr>
        <w:t>2026年</w:t>
      </w:r>
      <w:r>
        <w:rPr>
          <w:rFonts w:hint="eastAsia" w:ascii="方正小标宋_GBK" w:hAnsi="方正小标宋_GBK" w:eastAsia="方正小标宋_GBK" w:cs="方正小标宋_GBK"/>
          <w:color w:val="auto"/>
          <w:sz w:val="32"/>
          <w:szCs w:val="32"/>
          <w:highlight w:val="none"/>
          <w:lang w:val="en-US" w:eastAsia="zh-CN"/>
        </w:rPr>
        <w:t>8</w:t>
      </w:r>
      <w:r>
        <w:rPr>
          <w:rFonts w:hint="eastAsia" w:ascii="方正小标宋_GBK" w:hAnsi="方正小标宋_GBK" w:eastAsia="方正小标宋_GBK" w:cs="方正小标宋_GBK"/>
          <w:color w:val="auto"/>
          <w:sz w:val="32"/>
          <w:szCs w:val="32"/>
          <w:highlight w:val="none"/>
        </w:rPr>
        <w:t>月</w:t>
      </w:r>
    </w:p>
    <w:p w14:paraId="5D44719F">
      <w:pPr>
        <w:spacing w:line="360" w:lineRule="auto"/>
        <w:ind w:firstLine="643" w:firstLineChars="200"/>
        <w:jc w:val="center"/>
        <w:rPr>
          <w:rFonts w:ascii="宋体" w:hAnsi="宋体" w:cs="宋体"/>
          <w:b/>
          <w:color w:val="auto"/>
          <w:sz w:val="44"/>
          <w:szCs w:val="44"/>
          <w:highlight w:val="none"/>
        </w:rPr>
      </w:pPr>
      <w:r>
        <w:rPr>
          <w:rFonts w:hint="eastAsia" w:ascii="宋体" w:hAnsi="宋体" w:cs="宋体"/>
          <w:b/>
          <w:color w:val="auto"/>
          <w:sz w:val="32"/>
          <w:szCs w:val="32"/>
          <w:highlight w:val="none"/>
        </w:rPr>
        <w:br w:type="page"/>
      </w:r>
      <w:r>
        <w:rPr>
          <w:rFonts w:hint="eastAsia" w:ascii="方正小标宋_GBK" w:hAnsi="方正小标宋_GBK" w:eastAsia="方正小标宋_GBK" w:cs="方正小标宋_GBK"/>
          <w:color w:val="auto"/>
          <w:sz w:val="44"/>
          <w:szCs w:val="44"/>
          <w:highlight w:val="none"/>
        </w:rPr>
        <w:t>目   录</w:t>
      </w:r>
    </w:p>
    <w:p w14:paraId="4E572294">
      <w:pPr>
        <w:pStyle w:val="26"/>
        <w:tabs>
          <w:tab w:val="right" w:leader="dot" w:pos="8300"/>
          <w:tab w:val="clear" w:pos="8296"/>
        </w:tabs>
        <w:rPr>
          <w:rFonts w:ascii="宋体" w:hAnsi="宋体" w:cs="宋体"/>
          <w:color w:val="auto"/>
          <w:szCs w:val="21"/>
          <w:highlight w:val="none"/>
        </w:rPr>
      </w:pPr>
      <w:r>
        <w:rPr>
          <w:rFonts w:hint="eastAsia" w:ascii="宋体" w:hAnsi="宋体" w:cs="宋体"/>
          <w:b/>
          <w:bCs/>
          <w:color w:val="auto"/>
          <w:sz w:val="28"/>
          <w:szCs w:val="28"/>
          <w:highlight w:val="none"/>
        </w:rPr>
        <w:fldChar w:fldCharType="begin"/>
      </w:r>
      <w:r>
        <w:rPr>
          <w:rFonts w:hint="eastAsia" w:ascii="宋体" w:hAnsi="宋体" w:cs="宋体"/>
          <w:b/>
          <w:bCs/>
          <w:color w:val="auto"/>
          <w:sz w:val="28"/>
          <w:szCs w:val="28"/>
          <w:highlight w:val="none"/>
        </w:rPr>
        <w:instrText xml:space="preserve"> TOC \o "1-3" \h \z \u </w:instrText>
      </w:r>
      <w:r>
        <w:rPr>
          <w:rFonts w:hint="eastAsia" w:ascii="宋体" w:hAnsi="宋体" w:cs="宋体"/>
          <w:b/>
          <w:bCs/>
          <w:color w:val="auto"/>
          <w:sz w:val="28"/>
          <w:szCs w:val="28"/>
          <w:highlight w:val="none"/>
        </w:rPr>
        <w:fldChar w:fldCharType="separate"/>
      </w:r>
      <w:r>
        <w:rPr>
          <w:color w:val="auto"/>
          <w:highlight w:val="none"/>
        </w:rPr>
        <w:fldChar w:fldCharType="begin"/>
      </w:r>
      <w:r>
        <w:rPr>
          <w:color w:val="auto"/>
          <w:highlight w:val="none"/>
        </w:rPr>
        <w:instrText xml:space="preserve"> HYPERLINK \l "_Toc10351" </w:instrText>
      </w:r>
      <w:r>
        <w:rPr>
          <w:color w:val="auto"/>
          <w:highlight w:val="none"/>
        </w:rPr>
        <w:fldChar w:fldCharType="separate"/>
      </w:r>
      <w:r>
        <w:rPr>
          <w:rFonts w:hint="eastAsia" w:ascii="宋体" w:hAnsi="宋体" w:cs="宋体"/>
          <w:color w:val="auto"/>
          <w:szCs w:val="21"/>
          <w:highlight w:val="none"/>
        </w:rPr>
        <w:t>第一章 竞争性磋商公告</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_Toc10351 \h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4877ED8E">
      <w:pPr>
        <w:pStyle w:val="26"/>
        <w:tabs>
          <w:tab w:val="right" w:leader="dot" w:pos="8300"/>
          <w:tab w:val="clear" w:pos="8296"/>
        </w:tabs>
        <w:rPr>
          <w:rFonts w:ascii="宋体" w:hAnsi="宋体" w:cs="宋体"/>
          <w:color w:val="auto"/>
          <w:szCs w:val="21"/>
          <w:highlight w:val="none"/>
        </w:rPr>
      </w:pPr>
      <w:r>
        <w:rPr>
          <w:color w:val="auto"/>
          <w:highlight w:val="none"/>
        </w:rPr>
        <w:fldChar w:fldCharType="begin"/>
      </w:r>
      <w:r>
        <w:rPr>
          <w:color w:val="auto"/>
          <w:highlight w:val="none"/>
        </w:rPr>
        <w:instrText xml:space="preserve"> HYPERLINK \l "_Toc15451" </w:instrText>
      </w:r>
      <w:r>
        <w:rPr>
          <w:color w:val="auto"/>
          <w:highlight w:val="none"/>
        </w:rPr>
        <w:fldChar w:fldCharType="separate"/>
      </w:r>
      <w:r>
        <w:rPr>
          <w:rFonts w:hint="eastAsia" w:ascii="宋体" w:hAnsi="宋体" w:cs="宋体"/>
          <w:color w:val="auto"/>
          <w:szCs w:val="21"/>
          <w:highlight w:val="none"/>
        </w:rPr>
        <w:t>一、项目基本情况</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_Toc15451 \h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5BD61C98">
      <w:pPr>
        <w:pStyle w:val="26"/>
        <w:tabs>
          <w:tab w:val="right" w:leader="dot" w:pos="8300"/>
          <w:tab w:val="clear" w:pos="8296"/>
        </w:tabs>
        <w:rPr>
          <w:rFonts w:ascii="宋体" w:hAnsi="宋体" w:cs="宋体"/>
          <w:color w:val="auto"/>
          <w:szCs w:val="21"/>
          <w:highlight w:val="none"/>
        </w:rPr>
      </w:pPr>
      <w:r>
        <w:rPr>
          <w:color w:val="auto"/>
          <w:highlight w:val="none"/>
        </w:rPr>
        <w:fldChar w:fldCharType="begin"/>
      </w:r>
      <w:r>
        <w:rPr>
          <w:color w:val="auto"/>
          <w:highlight w:val="none"/>
        </w:rPr>
        <w:instrText xml:space="preserve"> HYPERLINK \l "_Toc4731" </w:instrText>
      </w:r>
      <w:r>
        <w:rPr>
          <w:color w:val="auto"/>
          <w:highlight w:val="none"/>
        </w:rPr>
        <w:fldChar w:fldCharType="separate"/>
      </w:r>
      <w:r>
        <w:rPr>
          <w:rFonts w:hint="eastAsia" w:ascii="宋体" w:hAnsi="宋体" w:cs="宋体"/>
          <w:color w:val="auto"/>
          <w:szCs w:val="21"/>
          <w:highlight w:val="none"/>
        </w:rPr>
        <w:t>二、申请人的资格要求</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_Toc4731 \h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428B0CE7">
      <w:pPr>
        <w:pStyle w:val="26"/>
        <w:tabs>
          <w:tab w:val="right" w:leader="dot" w:pos="8300"/>
          <w:tab w:val="clear" w:pos="8296"/>
        </w:tabs>
        <w:rPr>
          <w:rFonts w:ascii="宋体" w:hAnsi="宋体" w:cs="宋体"/>
          <w:color w:val="auto"/>
          <w:szCs w:val="21"/>
          <w:highlight w:val="none"/>
        </w:rPr>
      </w:pPr>
      <w:r>
        <w:rPr>
          <w:color w:val="auto"/>
          <w:highlight w:val="none"/>
        </w:rPr>
        <w:fldChar w:fldCharType="begin"/>
      </w:r>
      <w:r>
        <w:rPr>
          <w:color w:val="auto"/>
          <w:highlight w:val="none"/>
        </w:rPr>
        <w:instrText xml:space="preserve"> HYPERLINK \l "_Toc7840" </w:instrText>
      </w:r>
      <w:r>
        <w:rPr>
          <w:color w:val="auto"/>
          <w:highlight w:val="none"/>
        </w:rPr>
        <w:fldChar w:fldCharType="separate"/>
      </w:r>
      <w:r>
        <w:rPr>
          <w:rFonts w:hint="eastAsia" w:ascii="宋体" w:hAnsi="宋体" w:cs="宋体"/>
          <w:color w:val="auto"/>
          <w:szCs w:val="21"/>
          <w:highlight w:val="none"/>
        </w:rPr>
        <w:t>三、获取采购文件</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_Toc7840 \h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40223E46">
      <w:pPr>
        <w:pStyle w:val="26"/>
        <w:tabs>
          <w:tab w:val="right" w:leader="dot" w:pos="8300"/>
          <w:tab w:val="clear" w:pos="8296"/>
        </w:tabs>
        <w:rPr>
          <w:rFonts w:ascii="宋体" w:hAnsi="宋体" w:cs="宋体"/>
          <w:color w:val="auto"/>
          <w:szCs w:val="21"/>
          <w:highlight w:val="none"/>
        </w:rPr>
      </w:pPr>
      <w:r>
        <w:rPr>
          <w:color w:val="auto"/>
          <w:highlight w:val="none"/>
        </w:rPr>
        <w:fldChar w:fldCharType="begin"/>
      </w:r>
      <w:r>
        <w:rPr>
          <w:color w:val="auto"/>
          <w:highlight w:val="none"/>
        </w:rPr>
        <w:instrText xml:space="preserve"> HYPERLINK \l "_Toc16911" </w:instrText>
      </w:r>
      <w:r>
        <w:rPr>
          <w:color w:val="auto"/>
          <w:highlight w:val="none"/>
        </w:rPr>
        <w:fldChar w:fldCharType="separate"/>
      </w:r>
      <w:r>
        <w:rPr>
          <w:rFonts w:hint="eastAsia" w:ascii="宋体" w:hAnsi="宋体" w:cs="宋体"/>
          <w:color w:val="auto"/>
          <w:szCs w:val="21"/>
          <w:highlight w:val="none"/>
        </w:rPr>
        <w:t>四、响应文件提交</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_Toc16911 \h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2B11C872">
      <w:pPr>
        <w:pStyle w:val="26"/>
        <w:tabs>
          <w:tab w:val="right" w:leader="dot" w:pos="8300"/>
          <w:tab w:val="clear" w:pos="8296"/>
        </w:tabs>
        <w:rPr>
          <w:rFonts w:ascii="宋体" w:hAnsi="宋体" w:cs="宋体"/>
          <w:color w:val="auto"/>
          <w:szCs w:val="21"/>
          <w:highlight w:val="none"/>
        </w:rPr>
      </w:pPr>
      <w:r>
        <w:rPr>
          <w:color w:val="auto"/>
          <w:highlight w:val="none"/>
        </w:rPr>
        <w:fldChar w:fldCharType="begin"/>
      </w:r>
      <w:r>
        <w:rPr>
          <w:color w:val="auto"/>
          <w:highlight w:val="none"/>
        </w:rPr>
        <w:instrText xml:space="preserve"> HYPERLINK \l "_Toc26075" </w:instrText>
      </w:r>
      <w:r>
        <w:rPr>
          <w:color w:val="auto"/>
          <w:highlight w:val="none"/>
        </w:rPr>
        <w:fldChar w:fldCharType="separate"/>
      </w:r>
      <w:r>
        <w:rPr>
          <w:rFonts w:hint="eastAsia" w:ascii="宋体" w:hAnsi="宋体" w:cs="宋体"/>
          <w:color w:val="auto"/>
          <w:szCs w:val="21"/>
          <w:highlight w:val="none"/>
        </w:rPr>
        <w:t>五、响应文件开启</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_Toc26075 \h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07B0A293">
      <w:pPr>
        <w:pStyle w:val="26"/>
        <w:tabs>
          <w:tab w:val="right" w:leader="dot" w:pos="8300"/>
          <w:tab w:val="clear" w:pos="8296"/>
        </w:tabs>
        <w:rPr>
          <w:rFonts w:ascii="宋体" w:hAnsi="宋体" w:cs="宋体"/>
          <w:color w:val="auto"/>
          <w:szCs w:val="21"/>
          <w:highlight w:val="none"/>
        </w:rPr>
      </w:pPr>
      <w:r>
        <w:rPr>
          <w:color w:val="auto"/>
          <w:highlight w:val="none"/>
        </w:rPr>
        <w:fldChar w:fldCharType="begin"/>
      </w:r>
      <w:r>
        <w:rPr>
          <w:color w:val="auto"/>
          <w:highlight w:val="none"/>
        </w:rPr>
        <w:instrText xml:space="preserve"> HYPERLINK \l "_Toc24353" </w:instrText>
      </w:r>
      <w:r>
        <w:rPr>
          <w:color w:val="auto"/>
          <w:highlight w:val="none"/>
        </w:rPr>
        <w:fldChar w:fldCharType="separate"/>
      </w:r>
      <w:r>
        <w:rPr>
          <w:rFonts w:hint="eastAsia" w:ascii="宋体" w:hAnsi="宋体" w:cs="宋体"/>
          <w:color w:val="auto"/>
          <w:szCs w:val="21"/>
          <w:highlight w:val="none"/>
        </w:rPr>
        <w:t>六、公告期限</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_Toc24353 \h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6D91B62E">
      <w:pPr>
        <w:pStyle w:val="26"/>
        <w:tabs>
          <w:tab w:val="right" w:leader="dot" w:pos="8300"/>
          <w:tab w:val="clear" w:pos="8296"/>
        </w:tabs>
        <w:rPr>
          <w:rFonts w:ascii="宋体" w:hAnsi="宋体" w:cs="宋体"/>
          <w:color w:val="auto"/>
          <w:szCs w:val="21"/>
          <w:highlight w:val="none"/>
        </w:rPr>
      </w:pPr>
      <w:r>
        <w:rPr>
          <w:color w:val="auto"/>
          <w:highlight w:val="none"/>
        </w:rPr>
        <w:fldChar w:fldCharType="begin"/>
      </w:r>
      <w:r>
        <w:rPr>
          <w:color w:val="auto"/>
          <w:highlight w:val="none"/>
        </w:rPr>
        <w:instrText xml:space="preserve"> HYPERLINK \l "_Toc22653" </w:instrText>
      </w:r>
      <w:r>
        <w:rPr>
          <w:color w:val="auto"/>
          <w:highlight w:val="none"/>
        </w:rPr>
        <w:fldChar w:fldCharType="separate"/>
      </w:r>
      <w:r>
        <w:rPr>
          <w:rFonts w:hint="eastAsia" w:ascii="宋体" w:hAnsi="宋体" w:cs="宋体"/>
          <w:color w:val="auto"/>
          <w:szCs w:val="21"/>
          <w:highlight w:val="none"/>
        </w:rPr>
        <w:t>七、其他补充事宜</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_Toc22653 \h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7E5406E5">
      <w:pPr>
        <w:pStyle w:val="26"/>
        <w:tabs>
          <w:tab w:val="right" w:leader="dot" w:pos="8300"/>
          <w:tab w:val="clear" w:pos="8296"/>
        </w:tabs>
        <w:rPr>
          <w:rFonts w:ascii="宋体" w:hAnsi="宋体" w:cs="宋体"/>
          <w:color w:val="auto"/>
          <w:szCs w:val="21"/>
          <w:highlight w:val="none"/>
        </w:rPr>
      </w:pPr>
      <w:r>
        <w:rPr>
          <w:color w:val="auto"/>
          <w:highlight w:val="none"/>
        </w:rPr>
        <w:fldChar w:fldCharType="begin"/>
      </w:r>
      <w:r>
        <w:rPr>
          <w:color w:val="auto"/>
          <w:highlight w:val="none"/>
        </w:rPr>
        <w:instrText xml:space="preserve"> HYPERLINK \l "_Toc17229" </w:instrText>
      </w:r>
      <w:r>
        <w:rPr>
          <w:color w:val="auto"/>
          <w:highlight w:val="none"/>
        </w:rPr>
        <w:fldChar w:fldCharType="separate"/>
      </w:r>
      <w:r>
        <w:rPr>
          <w:rFonts w:hint="eastAsia" w:ascii="宋体" w:hAnsi="宋体" w:cs="宋体"/>
          <w:color w:val="auto"/>
          <w:szCs w:val="21"/>
          <w:highlight w:val="none"/>
        </w:rPr>
        <w:t>八、凡对本次采购提出询问，请按以下方式联系。</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_Toc17229 \h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4</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536865A5">
      <w:pPr>
        <w:pStyle w:val="26"/>
        <w:tabs>
          <w:tab w:val="right" w:leader="dot" w:pos="8300"/>
          <w:tab w:val="clear" w:pos="8296"/>
        </w:tabs>
        <w:rPr>
          <w:rFonts w:ascii="宋体" w:hAnsi="宋体" w:cs="宋体"/>
          <w:color w:val="auto"/>
          <w:szCs w:val="21"/>
          <w:highlight w:val="none"/>
        </w:rPr>
      </w:pPr>
      <w:r>
        <w:rPr>
          <w:color w:val="auto"/>
          <w:highlight w:val="none"/>
        </w:rPr>
        <w:fldChar w:fldCharType="begin"/>
      </w:r>
      <w:r>
        <w:rPr>
          <w:color w:val="auto"/>
          <w:highlight w:val="none"/>
        </w:rPr>
        <w:instrText xml:space="preserve"> HYPERLINK \l "_Toc10978" </w:instrText>
      </w:r>
      <w:r>
        <w:rPr>
          <w:color w:val="auto"/>
          <w:highlight w:val="none"/>
        </w:rPr>
        <w:fldChar w:fldCharType="separate"/>
      </w:r>
      <w:r>
        <w:rPr>
          <w:rFonts w:hint="eastAsia" w:ascii="宋体" w:hAnsi="宋体" w:cs="宋体"/>
          <w:color w:val="auto"/>
          <w:szCs w:val="21"/>
          <w:highlight w:val="none"/>
        </w:rPr>
        <w:t>第二章 供应商须知</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_Toc10978 \h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4</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10A47D13">
      <w:pPr>
        <w:pStyle w:val="15"/>
        <w:tabs>
          <w:tab w:val="right" w:leader="dot" w:pos="8300"/>
        </w:tabs>
        <w:rPr>
          <w:rFonts w:ascii="宋体" w:hAnsi="宋体" w:cs="宋体"/>
          <w:color w:val="auto"/>
          <w:szCs w:val="21"/>
          <w:highlight w:val="none"/>
        </w:rPr>
      </w:pPr>
      <w:r>
        <w:rPr>
          <w:color w:val="auto"/>
          <w:highlight w:val="none"/>
        </w:rPr>
        <w:fldChar w:fldCharType="begin"/>
      </w:r>
      <w:r>
        <w:rPr>
          <w:color w:val="auto"/>
          <w:highlight w:val="none"/>
        </w:rPr>
        <w:instrText xml:space="preserve"> HYPERLINK \l "_Toc13827" </w:instrText>
      </w:r>
      <w:r>
        <w:rPr>
          <w:color w:val="auto"/>
          <w:highlight w:val="none"/>
        </w:rPr>
        <w:fldChar w:fldCharType="separate"/>
      </w:r>
      <w:r>
        <w:rPr>
          <w:rFonts w:hint="eastAsia" w:ascii="宋体" w:hAnsi="宋体" w:cs="宋体"/>
          <w:color w:val="auto"/>
          <w:szCs w:val="21"/>
          <w:highlight w:val="none"/>
        </w:rPr>
        <w:t>供应商须知前附表</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_Toc13827 \h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5</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1B3924C8">
      <w:pPr>
        <w:pStyle w:val="15"/>
        <w:tabs>
          <w:tab w:val="right" w:leader="dot" w:pos="8300"/>
        </w:tabs>
        <w:rPr>
          <w:rFonts w:ascii="宋体" w:hAnsi="宋体" w:cs="宋体"/>
          <w:color w:val="auto"/>
          <w:szCs w:val="21"/>
          <w:highlight w:val="none"/>
        </w:rPr>
      </w:pPr>
      <w:r>
        <w:rPr>
          <w:color w:val="auto"/>
          <w:highlight w:val="none"/>
        </w:rPr>
        <w:fldChar w:fldCharType="begin"/>
      </w:r>
      <w:r>
        <w:rPr>
          <w:color w:val="auto"/>
          <w:highlight w:val="none"/>
        </w:rPr>
        <w:instrText xml:space="preserve"> HYPERLINK \l "_Toc24883" </w:instrText>
      </w:r>
      <w:r>
        <w:rPr>
          <w:color w:val="auto"/>
          <w:highlight w:val="none"/>
        </w:rPr>
        <w:fldChar w:fldCharType="separate"/>
      </w:r>
      <w:r>
        <w:rPr>
          <w:rFonts w:hint="eastAsia" w:ascii="宋体" w:hAnsi="宋体" w:cs="宋体"/>
          <w:color w:val="auto"/>
          <w:szCs w:val="21"/>
          <w:highlight w:val="none"/>
        </w:rPr>
        <w:t>供应商须知正文</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_Toc24883 \h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11</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59C939DC">
      <w:pPr>
        <w:pStyle w:val="15"/>
        <w:tabs>
          <w:tab w:val="right" w:leader="dot" w:pos="8300"/>
        </w:tabs>
        <w:rPr>
          <w:rFonts w:ascii="宋体" w:hAnsi="宋体" w:cs="宋体"/>
          <w:color w:val="auto"/>
          <w:szCs w:val="21"/>
          <w:highlight w:val="none"/>
        </w:rPr>
      </w:pPr>
      <w:r>
        <w:rPr>
          <w:color w:val="auto"/>
          <w:highlight w:val="none"/>
        </w:rPr>
        <w:fldChar w:fldCharType="begin"/>
      </w:r>
      <w:r>
        <w:rPr>
          <w:color w:val="auto"/>
          <w:highlight w:val="none"/>
        </w:rPr>
        <w:instrText xml:space="preserve"> HYPERLINK \l "_Toc858" </w:instrText>
      </w:r>
      <w:r>
        <w:rPr>
          <w:color w:val="auto"/>
          <w:highlight w:val="none"/>
        </w:rPr>
        <w:fldChar w:fldCharType="separate"/>
      </w:r>
      <w:r>
        <w:rPr>
          <w:rFonts w:hint="eastAsia" w:ascii="宋体" w:hAnsi="宋体" w:cs="宋体"/>
          <w:bCs/>
          <w:color w:val="auto"/>
          <w:szCs w:val="21"/>
          <w:highlight w:val="none"/>
        </w:rPr>
        <w:t>一、总则</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_Toc858 \h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11</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29149F64">
      <w:pPr>
        <w:pStyle w:val="15"/>
        <w:tabs>
          <w:tab w:val="right" w:leader="dot" w:pos="8300"/>
        </w:tabs>
        <w:rPr>
          <w:rFonts w:ascii="宋体" w:hAnsi="宋体" w:cs="宋体"/>
          <w:color w:val="auto"/>
          <w:szCs w:val="21"/>
          <w:highlight w:val="none"/>
        </w:rPr>
      </w:pPr>
      <w:r>
        <w:rPr>
          <w:color w:val="auto"/>
          <w:highlight w:val="none"/>
        </w:rPr>
        <w:fldChar w:fldCharType="begin"/>
      </w:r>
      <w:r>
        <w:rPr>
          <w:color w:val="auto"/>
          <w:highlight w:val="none"/>
        </w:rPr>
        <w:instrText xml:space="preserve"> HYPERLINK \l "_Toc21876" </w:instrText>
      </w:r>
      <w:r>
        <w:rPr>
          <w:color w:val="auto"/>
          <w:highlight w:val="none"/>
        </w:rPr>
        <w:fldChar w:fldCharType="separate"/>
      </w:r>
      <w:r>
        <w:rPr>
          <w:rFonts w:hint="eastAsia" w:ascii="宋体" w:hAnsi="宋体" w:cs="宋体"/>
          <w:bCs/>
          <w:color w:val="auto"/>
          <w:szCs w:val="21"/>
          <w:highlight w:val="none"/>
        </w:rPr>
        <w:t>二、磋商文件</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_Toc21876 \h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13</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65E4E515">
      <w:pPr>
        <w:pStyle w:val="15"/>
        <w:tabs>
          <w:tab w:val="right" w:leader="dot" w:pos="8300"/>
        </w:tabs>
        <w:rPr>
          <w:rFonts w:ascii="宋体" w:hAnsi="宋体" w:cs="宋体"/>
          <w:color w:val="auto"/>
          <w:szCs w:val="21"/>
          <w:highlight w:val="none"/>
        </w:rPr>
      </w:pPr>
      <w:r>
        <w:rPr>
          <w:color w:val="auto"/>
          <w:highlight w:val="none"/>
        </w:rPr>
        <w:fldChar w:fldCharType="begin"/>
      </w:r>
      <w:r>
        <w:rPr>
          <w:color w:val="auto"/>
          <w:highlight w:val="none"/>
        </w:rPr>
        <w:instrText xml:space="preserve"> HYPERLINK \l "_Toc2661" </w:instrText>
      </w:r>
      <w:r>
        <w:rPr>
          <w:color w:val="auto"/>
          <w:highlight w:val="none"/>
        </w:rPr>
        <w:fldChar w:fldCharType="separate"/>
      </w:r>
      <w:r>
        <w:rPr>
          <w:rFonts w:hint="eastAsia" w:ascii="宋体" w:hAnsi="宋体" w:cs="宋体"/>
          <w:bCs/>
          <w:color w:val="auto"/>
          <w:szCs w:val="21"/>
          <w:highlight w:val="none"/>
        </w:rPr>
        <w:t>三、响应文件的编制</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_Toc2661 \h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14</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55F0A95E">
      <w:pPr>
        <w:pStyle w:val="15"/>
        <w:tabs>
          <w:tab w:val="right" w:leader="dot" w:pos="8300"/>
        </w:tabs>
        <w:rPr>
          <w:rFonts w:ascii="宋体" w:hAnsi="宋体" w:cs="宋体"/>
          <w:color w:val="auto"/>
          <w:szCs w:val="21"/>
          <w:highlight w:val="none"/>
        </w:rPr>
      </w:pPr>
      <w:r>
        <w:rPr>
          <w:color w:val="auto"/>
          <w:highlight w:val="none"/>
        </w:rPr>
        <w:fldChar w:fldCharType="begin"/>
      </w:r>
      <w:r>
        <w:rPr>
          <w:color w:val="auto"/>
          <w:highlight w:val="none"/>
        </w:rPr>
        <w:instrText xml:space="preserve"> HYPERLINK \l "_Toc11014" </w:instrText>
      </w:r>
      <w:r>
        <w:rPr>
          <w:color w:val="auto"/>
          <w:highlight w:val="none"/>
        </w:rPr>
        <w:fldChar w:fldCharType="separate"/>
      </w:r>
      <w:r>
        <w:rPr>
          <w:rFonts w:hint="eastAsia" w:ascii="宋体" w:hAnsi="宋体" w:cs="宋体"/>
          <w:bCs/>
          <w:color w:val="auto"/>
          <w:szCs w:val="21"/>
          <w:highlight w:val="none"/>
        </w:rPr>
        <w:t>四、评审及磋商</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_Toc11014 \h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16</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248AB112">
      <w:pPr>
        <w:pStyle w:val="26"/>
        <w:tabs>
          <w:tab w:val="right" w:leader="dot" w:pos="8300"/>
          <w:tab w:val="clear" w:pos="8296"/>
        </w:tabs>
        <w:rPr>
          <w:rFonts w:ascii="宋体" w:hAnsi="宋体" w:cs="宋体"/>
          <w:color w:val="auto"/>
          <w:szCs w:val="21"/>
          <w:highlight w:val="none"/>
        </w:rPr>
      </w:pPr>
      <w:r>
        <w:rPr>
          <w:color w:val="auto"/>
          <w:highlight w:val="none"/>
        </w:rPr>
        <w:fldChar w:fldCharType="begin"/>
      </w:r>
      <w:r>
        <w:rPr>
          <w:color w:val="auto"/>
          <w:highlight w:val="none"/>
        </w:rPr>
        <w:instrText xml:space="preserve"> HYPERLINK \l "_Toc1847" </w:instrText>
      </w:r>
      <w:r>
        <w:rPr>
          <w:color w:val="auto"/>
          <w:highlight w:val="none"/>
        </w:rPr>
        <w:fldChar w:fldCharType="separate"/>
      </w:r>
      <w:r>
        <w:rPr>
          <w:rFonts w:hint="eastAsia" w:ascii="宋体" w:hAnsi="宋体" w:cs="宋体"/>
          <w:color w:val="auto"/>
          <w:szCs w:val="21"/>
          <w:highlight w:val="none"/>
        </w:rPr>
        <w:t>第三章 采购需求</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_Toc1847 \h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23</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51BDAFEB">
      <w:pPr>
        <w:pStyle w:val="26"/>
        <w:tabs>
          <w:tab w:val="right" w:leader="dot" w:pos="8300"/>
          <w:tab w:val="clear" w:pos="8296"/>
        </w:tabs>
        <w:rPr>
          <w:rFonts w:ascii="宋体" w:hAnsi="宋体" w:cs="宋体"/>
          <w:color w:val="auto"/>
          <w:szCs w:val="21"/>
          <w:highlight w:val="none"/>
        </w:rPr>
      </w:pPr>
      <w:r>
        <w:rPr>
          <w:color w:val="auto"/>
          <w:highlight w:val="none"/>
        </w:rPr>
        <w:fldChar w:fldCharType="begin"/>
      </w:r>
      <w:r>
        <w:rPr>
          <w:color w:val="auto"/>
          <w:highlight w:val="none"/>
        </w:rPr>
        <w:instrText xml:space="preserve"> HYPERLINK \l "_Toc15864" </w:instrText>
      </w:r>
      <w:r>
        <w:rPr>
          <w:color w:val="auto"/>
          <w:highlight w:val="none"/>
        </w:rPr>
        <w:fldChar w:fldCharType="separate"/>
      </w:r>
      <w:r>
        <w:rPr>
          <w:rFonts w:hint="eastAsia" w:ascii="宋体" w:hAnsi="宋体" w:cs="宋体"/>
          <w:color w:val="auto"/>
          <w:szCs w:val="21"/>
          <w:highlight w:val="none"/>
        </w:rPr>
        <w:t>第四章  评审程序、评审方法和评审标准</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_Toc15864 \h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35</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6DDB88F7">
      <w:pPr>
        <w:pStyle w:val="15"/>
        <w:tabs>
          <w:tab w:val="right" w:leader="dot" w:pos="8300"/>
        </w:tabs>
        <w:rPr>
          <w:rFonts w:ascii="宋体" w:hAnsi="宋体" w:cs="宋体"/>
          <w:color w:val="auto"/>
          <w:szCs w:val="21"/>
          <w:highlight w:val="none"/>
        </w:rPr>
      </w:pPr>
      <w:r>
        <w:rPr>
          <w:color w:val="auto"/>
          <w:highlight w:val="none"/>
        </w:rPr>
        <w:fldChar w:fldCharType="begin"/>
      </w:r>
      <w:r>
        <w:rPr>
          <w:color w:val="auto"/>
          <w:highlight w:val="none"/>
        </w:rPr>
        <w:instrText xml:space="preserve"> HYPERLINK \l "_Toc8692" </w:instrText>
      </w:r>
      <w:r>
        <w:rPr>
          <w:color w:val="auto"/>
          <w:highlight w:val="none"/>
        </w:rPr>
        <w:fldChar w:fldCharType="separate"/>
      </w:r>
      <w:r>
        <w:rPr>
          <w:rFonts w:hint="eastAsia" w:ascii="宋体" w:hAnsi="宋体" w:cs="宋体"/>
          <w:color w:val="auto"/>
          <w:szCs w:val="21"/>
          <w:highlight w:val="none"/>
        </w:rPr>
        <w:t>一、评审程序和评审方法</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_Toc8692 \h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35</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045D5FCC">
      <w:pPr>
        <w:pStyle w:val="15"/>
        <w:tabs>
          <w:tab w:val="right" w:leader="dot" w:pos="8300"/>
        </w:tabs>
        <w:rPr>
          <w:rFonts w:ascii="宋体" w:hAnsi="宋体" w:cs="宋体"/>
          <w:color w:val="auto"/>
          <w:szCs w:val="21"/>
          <w:highlight w:val="none"/>
        </w:rPr>
      </w:pPr>
      <w:r>
        <w:rPr>
          <w:color w:val="auto"/>
          <w:highlight w:val="none"/>
        </w:rPr>
        <w:fldChar w:fldCharType="begin"/>
      </w:r>
      <w:r>
        <w:rPr>
          <w:color w:val="auto"/>
          <w:highlight w:val="none"/>
        </w:rPr>
        <w:instrText xml:space="preserve"> HYPERLINK \l "_Toc6076" </w:instrText>
      </w:r>
      <w:r>
        <w:rPr>
          <w:color w:val="auto"/>
          <w:highlight w:val="none"/>
        </w:rPr>
        <w:fldChar w:fldCharType="separate"/>
      </w:r>
      <w:r>
        <w:rPr>
          <w:rFonts w:hint="eastAsia" w:ascii="宋体" w:hAnsi="宋体" w:cs="宋体"/>
          <w:color w:val="auto"/>
          <w:szCs w:val="21"/>
          <w:highlight w:val="none"/>
        </w:rPr>
        <w:t>二、评审标准</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_Toc6076 \h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40</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181D1819">
      <w:pPr>
        <w:pStyle w:val="26"/>
        <w:tabs>
          <w:tab w:val="right" w:leader="dot" w:pos="8300"/>
          <w:tab w:val="clear" w:pos="8296"/>
        </w:tabs>
        <w:rPr>
          <w:rFonts w:ascii="宋体" w:hAnsi="宋体" w:cs="宋体"/>
          <w:color w:val="auto"/>
          <w:szCs w:val="21"/>
          <w:highlight w:val="none"/>
        </w:rPr>
      </w:pPr>
      <w:r>
        <w:rPr>
          <w:color w:val="auto"/>
          <w:highlight w:val="none"/>
        </w:rPr>
        <w:fldChar w:fldCharType="begin"/>
      </w:r>
      <w:r>
        <w:rPr>
          <w:color w:val="auto"/>
          <w:highlight w:val="none"/>
        </w:rPr>
        <w:instrText xml:space="preserve"> HYPERLINK \l "_Toc29405" </w:instrText>
      </w:r>
      <w:r>
        <w:rPr>
          <w:color w:val="auto"/>
          <w:highlight w:val="none"/>
        </w:rPr>
        <w:fldChar w:fldCharType="separate"/>
      </w:r>
      <w:r>
        <w:rPr>
          <w:rFonts w:hint="eastAsia" w:ascii="宋体" w:hAnsi="宋体" w:cs="宋体"/>
          <w:color w:val="auto"/>
          <w:szCs w:val="21"/>
          <w:highlight w:val="none"/>
        </w:rPr>
        <w:t>第五章 响应文件格式</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_Toc29405 \h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45</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50E4D1D0">
      <w:pPr>
        <w:pStyle w:val="15"/>
        <w:tabs>
          <w:tab w:val="right" w:leader="dot" w:pos="8300"/>
        </w:tabs>
        <w:rPr>
          <w:rFonts w:ascii="宋体" w:hAnsi="宋体" w:cs="宋体"/>
          <w:color w:val="auto"/>
          <w:szCs w:val="21"/>
          <w:highlight w:val="none"/>
        </w:rPr>
      </w:pPr>
      <w:r>
        <w:rPr>
          <w:color w:val="auto"/>
          <w:highlight w:val="none"/>
        </w:rPr>
        <w:fldChar w:fldCharType="begin"/>
      </w:r>
      <w:r>
        <w:rPr>
          <w:color w:val="auto"/>
          <w:highlight w:val="none"/>
        </w:rPr>
        <w:instrText xml:space="preserve"> HYPERLINK \l "_Toc1789" </w:instrText>
      </w:r>
      <w:r>
        <w:rPr>
          <w:color w:val="auto"/>
          <w:highlight w:val="none"/>
        </w:rPr>
        <w:fldChar w:fldCharType="separate"/>
      </w:r>
      <w:r>
        <w:rPr>
          <w:rFonts w:hint="eastAsia" w:ascii="宋体" w:hAnsi="宋体" w:cs="宋体"/>
          <w:bCs/>
          <w:color w:val="auto"/>
          <w:szCs w:val="21"/>
          <w:highlight w:val="none"/>
        </w:rPr>
        <w:t>一、资格证明文件格式</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_Toc1789 \h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46</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055ADF32">
      <w:pPr>
        <w:pStyle w:val="15"/>
        <w:tabs>
          <w:tab w:val="right" w:leader="dot" w:pos="8300"/>
        </w:tabs>
        <w:rPr>
          <w:rFonts w:ascii="宋体" w:hAnsi="宋体" w:cs="宋体"/>
          <w:color w:val="auto"/>
          <w:szCs w:val="21"/>
          <w:highlight w:val="none"/>
        </w:rPr>
      </w:pPr>
      <w:r>
        <w:rPr>
          <w:color w:val="auto"/>
          <w:highlight w:val="none"/>
        </w:rPr>
        <w:fldChar w:fldCharType="begin"/>
      </w:r>
      <w:r>
        <w:rPr>
          <w:color w:val="auto"/>
          <w:highlight w:val="none"/>
        </w:rPr>
        <w:instrText xml:space="preserve"> HYPERLINK \l "_Toc2373" </w:instrText>
      </w:r>
      <w:r>
        <w:rPr>
          <w:color w:val="auto"/>
          <w:highlight w:val="none"/>
        </w:rPr>
        <w:fldChar w:fldCharType="separate"/>
      </w:r>
      <w:r>
        <w:rPr>
          <w:rFonts w:hint="eastAsia" w:ascii="宋体" w:hAnsi="宋体" w:cs="宋体"/>
          <w:bCs/>
          <w:color w:val="auto"/>
          <w:szCs w:val="21"/>
          <w:highlight w:val="none"/>
        </w:rPr>
        <w:t>二、商务技术文件格式</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_Toc2373 \h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52</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5AE3C4D6">
      <w:pPr>
        <w:pStyle w:val="15"/>
        <w:tabs>
          <w:tab w:val="right" w:leader="dot" w:pos="8300"/>
        </w:tabs>
        <w:rPr>
          <w:rFonts w:ascii="宋体" w:hAnsi="宋体" w:cs="宋体"/>
          <w:color w:val="auto"/>
          <w:szCs w:val="21"/>
          <w:highlight w:val="none"/>
        </w:rPr>
      </w:pPr>
      <w:r>
        <w:rPr>
          <w:color w:val="auto"/>
          <w:highlight w:val="none"/>
        </w:rPr>
        <w:fldChar w:fldCharType="begin"/>
      </w:r>
      <w:r>
        <w:rPr>
          <w:color w:val="auto"/>
          <w:highlight w:val="none"/>
        </w:rPr>
        <w:instrText xml:space="preserve"> HYPERLINK \l "_Toc30943" </w:instrText>
      </w:r>
      <w:r>
        <w:rPr>
          <w:color w:val="auto"/>
          <w:highlight w:val="none"/>
        </w:rPr>
        <w:fldChar w:fldCharType="separate"/>
      </w:r>
      <w:r>
        <w:rPr>
          <w:rFonts w:hint="eastAsia" w:ascii="宋体" w:hAnsi="宋体" w:cs="宋体"/>
          <w:bCs/>
          <w:color w:val="auto"/>
          <w:szCs w:val="21"/>
          <w:highlight w:val="none"/>
        </w:rPr>
        <w:t>三、报价文件格式</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_Toc30943 \h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61</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4C9F02E1">
      <w:pPr>
        <w:pStyle w:val="26"/>
        <w:tabs>
          <w:tab w:val="right" w:leader="dot" w:pos="8300"/>
          <w:tab w:val="clear" w:pos="8296"/>
        </w:tabs>
        <w:rPr>
          <w:rFonts w:ascii="宋体" w:hAnsi="宋体" w:cs="宋体"/>
          <w:color w:val="auto"/>
          <w:szCs w:val="21"/>
          <w:highlight w:val="none"/>
        </w:rPr>
      </w:pPr>
      <w:r>
        <w:rPr>
          <w:color w:val="auto"/>
          <w:highlight w:val="none"/>
        </w:rPr>
        <w:fldChar w:fldCharType="begin"/>
      </w:r>
      <w:r>
        <w:rPr>
          <w:color w:val="auto"/>
          <w:highlight w:val="none"/>
        </w:rPr>
        <w:instrText xml:space="preserve"> HYPERLINK \l "_Toc28523" </w:instrText>
      </w:r>
      <w:r>
        <w:rPr>
          <w:color w:val="auto"/>
          <w:highlight w:val="none"/>
        </w:rPr>
        <w:fldChar w:fldCharType="separate"/>
      </w:r>
      <w:r>
        <w:rPr>
          <w:rFonts w:hint="eastAsia" w:ascii="宋体" w:hAnsi="宋体" w:cs="宋体"/>
          <w:color w:val="auto"/>
          <w:szCs w:val="21"/>
          <w:highlight w:val="none"/>
        </w:rPr>
        <w:t>第六章 合同文本</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_Toc28523 \h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67</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41B4E98D">
      <w:pPr>
        <w:pStyle w:val="26"/>
        <w:tabs>
          <w:tab w:val="right" w:leader="dot" w:pos="8300"/>
          <w:tab w:val="clear" w:pos="8296"/>
        </w:tabs>
        <w:rPr>
          <w:color w:val="auto"/>
          <w:highlight w:val="none"/>
        </w:rPr>
      </w:pPr>
      <w:r>
        <w:rPr>
          <w:color w:val="auto"/>
          <w:highlight w:val="none"/>
        </w:rPr>
        <w:fldChar w:fldCharType="begin"/>
      </w:r>
      <w:r>
        <w:rPr>
          <w:color w:val="auto"/>
          <w:highlight w:val="none"/>
        </w:rPr>
        <w:instrText xml:space="preserve"> HYPERLINK \l "_Toc429" </w:instrText>
      </w:r>
      <w:r>
        <w:rPr>
          <w:color w:val="auto"/>
          <w:highlight w:val="none"/>
        </w:rPr>
        <w:fldChar w:fldCharType="separate"/>
      </w:r>
      <w:r>
        <w:rPr>
          <w:rFonts w:hint="eastAsia" w:ascii="宋体" w:hAnsi="宋体" w:cs="宋体"/>
          <w:color w:val="auto"/>
          <w:szCs w:val="21"/>
          <w:highlight w:val="none"/>
        </w:rPr>
        <w:t>第七章 质疑、投诉材料格式</w:t>
      </w:r>
      <w:r>
        <w:rPr>
          <w:rFonts w:hint="eastAsia" w:ascii="宋体" w:hAnsi="宋体" w:cs="宋体"/>
          <w:color w:val="auto"/>
          <w:szCs w:val="21"/>
          <w:highlight w:val="none"/>
        </w:rPr>
        <w:tab/>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PAGEREF _Toc429 \h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75</w:t>
      </w:r>
      <w:r>
        <w:rPr>
          <w:rFonts w:hint="eastAsia" w:ascii="宋体" w:hAnsi="宋体" w:cs="宋体"/>
          <w:color w:val="auto"/>
          <w:szCs w:val="21"/>
          <w:highlight w:val="none"/>
        </w:rPr>
        <w:fldChar w:fldCharType="end"/>
      </w:r>
      <w:r>
        <w:rPr>
          <w:rFonts w:hint="eastAsia" w:ascii="宋体" w:hAnsi="宋体" w:cs="宋体"/>
          <w:color w:val="auto"/>
          <w:szCs w:val="21"/>
          <w:highlight w:val="none"/>
        </w:rPr>
        <w:fldChar w:fldCharType="end"/>
      </w:r>
    </w:p>
    <w:p w14:paraId="0D726634">
      <w:pPr>
        <w:pStyle w:val="26"/>
        <w:tabs>
          <w:tab w:val="right" w:leader="dot" w:pos="8789"/>
          <w:tab w:val="clear" w:pos="8296"/>
        </w:tabs>
        <w:ind w:left="0" w:leftChars="0"/>
        <w:rPr>
          <w:rFonts w:ascii="宋体" w:hAnsi="宋体" w:cs="宋体"/>
          <w:color w:val="auto"/>
          <w:szCs w:val="21"/>
          <w:highlight w:val="none"/>
        </w:rPr>
      </w:pPr>
      <w:r>
        <w:rPr>
          <w:rFonts w:hint="eastAsia" w:ascii="宋体" w:hAnsi="宋体" w:cs="宋体"/>
          <w:bCs/>
          <w:color w:val="auto"/>
          <w:szCs w:val="28"/>
          <w:highlight w:val="none"/>
        </w:rPr>
        <w:fldChar w:fldCharType="end"/>
      </w:r>
    </w:p>
    <w:p w14:paraId="05065428">
      <w:pPr>
        <w:spacing w:line="400" w:lineRule="exact"/>
        <w:rPr>
          <w:rFonts w:ascii="宋体" w:hAnsi="宋体" w:cs="宋体"/>
          <w:b/>
          <w:color w:val="auto"/>
          <w:sz w:val="32"/>
          <w:szCs w:val="32"/>
          <w:highlight w:val="none"/>
        </w:rPr>
        <w:sectPr>
          <w:headerReference r:id="rId4" w:type="first"/>
          <w:headerReference r:id="rId3" w:type="default"/>
          <w:pgSz w:w="11906" w:h="16838"/>
          <w:pgMar w:top="1440" w:right="1803" w:bottom="1440" w:left="1803" w:header="851" w:footer="992" w:gutter="0"/>
          <w:cols w:space="0" w:num="1"/>
          <w:titlePg/>
          <w:docGrid w:type="lines" w:linePitch="312" w:charSpace="0"/>
        </w:sectPr>
      </w:pPr>
    </w:p>
    <w:p w14:paraId="5A10B991">
      <w:pPr>
        <w:pStyle w:val="3"/>
        <w:spacing w:line="400" w:lineRule="exact"/>
        <w:jc w:val="center"/>
        <w:rPr>
          <w:rFonts w:ascii="宋体" w:hAnsi="宋体" w:cs="宋体"/>
          <w:color w:val="auto"/>
          <w:highlight w:val="none"/>
        </w:rPr>
      </w:pPr>
      <w:bookmarkStart w:id="1" w:name="_Toc10351"/>
      <w:r>
        <w:rPr>
          <w:rFonts w:hint="eastAsia" w:ascii="方正小标宋_GBK" w:hAnsi="方正小标宋_GBK" w:eastAsia="方正小标宋_GBK" w:cs="方正小标宋_GBK"/>
          <w:b w:val="0"/>
          <w:bCs w:val="0"/>
          <w:color w:val="auto"/>
          <w:sz w:val="21"/>
          <w:szCs w:val="21"/>
          <w:highlight w:val="none"/>
        </w:rPr>
        <w:t>第一章 竞争性磋商公告</w:t>
      </w:r>
      <w:bookmarkEnd w:id="1"/>
    </w:p>
    <w:p w14:paraId="6129A14F">
      <w:pPr>
        <w:pBdr>
          <w:top w:val="single" w:color="auto" w:sz="4" w:space="1"/>
          <w:left w:val="single" w:color="auto" w:sz="4" w:space="4"/>
          <w:bottom w:val="single" w:color="auto" w:sz="4" w:space="1"/>
          <w:right w:val="single" w:color="auto" w:sz="4" w:space="4"/>
        </w:pBdr>
        <w:spacing w:line="400" w:lineRule="exact"/>
        <w:rPr>
          <w:rFonts w:ascii="宋体" w:hAnsi="宋体" w:cs="宋体"/>
          <w:color w:val="auto"/>
          <w:szCs w:val="21"/>
          <w:highlight w:val="none"/>
        </w:rPr>
      </w:pPr>
      <w:bookmarkStart w:id="2" w:name="_Hlk37430271"/>
      <w:r>
        <w:rPr>
          <w:rFonts w:hint="eastAsia" w:ascii="宋体" w:hAnsi="宋体" w:cs="宋体"/>
          <w:color w:val="auto"/>
          <w:szCs w:val="21"/>
          <w:highlight w:val="none"/>
        </w:rPr>
        <w:t>项目概况</w:t>
      </w:r>
    </w:p>
    <w:p w14:paraId="325EE17D">
      <w:pPr>
        <w:pBdr>
          <w:top w:val="single" w:color="auto" w:sz="4" w:space="1"/>
          <w:left w:val="single" w:color="auto" w:sz="4" w:space="4"/>
          <w:bottom w:val="single" w:color="auto" w:sz="4" w:space="1"/>
          <w:right w:val="single" w:color="auto" w:sz="4" w:space="4"/>
        </w:pBd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u w:val="single"/>
        </w:rPr>
        <w:t>2026年度中央财政林业草原生态保护恢复资金——广西合浦儒艮国家级自然保护区保护设施设备购置维护、专项监测及宣传教育项目（监测平台维护）</w:t>
      </w:r>
      <w:r>
        <w:rPr>
          <w:rFonts w:hint="eastAsia" w:ascii="宋体" w:hAnsi="宋体" w:cs="宋体"/>
          <w:color w:val="auto"/>
          <w:szCs w:val="21"/>
          <w:highlight w:val="none"/>
        </w:rPr>
        <w:t>项目的潜在供应商应在</w:t>
      </w:r>
      <w:r>
        <w:rPr>
          <w:rFonts w:hint="eastAsia" w:ascii="宋体" w:hAnsi="宋体" w:cs="宋体"/>
          <w:color w:val="auto"/>
          <w:szCs w:val="21"/>
          <w:highlight w:val="none"/>
          <w:u w:val="single"/>
        </w:rPr>
        <w:t>广西政府采购云平台（https://www.gcy.zfcg.gxzf.gov.cn/）</w:t>
      </w:r>
      <w:r>
        <w:rPr>
          <w:rFonts w:hint="eastAsia" w:ascii="宋体" w:hAnsi="宋体" w:cs="宋体"/>
          <w:color w:val="auto"/>
          <w:szCs w:val="21"/>
          <w:highlight w:val="none"/>
        </w:rPr>
        <w:t>获取竞争性磋商文件，并于</w:t>
      </w:r>
      <w:r>
        <w:rPr>
          <w:rFonts w:hint="eastAsia" w:ascii="宋体" w:hAnsi="宋体" w:cs="宋体"/>
          <w:color w:val="auto"/>
          <w:szCs w:val="21"/>
          <w:highlight w:val="none"/>
          <w:u w:val="single"/>
        </w:rPr>
        <w:t>2026年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25</w:t>
      </w:r>
      <w:r>
        <w:rPr>
          <w:rFonts w:hint="eastAsia" w:ascii="宋体" w:hAnsi="宋体" w:cs="宋体"/>
          <w:color w:val="auto"/>
          <w:szCs w:val="21"/>
          <w:highlight w:val="none"/>
          <w:u w:val="single"/>
        </w:rPr>
        <w:t>日</w:t>
      </w:r>
      <w:r>
        <w:rPr>
          <w:rFonts w:hint="eastAsia" w:ascii="宋体" w:hAnsi="宋体" w:cs="宋体"/>
          <w:color w:val="auto"/>
          <w:szCs w:val="21"/>
          <w:highlight w:val="none"/>
          <w:u w:val="single"/>
          <w:lang w:val="en-US" w:eastAsia="zh-CN"/>
        </w:rPr>
        <w:t>14</w:t>
      </w:r>
      <w:r>
        <w:rPr>
          <w:rFonts w:hint="eastAsia" w:ascii="宋体" w:hAnsi="宋体" w:cs="宋体"/>
          <w:color w:val="auto"/>
          <w:szCs w:val="21"/>
          <w:highlight w:val="none"/>
          <w:u w:val="single"/>
        </w:rPr>
        <w:t>时30分</w:t>
      </w:r>
      <w:r>
        <w:rPr>
          <w:rFonts w:hint="eastAsia" w:ascii="宋体" w:hAnsi="宋体" w:cs="宋体"/>
          <w:bCs/>
          <w:color w:val="auto"/>
          <w:szCs w:val="21"/>
          <w:highlight w:val="none"/>
        </w:rPr>
        <w:t>（北京时间）前提交响应文件</w:t>
      </w:r>
      <w:r>
        <w:rPr>
          <w:rFonts w:hint="eastAsia" w:ascii="宋体" w:hAnsi="宋体" w:cs="宋体"/>
          <w:color w:val="auto"/>
          <w:szCs w:val="21"/>
          <w:highlight w:val="none"/>
        </w:rPr>
        <w:t>。</w:t>
      </w:r>
    </w:p>
    <w:p w14:paraId="7B1AD9C4">
      <w:pPr>
        <w:pStyle w:val="3"/>
        <w:spacing w:before="0" w:after="0" w:line="400" w:lineRule="exact"/>
        <w:ind w:firstLine="422" w:firstLineChars="200"/>
        <w:rPr>
          <w:rFonts w:ascii="宋体" w:hAnsi="宋体" w:cs="宋体"/>
          <w:bCs w:val="0"/>
          <w:color w:val="auto"/>
          <w:sz w:val="21"/>
          <w:szCs w:val="21"/>
          <w:highlight w:val="none"/>
        </w:rPr>
      </w:pPr>
      <w:bookmarkStart w:id="3" w:name="_Toc35393629"/>
      <w:bookmarkStart w:id="4" w:name="_Toc21494"/>
      <w:bookmarkStart w:id="5" w:name="_Toc9622"/>
      <w:bookmarkStart w:id="6" w:name="_Toc15451"/>
      <w:bookmarkStart w:id="7" w:name="_Toc28359012"/>
      <w:bookmarkStart w:id="8" w:name="_Toc44229878"/>
      <w:bookmarkStart w:id="9" w:name="_Toc35393798"/>
      <w:bookmarkStart w:id="10" w:name="_Toc110960209"/>
      <w:bookmarkStart w:id="11" w:name="_Toc28359089"/>
      <w:r>
        <w:rPr>
          <w:rFonts w:hint="eastAsia" w:ascii="宋体" w:hAnsi="宋体" w:cs="宋体"/>
          <w:bCs w:val="0"/>
          <w:color w:val="auto"/>
          <w:sz w:val="21"/>
          <w:szCs w:val="21"/>
          <w:highlight w:val="none"/>
        </w:rPr>
        <w:t>一、项目基本情况</w:t>
      </w:r>
      <w:bookmarkEnd w:id="3"/>
      <w:bookmarkEnd w:id="4"/>
      <w:bookmarkEnd w:id="5"/>
      <w:bookmarkEnd w:id="6"/>
      <w:bookmarkEnd w:id="7"/>
      <w:bookmarkEnd w:id="8"/>
      <w:bookmarkEnd w:id="9"/>
      <w:bookmarkEnd w:id="10"/>
      <w:bookmarkEnd w:id="11"/>
    </w:p>
    <w:p w14:paraId="5E15DD80">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项目编号：</w:t>
      </w:r>
      <w:bookmarkStart w:id="12" w:name="OLE_LINK7"/>
      <w:r>
        <w:rPr>
          <w:rFonts w:hint="eastAsia" w:ascii="宋体" w:hAnsi="宋体" w:cs="宋体"/>
          <w:color w:val="auto"/>
          <w:szCs w:val="21"/>
          <w:highlight w:val="none"/>
          <w:lang w:eastAsia="zh-CN"/>
        </w:rPr>
        <w:t>GXZC2026-C3-002631-GCZX</w:t>
      </w:r>
      <w:r>
        <w:rPr>
          <w:rFonts w:hint="eastAsia" w:ascii="宋体" w:hAnsi="宋体" w:cs="宋体"/>
          <w:color w:val="auto"/>
          <w:szCs w:val="21"/>
          <w:highlight w:val="none"/>
        </w:rPr>
        <w:t xml:space="preserve"> </w:t>
      </w:r>
    </w:p>
    <w:bookmarkEnd w:id="12"/>
    <w:p w14:paraId="3FD396B7">
      <w:pPr>
        <w:spacing w:line="40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项目名称：2026年度中央财政林业草原生态保护恢复资金——广西合浦儒艮国家级自然保护区保护设施设备购置维护、专项监测及宣传教育项目（监测平台维护）</w:t>
      </w:r>
    </w:p>
    <w:p w14:paraId="272244D1">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采购方式：竞争性磋商</w:t>
      </w:r>
    </w:p>
    <w:p w14:paraId="2DDD855B">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预算金额</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元</w:t>
      </w:r>
      <w:r>
        <w:rPr>
          <w:rFonts w:hint="eastAsia" w:ascii="宋体" w:hAnsi="宋体" w:cs="宋体"/>
          <w:color w:val="auto"/>
          <w:szCs w:val="21"/>
          <w:highlight w:val="none"/>
          <w:lang w:eastAsia="zh-CN"/>
        </w:rPr>
        <w:t>）</w:t>
      </w:r>
      <w:r>
        <w:rPr>
          <w:rFonts w:hint="eastAsia" w:ascii="宋体" w:hAnsi="宋体" w:cs="宋体"/>
          <w:color w:val="auto"/>
          <w:szCs w:val="21"/>
          <w:highlight w:val="none"/>
        </w:rPr>
        <w:t>：1682200.00</w:t>
      </w:r>
    </w:p>
    <w:p w14:paraId="41F4E5EF">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采购需求：</w:t>
      </w:r>
    </w:p>
    <w:p w14:paraId="314C741E">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标项名称: 2026年度中央财政林业草原生态保护恢复资金——广西合浦儒艮国家级自然保护区保护设施设备购置维护、专项监测及宣传教育项目（监测平台维护）</w:t>
      </w:r>
    </w:p>
    <w:p w14:paraId="005DC3FD">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数量: 1项</w:t>
      </w:r>
    </w:p>
    <w:p w14:paraId="12E86307">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简要规格描述或项目基本概况介绍、用途：采购监测管理平台服务（主要包括数据传输网络升级、站址资源服务及监测管理大数据平台）1项；具体详见采购文件第三章采购需求。</w:t>
      </w:r>
    </w:p>
    <w:p w14:paraId="2344579F">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最高限价</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元</w:t>
      </w:r>
      <w:r>
        <w:rPr>
          <w:rFonts w:hint="eastAsia" w:ascii="宋体" w:hAnsi="宋体" w:cs="宋体"/>
          <w:color w:val="auto"/>
          <w:szCs w:val="21"/>
          <w:highlight w:val="none"/>
          <w:lang w:eastAsia="zh-CN"/>
        </w:rPr>
        <w:t>）</w:t>
      </w:r>
      <w:r>
        <w:rPr>
          <w:rFonts w:hint="eastAsia" w:ascii="宋体" w:hAnsi="宋体" w:cs="宋体"/>
          <w:color w:val="auto"/>
          <w:szCs w:val="21"/>
          <w:highlight w:val="none"/>
        </w:rPr>
        <w:t>（如有）：1682200.00</w:t>
      </w:r>
    </w:p>
    <w:p w14:paraId="1E1CFD37">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合同履约期限：自合同签订之日起60个工作日内完成建设并通过验收</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自验收合格之日起提供</w:t>
      </w:r>
      <w:r>
        <w:rPr>
          <w:rFonts w:hint="eastAsia" w:ascii="宋体" w:hAnsi="宋体" w:cs="宋体"/>
          <w:color w:val="auto"/>
          <w:szCs w:val="21"/>
          <w:highlight w:val="none"/>
          <w:lang w:eastAsia="zh-CN"/>
        </w:rPr>
        <w:t>1年的整体运营和维护</w:t>
      </w:r>
      <w:r>
        <w:rPr>
          <w:rFonts w:hint="eastAsia" w:ascii="宋体" w:hAnsi="宋体" w:cs="宋体"/>
          <w:color w:val="auto"/>
          <w:szCs w:val="21"/>
          <w:highlight w:val="none"/>
          <w:lang w:val="en-US" w:eastAsia="zh-CN"/>
        </w:rPr>
        <w:t>服务</w:t>
      </w:r>
      <w:r>
        <w:rPr>
          <w:rFonts w:hint="eastAsia" w:ascii="宋体" w:hAnsi="宋体" w:cs="宋体"/>
          <w:color w:val="auto"/>
          <w:szCs w:val="21"/>
          <w:highlight w:val="none"/>
        </w:rPr>
        <w:t>。</w:t>
      </w:r>
    </w:p>
    <w:p w14:paraId="6DDF254E">
      <w:pPr>
        <w:spacing w:line="400" w:lineRule="exact"/>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本标项（否）接受联合体投标</w:t>
      </w:r>
      <w:r>
        <w:rPr>
          <w:rFonts w:hint="eastAsia" w:ascii="宋体" w:hAnsi="宋体" w:cs="宋体"/>
          <w:color w:val="auto"/>
          <w:szCs w:val="21"/>
          <w:highlight w:val="none"/>
          <w:lang w:val="en-US" w:eastAsia="zh-CN"/>
        </w:rPr>
        <w:t xml:space="preserve">    </w:t>
      </w:r>
    </w:p>
    <w:p w14:paraId="19B79FB8">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备注：/ </w:t>
      </w:r>
    </w:p>
    <w:p w14:paraId="0EA8E721">
      <w:pPr>
        <w:pStyle w:val="3"/>
        <w:spacing w:before="0" w:after="0" w:line="400" w:lineRule="exact"/>
        <w:ind w:firstLine="422" w:firstLineChars="200"/>
        <w:rPr>
          <w:rFonts w:ascii="宋体" w:hAnsi="宋体" w:cs="宋体"/>
          <w:bCs w:val="0"/>
          <w:color w:val="auto"/>
          <w:sz w:val="21"/>
          <w:szCs w:val="21"/>
          <w:highlight w:val="none"/>
        </w:rPr>
      </w:pPr>
      <w:bookmarkStart w:id="13" w:name="_Toc28359090"/>
      <w:bookmarkStart w:id="14" w:name="_Toc44229879"/>
      <w:bookmarkStart w:id="15" w:name="_Toc35393799"/>
      <w:bookmarkStart w:id="16" w:name="_Toc28359013"/>
      <w:bookmarkStart w:id="17" w:name="_Toc35393630"/>
      <w:bookmarkStart w:id="18" w:name="_Toc110960210"/>
      <w:bookmarkStart w:id="19" w:name="_Toc17281"/>
      <w:bookmarkStart w:id="20" w:name="_Toc24493"/>
      <w:bookmarkStart w:id="21" w:name="_Toc4731"/>
      <w:r>
        <w:rPr>
          <w:rFonts w:hint="eastAsia" w:ascii="宋体" w:hAnsi="宋体" w:cs="宋体"/>
          <w:bCs w:val="0"/>
          <w:color w:val="auto"/>
          <w:sz w:val="21"/>
          <w:szCs w:val="21"/>
          <w:highlight w:val="none"/>
        </w:rPr>
        <w:t>二、</w:t>
      </w:r>
      <w:bookmarkEnd w:id="13"/>
      <w:bookmarkEnd w:id="14"/>
      <w:bookmarkEnd w:id="15"/>
      <w:bookmarkEnd w:id="16"/>
      <w:bookmarkEnd w:id="17"/>
      <w:r>
        <w:rPr>
          <w:rFonts w:hint="eastAsia" w:ascii="宋体" w:hAnsi="宋体" w:cs="宋体"/>
          <w:bCs w:val="0"/>
          <w:color w:val="auto"/>
          <w:sz w:val="21"/>
          <w:szCs w:val="21"/>
          <w:highlight w:val="none"/>
        </w:rPr>
        <w:t>申请人的资格要求</w:t>
      </w:r>
      <w:bookmarkEnd w:id="18"/>
      <w:bookmarkEnd w:id="19"/>
      <w:bookmarkEnd w:id="20"/>
      <w:bookmarkEnd w:id="21"/>
    </w:p>
    <w:p w14:paraId="7CCC6D86">
      <w:pPr>
        <w:spacing w:line="400" w:lineRule="exact"/>
        <w:ind w:firstLine="420" w:firstLineChars="200"/>
        <w:rPr>
          <w:rFonts w:ascii="宋体" w:hAnsi="宋体" w:cs="宋体"/>
          <w:color w:val="auto"/>
          <w:szCs w:val="21"/>
          <w:highlight w:val="none"/>
        </w:rPr>
      </w:pPr>
      <w:bookmarkStart w:id="22" w:name="_Toc28359091"/>
      <w:bookmarkStart w:id="23" w:name="_Toc44229880"/>
      <w:bookmarkStart w:id="24" w:name="_Toc35393631"/>
      <w:bookmarkStart w:id="25" w:name="_Toc28359014"/>
      <w:bookmarkStart w:id="26" w:name="_Toc35393800"/>
      <w:r>
        <w:rPr>
          <w:rFonts w:hint="eastAsia" w:ascii="宋体" w:hAnsi="宋体" w:cs="宋体"/>
          <w:color w:val="auto"/>
          <w:szCs w:val="21"/>
          <w:highlight w:val="none"/>
        </w:rPr>
        <w:t>1.满足《中华人民共和国政府采购法》第二十二条规定；</w:t>
      </w:r>
    </w:p>
    <w:p w14:paraId="3C4EBF86">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2.落实政府采购政策需满足的资格要求：本项目为非专门面向中小企业采购的项目。 </w:t>
      </w:r>
    </w:p>
    <w:p w14:paraId="419C8A67">
      <w:pPr>
        <w:spacing w:line="40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3.本项目的特定资格要求：</w:t>
      </w:r>
    </w:p>
    <w:p w14:paraId="177709BF">
      <w:pPr>
        <w:spacing w:line="400" w:lineRule="exact"/>
        <w:ind w:firstLine="420" w:firstLineChars="200"/>
        <w:rPr>
          <w:rFonts w:ascii="宋体" w:hAnsi="宋体" w:cs="宋体"/>
          <w:i/>
          <w:iCs/>
          <w:color w:val="auto"/>
          <w:szCs w:val="21"/>
          <w:highlight w:val="none"/>
          <w:u w:val="single"/>
        </w:rPr>
      </w:pPr>
      <w:r>
        <w:rPr>
          <w:rFonts w:hint="eastAsia" w:ascii="宋体" w:hAnsi="宋体" w:cs="宋体"/>
          <w:color w:val="auto"/>
          <w:szCs w:val="21"/>
          <w:highlight w:val="none"/>
        </w:rPr>
        <w:t>（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40BCD61">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（2）根据财政部《关于在政府采购活动中查询及使用信用记录有关问题的通知》（财库〔2016〕125号）的规定，对在“信用中国”网站(www.creditchina.gov.cn)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5CDFE76E">
      <w:pPr>
        <w:pStyle w:val="3"/>
        <w:spacing w:before="0" w:after="0" w:line="400" w:lineRule="exact"/>
        <w:ind w:firstLine="422" w:firstLineChars="200"/>
        <w:rPr>
          <w:rFonts w:ascii="宋体" w:hAnsi="宋体" w:cs="宋体"/>
          <w:bCs w:val="0"/>
          <w:color w:val="auto"/>
          <w:sz w:val="21"/>
          <w:szCs w:val="21"/>
          <w:highlight w:val="none"/>
        </w:rPr>
      </w:pPr>
      <w:bookmarkStart w:id="27" w:name="_Toc110960211"/>
      <w:bookmarkStart w:id="28" w:name="_Toc27111"/>
      <w:bookmarkStart w:id="29" w:name="_Toc7840"/>
      <w:bookmarkStart w:id="30" w:name="_Toc16032"/>
      <w:r>
        <w:rPr>
          <w:rFonts w:hint="eastAsia" w:ascii="宋体" w:hAnsi="宋体" w:cs="宋体"/>
          <w:bCs w:val="0"/>
          <w:color w:val="auto"/>
          <w:sz w:val="21"/>
          <w:szCs w:val="21"/>
          <w:highlight w:val="none"/>
        </w:rPr>
        <w:t>三、获取采购文件</w:t>
      </w:r>
      <w:bookmarkEnd w:id="22"/>
      <w:bookmarkEnd w:id="23"/>
      <w:bookmarkEnd w:id="24"/>
      <w:bookmarkEnd w:id="25"/>
      <w:bookmarkEnd w:id="26"/>
      <w:bookmarkEnd w:id="27"/>
      <w:bookmarkEnd w:id="28"/>
      <w:bookmarkEnd w:id="29"/>
      <w:bookmarkEnd w:id="30"/>
    </w:p>
    <w:p w14:paraId="02EC31B2">
      <w:pPr>
        <w:spacing w:line="400" w:lineRule="exact"/>
        <w:ind w:firstLine="540"/>
        <w:rPr>
          <w:rFonts w:ascii="宋体" w:hAnsi="宋体" w:cs="宋体"/>
          <w:bCs/>
          <w:color w:val="auto"/>
          <w:kern w:val="0"/>
          <w:szCs w:val="21"/>
          <w:highlight w:val="none"/>
        </w:rPr>
      </w:pPr>
      <w:r>
        <w:rPr>
          <w:rFonts w:hint="eastAsia" w:ascii="宋体" w:hAnsi="宋体" w:cs="宋体"/>
          <w:bCs/>
          <w:color w:val="auto"/>
          <w:kern w:val="0"/>
          <w:szCs w:val="21"/>
          <w:highlight w:val="none"/>
        </w:rPr>
        <w:t>时间：2026年</w:t>
      </w:r>
      <w:r>
        <w:rPr>
          <w:rFonts w:hint="eastAsia" w:ascii="宋体" w:hAnsi="宋体" w:cs="宋体"/>
          <w:bCs/>
          <w:color w:val="auto"/>
          <w:kern w:val="0"/>
          <w:szCs w:val="21"/>
          <w:highlight w:val="none"/>
          <w:lang w:val="en-US" w:eastAsia="zh-CN"/>
        </w:rPr>
        <w:t>8</w:t>
      </w:r>
      <w:r>
        <w:rPr>
          <w:rFonts w:hint="eastAsia" w:ascii="宋体" w:hAnsi="宋体" w:cs="宋体"/>
          <w:bCs/>
          <w:color w:val="auto"/>
          <w:kern w:val="0"/>
          <w:szCs w:val="21"/>
          <w:highlight w:val="none"/>
        </w:rPr>
        <w:t>月</w:t>
      </w:r>
      <w:r>
        <w:rPr>
          <w:rFonts w:hint="eastAsia" w:ascii="宋体" w:hAnsi="宋体" w:cs="宋体"/>
          <w:bCs/>
          <w:color w:val="auto"/>
          <w:kern w:val="0"/>
          <w:szCs w:val="21"/>
          <w:highlight w:val="none"/>
          <w:lang w:val="en-US" w:eastAsia="zh-CN"/>
        </w:rPr>
        <w:t>12</w:t>
      </w:r>
      <w:r>
        <w:rPr>
          <w:rFonts w:hint="eastAsia" w:ascii="宋体" w:hAnsi="宋体" w:cs="宋体"/>
          <w:bCs/>
          <w:color w:val="auto"/>
          <w:kern w:val="0"/>
          <w:szCs w:val="21"/>
          <w:highlight w:val="none"/>
        </w:rPr>
        <w:t>日至2026年</w:t>
      </w:r>
      <w:r>
        <w:rPr>
          <w:rFonts w:hint="eastAsia" w:ascii="宋体" w:hAnsi="宋体" w:cs="宋体"/>
          <w:bCs/>
          <w:color w:val="auto"/>
          <w:kern w:val="0"/>
          <w:szCs w:val="21"/>
          <w:highlight w:val="none"/>
          <w:lang w:val="en-US" w:eastAsia="zh-CN"/>
        </w:rPr>
        <w:t>8</w:t>
      </w:r>
      <w:r>
        <w:rPr>
          <w:rFonts w:hint="eastAsia" w:ascii="宋体" w:hAnsi="宋体" w:cs="宋体"/>
          <w:bCs/>
          <w:color w:val="auto"/>
          <w:kern w:val="0"/>
          <w:szCs w:val="21"/>
          <w:highlight w:val="none"/>
        </w:rPr>
        <w:t>月</w:t>
      </w:r>
      <w:r>
        <w:rPr>
          <w:rFonts w:hint="eastAsia" w:ascii="宋体" w:hAnsi="宋体" w:cs="宋体"/>
          <w:bCs/>
          <w:color w:val="auto"/>
          <w:kern w:val="0"/>
          <w:szCs w:val="21"/>
          <w:highlight w:val="none"/>
          <w:lang w:val="en-US" w:eastAsia="zh-CN"/>
        </w:rPr>
        <w:t>19</w:t>
      </w:r>
      <w:r>
        <w:rPr>
          <w:rFonts w:hint="eastAsia" w:ascii="宋体" w:hAnsi="宋体" w:cs="宋体"/>
          <w:bCs/>
          <w:color w:val="auto"/>
          <w:kern w:val="0"/>
          <w:szCs w:val="21"/>
          <w:highlight w:val="none"/>
        </w:rPr>
        <w:t>日，每天0:00至11:59，12:00至23:59（北京时间，法定节假日除外）</w:t>
      </w:r>
    </w:p>
    <w:p w14:paraId="25E8AF15">
      <w:pPr>
        <w:spacing w:line="400" w:lineRule="exact"/>
        <w:ind w:firstLine="567"/>
        <w:rPr>
          <w:rFonts w:ascii="宋体" w:hAnsi="宋体" w:cs="宋体"/>
          <w:bCs/>
          <w:color w:val="auto"/>
          <w:kern w:val="0"/>
          <w:szCs w:val="21"/>
          <w:highlight w:val="none"/>
        </w:rPr>
      </w:pPr>
      <w:r>
        <w:rPr>
          <w:rFonts w:hint="eastAsia" w:ascii="宋体" w:hAnsi="宋体" w:cs="宋体"/>
          <w:bCs/>
          <w:color w:val="auto"/>
          <w:kern w:val="0"/>
          <w:szCs w:val="21"/>
          <w:highlight w:val="none"/>
        </w:rPr>
        <w:t>地点（网址）：广西政府采购云平台（https://www.gcy.zfcg.gxzf.gov.cn/）</w:t>
      </w:r>
    </w:p>
    <w:p w14:paraId="68D2A5F7">
      <w:pPr>
        <w:spacing w:line="400" w:lineRule="exact"/>
        <w:ind w:firstLine="540"/>
        <w:rPr>
          <w:rFonts w:ascii="宋体" w:hAnsi="宋体" w:cs="宋体"/>
          <w:bCs/>
          <w:color w:val="auto"/>
          <w:kern w:val="0"/>
          <w:szCs w:val="21"/>
          <w:highlight w:val="none"/>
        </w:rPr>
      </w:pPr>
      <w:r>
        <w:rPr>
          <w:rFonts w:hint="eastAsia" w:ascii="宋体" w:hAnsi="宋体" w:cs="宋体"/>
          <w:bCs/>
          <w:color w:val="auto"/>
          <w:kern w:val="0"/>
          <w:szCs w:val="21"/>
          <w:highlight w:val="none"/>
        </w:rPr>
        <w:t>方式：网上下载。本项目不提供纸质文件，潜在供应商可自行在广西政府采购云平台（https://www.gcy.zfcg.gxzf.gov.cn/）下载竞争性磋商文件（操作路径：登录广西政府采购云平台-项目采购-获取采购文件-找到本项目-点击“申请获取采购文件”）。电子响应文件制作需要基于广西政府采购云平台获取的竞争性磋商文件编制，通过其他方式获取采购文件的，将有可能导致供应商无法在广西政府采购云平台编制及上传响应文件。</w:t>
      </w:r>
    </w:p>
    <w:p w14:paraId="210FCB72">
      <w:pPr>
        <w:spacing w:line="400" w:lineRule="exact"/>
        <w:ind w:firstLine="630" w:firstLineChars="300"/>
        <w:rPr>
          <w:rFonts w:ascii="宋体" w:hAnsi="宋体" w:cs="宋体"/>
          <w:color w:val="auto"/>
          <w:szCs w:val="21"/>
          <w:highlight w:val="none"/>
        </w:rPr>
      </w:pPr>
      <w:r>
        <w:rPr>
          <w:rFonts w:hint="eastAsia" w:ascii="宋体" w:hAnsi="宋体" w:cs="宋体"/>
          <w:bCs/>
          <w:color w:val="auto"/>
          <w:kern w:val="0"/>
          <w:szCs w:val="21"/>
          <w:highlight w:val="none"/>
        </w:rPr>
        <w:t>售价：0元</w:t>
      </w:r>
    </w:p>
    <w:p w14:paraId="27201F10">
      <w:pPr>
        <w:pStyle w:val="3"/>
        <w:spacing w:before="0" w:after="0" w:line="400" w:lineRule="exact"/>
        <w:ind w:firstLine="422" w:firstLineChars="200"/>
        <w:rPr>
          <w:rFonts w:ascii="宋体" w:hAnsi="宋体" w:cs="宋体"/>
          <w:bCs w:val="0"/>
          <w:color w:val="auto"/>
          <w:sz w:val="21"/>
          <w:szCs w:val="21"/>
          <w:highlight w:val="none"/>
        </w:rPr>
      </w:pPr>
      <w:bookmarkStart w:id="31" w:name="_Toc35393801"/>
      <w:bookmarkStart w:id="32" w:name="_Toc28359092"/>
      <w:bookmarkStart w:id="33" w:name="_Toc35393632"/>
      <w:bookmarkStart w:id="34" w:name="_Toc16911"/>
      <w:bookmarkStart w:id="35" w:name="_Toc110960212"/>
      <w:bookmarkStart w:id="36" w:name="_Toc28359015"/>
      <w:bookmarkStart w:id="37" w:name="_Toc29586"/>
      <w:bookmarkStart w:id="38" w:name="_Toc25743"/>
      <w:bookmarkStart w:id="39" w:name="_Toc44229881"/>
      <w:r>
        <w:rPr>
          <w:rFonts w:hint="eastAsia" w:ascii="宋体" w:hAnsi="宋体" w:cs="宋体"/>
          <w:bCs w:val="0"/>
          <w:color w:val="auto"/>
          <w:sz w:val="21"/>
          <w:szCs w:val="21"/>
          <w:highlight w:val="none"/>
        </w:rPr>
        <w:t>四、响应文件提交</w:t>
      </w:r>
      <w:bookmarkEnd w:id="31"/>
      <w:bookmarkEnd w:id="32"/>
      <w:bookmarkEnd w:id="33"/>
      <w:bookmarkEnd w:id="34"/>
      <w:bookmarkEnd w:id="35"/>
      <w:bookmarkEnd w:id="36"/>
      <w:bookmarkEnd w:id="37"/>
      <w:bookmarkEnd w:id="38"/>
      <w:bookmarkEnd w:id="39"/>
    </w:p>
    <w:p w14:paraId="35AB43DD">
      <w:pPr>
        <w:spacing w:line="400" w:lineRule="exact"/>
        <w:ind w:firstLine="420" w:firstLineChars="200"/>
        <w:rPr>
          <w:rFonts w:ascii="宋体" w:hAnsi="宋体" w:cs="宋体"/>
          <w:bCs/>
          <w:color w:val="auto"/>
          <w:szCs w:val="21"/>
          <w:highlight w:val="none"/>
        </w:rPr>
      </w:pPr>
      <w:r>
        <w:rPr>
          <w:rFonts w:hint="eastAsia" w:ascii="宋体" w:hAnsi="宋体" w:cs="宋体"/>
          <w:color w:val="auto"/>
          <w:szCs w:val="21"/>
          <w:highlight w:val="none"/>
        </w:rPr>
        <w:t>截止时间：</w:t>
      </w:r>
      <w:r>
        <w:rPr>
          <w:rFonts w:hint="eastAsia" w:ascii="宋体" w:hAnsi="宋体" w:cs="宋体"/>
          <w:color w:val="auto"/>
          <w:szCs w:val="21"/>
          <w:highlight w:val="none"/>
          <w:u w:val="single"/>
        </w:rPr>
        <w:t>2026年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25</w:t>
      </w:r>
      <w:r>
        <w:rPr>
          <w:rFonts w:hint="eastAsia" w:ascii="宋体" w:hAnsi="宋体" w:cs="宋体"/>
          <w:color w:val="auto"/>
          <w:szCs w:val="21"/>
          <w:highlight w:val="none"/>
          <w:u w:val="single"/>
        </w:rPr>
        <w:t>日</w:t>
      </w:r>
      <w:r>
        <w:rPr>
          <w:rFonts w:hint="eastAsia" w:ascii="宋体" w:hAnsi="宋体" w:cs="宋体"/>
          <w:color w:val="auto"/>
          <w:szCs w:val="21"/>
          <w:highlight w:val="none"/>
          <w:u w:val="single"/>
          <w:lang w:val="en-US" w:eastAsia="zh-CN"/>
        </w:rPr>
        <w:t>14</w:t>
      </w:r>
      <w:r>
        <w:rPr>
          <w:rFonts w:hint="eastAsia" w:ascii="宋体" w:hAnsi="宋体" w:cs="宋体"/>
          <w:color w:val="auto"/>
          <w:szCs w:val="21"/>
          <w:highlight w:val="none"/>
          <w:u w:val="single"/>
        </w:rPr>
        <w:t>时30分</w:t>
      </w:r>
      <w:r>
        <w:rPr>
          <w:rFonts w:hint="eastAsia" w:ascii="宋体" w:hAnsi="宋体" w:cs="宋体"/>
          <w:bCs/>
          <w:color w:val="auto"/>
          <w:szCs w:val="21"/>
          <w:highlight w:val="none"/>
        </w:rPr>
        <w:t>（北京时间）</w:t>
      </w:r>
    </w:p>
    <w:p w14:paraId="490D16EC">
      <w:pPr>
        <w:spacing w:line="400" w:lineRule="exact"/>
        <w:ind w:firstLine="420" w:firstLineChars="200"/>
        <w:rPr>
          <w:rFonts w:ascii="宋体" w:hAnsi="宋体" w:cs="宋体"/>
          <w:color w:val="auto"/>
          <w:szCs w:val="21"/>
          <w:highlight w:val="none"/>
        </w:rPr>
      </w:pPr>
      <w:bookmarkStart w:id="40" w:name="_Toc28359016"/>
      <w:bookmarkStart w:id="41" w:name="_Toc35393633"/>
      <w:bookmarkStart w:id="42" w:name="_Toc35393802"/>
      <w:bookmarkStart w:id="43" w:name="_Toc28359093"/>
      <w:bookmarkStart w:id="44" w:name="_Toc44229882"/>
      <w:r>
        <w:rPr>
          <w:rFonts w:hint="eastAsia" w:ascii="宋体" w:hAnsi="宋体" w:cs="宋体"/>
          <w:color w:val="auto"/>
          <w:szCs w:val="21"/>
          <w:highlight w:val="none"/>
        </w:rPr>
        <w:t>地点（网址）：本项目为全流程电子化政府采购项目，没有现场递交响应文件及现场开标环节，通过广西政府采购云平台（https://www.gcy.zfcg.gxzf.gov.cn/）实行在线电子投标，供应商应先安装广西政府采购云平台电子交易客户端（新版客户端下载路径：广西政府采购网（访问地址http://zfcg.gxzf.gov.cn/）—办事服务—下载专区），并按照本项目竞争性磋商文件和广西政府采购云平台的要求编制、加密后在响应文件提交截止时间前通过网络上传至广西政府采购云平台，供应商在广西政府采购云平台提交电子版响应文件时，请填写参加远程开标活动经办人联系方式。</w:t>
      </w:r>
    </w:p>
    <w:p w14:paraId="25801246">
      <w:pPr>
        <w:pStyle w:val="3"/>
        <w:spacing w:before="0" w:after="0" w:line="400" w:lineRule="exact"/>
        <w:ind w:firstLine="422" w:firstLineChars="200"/>
        <w:rPr>
          <w:rFonts w:ascii="宋体" w:hAnsi="宋体" w:cs="宋体"/>
          <w:bCs w:val="0"/>
          <w:color w:val="auto"/>
          <w:sz w:val="21"/>
          <w:szCs w:val="21"/>
          <w:highlight w:val="none"/>
        </w:rPr>
      </w:pPr>
      <w:bookmarkStart w:id="45" w:name="_Toc110960213"/>
      <w:bookmarkStart w:id="46" w:name="_Toc11035"/>
      <w:bookmarkStart w:id="47" w:name="_Toc3113"/>
      <w:bookmarkStart w:id="48" w:name="_Toc26075"/>
      <w:r>
        <w:rPr>
          <w:rFonts w:hint="eastAsia" w:ascii="宋体" w:hAnsi="宋体" w:cs="宋体"/>
          <w:bCs w:val="0"/>
          <w:color w:val="auto"/>
          <w:sz w:val="21"/>
          <w:szCs w:val="21"/>
          <w:highlight w:val="none"/>
        </w:rPr>
        <w:t>五、</w:t>
      </w:r>
      <w:bookmarkEnd w:id="40"/>
      <w:bookmarkEnd w:id="41"/>
      <w:bookmarkEnd w:id="42"/>
      <w:bookmarkEnd w:id="43"/>
      <w:bookmarkEnd w:id="44"/>
      <w:bookmarkEnd w:id="45"/>
      <w:bookmarkEnd w:id="46"/>
      <w:bookmarkEnd w:id="47"/>
      <w:r>
        <w:rPr>
          <w:rFonts w:hint="eastAsia" w:ascii="宋体" w:hAnsi="宋体" w:cs="宋体"/>
          <w:bCs w:val="0"/>
          <w:color w:val="auto"/>
          <w:sz w:val="21"/>
          <w:szCs w:val="21"/>
          <w:highlight w:val="none"/>
        </w:rPr>
        <w:t>响应文件开启</w:t>
      </w:r>
      <w:bookmarkEnd w:id="48"/>
    </w:p>
    <w:p w14:paraId="17A137CE">
      <w:pPr>
        <w:spacing w:line="400" w:lineRule="exact"/>
        <w:ind w:firstLine="420" w:firstLineChars="200"/>
        <w:rPr>
          <w:rFonts w:ascii="宋体" w:hAnsi="宋体" w:cs="宋体"/>
          <w:bCs/>
          <w:color w:val="auto"/>
          <w:szCs w:val="21"/>
          <w:highlight w:val="none"/>
          <w:u w:val="single"/>
        </w:rPr>
      </w:pPr>
      <w:r>
        <w:rPr>
          <w:rFonts w:hint="eastAsia" w:ascii="宋体" w:hAnsi="宋体" w:cs="宋体"/>
          <w:color w:val="auto"/>
          <w:szCs w:val="21"/>
          <w:highlight w:val="none"/>
        </w:rPr>
        <w:t>开启时间：</w:t>
      </w:r>
      <w:r>
        <w:rPr>
          <w:rFonts w:hint="eastAsia" w:ascii="宋体" w:hAnsi="宋体" w:cs="宋体"/>
          <w:color w:val="auto"/>
          <w:szCs w:val="21"/>
          <w:highlight w:val="none"/>
          <w:u w:val="single"/>
        </w:rPr>
        <w:t>2026年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25</w:t>
      </w:r>
      <w:r>
        <w:rPr>
          <w:rFonts w:hint="eastAsia" w:ascii="宋体" w:hAnsi="宋体" w:cs="宋体"/>
          <w:color w:val="auto"/>
          <w:szCs w:val="21"/>
          <w:highlight w:val="none"/>
          <w:u w:val="single"/>
        </w:rPr>
        <w:t>日</w:t>
      </w:r>
      <w:r>
        <w:rPr>
          <w:rFonts w:hint="eastAsia" w:ascii="宋体" w:hAnsi="宋体" w:cs="宋体"/>
          <w:color w:val="auto"/>
          <w:szCs w:val="21"/>
          <w:highlight w:val="none"/>
          <w:u w:val="single"/>
          <w:lang w:val="en-US" w:eastAsia="zh-CN"/>
        </w:rPr>
        <w:t>14</w:t>
      </w:r>
      <w:r>
        <w:rPr>
          <w:rFonts w:hint="eastAsia" w:ascii="宋体" w:hAnsi="宋体" w:cs="宋体"/>
          <w:color w:val="auto"/>
          <w:szCs w:val="21"/>
          <w:highlight w:val="none"/>
          <w:u w:val="single"/>
        </w:rPr>
        <w:t>时30分</w:t>
      </w:r>
      <w:r>
        <w:rPr>
          <w:rFonts w:hint="eastAsia" w:ascii="宋体" w:hAnsi="宋体" w:cs="宋体"/>
          <w:bCs/>
          <w:color w:val="auto"/>
          <w:szCs w:val="21"/>
          <w:highlight w:val="none"/>
        </w:rPr>
        <w:t>（北京时间）</w:t>
      </w:r>
    </w:p>
    <w:p w14:paraId="742D4F65">
      <w:pPr>
        <w:spacing w:line="400" w:lineRule="exact"/>
        <w:ind w:firstLine="420" w:firstLineChars="200"/>
        <w:rPr>
          <w:rFonts w:ascii="宋体" w:hAnsi="宋体" w:cs="宋体"/>
          <w:bCs/>
          <w:color w:val="auto"/>
          <w:szCs w:val="21"/>
          <w:highlight w:val="none"/>
        </w:rPr>
      </w:pPr>
      <w:r>
        <w:rPr>
          <w:rFonts w:hint="eastAsia" w:ascii="宋体" w:hAnsi="宋体" w:cs="宋体"/>
          <w:color w:val="auto"/>
          <w:szCs w:val="21"/>
          <w:highlight w:val="none"/>
        </w:rPr>
        <w:t>地点：本项目将在广西政府采购云平台电子开标大厅解密、开标。</w:t>
      </w:r>
    </w:p>
    <w:p w14:paraId="6BD70CB5">
      <w:pPr>
        <w:pStyle w:val="3"/>
        <w:spacing w:before="0" w:after="0" w:line="400" w:lineRule="exact"/>
        <w:ind w:firstLine="422" w:firstLineChars="200"/>
        <w:rPr>
          <w:rFonts w:ascii="宋体" w:hAnsi="宋体" w:cs="宋体"/>
          <w:bCs w:val="0"/>
          <w:color w:val="auto"/>
          <w:sz w:val="21"/>
          <w:szCs w:val="21"/>
          <w:highlight w:val="none"/>
        </w:rPr>
      </w:pPr>
      <w:bookmarkStart w:id="49" w:name="_Toc27747"/>
      <w:bookmarkStart w:id="50" w:name="_Toc28359094"/>
      <w:bookmarkStart w:id="51" w:name="_Toc35393634"/>
      <w:bookmarkStart w:id="52" w:name="_Toc24353"/>
      <w:bookmarkStart w:id="53" w:name="_Toc35393803"/>
      <w:bookmarkStart w:id="54" w:name="_Toc110960214"/>
      <w:bookmarkStart w:id="55" w:name="_Toc44229883"/>
      <w:bookmarkStart w:id="56" w:name="_Toc23819"/>
      <w:bookmarkStart w:id="57" w:name="_Toc28359017"/>
      <w:r>
        <w:rPr>
          <w:rFonts w:hint="eastAsia" w:ascii="宋体" w:hAnsi="宋体" w:cs="宋体"/>
          <w:bCs w:val="0"/>
          <w:color w:val="auto"/>
          <w:sz w:val="21"/>
          <w:szCs w:val="21"/>
          <w:highlight w:val="none"/>
        </w:rPr>
        <w:t>六、公告期限</w:t>
      </w:r>
      <w:bookmarkEnd w:id="49"/>
      <w:bookmarkEnd w:id="50"/>
      <w:bookmarkEnd w:id="51"/>
      <w:bookmarkEnd w:id="52"/>
      <w:bookmarkEnd w:id="53"/>
      <w:bookmarkEnd w:id="54"/>
      <w:bookmarkEnd w:id="55"/>
      <w:bookmarkEnd w:id="56"/>
      <w:bookmarkEnd w:id="57"/>
    </w:p>
    <w:p w14:paraId="257F1791">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14:paraId="4CC2B5F7">
      <w:pPr>
        <w:pStyle w:val="3"/>
        <w:spacing w:before="0" w:after="0" w:line="400" w:lineRule="exact"/>
        <w:ind w:firstLine="422" w:firstLineChars="200"/>
        <w:rPr>
          <w:rFonts w:ascii="宋体" w:hAnsi="宋体" w:cs="宋体"/>
          <w:bCs w:val="0"/>
          <w:color w:val="auto"/>
          <w:sz w:val="21"/>
          <w:szCs w:val="21"/>
          <w:highlight w:val="none"/>
        </w:rPr>
      </w:pPr>
      <w:bookmarkStart w:id="58" w:name="_Toc110960215"/>
      <w:bookmarkStart w:id="59" w:name="_Toc44229884"/>
      <w:bookmarkStart w:id="60" w:name="_Toc22653"/>
      <w:bookmarkStart w:id="61" w:name="_Toc28662"/>
      <w:bookmarkStart w:id="62" w:name="_Toc35393804"/>
      <w:bookmarkStart w:id="63" w:name="_Toc10271"/>
      <w:bookmarkStart w:id="64" w:name="_Toc35393635"/>
      <w:r>
        <w:rPr>
          <w:rFonts w:hint="eastAsia" w:ascii="宋体" w:hAnsi="宋体" w:cs="宋体"/>
          <w:bCs w:val="0"/>
          <w:color w:val="auto"/>
          <w:sz w:val="21"/>
          <w:szCs w:val="21"/>
          <w:highlight w:val="none"/>
        </w:rPr>
        <w:t>七、其他补充事宜</w:t>
      </w:r>
      <w:bookmarkEnd w:id="58"/>
      <w:bookmarkEnd w:id="59"/>
      <w:bookmarkEnd w:id="60"/>
      <w:bookmarkEnd w:id="61"/>
      <w:bookmarkEnd w:id="62"/>
      <w:bookmarkEnd w:id="63"/>
      <w:bookmarkEnd w:id="64"/>
    </w:p>
    <w:p w14:paraId="62E19D8E">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1.磋商保证金金额人民币壹万陆仟元整（16000.00元）。</w:t>
      </w:r>
    </w:p>
    <w:p w14:paraId="45BD49C8">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磋商保证金的交纳方式：银行转账、支票、汇票、本票或者金融机构出具的保函、保险机构保单，禁止采用现钞方式。采用银行转账方式的，在首次响应文件提交截止时间前交至采购代理机构指定账户并且到账（必须足额交纳，交纳账户及注意事项详见采购文件第二章供应商须知前附表。）；采用支票、汇票、本票或者金融、担保机构出具的保函、保险机构保单交纳方式的，必须在首次响应文件提交截止时间前将单独密封的支票、汇票、本票或者金融、担保机构出具的保函（纸质保函）、保险机构保单原件递交至</w:t>
      </w:r>
      <w:r>
        <w:rPr>
          <w:rFonts w:hint="eastAsia" w:ascii="宋体" w:hAnsi="宋体" w:cs="宋体"/>
          <w:color w:val="auto"/>
          <w:kern w:val="0"/>
          <w:szCs w:val="21"/>
          <w:highlight w:val="none"/>
          <w:lang w:eastAsia="zh-CN"/>
        </w:rPr>
        <w:t>北海市海城区北海大道62号文邦国际大厦B座1216号</w:t>
      </w:r>
      <w:r>
        <w:rPr>
          <w:rFonts w:hint="eastAsia" w:ascii="宋体" w:hAnsi="宋体" w:cs="宋体"/>
          <w:color w:val="auto"/>
          <w:kern w:val="0"/>
          <w:szCs w:val="21"/>
          <w:highlight w:val="none"/>
        </w:rPr>
        <w:t>提交给采购人或代理机构，由采购人或者采购代理机构向供应商出具回执，否则视为无效磋商保证金。</w:t>
      </w:r>
    </w:p>
    <w:p w14:paraId="79FD9A1B">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2.公告发布媒体：中国政府采购网（www.ccgp.gov.cn）、广西壮族自治区政府采购网（zfcg.gxzf.gov.cn）。</w:t>
      </w:r>
    </w:p>
    <w:p w14:paraId="0BAB4BC2">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szCs w:val="21"/>
          <w:highlight w:val="none"/>
        </w:rPr>
        <w:t>3.</w:t>
      </w:r>
      <w:r>
        <w:rPr>
          <w:rFonts w:hint="eastAsia" w:ascii="宋体" w:hAnsi="宋体" w:cs="宋体"/>
          <w:color w:val="auto"/>
          <w:kern w:val="0"/>
          <w:szCs w:val="21"/>
          <w:highlight w:val="none"/>
        </w:rPr>
        <w:t>本项目需要落实的政府采购政策</w:t>
      </w:r>
    </w:p>
    <w:p w14:paraId="30D8009F">
      <w:pPr>
        <w:spacing w:line="400" w:lineRule="exact"/>
        <w:ind w:firstLine="315" w:firstLineChars="150"/>
        <w:rPr>
          <w:rFonts w:ascii="宋体" w:hAnsi="宋体" w:cs="宋体"/>
          <w:color w:val="auto"/>
          <w:kern w:val="0"/>
          <w:szCs w:val="21"/>
          <w:highlight w:val="none"/>
        </w:rPr>
      </w:pPr>
      <w:r>
        <w:rPr>
          <w:rFonts w:hint="eastAsia" w:ascii="宋体" w:hAnsi="宋体" w:cs="宋体"/>
          <w:color w:val="auto"/>
          <w:kern w:val="0"/>
          <w:szCs w:val="21"/>
          <w:highlight w:val="none"/>
        </w:rPr>
        <w:t>（1）政府采购促进中小企业发展。</w:t>
      </w:r>
    </w:p>
    <w:p w14:paraId="1E1567E6">
      <w:pPr>
        <w:spacing w:line="400" w:lineRule="exact"/>
        <w:ind w:firstLine="315" w:firstLineChars="150"/>
        <w:rPr>
          <w:rFonts w:ascii="宋体" w:hAnsi="宋体" w:cs="宋体"/>
          <w:color w:val="auto"/>
          <w:kern w:val="0"/>
          <w:szCs w:val="21"/>
          <w:highlight w:val="none"/>
        </w:rPr>
      </w:pPr>
      <w:r>
        <w:rPr>
          <w:rFonts w:hint="eastAsia" w:ascii="宋体" w:hAnsi="宋体" w:cs="宋体"/>
          <w:color w:val="auto"/>
          <w:kern w:val="0"/>
          <w:szCs w:val="21"/>
          <w:highlight w:val="none"/>
        </w:rPr>
        <w:t>（2）政府采购支持采用本国产品的政策。</w:t>
      </w:r>
    </w:p>
    <w:p w14:paraId="5EAA3E2B">
      <w:pPr>
        <w:spacing w:line="400" w:lineRule="exact"/>
        <w:ind w:firstLine="315" w:firstLineChars="150"/>
        <w:rPr>
          <w:rFonts w:ascii="宋体" w:hAnsi="宋体" w:cs="宋体"/>
          <w:color w:val="auto"/>
          <w:kern w:val="0"/>
          <w:szCs w:val="21"/>
          <w:highlight w:val="none"/>
        </w:rPr>
      </w:pPr>
      <w:r>
        <w:rPr>
          <w:rFonts w:hint="eastAsia" w:ascii="宋体" w:hAnsi="宋体" w:cs="宋体"/>
          <w:color w:val="auto"/>
          <w:kern w:val="0"/>
          <w:szCs w:val="21"/>
          <w:highlight w:val="none"/>
        </w:rPr>
        <w:t>（3）强制采购节能产品；优先采购节能产品、环境标志产品。</w:t>
      </w:r>
    </w:p>
    <w:p w14:paraId="3C276359">
      <w:pPr>
        <w:spacing w:line="400" w:lineRule="exact"/>
        <w:ind w:firstLine="315" w:firstLineChars="150"/>
        <w:rPr>
          <w:rFonts w:ascii="宋体" w:hAnsi="宋体" w:cs="宋体"/>
          <w:color w:val="auto"/>
          <w:kern w:val="0"/>
          <w:szCs w:val="21"/>
          <w:highlight w:val="none"/>
        </w:rPr>
      </w:pPr>
      <w:r>
        <w:rPr>
          <w:rFonts w:hint="eastAsia" w:ascii="宋体" w:hAnsi="宋体" w:cs="宋体"/>
          <w:color w:val="auto"/>
          <w:kern w:val="0"/>
          <w:szCs w:val="21"/>
          <w:highlight w:val="none"/>
        </w:rPr>
        <w:t>（4）政府采购促进残疾人就业政策。</w:t>
      </w:r>
    </w:p>
    <w:p w14:paraId="2529ABB6">
      <w:pPr>
        <w:spacing w:line="400" w:lineRule="exact"/>
        <w:ind w:firstLine="315" w:firstLineChars="150"/>
        <w:rPr>
          <w:rFonts w:ascii="宋体" w:hAnsi="宋体" w:cs="宋体"/>
          <w:color w:val="auto"/>
          <w:kern w:val="0"/>
          <w:szCs w:val="21"/>
          <w:highlight w:val="none"/>
        </w:rPr>
      </w:pPr>
      <w:r>
        <w:rPr>
          <w:rFonts w:hint="eastAsia" w:ascii="宋体" w:hAnsi="宋体" w:cs="宋体"/>
          <w:color w:val="auto"/>
          <w:kern w:val="0"/>
          <w:szCs w:val="21"/>
          <w:highlight w:val="none"/>
        </w:rPr>
        <w:t>（5）政府采购支持监狱企业发展。</w:t>
      </w:r>
    </w:p>
    <w:p w14:paraId="7D97D797">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4.注意事项：</w:t>
      </w:r>
    </w:p>
    <w:p w14:paraId="7B97D6D3">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未进行网上注册并办理数字证书（CA认证）的供应商将无法参与本项目政府采购活动，潜在供应商应当在响应文件提交截止时间前，完成广西政府采购云平台上的CA数字证书办理及响应文件的提交。完成CA数字证书办理预计7日左右，建议各供应商抓紧时间办理。</w:t>
      </w:r>
    </w:p>
    <w:p w14:paraId="1EDB6E36">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（2）为确保网上操作合法、有效和安全，请供应商确保在电子投标过程中能够对相关数据电文进行加密和使用电子签章，妥善保管CA数字证书并使用有效的CA数字证书参与整个招标活动。</w:t>
      </w:r>
    </w:p>
    <w:p w14:paraId="17C80A91">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（3）CA证书在线解密：供应商参与竞标时，需携带制作响应文件时用来加密的有效数字证书（CA认证）登录广西政府采购云平台电子开标大厅现场按规定时间对加密的响应文件进行解密。</w:t>
      </w:r>
    </w:p>
    <w:p w14:paraId="5AB971C0">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若对项目采购电子交易系统操作有疑问，可登录广西政府采购云平台（https://www.gcy.zfcg.gxzf.gov.cn/），点击右侧咨询小采，获取采小蜜智能服务管家帮助，或拨打广西政府采购云平台服务热线95763获取热线服务帮助。</w:t>
      </w:r>
    </w:p>
    <w:p w14:paraId="076E0DC5">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5）提交响应文件截止时间后，广西政府采购云平台（电子标系统）自动提取所有响应文件，各供应商须在开标开始后30分钟内对上传广西政府采购云平台的响应文件进行解密，所有供应商在规定的解密时限内解密完成或解密时限结束后，采购代理机构开启响应文件；供应商超过解密时限的，系统默认自动放弃。</w:t>
      </w:r>
    </w:p>
    <w:p w14:paraId="02A391AF">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6）供应商应当在响应文件提交截止时间前完成电子响应文件的上传、递交，响应文件提交截止时间前可以补充、修改或者撤回响应文件。补充或者修改响应文件的，应当先行撤回原文件，补充、修改后重新上传、递交。响应文件提交截止时间前未完成上传、递交的，视为撤回响应文件。响应文件提交截止时间以后上传递交的响应文件广西政府采购云平台将予以拒收。</w:t>
      </w:r>
    </w:p>
    <w:p w14:paraId="64234406">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5.监督部门</w:t>
      </w:r>
    </w:p>
    <w:p w14:paraId="5AB6A556">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名    称：广西壮族自治区财政厅政府采购监督管理处 </w:t>
      </w:r>
    </w:p>
    <w:p w14:paraId="71BFCC95">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电    话： 0771-5331544 </w:t>
      </w:r>
    </w:p>
    <w:p w14:paraId="0CF0660D">
      <w:pPr>
        <w:pStyle w:val="3"/>
        <w:spacing w:before="0" w:after="0" w:line="400" w:lineRule="exact"/>
        <w:ind w:firstLine="422" w:firstLineChars="200"/>
        <w:rPr>
          <w:rFonts w:ascii="宋体" w:hAnsi="宋体" w:cs="宋体"/>
          <w:bCs w:val="0"/>
          <w:color w:val="auto"/>
          <w:sz w:val="21"/>
          <w:szCs w:val="21"/>
          <w:highlight w:val="none"/>
        </w:rPr>
      </w:pPr>
      <w:bookmarkStart w:id="65" w:name="_Toc15462"/>
      <w:bookmarkStart w:id="66" w:name="_Toc9385"/>
      <w:bookmarkStart w:id="67" w:name="_Toc17229"/>
      <w:bookmarkStart w:id="68" w:name="_Toc110960216"/>
      <w:bookmarkStart w:id="69" w:name="_Toc28359018"/>
      <w:bookmarkStart w:id="70" w:name="_Toc35393805"/>
      <w:bookmarkStart w:id="71" w:name="_Toc44229885"/>
      <w:bookmarkStart w:id="72" w:name="_Toc35393636"/>
      <w:bookmarkStart w:id="73" w:name="_Toc28359095"/>
      <w:r>
        <w:rPr>
          <w:rFonts w:hint="eastAsia" w:ascii="宋体" w:hAnsi="宋体" w:cs="宋体"/>
          <w:bCs w:val="0"/>
          <w:color w:val="auto"/>
          <w:sz w:val="21"/>
          <w:szCs w:val="21"/>
          <w:highlight w:val="none"/>
        </w:rPr>
        <w:t>八、凡对本次采购提出询问，请按以下方式联系。</w:t>
      </w:r>
      <w:bookmarkEnd w:id="65"/>
      <w:bookmarkEnd w:id="66"/>
      <w:bookmarkEnd w:id="67"/>
      <w:bookmarkEnd w:id="68"/>
      <w:bookmarkEnd w:id="69"/>
      <w:bookmarkEnd w:id="70"/>
      <w:bookmarkEnd w:id="71"/>
      <w:bookmarkEnd w:id="72"/>
      <w:bookmarkEnd w:id="73"/>
    </w:p>
    <w:p w14:paraId="5BD6CFEF">
      <w:pPr>
        <w:spacing w:line="400" w:lineRule="exact"/>
        <w:ind w:firstLine="420" w:firstLineChars="200"/>
        <w:rPr>
          <w:rFonts w:ascii="宋体" w:hAnsi="宋体" w:cs="宋体"/>
          <w:color w:val="auto"/>
          <w:kern w:val="0"/>
          <w:szCs w:val="21"/>
          <w:highlight w:val="none"/>
        </w:rPr>
      </w:pPr>
      <w:bookmarkStart w:id="74" w:name="_Toc28359019"/>
      <w:bookmarkStart w:id="75" w:name="_Toc28359096"/>
      <w:bookmarkStart w:id="76" w:name="_Toc35393806"/>
      <w:bookmarkStart w:id="77" w:name="_Toc35393637"/>
      <w:r>
        <w:rPr>
          <w:rFonts w:hint="eastAsia" w:ascii="宋体" w:hAnsi="宋体" w:cs="宋体"/>
          <w:color w:val="auto"/>
          <w:kern w:val="0"/>
          <w:szCs w:val="21"/>
          <w:highlight w:val="none"/>
        </w:rPr>
        <w:t>1.采购人信息</w:t>
      </w:r>
      <w:bookmarkEnd w:id="74"/>
      <w:bookmarkEnd w:id="75"/>
      <w:bookmarkEnd w:id="76"/>
      <w:bookmarkEnd w:id="77"/>
    </w:p>
    <w:p w14:paraId="733D550E">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名    称：广西壮族自治区合浦儒艮国家级自然保护区管理中心</w:t>
      </w:r>
    </w:p>
    <w:p w14:paraId="462B340D">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地    址：北海市银海区云南路278号　</w:t>
      </w:r>
    </w:p>
    <w:p w14:paraId="3B8C2A82">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项目联系人： 郭工</w:t>
      </w:r>
    </w:p>
    <w:p w14:paraId="3D47BA34">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项目联系方式： </w:t>
      </w:r>
      <w:r>
        <w:rPr>
          <w:rFonts w:hint="eastAsia" w:ascii="宋体" w:hAnsi="宋体" w:cs="宋体"/>
          <w:color w:val="auto"/>
          <w:kern w:val="0"/>
          <w:szCs w:val="21"/>
          <w:highlight w:val="none"/>
        </w:rPr>
        <w:t>0779-3050466</w:t>
      </w:r>
    </w:p>
    <w:p w14:paraId="57D854EE">
      <w:pPr>
        <w:spacing w:line="400" w:lineRule="exact"/>
        <w:ind w:firstLine="420" w:firstLineChars="200"/>
        <w:rPr>
          <w:rFonts w:ascii="宋体" w:hAnsi="宋体" w:cs="宋体"/>
          <w:color w:val="auto"/>
          <w:kern w:val="0"/>
          <w:szCs w:val="21"/>
          <w:highlight w:val="none"/>
        </w:rPr>
      </w:pPr>
      <w:bookmarkStart w:id="78" w:name="_Toc28359020"/>
      <w:bookmarkStart w:id="79" w:name="_Toc28359097"/>
      <w:bookmarkStart w:id="80" w:name="_Toc35393807"/>
      <w:bookmarkStart w:id="81" w:name="_Toc35393638"/>
      <w:r>
        <w:rPr>
          <w:rFonts w:hint="eastAsia" w:ascii="宋体" w:hAnsi="宋体" w:cs="宋体"/>
          <w:color w:val="auto"/>
          <w:kern w:val="0"/>
          <w:szCs w:val="21"/>
          <w:highlight w:val="none"/>
        </w:rPr>
        <w:t>2.采购代理机构信息</w:t>
      </w:r>
      <w:bookmarkEnd w:id="78"/>
      <w:bookmarkEnd w:id="79"/>
      <w:bookmarkEnd w:id="80"/>
      <w:bookmarkEnd w:id="81"/>
    </w:p>
    <w:p w14:paraId="53603A02">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名    称：公诚管理咨询有限公司</w:t>
      </w:r>
    </w:p>
    <w:p w14:paraId="799B29BE">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地　　址：广西南宁市青秀区金湖北路52-1号东方曼哈顿25楼</w:t>
      </w:r>
    </w:p>
    <w:p w14:paraId="4301144C">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项目联系人：劳德、陈雅冰、王鹏程、盛菲、李涛</w:t>
      </w:r>
    </w:p>
    <w:p w14:paraId="242CA484">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项目联系方式：</w:t>
      </w:r>
      <w:bookmarkStart w:id="82" w:name="OLE_LINK1"/>
      <w:r>
        <w:rPr>
          <w:rFonts w:hint="eastAsia" w:ascii="宋体" w:hAnsi="宋体" w:cs="宋体"/>
          <w:color w:val="auto"/>
          <w:szCs w:val="21"/>
          <w:highlight w:val="none"/>
        </w:rPr>
        <w:t>15078828204/0771-5583003</w:t>
      </w:r>
    </w:p>
    <w:bookmarkEnd w:id="2"/>
    <w:bookmarkEnd w:id="82"/>
    <w:p w14:paraId="619AA83E">
      <w:pPr>
        <w:spacing w:line="440" w:lineRule="exact"/>
        <w:jc w:val="right"/>
        <w:rPr>
          <w:rFonts w:ascii="宋体" w:hAnsi="宋体" w:cs="宋体"/>
          <w:color w:val="auto"/>
          <w:szCs w:val="21"/>
          <w:highlight w:val="none"/>
        </w:rPr>
      </w:pPr>
    </w:p>
    <w:p w14:paraId="5845D360">
      <w:pPr>
        <w:pStyle w:val="3"/>
        <w:spacing w:line="400" w:lineRule="exact"/>
        <w:jc w:val="center"/>
        <w:rPr>
          <w:rFonts w:ascii="方正小标宋_GBK" w:hAnsi="方正小标宋_GBK" w:eastAsia="方正小标宋_GBK" w:cs="方正小标宋_GBK"/>
          <w:b w:val="0"/>
          <w:bCs w:val="0"/>
          <w:color w:val="auto"/>
          <w:sz w:val="21"/>
          <w:szCs w:val="21"/>
          <w:highlight w:val="none"/>
        </w:rPr>
      </w:pPr>
      <w:bookmarkStart w:id="83" w:name="_Toc10978"/>
      <w:r>
        <w:rPr>
          <w:rFonts w:hint="eastAsia" w:ascii="宋体" w:hAnsi="宋体" w:cs="宋体"/>
          <w:color w:val="auto"/>
          <w:szCs w:val="21"/>
          <w:highlight w:val="none"/>
        </w:rPr>
        <w:br w:type="column"/>
      </w:r>
      <w:r>
        <w:rPr>
          <w:rFonts w:hint="eastAsia" w:ascii="方正小标宋_GBK" w:hAnsi="方正小标宋_GBK" w:eastAsia="方正小标宋_GBK" w:cs="方正小标宋_GBK"/>
          <w:b w:val="0"/>
          <w:bCs w:val="0"/>
          <w:color w:val="auto"/>
          <w:sz w:val="21"/>
          <w:szCs w:val="21"/>
          <w:highlight w:val="none"/>
        </w:rPr>
        <w:t>第二章 供应商须知</w:t>
      </w:r>
      <w:bookmarkEnd w:id="83"/>
    </w:p>
    <w:p w14:paraId="5A21F91D">
      <w:pPr>
        <w:pStyle w:val="4"/>
        <w:keepNext w:val="0"/>
        <w:keepLines w:val="0"/>
        <w:spacing w:line="415" w:lineRule="auto"/>
        <w:jc w:val="center"/>
        <w:rPr>
          <w:rFonts w:ascii="宋体" w:hAnsi="宋体" w:cs="宋体"/>
          <w:color w:val="auto"/>
          <w:highlight w:val="none"/>
        </w:rPr>
      </w:pPr>
      <w:bookmarkStart w:id="84" w:name="_Toc9468"/>
      <w:bookmarkStart w:id="85" w:name="_Toc13827"/>
      <w:r>
        <w:rPr>
          <w:rFonts w:hint="eastAsia" w:ascii="宋体" w:hAnsi="宋体" w:cs="宋体"/>
          <w:color w:val="auto"/>
          <w:sz w:val="21"/>
          <w:szCs w:val="21"/>
          <w:highlight w:val="none"/>
        </w:rPr>
        <w:t>供应商须知前附表</w:t>
      </w:r>
      <w:bookmarkEnd w:id="84"/>
      <w:bookmarkEnd w:id="85"/>
    </w:p>
    <w:tbl>
      <w:tblPr>
        <w:tblStyle w:val="31"/>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4CBF6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992" w:type="dxa"/>
            <w:shd w:val="clear" w:color="auto" w:fill="D9D9D9"/>
          </w:tcPr>
          <w:p w14:paraId="6755AB29">
            <w:pPr>
              <w:spacing w:line="400" w:lineRule="exact"/>
              <w:jc w:val="center"/>
              <w:rPr>
                <w:rFonts w:ascii="宋体" w:hAnsi="宋体" w:cs="宋体"/>
                <w:b/>
                <w:color w:val="auto"/>
                <w:szCs w:val="21"/>
                <w:highlight w:val="none"/>
              </w:rPr>
            </w:pPr>
            <w:r>
              <w:rPr>
                <w:rFonts w:hint="eastAsia" w:ascii="宋体" w:hAnsi="宋体" w:cs="宋体"/>
                <w:b/>
                <w:color w:val="auto"/>
                <w:szCs w:val="21"/>
                <w:highlight w:val="none"/>
              </w:rPr>
              <w:t>条款号</w:t>
            </w:r>
          </w:p>
        </w:tc>
        <w:tc>
          <w:tcPr>
            <w:tcW w:w="7912" w:type="dxa"/>
            <w:shd w:val="clear" w:color="auto" w:fill="D9D9D9"/>
          </w:tcPr>
          <w:p w14:paraId="364DAB6E">
            <w:pPr>
              <w:spacing w:line="400" w:lineRule="exact"/>
              <w:jc w:val="center"/>
              <w:rPr>
                <w:rFonts w:ascii="宋体" w:hAnsi="宋体" w:cs="宋体"/>
                <w:b/>
                <w:color w:val="auto"/>
                <w:szCs w:val="21"/>
                <w:highlight w:val="none"/>
              </w:rPr>
            </w:pPr>
            <w:r>
              <w:rPr>
                <w:rFonts w:hint="eastAsia" w:ascii="宋体" w:hAnsi="宋体" w:cs="宋体"/>
                <w:b/>
                <w:color w:val="auto"/>
                <w:szCs w:val="21"/>
                <w:highlight w:val="none"/>
              </w:rPr>
              <w:t>内    容</w:t>
            </w:r>
          </w:p>
        </w:tc>
      </w:tr>
      <w:tr w14:paraId="3222FF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AF915AB">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3</w:t>
            </w:r>
          </w:p>
        </w:tc>
        <w:tc>
          <w:tcPr>
            <w:tcW w:w="7912" w:type="dxa"/>
            <w:vAlign w:val="center"/>
          </w:tcPr>
          <w:p w14:paraId="50A34C0D">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供应商的资格条件：详见竞争性磋商公告</w:t>
            </w:r>
          </w:p>
        </w:tc>
      </w:tr>
      <w:tr w14:paraId="5C1501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40DF398">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5.2</w:t>
            </w:r>
          </w:p>
        </w:tc>
        <w:tc>
          <w:tcPr>
            <w:tcW w:w="7912" w:type="dxa"/>
            <w:vAlign w:val="center"/>
          </w:tcPr>
          <w:p w14:paraId="00ED4CE2">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是否接受联合体竞标：详见竞争性磋商公告</w:t>
            </w:r>
          </w:p>
        </w:tc>
      </w:tr>
      <w:tr w14:paraId="0DC759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B5C6FB1">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6.3</w:t>
            </w:r>
          </w:p>
        </w:tc>
        <w:tc>
          <w:tcPr>
            <w:tcW w:w="7912" w:type="dxa"/>
            <w:vAlign w:val="center"/>
          </w:tcPr>
          <w:p w14:paraId="09DE74F0">
            <w:pPr>
              <w:pStyle w:val="10"/>
              <w:spacing w:line="400" w:lineRule="exact"/>
              <w:rPr>
                <w:rFonts w:ascii="宋体" w:hAnsi="宋体" w:cs="宋体"/>
                <w:color w:val="auto"/>
                <w:szCs w:val="21"/>
                <w:highlight w:val="none"/>
              </w:rPr>
            </w:pPr>
            <w:r>
              <w:rPr>
                <w:rFonts w:hint="eastAsia" w:ascii="宋体" w:hAnsi="宋体" w:cs="宋体"/>
                <w:color w:val="auto"/>
                <w:szCs w:val="21"/>
                <w:highlight w:val="none"/>
              </w:rPr>
              <w:t>☑不允许分包</w:t>
            </w:r>
          </w:p>
          <w:p w14:paraId="00022B06">
            <w:pPr>
              <w:pStyle w:val="10"/>
              <w:spacing w:line="400" w:lineRule="exact"/>
              <w:rPr>
                <w:rFonts w:ascii="宋体" w:hAnsi="宋体" w:cs="宋体"/>
                <w:color w:val="auto"/>
                <w:szCs w:val="21"/>
                <w:highlight w:val="none"/>
              </w:rPr>
            </w:pPr>
            <w:r>
              <w:rPr>
                <w:rFonts w:hint="eastAsia" w:ascii="宋体" w:hAnsi="宋体" w:cs="宋体"/>
                <w:color w:val="auto"/>
                <w:szCs w:val="21"/>
                <w:highlight w:val="none"/>
              </w:rPr>
              <w:t>□允许分包</w:t>
            </w:r>
          </w:p>
          <w:p w14:paraId="75BD71FD">
            <w:pPr>
              <w:pStyle w:val="10"/>
              <w:spacing w:line="400" w:lineRule="exact"/>
              <w:rPr>
                <w:rFonts w:ascii="宋体" w:hAnsi="宋体" w:cs="宋体"/>
                <w:color w:val="auto"/>
                <w:szCs w:val="21"/>
                <w:highlight w:val="none"/>
              </w:rPr>
            </w:pPr>
            <w:r>
              <w:rPr>
                <w:rFonts w:hint="eastAsia" w:ascii="宋体" w:hAnsi="宋体" w:cs="宋体"/>
                <w:color w:val="auto"/>
                <w:szCs w:val="21"/>
                <w:highlight w:val="none"/>
              </w:rPr>
              <w:t>分包内容：。</w:t>
            </w:r>
          </w:p>
          <w:p w14:paraId="6FB1A37D">
            <w:pPr>
              <w:pStyle w:val="10"/>
              <w:spacing w:line="400" w:lineRule="exact"/>
              <w:rPr>
                <w:rFonts w:ascii="宋体" w:hAnsi="宋体" w:cs="宋体"/>
                <w:color w:val="auto"/>
                <w:szCs w:val="21"/>
                <w:highlight w:val="none"/>
              </w:rPr>
            </w:pPr>
            <w:r>
              <w:rPr>
                <w:rFonts w:hint="eastAsia" w:ascii="宋体" w:hAnsi="宋体" w:cs="宋体"/>
                <w:color w:val="auto"/>
                <w:szCs w:val="21"/>
                <w:highlight w:val="none"/>
              </w:rPr>
              <w:t>分包金额或者比例：。</w:t>
            </w:r>
          </w:p>
          <w:p w14:paraId="43AF9056">
            <w:pPr>
              <w:pStyle w:val="10"/>
              <w:spacing w:line="400" w:lineRule="exact"/>
              <w:rPr>
                <w:rFonts w:ascii="宋体" w:hAnsi="宋体" w:cs="宋体"/>
                <w:color w:val="auto"/>
                <w:szCs w:val="21"/>
                <w:highlight w:val="none"/>
              </w:rPr>
            </w:pPr>
            <w:r>
              <w:rPr>
                <w:rFonts w:hint="eastAsia" w:ascii="宋体" w:hAnsi="宋体" w:cs="宋体"/>
                <w:color w:val="auto"/>
                <w:szCs w:val="21"/>
                <w:highlight w:val="none"/>
              </w:rPr>
              <w:t>分包供应商必须具备的资质：。</w:t>
            </w:r>
          </w:p>
        </w:tc>
      </w:tr>
      <w:tr w14:paraId="10959E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52" w:hRule="atLeast"/>
          <w:jc w:val="center"/>
        </w:trPr>
        <w:tc>
          <w:tcPr>
            <w:tcW w:w="992" w:type="dxa"/>
            <w:vAlign w:val="center"/>
          </w:tcPr>
          <w:p w14:paraId="0425EACA">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12.1.1</w:t>
            </w:r>
          </w:p>
        </w:tc>
        <w:tc>
          <w:tcPr>
            <w:tcW w:w="7912" w:type="dxa"/>
            <w:vAlign w:val="center"/>
          </w:tcPr>
          <w:p w14:paraId="1DB911CB">
            <w:pPr>
              <w:snapToGrid w:val="0"/>
              <w:spacing w:line="400" w:lineRule="exact"/>
              <w:jc w:val="left"/>
              <w:rPr>
                <w:rFonts w:ascii="宋体" w:hAnsi="宋体" w:cs="宋体"/>
                <w:b/>
                <w:color w:val="auto"/>
                <w:szCs w:val="21"/>
                <w:highlight w:val="none"/>
              </w:rPr>
            </w:pPr>
            <w:r>
              <w:rPr>
                <w:rFonts w:hint="eastAsia" w:ascii="宋体" w:hAnsi="宋体" w:cs="宋体"/>
                <w:b/>
                <w:color w:val="auto"/>
                <w:szCs w:val="21"/>
                <w:highlight w:val="none"/>
              </w:rPr>
              <w:t>资格证明文件</w:t>
            </w:r>
          </w:p>
          <w:p w14:paraId="7C589BDD">
            <w:pPr>
              <w:pStyle w:val="10"/>
              <w:spacing w:line="400" w:lineRule="exact"/>
              <w:rPr>
                <w:rFonts w:ascii="宋体" w:hAnsi="宋体" w:cs="宋体"/>
                <w:b/>
                <w:bCs/>
                <w:color w:val="auto"/>
                <w:szCs w:val="21"/>
                <w:highlight w:val="none"/>
              </w:rPr>
            </w:pPr>
            <w:r>
              <w:rPr>
                <w:rFonts w:hint="eastAsia" w:ascii="宋体" w:hAnsi="宋体" w:cs="宋体"/>
                <w:color w:val="auto"/>
                <w:szCs w:val="21"/>
                <w:highlight w:val="none"/>
              </w:rPr>
              <w:t>1.供应商为法人或者其他组织的提供其营业执照等证明文件（如营业执照或者事业单位法人证书或者执业许可证等），供应商为自然人的提供其身份证扫描件；</w:t>
            </w:r>
            <w:r>
              <w:rPr>
                <w:rFonts w:hint="eastAsia" w:ascii="宋体" w:hAnsi="宋体" w:cs="宋体"/>
                <w:b/>
                <w:bCs/>
                <w:color w:val="auto"/>
                <w:szCs w:val="21"/>
                <w:highlight w:val="none"/>
              </w:rPr>
              <w:t>（必须提供，否则响应文件按无效响应处理）</w:t>
            </w:r>
          </w:p>
          <w:p w14:paraId="5F50A5CB">
            <w:pPr>
              <w:pStyle w:val="10"/>
              <w:spacing w:line="400" w:lineRule="exact"/>
              <w:rPr>
                <w:rFonts w:ascii="宋体" w:hAnsi="宋体" w:cs="宋体"/>
                <w:b/>
                <w:bCs/>
                <w:color w:val="auto"/>
                <w:szCs w:val="21"/>
                <w:highlight w:val="none"/>
              </w:rPr>
            </w:pPr>
            <w:r>
              <w:rPr>
                <w:rFonts w:hint="eastAsia" w:ascii="宋体" w:hAnsi="宋体" w:cs="宋体"/>
                <w:color w:val="auto"/>
                <w:szCs w:val="21"/>
                <w:highlight w:val="none"/>
              </w:rPr>
              <w:t>2.</w:t>
            </w:r>
            <w:bookmarkStart w:id="86" w:name="OLE_LINK2"/>
            <w:r>
              <w:rPr>
                <w:rFonts w:hint="eastAsia" w:ascii="宋体" w:hAnsi="宋体" w:cs="宋体"/>
                <w:color w:val="auto"/>
                <w:szCs w:val="21"/>
                <w:highlight w:val="none"/>
              </w:rPr>
              <w:t>供应商依法缴纳税收的相关材料（提供至截标时间半年内任意1个月的依法缴纳税收的凭据扫描件；依法免税的，必须提供相应文件证明其依法免税。从成立之日起到首次响应文件提交截止时间为止不足要求月数的，只需提供从成立之日起的依法缴纳税收相应证明文件）；</w:t>
            </w:r>
            <w:r>
              <w:rPr>
                <w:rFonts w:hint="eastAsia" w:ascii="宋体" w:hAnsi="宋体" w:cs="宋体"/>
                <w:b/>
                <w:bCs/>
                <w:color w:val="auto"/>
                <w:szCs w:val="21"/>
                <w:highlight w:val="none"/>
              </w:rPr>
              <w:t>（必须提供，否则响应文件按无效响应处理）</w:t>
            </w:r>
          </w:p>
          <w:bookmarkEnd w:id="86"/>
          <w:p w14:paraId="5E4262D4">
            <w:pPr>
              <w:pStyle w:val="10"/>
              <w:spacing w:line="400" w:lineRule="exact"/>
              <w:rPr>
                <w:rFonts w:ascii="宋体" w:hAnsi="宋体" w:cs="宋体"/>
                <w:color w:val="auto"/>
                <w:szCs w:val="21"/>
                <w:highlight w:val="none"/>
              </w:rPr>
            </w:pPr>
            <w:r>
              <w:rPr>
                <w:rFonts w:hint="eastAsia" w:ascii="宋体" w:hAnsi="宋体" w:cs="宋体"/>
                <w:color w:val="auto"/>
                <w:kern w:val="0"/>
                <w:szCs w:val="21"/>
                <w:highlight w:val="none"/>
              </w:rPr>
              <w:t>3.供应商依法缴纳社会保障资金的相关材料（提供至截标时间半年内任意1个月的依法缴纳社会保障资金的缴费凭证扫描件；依法不需要缴纳社会保障资金的供应商，必须提供相应文</w:t>
            </w:r>
            <w:r>
              <w:rPr>
                <w:rFonts w:hint="eastAsia" w:ascii="宋体" w:hAnsi="宋体" w:cs="宋体"/>
                <w:color w:val="auto"/>
                <w:szCs w:val="21"/>
                <w:highlight w:val="none"/>
              </w:rPr>
              <w:t>件证明不需要缴纳社会保障资金。从成立之日起到首次响应文件提交截止时间为止不足要求月数的只需提供从成立之日起的依法缴纳社会保障资金的相应证明文件）；</w:t>
            </w:r>
            <w:r>
              <w:rPr>
                <w:rFonts w:hint="eastAsia" w:ascii="宋体" w:hAnsi="宋体" w:cs="宋体"/>
                <w:b/>
                <w:bCs/>
                <w:color w:val="auto"/>
                <w:szCs w:val="21"/>
                <w:highlight w:val="none"/>
              </w:rPr>
              <w:t>（必须提供，否则响应文件按无效响应处理）</w:t>
            </w:r>
          </w:p>
          <w:p w14:paraId="31449939">
            <w:pPr>
              <w:pStyle w:val="10"/>
              <w:spacing w:line="400" w:lineRule="exact"/>
              <w:rPr>
                <w:rFonts w:ascii="宋体" w:hAnsi="宋体" w:cs="宋体"/>
                <w:b/>
                <w:color w:val="auto"/>
                <w:szCs w:val="21"/>
                <w:highlight w:val="none"/>
              </w:rPr>
            </w:pPr>
            <w:r>
              <w:rPr>
                <w:rFonts w:hint="eastAsia" w:ascii="宋体" w:hAnsi="宋体" w:cs="宋体"/>
                <w:color w:val="auto"/>
                <w:szCs w:val="21"/>
                <w:highlight w:val="none"/>
              </w:rPr>
              <w:t>4.</w:t>
            </w:r>
            <w:bookmarkStart w:id="87" w:name="OLE_LINK3"/>
            <w:r>
              <w:rPr>
                <w:rFonts w:hint="eastAsia" w:ascii="宋体" w:hAnsi="宋体" w:cs="宋体"/>
                <w:color w:val="auto"/>
                <w:szCs w:val="21"/>
                <w:highlight w:val="none"/>
              </w:rPr>
              <w:t>供应商财务状况报告（</w:t>
            </w:r>
            <w:r>
              <w:rPr>
                <w:rFonts w:hint="eastAsia" w:ascii="宋体" w:hAnsi="宋体" w:cs="宋体"/>
                <w:color w:val="auto"/>
                <w:szCs w:val="21"/>
                <w:highlight w:val="none"/>
                <w:u w:val="single"/>
              </w:rPr>
              <w:t>2025</w:t>
            </w:r>
            <w:r>
              <w:rPr>
                <w:rFonts w:hint="eastAsia" w:ascii="宋体" w:hAnsi="宋体" w:cs="宋体"/>
                <w:color w:val="auto"/>
                <w:szCs w:val="21"/>
                <w:highlight w:val="none"/>
              </w:rPr>
              <w:t>年度财务报表扫描件或经审计的财务报告扫描件，或者银行出具的资信证明扫描件；供应商属于成立时间在规定年度之后的法人或其他组织，需提供成立之日起至响应文件提交截止时间前的月报表或银行出具的资信证明；资信证明应在有效期内，未注明有效期的，银行出具时间至响应文件提交截止时间不超过一年）；</w:t>
            </w:r>
            <w:r>
              <w:rPr>
                <w:rFonts w:hint="eastAsia" w:ascii="宋体" w:hAnsi="宋体" w:cs="宋体"/>
                <w:b/>
                <w:bCs/>
                <w:color w:val="auto"/>
                <w:szCs w:val="21"/>
                <w:highlight w:val="none"/>
              </w:rPr>
              <w:t>（必须提供，否则响应文件按无效响应处理）</w:t>
            </w:r>
          </w:p>
          <w:bookmarkEnd w:id="87"/>
          <w:p w14:paraId="71D1AFFD">
            <w:pPr>
              <w:pStyle w:val="10"/>
              <w:spacing w:line="400" w:lineRule="exact"/>
              <w:rPr>
                <w:rFonts w:ascii="宋体" w:hAnsi="宋体" w:cs="宋体"/>
                <w:color w:val="auto"/>
                <w:szCs w:val="21"/>
                <w:highlight w:val="none"/>
              </w:rPr>
            </w:pPr>
            <w:r>
              <w:rPr>
                <w:rFonts w:hint="eastAsia" w:ascii="宋体" w:hAnsi="宋体" w:cs="宋体"/>
                <w:color w:val="auto"/>
                <w:szCs w:val="21"/>
                <w:highlight w:val="none"/>
              </w:rPr>
              <w:t>5.供应商直接控股、管理关系信息表（格式后附）；</w:t>
            </w:r>
            <w:r>
              <w:rPr>
                <w:rFonts w:hint="eastAsia" w:ascii="宋体" w:hAnsi="宋体" w:cs="宋体"/>
                <w:b/>
                <w:bCs/>
                <w:color w:val="auto"/>
                <w:szCs w:val="21"/>
                <w:highlight w:val="none"/>
              </w:rPr>
              <w:t>（必须提供，否则响应文件按无效响应处理）</w:t>
            </w:r>
          </w:p>
          <w:p w14:paraId="11E4720E">
            <w:pPr>
              <w:pStyle w:val="27"/>
              <w:spacing w:line="400" w:lineRule="exact"/>
              <w:jc w:val="left"/>
              <w:rPr>
                <w:rFonts w:ascii="宋体" w:hAnsi="宋体" w:cs="宋体"/>
                <w:color w:val="auto"/>
                <w:sz w:val="21"/>
                <w:szCs w:val="21"/>
                <w:highlight w:val="none"/>
              </w:rPr>
            </w:pPr>
            <w:r>
              <w:rPr>
                <w:rFonts w:hint="eastAsia" w:ascii="宋体" w:hAnsi="宋体" w:cs="宋体"/>
                <w:b w:val="0"/>
                <w:bCs w:val="0"/>
                <w:color w:val="auto"/>
                <w:sz w:val="21"/>
                <w:szCs w:val="21"/>
                <w:highlight w:val="none"/>
              </w:rPr>
              <w:t>6.</w:t>
            </w:r>
            <w:bookmarkStart w:id="88" w:name="OLE_LINK4"/>
            <w:r>
              <w:rPr>
                <w:rFonts w:hint="eastAsia" w:ascii="宋体" w:hAnsi="宋体" w:cs="宋体"/>
                <w:b w:val="0"/>
                <w:bCs w:val="0"/>
                <w:color w:val="auto"/>
                <w:sz w:val="21"/>
                <w:szCs w:val="21"/>
                <w:highlight w:val="none"/>
              </w:rPr>
              <w:t>竞标声明（格式后附）</w:t>
            </w:r>
            <w:r>
              <w:rPr>
                <w:rFonts w:hint="eastAsia" w:ascii="宋体" w:hAnsi="宋体" w:cs="宋体"/>
                <w:color w:val="auto"/>
                <w:sz w:val="21"/>
                <w:szCs w:val="21"/>
                <w:highlight w:val="none"/>
              </w:rPr>
              <w:t>；（必须提供，否则响应文件按无效响应处理）</w:t>
            </w:r>
            <w:bookmarkEnd w:id="88"/>
          </w:p>
          <w:p w14:paraId="7A3E59B4">
            <w:pPr>
              <w:snapToGrid w:val="0"/>
              <w:spacing w:line="400" w:lineRule="exact"/>
              <w:jc w:val="left"/>
              <w:rPr>
                <w:rFonts w:ascii="宋体" w:hAnsi="宋体" w:cs="宋体"/>
                <w:color w:val="auto"/>
                <w:szCs w:val="21"/>
                <w:highlight w:val="none"/>
              </w:rPr>
            </w:pPr>
            <w:r>
              <w:rPr>
                <w:rFonts w:hint="eastAsia" w:ascii="宋体" w:hAnsi="宋体" w:cs="宋体"/>
                <w:color w:val="auto"/>
                <w:szCs w:val="21"/>
                <w:highlight w:val="none"/>
              </w:rPr>
              <w:t>7.除磋商文件规定必须提供以外，供应商认为需要提供的其他证明材料。</w:t>
            </w:r>
          </w:p>
          <w:p w14:paraId="72767107">
            <w:pPr>
              <w:snapToGrid w:val="0"/>
              <w:spacing w:line="400" w:lineRule="exact"/>
              <w:jc w:val="left"/>
              <w:rPr>
                <w:rFonts w:ascii="宋体" w:hAnsi="宋体" w:cs="宋体"/>
                <w:b/>
                <w:color w:val="auto"/>
                <w:szCs w:val="21"/>
                <w:highlight w:val="none"/>
              </w:rPr>
            </w:pPr>
            <w:r>
              <w:rPr>
                <w:rFonts w:hint="eastAsia" w:ascii="宋体" w:hAnsi="宋体" w:cs="宋体"/>
                <w:b/>
                <w:color w:val="auto"/>
                <w:szCs w:val="21"/>
                <w:highlight w:val="none"/>
              </w:rPr>
              <w:t>注：</w:t>
            </w:r>
          </w:p>
          <w:p w14:paraId="36FB8897">
            <w:pPr>
              <w:snapToGrid w:val="0"/>
              <w:spacing w:line="400" w:lineRule="exact"/>
              <w:jc w:val="left"/>
              <w:rPr>
                <w:rFonts w:ascii="宋体" w:hAnsi="宋体" w:cs="宋体"/>
                <w:b/>
                <w:color w:val="auto"/>
                <w:szCs w:val="21"/>
                <w:highlight w:val="none"/>
              </w:rPr>
            </w:pPr>
            <w:r>
              <w:rPr>
                <w:rFonts w:hint="eastAsia" w:ascii="宋体" w:hAnsi="宋体" w:cs="宋体"/>
                <w:b/>
                <w:color w:val="auto"/>
                <w:szCs w:val="21"/>
                <w:highlight w:val="none"/>
              </w:rPr>
              <w:t>1.以上标明“必须提供”的材料，必须加盖供应商公章（或电子签章）；必须提供的材料在第五章“响应文件格式”中有要求法定代表人或委托代理人签字的，必须由法定代表人或委托代理人签字</w:t>
            </w:r>
            <w:r>
              <w:rPr>
                <w:rFonts w:hint="eastAsia" w:ascii="宋体" w:hAnsi="宋体" w:cs="宋体"/>
                <w:b/>
                <w:bCs/>
                <w:color w:val="auto"/>
                <w:szCs w:val="21"/>
                <w:highlight w:val="none"/>
              </w:rPr>
              <w:t>（或者电子签名）</w:t>
            </w:r>
            <w:r>
              <w:rPr>
                <w:rFonts w:hint="eastAsia" w:ascii="宋体" w:hAnsi="宋体" w:cs="宋体"/>
                <w:b/>
                <w:color w:val="auto"/>
                <w:szCs w:val="21"/>
                <w:highlight w:val="none"/>
              </w:rPr>
              <w:t>，否则按无效响应处理。</w:t>
            </w:r>
          </w:p>
        </w:tc>
      </w:tr>
      <w:tr w14:paraId="33D04D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F9948C1">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12.1.2</w:t>
            </w:r>
          </w:p>
        </w:tc>
        <w:tc>
          <w:tcPr>
            <w:tcW w:w="7912" w:type="dxa"/>
            <w:vAlign w:val="center"/>
          </w:tcPr>
          <w:p w14:paraId="6209C4FB">
            <w:pPr>
              <w:spacing w:line="400" w:lineRule="exact"/>
              <w:jc w:val="left"/>
              <w:rPr>
                <w:rFonts w:ascii="宋体" w:hAnsi="宋体" w:cs="宋体"/>
                <w:b/>
                <w:bCs/>
                <w:color w:val="auto"/>
                <w:szCs w:val="21"/>
                <w:highlight w:val="none"/>
              </w:rPr>
            </w:pPr>
            <w:r>
              <w:rPr>
                <w:rFonts w:hint="eastAsia" w:ascii="宋体" w:hAnsi="宋体" w:cs="宋体"/>
                <w:b/>
                <w:bCs/>
                <w:color w:val="auto"/>
                <w:szCs w:val="21"/>
                <w:highlight w:val="none"/>
              </w:rPr>
              <w:t>商务技术文件</w:t>
            </w:r>
          </w:p>
          <w:p w14:paraId="39D1E51B">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1.无串通竞标行为的承诺函（格式后附）；（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F53B9C4">
            <w:pPr>
              <w:snapToGrid w:val="0"/>
              <w:spacing w:line="400" w:lineRule="exact"/>
              <w:jc w:val="left"/>
              <w:rPr>
                <w:rFonts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2.法定代表人身份证明书及法定代表人有效身份证正反面扫描件（格式后附）；（</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w:t>
            </w:r>
            <w:bookmarkStart w:id="89" w:name="OLE_LINK6"/>
            <w:r>
              <w:rPr>
                <w:rFonts w:hint="eastAsia" w:ascii="宋体" w:hAnsi="宋体" w:cs="宋体"/>
                <w:b/>
                <w:color w:val="auto"/>
                <w:szCs w:val="21"/>
                <w:highlight w:val="none"/>
              </w:rPr>
              <w:t>按无效响应处理</w:t>
            </w:r>
            <w:bookmarkEnd w:id="89"/>
            <w:r>
              <w:rPr>
                <w:rFonts w:hint="eastAsia" w:ascii="宋体" w:hAnsi="宋体" w:cs="宋体"/>
                <w:color w:val="auto"/>
                <w:szCs w:val="21"/>
                <w:highlight w:val="none"/>
              </w:rPr>
              <w:t>）</w:t>
            </w:r>
          </w:p>
          <w:p w14:paraId="6C70FC54">
            <w:pPr>
              <w:spacing w:line="400" w:lineRule="exact"/>
              <w:jc w:val="left"/>
              <w:rPr>
                <w:rFonts w:ascii="宋体" w:hAnsi="宋体" w:cs="宋体"/>
                <w:b/>
                <w:color w:val="auto"/>
                <w:szCs w:val="21"/>
                <w:highlight w:val="none"/>
              </w:rPr>
            </w:pPr>
            <w:r>
              <w:rPr>
                <w:rFonts w:hint="eastAsia" w:ascii="宋体" w:hAnsi="宋体" w:cs="宋体"/>
                <w:color w:val="auto"/>
                <w:szCs w:val="21"/>
                <w:highlight w:val="none"/>
              </w:rPr>
              <w:t>3.法定代表人授权委托书及委托代理人有效身份证正反面扫描件（格式后附）；（</w:t>
            </w:r>
            <w:r>
              <w:rPr>
                <w:rFonts w:hint="eastAsia" w:ascii="宋体" w:hAnsi="宋体" w:cs="宋体"/>
                <w:b/>
                <w:color w:val="auto"/>
                <w:szCs w:val="21"/>
                <w:highlight w:val="none"/>
              </w:rPr>
              <w:t>委托时必须提供，否则响应文件按无效响应处理</w:t>
            </w:r>
            <w:r>
              <w:rPr>
                <w:rFonts w:hint="eastAsia" w:ascii="宋体" w:hAnsi="宋体" w:cs="宋体"/>
                <w:color w:val="auto"/>
                <w:szCs w:val="21"/>
                <w:highlight w:val="none"/>
              </w:rPr>
              <w:t>）</w:t>
            </w:r>
          </w:p>
          <w:p w14:paraId="2567EC87">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4.商务条款偏离表（格式后附）；（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26C8D0C1">
            <w:pPr>
              <w:spacing w:line="400" w:lineRule="exact"/>
              <w:jc w:val="left"/>
              <w:rPr>
                <w:rFonts w:ascii="宋体" w:hAnsi="宋体" w:cs="宋体"/>
                <w:b/>
                <w:bCs/>
                <w:color w:val="auto"/>
                <w:szCs w:val="21"/>
                <w:highlight w:val="none"/>
              </w:rPr>
            </w:pPr>
            <w:r>
              <w:rPr>
                <w:rFonts w:hint="eastAsia" w:ascii="宋体" w:hAnsi="宋体" w:cs="宋体"/>
                <w:color w:val="auto"/>
                <w:szCs w:val="21"/>
                <w:highlight w:val="none"/>
              </w:rPr>
              <w:t>5.磋商保证金提交凭证；</w:t>
            </w:r>
            <w:r>
              <w:rPr>
                <w:rFonts w:hint="eastAsia" w:ascii="宋体" w:hAnsi="宋体" w:cs="宋体"/>
                <w:b/>
                <w:bCs/>
                <w:color w:val="auto"/>
                <w:szCs w:val="21"/>
                <w:highlight w:val="none"/>
              </w:rPr>
              <w:t>（必须提供，否则响应文件按无效响应处理）</w:t>
            </w:r>
          </w:p>
          <w:p w14:paraId="77B87070">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6.技术需求偏离表（格式后附）；</w:t>
            </w:r>
            <w:r>
              <w:rPr>
                <w:rFonts w:hint="eastAsia" w:ascii="宋体" w:hAnsi="宋体" w:cs="宋体"/>
                <w:b/>
                <w:bCs/>
                <w:color w:val="auto"/>
                <w:szCs w:val="21"/>
                <w:highlight w:val="none"/>
              </w:rPr>
              <w:t>（必须提供，否则响应文件按无效响应处理）</w:t>
            </w:r>
          </w:p>
          <w:p w14:paraId="2425E5D5">
            <w:pPr>
              <w:pStyle w:val="27"/>
              <w:spacing w:line="400" w:lineRule="exact"/>
              <w:jc w:val="both"/>
              <w:rPr>
                <w:rFonts w:ascii="宋体" w:hAnsi="宋体" w:cs="宋体"/>
                <w:b w:val="0"/>
                <w:bCs w:val="0"/>
                <w:color w:val="auto"/>
                <w:kern w:val="2"/>
                <w:sz w:val="21"/>
                <w:szCs w:val="21"/>
                <w:highlight w:val="none"/>
              </w:rPr>
            </w:pPr>
            <w:r>
              <w:rPr>
                <w:rFonts w:hint="eastAsia" w:ascii="宋体" w:hAnsi="宋体" w:cs="宋体"/>
                <w:b w:val="0"/>
                <w:bCs w:val="0"/>
                <w:color w:val="auto"/>
                <w:kern w:val="2"/>
                <w:sz w:val="21"/>
                <w:szCs w:val="21"/>
                <w:highlight w:val="none"/>
              </w:rPr>
              <w:t>7.项目实施方案</w:t>
            </w:r>
            <w:r>
              <w:rPr>
                <w:rFonts w:hint="eastAsia" w:ascii="宋体" w:hAnsi="宋体" w:cs="宋体"/>
                <w:b w:val="0"/>
                <w:bCs w:val="0"/>
                <w:color w:val="auto"/>
                <w:kern w:val="2"/>
                <w:sz w:val="21"/>
                <w:szCs w:val="21"/>
                <w:highlight w:val="none"/>
                <w:lang w:eastAsia="zh-CN"/>
              </w:rPr>
              <w:t>、</w:t>
            </w:r>
            <w:r>
              <w:rPr>
                <w:rFonts w:hint="eastAsia" w:ascii="宋体" w:hAnsi="宋体" w:cs="宋体"/>
                <w:b w:val="0"/>
                <w:bCs w:val="0"/>
                <w:color w:val="auto"/>
                <w:kern w:val="2"/>
                <w:sz w:val="21"/>
                <w:szCs w:val="21"/>
                <w:highlight w:val="none"/>
              </w:rPr>
              <w:t>产品性能</w:t>
            </w:r>
            <w:r>
              <w:rPr>
                <w:rFonts w:hint="eastAsia" w:ascii="宋体" w:hAnsi="宋体" w:cs="宋体"/>
                <w:b w:val="0"/>
                <w:bCs w:val="0"/>
                <w:color w:val="auto"/>
                <w:kern w:val="2"/>
                <w:sz w:val="21"/>
                <w:szCs w:val="21"/>
                <w:highlight w:val="none"/>
                <w:lang w:val="en-US" w:eastAsia="zh-CN"/>
              </w:rPr>
              <w:t>证明材料、</w:t>
            </w:r>
            <w:r>
              <w:rPr>
                <w:rFonts w:hint="eastAsia" w:ascii="宋体" w:hAnsi="宋体" w:cs="宋体"/>
                <w:b w:val="0"/>
                <w:bCs w:val="0"/>
                <w:color w:val="auto"/>
                <w:kern w:val="2"/>
                <w:sz w:val="21"/>
                <w:szCs w:val="21"/>
                <w:highlight w:val="none"/>
              </w:rPr>
              <w:t>运维服务能力</w:t>
            </w:r>
            <w:r>
              <w:rPr>
                <w:rFonts w:hint="eastAsia" w:ascii="宋体" w:hAnsi="宋体" w:cs="宋体"/>
                <w:b w:val="0"/>
                <w:bCs w:val="0"/>
                <w:color w:val="auto"/>
                <w:kern w:val="2"/>
                <w:sz w:val="21"/>
                <w:szCs w:val="21"/>
                <w:highlight w:val="none"/>
                <w:lang w:eastAsia="zh-CN"/>
              </w:rPr>
              <w:t>、</w:t>
            </w:r>
            <w:r>
              <w:rPr>
                <w:rFonts w:hint="eastAsia" w:ascii="宋体" w:hAnsi="宋体" w:cs="宋体"/>
                <w:b w:val="0"/>
                <w:bCs w:val="0"/>
                <w:color w:val="auto"/>
                <w:kern w:val="2"/>
                <w:sz w:val="21"/>
                <w:szCs w:val="21"/>
                <w:highlight w:val="none"/>
              </w:rPr>
              <w:t>售后和运维保障服务方案</w:t>
            </w:r>
            <w:r>
              <w:rPr>
                <w:rFonts w:hint="eastAsia" w:ascii="宋体" w:hAnsi="宋体" w:cs="宋体"/>
                <w:b w:val="0"/>
                <w:bCs w:val="0"/>
                <w:color w:val="auto"/>
                <w:kern w:val="2"/>
                <w:sz w:val="21"/>
                <w:szCs w:val="21"/>
                <w:highlight w:val="none"/>
                <w:lang w:eastAsia="zh-CN"/>
              </w:rPr>
              <w:t>、</w:t>
            </w:r>
            <w:r>
              <w:rPr>
                <w:rFonts w:hint="eastAsia" w:ascii="宋体" w:hAnsi="宋体" w:cs="宋体"/>
                <w:b w:val="0"/>
                <w:bCs w:val="0"/>
                <w:color w:val="auto"/>
                <w:kern w:val="2"/>
                <w:sz w:val="21"/>
                <w:szCs w:val="21"/>
                <w:highlight w:val="none"/>
              </w:rPr>
              <w:t>应急方案</w:t>
            </w:r>
            <w:r>
              <w:rPr>
                <w:rFonts w:hint="eastAsia" w:ascii="宋体" w:hAnsi="宋体" w:cs="宋体"/>
                <w:b w:val="0"/>
                <w:bCs w:val="0"/>
                <w:color w:val="auto"/>
                <w:kern w:val="2"/>
                <w:sz w:val="21"/>
                <w:szCs w:val="21"/>
                <w:highlight w:val="none"/>
                <w:lang w:eastAsia="zh-CN"/>
              </w:rPr>
              <w:t>、</w:t>
            </w:r>
            <w:r>
              <w:rPr>
                <w:rFonts w:hint="eastAsia" w:ascii="宋体" w:hAnsi="宋体" w:cs="宋体"/>
                <w:b w:val="0"/>
                <w:bCs w:val="0"/>
                <w:color w:val="auto"/>
                <w:kern w:val="2"/>
                <w:sz w:val="21"/>
                <w:szCs w:val="21"/>
                <w:highlight w:val="none"/>
              </w:rPr>
              <w:t>业绩；（如有，请提供）</w:t>
            </w:r>
          </w:p>
          <w:p w14:paraId="1E8CB80F">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8.对应采购需求的技术需求、商务条款及商务技术评审标准提供的其他文件资料；</w:t>
            </w:r>
          </w:p>
          <w:p w14:paraId="44B29DEF">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9.供应商认为需要提供的其他有关资料。</w:t>
            </w:r>
          </w:p>
          <w:p w14:paraId="6C6511F5">
            <w:pPr>
              <w:snapToGrid w:val="0"/>
              <w:spacing w:line="400" w:lineRule="exact"/>
              <w:jc w:val="left"/>
              <w:rPr>
                <w:rFonts w:ascii="宋体" w:hAnsi="宋体" w:cs="宋体"/>
                <w:color w:val="auto"/>
                <w:szCs w:val="21"/>
                <w:highlight w:val="none"/>
              </w:rPr>
            </w:pPr>
            <w:r>
              <w:rPr>
                <w:rFonts w:hint="eastAsia" w:ascii="宋体" w:hAnsi="宋体" w:cs="宋体"/>
                <w:color w:val="auto"/>
                <w:szCs w:val="21"/>
                <w:highlight w:val="none"/>
              </w:rPr>
              <w:t xml:space="preserve">注： </w:t>
            </w:r>
          </w:p>
          <w:p w14:paraId="67723EC6">
            <w:pPr>
              <w:snapToGrid w:val="0"/>
              <w:spacing w:line="400" w:lineRule="exact"/>
              <w:jc w:val="left"/>
              <w:rPr>
                <w:rFonts w:ascii="宋体" w:hAnsi="宋体" w:cs="宋体"/>
                <w:b/>
                <w:color w:val="auto"/>
                <w:szCs w:val="21"/>
                <w:highlight w:val="none"/>
              </w:rPr>
            </w:pPr>
            <w:r>
              <w:rPr>
                <w:rFonts w:hint="eastAsia" w:ascii="宋体" w:hAnsi="宋体" w:cs="宋体"/>
                <w:b/>
                <w:color w:val="auto"/>
                <w:szCs w:val="21"/>
                <w:highlight w:val="none"/>
              </w:rPr>
              <w:t>1.以上标明“必须提供”的材料，必须加盖供应商公章（或电子签章）；必须提供的材料在第五章“响应文件格式”中有要求法定代表人或委托代理人签字的，必须由法定代表人或委托代理人签字</w:t>
            </w:r>
            <w:r>
              <w:rPr>
                <w:rFonts w:hint="eastAsia" w:ascii="宋体" w:hAnsi="宋体" w:cs="宋体"/>
                <w:b/>
                <w:bCs/>
                <w:color w:val="auto"/>
                <w:szCs w:val="21"/>
                <w:highlight w:val="none"/>
              </w:rPr>
              <w:t>（或者电子签名）</w:t>
            </w:r>
            <w:r>
              <w:rPr>
                <w:rFonts w:hint="eastAsia" w:ascii="宋体" w:hAnsi="宋体" w:cs="宋体"/>
                <w:b/>
                <w:color w:val="auto"/>
                <w:szCs w:val="21"/>
                <w:highlight w:val="none"/>
              </w:rPr>
              <w:t>，否则按无效响应处理。</w:t>
            </w:r>
          </w:p>
          <w:p w14:paraId="465763BC">
            <w:pPr>
              <w:snapToGrid w:val="0"/>
              <w:spacing w:line="400" w:lineRule="exact"/>
              <w:jc w:val="left"/>
              <w:rPr>
                <w:rFonts w:ascii="宋体" w:hAnsi="宋体" w:cs="宋体"/>
                <w:b/>
                <w:color w:val="auto"/>
                <w:szCs w:val="21"/>
                <w:highlight w:val="none"/>
              </w:rPr>
            </w:pPr>
            <w:r>
              <w:rPr>
                <w:rFonts w:hint="eastAsia" w:ascii="宋体" w:hAnsi="宋体" w:cs="宋体"/>
                <w:b/>
                <w:color w:val="auto"/>
                <w:szCs w:val="21"/>
                <w:highlight w:val="none"/>
              </w:rPr>
              <w:t>2.法定代表人授权委托书必须由法定代表人及委托代理人签字</w:t>
            </w:r>
            <w:r>
              <w:rPr>
                <w:rFonts w:hint="eastAsia" w:ascii="宋体" w:hAnsi="宋体" w:cs="宋体"/>
                <w:b/>
                <w:bCs/>
                <w:color w:val="auto"/>
                <w:szCs w:val="21"/>
                <w:highlight w:val="none"/>
              </w:rPr>
              <w:t>（或者电子签名）</w:t>
            </w:r>
            <w:r>
              <w:rPr>
                <w:rFonts w:hint="eastAsia" w:ascii="宋体" w:hAnsi="宋体" w:cs="宋体"/>
                <w:b/>
                <w:color w:val="auto"/>
                <w:szCs w:val="21"/>
                <w:highlight w:val="none"/>
              </w:rPr>
              <w:t>，并加盖供应商公章，否则响应文件按无效响应处理。</w:t>
            </w:r>
          </w:p>
          <w:p w14:paraId="764C698F">
            <w:pPr>
              <w:snapToGrid w:val="0"/>
              <w:spacing w:line="400" w:lineRule="exact"/>
              <w:jc w:val="left"/>
              <w:rPr>
                <w:rFonts w:ascii="宋体" w:hAnsi="宋体" w:cs="宋体"/>
                <w:color w:val="auto"/>
                <w:szCs w:val="21"/>
                <w:highlight w:val="none"/>
              </w:rPr>
            </w:pPr>
            <w:r>
              <w:rPr>
                <w:rFonts w:hint="eastAsia" w:ascii="宋体" w:hAnsi="宋体" w:cs="宋体"/>
                <w:b/>
                <w:color w:val="auto"/>
                <w:szCs w:val="21"/>
                <w:highlight w:val="none"/>
              </w:rPr>
              <w:t>3.以上材料未附格式的，由供应商自行拟定。</w:t>
            </w:r>
          </w:p>
        </w:tc>
      </w:tr>
      <w:tr w14:paraId="661361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3" w:hRule="atLeast"/>
          <w:jc w:val="center"/>
        </w:trPr>
        <w:tc>
          <w:tcPr>
            <w:tcW w:w="992" w:type="dxa"/>
            <w:vAlign w:val="center"/>
          </w:tcPr>
          <w:p w14:paraId="4E3D68A0">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12.1.3</w:t>
            </w:r>
          </w:p>
        </w:tc>
        <w:tc>
          <w:tcPr>
            <w:tcW w:w="7912" w:type="dxa"/>
            <w:vAlign w:val="center"/>
          </w:tcPr>
          <w:p w14:paraId="05E3DE10">
            <w:pPr>
              <w:snapToGrid w:val="0"/>
              <w:spacing w:line="400" w:lineRule="exact"/>
              <w:jc w:val="left"/>
              <w:rPr>
                <w:rFonts w:ascii="宋体" w:hAnsi="宋体" w:cs="宋体"/>
                <w:b/>
                <w:bCs/>
                <w:color w:val="auto"/>
                <w:szCs w:val="21"/>
                <w:highlight w:val="none"/>
              </w:rPr>
            </w:pPr>
            <w:r>
              <w:rPr>
                <w:rFonts w:hint="eastAsia" w:ascii="宋体" w:hAnsi="宋体" w:cs="宋体"/>
                <w:b/>
                <w:bCs/>
                <w:color w:val="auto"/>
                <w:szCs w:val="21"/>
                <w:highlight w:val="none"/>
              </w:rPr>
              <w:t>报价文件</w:t>
            </w:r>
          </w:p>
          <w:p w14:paraId="17D7B1F8">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1.竞标报价表（格式后附）；（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4CAB1A0">
            <w:pPr>
              <w:snapToGrid w:val="0"/>
              <w:spacing w:line="400" w:lineRule="exact"/>
              <w:jc w:val="left"/>
              <w:rPr>
                <w:rFonts w:hint="eastAsia" w:ascii="宋体" w:hAnsi="宋体" w:cs="宋体"/>
                <w:color w:val="auto"/>
                <w:szCs w:val="21"/>
                <w:highlight w:val="none"/>
              </w:rPr>
            </w:pPr>
            <w:r>
              <w:rPr>
                <w:rFonts w:hint="eastAsia" w:ascii="宋体" w:hAnsi="宋体" w:cs="宋体"/>
                <w:color w:val="auto"/>
                <w:szCs w:val="21"/>
                <w:highlight w:val="none"/>
              </w:rPr>
              <w:t>2.</w:t>
            </w:r>
            <w:bookmarkStart w:id="90" w:name="OLE_LINK5"/>
            <w:r>
              <w:rPr>
                <w:rFonts w:hint="eastAsia" w:ascii="宋体" w:hAnsi="宋体" w:cs="宋体"/>
                <w:color w:val="auto"/>
                <w:szCs w:val="21"/>
                <w:highlight w:val="none"/>
              </w:rPr>
              <w:t>中小企业声明函或者残疾人福利性单位声明函或者供应商属于监狱企业的证明材料（格式后附）；（如有，请提供）</w:t>
            </w:r>
            <w:bookmarkEnd w:id="90"/>
          </w:p>
          <w:p w14:paraId="17C55442">
            <w:pPr>
              <w:snapToGrid w:val="0"/>
              <w:spacing w:line="400" w:lineRule="exact"/>
              <w:jc w:val="left"/>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w:t>
            </w:r>
            <w:r>
              <w:rPr>
                <w:rFonts w:hint="eastAsia" w:ascii="宋体" w:hAnsi="宋体" w:eastAsia="宋体" w:cs="宋体"/>
                <w:color w:val="auto"/>
                <w:sz w:val="21"/>
                <w:szCs w:val="21"/>
                <w:highlight w:val="none"/>
                <w:lang w:val="en-US" w:eastAsia="zh-CN"/>
              </w:rPr>
              <w:t>关于符合本国产品标准的声明函（格式后附）或财政部会同有关部门规定的有关证明文件；（如有，请提供）</w:t>
            </w:r>
          </w:p>
          <w:p w14:paraId="23A0D8B4">
            <w:pPr>
              <w:snapToGrid w:val="0"/>
              <w:spacing w:line="400" w:lineRule="exact"/>
              <w:jc w:val="left"/>
              <w:rPr>
                <w:rFonts w:ascii="宋体" w:hAnsi="宋体" w:cs="宋体"/>
                <w:b/>
                <w:color w:val="auto"/>
                <w:szCs w:val="21"/>
                <w:highlight w:val="none"/>
              </w:rPr>
            </w:pPr>
            <w:r>
              <w:rPr>
                <w:rFonts w:hint="eastAsia" w:ascii="宋体" w:hAnsi="宋体" w:cs="宋体"/>
                <w:b/>
                <w:color w:val="auto"/>
                <w:szCs w:val="21"/>
                <w:highlight w:val="none"/>
              </w:rPr>
              <w:t>注：</w:t>
            </w:r>
          </w:p>
          <w:p w14:paraId="230B7638">
            <w:pPr>
              <w:snapToGrid w:val="0"/>
              <w:spacing w:line="400" w:lineRule="exact"/>
              <w:jc w:val="left"/>
              <w:rPr>
                <w:rFonts w:ascii="宋体" w:hAnsi="宋体" w:cs="宋体"/>
                <w:color w:val="auto"/>
                <w:szCs w:val="21"/>
                <w:highlight w:val="none"/>
              </w:rPr>
            </w:pPr>
            <w:r>
              <w:rPr>
                <w:rFonts w:hint="eastAsia" w:ascii="宋体" w:hAnsi="宋体" w:cs="宋体"/>
                <w:b/>
                <w:color w:val="auto"/>
                <w:szCs w:val="21"/>
                <w:highlight w:val="none"/>
              </w:rPr>
              <w:t>1.以上标明“必须提供”的材料，必须加盖供应商公章（或电子签章）；必须提供的材料在第五章“响应文件格式”中有要求法定代表人或委托代理人签字的，必须由法定代表人或委托代理人签字</w:t>
            </w:r>
            <w:r>
              <w:rPr>
                <w:rFonts w:hint="eastAsia" w:ascii="宋体" w:hAnsi="宋体" w:cs="宋体"/>
                <w:b/>
                <w:bCs/>
                <w:color w:val="auto"/>
                <w:szCs w:val="21"/>
                <w:highlight w:val="none"/>
              </w:rPr>
              <w:t>（或者电子签名）</w:t>
            </w:r>
            <w:r>
              <w:rPr>
                <w:rFonts w:hint="eastAsia" w:ascii="宋体" w:hAnsi="宋体" w:cs="宋体"/>
                <w:b/>
                <w:color w:val="auto"/>
                <w:szCs w:val="21"/>
                <w:highlight w:val="none"/>
              </w:rPr>
              <w:t>，否则按无效响应处理。</w:t>
            </w:r>
          </w:p>
        </w:tc>
      </w:tr>
      <w:tr w14:paraId="3CD53B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3261C06">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12.2</w:t>
            </w:r>
          </w:p>
        </w:tc>
        <w:tc>
          <w:tcPr>
            <w:tcW w:w="7912" w:type="dxa"/>
            <w:vAlign w:val="center"/>
          </w:tcPr>
          <w:p w14:paraId="529BA011">
            <w:pPr>
              <w:snapToGrid w:val="0"/>
              <w:spacing w:line="400" w:lineRule="exact"/>
              <w:jc w:val="left"/>
              <w:rPr>
                <w:rFonts w:ascii="宋体" w:hAnsi="宋体" w:cs="宋体"/>
                <w:color w:val="auto"/>
                <w:szCs w:val="21"/>
                <w:highlight w:val="none"/>
              </w:rPr>
            </w:pPr>
            <w:r>
              <w:rPr>
                <w:rFonts w:hint="eastAsia" w:ascii="宋体" w:hAnsi="宋体" w:cs="宋体"/>
                <w:color w:val="auto"/>
                <w:szCs w:val="21"/>
                <w:highlight w:val="none"/>
              </w:rPr>
              <w:t>1.响应文件要求：按照本磋商文件“第五章 响应文件格式”编写（第五章未附格式的，由供应商自行拟定），不可涂改并在规定加盖公章处加盖公章，</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74A19C0B">
            <w:pPr>
              <w:snapToGrid w:val="0"/>
              <w:spacing w:line="400" w:lineRule="exact"/>
              <w:jc w:val="left"/>
              <w:rPr>
                <w:rFonts w:ascii="宋体" w:hAnsi="宋体" w:cs="宋体"/>
                <w:color w:val="auto"/>
                <w:szCs w:val="21"/>
                <w:highlight w:val="none"/>
              </w:rPr>
            </w:pPr>
            <w:r>
              <w:rPr>
                <w:rFonts w:hint="eastAsia" w:ascii="宋体" w:hAnsi="宋体" w:cs="宋体"/>
                <w:color w:val="auto"/>
                <w:szCs w:val="21"/>
                <w:highlight w:val="none"/>
              </w:rPr>
              <w:t>2.响应文件密封方式：电子响应文件通过平台有效CA加密后在广西政府采购云平台投送。</w:t>
            </w:r>
          </w:p>
        </w:tc>
      </w:tr>
      <w:tr w14:paraId="6D33CD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5D8F6FB">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15.2</w:t>
            </w:r>
          </w:p>
        </w:tc>
        <w:tc>
          <w:tcPr>
            <w:tcW w:w="7912" w:type="dxa"/>
            <w:vAlign w:val="center"/>
          </w:tcPr>
          <w:p w14:paraId="1308E35E">
            <w:pPr>
              <w:snapToGrid w:val="0"/>
              <w:spacing w:line="400" w:lineRule="exact"/>
              <w:jc w:val="left"/>
              <w:rPr>
                <w:rFonts w:ascii="宋体" w:hAnsi="宋体" w:cs="宋体"/>
                <w:color w:val="auto"/>
                <w:szCs w:val="21"/>
                <w:highlight w:val="none"/>
              </w:rPr>
            </w:pPr>
            <w:r>
              <w:rPr>
                <w:rFonts w:hint="eastAsia" w:ascii="宋体" w:hAnsi="宋体" w:cs="宋体"/>
                <w:color w:val="auto"/>
                <w:szCs w:val="21"/>
                <w:highlight w:val="none"/>
              </w:rPr>
              <w:t>本项目报价包括但不限于满足本次竞标全部采购需求所应提供的服务，以及伴随的货物和工程（如有）的价格；包含竞标服务、货物、工程的成本、运输（含保险）、安装（如有）、调试、检验、技术服务、培训、税费等所有费用。</w:t>
            </w:r>
          </w:p>
          <w:p w14:paraId="41E02A3F">
            <w:pPr>
              <w:snapToGrid w:val="0"/>
              <w:spacing w:line="400" w:lineRule="exact"/>
              <w:rPr>
                <w:rFonts w:ascii="宋体" w:hAnsi="宋体" w:cs="宋体"/>
                <w:b/>
                <w:color w:val="auto"/>
                <w:szCs w:val="21"/>
                <w:highlight w:val="none"/>
              </w:rPr>
            </w:pPr>
            <w:r>
              <w:rPr>
                <w:rFonts w:hint="eastAsia" w:ascii="宋体" w:hAnsi="宋体" w:cs="宋体"/>
                <w:b/>
                <w:color w:val="auto"/>
                <w:szCs w:val="21"/>
                <w:highlight w:val="none"/>
              </w:rPr>
              <w:t>☑竞标报价包含验收费用</w:t>
            </w:r>
          </w:p>
          <w:p w14:paraId="142C69EC">
            <w:pPr>
              <w:snapToGrid w:val="0"/>
              <w:spacing w:line="400" w:lineRule="exact"/>
              <w:jc w:val="left"/>
              <w:rPr>
                <w:rFonts w:ascii="宋体" w:hAnsi="宋体" w:cs="宋体"/>
                <w:color w:val="auto"/>
                <w:szCs w:val="21"/>
                <w:highlight w:val="none"/>
              </w:rPr>
            </w:pPr>
            <w:r>
              <w:rPr>
                <w:rFonts w:hint="eastAsia" w:ascii="宋体" w:hAnsi="宋体" w:cs="宋体"/>
                <w:b/>
                <w:color w:val="auto"/>
                <w:szCs w:val="21"/>
                <w:highlight w:val="none"/>
              </w:rPr>
              <w:t>□竞标报价不包含验收费用</w:t>
            </w:r>
          </w:p>
        </w:tc>
      </w:tr>
      <w:tr w14:paraId="753620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0BD5699">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16.2</w:t>
            </w:r>
          </w:p>
        </w:tc>
        <w:tc>
          <w:tcPr>
            <w:tcW w:w="7912" w:type="dxa"/>
            <w:vAlign w:val="center"/>
          </w:tcPr>
          <w:p w14:paraId="37DDABE6">
            <w:pPr>
              <w:pStyle w:val="9"/>
              <w:widowControl w:val="0"/>
              <w:tabs>
                <w:tab w:val="clear" w:pos="454"/>
              </w:tabs>
              <w:snapToGrid w:val="0"/>
              <w:spacing w:afterLines="0" w:line="400" w:lineRule="exact"/>
              <w:ind w:left="0" w:firstLine="0"/>
              <w:rPr>
                <w:rFonts w:ascii="宋体" w:hAnsi="宋体" w:cs="宋体"/>
                <w:color w:val="auto"/>
                <w:kern w:val="2"/>
                <w:sz w:val="21"/>
                <w:szCs w:val="21"/>
                <w:highlight w:val="none"/>
              </w:rPr>
            </w:pPr>
            <w:r>
              <w:rPr>
                <w:rFonts w:hint="eastAsia" w:ascii="宋体" w:hAnsi="宋体" w:cs="宋体"/>
                <w:color w:val="auto"/>
                <w:kern w:val="2"/>
                <w:sz w:val="21"/>
                <w:szCs w:val="21"/>
                <w:highlight w:val="none"/>
              </w:rPr>
              <w:t>竞标有效期：自首次响应文件提交截止之日起</w:t>
            </w:r>
            <w:r>
              <w:rPr>
                <w:rFonts w:hint="eastAsia" w:ascii="宋体" w:hAnsi="宋体" w:cs="宋体"/>
                <w:color w:val="auto"/>
                <w:kern w:val="2"/>
                <w:sz w:val="21"/>
                <w:szCs w:val="21"/>
                <w:highlight w:val="none"/>
                <w:u w:val="single"/>
              </w:rPr>
              <w:t xml:space="preserve"> 90 </w:t>
            </w:r>
            <w:r>
              <w:rPr>
                <w:rFonts w:hint="eastAsia" w:ascii="宋体" w:hAnsi="宋体" w:cs="宋体"/>
                <w:color w:val="auto"/>
                <w:kern w:val="2"/>
                <w:sz w:val="21"/>
                <w:szCs w:val="21"/>
                <w:highlight w:val="none"/>
              </w:rPr>
              <w:t>日。</w:t>
            </w:r>
          </w:p>
        </w:tc>
      </w:tr>
      <w:tr w14:paraId="120314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954F1FB">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17.1</w:t>
            </w:r>
          </w:p>
        </w:tc>
        <w:tc>
          <w:tcPr>
            <w:tcW w:w="7912" w:type="dxa"/>
            <w:vAlign w:val="center"/>
          </w:tcPr>
          <w:p w14:paraId="5BD18FF1">
            <w:pPr>
              <w:spacing w:line="400" w:lineRule="exact"/>
              <w:rPr>
                <w:rFonts w:ascii="宋体" w:hAnsi="宋体" w:cs="宋体"/>
                <w:color w:val="auto"/>
                <w:kern w:val="0"/>
                <w:szCs w:val="21"/>
                <w:highlight w:val="none"/>
              </w:rPr>
            </w:pPr>
            <w:r>
              <w:rPr>
                <w:rFonts w:hint="eastAsia" w:ascii="宋体" w:hAnsi="宋体" w:cs="宋体"/>
                <w:color w:val="auto"/>
                <w:szCs w:val="21"/>
                <w:highlight w:val="none"/>
              </w:rPr>
              <w:t>磋商保证金的交纳方式：详见竞争性磋商公告</w:t>
            </w:r>
            <w:r>
              <w:rPr>
                <w:rFonts w:hint="eastAsia" w:ascii="宋体" w:hAnsi="宋体" w:cs="宋体"/>
                <w:color w:val="auto"/>
                <w:kern w:val="0"/>
                <w:szCs w:val="21"/>
                <w:highlight w:val="none"/>
              </w:rPr>
              <w:t>。</w:t>
            </w:r>
          </w:p>
          <w:p w14:paraId="0ECE7B77">
            <w:pPr>
              <w:snapToGrid w:val="0"/>
              <w:spacing w:line="400" w:lineRule="exact"/>
              <w:rPr>
                <w:rFonts w:ascii="宋体" w:hAnsi="宋体" w:cs="宋体"/>
                <w:color w:val="auto"/>
                <w:kern w:val="0"/>
                <w:szCs w:val="21"/>
                <w:highlight w:val="none"/>
              </w:rPr>
            </w:pPr>
            <w:r>
              <w:rPr>
                <w:rFonts w:hint="eastAsia" w:ascii="宋体" w:hAnsi="宋体" w:cs="宋体"/>
                <w:color w:val="auto"/>
                <w:kern w:val="0"/>
                <w:szCs w:val="21"/>
                <w:highlight w:val="none"/>
              </w:rPr>
              <w:t>磋商保证金的金额：详见竞争性磋商公告。</w:t>
            </w:r>
          </w:p>
          <w:p w14:paraId="5A1F9C4C">
            <w:pPr>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相关要求：</w:t>
            </w:r>
          </w:p>
          <w:p w14:paraId="0A845FB2">
            <w:pPr>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1.磋商保证金采用银行转账交纳方式的，在首次响应文件提交截止时间前交至采购代理机构指定账户并且到账，供应商应将银行转账底单的复印件作为磋商保证金提交凭证，</w:t>
            </w:r>
            <w:r>
              <w:rPr>
                <w:rFonts w:hint="eastAsia" w:ascii="宋体" w:hAnsi="宋体" w:cs="宋体"/>
                <w:b/>
                <w:bCs/>
                <w:color w:val="auto"/>
                <w:szCs w:val="21"/>
                <w:highlight w:val="none"/>
              </w:rPr>
              <w:t>放置于商务技术文件中，否则其响应文件作无效处理</w:t>
            </w:r>
            <w:r>
              <w:rPr>
                <w:rFonts w:hint="eastAsia" w:ascii="宋体" w:hAnsi="宋体" w:cs="宋体"/>
                <w:color w:val="auto"/>
                <w:szCs w:val="21"/>
                <w:highlight w:val="none"/>
              </w:rPr>
              <w:t>。</w:t>
            </w:r>
          </w:p>
          <w:p w14:paraId="607DBB40">
            <w:pPr>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2.磋商保证金采用支票、汇票、本票或者金融、担保机构出具的保函</w:t>
            </w:r>
            <w:r>
              <w:rPr>
                <w:rFonts w:hint="eastAsia" w:ascii="宋体" w:hAnsi="宋体" w:cs="宋体"/>
                <w:color w:val="auto"/>
                <w:kern w:val="0"/>
                <w:szCs w:val="21"/>
                <w:highlight w:val="none"/>
              </w:rPr>
              <w:t>、保险机构保单</w:t>
            </w:r>
            <w:r>
              <w:rPr>
                <w:rFonts w:hint="eastAsia" w:ascii="宋体" w:hAnsi="宋体" w:cs="宋体"/>
                <w:color w:val="auto"/>
                <w:szCs w:val="21"/>
                <w:highlight w:val="none"/>
              </w:rPr>
              <w:t>交纳方式的，供应商应将支票、汇票、本票或者金融、担保机构出具的保函</w:t>
            </w:r>
            <w:r>
              <w:rPr>
                <w:rFonts w:hint="eastAsia" w:ascii="宋体" w:hAnsi="宋体" w:cs="宋体"/>
                <w:color w:val="auto"/>
                <w:kern w:val="0"/>
                <w:szCs w:val="21"/>
                <w:highlight w:val="none"/>
              </w:rPr>
              <w:t>、保险机构保单</w:t>
            </w:r>
            <w:r>
              <w:rPr>
                <w:rFonts w:hint="eastAsia" w:ascii="宋体" w:hAnsi="宋体" w:cs="宋体"/>
                <w:color w:val="auto"/>
                <w:szCs w:val="21"/>
                <w:highlight w:val="none"/>
              </w:rPr>
              <w:t>的复印件作为磋商保证金提交凭证，放置于商务技术文件中，</w:t>
            </w:r>
            <w:r>
              <w:rPr>
                <w:rFonts w:hint="eastAsia" w:ascii="宋体" w:hAnsi="宋体" w:cs="宋体"/>
                <w:b/>
                <w:color w:val="auto"/>
                <w:szCs w:val="21"/>
                <w:highlight w:val="none"/>
              </w:rPr>
              <w:t>否则其响应文件作无效处理</w:t>
            </w:r>
            <w:r>
              <w:rPr>
                <w:rFonts w:hint="eastAsia" w:ascii="宋体" w:hAnsi="宋体" w:cs="宋体"/>
                <w:color w:val="auto"/>
                <w:szCs w:val="21"/>
                <w:highlight w:val="none"/>
              </w:rPr>
              <w:t>。供应商必须于递交响应文件时将支票、汇票、本票或者金融、担保机构出具的保函（纸质保函）</w:t>
            </w:r>
            <w:r>
              <w:rPr>
                <w:rFonts w:hint="eastAsia" w:ascii="宋体" w:hAnsi="宋体" w:cs="宋体"/>
                <w:color w:val="auto"/>
                <w:kern w:val="0"/>
                <w:szCs w:val="21"/>
                <w:highlight w:val="none"/>
              </w:rPr>
              <w:t>、保险机构保单</w:t>
            </w:r>
            <w:r>
              <w:rPr>
                <w:rFonts w:hint="eastAsia" w:ascii="宋体" w:hAnsi="宋体" w:cs="宋体"/>
                <w:color w:val="auto"/>
                <w:szCs w:val="21"/>
                <w:highlight w:val="none"/>
              </w:rPr>
              <w:t>原件提交至北海市海城区北海大道62号文邦国际大厦B座1216号，由采购人或者采购代理机构向供应商出具回执，并妥善保管。</w:t>
            </w:r>
          </w:p>
          <w:p w14:paraId="17FDE27D">
            <w:pPr>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3.磋商保证金指定账户：</w:t>
            </w:r>
          </w:p>
          <w:p w14:paraId="0690AF5D">
            <w:pPr>
              <w:snapToGrid w:val="0"/>
              <w:spacing w:line="400" w:lineRule="exact"/>
              <w:rPr>
                <w:rFonts w:ascii="宋体" w:hAnsi="宋体" w:cs="宋体"/>
                <w:color w:val="auto"/>
                <w:kern w:val="0"/>
                <w:szCs w:val="21"/>
                <w:highlight w:val="none"/>
              </w:rPr>
            </w:pPr>
            <w:r>
              <w:rPr>
                <w:rFonts w:hint="eastAsia" w:ascii="宋体" w:hAnsi="宋体" w:cs="宋体"/>
                <w:color w:val="auto"/>
                <w:kern w:val="0"/>
                <w:szCs w:val="21"/>
                <w:highlight w:val="none"/>
              </w:rPr>
              <w:t>开户银行：中信银行广州花园支行</w:t>
            </w:r>
          </w:p>
          <w:p w14:paraId="338525FC">
            <w:pPr>
              <w:snapToGrid w:val="0"/>
              <w:spacing w:line="400" w:lineRule="exact"/>
              <w:rPr>
                <w:rFonts w:ascii="宋体" w:hAnsi="宋体" w:cs="宋体"/>
                <w:color w:val="auto"/>
                <w:kern w:val="0"/>
                <w:szCs w:val="21"/>
                <w:highlight w:val="none"/>
              </w:rPr>
            </w:pPr>
            <w:r>
              <w:rPr>
                <w:rFonts w:hint="eastAsia" w:ascii="宋体" w:hAnsi="宋体" w:cs="宋体"/>
                <w:color w:val="auto"/>
                <w:kern w:val="0"/>
                <w:szCs w:val="21"/>
                <w:highlight w:val="none"/>
              </w:rPr>
              <w:t>开户名称：公诚管理咨询有限公司</w:t>
            </w:r>
          </w:p>
          <w:p w14:paraId="7D6F6526">
            <w:pPr>
              <w:snapToGrid w:val="0"/>
              <w:spacing w:line="400" w:lineRule="exact"/>
              <w:rPr>
                <w:rFonts w:hint="eastAsia" w:ascii="宋体" w:hAnsi="宋体" w:eastAsia="宋体" w:cs="宋体"/>
                <w:color w:val="auto"/>
                <w:szCs w:val="21"/>
                <w:highlight w:val="none"/>
                <w:lang w:eastAsia="zh-CN"/>
              </w:rPr>
            </w:pPr>
            <w:r>
              <w:rPr>
                <w:rFonts w:hint="eastAsia" w:ascii="宋体" w:hAnsi="宋体" w:cs="宋体"/>
                <w:color w:val="auto"/>
                <w:kern w:val="0"/>
                <w:szCs w:val="21"/>
                <w:highlight w:val="none"/>
              </w:rPr>
              <w:t>银行账号：</w:t>
            </w:r>
            <w:r>
              <w:rPr>
                <w:rFonts w:hint="eastAsia" w:ascii="宋体" w:hAnsi="宋体" w:cs="宋体"/>
                <w:color w:val="auto"/>
                <w:kern w:val="0"/>
                <w:szCs w:val="21"/>
                <w:highlight w:val="none"/>
                <w:lang w:eastAsia="zh-CN"/>
              </w:rPr>
              <w:t>3110910037672621778</w:t>
            </w:r>
          </w:p>
          <w:p w14:paraId="2AA86771">
            <w:pPr>
              <w:snapToGrid w:val="0"/>
              <w:spacing w:line="400" w:lineRule="exact"/>
              <w:rPr>
                <w:rFonts w:ascii="宋体" w:hAnsi="宋体" w:cs="宋体"/>
                <w:b/>
                <w:color w:val="auto"/>
                <w:szCs w:val="21"/>
                <w:highlight w:val="none"/>
              </w:rPr>
            </w:pPr>
            <w:r>
              <w:rPr>
                <w:rFonts w:hint="eastAsia" w:ascii="宋体" w:hAnsi="宋体" w:cs="宋体"/>
                <w:b/>
                <w:color w:val="auto"/>
                <w:szCs w:val="21"/>
                <w:highlight w:val="none"/>
              </w:rPr>
              <w:t xml:space="preserve">备注： </w:t>
            </w:r>
          </w:p>
          <w:p w14:paraId="5B70D2A0">
            <w:pPr>
              <w:snapToGrid w:val="0"/>
              <w:spacing w:line="400" w:lineRule="exact"/>
              <w:rPr>
                <w:rFonts w:ascii="宋体" w:hAnsi="宋体" w:cs="宋体"/>
                <w:b/>
                <w:color w:val="auto"/>
                <w:szCs w:val="21"/>
                <w:highlight w:val="none"/>
              </w:rPr>
            </w:pPr>
            <w:r>
              <w:rPr>
                <w:rFonts w:hint="eastAsia" w:ascii="宋体" w:hAnsi="宋体" w:cs="宋体"/>
                <w:b/>
                <w:color w:val="auto"/>
                <w:szCs w:val="21"/>
                <w:highlight w:val="none"/>
              </w:rPr>
              <w:t>1.首次响应文件提交截止时间后提交的，或者未足额交纳的，或者保函、保单额度不足的，视为无效磋商保证金。</w:t>
            </w:r>
          </w:p>
          <w:p w14:paraId="26843438">
            <w:pPr>
              <w:snapToGrid w:val="0"/>
              <w:spacing w:line="400" w:lineRule="exact"/>
              <w:rPr>
                <w:rFonts w:ascii="宋体" w:hAnsi="宋体" w:cs="宋体"/>
                <w:b/>
                <w:color w:val="auto"/>
                <w:szCs w:val="21"/>
                <w:highlight w:val="none"/>
              </w:rPr>
            </w:pPr>
            <w:r>
              <w:rPr>
                <w:rFonts w:hint="eastAsia" w:ascii="宋体" w:hAnsi="宋体" w:cs="宋体"/>
                <w:b/>
                <w:color w:val="auto"/>
                <w:szCs w:val="21"/>
                <w:highlight w:val="none"/>
              </w:rPr>
              <w:t>2.供应商采用现钞方式或者从个人账户（自然人竞标除外）转出的磋商保证金，视为无效磋商保证金。</w:t>
            </w:r>
          </w:p>
          <w:p w14:paraId="1C85AD62">
            <w:pPr>
              <w:snapToGrid w:val="0"/>
              <w:spacing w:line="400" w:lineRule="exact"/>
              <w:rPr>
                <w:rFonts w:ascii="宋体" w:hAnsi="宋体" w:cs="宋体"/>
                <w:b/>
                <w:color w:val="auto"/>
                <w:szCs w:val="21"/>
                <w:highlight w:val="none"/>
              </w:rPr>
            </w:pPr>
            <w:r>
              <w:rPr>
                <w:rFonts w:hint="eastAsia" w:ascii="宋体" w:hAnsi="宋体" w:cs="宋体"/>
                <w:b/>
                <w:color w:val="auto"/>
                <w:szCs w:val="21"/>
                <w:highlight w:val="none"/>
              </w:rPr>
              <w:t>3.支票、汇票或者本票出现无效或者背书情形的，视为无效磋商保证金。</w:t>
            </w:r>
          </w:p>
          <w:p w14:paraId="2414DC7F">
            <w:pPr>
              <w:snapToGrid w:val="0"/>
              <w:spacing w:line="400" w:lineRule="exact"/>
              <w:rPr>
                <w:rFonts w:ascii="宋体" w:hAnsi="宋体" w:cs="宋体"/>
                <w:b/>
                <w:color w:val="auto"/>
                <w:szCs w:val="21"/>
                <w:highlight w:val="none"/>
              </w:rPr>
            </w:pPr>
            <w:r>
              <w:rPr>
                <w:rFonts w:hint="eastAsia" w:ascii="宋体" w:hAnsi="宋体" w:cs="宋体"/>
                <w:b/>
                <w:color w:val="auto"/>
                <w:szCs w:val="21"/>
                <w:highlight w:val="none"/>
              </w:rPr>
              <w:t>4.保函、保单有效期低于竞标有效期的，视为无效磋商保证金。</w:t>
            </w:r>
          </w:p>
          <w:p w14:paraId="7F2707B9">
            <w:pPr>
              <w:spacing w:line="400" w:lineRule="exact"/>
              <w:rPr>
                <w:rFonts w:ascii="宋体" w:hAnsi="宋体" w:cs="宋体"/>
                <w:color w:val="auto"/>
                <w:kern w:val="0"/>
                <w:szCs w:val="21"/>
                <w:highlight w:val="none"/>
              </w:rPr>
            </w:pPr>
            <w:r>
              <w:rPr>
                <w:rFonts w:hint="eastAsia" w:ascii="宋体" w:hAnsi="宋体" w:cs="宋体"/>
                <w:b/>
                <w:color w:val="auto"/>
                <w:szCs w:val="21"/>
                <w:highlight w:val="none"/>
              </w:rPr>
              <w:t>5.磋商保证金采用金融、担保机构出具的保函为有条件保函的，视为无效磋商保证金。</w:t>
            </w:r>
          </w:p>
        </w:tc>
      </w:tr>
      <w:tr w14:paraId="538E39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8FE12FD">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20.1</w:t>
            </w:r>
          </w:p>
        </w:tc>
        <w:tc>
          <w:tcPr>
            <w:tcW w:w="7912" w:type="dxa"/>
            <w:vAlign w:val="center"/>
          </w:tcPr>
          <w:p w14:paraId="700BD26B">
            <w:pPr>
              <w:snapToGrid w:val="0"/>
              <w:spacing w:line="400" w:lineRule="exact"/>
              <w:jc w:val="left"/>
              <w:rPr>
                <w:rFonts w:ascii="宋体" w:hAnsi="宋体" w:cs="宋体"/>
                <w:color w:val="auto"/>
                <w:szCs w:val="21"/>
                <w:highlight w:val="none"/>
                <w:u w:val="single"/>
              </w:rPr>
            </w:pPr>
            <w:r>
              <w:rPr>
                <w:rFonts w:hint="eastAsia" w:ascii="宋体" w:hAnsi="宋体" w:cs="宋体"/>
                <w:color w:val="auto"/>
                <w:szCs w:val="21"/>
                <w:highlight w:val="none"/>
              </w:rPr>
              <w:t>首次响应文件提交截止时间：同竞争性磋商公告中响应文件提交截止时间。</w:t>
            </w:r>
          </w:p>
          <w:p w14:paraId="6648F586">
            <w:pPr>
              <w:spacing w:line="400" w:lineRule="exact"/>
              <w:rPr>
                <w:rFonts w:ascii="宋体" w:hAnsi="宋体" w:cs="宋体"/>
                <w:color w:val="auto"/>
                <w:szCs w:val="21"/>
                <w:highlight w:val="none"/>
              </w:rPr>
            </w:pPr>
            <w:r>
              <w:rPr>
                <w:rFonts w:hint="eastAsia" w:ascii="宋体" w:hAnsi="宋体" w:cs="宋体"/>
                <w:color w:val="auto"/>
                <w:szCs w:val="21"/>
                <w:highlight w:val="none"/>
              </w:rPr>
              <w:t>首次响应文件提交地点：同竞争性磋商公告中响应文件提交截止地点。</w:t>
            </w:r>
          </w:p>
        </w:tc>
      </w:tr>
      <w:tr w14:paraId="676D96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C21DEAA">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24.1</w:t>
            </w:r>
          </w:p>
        </w:tc>
        <w:tc>
          <w:tcPr>
            <w:tcW w:w="7912" w:type="dxa"/>
            <w:vAlign w:val="center"/>
          </w:tcPr>
          <w:p w14:paraId="57FBBA3A">
            <w:pPr>
              <w:snapToGrid w:val="0"/>
              <w:spacing w:line="400" w:lineRule="exact"/>
              <w:jc w:val="left"/>
              <w:rPr>
                <w:rFonts w:ascii="宋体" w:hAnsi="宋体" w:cs="宋体"/>
                <w:color w:val="auto"/>
                <w:szCs w:val="21"/>
                <w:highlight w:val="none"/>
              </w:rPr>
            </w:pPr>
            <w:r>
              <w:rPr>
                <w:rFonts w:hint="eastAsia" w:ascii="宋体" w:hAnsi="宋体" w:cs="宋体"/>
                <w:color w:val="auto"/>
                <w:szCs w:val="21"/>
                <w:highlight w:val="none"/>
              </w:rPr>
              <w:t>磋商小组的人数：</w:t>
            </w:r>
            <w:r>
              <w:rPr>
                <w:rFonts w:hint="eastAsia" w:ascii="宋体" w:hAnsi="宋体" w:cs="宋体"/>
                <w:color w:val="auto"/>
                <w:szCs w:val="21"/>
                <w:highlight w:val="none"/>
                <w:u w:val="single"/>
              </w:rPr>
              <w:t xml:space="preserve">  3  </w:t>
            </w:r>
            <w:r>
              <w:rPr>
                <w:rFonts w:hint="eastAsia" w:ascii="宋体" w:hAnsi="宋体" w:cs="宋体"/>
                <w:color w:val="auto"/>
                <w:szCs w:val="21"/>
                <w:highlight w:val="none"/>
              </w:rPr>
              <w:t>人。</w:t>
            </w:r>
          </w:p>
        </w:tc>
      </w:tr>
      <w:tr w14:paraId="709C75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restart"/>
            <w:vAlign w:val="center"/>
          </w:tcPr>
          <w:p w14:paraId="48D48235">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26.2</w:t>
            </w:r>
          </w:p>
        </w:tc>
        <w:tc>
          <w:tcPr>
            <w:tcW w:w="7912" w:type="dxa"/>
            <w:vAlign w:val="center"/>
          </w:tcPr>
          <w:p w14:paraId="01978DDC">
            <w:pPr>
              <w:snapToGrid w:val="0"/>
              <w:spacing w:line="400" w:lineRule="exact"/>
              <w:jc w:val="left"/>
              <w:rPr>
                <w:rFonts w:ascii="宋体" w:hAnsi="宋体" w:cs="宋体"/>
                <w:b/>
                <w:color w:val="auto"/>
                <w:szCs w:val="21"/>
                <w:highlight w:val="none"/>
              </w:rPr>
            </w:pPr>
            <w:r>
              <w:rPr>
                <w:rFonts w:hint="eastAsia" w:ascii="宋体" w:hAnsi="宋体" w:cs="宋体"/>
                <w:b/>
                <w:color w:val="auto"/>
                <w:szCs w:val="21"/>
                <w:highlight w:val="none"/>
              </w:rPr>
              <w:t>磋商的顺序：</w:t>
            </w:r>
          </w:p>
          <w:p w14:paraId="65EF9C07">
            <w:pPr>
              <w:pStyle w:val="10"/>
              <w:spacing w:line="400" w:lineRule="exact"/>
              <w:rPr>
                <w:rFonts w:ascii="宋体" w:hAnsi="宋体" w:cs="宋体"/>
                <w:color w:val="auto"/>
                <w:szCs w:val="21"/>
                <w:highlight w:val="none"/>
              </w:rPr>
            </w:pPr>
            <w:r>
              <w:rPr>
                <w:rFonts w:hint="eastAsia" w:ascii="宋体" w:hAnsi="宋体" w:cs="宋体"/>
                <w:color w:val="auto"/>
                <w:szCs w:val="21"/>
                <w:highlight w:val="none"/>
              </w:rPr>
              <w:t>□按照提交首次响应文件的顺序，通知磋商时，若某供应商不在通知现场时（该供应商排序到最后磋商），按照签到的顺序由其下一位供应商先参与磋商。</w:t>
            </w:r>
          </w:p>
          <w:p w14:paraId="313F0C39">
            <w:pPr>
              <w:snapToGrid w:val="0"/>
              <w:spacing w:line="400" w:lineRule="exact"/>
              <w:jc w:val="left"/>
              <w:rPr>
                <w:rFonts w:ascii="宋体" w:hAnsi="宋体" w:cs="宋体"/>
                <w:color w:val="auto"/>
                <w:szCs w:val="21"/>
                <w:highlight w:val="none"/>
              </w:rPr>
            </w:pPr>
            <w:r>
              <w:rPr>
                <w:rFonts w:hint="eastAsia" w:ascii="宋体" w:hAnsi="宋体" w:cs="宋体"/>
                <w:color w:val="auto"/>
                <w:szCs w:val="21"/>
                <w:highlight w:val="none"/>
              </w:rPr>
              <w:t>☑随机排序。</w:t>
            </w:r>
          </w:p>
          <w:p w14:paraId="224A9B2F">
            <w:pPr>
              <w:snapToGrid w:val="0"/>
              <w:spacing w:line="400" w:lineRule="exact"/>
              <w:jc w:val="left"/>
              <w:rPr>
                <w:rFonts w:ascii="宋体" w:hAnsi="宋体" w:cs="宋体"/>
                <w:color w:val="auto"/>
                <w:szCs w:val="21"/>
                <w:highlight w:val="none"/>
              </w:rPr>
            </w:pPr>
            <w:r>
              <w:rPr>
                <w:rFonts w:hint="eastAsia" w:ascii="宋体" w:hAnsi="宋体" w:cs="宋体"/>
                <w:b/>
                <w:color w:val="auto"/>
                <w:szCs w:val="21"/>
                <w:highlight w:val="none"/>
              </w:rPr>
              <w:t>供应商法定代表人或者委托代理人通过广西政府采购云平台线上磋商方式参与磋商并在磋商小组要求的合理期限内通过广西政府采购云平台作出最终报价。</w:t>
            </w:r>
          </w:p>
        </w:tc>
      </w:tr>
      <w:tr w14:paraId="05A16E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vAlign w:val="center"/>
          </w:tcPr>
          <w:p w14:paraId="4464D038">
            <w:pPr>
              <w:spacing w:line="400" w:lineRule="exact"/>
              <w:jc w:val="center"/>
              <w:rPr>
                <w:rFonts w:ascii="宋体" w:hAnsi="宋体" w:cs="宋体"/>
                <w:color w:val="auto"/>
                <w:szCs w:val="21"/>
                <w:highlight w:val="none"/>
              </w:rPr>
            </w:pPr>
          </w:p>
        </w:tc>
        <w:tc>
          <w:tcPr>
            <w:tcW w:w="7912" w:type="dxa"/>
            <w:vAlign w:val="center"/>
          </w:tcPr>
          <w:p w14:paraId="5B200D3F">
            <w:pPr>
              <w:pStyle w:val="10"/>
              <w:spacing w:line="400" w:lineRule="exact"/>
              <w:jc w:val="both"/>
              <w:rPr>
                <w:rFonts w:ascii="宋体" w:hAnsi="宋体" w:cs="宋体"/>
                <w:color w:val="auto"/>
                <w:szCs w:val="21"/>
                <w:highlight w:val="none"/>
              </w:rPr>
            </w:pPr>
            <w:r>
              <w:rPr>
                <w:rFonts w:hint="eastAsia" w:ascii="宋体" w:hAnsi="宋体" w:cs="宋体"/>
                <w:color w:val="auto"/>
                <w:szCs w:val="21"/>
                <w:highlight w:val="none"/>
              </w:rPr>
              <w:t>履约保证金金额：</w:t>
            </w:r>
            <w:r>
              <w:rPr>
                <w:rFonts w:hint="eastAsia"/>
                <w:color w:val="auto"/>
                <w:szCs w:val="32"/>
                <w:highlight w:val="none"/>
              </w:rPr>
              <w:t>合同总金额的</w:t>
            </w:r>
            <w:r>
              <w:rPr>
                <w:color w:val="auto"/>
                <w:szCs w:val="32"/>
                <w:highlight w:val="none"/>
              </w:rPr>
              <w:t>5%（中小企业</w:t>
            </w:r>
            <w:r>
              <w:rPr>
                <w:rFonts w:hint="eastAsia"/>
                <w:color w:val="auto"/>
                <w:szCs w:val="32"/>
                <w:highlight w:val="none"/>
              </w:rPr>
              <w:t>交纳</w:t>
            </w:r>
            <w:r>
              <w:rPr>
                <w:color w:val="auto"/>
                <w:szCs w:val="32"/>
                <w:highlight w:val="none"/>
              </w:rPr>
              <w:t>数额为</w:t>
            </w:r>
            <w:r>
              <w:rPr>
                <w:rFonts w:hint="eastAsia"/>
                <w:color w:val="auto"/>
                <w:szCs w:val="32"/>
                <w:highlight w:val="none"/>
              </w:rPr>
              <w:t>合同总金额的</w:t>
            </w:r>
            <w:r>
              <w:rPr>
                <w:color w:val="auto"/>
                <w:szCs w:val="32"/>
                <w:highlight w:val="none"/>
              </w:rPr>
              <w:t>2%）</w:t>
            </w:r>
            <w:r>
              <w:rPr>
                <w:rFonts w:hint="eastAsia" w:ascii="宋体" w:hAnsi="宋体" w:cs="宋体"/>
                <w:color w:val="auto"/>
                <w:szCs w:val="21"/>
                <w:highlight w:val="none"/>
              </w:rPr>
              <w:t>。</w:t>
            </w:r>
          </w:p>
          <w:p w14:paraId="0751FBBE">
            <w:pPr>
              <w:pStyle w:val="10"/>
              <w:spacing w:line="400" w:lineRule="exact"/>
              <w:jc w:val="both"/>
              <w:rPr>
                <w:rFonts w:ascii="宋体" w:hAnsi="宋体" w:cs="宋体"/>
                <w:color w:val="auto"/>
                <w:szCs w:val="21"/>
                <w:highlight w:val="none"/>
              </w:rPr>
            </w:pPr>
            <w:r>
              <w:rPr>
                <w:rFonts w:hint="eastAsia" w:ascii="宋体" w:hAnsi="宋体" w:cs="宋体"/>
                <w:color w:val="auto"/>
                <w:szCs w:val="21"/>
                <w:highlight w:val="none"/>
              </w:rPr>
              <w:t>履约保证金提交方式：银行转账、支票、汇票、本票或者金融机构出具的保函、保险机构保单等非现金方式。</w:t>
            </w:r>
          </w:p>
          <w:p w14:paraId="6D39F225">
            <w:pPr>
              <w:pStyle w:val="10"/>
              <w:spacing w:line="400" w:lineRule="exact"/>
              <w:jc w:val="both"/>
              <w:rPr>
                <w:rFonts w:ascii="宋体" w:hAnsi="宋体" w:cs="宋体"/>
                <w:color w:val="auto"/>
                <w:szCs w:val="21"/>
                <w:highlight w:val="none"/>
              </w:rPr>
            </w:pPr>
            <w:r>
              <w:rPr>
                <w:rFonts w:hint="eastAsia" w:ascii="宋体" w:hAnsi="宋体" w:cs="宋体"/>
                <w:color w:val="auto"/>
                <w:szCs w:val="21"/>
                <w:highlight w:val="none"/>
              </w:rPr>
              <w:t>履约保证金退付方式、时间及条件：在本项目经</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验收合格且所有后续服务义务履行完毕后，由成交人向</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提供《政府采购项目履约保证金退付意见书》及履约保证金支付凭证，经</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确认成交人不存在未履行完毕的违约赔偿责任且不存在需从履约保证金中扣除相关费用的情形后，</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在收到合格材料后5个工作日内以银行转账方式如数退还（不计利息）。</w:t>
            </w:r>
          </w:p>
          <w:p w14:paraId="17AE60AB">
            <w:pPr>
              <w:pStyle w:val="10"/>
              <w:spacing w:line="400" w:lineRule="exact"/>
              <w:jc w:val="both"/>
              <w:rPr>
                <w:color w:val="auto"/>
                <w:highlight w:val="none"/>
              </w:rPr>
            </w:pPr>
            <w:r>
              <w:rPr>
                <w:rFonts w:hint="eastAsia" w:ascii="宋体" w:hAnsi="宋体" w:cs="宋体"/>
                <w:color w:val="auto"/>
                <w:szCs w:val="21"/>
                <w:highlight w:val="none"/>
              </w:rPr>
              <w:t>履约保证金指定账户：</w:t>
            </w:r>
          </w:p>
          <w:p w14:paraId="43E8CE73">
            <w:pPr>
              <w:snapToGrid w:val="0"/>
              <w:spacing w:line="400" w:lineRule="exact"/>
              <w:rPr>
                <w:rFonts w:ascii="宋体" w:hAnsi="宋体" w:cs="宋体"/>
                <w:color w:val="auto"/>
                <w:kern w:val="0"/>
                <w:szCs w:val="21"/>
                <w:highlight w:val="none"/>
              </w:rPr>
            </w:pPr>
            <w:r>
              <w:rPr>
                <w:rFonts w:hint="eastAsia" w:ascii="宋体" w:hAnsi="宋体" w:cs="宋体"/>
                <w:color w:val="auto"/>
                <w:kern w:val="0"/>
                <w:szCs w:val="21"/>
                <w:highlight w:val="none"/>
              </w:rPr>
              <w:t>开户银行：中国工商银行股份有限公司市广东路银城绿洲支行</w:t>
            </w:r>
          </w:p>
          <w:p w14:paraId="67D17EC1">
            <w:pPr>
              <w:snapToGrid w:val="0"/>
              <w:spacing w:line="400" w:lineRule="exact"/>
              <w:rPr>
                <w:rFonts w:ascii="宋体" w:hAnsi="宋体" w:cs="宋体"/>
                <w:color w:val="auto"/>
                <w:kern w:val="0"/>
                <w:szCs w:val="21"/>
                <w:highlight w:val="none"/>
              </w:rPr>
            </w:pPr>
            <w:r>
              <w:rPr>
                <w:rFonts w:hint="eastAsia" w:ascii="宋体" w:hAnsi="宋体" w:cs="宋体"/>
                <w:color w:val="auto"/>
                <w:kern w:val="0"/>
                <w:szCs w:val="21"/>
                <w:highlight w:val="none"/>
              </w:rPr>
              <w:t>开户名称：广西壮族自治区合浦儒艮国家级自然保护区管理中心</w:t>
            </w:r>
          </w:p>
          <w:p w14:paraId="69486F71">
            <w:pPr>
              <w:pStyle w:val="10"/>
              <w:spacing w:line="400" w:lineRule="exact"/>
              <w:jc w:val="both"/>
              <w:rPr>
                <w:rFonts w:ascii="宋体" w:hAnsi="宋体" w:cs="宋体"/>
                <w:color w:val="auto"/>
                <w:szCs w:val="21"/>
                <w:highlight w:val="none"/>
              </w:rPr>
            </w:pPr>
            <w:r>
              <w:rPr>
                <w:rFonts w:hint="eastAsia" w:ascii="宋体" w:hAnsi="宋体" w:cs="宋体"/>
                <w:color w:val="auto"/>
                <w:kern w:val="0"/>
                <w:szCs w:val="21"/>
                <w:highlight w:val="none"/>
              </w:rPr>
              <w:t>银行账号：2107530009300184339</w:t>
            </w:r>
          </w:p>
          <w:p w14:paraId="12851F8A">
            <w:pPr>
              <w:pStyle w:val="10"/>
              <w:spacing w:line="400" w:lineRule="exact"/>
              <w:jc w:val="both"/>
              <w:rPr>
                <w:rFonts w:ascii="宋体" w:hAnsi="宋体" w:cs="宋体"/>
                <w:color w:val="auto"/>
                <w:szCs w:val="21"/>
                <w:highlight w:val="none"/>
              </w:rPr>
            </w:pPr>
            <w:r>
              <w:rPr>
                <w:rFonts w:hint="eastAsia" w:ascii="宋体" w:hAnsi="宋体" w:cs="宋体"/>
                <w:color w:val="auto"/>
                <w:szCs w:val="21"/>
                <w:highlight w:val="none"/>
              </w:rPr>
              <w:t>备注：</w:t>
            </w:r>
          </w:p>
          <w:p w14:paraId="02568E92">
            <w:pPr>
              <w:pStyle w:val="10"/>
              <w:spacing w:line="400" w:lineRule="exact"/>
              <w:jc w:val="both"/>
              <w:rPr>
                <w:rFonts w:ascii="宋体" w:hAnsi="宋体" w:cs="宋体"/>
                <w:color w:val="auto"/>
                <w:szCs w:val="21"/>
                <w:highlight w:val="none"/>
              </w:rPr>
            </w:pPr>
            <w:r>
              <w:rPr>
                <w:rFonts w:hint="eastAsia" w:ascii="宋体" w:hAnsi="宋体" w:cs="宋体"/>
                <w:color w:val="auto"/>
                <w:szCs w:val="21"/>
                <w:highlight w:val="none"/>
              </w:rPr>
              <w:t>1.成交通知书发出后合同签订前，成交人应向采购人足额交纳履约保证金，通过转账提交履约保证金的需把履约保证金足额交到采购人指定账户，履约保证金不足额交纳的，或者金融、担保机构出具的保函、保险机构的保单额度不足的或者保函有效期低于合同履行期限（即签订采购合同之日起至履行完合同约定的权利及义务之日止）的，不予签订合同。采用金融、担保机构出具的保函的，必须为无条件保函，否则不予签订合同。</w:t>
            </w:r>
          </w:p>
        </w:tc>
      </w:tr>
      <w:tr w14:paraId="1ABE82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CE2BAEA">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28.1</w:t>
            </w:r>
          </w:p>
        </w:tc>
        <w:tc>
          <w:tcPr>
            <w:tcW w:w="7912" w:type="dxa"/>
            <w:vAlign w:val="center"/>
          </w:tcPr>
          <w:p w14:paraId="3343D331">
            <w:pPr>
              <w:snapToGrid w:val="0"/>
              <w:spacing w:line="400" w:lineRule="exact"/>
              <w:jc w:val="left"/>
              <w:rPr>
                <w:rFonts w:ascii="宋体" w:hAnsi="宋体" w:cs="宋体"/>
                <w:color w:val="auto"/>
                <w:szCs w:val="21"/>
                <w:highlight w:val="none"/>
              </w:rPr>
            </w:pPr>
            <w:r>
              <w:rPr>
                <w:rFonts w:hint="eastAsia" w:ascii="宋体" w:hAnsi="宋体" w:cs="宋体"/>
                <w:color w:val="auto"/>
                <w:szCs w:val="21"/>
                <w:highlight w:val="none"/>
              </w:rPr>
              <w:t>接收质疑函方式：以书面形式。</w:t>
            </w:r>
          </w:p>
          <w:p w14:paraId="6D28D026">
            <w:pPr>
              <w:pStyle w:val="16"/>
              <w:snapToGrid w:val="0"/>
              <w:spacing w:line="400" w:lineRule="exact"/>
              <w:rPr>
                <w:rFonts w:hAnsi="宋体" w:cs="宋体"/>
                <w:color w:val="auto"/>
                <w:kern w:val="2"/>
                <w:sz w:val="21"/>
                <w:highlight w:val="none"/>
              </w:rPr>
            </w:pPr>
            <w:r>
              <w:rPr>
                <w:rFonts w:hint="eastAsia" w:hAnsi="宋体" w:cs="宋体"/>
                <w:color w:val="auto"/>
                <w:kern w:val="2"/>
                <w:sz w:val="21"/>
                <w:highlight w:val="none"/>
              </w:rPr>
              <w:t>质疑联系部门及联系方式：公诚管理咨询有限公司，联系电话：劳德、陈雅冰 0771-5583003，邮箱：</w:t>
            </w:r>
            <w:r>
              <w:rPr>
                <w:color w:val="auto"/>
                <w:highlight w:val="none"/>
              </w:rPr>
              <w:fldChar w:fldCharType="begin"/>
            </w:r>
            <w:r>
              <w:rPr>
                <w:color w:val="auto"/>
                <w:highlight w:val="none"/>
              </w:rPr>
              <w:instrText xml:space="preserve"> HYPERLINK "mailto:gcgxjkzb@163.com" </w:instrText>
            </w:r>
            <w:r>
              <w:rPr>
                <w:color w:val="auto"/>
                <w:highlight w:val="none"/>
              </w:rPr>
              <w:fldChar w:fldCharType="separate"/>
            </w:r>
            <w:r>
              <w:rPr>
                <w:rFonts w:hint="eastAsia" w:hAnsi="宋体" w:cs="宋体"/>
                <w:color w:val="auto"/>
                <w:sz w:val="21"/>
                <w:highlight w:val="none"/>
              </w:rPr>
              <w:t>gcgxjkzb@163.com</w:t>
            </w:r>
            <w:r>
              <w:rPr>
                <w:rFonts w:hint="eastAsia" w:hAnsi="宋体" w:cs="宋体"/>
                <w:color w:val="auto"/>
                <w:sz w:val="21"/>
                <w:highlight w:val="none"/>
              </w:rPr>
              <w:fldChar w:fldCharType="end"/>
            </w:r>
            <w:r>
              <w:rPr>
                <w:rFonts w:hint="eastAsia" w:hAnsi="宋体" w:cs="宋体"/>
                <w:color w:val="auto"/>
                <w:kern w:val="2"/>
                <w:sz w:val="21"/>
                <w:highlight w:val="none"/>
              </w:rPr>
              <w:t>。</w:t>
            </w:r>
          </w:p>
          <w:p w14:paraId="2C5451DD">
            <w:pPr>
              <w:pStyle w:val="16"/>
              <w:snapToGrid w:val="0"/>
              <w:spacing w:line="400" w:lineRule="exact"/>
              <w:jc w:val="left"/>
              <w:rPr>
                <w:rFonts w:hAnsi="宋体" w:cs="宋体"/>
                <w:color w:val="auto"/>
                <w:kern w:val="2"/>
                <w:sz w:val="21"/>
                <w:highlight w:val="none"/>
              </w:rPr>
            </w:pPr>
            <w:r>
              <w:rPr>
                <w:rFonts w:hint="eastAsia" w:hAnsi="宋体" w:cs="宋体"/>
                <w:color w:val="auto"/>
                <w:kern w:val="2"/>
                <w:sz w:val="21"/>
                <w:highlight w:val="none"/>
              </w:rPr>
              <w:t>通讯地址：广西南宁市青秀区金湖北路52-1号东方曼哈顿25楼公诚管理咨询有限公司</w:t>
            </w:r>
          </w:p>
          <w:p w14:paraId="2039301F">
            <w:pPr>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业务时间：8时30分到12时00分，14时30分到18时00分，业务时间以外、双休日和法定节假日不办理业务。</w:t>
            </w:r>
          </w:p>
        </w:tc>
      </w:tr>
      <w:tr w14:paraId="6F80FC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25ADBC4">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32.2</w:t>
            </w:r>
          </w:p>
        </w:tc>
        <w:tc>
          <w:tcPr>
            <w:tcW w:w="7912" w:type="dxa"/>
            <w:vAlign w:val="center"/>
          </w:tcPr>
          <w:p w14:paraId="0A5DD9F4">
            <w:pPr>
              <w:pStyle w:val="16"/>
              <w:snapToGrid w:val="0"/>
              <w:spacing w:line="400" w:lineRule="exact"/>
              <w:rPr>
                <w:rFonts w:hAnsi="宋体" w:cs="宋体"/>
                <w:color w:val="auto"/>
                <w:sz w:val="21"/>
                <w:highlight w:val="none"/>
              </w:rPr>
            </w:pPr>
            <w:r>
              <w:rPr>
                <w:rFonts w:hint="eastAsia" w:hAnsi="宋体" w:cs="宋体"/>
                <w:color w:val="auto"/>
                <w:sz w:val="21"/>
                <w:highlight w:val="none"/>
              </w:rPr>
              <w:t>1.采购代理费支付方式：</w:t>
            </w:r>
          </w:p>
          <w:p w14:paraId="1C4CF2DA">
            <w:pPr>
              <w:pStyle w:val="16"/>
              <w:snapToGrid w:val="0"/>
              <w:spacing w:line="400" w:lineRule="exact"/>
              <w:rPr>
                <w:rFonts w:hAnsi="宋体" w:cs="宋体"/>
                <w:color w:val="auto"/>
                <w:sz w:val="21"/>
                <w:highlight w:val="none"/>
              </w:rPr>
            </w:pPr>
            <w:r>
              <w:rPr>
                <w:rFonts w:hint="eastAsia" w:hAnsi="宋体" w:cs="宋体"/>
                <w:color w:val="auto"/>
                <w:sz w:val="21"/>
                <w:highlight w:val="none"/>
              </w:rPr>
              <w:t>☑本项目采购代理服务费由成交人支付，以银行转账、电汇等方式向采购代理机构支付。</w:t>
            </w:r>
          </w:p>
          <w:p w14:paraId="316FD8B9">
            <w:pPr>
              <w:pStyle w:val="16"/>
              <w:snapToGrid w:val="0"/>
              <w:spacing w:line="400" w:lineRule="exact"/>
              <w:rPr>
                <w:rFonts w:hAnsi="宋体" w:cs="宋体"/>
                <w:color w:val="auto"/>
                <w:sz w:val="21"/>
                <w:highlight w:val="none"/>
              </w:rPr>
            </w:pPr>
            <w:r>
              <w:rPr>
                <w:rFonts w:hint="eastAsia" w:hAnsi="宋体" w:cs="宋体"/>
                <w:color w:val="auto"/>
                <w:sz w:val="21"/>
                <w:highlight w:val="none"/>
              </w:rPr>
              <w:t>□采购人支付。</w:t>
            </w:r>
          </w:p>
          <w:p w14:paraId="53697106">
            <w:pPr>
              <w:pStyle w:val="16"/>
              <w:snapToGrid w:val="0"/>
              <w:spacing w:line="400" w:lineRule="exact"/>
              <w:jc w:val="left"/>
              <w:rPr>
                <w:rFonts w:hAnsi="宋体" w:cs="宋体"/>
                <w:color w:val="auto"/>
                <w:sz w:val="21"/>
                <w:highlight w:val="none"/>
              </w:rPr>
            </w:pPr>
            <w:r>
              <w:rPr>
                <w:rFonts w:hint="eastAsia" w:hAnsi="宋体" w:cs="宋体"/>
                <w:color w:val="auto"/>
                <w:sz w:val="21"/>
                <w:highlight w:val="none"/>
              </w:rPr>
              <w:t>2.采购代理费收取标准：代理服务费根据成交金额为计费额，按“服务类”收费标准通过差额定率累进法计取。采购代理服务费收费计算标准详见供应商须知正文32.2。</w:t>
            </w:r>
          </w:p>
          <w:p w14:paraId="2F73F54D">
            <w:pPr>
              <w:pStyle w:val="16"/>
              <w:snapToGrid w:val="0"/>
              <w:spacing w:line="400" w:lineRule="exact"/>
              <w:jc w:val="left"/>
              <w:rPr>
                <w:rFonts w:hAnsi="宋体" w:cs="宋体"/>
                <w:color w:val="auto"/>
                <w:sz w:val="21"/>
                <w:highlight w:val="none"/>
              </w:rPr>
            </w:pPr>
            <w:r>
              <w:rPr>
                <w:rFonts w:hint="eastAsia" w:hAnsi="宋体" w:cs="宋体"/>
                <w:color w:val="auto"/>
                <w:sz w:val="21"/>
                <w:highlight w:val="none"/>
              </w:rPr>
              <w:t>3. 采购代理费收取银行账户</w:t>
            </w:r>
          </w:p>
          <w:p w14:paraId="59DD2D4E">
            <w:pPr>
              <w:pStyle w:val="16"/>
              <w:snapToGrid w:val="0"/>
              <w:spacing w:line="400" w:lineRule="exact"/>
              <w:jc w:val="left"/>
              <w:rPr>
                <w:rFonts w:hAnsi="宋体" w:cs="宋体"/>
                <w:color w:val="auto"/>
                <w:sz w:val="21"/>
                <w:highlight w:val="none"/>
              </w:rPr>
            </w:pPr>
            <w:r>
              <w:rPr>
                <w:rFonts w:hint="eastAsia" w:hAnsi="宋体" w:cs="宋体"/>
                <w:color w:val="auto"/>
                <w:sz w:val="21"/>
                <w:highlight w:val="none"/>
              </w:rPr>
              <w:t>开户名称：公诚管理咨询有限公司</w:t>
            </w:r>
          </w:p>
          <w:p w14:paraId="76EA37F7">
            <w:pPr>
              <w:pStyle w:val="16"/>
              <w:snapToGrid w:val="0"/>
              <w:spacing w:line="400" w:lineRule="exact"/>
              <w:jc w:val="left"/>
              <w:rPr>
                <w:rFonts w:hAnsi="宋体" w:cs="宋体"/>
                <w:color w:val="auto"/>
                <w:sz w:val="21"/>
                <w:highlight w:val="none"/>
              </w:rPr>
            </w:pPr>
            <w:r>
              <w:rPr>
                <w:rFonts w:hint="eastAsia" w:hAnsi="宋体" w:cs="宋体"/>
                <w:color w:val="auto"/>
                <w:sz w:val="21"/>
                <w:highlight w:val="none"/>
              </w:rPr>
              <w:t>开户银行：中信银行广州花园支行</w:t>
            </w:r>
          </w:p>
          <w:p w14:paraId="0AD0B325">
            <w:pPr>
              <w:autoSpaceDE w:val="0"/>
              <w:autoSpaceDN w:val="0"/>
              <w:snapToGrid w:val="0"/>
              <w:spacing w:line="400" w:lineRule="exact"/>
              <w:jc w:val="left"/>
              <w:textAlignment w:val="bottom"/>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银行账号：</w:t>
            </w:r>
            <w:r>
              <w:rPr>
                <w:rFonts w:hint="eastAsia" w:ascii="宋体" w:hAnsi="宋体" w:cs="宋体"/>
                <w:color w:val="auto"/>
                <w:szCs w:val="21"/>
                <w:highlight w:val="none"/>
                <w:lang w:eastAsia="zh-CN"/>
              </w:rPr>
              <w:t>3110910037672621778</w:t>
            </w:r>
          </w:p>
        </w:tc>
      </w:tr>
      <w:tr w14:paraId="6930A7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16" w:hRule="atLeast"/>
          <w:jc w:val="center"/>
        </w:trPr>
        <w:tc>
          <w:tcPr>
            <w:tcW w:w="992" w:type="dxa"/>
            <w:vAlign w:val="center"/>
          </w:tcPr>
          <w:p w14:paraId="45DC6FFE">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.1</w:t>
            </w:r>
          </w:p>
        </w:tc>
        <w:tc>
          <w:tcPr>
            <w:tcW w:w="7912" w:type="dxa"/>
            <w:vAlign w:val="center"/>
          </w:tcPr>
          <w:p w14:paraId="58F6C4F7">
            <w:pPr>
              <w:pStyle w:val="16"/>
              <w:snapToGrid w:val="0"/>
              <w:spacing w:line="400" w:lineRule="exact"/>
              <w:jc w:val="left"/>
              <w:rPr>
                <w:rFonts w:hAnsi="宋体" w:cs="宋体"/>
                <w:color w:val="auto"/>
                <w:sz w:val="21"/>
                <w:highlight w:val="none"/>
              </w:rPr>
            </w:pPr>
            <w:r>
              <w:rPr>
                <w:rFonts w:hint="eastAsia" w:hAnsi="宋体" w:cs="宋体"/>
                <w:color w:val="auto"/>
                <w:sz w:val="21"/>
                <w:highlight w:val="none"/>
              </w:rPr>
              <w:t>解释：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596F91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1DB2FE4">
            <w:pPr>
              <w:spacing w:line="40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33.</w:t>
            </w:r>
            <w:r>
              <w:rPr>
                <w:rFonts w:hint="eastAsia" w:ascii="宋体" w:hAnsi="宋体" w:cs="宋体"/>
                <w:color w:val="auto"/>
                <w:szCs w:val="21"/>
                <w:highlight w:val="none"/>
                <w:lang w:val="en-US" w:eastAsia="zh-CN"/>
              </w:rPr>
              <w:t>2</w:t>
            </w:r>
          </w:p>
        </w:tc>
        <w:tc>
          <w:tcPr>
            <w:tcW w:w="7912" w:type="dxa"/>
            <w:vAlign w:val="center"/>
          </w:tcPr>
          <w:p w14:paraId="0DA1AD78">
            <w:pPr>
              <w:pStyle w:val="16"/>
              <w:numPr>
                <w:ilvl w:val="0"/>
                <w:numId w:val="2"/>
              </w:numPr>
              <w:adjustRightInd w:val="0"/>
              <w:spacing w:line="360" w:lineRule="exact"/>
              <w:rPr>
                <w:rFonts w:hAnsi="宋体" w:cs="宋体"/>
                <w:color w:val="auto"/>
                <w:sz w:val="21"/>
                <w:highlight w:val="none"/>
              </w:rPr>
            </w:pPr>
            <w:r>
              <w:rPr>
                <w:rFonts w:hint="eastAsia" w:hAnsi="宋体" w:cs="宋体"/>
                <w:color w:val="auto"/>
                <w:sz w:val="21"/>
                <w:highlight w:val="none"/>
              </w:rPr>
              <w:t>本磋商文件中描述供应商的“公章”是指根据我国对公章的管理规定，用供应商法定主体行为名称制作的印章，除本磋商文件有特殊规定外，供应商的财务章、部门章、分公司章、工会章、合同章、投标专用章、业务专用章及银行的转账章、现金收讫章、现金付讫章等其他形式印章均不能代替公章。</w:t>
            </w:r>
          </w:p>
          <w:p w14:paraId="5CD04D94">
            <w:pPr>
              <w:pStyle w:val="16"/>
              <w:numPr>
                <w:ilvl w:val="0"/>
                <w:numId w:val="2"/>
              </w:numPr>
              <w:adjustRightInd w:val="0"/>
              <w:spacing w:line="360" w:lineRule="exact"/>
              <w:rPr>
                <w:rFonts w:hAnsi="宋体" w:cs="宋体"/>
                <w:color w:val="auto"/>
                <w:sz w:val="21"/>
                <w:highlight w:val="none"/>
              </w:rPr>
            </w:pPr>
            <w:r>
              <w:rPr>
                <w:rFonts w:hint="eastAsia" w:hAnsi="宋体" w:cs="宋体"/>
                <w:color w:val="auto"/>
                <w:sz w:val="21"/>
                <w:highlight w:val="none"/>
              </w:rPr>
              <w:t>本磋商文件所称的“电子签章”、“电子签名”，是指经广西政府采购云平台认可的CA认证的电子签名数据为表现形式的印章，可用于签署电子响应文件，电子印章与实物印章具有同等法律效力，不因其采用电子化表现形式而否定其法律效力。</w:t>
            </w:r>
          </w:p>
          <w:p w14:paraId="15FF9CB6">
            <w:pPr>
              <w:pStyle w:val="16"/>
              <w:adjustRightInd w:val="0"/>
              <w:spacing w:line="360" w:lineRule="exact"/>
              <w:rPr>
                <w:rFonts w:hAnsi="宋体" w:cs="宋体"/>
                <w:color w:val="auto"/>
                <w:sz w:val="21"/>
                <w:highlight w:val="none"/>
              </w:rPr>
            </w:pPr>
            <w:r>
              <w:rPr>
                <w:rFonts w:hint="eastAsia" w:hAnsi="宋体" w:cs="宋体"/>
                <w:color w:val="auto"/>
                <w:sz w:val="21"/>
                <w:highlight w:val="none"/>
              </w:rPr>
              <w:t>3.供应商为其他组织或者自然人时，本磋商文件规定的法定代表人指负责人或者自然人。本磋商文件所称负责人是指参加磋商的其他组织营业执照或者执业许可证等证照上的负责人，本磋商文件所称自然人指参与磋商的自然人本人，且应具备独立承担民事责任能力，自然人应当为年满18岁以上成年人（十六周岁以上的未成年人，以自己的劳动收入为主要生活来源的，视为完全民事行为能力人）。</w:t>
            </w:r>
          </w:p>
          <w:p w14:paraId="4FA60513">
            <w:pPr>
              <w:pStyle w:val="16"/>
              <w:snapToGrid w:val="0"/>
              <w:spacing w:line="400" w:lineRule="exact"/>
              <w:rPr>
                <w:rFonts w:hAnsi="宋体" w:cs="宋体"/>
                <w:color w:val="auto"/>
                <w:sz w:val="21"/>
                <w:highlight w:val="none"/>
              </w:rPr>
            </w:pPr>
            <w:r>
              <w:rPr>
                <w:rFonts w:hint="eastAsia" w:hAnsi="宋体" w:cs="宋体"/>
                <w:color w:val="auto"/>
                <w:sz w:val="21"/>
                <w:highlight w:val="none"/>
              </w:rPr>
              <w:t>4.自然人参与磋商的，磋商文件规定盖公章或电子签章处由自然人摁手指指印。</w:t>
            </w:r>
          </w:p>
          <w:p w14:paraId="70EBD661">
            <w:pPr>
              <w:spacing w:line="40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5.本磋商文件所称的“以上”“以下”“以内”“届满”，包括本数；所称的“不满”“超过”“以外”，不包括本数，法律、行政法规、管理办法等另有规定的，从其规定。</w:t>
            </w:r>
          </w:p>
          <w:p w14:paraId="58EC5574">
            <w:pPr>
              <w:spacing w:line="400" w:lineRule="exact"/>
              <w:jc w:val="left"/>
              <w:rPr>
                <w:rFonts w:ascii="宋体" w:hAnsi="宋体" w:cs="宋体"/>
                <w:color w:val="auto"/>
                <w:kern w:val="0"/>
                <w:szCs w:val="21"/>
                <w:highlight w:val="none"/>
              </w:rPr>
            </w:pPr>
            <w:r>
              <w:rPr>
                <w:rFonts w:hint="eastAsia" w:ascii="宋体" w:hAnsi="宋体" w:cs="宋体"/>
                <w:bCs/>
                <w:color w:val="auto"/>
                <w:szCs w:val="21"/>
                <w:highlight w:val="none"/>
              </w:rPr>
              <w:t>6.资格证明文件中所指“其他组织”不包括法人的分支机构，由于法人分支机构不能独立承担民事责任，不能以分支机构的身份参加政府采购，只能以法人身份参加。但由于银行、保险、石油石化、电力、电信、邮政、铁路等行业具有其特殊性，如果能够提供其法人给予的相应授权证明材料，可以参加政府采购活动。</w:t>
            </w:r>
          </w:p>
          <w:p w14:paraId="2B73F221">
            <w:pPr>
              <w:pStyle w:val="16"/>
              <w:snapToGrid w:val="0"/>
              <w:spacing w:line="400" w:lineRule="exact"/>
              <w:jc w:val="left"/>
              <w:rPr>
                <w:rFonts w:hAnsi="宋体" w:cs="宋体"/>
                <w:bCs/>
                <w:color w:val="auto"/>
                <w:sz w:val="21"/>
                <w:highlight w:val="none"/>
              </w:rPr>
            </w:pPr>
            <w:r>
              <w:rPr>
                <w:rFonts w:hint="eastAsia" w:hAnsi="宋体" w:cs="宋体"/>
                <w:bCs/>
                <w:color w:val="auto"/>
                <w:sz w:val="21"/>
                <w:highlight w:val="none"/>
              </w:rPr>
              <w:t>7.本项目标的所属行业：</w:t>
            </w:r>
          </w:p>
          <w:p w14:paraId="72BBF697">
            <w:pPr>
              <w:pStyle w:val="16"/>
              <w:snapToGrid w:val="0"/>
              <w:spacing w:line="400" w:lineRule="exact"/>
              <w:jc w:val="left"/>
              <w:rPr>
                <w:rFonts w:hAnsi="宋体" w:cs="宋体"/>
                <w:color w:val="auto"/>
                <w:kern w:val="2"/>
                <w:sz w:val="21"/>
                <w:highlight w:val="none"/>
              </w:rPr>
            </w:pPr>
            <w:r>
              <w:rPr>
                <w:rFonts w:hint="eastAsia" w:hAnsi="宋体" w:cs="宋体"/>
                <w:b/>
                <w:color w:val="auto"/>
                <w:sz w:val="21"/>
                <w:highlight w:val="none"/>
              </w:rPr>
              <w:t>本项目所属行业：软件和信息技术服务业</w:t>
            </w:r>
            <w:r>
              <w:rPr>
                <w:rFonts w:hint="eastAsia" w:hAnsi="宋体" w:cs="宋体"/>
                <w:bCs/>
                <w:color w:val="auto"/>
                <w:sz w:val="21"/>
                <w:highlight w:val="none"/>
              </w:rPr>
              <w:t>；行业划型标准为：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tc>
      </w:tr>
      <w:tr w14:paraId="519D0F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AA937A1">
            <w:pPr>
              <w:spacing w:line="400" w:lineRule="exact"/>
              <w:jc w:val="center"/>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33.3</w:t>
            </w:r>
          </w:p>
        </w:tc>
        <w:tc>
          <w:tcPr>
            <w:tcW w:w="7912" w:type="dxa"/>
            <w:vAlign w:val="center"/>
          </w:tcPr>
          <w:p w14:paraId="1F881980">
            <w:pPr>
              <w:pStyle w:val="16"/>
              <w:snapToGrid w:val="0"/>
              <w:spacing w:line="400" w:lineRule="exact"/>
              <w:jc w:val="left"/>
              <w:rPr>
                <w:rFonts w:hint="eastAsia" w:hAnsi="宋体" w:cs="宋体"/>
                <w:b/>
                <w:color w:val="auto"/>
                <w:sz w:val="21"/>
                <w:highlight w:val="none"/>
                <w:lang w:val="en-US" w:eastAsia="zh-CN"/>
              </w:rPr>
            </w:pPr>
            <w:r>
              <w:rPr>
                <w:rFonts w:hint="eastAsia" w:hAnsi="宋体" w:cs="宋体"/>
                <w:b/>
                <w:color w:val="auto"/>
                <w:sz w:val="21"/>
                <w:highlight w:val="none"/>
                <w:lang w:val="en-US" w:eastAsia="zh-CN"/>
              </w:rPr>
              <w:t>支持本国产品</w:t>
            </w:r>
          </w:p>
          <w:p w14:paraId="5389FDA5">
            <w:pPr>
              <w:pStyle w:val="16"/>
              <w:pageBreakBefore w:val="0"/>
              <w:kinsoku/>
              <w:wordWrap/>
              <w:overflowPunct/>
              <w:topLinePunct w:val="0"/>
              <w:bidi w:val="0"/>
              <w:adjustRightInd/>
              <w:snapToGrid w:val="0"/>
              <w:spacing w:line="400" w:lineRule="exact"/>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适用，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BBCA453">
            <w:pPr>
              <w:pStyle w:val="5"/>
              <w:ind w:left="0" w:firstLine="0"/>
              <w:rPr>
                <w:rFonts w:hint="default"/>
                <w:color w:val="auto"/>
                <w:highlight w:val="none"/>
                <w:lang w:val="en-US" w:eastAsia="zh-CN"/>
              </w:rPr>
            </w:pPr>
            <w:r>
              <w:rPr>
                <w:rFonts w:hint="eastAsia" w:ascii="宋体" w:hAnsi="宋体" w:eastAsia="宋体" w:cs="宋体"/>
                <w:color w:val="auto"/>
                <w:sz w:val="21"/>
                <w:szCs w:val="21"/>
                <w:highlight w:val="none"/>
                <w:lang w:val="en-US" w:eastAsia="zh-CN"/>
              </w:rPr>
              <w:t>□不适用</w:t>
            </w:r>
          </w:p>
        </w:tc>
      </w:tr>
    </w:tbl>
    <w:p w14:paraId="6CCC6D75">
      <w:pPr>
        <w:pStyle w:val="4"/>
        <w:keepNext w:val="0"/>
        <w:keepLines w:val="0"/>
        <w:spacing w:line="400" w:lineRule="exact"/>
        <w:jc w:val="center"/>
        <w:rPr>
          <w:rFonts w:ascii="宋体" w:hAnsi="宋体" w:cs="宋体"/>
          <w:b w:val="0"/>
          <w:color w:val="auto"/>
          <w:sz w:val="21"/>
          <w:szCs w:val="21"/>
          <w:highlight w:val="none"/>
        </w:rPr>
      </w:pPr>
      <w:r>
        <w:rPr>
          <w:rFonts w:hint="eastAsia" w:ascii="宋体" w:hAnsi="宋体" w:cs="宋体"/>
          <w:b w:val="0"/>
          <w:color w:val="auto"/>
          <w:highlight w:val="none"/>
        </w:rPr>
        <w:br w:type="page"/>
      </w:r>
      <w:bookmarkStart w:id="91" w:name="_Toc16385"/>
      <w:bookmarkStart w:id="92" w:name="_Toc24883"/>
      <w:r>
        <w:rPr>
          <w:rFonts w:hint="eastAsia" w:ascii="宋体" w:hAnsi="宋体" w:cs="宋体"/>
          <w:color w:val="auto"/>
          <w:sz w:val="21"/>
          <w:szCs w:val="21"/>
          <w:highlight w:val="none"/>
        </w:rPr>
        <w:t>供应商须知正文</w:t>
      </w:r>
      <w:bookmarkEnd w:id="91"/>
      <w:bookmarkEnd w:id="92"/>
    </w:p>
    <w:p w14:paraId="5A6A9D83">
      <w:pPr>
        <w:spacing w:line="400" w:lineRule="exact"/>
        <w:ind w:firstLine="369" w:firstLineChars="175"/>
        <w:jc w:val="center"/>
        <w:outlineLvl w:val="2"/>
        <w:rPr>
          <w:rFonts w:ascii="宋体" w:hAnsi="宋体" w:cs="宋体"/>
          <w:b/>
          <w:bCs/>
          <w:color w:val="auto"/>
          <w:szCs w:val="21"/>
          <w:highlight w:val="none"/>
        </w:rPr>
      </w:pPr>
      <w:bookmarkStart w:id="93" w:name="_Toc110960220"/>
      <w:bookmarkStart w:id="94" w:name="_Toc1290"/>
      <w:bookmarkStart w:id="95" w:name="_Toc858"/>
      <w:r>
        <w:rPr>
          <w:rFonts w:hint="eastAsia" w:ascii="宋体" w:hAnsi="宋体" w:cs="宋体"/>
          <w:b/>
          <w:bCs/>
          <w:color w:val="auto"/>
          <w:szCs w:val="21"/>
          <w:highlight w:val="none"/>
        </w:rPr>
        <w:t>一、总则</w:t>
      </w:r>
      <w:bookmarkEnd w:id="93"/>
      <w:bookmarkEnd w:id="94"/>
      <w:bookmarkEnd w:id="95"/>
    </w:p>
    <w:p w14:paraId="2931B8F0">
      <w:pPr>
        <w:spacing w:line="400" w:lineRule="exact"/>
        <w:ind w:firstLine="369" w:firstLineChars="175"/>
        <w:rPr>
          <w:rFonts w:ascii="宋体" w:hAnsi="宋体" w:cs="宋体"/>
          <w:b/>
          <w:bCs/>
          <w:color w:val="auto"/>
          <w:szCs w:val="21"/>
          <w:highlight w:val="none"/>
        </w:rPr>
      </w:pPr>
      <w:r>
        <w:rPr>
          <w:rFonts w:hint="eastAsia" w:ascii="宋体" w:hAnsi="宋体" w:cs="宋体"/>
          <w:b/>
          <w:bCs/>
          <w:color w:val="auto"/>
          <w:szCs w:val="21"/>
          <w:highlight w:val="none"/>
        </w:rPr>
        <w:t>1.适用范围</w:t>
      </w:r>
    </w:p>
    <w:p w14:paraId="7546FF20">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02BF6DD8">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本竞争性磋商文件（以下简称磋商文件）适用于本项目的所有采购程序和环节（法律、法规另有规定的，从其规定）。</w:t>
      </w:r>
    </w:p>
    <w:p w14:paraId="44F7A897">
      <w:pPr>
        <w:spacing w:line="400" w:lineRule="exact"/>
        <w:ind w:firstLine="369" w:firstLineChars="175"/>
        <w:rPr>
          <w:rFonts w:ascii="宋体" w:hAnsi="宋体" w:cs="宋体"/>
          <w:b/>
          <w:bCs/>
          <w:color w:val="auto"/>
          <w:szCs w:val="21"/>
          <w:highlight w:val="none"/>
        </w:rPr>
      </w:pPr>
      <w:r>
        <w:rPr>
          <w:rFonts w:hint="eastAsia" w:ascii="宋体" w:hAnsi="宋体" w:cs="宋体"/>
          <w:b/>
          <w:bCs/>
          <w:color w:val="auto"/>
          <w:szCs w:val="21"/>
          <w:highlight w:val="none"/>
        </w:rPr>
        <w:t>2.定义</w:t>
      </w:r>
    </w:p>
    <w:p w14:paraId="36805AFD">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7CD90928">
      <w:pPr>
        <w:spacing w:line="400" w:lineRule="exact"/>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2.2“采购代理机构”是指政府采购代理机构（以下简称采购代理机构），是指集中采购机构以外、受采购人委托从事政府采购代理业务的社会中介机构。</w:t>
      </w:r>
    </w:p>
    <w:p w14:paraId="5738C1A5">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0F502C01">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2.4“服务”是指除货物和工程以外的其他政府采购对象。</w:t>
      </w:r>
    </w:p>
    <w:p w14:paraId="61297F3E">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2.5“竞标”是指供应商按照本项目竞争性磋商公告或者邀请函规定的方式获取磋商文件、提交响应文件并希望获得标的的行为。</w:t>
      </w:r>
    </w:p>
    <w:p w14:paraId="6BFE556F">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2.6“响应文件”</w:t>
      </w:r>
      <w:r>
        <w:rPr>
          <w:rFonts w:hint="eastAsia" w:ascii="宋体" w:hAnsi="宋体" w:cs="宋体"/>
          <w:color w:val="auto"/>
          <w:spacing w:val="-6"/>
          <w:szCs w:val="21"/>
          <w:highlight w:val="none"/>
        </w:rPr>
        <w:t>是指：供应商根据本磋商文件要求，编制包含资格证明、报价</w:t>
      </w:r>
      <w:r>
        <w:rPr>
          <w:rFonts w:hint="eastAsia" w:ascii="宋体" w:hAnsi="宋体" w:cs="宋体"/>
          <w:color w:val="auto"/>
          <w:szCs w:val="21"/>
          <w:highlight w:val="none"/>
        </w:rPr>
        <w:t>文件、</w:t>
      </w:r>
      <w:r>
        <w:rPr>
          <w:rFonts w:hint="eastAsia" w:ascii="宋体" w:hAnsi="宋体" w:cs="宋体"/>
          <w:color w:val="auto"/>
          <w:spacing w:val="-6"/>
          <w:szCs w:val="21"/>
          <w:highlight w:val="none"/>
        </w:rPr>
        <w:t>商务技术等所有内容的文件。</w:t>
      </w:r>
    </w:p>
    <w:p w14:paraId="75935415">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2.7“实质性要求”是指磋商文件中已经指明不满足则响应文件按无效响应处理的条款，或者不能负偏离的条款，或者采购需求中带“▲”的条款。</w:t>
      </w:r>
    </w:p>
    <w:p w14:paraId="7984FC33">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2.8“正偏离”，是指响应文件对磋商文件“采购需求”中有关条款作出的响应优于条款要求并有利于采购人的情形。</w:t>
      </w:r>
    </w:p>
    <w:p w14:paraId="67A322BB">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2.9“负偏离”，是指响应文件对磋商文件“采购需求”中有关条款作出的响应不满足条款要求，导致采购人要求不能得到满足的情形。</w:t>
      </w:r>
    </w:p>
    <w:p w14:paraId="51C3C247">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2.10“允许负偏离的条款”是指采购需求中的不属于“实质性要求”的条款。</w:t>
      </w:r>
    </w:p>
    <w:p w14:paraId="13C528F3">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2.11“书面形式”是指合同书、信件和数据电文（包括电报、电传、传真、电子数据交换和电子邮件）等可以有形地表现所载内容的形式。</w:t>
      </w:r>
    </w:p>
    <w:p w14:paraId="00681C8A">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2.12“首次报价”是指供应商提交的首次响应文件中的报价。</w:t>
      </w:r>
    </w:p>
    <w:p w14:paraId="57995B73">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2.13“评审价”是指供应商提交的最后报价并经修正（如有）和政策功能价格扣除（如有）后的价格。</w:t>
      </w:r>
    </w:p>
    <w:p w14:paraId="2789D4A1">
      <w:pPr>
        <w:spacing w:line="400" w:lineRule="exact"/>
        <w:ind w:firstLine="369" w:firstLineChars="175"/>
        <w:rPr>
          <w:rFonts w:ascii="宋体" w:hAnsi="宋体" w:cs="宋体"/>
          <w:b/>
          <w:bCs/>
          <w:color w:val="auto"/>
          <w:szCs w:val="21"/>
          <w:highlight w:val="none"/>
        </w:rPr>
      </w:pPr>
      <w:r>
        <w:rPr>
          <w:rFonts w:hint="eastAsia" w:ascii="宋体" w:hAnsi="宋体" w:cs="宋体"/>
          <w:b/>
          <w:bCs/>
          <w:color w:val="auto"/>
          <w:szCs w:val="21"/>
          <w:highlight w:val="none"/>
        </w:rPr>
        <w:t>3.供应商的资格条件</w:t>
      </w:r>
    </w:p>
    <w:p w14:paraId="53FF6983">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2833998E">
      <w:pPr>
        <w:spacing w:line="400" w:lineRule="exact"/>
        <w:ind w:firstLine="369" w:firstLineChars="175"/>
        <w:rPr>
          <w:rFonts w:ascii="宋体" w:hAnsi="宋体" w:cs="宋体"/>
          <w:b/>
          <w:bCs/>
          <w:color w:val="auto"/>
          <w:szCs w:val="21"/>
          <w:highlight w:val="none"/>
        </w:rPr>
      </w:pPr>
      <w:r>
        <w:rPr>
          <w:rFonts w:hint="eastAsia" w:ascii="宋体" w:hAnsi="宋体" w:cs="宋体"/>
          <w:b/>
          <w:bCs/>
          <w:color w:val="auto"/>
          <w:szCs w:val="21"/>
          <w:highlight w:val="none"/>
        </w:rPr>
        <w:t>4.竞标费用</w:t>
      </w:r>
    </w:p>
    <w:p w14:paraId="3464AEC1">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供应商应承担参与本次采购活动有关的所有费用，包括但不限于获取磋商文件、勘查现场、编制和提交响应文件、参加磋商与应答、签订合同等，不论竞标结果如何，均应自行承担。</w:t>
      </w:r>
    </w:p>
    <w:p w14:paraId="5338BA22">
      <w:pPr>
        <w:spacing w:line="400" w:lineRule="exact"/>
        <w:ind w:firstLine="369" w:firstLineChars="175"/>
        <w:rPr>
          <w:rFonts w:ascii="宋体" w:hAnsi="宋体" w:cs="宋体"/>
          <w:b/>
          <w:bCs/>
          <w:color w:val="auto"/>
          <w:szCs w:val="21"/>
          <w:highlight w:val="none"/>
        </w:rPr>
      </w:pPr>
      <w:r>
        <w:rPr>
          <w:rFonts w:hint="eastAsia" w:ascii="宋体" w:hAnsi="宋体" w:cs="宋体"/>
          <w:b/>
          <w:bCs/>
          <w:color w:val="auto"/>
          <w:szCs w:val="21"/>
          <w:highlight w:val="none"/>
        </w:rPr>
        <w:t>5.联合体竞标</w:t>
      </w:r>
    </w:p>
    <w:p w14:paraId="524D5160">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48E225C1">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5.2如接受联合体竞标，联合体竞标要求详见“供应商须知前附表”。</w:t>
      </w:r>
    </w:p>
    <w:p w14:paraId="66F94D98">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5.3根据《政府采购促进中小企业发展管理办法》规定，“鼓励大中型企业和其他自然人、法人或者其他组织与小型、微型企业组成联合体共同参加非专门面向中小企业的政府采购活动。联合协议中约定，小型、微型企业的协议合同金额占到联合体协议合同总金额30%以上的，可给予联合体4%-6%的价格扣除。联合体各方均为小型、微型企业的，联合体视同为小型、微型企业享受本办法第四条、第五条规定的扶持政策。组成联合体的大中型企业和其他自然人、法人或者其他组织，与小型、微型企业之间不得存在投资关系。”</w:t>
      </w:r>
    </w:p>
    <w:p w14:paraId="50440EFD">
      <w:pPr>
        <w:spacing w:line="400" w:lineRule="exact"/>
        <w:ind w:firstLine="369" w:firstLineChars="175"/>
        <w:rPr>
          <w:rFonts w:ascii="宋体" w:hAnsi="宋体" w:cs="宋体"/>
          <w:b/>
          <w:bCs/>
          <w:color w:val="auto"/>
          <w:szCs w:val="21"/>
          <w:highlight w:val="none"/>
        </w:rPr>
      </w:pPr>
      <w:r>
        <w:rPr>
          <w:rFonts w:hint="eastAsia" w:ascii="宋体" w:hAnsi="宋体" w:cs="宋体"/>
          <w:b/>
          <w:bCs/>
          <w:color w:val="auto"/>
          <w:szCs w:val="21"/>
          <w:highlight w:val="none"/>
        </w:rPr>
        <w:t>6.转包与分包</w:t>
      </w:r>
    </w:p>
    <w:p w14:paraId="5FF9C5C4">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6.1本项目不允许转包。</w:t>
      </w:r>
    </w:p>
    <w:p w14:paraId="33689936">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6.2本项目是否允许分包详见“供应商须知前附表”，本项目不允许违法分包。</w:t>
      </w:r>
    </w:p>
    <w:p w14:paraId="1859FABE">
      <w:pPr>
        <w:spacing w:line="400" w:lineRule="exact"/>
        <w:ind w:firstLine="369" w:firstLineChars="175"/>
        <w:rPr>
          <w:rFonts w:ascii="宋体" w:hAnsi="宋体" w:cs="宋体"/>
          <w:b/>
          <w:bCs/>
          <w:color w:val="auto"/>
          <w:szCs w:val="21"/>
          <w:highlight w:val="none"/>
        </w:rPr>
      </w:pPr>
      <w:bookmarkStart w:id="96" w:name="_Toc254970532"/>
      <w:bookmarkStart w:id="97" w:name="_Toc254970673"/>
      <w:r>
        <w:rPr>
          <w:rFonts w:hint="eastAsia" w:ascii="宋体" w:hAnsi="宋体" w:cs="宋体"/>
          <w:b/>
          <w:bCs/>
          <w:color w:val="auto"/>
          <w:szCs w:val="21"/>
          <w:highlight w:val="none"/>
        </w:rPr>
        <w:t>7.特别说明</w:t>
      </w:r>
      <w:bookmarkEnd w:id="96"/>
      <w:bookmarkEnd w:id="97"/>
    </w:p>
    <w:p w14:paraId="04E97925">
      <w:pPr>
        <w:spacing w:line="400" w:lineRule="exact"/>
        <w:ind w:firstLine="420" w:firstLineChars="200"/>
        <w:rPr>
          <w:rFonts w:ascii="宋体" w:hAnsi="宋体" w:cs="宋体"/>
          <w:color w:val="auto"/>
          <w:szCs w:val="21"/>
          <w:highlight w:val="none"/>
        </w:rPr>
      </w:pPr>
      <w:bookmarkStart w:id="98" w:name="_8.1提供相同品牌产品且通过资格审查、符合性审查的不同投标人参加同一合"/>
      <w:bookmarkEnd w:id="98"/>
      <w:r>
        <w:rPr>
          <w:rFonts w:hint="eastAsia" w:ascii="宋体" w:hAnsi="宋体" w:cs="宋体"/>
          <w:color w:val="auto"/>
          <w:szCs w:val="21"/>
          <w:highlight w:val="none"/>
        </w:rPr>
        <w:t>7.1如果本磋商文件要求供应商提供资格、信誉、荣誉、业绩与企业认证等材料的，则供应商所提供的以上材料必须为供应商所拥有。</w:t>
      </w:r>
    </w:p>
    <w:p w14:paraId="6A2A3B8D">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7.2供应商应仔细阅读磋商文件的所有内容，按照磋商文件的要求提交响应文件，并对所提供的全部资料的真实性承担法律责任。</w:t>
      </w:r>
    </w:p>
    <w:p w14:paraId="39A70334">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6E0522B1">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7.4在政府采购活动中，采购人员及相关人员与供应商有下列利害关系之一的，应当回避：</w:t>
      </w:r>
    </w:p>
    <w:p w14:paraId="1E90361F">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0EE2156D">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4ED615A5">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0E779900">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11452846">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131AA9DA">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2D808722">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7.5有下列情形之一的视为供应商相互串通竞标，响应文件将被视为无效：</w:t>
      </w:r>
    </w:p>
    <w:p w14:paraId="0FB94E67">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（1）不同供应商的响应文件由同一单位或者个人编制；或者不同供应商报名的IP地址一致的；或者编制标书硬件设备CPU编号、硬盘编号、网卡地址一致的情况；</w:t>
      </w:r>
    </w:p>
    <w:p w14:paraId="2425ECDB">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0670DA6B">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12FE4CE7">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38223D94">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144DA262">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p>
    <w:p w14:paraId="6387155A">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7.6供应商有下列情形之一的，属于恶意串通行为，将报同级监督管理部门：</w:t>
      </w:r>
    </w:p>
    <w:p w14:paraId="154403D9">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44230B12">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26A23814">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4954D187">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5ED5120E">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51FDCBD0">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7CC67C78">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bookmarkStart w:id="99" w:name="_Toc254970675"/>
      <w:bookmarkStart w:id="100" w:name="_Toc254970534"/>
    </w:p>
    <w:p w14:paraId="399B59E2">
      <w:pPr>
        <w:spacing w:line="400" w:lineRule="exact"/>
        <w:ind w:firstLine="369" w:firstLineChars="175"/>
        <w:jc w:val="center"/>
        <w:outlineLvl w:val="2"/>
        <w:rPr>
          <w:rFonts w:ascii="宋体" w:hAnsi="宋体" w:cs="宋体"/>
          <w:b/>
          <w:bCs/>
          <w:color w:val="auto"/>
          <w:szCs w:val="21"/>
          <w:highlight w:val="none"/>
        </w:rPr>
      </w:pPr>
      <w:bookmarkStart w:id="101" w:name="_Toc21876"/>
      <w:bookmarkStart w:id="102" w:name="_Toc4695"/>
      <w:bookmarkStart w:id="103" w:name="_Toc110960221"/>
      <w:r>
        <w:rPr>
          <w:rFonts w:hint="eastAsia" w:ascii="宋体" w:hAnsi="宋体" w:cs="宋体"/>
          <w:b/>
          <w:bCs/>
          <w:color w:val="auto"/>
          <w:szCs w:val="21"/>
          <w:highlight w:val="none"/>
        </w:rPr>
        <w:t>二、磋商文件</w:t>
      </w:r>
      <w:bookmarkEnd w:id="99"/>
      <w:bookmarkEnd w:id="100"/>
      <w:bookmarkEnd w:id="101"/>
      <w:bookmarkEnd w:id="102"/>
      <w:bookmarkEnd w:id="103"/>
    </w:p>
    <w:p w14:paraId="78248E6A">
      <w:pPr>
        <w:spacing w:line="400" w:lineRule="exact"/>
        <w:ind w:firstLine="369" w:firstLineChars="175"/>
        <w:rPr>
          <w:rFonts w:ascii="宋体" w:hAnsi="宋体" w:cs="宋体"/>
          <w:b/>
          <w:bCs/>
          <w:color w:val="auto"/>
          <w:szCs w:val="21"/>
          <w:highlight w:val="none"/>
        </w:rPr>
      </w:pPr>
      <w:r>
        <w:rPr>
          <w:rFonts w:hint="eastAsia" w:ascii="宋体" w:hAnsi="宋体" w:cs="宋体"/>
          <w:b/>
          <w:bCs/>
          <w:color w:val="auto"/>
          <w:szCs w:val="21"/>
          <w:highlight w:val="none"/>
        </w:rPr>
        <w:t>8.磋商文件的构成</w:t>
      </w:r>
    </w:p>
    <w:p w14:paraId="06D7986A">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（1）竞争性磋商公告；</w:t>
      </w:r>
    </w:p>
    <w:p w14:paraId="7FC96B54">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（2）供应商须知；</w:t>
      </w:r>
    </w:p>
    <w:p w14:paraId="0EBABC91">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（3）采购需求；</w:t>
      </w:r>
    </w:p>
    <w:p w14:paraId="32B35DFD">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（4）评审程序、评审方法和评审标准；</w:t>
      </w:r>
    </w:p>
    <w:p w14:paraId="0EE1D23E">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（5）响应文件格式；</w:t>
      </w:r>
    </w:p>
    <w:p w14:paraId="343AC067">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（6）合同文本；</w:t>
      </w:r>
    </w:p>
    <w:p w14:paraId="5EA3273C">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（7）质疑、投诉材料格式。</w:t>
      </w:r>
    </w:p>
    <w:p w14:paraId="335138B0">
      <w:pPr>
        <w:spacing w:line="400" w:lineRule="exact"/>
        <w:ind w:firstLine="369" w:firstLineChars="175"/>
        <w:rPr>
          <w:rFonts w:ascii="宋体" w:hAnsi="宋体" w:cs="宋体"/>
          <w:b/>
          <w:bCs/>
          <w:color w:val="auto"/>
          <w:szCs w:val="21"/>
          <w:highlight w:val="none"/>
        </w:rPr>
      </w:pPr>
      <w:r>
        <w:rPr>
          <w:rFonts w:hint="eastAsia" w:ascii="宋体" w:hAnsi="宋体" w:cs="宋体"/>
          <w:b/>
          <w:bCs/>
          <w:color w:val="auto"/>
          <w:szCs w:val="21"/>
          <w:highlight w:val="none"/>
        </w:rPr>
        <w:t>9.供应商的询问</w:t>
      </w:r>
    </w:p>
    <w:p w14:paraId="67E018BC">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供应商应认真阅读磋商文件的采购需求，如供应商对磋商文件有疑问的，如要求采购人作出澄清或者修改的，供应商尽可能在提交首次响应文件截止之日前，以书面形式向采购人、采购代理机构提出。</w:t>
      </w:r>
    </w:p>
    <w:p w14:paraId="44F3C1D4">
      <w:pPr>
        <w:spacing w:line="400" w:lineRule="exact"/>
        <w:ind w:firstLine="369" w:firstLineChars="175"/>
        <w:rPr>
          <w:rFonts w:ascii="宋体" w:hAnsi="宋体" w:cs="宋体"/>
          <w:b/>
          <w:bCs/>
          <w:color w:val="auto"/>
          <w:szCs w:val="21"/>
          <w:highlight w:val="none"/>
        </w:rPr>
      </w:pPr>
      <w:r>
        <w:rPr>
          <w:rFonts w:hint="eastAsia" w:ascii="宋体" w:hAnsi="宋体" w:cs="宋体"/>
          <w:b/>
          <w:bCs/>
          <w:color w:val="auto"/>
          <w:szCs w:val="21"/>
          <w:highlight w:val="none"/>
        </w:rPr>
        <w:t>10.磋商文件的澄清和修改</w:t>
      </w:r>
    </w:p>
    <w:p w14:paraId="5530CF03">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提交首次响应文件截止之日前，采购人、采购代理机构或者磋商小组可以对已发出的磋商文件进行 必要的澄清或者修改，澄清或者修改的内容作为磋商文件的组成部分。澄清或者修改的内容可能影响响应文件编制的，采购人、采购代理机构应当在提交首次响应文件截止时间至少5日前，以书面形式通知所有获取磋商文件。</w:t>
      </w:r>
    </w:p>
    <w:p w14:paraId="21798809">
      <w:pPr>
        <w:spacing w:line="400" w:lineRule="exact"/>
        <w:ind w:firstLine="369" w:firstLineChars="175"/>
        <w:jc w:val="center"/>
        <w:outlineLvl w:val="2"/>
        <w:rPr>
          <w:rFonts w:ascii="宋体" w:hAnsi="宋体" w:cs="宋体"/>
          <w:b/>
          <w:bCs/>
          <w:color w:val="auto"/>
          <w:szCs w:val="21"/>
          <w:highlight w:val="none"/>
        </w:rPr>
      </w:pPr>
      <w:bookmarkStart w:id="104" w:name="_Toc2661"/>
      <w:bookmarkStart w:id="105" w:name="_Toc110960222"/>
      <w:bookmarkStart w:id="106" w:name="_Toc14631"/>
      <w:r>
        <w:rPr>
          <w:rFonts w:hint="eastAsia" w:ascii="宋体" w:hAnsi="宋体" w:cs="宋体"/>
          <w:b/>
          <w:bCs/>
          <w:color w:val="auto"/>
          <w:szCs w:val="21"/>
          <w:highlight w:val="none"/>
        </w:rPr>
        <w:t>三、响应文件的编制</w:t>
      </w:r>
      <w:bookmarkEnd w:id="104"/>
      <w:bookmarkEnd w:id="105"/>
      <w:bookmarkEnd w:id="106"/>
    </w:p>
    <w:p w14:paraId="3BADB022">
      <w:pPr>
        <w:spacing w:line="400" w:lineRule="exact"/>
        <w:ind w:firstLine="369" w:firstLineChars="175"/>
        <w:rPr>
          <w:rFonts w:ascii="宋体" w:hAnsi="宋体" w:cs="宋体"/>
          <w:b/>
          <w:bCs/>
          <w:color w:val="auto"/>
          <w:szCs w:val="21"/>
          <w:highlight w:val="none"/>
        </w:rPr>
      </w:pPr>
      <w:r>
        <w:rPr>
          <w:rFonts w:hint="eastAsia" w:ascii="宋体" w:hAnsi="宋体" w:cs="宋体"/>
          <w:b/>
          <w:bCs/>
          <w:color w:val="auto"/>
          <w:szCs w:val="21"/>
          <w:highlight w:val="none"/>
        </w:rPr>
        <w:t>11.响应文件的编制原则</w:t>
      </w:r>
    </w:p>
    <w:p w14:paraId="136BE71F">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供应商必须按照磋商文件的要求编制响应文件，并对其提交的响应文件的真实性、合法性承担法律责任。响应文件必须对磋商文件作出实质性响应。</w:t>
      </w:r>
    </w:p>
    <w:p w14:paraId="464716BC">
      <w:pPr>
        <w:spacing w:line="400" w:lineRule="exact"/>
        <w:ind w:firstLine="369" w:firstLineChars="175"/>
        <w:rPr>
          <w:rFonts w:ascii="宋体" w:hAnsi="宋体" w:cs="宋体"/>
          <w:b/>
          <w:bCs/>
          <w:color w:val="auto"/>
          <w:szCs w:val="21"/>
          <w:highlight w:val="none"/>
        </w:rPr>
      </w:pPr>
      <w:r>
        <w:rPr>
          <w:rFonts w:hint="eastAsia" w:ascii="宋体" w:hAnsi="宋体" w:cs="宋体"/>
          <w:b/>
          <w:bCs/>
          <w:color w:val="auto"/>
          <w:szCs w:val="21"/>
          <w:highlight w:val="none"/>
        </w:rPr>
        <w:t>12.响应文件的组成</w:t>
      </w:r>
    </w:p>
    <w:p w14:paraId="4EA84BE9">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12.1响应文件由资格证明文件、报价文件、商务技术文件两部分组成。</w:t>
      </w:r>
    </w:p>
    <w:p w14:paraId="218D785C">
      <w:pPr>
        <w:spacing w:line="400" w:lineRule="exact"/>
        <w:ind w:left="840" w:leftChars="200" w:hanging="420" w:hangingChars="200"/>
        <w:rPr>
          <w:rFonts w:ascii="宋体" w:hAnsi="宋体" w:cs="宋体"/>
          <w:color w:val="auto"/>
          <w:szCs w:val="21"/>
          <w:highlight w:val="none"/>
        </w:rPr>
      </w:pPr>
      <w:r>
        <w:rPr>
          <w:rFonts w:hint="eastAsia" w:ascii="宋体" w:hAnsi="宋体" w:cs="宋体"/>
          <w:color w:val="auto"/>
          <w:szCs w:val="21"/>
          <w:highlight w:val="none"/>
        </w:rPr>
        <w:t>12.1.1资格证明文件：详见须知前附表</w:t>
      </w:r>
    </w:p>
    <w:p w14:paraId="1EFBC65E">
      <w:pPr>
        <w:spacing w:line="400" w:lineRule="exact"/>
        <w:ind w:left="840" w:leftChars="200" w:hanging="420" w:hangingChars="200"/>
        <w:rPr>
          <w:rFonts w:ascii="宋体" w:hAnsi="宋体" w:cs="宋体"/>
          <w:color w:val="auto"/>
          <w:szCs w:val="21"/>
          <w:highlight w:val="none"/>
        </w:rPr>
      </w:pPr>
      <w:r>
        <w:rPr>
          <w:rFonts w:hint="eastAsia" w:ascii="宋体" w:hAnsi="宋体" w:cs="宋体"/>
          <w:color w:val="auto"/>
          <w:szCs w:val="21"/>
          <w:highlight w:val="none"/>
        </w:rPr>
        <w:t>12.1.2商务技术文件：详见须知前附表</w:t>
      </w:r>
    </w:p>
    <w:p w14:paraId="1BF357C0">
      <w:pPr>
        <w:spacing w:line="400" w:lineRule="exact"/>
        <w:ind w:left="840" w:leftChars="200" w:hanging="420" w:hangingChars="200"/>
        <w:rPr>
          <w:rFonts w:ascii="宋体" w:hAnsi="宋体" w:cs="宋体"/>
          <w:color w:val="auto"/>
          <w:szCs w:val="21"/>
          <w:highlight w:val="none"/>
        </w:rPr>
      </w:pPr>
      <w:r>
        <w:rPr>
          <w:rFonts w:hint="eastAsia" w:ascii="宋体" w:hAnsi="宋体" w:cs="宋体"/>
          <w:color w:val="auto"/>
          <w:szCs w:val="21"/>
          <w:highlight w:val="none"/>
        </w:rPr>
        <w:t>12.1.3报价文件：详见须知前附表</w:t>
      </w:r>
    </w:p>
    <w:p w14:paraId="54033904">
      <w:pPr>
        <w:spacing w:line="400" w:lineRule="exact"/>
        <w:ind w:left="840" w:leftChars="200" w:hanging="420" w:hangingChars="200"/>
        <w:rPr>
          <w:rFonts w:ascii="宋体" w:hAnsi="宋体" w:cs="宋体"/>
          <w:color w:val="auto"/>
          <w:szCs w:val="21"/>
          <w:highlight w:val="none"/>
        </w:rPr>
      </w:pPr>
      <w:r>
        <w:rPr>
          <w:rFonts w:hint="eastAsia" w:ascii="宋体" w:hAnsi="宋体" w:cs="宋体"/>
          <w:color w:val="auto"/>
          <w:szCs w:val="21"/>
          <w:highlight w:val="none"/>
        </w:rPr>
        <w:t>12.2响应文件电子版：详见须知前附表</w:t>
      </w:r>
    </w:p>
    <w:p w14:paraId="4A54128F">
      <w:pPr>
        <w:spacing w:line="400" w:lineRule="exact"/>
        <w:ind w:firstLine="369" w:firstLineChars="175"/>
        <w:rPr>
          <w:rFonts w:ascii="宋体" w:hAnsi="宋体" w:cs="宋体"/>
          <w:b/>
          <w:bCs/>
          <w:color w:val="auto"/>
          <w:szCs w:val="21"/>
          <w:highlight w:val="none"/>
        </w:rPr>
      </w:pPr>
      <w:r>
        <w:rPr>
          <w:rFonts w:hint="eastAsia" w:ascii="宋体" w:hAnsi="宋体" w:cs="宋体"/>
          <w:b/>
          <w:bCs/>
          <w:color w:val="auto"/>
          <w:szCs w:val="21"/>
          <w:highlight w:val="none"/>
        </w:rPr>
        <w:t>13.计量单位</w:t>
      </w:r>
    </w:p>
    <w:p w14:paraId="7BE17974">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3026F041">
      <w:pPr>
        <w:spacing w:line="400" w:lineRule="exact"/>
        <w:ind w:firstLine="369" w:firstLineChars="175"/>
        <w:rPr>
          <w:rFonts w:ascii="宋体" w:hAnsi="宋体" w:cs="宋体"/>
          <w:b/>
          <w:bCs/>
          <w:color w:val="auto"/>
          <w:szCs w:val="21"/>
          <w:highlight w:val="none"/>
        </w:rPr>
      </w:pPr>
      <w:r>
        <w:rPr>
          <w:rFonts w:hint="eastAsia" w:ascii="宋体" w:hAnsi="宋体" w:cs="宋体"/>
          <w:b/>
          <w:bCs/>
          <w:color w:val="auto"/>
          <w:szCs w:val="21"/>
          <w:highlight w:val="none"/>
        </w:rPr>
        <w:t>14.竞标的风险</w:t>
      </w:r>
    </w:p>
    <w:p w14:paraId="2F32BD83">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4B6ABABB">
      <w:pPr>
        <w:spacing w:line="400" w:lineRule="exact"/>
        <w:ind w:firstLine="369" w:firstLineChars="175"/>
        <w:rPr>
          <w:rFonts w:ascii="宋体" w:hAnsi="宋体" w:cs="宋体"/>
          <w:b/>
          <w:bCs/>
          <w:color w:val="auto"/>
          <w:szCs w:val="21"/>
          <w:highlight w:val="none"/>
        </w:rPr>
      </w:pPr>
      <w:r>
        <w:rPr>
          <w:rFonts w:hint="eastAsia" w:ascii="宋体" w:hAnsi="宋体" w:cs="宋体"/>
          <w:b/>
          <w:bCs/>
          <w:color w:val="auto"/>
          <w:szCs w:val="21"/>
          <w:highlight w:val="none"/>
        </w:rPr>
        <w:t>15.竞标报价要求和构成</w:t>
      </w:r>
    </w:p>
    <w:p w14:paraId="1EC81BC2">
      <w:pPr>
        <w:tabs>
          <w:tab w:val="left" w:pos="2492"/>
        </w:tabs>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15.1竞标报价应按磋商文件中“竞标报价表”格式填写。</w:t>
      </w:r>
    </w:p>
    <w:p w14:paraId="06FF5471">
      <w:pPr>
        <w:tabs>
          <w:tab w:val="left" w:pos="2492"/>
        </w:tabs>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15.2竞标报价的价格构成见“供应商须知前附表”。</w:t>
      </w:r>
    </w:p>
    <w:p w14:paraId="4D20ADB4">
      <w:pPr>
        <w:spacing w:line="400" w:lineRule="exact"/>
        <w:ind w:left="426" w:leftChars="203"/>
        <w:rPr>
          <w:rFonts w:ascii="宋体" w:hAnsi="宋体" w:cs="宋体"/>
          <w:color w:val="auto"/>
          <w:szCs w:val="21"/>
          <w:highlight w:val="none"/>
        </w:rPr>
      </w:pPr>
      <w:r>
        <w:rPr>
          <w:rFonts w:hint="eastAsia" w:ascii="宋体" w:hAnsi="宋体" w:cs="宋体"/>
          <w:color w:val="auto"/>
          <w:szCs w:val="21"/>
          <w:highlight w:val="none"/>
        </w:rPr>
        <w:t>15.3竞标报价要求</w:t>
      </w:r>
    </w:p>
    <w:p w14:paraId="24EBAEB1">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15.3.1供应商的竞标报价应符合以下要求，否则响应文件按无效响应处理：</w:t>
      </w:r>
    </w:p>
    <w:p w14:paraId="5D4C4351">
      <w:pPr>
        <w:spacing w:line="400" w:lineRule="exact"/>
        <w:ind w:left="420" w:leftChars="200"/>
        <w:rPr>
          <w:rFonts w:ascii="宋体" w:hAnsi="宋体" w:cs="宋体"/>
          <w:color w:val="auto"/>
          <w:szCs w:val="21"/>
          <w:highlight w:val="none"/>
        </w:rPr>
      </w:pPr>
      <w:r>
        <w:rPr>
          <w:rFonts w:hint="eastAsia" w:ascii="宋体" w:hAnsi="宋体" w:cs="宋体"/>
          <w:color w:val="auto"/>
          <w:szCs w:val="21"/>
          <w:highlight w:val="none"/>
        </w:rPr>
        <w:t>（1）供应商必须就“采购需求”中所竞标的每个分标的全部内容分别作完整唯一总价报价，不得存在漏项报价；</w:t>
      </w:r>
    </w:p>
    <w:p w14:paraId="70EB3D11">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（2）供应商必须就所竞标的分标的单项内容作唯一报价。</w:t>
      </w:r>
    </w:p>
    <w:p w14:paraId="5A31B213">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15.3.2竞标报价（包含首次报价、最后报价）超过所竞标分标规定的采购预算金额或者最高限价的，其响应文件将作无效处理。</w:t>
      </w:r>
    </w:p>
    <w:p w14:paraId="52B3A40C">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15.3.3</w:t>
      </w:r>
      <w:bookmarkStart w:id="107" w:name="_Hlk42592874"/>
      <w:r>
        <w:rPr>
          <w:rFonts w:hint="eastAsia" w:ascii="宋体" w:hAnsi="宋体" w:cs="宋体"/>
          <w:color w:val="auto"/>
          <w:szCs w:val="21"/>
          <w:highlight w:val="none"/>
        </w:rPr>
        <w:t>竞标报价（包含首次报价、最后报价）超过分项采购预算金额或者最高限价的，其响应文件将作无效处理。</w:t>
      </w:r>
    </w:p>
    <w:bookmarkEnd w:id="107"/>
    <w:p w14:paraId="76B66A6A">
      <w:pPr>
        <w:spacing w:line="400" w:lineRule="exact"/>
        <w:ind w:firstLine="369" w:firstLineChars="175"/>
        <w:rPr>
          <w:rFonts w:ascii="宋体" w:hAnsi="宋体" w:cs="宋体"/>
          <w:b/>
          <w:bCs/>
          <w:color w:val="auto"/>
          <w:szCs w:val="21"/>
          <w:highlight w:val="none"/>
        </w:rPr>
      </w:pPr>
      <w:r>
        <w:rPr>
          <w:rFonts w:hint="eastAsia" w:ascii="宋体" w:hAnsi="宋体" w:cs="宋体"/>
          <w:b/>
          <w:bCs/>
          <w:color w:val="auto"/>
          <w:szCs w:val="21"/>
          <w:highlight w:val="none"/>
        </w:rPr>
        <w:t>16.竞标有效期</w:t>
      </w:r>
    </w:p>
    <w:p w14:paraId="14DA957A">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668DF7DD">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 竞标有效期应由供应商按“供应商须知前附表”规定的期限作出响应。</w:t>
      </w:r>
    </w:p>
    <w:p w14:paraId="101FB05A">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7C8B99C5">
      <w:pPr>
        <w:spacing w:line="400" w:lineRule="exact"/>
        <w:ind w:firstLine="369" w:firstLineChars="175"/>
        <w:rPr>
          <w:rFonts w:ascii="宋体" w:hAnsi="宋体" w:cs="宋体"/>
          <w:b/>
          <w:bCs/>
          <w:color w:val="auto"/>
          <w:szCs w:val="21"/>
          <w:highlight w:val="none"/>
        </w:rPr>
      </w:pPr>
      <w:r>
        <w:rPr>
          <w:rFonts w:hint="eastAsia" w:ascii="宋体" w:hAnsi="宋体" w:cs="宋体"/>
          <w:b/>
          <w:bCs/>
          <w:color w:val="auto"/>
          <w:szCs w:val="21"/>
          <w:highlight w:val="none"/>
        </w:rPr>
        <w:t>17.磋商保证金</w:t>
      </w:r>
    </w:p>
    <w:p w14:paraId="4E4D2DBD">
      <w:pPr>
        <w:spacing w:line="400" w:lineRule="exact"/>
        <w:ind w:left="420" w:leftChars="200"/>
        <w:rPr>
          <w:rFonts w:ascii="宋体" w:hAnsi="宋体" w:cs="宋体"/>
          <w:color w:val="auto"/>
          <w:szCs w:val="21"/>
          <w:highlight w:val="none"/>
        </w:rPr>
      </w:pPr>
      <w:r>
        <w:rPr>
          <w:rFonts w:hint="eastAsia" w:ascii="宋体" w:hAnsi="宋体" w:cs="宋体"/>
          <w:color w:val="auto"/>
          <w:szCs w:val="21"/>
          <w:highlight w:val="none"/>
        </w:rPr>
        <w:t>17.1供应商须按“供应商须知前附表”的规定提交磋商保证金。</w:t>
      </w:r>
    </w:p>
    <w:p w14:paraId="05FA09D3">
      <w:pPr>
        <w:spacing w:line="400" w:lineRule="exact"/>
        <w:ind w:left="420" w:leftChars="200"/>
        <w:rPr>
          <w:rFonts w:ascii="宋体" w:hAnsi="宋体" w:cs="宋体"/>
          <w:color w:val="auto"/>
          <w:szCs w:val="21"/>
          <w:highlight w:val="none"/>
        </w:rPr>
      </w:pPr>
      <w:r>
        <w:rPr>
          <w:rFonts w:hint="eastAsia" w:ascii="宋体" w:hAnsi="宋体" w:cs="宋体"/>
          <w:color w:val="auto"/>
          <w:szCs w:val="21"/>
          <w:highlight w:val="none"/>
        </w:rPr>
        <w:t>17.2磋商保证金的退还</w:t>
      </w:r>
    </w:p>
    <w:p w14:paraId="0A6FAA0A">
      <w:pPr>
        <w:spacing w:line="400" w:lineRule="exact"/>
        <w:ind w:firstLine="420" w:firstLineChars="200"/>
        <w:rPr>
          <w:rFonts w:ascii="宋体" w:hAnsi="宋体" w:cs="宋体"/>
          <w:color w:val="auto"/>
          <w:spacing w:val="-6"/>
          <w:szCs w:val="21"/>
          <w:highlight w:val="none"/>
        </w:rPr>
      </w:pPr>
      <w:r>
        <w:rPr>
          <w:rFonts w:hint="eastAsia" w:ascii="宋体" w:hAnsi="宋体" w:cs="宋体"/>
          <w:color w:val="auto"/>
          <w:szCs w:val="21"/>
          <w:highlight w:val="none"/>
        </w:rPr>
        <w:t>17.2.1未</w:t>
      </w:r>
      <w:r>
        <w:rPr>
          <w:rFonts w:hint="eastAsia" w:ascii="宋体" w:hAnsi="宋体" w:cs="宋体"/>
          <w:color w:val="auto"/>
          <w:spacing w:val="-6"/>
          <w:szCs w:val="21"/>
          <w:highlight w:val="none"/>
        </w:rPr>
        <w:t>成交供应商的磋商保证金及其在银行产生的利息自成交通知书发出之日起5个工作日内退还，退还方式如下：</w:t>
      </w:r>
    </w:p>
    <w:p w14:paraId="69792E86">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（1）采用银行转账方式的，以转账方式退回到供应商银行账户。</w:t>
      </w:r>
    </w:p>
    <w:p w14:paraId="0B11F19D">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（2）采用支票、汇票、本票或者金融、担保机构出具的保函方式的，由供应商代表持相关授权证明材料至采购人或者采购代理机构办理支票、汇票、本票或者金融、担保机构出具的保函原件退还手续。</w:t>
      </w:r>
    </w:p>
    <w:p w14:paraId="5C032E30">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17.2.2成交供应商的磋商保证金及其在银行产生的利息自签订合同之日起5个工作日内退还，退还方式同未成交供应商的磋商保证金的退还方式。</w:t>
      </w:r>
    </w:p>
    <w:p w14:paraId="294DE0AA">
      <w:pPr>
        <w:spacing w:line="400" w:lineRule="exact"/>
        <w:ind w:left="420" w:leftChars="200"/>
        <w:rPr>
          <w:rFonts w:ascii="宋体" w:hAnsi="宋体" w:cs="宋体"/>
          <w:color w:val="auto"/>
          <w:szCs w:val="21"/>
          <w:highlight w:val="none"/>
        </w:rPr>
      </w:pPr>
      <w:r>
        <w:rPr>
          <w:rFonts w:hint="eastAsia" w:ascii="宋体" w:hAnsi="宋体" w:cs="宋体"/>
          <w:color w:val="auto"/>
          <w:szCs w:val="21"/>
          <w:highlight w:val="none"/>
        </w:rPr>
        <w:t>17.3供应商有下列情形之一的，磋商保证金将不予退还：</w:t>
      </w:r>
    </w:p>
    <w:p w14:paraId="232CF90D">
      <w:pPr>
        <w:spacing w:line="400" w:lineRule="exact"/>
        <w:ind w:left="420" w:leftChars="200"/>
        <w:rPr>
          <w:rFonts w:ascii="宋体" w:hAnsi="宋体" w:cs="宋体"/>
          <w:color w:val="auto"/>
          <w:szCs w:val="21"/>
          <w:highlight w:val="none"/>
        </w:rPr>
      </w:pPr>
      <w:r>
        <w:rPr>
          <w:rFonts w:hint="eastAsia" w:ascii="宋体" w:hAnsi="宋体" w:cs="宋体"/>
          <w:color w:val="auto"/>
          <w:szCs w:val="21"/>
          <w:highlight w:val="none"/>
        </w:rPr>
        <w:t>（1）供应商在提交响应文件截止时间后撤回响应文件的；</w:t>
      </w:r>
    </w:p>
    <w:p w14:paraId="5142DCAF">
      <w:pPr>
        <w:spacing w:line="400" w:lineRule="exact"/>
        <w:ind w:left="420" w:leftChars="200"/>
        <w:rPr>
          <w:rFonts w:ascii="宋体" w:hAnsi="宋体" w:cs="宋体"/>
          <w:color w:val="auto"/>
          <w:szCs w:val="21"/>
          <w:highlight w:val="none"/>
        </w:rPr>
      </w:pPr>
      <w:r>
        <w:rPr>
          <w:rFonts w:hint="eastAsia" w:ascii="宋体" w:hAnsi="宋体" w:cs="宋体"/>
          <w:color w:val="auto"/>
          <w:szCs w:val="21"/>
          <w:highlight w:val="none"/>
        </w:rPr>
        <w:t>（2）供应商在响应文件中提供虚假材料的；</w:t>
      </w:r>
    </w:p>
    <w:p w14:paraId="13FB8C01">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（3）除因不可抗力或者磋商文件认可的情形以外，成交供应商不与采购人签订合同的；</w:t>
      </w:r>
    </w:p>
    <w:p w14:paraId="5899AE0A">
      <w:pPr>
        <w:spacing w:line="400" w:lineRule="exact"/>
        <w:ind w:left="420" w:leftChars="200"/>
        <w:rPr>
          <w:rFonts w:ascii="宋体" w:hAnsi="宋体" w:cs="宋体"/>
          <w:color w:val="auto"/>
          <w:szCs w:val="21"/>
          <w:highlight w:val="none"/>
        </w:rPr>
      </w:pPr>
      <w:r>
        <w:rPr>
          <w:rFonts w:hint="eastAsia" w:ascii="宋体" w:hAnsi="宋体" w:cs="宋体"/>
          <w:color w:val="auto"/>
          <w:szCs w:val="21"/>
          <w:highlight w:val="none"/>
        </w:rPr>
        <w:t>（4）供应商与采购人、其他供应商或者采购代理机构恶意串通的；</w:t>
      </w:r>
    </w:p>
    <w:p w14:paraId="1CE27C4C">
      <w:pPr>
        <w:spacing w:line="400" w:lineRule="exact"/>
        <w:ind w:left="420" w:leftChars="200"/>
        <w:rPr>
          <w:rFonts w:ascii="宋体" w:hAnsi="宋体" w:cs="宋体"/>
          <w:color w:val="auto"/>
          <w:szCs w:val="21"/>
          <w:highlight w:val="none"/>
        </w:rPr>
      </w:pPr>
      <w:r>
        <w:rPr>
          <w:rFonts w:hint="eastAsia" w:ascii="宋体" w:hAnsi="宋体" w:cs="宋体"/>
          <w:color w:val="auto"/>
          <w:szCs w:val="21"/>
          <w:highlight w:val="none"/>
        </w:rPr>
        <w:t>（5）磋商文件规定的其他情形。</w:t>
      </w:r>
    </w:p>
    <w:p w14:paraId="2E099C2F">
      <w:pPr>
        <w:spacing w:line="400" w:lineRule="exact"/>
        <w:ind w:firstLine="369" w:firstLineChars="175"/>
        <w:rPr>
          <w:rFonts w:ascii="宋体" w:hAnsi="宋体" w:cs="宋体"/>
          <w:b/>
          <w:bCs/>
          <w:color w:val="auto"/>
          <w:szCs w:val="21"/>
          <w:highlight w:val="none"/>
        </w:rPr>
      </w:pPr>
      <w:r>
        <w:rPr>
          <w:rFonts w:hint="eastAsia" w:ascii="宋体" w:hAnsi="宋体" w:cs="宋体"/>
          <w:b/>
          <w:bCs/>
          <w:color w:val="auto"/>
          <w:szCs w:val="21"/>
          <w:highlight w:val="none"/>
        </w:rPr>
        <w:t>18.响应文件编制的要求</w:t>
      </w:r>
    </w:p>
    <w:p w14:paraId="1DF48310">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18.1响应文件编制要求详见“供应商须知前附表”。供应商应按本竞争性磋商文件规定的格式和顺序编制响应文件并标注页码，响应文件内容不完整、编排混乱导致响应文件被误读、漏读或者查找不到相关内容的，由此引发的后果由供应商承担</w:t>
      </w:r>
      <w:r>
        <w:rPr>
          <w:rFonts w:hint="eastAsia" w:ascii="宋体" w:hAnsi="宋体" w:cs="宋体"/>
          <w:color w:val="auto"/>
          <w:spacing w:val="-6"/>
          <w:szCs w:val="21"/>
          <w:highlight w:val="none"/>
        </w:rPr>
        <w:t>。</w:t>
      </w:r>
    </w:p>
    <w:p w14:paraId="347220C7">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18.2响应文件按照竞争性磋商文件第五章格式要求在规定位置进行签署、盖章。供应商的响应文件未按照竞争性磋商文件要求签署、盖章的，其竞标无效。竞争性磋商文件要求法定代表人或委托代理人签字的部分应使用CA签章；如法定代表人或委托代理人未办理CA锁的，可以打印手写签字后扫描或者拍照做成PDF格式上传，无签字的作无效竞标处理。骑缝盖公章不视为在规定位置盖章。</w:t>
      </w:r>
    </w:p>
    <w:p w14:paraId="34D036A7">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18.3为确保网上操作合法、有效和安全，供应商应当在响应文件提交截止时间前完成在广西政府采购云平台的身份认证，确保在电子投标过程中能够对相关数据电文进行加密和使用电子签名。</w:t>
      </w:r>
    </w:p>
    <w:p w14:paraId="32847BCB">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18.4响应文件中标注的供应商名称应与主体资格证明（如营业执照、事业单位法人证书、执业许可证、自然人身份证等）及公章一致，否则作无效竞标处理。</w:t>
      </w:r>
    </w:p>
    <w:p w14:paraId="42FAC1D5">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18.5响应文件应尽量避免涂改、行间插字或者删除。如果出现上述情况，改动之处应由供应商的法定代表人或者其委托代理人签字或者加盖公章。响应文件因涂改、行间插字或者删除导致字迹潦草或者表达不清所引起的后果由供应商承担。</w:t>
      </w:r>
    </w:p>
    <w:p w14:paraId="77F8B35C">
      <w:pPr>
        <w:spacing w:line="400" w:lineRule="exact"/>
        <w:ind w:firstLine="369" w:firstLineChars="175"/>
        <w:rPr>
          <w:rFonts w:ascii="宋体" w:hAnsi="宋体" w:cs="宋体"/>
          <w:b/>
          <w:bCs/>
          <w:color w:val="auto"/>
          <w:szCs w:val="21"/>
          <w:highlight w:val="none"/>
        </w:rPr>
      </w:pPr>
      <w:r>
        <w:rPr>
          <w:rFonts w:hint="eastAsia" w:ascii="宋体" w:hAnsi="宋体" w:cs="宋体"/>
          <w:b/>
          <w:bCs/>
          <w:color w:val="auto"/>
          <w:szCs w:val="21"/>
          <w:highlight w:val="none"/>
        </w:rPr>
        <w:t>19.响应文件的加密、解密</w:t>
      </w:r>
    </w:p>
    <w:p w14:paraId="3D5B19A3">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电子响应文件编制完成后，供应商应按广西政府采购云平台的要求进行加密，并在规定时间内解密，否则，由此产生的后果由供应商自行负责。</w:t>
      </w:r>
    </w:p>
    <w:p w14:paraId="5AA15812">
      <w:pPr>
        <w:spacing w:line="400" w:lineRule="exact"/>
        <w:ind w:firstLine="369" w:firstLineChars="175"/>
        <w:rPr>
          <w:rFonts w:ascii="宋体" w:hAnsi="宋体" w:cs="宋体"/>
          <w:b/>
          <w:bCs/>
          <w:color w:val="auto"/>
          <w:szCs w:val="21"/>
          <w:highlight w:val="none"/>
        </w:rPr>
      </w:pPr>
      <w:r>
        <w:rPr>
          <w:rFonts w:hint="eastAsia" w:ascii="宋体" w:hAnsi="宋体" w:cs="宋体"/>
          <w:b/>
          <w:bCs/>
          <w:color w:val="auto"/>
          <w:szCs w:val="21"/>
          <w:highlight w:val="none"/>
        </w:rPr>
        <w:t>20.响应文件的提交</w:t>
      </w:r>
    </w:p>
    <w:p w14:paraId="72298227">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20.1供应商必须按“供应商须知前附表”规定的时间及地点提交响应文件。电子响应文件应在制作完成后，在提交响应文件截止时间前通过有效数字证书（CA认证锁）进行电子签章、加密，然后通过网络将加密的电子响应文件提交至广西政府采购云平台。</w:t>
      </w:r>
    </w:p>
    <w:p w14:paraId="1320D6BE">
      <w:pPr>
        <w:widowControl/>
        <w:spacing w:line="40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20.2</w:t>
      </w:r>
      <w:r>
        <w:rPr>
          <w:rFonts w:hint="eastAsia" w:ascii="宋体" w:hAnsi="宋体" w:cs="宋体"/>
          <w:b/>
          <w:bCs/>
          <w:color w:val="auto"/>
          <w:szCs w:val="21"/>
          <w:highlight w:val="none"/>
        </w:rPr>
        <w:t>未在规定时间内提交或者未按照磋商文件要求加密的电子响应文件，广西政府采购云平台将拒收</w:t>
      </w:r>
      <w:r>
        <w:rPr>
          <w:rFonts w:hint="eastAsia" w:ascii="宋体" w:hAnsi="宋体" w:cs="宋体"/>
          <w:b/>
          <w:color w:val="auto"/>
          <w:szCs w:val="21"/>
          <w:highlight w:val="none"/>
        </w:rPr>
        <w:t>。</w:t>
      </w:r>
    </w:p>
    <w:p w14:paraId="7C37C3AF">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20.3电子响应文件提交方</w:t>
      </w:r>
      <w:r>
        <w:rPr>
          <w:rFonts w:hint="eastAsia" w:ascii="宋体" w:hAnsi="宋体" w:cs="宋体"/>
          <w:bCs/>
          <w:color w:val="auto"/>
          <w:szCs w:val="21"/>
          <w:highlight w:val="none"/>
        </w:rPr>
        <w:t>式见“竞争性磋商公告”</w:t>
      </w:r>
      <w:r>
        <w:rPr>
          <w:rFonts w:hint="eastAsia" w:ascii="宋体" w:hAnsi="宋体" w:cs="宋体"/>
          <w:color w:val="auto"/>
          <w:szCs w:val="21"/>
          <w:highlight w:val="none"/>
        </w:rPr>
        <w:t>中“四、响应文件提交”。</w:t>
      </w:r>
    </w:p>
    <w:p w14:paraId="25B5CA03">
      <w:pPr>
        <w:spacing w:line="400" w:lineRule="exact"/>
        <w:ind w:firstLine="369" w:firstLineChars="175"/>
        <w:rPr>
          <w:rFonts w:ascii="宋体" w:hAnsi="宋体" w:cs="宋体"/>
          <w:b/>
          <w:bCs/>
          <w:color w:val="auto"/>
          <w:szCs w:val="21"/>
          <w:highlight w:val="none"/>
        </w:rPr>
      </w:pPr>
      <w:r>
        <w:rPr>
          <w:rFonts w:hint="eastAsia" w:ascii="宋体" w:hAnsi="宋体" w:cs="宋体"/>
          <w:b/>
          <w:bCs/>
          <w:color w:val="auto"/>
          <w:szCs w:val="21"/>
          <w:highlight w:val="none"/>
        </w:rPr>
        <w:t>21.首次响应文件的补充、修改与撤回</w:t>
      </w:r>
    </w:p>
    <w:p w14:paraId="687964B1">
      <w:pPr>
        <w:spacing w:line="400" w:lineRule="exact"/>
        <w:ind w:firstLine="420" w:firstLineChars="200"/>
        <w:rPr>
          <w:rFonts w:ascii="宋体" w:hAnsi="宋体" w:cs="宋体"/>
          <w:bCs/>
          <w:color w:val="auto"/>
          <w:szCs w:val="21"/>
          <w:highlight w:val="none"/>
        </w:rPr>
      </w:pPr>
      <w:bookmarkStart w:id="108" w:name="_Hlk45702405"/>
      <w:r>
        <w:rPr>
          <w:rFonts w:hint="eastAsia" w:ascii="宋体" w:hAnsi="宋体" w:cs="宋体"/>
          <w:bCs/>
          <w:color w:val="auto"/>
          <w:szCs w:val="21"/>
          <w:highlight w:val="none"/>
        </w:rPr>
        <w:t>供应商应当在首次响应文件提交截止时间前完成电子响应文件的上传、递交，首次响应文件提交截止时间前可以补充、修改或者撤回响应文件。补充或者修改响应文件的，应当先行撤回原文件，补充、修改后重新上传、递交。首次响应文件提交截止时间前未完成上传、递交的，视为撤回响应文件。首次响应文件提交截止时间以后上传递交的响应文件，广西政府采购云平台将予以拒收。（补充、修改或者撤回方式可登录广西政府采购云平台，进入“服务中心”中查看 “电子响应文件制作与投送教程”）</w:t>
      </w:r>
    </w:p>
    <w:p w14:paraId="6F91A680">
      <w:pPr>
        <w:spacing w:line="400" w:lineRule="exact"/>
        <w:ind w:firstLine="369" w:firstLineChars="175"/>
        <w:rPr>
          <w:rFonts w:ascii="宋体" w:hAnsi="宋体" w:cs="宋体"/>
          <w:b/>
          <w:bCs/>
          <w:color w:val="auto"/>
          <w:szCs w:val="21"/>
          <w:highlight w:val="none"/>
        </w:rPr>
      </w:pPr>
      <w:r>
        <w:rPr>
          <w:rFonts w:hint="eastAsia" w:ascii="宋体" w:hAnsi="宋体" w:cs="宋体"/>
          <w:b/>
          <w:bCs/>
          <w:color w:val="auto"/>
          <w:szCs w:val="21"/>
          <w:highlight w:val="none"/>
        </w:rPr>
        <w:t>22. 首次响应文件的退回</w:t>
      </w:r>
    </w:p>
    <w:p w14:paraId="5CB07F0E">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在首次响应文件提交截止时间止提交响应文件的供应商不足3家时，采购代理机构将根据广西政府采购云平台的操作将电子版响应文件退回，除此之外采购人和采购代理机构对已提交的电子响应文件概不退回。</w:t>
      </w:r>
    </w:p>
    <w:p w14:paraId="51B5E762">
      <w:pPr>
        <w:spacing w:line="400" w:lineRule="exact"/>
        <w:ind w:firstLine="369" w:firstLineChars="175"/>
        <w:rPr>
          <w:rFonts w:ascii="宋体" w:hAnsi="宋体" w:cs="宋体"/>
          <w:b/>
          <w:bCs/>
          <w:color w:val="auto"/>
          <w:szCs w:val="21"/>
          <w:highlight w:val="none"/>
        </w:rPr>
      </w:pPr>
      <w:r>
        <w:rPr>
          <w:rFonts w:hint="eastAsia" w:ascii="宋体" w:hAnsi="宋体" w:cs="宋体"/>
          <w:b/>
          <w:bCs/>
          <w:color w:val="auto"/>
          <w:szCs w:val="21"/>
          <w:highlight w:val="none"/>
        </w:rPr>
        <w:t>23. 截止时间后的撤回</w:t>
      </w:r>
    </w:p>
    <w:p w14:paraId="6F5E43D5">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供应商在首次响应文件提交截止时间后向采购人、采购代理机构书面申请撤回响应文件的，将根据本须知正文17.3的规定不予退还其磋商保证金。</w:t>
      </w:r>
      <w:bookmarkEnd w:id="108"/>
    </w:p>
    <w:p w14:paraId="5FF0EA87">
      <w:pPr>
        <w:spacing w:line="400" w:lineRule="exact"/>
        <w:ind w:firstLine="369" w:firstLineChars="175"/>
        <w:jc w:val="center"/>
        <w:outlineLvl w:val="2"/>
        <w:rPr>
          <w:rFonts w:ascii="宋体" w:hAnsi="宋体" w:cs="宋体"/>
          <w:b/>
          <w:bCs/>
          <w:color w:val="auto"/>
          <w:szCs w:val="21"/>
          <w:highlight w:val="none"/>
        </w:rPr>
      </w:pPr>
      <w:bookmarkStart w:id="109" w:name="_Toc27839"/>
      <w:bookmarkStart w:id="110" w:name="_Toc11014"/>
      <w:bookmarkStart w:id="111" w:name="_Toc110960223"/>
      <w:r>
        <w:rPr>
          <w:rFonts w:hint="eastAsia" w:ascii="宋体" w:hAnsi="宋体" w:cs="宋体"/>
          <w:b/>
          <w:bCs/>
          <w:color w:val="auto"/>
          <w:szCs w:val="21"/>
          <w:highlight w:val="none"/>
        </w:rPr>
        <w:t>四、评审及磋商</w:t>
      </w:r>
      <w:bookmarkEnd w:id="109"/>
      <w:bookmarkEnd w:id="110"/>
      <w:bookmarkEnd w:id="111"/>
    </w:p>
    <w:p w14:paraId="6A6D941F">
      <w:pPr>
        <w:spacing w:line="400" w:lineRule="exact"/>
        <w:ind w:firstLine="369" w:firstLineChars="175"/>
        <w:rPr>
          <w:rFonts w:ascii="宋体" w:hAnsi="宋体" w:cs="宋体"/>
          <w:b/>
          <w:bCs/>
          <w:color w:val="auto"/>
          <w:szCs w:val="21"/>
          <w:highlight w:val="none"/>
        </w:rPr>
      </w:pPr>
      <w:r>
        <w:rPr>
          <w:rFonts w:hint="eastAsia" w:ascii="宋体" w:hAnsi="宋体" w:cs="宋体"/>
          <w:b/>
          <w:bCs/>
          <w:color w:val="auto"/>
          <w:szCs w:val="21"/>
          <w:highlight w:val="none"/>
        </w:rPr>
        <w:t>24.磋商小组成立</w:t>
      </w:r>
    </w:p>
    <w:p w14:paraId="66730015">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6CBEF851">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4C4E8064">
      <w:pPr>
        <w:spacing w:line="400" w:lineRule="exact"/>
        <w:ind w:firstLine="369" w:firstLineChars="175"/>
        <w:rPr>
          <w:rFonts w:ascii="宋体" w:hAnsi="宋体" w:cs="宋体"/>
          <w:b/>
          <w:bCs/>
          <w:color w:val="auto"/>
          <w:szCs w:val="21"/>
          <w:highlight w:val="none"/>
        </w:rPr>
      </w:pPr>
      <w:r>
        <w:rPr>
          <w:rFonts w:hint="eastAsia" w:ascii="宋体" w:hAnsi="宋体" w:cs="宋体"/>
          <w:b/>
          <w:bCs/>
          <w:color w:val="auto"/>
          <w:szCs w:val="21"/>
          <w:highlight w:val="none"/>
        </w:rPr>
        <w:t>25.首次响应文件的开启</w:t>
      </w:r>
    </w:p>
    <w:p w14:paraId="2C3AB576">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25.1首次响应文件由磋商小组或者采购代理机构在“供应商须知前附表”规定的时间开启。</w:t>
      </w:r>
    </w:p>
    <w:p w14:paraId="22AAD152">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25.2 响应文件解密：采购代理机构将在“供应商须知前附表”规定的时间通过电子交易平台组织响应文件开启，采购代理机构将依托电子交易平台发起开始解密指令，</w:t>
      </w:r>
      <w:r>
        <w:rPr>
          <w:rFonts w:hint="eastAsia" w:ascii="宋体" w:hAnsi="宋体" w:cs="宋体"/>
          <w:b/>
          <w:color w:val="auto"/>
          <w:szCs w:val="21"/>
          <w:highlight w:val="none"/>
        </w:rPr>
        <w:t>供应商的法定代表人或其委托代理人须携带加密时所用的CA锁按平台提示和采购文件的规定登录到广西政府采购云平台电子开标大厅签到并在发起解密指令之时起30分钟内完成对电子响应文件在线解密。</w:t>
      </w:r>
      <w:r>
        <w:rPr>
          <w:rFonts w:hint="eastAsia" w:ascii="宋体" w:hAnsi="宋体" w:cs="宋体"/>
          <w:b/>
          <w:bCs/>
          <w:color w:val="auto"/>
          <w:szCs w:val="21"/>
          <w:highlight w:val="none"/>
        </w:rPr>
        <w:t>响应文件未按时解密的，</w:t>
      </w:r>
      <w:r>
        <w:rPr>
          <w:rFonts w:hint="eastAsia" w:ascii="宋体" w:hAnsi="宋体" w:cs="宋体"/>
          <w:b/>
          <w:color w:val="auto"/>
          <w:szCs w:val="21"/>
          <w:highlight w:val="none"/>
        </w:rPr>
        <w:t>视为响应</w:t>
      </w:r>
      <w:r>
        <w:rPr>
          <w:rFonts w:hint="eastAsia" w:ascii="宋体" w:hAnsi="宋体" w:cs="宋体"/>
          <w:b/>
          <w:bCs/>
          <w:color w:val="auto"/>
          <w:szCs w:val="21"/>
          <w:highlight w:val="none"/>
        </w:rPr>
        <w:t>文件无效。</w:t>
      </w:r>
      <w:r>
        <w:rPr>
          <w:rFonts w:hint="eastAsia" w:ascii="宋体" w:hAnsi="宋体" w:cs="宋体"/>
          <w:color w:val="auto"/>
          <w:szCs w:val="21"/>
          <w:highlight w:val="none"/>
        </w:rPr>
        <w:t>（解密异常情况处理：详见本章26.2电子交易活动的中止。）</w:t>
      </w:r>
    </w:p>
    <w:p w14:paraId="1DF65544">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25.3成功解密响应文件的供应商不足3家的，不得磋商。</w:t>
      </w:r>
    </w:p>
    <w:p w14:paraId="043A3DF8">
      <w:pPr>
        <w:spacing w:line="400" w:lineRule="exact"/>
        <w:ind w:firstLine="369" w:firstLineChars="175"/>
        <w:rPr>
          <w:rFonts w:ascii="宋体" w:hAnsi="宋体" w:cs="宋体"/>
          <w:b/>
          <w:bCs/>
          <w:color w:val="auto"/>
          <w:szCs w:val="21"/>
          <w:highlight w:val="none"/>
        </w:rPr>
      </w:pPr>
      <w:r>
        <w:rPr>
          <w:rFonts w:hint="eastAsia" w:ascii="宋体" w:hAnsi="宋体" w:cs="宋体"/>
          <w:b/>
          <w:bCs/>
          <w:color w:val="auto"/>
          <w:szCs w:val="21"/>
          <w:highlight w:val="none"/>
        </w:rPr>
        <w:t>26.评审程序、评审方法和评审标准</w:t>
      </w:r>
    </w:p>
    <w:p w14:paraId="4466653F">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26.1磋商小组按照“第四章 评审程序、评审方法和评审标准”规定的方法、评审因素、标准和程序对响应文件进行评审。</w:t>
      </w:r>
    </w:p>
    <w:p w14:paraId="26939381">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26.2电子交易活动的中止。采购过程中出现以下情形，导致电子交易平台无法正常运行，或者无法保证电子交易的公平、公正和安全时，采购机构可中止电子交易活动：</w:t>
      </w:r>
    </w:p>
    <w:p w14:paraId="00A33425">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（1）电子交易平台发生故障而无法登录访问的； </w:t>
      </w:r>
    </w:p>
    <w:p w14:paraId="20DEE82A">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（2）电子交易平台应用或数据库出现错误，不能进行正常操作的；</w:t>
      </w:r>
    </w:p>
    <w:p w14:paraId="04D35A5C">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（3）电子交易平台发现严重安全漏洞，有潜在泄密危险的；</w:t>
      </w:r>
    </w:p>
    <w:p w14:paraId="4A27137C">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（4）病毒发作导致不能进行正常操作的； </w:t>
      </w:r>
    </w:p>
    <w:p w14:paraId="2A975601">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（4）其他无法保证电子交易的公平、公正和安全的情况。</w:t>
      </w:r>
    </w:p>
    <w:p w14:paraId="080FF8A6">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26.3出现以上情形，不影响采购公平、公正性的，采购代理机构可以待上述情形消除后继续组织电子交易活动；影响或可能影响采购公平、公正性的，经采购代理机构确认后，应当重新采购。</w:t>
      </w:r>
    </w:p>
    <w:p w14:paraId="6C35A857">
      <w:pPr>
        <w:spacing w:line="400" w:lineRule="exact"/>
        <w:ind w:firstLine="369" w:firstLineChars="175"/>
        <w:rPr>
          <w:rFonts w:ascii="宋体" w:hAnsi="宋体" w:cs="宋体"/>
          <w:b/>
          <w:bCs/>
          <w:color w:val="auto"/>
          <w:szCs w:val="21"/>
          <w:highlight w:val="none"/>
        </w:rPr>
      </w:pPr>
      <w:r>
        <w:rPr>
          <w:rFonts w:hint="eastAsia" w:ascii="宋体" w:hAnsi="宋体" w:cs="宋体"/>
          <w:b/>
          <w:bCs/>
          <w:color w:val="auto"/>
          <w:szCs w:val="21"/>
          <w:highlight w:val="none"/>
        </w:rPr>
        <w:t>27.确定成交供应商及结果公告</w:t>
      </w:r>
    </w:p>
    <w:p w14:paraId="0693CB75">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27.1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5B42B7DD">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27.2采购代理机构应当在</w:t>
      </w:r>
      <w:r>
        <w:rPr>
          <w:rFonts w:hint="eastAsia" w:ascii="宋体" w:hAnsi="宋体" w:cs="宋体"/>
          <w:color w:val="auto"/>
          <w:kern w:val="0"/>
          <w:szCs w:val="21"/>
          <w:highlight w:val="none"/>
        </w:rPr>
        <w:t>成交</w:t>
      </w:r>
      <w:r>
        <w:rPr>
          <w:rFonts w:hint="eastAsia" w:ascii="宋体" w:hAnsi="宋体" w:cs="宋体"/>
          <w:color w:val="auto"/>
          <w:szCs w:val="21"/>
          <w:highlight w:val="none"/>
        </w:rPr>
        <w:t>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p>
    <w:p w14:paraId="121B4D2B">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27.3 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41453CD1">
      <w:pPr>
        <w:spacing w:line="400" w:lineRule="exact"/>
        <w:ind w:firstLine="420" w:firstLineChars="200"/>
        <w:rPr>
          <w:rFonts w:ascii="宋体" w:hAnsi="宋体" w:cs="宋体"/>
          <w:color w:val="auto"/>
          <w:szCs w:val="21"/>
          <w:highlight w:val="none"/>
        </w:rPr>
      </w:pPr>
      <w:r>
        <w:rPr>
          <w:rFonts w:hint="eastAsia" w:ascii="宋体" w:hAnsi="宋体" w:cs="宋体"/>
          <w:bCs/>
          <w:color w:val="auto"/>
          <w:szCs w:val="21"/>
          <w:highlight w:val="none"/>
        </w:rPr>
        <w:t>27.4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3D3DD22A">
      <w:pPr>
        <w:spacing w:line="400" w:lineRule="exact"/>
        <w:ind w:firstLine="369" w:firstLineChars="175"/>
        <w:rPr>
          <w:rFonts w:ascii="宋体" w:hAnsi="宋体" w:cs="宋体"/>
          <w:b/>
          <w:bCs/>
          <w:color w:val="auto"/>
          <w:szCs w:val="21"/>
          <w:highlight w:val="none"/>
        </w:rPr>
      </w:pPr>
      <w:r>
        <w:rPr>
          <w:rFonts w:hint="eastAsia" w:ascii="宋体" w:hAnsi="宋体" w:cs="宋体"/>
          <w:b/>
          <w:bCs/>
          <w:color w:val="auto"/>
          <w:szCs w:val="21"/>
          <w:highlight w:val="none"/>
        </w:rPr>
        <w:t>28.履约保证金</w:t>
      </w:r>
    </w:p>
    <w:p w14:paraId="27E190B6">
      <w:pPr>
        <w:spacing w:line="40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28.1 履约保证金的金额、提交方式、退付的时间和条件详见 “供应商须知前附表”。成交供应商未按规定提交履约保证金的，视为拒绝与采购人签订合同，采购人可以按照评审报告推荐的成交候选人名单排序，确定下一候选人为成交供应商，也可以重新开展政府采购活动。</w:t>
      </w:r>
    </w:p>
    <w:p w14:paraId="63B2E42D">
      <w:pPr>
        <w:spacing w:line="40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28.2签订合同后，如成交供应商不按双方签订的合同规定履约，则没收其全部履约保证金，履约保证金不足以赔偿损失的，按实际损失赔偿。</w:t>
      </w:r>
    </w:p>
    <w:p w14:paraId="52BBEE47">
      <w:pPr>
        <w:spacing w:line="40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28.3在履约保证金退还日期前，若成交供应商的开户名称、开户银行、账号有变动的，请以书面形式通知履约保证金收取单位，否则由此产生的后果由成交供应商自行承担。</w:t>
      </w:r>
    </w:p>
    <w:p w14:paraId="08BF70CB">
      <w:pPr>
        <w:spacing w:line="400" w:lineRule="exact"/>
        <w:ind w:firstLine="369" w:firstLineChars="175"/>
        <w:rPr>
          <w:rFonts w:ascii="宋体" w:hAnsi="宋体" w:cs="宋体"/>
          <w:b/>
          <w:bCs/>
          <w:color w:val="auto"/>
          <w:szCs w:val="21"/>
          <w:highlight w:val="none"/>
        </w:rPr>
      </w:pPr>
      <w:r>
        <w:rPr>
          <w:rFonts w:hint="eastAsia" w:ascii="宋体" w:hAnsi="宋体" w:cs="宋体"/>
          <w:b/>
          <w:bCs/>
          <w:color w:val="auto"/>
          <w:szCs w:val="21"/>
          <w:highlight w:val="none"/>
        </w:rPr>
        <w:t>29.签订合同</w:t>
      </w:r>
    </w:p>
    <w:p w14:paraId="29F0E729">
      <w:pPr>
        <w:spacing w:line="40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29.1成交供应商在收到成交通知书后，应当在签订合同时向采购人出示相关证明材料，具体内容详见 “供应商须知前附表”，经采购人核验合格后方可签订合同。</w:t>
      </w:r>
    </w:p>
    <w:p w14:paraId="7E4170B9">
      <w:pPr>
        <w:spacing w:line="40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29.2 签订合同时间：按成交通知书规定的时间与采购人签订政府采购合同。</w:t>
      </w:r>
    </w:p>
    <w:p w14:paraId="143CEAB1">
      <w:pPr>
        <w:spacing w:line="40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29.3成交供应商拒绝与采购人签订合同的，采购人可以按照评审报告推荐的成交候选人名单排序，确定下一候选人为成交供应商，也可以重新开展政府采购活动。拒绝签订政府采购合同的成交供应商不得参加对该合同项重新开展的采购活动。</w:t>
      </w:r>
    </w:p>
    <w:p w14:paraId="02885C5F">
      <w:pPr>
        <w:spacing w:line="400" w:lineRule="exact"/>
        <w:ind w:firstLine="369" w:firstLineChars="175"/>
        <w:rPr>
          <w:rFonts w:ascii="宋体" w:hAnsi="宋体" w:cs="宋体"/>
          <w:b/>
          <w:bCs/>
          <w:color w:val="auto"/>
          <w:szCs w:val="21"/>
          <w:highlight w:val="none"/>
        </w:rPr>
      </w:pPr>
      <w:r>
        <w:rPr>
          <w:rFonts w:hint="eastAsia" w:ascii="宋体" w:hAnsi="宋体" w:cs="宋体"/>
          <w:b/>
          <w:bCs/>
          <w:color w:val="auto"/>
          <w:szCs w:val="21"/>
          <w:highlight w:val="none"/>
        </w:rPr>
        <w:t>30.政府采购合同公告</w:t>
      </w:r>
    </w:p>
    <w:p w14:paraId="7C723A9C">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3078B229">
      <w:pPr>
        <w:spacing w:line="400" w:lineRule="exact"/>
        <w:ind w:firstLine="369" w:firstLineChars="175"/>
        <w:rPr>
          <w:rFonts w:ascii="宋体" w:hAnsi="宋体" w:cs="宋体"/>
          <w:b/>
          <w:bCs/>
          <w:color w:val="auto"/>
          <w:szCs w:val="21"/>
          <w:highlight w:val="none"/>
        </w:rPr>
      </w:pPr>
      <w:r>
        <w:rPr>
          <w:rFonts w:hint="eastAsia" w:ascii="宋体" w:hAnsi="宋体" w:cs="宋体"/>
          <w:b/>
          <w:bCs/>
          <w:color w:val="auto"/>
          <w:szCs w:val="21"/>
          <w:highlight w:val="none"/>
        </w:rPr>
        <w:t>31. 询问、质疑和投诉</w:t>
      </w:r>
    </w:p>
    <w:p w14:paraId="5B85613C">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31.1供应商对政府采购活动事项有疑问的，可以向采购人、采购代理机构提出询问，采购人或者采购代理机构应当在3个工作日内对供应商依法提出的询问作出答复。</w:t>
      </w:r>
    </w:p>
    <w:p w14:paraId="66DBB6CB">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宋体"/>
          <w:color w:val="auto"/>
          <w:szCs w:val="21"/>
          <w:highlight w:val="none"/>
          <w:shd w:val="clear" w:color="auto" w:fill="FFFFFF"/>
        </w:rPr>
        <w:t>接收质疑函的方式、联系部门、联系电话和通讯地址等信息详见</w:t>
      </w:r>
      <w:r>
        <w:rPr>
          <w:rFonts w:hint="eastAsia" w:ascii="宋体" w:hAnsi="宋体" w:cs="宋体"/>
          <w:color w:val="auto"/>
          <w:szCs w:val="21"/>
          <w:highlight w:val="none"/>
        </w:rPr>
        <w:t>“供应商须知前附表”。具体质疑起算时间如下：</w:t>
      </w:r>
    </w:p>
    <w:p w14:paraId="62E52949">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（1）对可以质疑的磋商文件提出质疑的，为收到磋商文件之日或者竞争性磋商公告期限届满之日；</w:t>
      </w:r>
    </w:p>
    <w:p w14:paraId="602DAFF6">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（2）对采购过程提出质疑的，为各采购程序环节结束之日；</w:t>
      </w:r>
    </w:p>
    <w:p w14:paraId="6096CCC0">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（3）对成交结果提出质疑的，为成交结果公告期限届满之日。</w:t>
      </w:r>
    </w:p>
    <w:p w14:paraId="42D7DF86">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71BBA743">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31.4 供应商提出质疑应当提交质疑函和必要的证明材料，针对同一采购程序环节的质疑必须在法定质疑期内一次性提出。质疑函应当包括下列内容</w:t>
      </w:r>
      <w:r>
        <w:rPr>
          <w:rFonts w:hint="eastAsia" w:ascii="宋体" w:hAnsi="宋体" w:cs="宋体"/>
          <w:bCs/>
          <w:color w:val="auto"/>
          <w:szCs w:val="21"/>
          <w:highlight w:val="none"/>
        </w:rPr>
        <w:t>（质疑函格式后附）</w:t>
      </w:r>
      <w:r>
        <w:rPr>
          <w:rFonts w:hint="eastAsia" w:ascii="宋体" w:hAnsi="宋体" w:cs="宋体"/>
          <w:color w:val="auto"/>
          <w:szCs w:val="21"/>
          <w:highlight w:val="none"/>
        </w:rPr>
        <w:t>：</w:t>
      </w:r>
    </w:p>
    <w:p w14:paraId="5BC40B40">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（1）供应商的姓名或者名称、地址、邮编、联系人及联系电话；</w:t>
      </w:r>
    </w:p>
    <w:p w14:paraId="1400F8E6">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（2）质疑项目的名称、编号；</w:t>
      </w:r>
    </w:p>
    <w:p w14:paraId="053E0767">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（3）具体、明确的质疑事项和与质疑事项相关的请求；</w:t>
      </w:r>
    </w:p>
    <w:p w14:paraId="19577AA6">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（4）事实依据；</w:t>
      </w:r>
    </w:p>
    <w:p w14:paraId="7EC155EA">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（5）必要的法律依据；</w:t>
      </w:r>
    </w:p>
    <w:p w14:paraId="4DB9D5E5">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（6）提出质疑的日期。</w:t>
      </w:r>
    </w:p>
    <w:p w14:paraId="1A2D95D5">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供应商为自然人的，应当由本人签字；供应商为法人或者其他组织的，应当由法定代表人、主要负责人，或者其委托代理人签字或者盖章，并加盖公章。</w:t>
      </w:r>
    </w:p>
    <w:p w14:paraId="08411091">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31.5采购人、采购代理机构认为供应商质疑不成立，或者成立但未对成交结果构成影响的，继续开展采购活动；认为供应商质疑成立且影响或者可能影响成交结果的，按照下列情况处理：</w:t>
      </w:r>
    </w:p>
    <w:p w14:paraId="18FEC68A">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（一）对采购文件提出的质疑，依法通过澄清或者修改可以继续开展采购活动的，澄清或者修改采购文件后继续开展采购活动；否则应当修改采购文件后重新开展采购活动。</w:t>
      </w:r>
    </w:p>
    <w:p w14:paraId="7D9F39CF">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（二）对采购过程或者成交结果提出的质疑，合格供应商符合法定数量时，可以从合格的成交候选人中另行确定成交供应商的，应当依法另行确定成交供应商；否则应当重新开展采购活动。</w:t>
      </w:r>
    </w:p>
    <w:p w14:paraId="75538CA2">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质疑答复导致成交结果改变的，采购人或者采购代理机构应当将有关情况书面报告本级财政部门。</w:t>
      </w:r>
    </w:p>
    <w:p w14:paraId="392B6B65">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31735462">
      <w:pPr>
        <w:spacing w:line="40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32.其他内容</w:t>
      </w:r>
    </w:p>
    <w:p w14:paraId="7DAA02AC">
      <w:pPr>
        <w:tabs>
          <w:tab w:val="left" w:pos="2835"/>
        </w:tabs>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32.1代理服务收费标准及交费账户详见“供应商须知前附表”，供应商为联合体的，可以由联合体中的一方或者多方共同交纳代理服务费。</w:t>
      </w:r>
    </w:p>
    <w:p w14:paraId="1204393B">
      <w:pPr>
        <w:tabs>
          <w:tab w:val="left" w:pos="2835"/>
        </w:tabs>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32.2代理服务费收费计算标准：</w:t>
      </w:r>
    </w:p>
    <w:p w14:paraId="1F9BEC4F">
      <w:pPr>
        <w:tabs>
          <w:tab w:val="left" w:pos="2835"/>
        </w:tabs>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根据成交金额为计费额，按下表“服务类”收费标准通过差额定率累进法计取，向成交供应商一次性收取采购代理服务费。</w:t>
      </w:r>
    </w:p>
    <w:tbl>
      <w:tblPr>
        <w:tblStyle w:val="31"/>
        <w:tblW w:w="8533"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49"/>
        <w:gridCol w:w="1598"/>
        <w:gridCol w:w="1743"/>
        <w:gridCol w:w="1743"/>
      </w:tblGrid>
      <w:tr w14:paraId="70B6E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9" w:hRule="atLeast"/>
          <w:tblCellSpacing w:w="0" w:type="dxa"/>
        </w:trPr>
        <w:tc>
          <w:tcPr>
            <w:tcW w:w="3449" w:type="dxa"/>
            <w:tcBorders>
              <w:tl2br w:val="single" w:color="000000" w:sz="4" w:space="0"/>
            </w:tcBorders>
            <w:vAlign w:val="center"/>
          </w:tcPr>
          <w:p w14:paraId="26D5E9A6">
            <w:pPr>
              <w:spacing w:line="400" w:lineRule="exact"/>
              <w:ind w:left="210" w:leftChars="100" w:firstLine="1470" w:firstLineChars="700"/>
              <w:rPr>
                <w:rFonts w:ascii="宋体" w:hAnsi="宋体" w:cs="宋体"/>
                <w:color w:val="auto"/>
                <w:kern w:val="0"/>
                <w:szCs w:val="21"/>
                <w:highlight w:val="none"/>
              </w:rPr>
            </w:pPr>
            <w:r>
              <w:rPr>
                <w:rFonts w:hint="eastAsia" w:ascii="宋体" w:hAnsi="宋体" w:cs="宋体"/>
                <w:color w:val="auto"/>
                <w:kern w:val="0"/>
                <w:szCs w:val="21"/>
                <w:highlight w:val="none"/>
              </w:rPr>
              <w:t>费率</w:t>
            </w:r>
          </w:p>
          <w:p w14:paraId="012D61C4">
            <w:pPr>
              <w:spacing w:line="400" w:lineRule="exact"/>
              <w:rPr>
                <w:rFonts w:ascii="宋体" w:hAnsi="宋体" w:cs="宋体"/>
                <w:color w:val="auto"/>
                <w:kern w:val="0"/>
                <w:szCs w:val="21"/>
                <w:highlight w:val="none"/>
              </w:rPr>
            </w:pPr>
            <w:r>
              <w:rPr>
                <w:rFonts w:hint="eastAsia" w:ascii="宋体" w:hAnsi="宋体" w:cs="宋体"/>
                <w:color w:val="auto"/>
                <w:kern w:val="0"/>
                <w:szCs w:val="21"/>
                <w:highlight w:val="none"/>
              </w:rPr>
              <w:t>中标金额</w:t>
            </w:r>
          </w:p>
        </w:tc>
        <w:tc>
          <w:tcPr>
            <w:tcW w:w="1598" w:type="dxa"/>
            <w:vAlign w:val="center"/>
          </w:tcPr>
          <w:p w14:paraId="0DEB6BBD">
            <w:pPr>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货物类项目</w:t>
            </w:r>
          </w:p>
        </w:tc>
        <w:tc>
          <w:tcPr>
            <w:tcW w:w="1743" w:type="dxa"/>
            <w:vAlign w:val="center"/>
          </w:tcPr>
          <w:p w14:paraId="355EF9D5">
            <w:pPr>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服务类项目</w:t>
            </w:r>
          </w:p>
        </w:tc>
        <w:tc>
          <w:tcPr>
            <w:tcW w:w="1743" w:type="dxa"/>
            <w:vAlign w:val="center"/>
          </w:tcPr>
          <w:p w14:paraId="3116B64F">
            <w:pPr>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工程类项目</w:t>
            </w:r>
          </w:p>
        </w:tc>
      </w:tr>
      <w:tr w14:paraId="47D20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CellSpacing w:w="0" w:type="dxa"/>
        </w:trPr>
        <w:tc>
          <w:tcPr>
            <w:tcW w:w="3449" w:type="dxa"/>
            <w:vAlign w:val="center"/>
          </w:tcPr>
          <w:p w14:paraId="46C7FE59">
            <w:pPr>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100万元以下</w:t>
            </w:r>
          </w:p>
        </w:tc>
        <w:tc>
          <w:tcPr>
            <w:tcW w:w="1598" w:type="dxa"/>
            <w:vAlign w:val="center"/>
          </w:tcPr>
          <w:p w14:paraId="2FAEE44E">
            <w:pPr>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1.5%</w:t>
            </w:r>
          </w:p>
        </w:tc>
        <w:tc>
          <w:tcPr>
            <w:tcW w:w="1743" w:type="dxa"/>
            <w:vAlign w:val="center"/>
          </w:tcPr>
          <w:p w14:paraId="5CC5A402">
            <w:pPr>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1.5%</w:t>
            </w:r>
          </w:p>
        </w:tc>
        <w:tc>
          <w:tcPr>
            <w:tcW w:w="1743" w:type="dxa"/>
            <w:vAlign w:val="center"/>
          </w:tcPr>
          <w:p w14:paraId="2E57791C">
            <w:pPr>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w:t>
            </w:r>
          </w:p>
        </w:tc>
      </w:tr>
      <w:tr w14:paraId="6F648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CellSpacing w:w="0" w:type="dxa"/>
        </w:trPr>
        <w:tc>
          <w:tcPr>
            <w:tcW w:w="3449" w:type="dxa"/>
            <w:vAlign w:val="center"/>
          </w:tcPr>
          <w:p w14:paraId="707153CE">
            <w:pPr>
              <w:shd w:val="clear" w:color="auto" w:fill="FFFFFF"/>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100～500万元</w:t>
            </w:r>
          </w:p>
        </w:tc>
        <w:tc>
          <w:tcPr>
            <w:tcW w:w="1598" w:type="dxa"/>
            <w:vAlign w:val="center"/>
          </w:tcPr>
          <w:p w14:paraId="3F5EFF46">
            <w:pPr>
              <w:shd w:val="clear" w:color="auto" w:fill="FFFFFF"/>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1.1%</w:t>
            </w:r>
          </w:p>
        </w:tc>
        <w:tc>
          <w:tcPr>
            <w:tcW w:w="1743" w:type="dxa"/>
            <w:vAlign w:val="center"/>
          </w:tcPr>
          <w:p w14:paraId="091A85D3">
            <w:pPr>
              <w:shd w:val="clear" w:color="auto" w:fill="FFFFFF"/>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0.8%</w:t>
            </w:r>
          </w:p>
        </w:tc>
        <w:tc>
          <w:tcPr>
            <w:tcW w:w="1743" w:type="dxa"/>
            <w:vAlign w:val="center"/>
          </w:tcPr>
          <w:p w14:paraId="4C7BB140">
            <w:pPr>
              <w:shd w:val="clear" w:color="auto" w:fill="FFFFFF"/>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0.7%</w:t>
            </w:r>
          </w:p>
        </w:tc>
      </w:tr>
      <w:tr w14:paraId="432FD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CellSpacing w:w="0" w:type="dxa"/>
        </w:trPr>
        <w:tc>
          <w:tcPr>
            <w:tcW w:w="3449" w:type="dxa"/>
            <w:vAlign w:val="center"/>
          </w:tcPr>
          <w:p w14:paraId="74238536">
            <w:pPr>
              <w:shd w:val="clear" w:color="auto" w:fill="FFFFFF"/>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500～1000万元</w:t>
            </w:r>
          </w:p>
        </w:tc>
        <w:tc>
          <w:tcPr>
            <w:tcW w:w="1598" w:type="dxa"/>
            <w:vAlign w:val="center"/>
          </w:tcPr>
          <w:p w14:paraId="4D7BB200">
            <w:pPr>
              <w:shd w:val="clear" w:color="auto" w:fill="FFFFFF"/>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0.8%</w:t>
            </w:r>
          </w:p>
        </w:tc>
        <w:tc>
          <w:tcPr>
            <w:tcW w:w="1743" w:type="dxa"/>
            <w:vAlign w:val="center"/>
          </w:tcPr>
          <w:p w14:paraId="5C7E21D5">
            <w:pPr>
              <w:shd w:val="clear" w:color="auto" w:fill="FFFFFF"/>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0.45%</w:t>
            </w:r>
          </w:p>
        </w:tc>
        <w:tc>
          <w:tcPr>
            <w:tcW w:w="1743" w:type="dxa"/>
            <w:vAlign w:val="center"/>
          </w:tcPr>
          <w:p w14:paraId="3DBB9E28">
            <w:pPr>
              <w:shd w:val="clear" w:color="auto" w:fill="FFFFFF"/>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0.55%</w:t>
            </w:r>
          </w:p>
        </w:tc>
      </w:tr>
      <w:tr w14:paraId="358AE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CellSpacing w:w="0" w:type="dxa"/>
        </w:trPr>
        <w:tc>
          <w:tcPr>
            <w:tcW w:w="3449" w:type="dxa"/>
            <w:vAlign w:val="center"/>
          </w:tcPr>
          <w:p w14:paraId="0E3B5A22">
            <w:pPr>
              <w:shd w:val="clear" w:color="auto" w:fill="FFFFFF"/>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1000～5000万元</w:t>
            </w:r>
          </w:p>
        </w:tc>
        <w:tc>
          <w:tcPr>
            <w:tcW w:w="1598" w:type="dxa"/>
            <w:vAlign w:val="center"/>
          </w:tcPr>
          <w:p w14:paraId="6CAC75BF">
            <w:pPr>
              <w:shd w:val="clear" w:color="auto" w:fill="FFFFFF"/>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0.5%</w:t>
            </w:r>
          </w:p>
        </w:tc>
        <w:tc>
          <w:tcPr>
            <w:tcW w:w="1743" w:type="dxa"/>
            <w:vAlign w:val="center"/>
          </w:tcPr>
          <w:p w14:paraId="46505353">
            <w:pPr>
              <w:shd w:val="clear" w:color="auto" w:fill="FFFFFF"/>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0.25%</w:t>
            </w:r>
          </w:p>
        </w:tc>
        <w:tc>
          <w:tcPr>
            <w:tcW w:w="1743" w:type="dxa"/>
            <w:vAlign w:val="center"/>
          </w:tcPr>
          <w:p w14:paraId="38BCCFEB">
            <w:pPr>
              <w:shd w:val="clear" w:color="auto" w:fill="FFFFFF"/>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0.35%</w:t>
            </w:r>
          </w:p>
        </w:tc>
      </w:tr>
      <w:tr w14:paraId="5C662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CellSpacing w:w="0" w:type="dxa"/>
        </w:trPr>
        <w:tc>
          <w:tcPr>
            <w:tcW w:w="3449" w:type="dxa"/>
            <w:vAlign w:val="center"/>
          </w:tcPr>
          <w:p w14:paraId="14F7FF9E">
            <w:pPr>
              <w:shd w:val="clear" w:color="auto" w:fill="FFFFFF"/>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5000万元～1亿元</w:t>
            </w:r>
          </w:p>
        </w:tc>
        <w:tc>
          <w:tcPr>
            <w:tcW w:w="1598" w:type="dxa"/>
            <w:vAlign w:val="center"/>
          </w:tcPr>
          <w:p w14:paraId="67D4B6E5">
            <w:pPr>
              <w:shd w:val="clear" w:color="auto" w:fill="FFFFFF"/>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0.25%</w:t>
            </w:r>
          </w:p>
        </w:tc>
        <w:tc>
          <w:tcPr>
            <w:tcW w:w="1743" w:type="dxa"/>
            <w:vAlign w:val="center"/>
          </w:tcPr>
          <w:p w14:paraId="0E05502E">
            <w:pPr>
              <w:shd w:val="clear" w:color="auto" w:fill="FFFFFF"/>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0.1%</w:t>
            </w:r>
          </w:p>
        </w:tc>
        <w:tc>
          <w:tcPr>
            <w:tcW w:w="1743" w:type="dxa"/>
            <w:vAlign w:val="center"/>
          </w:tcPr>
          <w:p w14:paraId="79655721">
            <w:pPr>
              <w:shd w:val="clear" w:color="auto" w:fill="FFFFFF"/>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0.2%</w:t>
            </w:r>
          </w:p>
        </w:tc>
      </w:tr>
      <w:tr w14:paraId="1F989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CellSpacing w:w="0" w:type="dxa"/>
        </w:trPr>
        <w:tc>
          <w:tcPr>
            <w:tcW w:w="3449" w:type="dxa"/>
            <w:vAlign w:val="center"/>
          </w:tcPr>
          <w:p w14:paraId="3257BF3C">
            <w:pPr>
              <w:shd w:val="clear" w:color="auto" w:fill="FFFFFF"/>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1～5亿元</w:t>
            </w:r>
          </w:p>
        </w:tc>
        <w:tc>
          <w:tcPr>
            <w:tcW w:w="1598" w:type="dxa"/>
            <w:vAlign w:val="center"/>
          </w:tcPr>
          <w:p w14:paraId="174F2A4D">
            <w:pPr>
              <w:shd w:val="clear" w:color="auto" w:fill="FFFFFF"/>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0.05%</w:t>
            </w:r>
          </w:p>
        </w:tc>
        <w:tc>
          <w:tcPr>
            <w:tcW w:w="1743" w:type="dxa"/>
            <w:vAlign w:val="center"/>
          </w:tcPr>
          <w:p w14:paraId="0EF25E1B">
            <w:pPr>
              <w:shd w:val="clear" w:color="auto" w:fill="FFFFFF"/>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0.05%</w:t>
            </w:r>
          </w:p>
        </w:tc>
        <w:tc>
          <w:tcPr>
            <w:tcW w:w="1743" w:type="dxa"/>
            <w:vAlign w:val="center"/>
          </w:tcPr>
          <w:p w14:paraId="1AE80432">
            <w:pPr>
              <w:shd w:val="clear" w:color="auto" w:fill="FFFFFF"/>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0.05%</w:t>
            </w:r>
          </w:p>
        </w:tc>
      </w:tr>
      <w:tr w14:paraId="38307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CellSpacing w:w="0" w:type="dxa"/>
        </w:trPr>
        <w:tc>
          <w:tcPr>
            <w:tcW w:w="3449" w:type="dxa"/>
            <w:vAlign w:val="center"/>
          </w:tcPr>
          <w:p w14:paraId="4F6DD616">
            <w:pPr>
              <w:shd w:val="clear" w:color="auto" w:fill="FFFFFF"/>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5～10亿元</w:t>
            </w:r>
          </w:p>
        </w:tc>
        <w:tc>
          <w:tcPr>
            <w:tcW w:w="1598" w:type="dxa"/>
            <w:vAlign w:val="center"/>
          </w:tcPr>
          <w:p w14:paraId="0B5A627C">
            <w:pPr>
              <w:shd w:val="clear" w:color="auto" w:fill="FFFFFF"/>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0.035%</w:t>
            </w:r>
          </w:p>
        </w:tc>
        <w:tc>
          <w:tcPr>
            <w:tcW w:w="1743" w:type="dxa"/>
            <w:vAlign w:val="center"/>
          </w:tcPr>
          <w:p w14:paraId="35EAB016">
            <w:pPr>
              <w:shd w:val="clear" w:color="auto" w:fill="FFFFFF"/>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0.035%</w:t>
            </w:r>
          </w:p>
        </w:tc>
        <w:tc>
          <w:tcPr>
            <w:tcW w:w="1743" w:type="dxa"/>
            <w:vAlign w:val="center"/>
          </w:tcPr>
          <w:p w14:paraId="36E57D33">
            <w:pPr>
              <w:shd w:val="clear" w:color="auto" w:fill="FFFFFF"/>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0.035%</w:t>
            </w:r>
          </w:p>
        </w:tc>
      </w:tr>
      <w:tr w14:paraId="75C14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CellSpacing w:w="0" w:type="dxa"/>
        </w:trPr>
        <w:tc>
          <w:tcPr>
            <w:tcW w:w="3449" w:type="dxa"/>
            <w:vAlign w:val="center"/>
          </w:tcPr>
          <w:p w14:paraId="503358AC">
            <w:pPr>
              <w:shd w:val="clear" w:color="auto" w:fill="FFFFFF"/>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10～50亿元</w:t>
            </w:r>
          </w:p>
        </w:tc>
        <w:tc>
          <w:tcPr>
            <w:tcW w:w="1598" w:type="dxa"/>
            <w:vAlign w:val="center"/>
          </w:tcPr>
          <w:p w14:paraId="4F42C7ED">
            <w:pPr>
              <w:shd w:val="clear" w:color="auto" w:fill="FFFFFF"/>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0.008%</w:t>
            </w:r>
          </w:p>
        </w:tc>
        <w:tc>
          <w:tcPr>
            <w:tcW w:w="1743" w:type="dxa"/>
            <w:vAlign w:val="center"/>
          </w:tcPr>
          <w:p w14:paraId="1C7B15F5">
            <w:pPr>
              <w:shd w:val="clear" w:color="auto" w:fill="FFFFFF"/>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0.008%</w:t>
            </w:r>
          </w:p>
        </w:tc>
        <w:tc>
          <w:tcPr>
            <w:tcW w:w="1743" w:type="dxa"/>
            <w:vAlign w:val="center"/>
          </w:tcPr>
          <w:p w14:paraId="5C1EF619">
            <w:pPr>
              <w:shd w:val="clear" w:color="auto" w:fill="FFFFFF"/>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0.008%</w:t>
            </w:r>
          </w:p>
        </w:tc>
      </w:tr>
      <w:tr w14:paraId="4272F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CellSpacing w:w="0" w:type="dxa"/>
        </w:trPr>
        <w:tc>
          <w:tcPr>
            <w:tcW w:w="3449" w:type="dxa"/>
            <w:vAlign w:val="center"/>
          </w:tcPr>
          <w:p w14:paraId="61D583EB">
            <w:pPr>
              <w:shd w:val="clear" w:color="auto" w:fill="FFFFFF"/>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50～100亿元</w:t>
            </w:r>
          </w:p>
        </w:tc>
        <w:tc>
          <w:tcPr>
            <w:tcW w:w="1598" w:type="dxa"/>
            <w:vAlign w:val="center"/>
          </w:tcPr>
          <w:p w14:paraId="7D3D3459">
            <w:pPr>
              <w:shd w:val="clear" w:color="auto" w:fill="FFFFFF"/>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0.006%</w:t>
            </w:r>
          </w:p>
        </w:tc>
        <w:tc>
          <w:tcPr>
            <w:tcW w:w="1743" w:type="dxa"/>
            <w:vAlign w:val="center"/>
          </w:tcPr>
          <w:p w14:paraId="282CB15E">
            <w:pPr>
              <w:shd w:val="clear" w:color="auto" w:fill="FFFFFF"/>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0.006%</w:t>
            </w:r>
          </w:p>
        </w:tc>
        <w:tc>
          <w:tcPr>
            <w:tcW w:w="1743" w:type="dxa"/>
            <w:vAlign w:val="center"/>
          </w:tcPr>
          <w:p w14:paraId="7E627E81">
            <w:pPr>
              <w:shd w:val="clear" w:color="auto" w:fill="FFFFFF"/>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0.006%</w:t>
            </w:r>
          </w:p>
        </w:tc>
      </w:tr>
      <w:tr w14:paraId="11B63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CellSpacing w:w="0" w:type="dxa"/>
        </w:trPr>
        <w:tc>
          <w:tcPr>
            <w:tcW w:w="3449" w:type="dxa"/>
            <w:vAlign w:val="center"/>
          </w:tcPr>
          <w:p w14:paraId="229CE92E">
            <w:pPr>
              <w:shd w:val="clear" w:color="auto" w:fill="FFFFFF"/>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100亿以上</w:t>
            </w:r>
          </w:p>
        </w:tc>
        <w:tc>
          <w:tcPr>
            <w:tcW w:w="1598" w:type="dxa"/>
            <w:vAlign w:val="center"/>
          </w:tcPr>
          <w:p w14:paraId="1705A0E3">
            <w:pPr>
              <w:shd w:val="clear" w:color="auto" w:fill="FFFFFF"/>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0.004%</w:t>
            </w:r>
          </w:p>
        </w:tc>
        <w:tc>
          <w:tcPr>
            <w:tcW w:w="1743" w:type="dxa"/>
            <w:vAlign w:val="center"/>
          </w:tcPr>
          <w:p w14:paraId="371B56ED">
            <w:pPr>
              <w:shd w:val="clear" w:color="auto" w:fill="FFFFFF"/>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0.004%</w:t>
            </w:r>
          </w:p>
        </w:tc>
        <w:tc>
          <w:tcPr>
            <w:tcW w:w="1743" w:type="dxa"/>
            <w:vAlign w:val="center"/>
          </w:tcPr>
          <w:p w14:paraId="181DFDD7">
            <w:pPr>
              <w:shd w:val="clear" w:color="auto" w:fill="FFFFFF"/>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0.004%</w:t>
            </w:r>
          </w:p>
        </w:tc>
      </w:tr>
    </w:tbl>
    <w:p w14:paraId="3FA19C9F">
      <w:pPr>
        <w:tabs>
          <w:tab w:val="left" w:pos="2835"/>
        </w:tabs>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注：采购代理服务费收费按差额定率累进法计算。</w:t>
      </w:r>
    </w:p>
    <w:p w14:paraId="0814F9E0">
      <w:pPr>
        <w:tabs>
          <w:tab w:val="left" w:pos="2835"/>
        </w:tabs>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例如：某服务采购代理业务成交金额为150万元，计算采购代理收费额如下：</w:t>
      </w:r>
    </w:p>
    <w:p w14:paraId="79E8804F">
      <w:pPr>
        <w:tabs>
          <w:tab w:val="left" w:pos="2835"/>
        </w:tabs>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100 万元 ×l.5 ％＝ 1.5 万元</w:t>
      </w:r>
    </w:p>
    <w:p w14:paraId="64226710">
      <w:pPr>
        <w:tabs>
          <w:tab w:val="left" w:pos="2835"/>
        </w:tabs>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150 － 100 ）万元 ×0.8％＝ 0.4万元</w:t>
      </w:r>
    </w:p>
    <w:p w14:paraId="05069172">
      <w:pPr>
        <w:tabs>
          <w:tab w:val="left" w:pos="2835"/>
        </w:tabs>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合计收费＝ 1.5 ＋ 0.4＝ 1.9 万元</w:t>
      </w:r>
    </w:p>
    <w:p w14:paraId="19F58140">
      <w:pPr>
        <w:spacing w:line="40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33.需要补充的其他内容</w:t>
      </w:r>
    </w:p>
    <w:p w14:paraId="00AE8155">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33.1本磋商文件解释规则详见“供应商须知前附表”。</w:t>
      </w:r>
    </w:p>
    <w:p w14:paraId="31351AEA">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33.2 其他事项详见“供应商须知前附表”。</w:t>
      </w:r>
    </w:p>
    <w:p w14:paraId="3E55EA3A">
      <w:pPr>
        <w:pageBreakBefore w:val="0"/>
        <w:kinsoku/>
        <w:wordWrap/>
        <w:overflowPunct/>
        <w:topLinePunct w:val="0"/>
        <w:bidi w:val="0"/>
        <w:adjustRightInd/>
        <w:spacing w:line="400" w:lineRule="exact"/>
        <w:ind w:firstLine="420" w:firstLineChars="200"/>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33.3 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供应商对其提供的产品出具《关于符合本国产品标准的声明函》（格式详见第五章 响应文件格式）或财政部会同有关部门规定的有关证明文件，《声明函》或有关证明文件符合要求的，该产品视为本国产品。本项目适用情形详见“供应商须知前附表”的规定。</w:t>
      </w:r>
    </w:p>
    <w:p w14:paraId="187B3119">
      <w:pPr>
        <w:pageBreakBefore w:val="0"/>
        <w:kinsoku/>
        <w:wordWrap/>
        <w:overflowPunct/>
        <w:topLinePunct w:val="0"/>
        <w:bidi w:val="0"/>
        <w:adjustRightInd/>
        <w:spacing w:line="400" w:lineRule="exact"/>
        <w:ind w:firstLine="420" w:firstLineChars="200"/>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政府采购活动过程中，请根据竞标产品的真实情况出具《关于符合本国产品标准的声明函》。依法享受本国产品优惠政策的，采购人或者采购代理机构在公告成交结果时，同时公告成交供应商提供的《关于符合本国产品标准的声明函》或有关证明文件，接受社会监督。</w:t>
      </w:r>
    </w:p>
    <w:p w14:paraId="73183DC7">
      <w:pPr>
        <w:spacing w:line="400" w:lineRule="exact"/>
        <w:ind w:firstLine="420" w:firstLineChars="200"/>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产品在中国境内生产的组件成本，按照《中国境内生产的组件成本核算基本规则》计算。</w:t>
      </w:r>
    </w:p>
    <w:p w14:paraId="4E40E90D">
      <w:pPr>
        <w:keepNext w:val="0"/>
        <w:keepLines w:val="0"/>
        <w:pageBreakBefore w:val="0"/>
        <w:widowControl w:val="0"/>
        <w:kinsoku/>
        <w:wordWrap/>
        <w:overflowPunct/>
        <w:topLinePunct w:val="0"/>
        <w:autoSpaceDE/>
        <w:autoSpaceDN/>
        <w:bidi w:val="0"/>
        <w:adjustRightInd/>
        <w:snapToGrid w:val="0"/>
        <w:spacing w:before="156" w:beforeLines="50" w:after="312" w:afterLines="100" w:line="40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中国境内生产的组件成本核算基本规则</w:t>
      </w:r>
    </w:p>
    <w:p w14:paraId="56670018">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14B77C9B">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一、产品的一级组件是指直接组成产品的组件。产品的二级组件是指直接组成产品一级组件的组件。一级组件不可分解的，视同二级组件。</w:t>
      </w:r>
    </w:p>
    <w:p w14:paraId="1FDD9289">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二、二级组件在中国境内生产的，其全部成本计入中国境内生产的组件成本；二级组件不在中国境内生产的，其成本不计入中国境内生产的组件成本。</w:t>
      </w:r>
    </w:p>
    <w:p w14:paraId="2BF0D62A">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三、产品总成本和组件成本以相关会计核算数据、采购合同、进货记录等为基础进行计算。</w:t>
      </w:r>
    </w:p>
    <w:p w14:paraId="74E14940">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四、需要对成本核算规则予以进一步明确的其他有关事项，由财政部会同有关部门另行规定。</w:t>
      </w:r>
    </w:p>
    <w:p w14:paraId="214A6B54">
      <w:pPr>
        <w:pStyle w:val="12"/>
        <w:ind w:left="450" w:leftChars="114" w:hanging="211" w:hangingChars="100"/>
        <w:rPr>
          <w:rFonts w:hint="eastAsia" w:ascii="仿宋" w:hAnsi="仿宋" w:eastAsia="仿宋" w:cs="仿宋"/>
          <w:b/>
          <w:bCs/>
          <w:color w:val="auto"/>
          <w:highlight w:val="none"/>
        </w:rPr>
      </w:pPr>
    </w:p>
    <w:p w14:paraId="27B4F715">
      <w:pPr>
        <w:spacing w:line="400" w:lineRule="exact"/>
        <w:ind w:firstLine="420" w:firstLineChars="200"/>
        <w:rPr>
          <w:rFonts w:hint="eastAsia" w:ascii="宋体" w:hAnsi="宋体" w:eastAsia="宋体" w:cs="宋体"/>
          <w:color w:val="auto"/>
          <w:sz w:val="21"/>
          <w:szCs w:val="21"/>
          <w:highlight w:val="none"/>
          <w:lang w:val="en-US" w:eastAsia="zh-CN"/>
        </w:rPr>
      </w:pPr>
    </w:p>
    <w:p w14:paraId="24DC82C5">
      <w:pPr>
        <w:rPr>
          <w:rFonts w:ascii="宋体" w:hAnsi="宋体" w:cs="宋体"/>
          <w:b/>
          <w:bCs/>
          <w:color w:val="auto"/>
          <w:szCs w:val="21"/>
          <w:highlight w:val="none"/>
        </w:rPr>
      </w:pPr>
      <w:r>
        <w:rPr>
          <w:rFonts w:hint="eastAsia" w:ascii="宋体" w:hAnsi="宋体" w:cs="宋体"/>
          <w:b/>
          <w:bCs/>
          <w:color w:val="auto"/>
          <w:szCs w:val="21"/>
          <w:highlight w:val="none"/>
        </w:rPr>
        <w:br w:type="page"/>
      </w:r>
    </w:p>
    <w:p w14:paraId="172D1352">
      <w:pPr>
        <w:pStyle w:val="16"/>
        <w:snapToGrid w:val="0"/>
        <w:spacing w:before="120" w:after="120" w:line="400" w:lineRule="exact"/>
        <w:ind w:firstLine="420" w:firstLineChars="200"/>
        <w:rPr>
          <w:rFonts w:hAnsi="宋体" w:cs="宋体"/>
          <w:color w:val="auto"/>
          <w:sz w:val="21"/>
          <w:highlight w:val="none"/>
        </w:rPr>
      </w:pPr>
      <w:r>
        <w:rPr>
          <w:rFonts w:hint="eastAsia" w:hAnsi="宋体" w:cs="宋体"/>
          <w:color w:val="auto"/>
          <w:sz w:val="21"/>
          <w:highlight w:val="none"/>
        </w:rPr>
        <w:t>附件1：</w:t>
      </w:r>
    </w:p>
    <w:p w14:paraId="24E90EC8">
      <w:pPr>
        <w:shd w:val="clear" w:color="auto" w:fill="FFFFFF"/>
        <w:spacing w:afterLines="100" w:line="480" w:lineRule="atLeast"/>
        <w:jc w:val="center"/>
        <w:rPr>
          <w:rFonts w:ascii="宋体" w:hAnsi="宋体" w:cs="宋体"/>
          <w:color w:val="auto"/>
          <w:kern w:val="0"/>
          <w:szCs w:val="21"/>
          <w:highlight w:val="none"/>
        </w:rPr>
      </w:pPr>
      <w:r>
        <w:rPr>
          <w:rFonts w:hint="eastAsia" w:ascii="宋体" w:hAnsi="宋体" w:cs="宋体"/>
          <w:color w:val="auto"/>
          <w:kern w:val="0"/>
          <w:szCs w:val="21"/>
          <w:highlight w:val="none"/>
        </w:rPr>
        <w:t>政府采购项目履约保证金退付意见书（参考）</w:t>
      </w:r>
    </w:p>
    <w:tbl>
      <w:tblPr>
        <w:tblStyle w:val="31"/>
        <w:tblW w:w="85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
        <w:gridCol w:w="7608"/>
      </w:tblGrid>
      <w:tr w14:paraId="5E6A4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906" w:type="dxa"/>
            <w:vMerge w:val="restart"/>
            <w:vAlign w:val="center"/>
          </w:tcPr>
          <w:p w14:paraId="28E88111">
            <w:pPr>
              <w:jc w:val="center"/>
              <w:rPr>
                <w:rFonts w:ascii="宋体" w:hAnsi="宋体" w:cs="宋体"/>
                <w:color w:val="auto"/>
                <w:szCs w:val="21"/>
                <w:highlight w:val="none"/>
              </w:rPr>
            </w:pPr>
            <w:r>
              <w:rPr>
                <w:rFonts w:hint="eastAsia" w:ascii="宋体" w:hAnsi="宋体" w:cs="宋体"/>
                <w:color w:val="auto"/>
                <w:szCs w:val="21"/>
                <w:highlight w:val="none"/>
              </w:rPr>
              <w:t>供</w:t>
            </w:r>
          </w:p>
          <w:p w14:paraId="46B7E48E">
            <w:pPr>
              <w:jc w:val="center"/>
              <w:rPr>
                <w:rFonts w:ascii="宋体" w:hAnsi="宋体" w:cs="宋体"/>
                <w:color w:val="auto"/>
                <w:szCs w:val="21"/>
                <w:highlight w:val="none"/>
              </w:rPr>
            </w:pPr>
            <w:r>
              <w:rPr>
                <w:rFonts w:hint="eastAsia" w:ascii="宋体" w:hAnsi="宋体" w:cs="宋体"/>
                <w:color w:val="auto"/>
                <w:szCs w:val="21"/>
                <w:highlight w:val="none"/>
              </w:rPr>
              <w:t>应</w:t>
            </w:r>
          </w:p>
          <w:p w14:paraId="778030F3">
            <w:pPr>
              <w:jc w:val="center"/>
              <w:rPr>
                <w:rFonts w:ascii="宋体" w:hAnsi="宋体" w:cs="宋体"/>
                <w:color w:val="auto"/>
                <w:szCs w:val="21"/>
                <w:highlight w:val="none"/>
              </w:rPr>
            </w:pPr>
            <w:r>
              <w:rPr>
                <w:rFonts w:hint="eastAsia" w:ascii="宋体" w:hAnsi="宋体" w:cs="宋体"/>
                <w:color w:val="auto"/>
                <w:szCs w:val="21"/>
                <w:highlight w:val="none"/>
              </w:rPr>
              <w:t>商</w:t>
            </w:r>
          </w:p>
          <w:p w14:paraId="2F316315">
            <w:pPr>
              <w:jc w:val="center"/>
              <w:rPr>
                <w:rFonts w:ascii="宋体" w:hAnsi="宋体" w:cs="宋体"/>
                <w:color w:val="auto"/>
                <w:szCs w:val="21"/>
                <w:highlight w:val="none"/>
              </w:rPr>
            </w:pPr>
            <w:r>
              <w:rPr>
                <w:rFonts w:hint="eastAsia" w:ascii="宋体" w:hAnsi="宋体" w:cs="宋体"/>
                <w:color w:val="auto"/>
                <w:szCs w:val="21"/>
                <w:highlight w:val="none"/>
              </w:rPr>
              <w:t>申</w:t>
            </w:r>
          </w:p>
          <w:p w14:paraId="6BF1DE20">
            <w:pPr>
              <w:jc w:val="center"/>
              <w:rPr>
                <w:rFonts w:ascii="宋体" w:hAnsi="宋体" w:cs="宋体"/>
                <w:color w:val="auto"/>
                <w:szCs w:val="21"/>
                <w:highlight w:val="none"/>
              </w:rPr>
            </w:pPr>
            <w:r>
              <w:rPr>
                <w:rFonts w:hint="eastAsia" w:ascii="宋体" w:hAnsi="宋体" w:cs="宋体"/>
                <w:color w:val="auto"/>
                <w:szCs w:val="21"/>
                <w:highlight w:val="none"/>
              </w:rPr>
              <w:t>请</w:t>
            </w:r>
          </w:p>
        </w:tc>
        <w:tc>
          <w:tcPr>
            <w:tcW w:w="7608" w:type="dxa"/>
            <w:vAlign w:val="center"/>
          </w:tcPr>
          <w:p w14:paraId="60E136BD">
            <w:pPr>
              <w:rPr>
                <w:rFonts w:ascii="宋体" w:hAnsi="宋体" w:cs="宋体"/>
                <w:color w:val="auto"/>
                <w:szCs w:val="21"/>
                <w:highlight w:val="none"/>
              </w:rPr>
            </w:pPr>
            <w:r>
              <w:rPr>
                <w:rFonts w:hint="eastAsia" w:ascii="宋体" w:hAnsi="宋体" w:cs="宋体"/>
                <w:color w:val="auto"/>
                <w:szCs w:val="21"/>
                <w:highlight w:val="none"/>
              </w:rPr>
              <w:t>项目编号：</w:t>
            </w:r>
          </w:p>
        </w:tc>
      </w:tr>
      <w:tr w14:paraId="19EC2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906" w:type="dxa"/>
            <w:vMerge w:val="continue"/>
            <w:vAlign w:val="center"/>
          </w:tcPr>
          <w:p w14:paraId="01A5F8B2">
            <w:pPr>
              <w:rPr>
                <w:rFonts w:ascii="宋体" w:hAnsi="宋体" w:cs="宋体"/>
                <w:color w:val="auto"/>
                <w:szCs w:val="21"/>
                <w:highlight w:val="none"/>
              </w:rPr>
            </w:pPr>
          </w:p>
        </w:tc>
        <w:tc>
          <w:tcPr>
            <w:tcW w:w="7608" w:type="dxa"/>
            <w:vAlign w:val="center"/>
          </w:tcPr>
          <w:p w14:paraId="1014489E">
            <w:pPr>
              <w:rPr>
                <w:rFonts w:ascii="宋体" w:hAnsi="宋体" w:cs="宋体"/>
                <w:color w:val="auto"/>
                <w:szCs w:val="21"/>
                <w:highlight w:val="none"/>
              </w:rPr>
            </w:pPr>
            <w:r>
              <w:rPr>
                <w:rFonts w:hint="eastAsia" w:ascii="宋体" w:hAnsi="宋体" w:cs="宋体"/>
                <w:color w:val="auto"/>
                <w:szCs w:val="21"/>
                <w:highlight w:val="none"/>
              </w:rPr>
              <w:t>项目名称：</w:t>
            </w:r>
          </w:p>
        </w:tc>
      </w:tr>
      <w:tr w14:paraId="5210A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 w:type="dxa"/>
            <w:vMerge w:val="continue"/>
            <w:vAlign w:val="center"/>
          </w:tcPr>
          <w:p w14:paraId="7E317964">
            <w:pPr>
              <w:rPr>
                <w:rFonts w:ascii="宋体" w:hAnsi="宋体" w:cs="宋体"/>
                <w:color w:val="auto"/>
                <w:szCs w:val="21"/>
                <w:highlight w:val="none"/>
              </w:rPr>
            </w:pPr>
          </w:p>
        </w:tc>
        <w:tc>
          <w:tcPr>
            <w:tcW w:w="7608" w:type="dxa"/>
            <w:vAlign w:val="center"/>
          </w:tcPr>
          <w:p w14:paraId="67F06831">
            <w:pPr>
              <w:rPr>
                <w:rFonts w:ascii="宋体" w:hAnsi="宋体" w:cs="宋体"/>
                <w:color w:val="auto"/>
                <w:szCs w:val="21"/>
                <w:highlight w:val="none"/>
              </w:rPr>
            </w:pPr>
          </w:p>
          <w:p w14:paraId="111FE40B">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该项目已于年月日验收并交付使用。根据合同规定，该项目的履约保证金期限于年月日已满，请将履约保证金</w:t>
            </w:r>
          </w:p>
          <w:p w14:paraId="750C6B1A">
            <w:pPr>
              <w:spacing w:line="400" w:lineRule="exact"/>
              <w:rPr>
                <w:rFonts w:ascii="宋体" w:hAnsi="宋体" w:cs="宋体"/>
                <w:color w:val="auto"/>
                <w:szCs w:val="21"/>
                <w:highlight w:val="none"/>
              </w:rPr>
            </w:pPr>
            <w:r>
              <w:rPr>
                <w:rFonts w:hint="eastAsia" w:ascii="宋体" w:hAnsi="宋体" w:cs="宋体"/>
                <w:color w:val="auto"/>
                <w:szCs w:val="21"/>
                <w:highlight w:val="none"/>
              </w:rPr>
              <w:t>（大写）￥（小写）退付到达以下账户。</w:t>
            </w:r>
          </w:p>
          <w:p w14:paraId="445384FD">
            <w:pPr>
              <w:spacing w:line="400" w:lineRule="exact"/>
              <w:ind w:firstLine="705"/>
              <w:rPr>
                <w:rFonts w:ascii="宋体" w:hAnsi="宋体" w:cs="宋体"/>
                <w:color w:val="auto"/>
                <w:szCs w:val="21"/>
                <w:highlight w:val="none"/>
              </w:rPr>
            </w:pPr>
            <w:r>
              <w:rPr>
                <w:rFonts w:hint="eastAsia" w:ascii="宋体" w:hAnsi="宋体" w:cs="宋体"/>
                <w:color w:val="auto"/>
                <w:szCs w:val="21"/>
                <w:highlight w:val="none"/>
              </w:rPr>
              <w:t>单位名称：</w:t>
            </w:r>
          </w:p>
          <w:p w14:paraId="1CA4F97A">
            <w:pPr>
              <w:spacing w:line="400" w:lineRule="exact"/>
              <w:ind w:firstLine="705"/>
              <w:rPr>
                <w:rFonts w:ascii="宋体" w:hAnsi="宋体" w:cs="宋体"/>
                <w:color w:val="auto"/>
                <w:szCs w:val="21"/>
                <w:highlight w:val="none"/>
              </w:rPr>
            </w:pPr>
            <w:r>
              <w:rPr>
                <w:rFonts w:hint="eastAsia" w:ascii="宋体" w:hAnsi="宋体" w:cs="宋体"/>
                <w:color w:val="auto"/>
                <w:szCs w:val="21"/>
                <w:highlight w:val="none"/>
              </w:rPr>
              <w:t>开户银行：</w:t>
            </w:r>
          </w:p>
          <w:p w14:paraId="678BC0EB">
            <w:pPr>
              <w:spacing w:line="400" w:lineRule="exact"/>
              <w:ind w:firstLine="705"/>
              <w:rPr>
                <w:rFonts w:ascii="宋体" w:hAnsi="宋体" w:cs="宋体"/>
                <w:color w:val="auto"/>
                <w:szCs w:val="21"/>
                <w:highlight w:val="none"/>
              </w:rPr>
            </w:pPr>
            <w:r>
              <w:rPr>
                <w:rFonts w:hint="eastAsia" w:ascii="宋体" w:hAnsi="宋体" w:cs="宋体"/>
                <w:color w:val="auto"/>
                <w:szCs w:val="21"/>
                <w:highlight w:val="none"/>
              </w:rPr>
              <w:t>账   号：</w:t>
            </w:r>
          </w:p>
          <w:p w14:paraId="238E455F">
            <w:pPr>
              <w:spacing w:line="400" w:lineRule="exact"/>
              <w:rPr>
                <w:rFonts w:ascii="宋体" w:hAnsi="宋体" w:cs="宋体"/>
                <w:color w:val="auto"/>
                <w:szCs w:val="21"/>
                <w:highlight w:val="none"/>
              </w:rPr>
            </w:pPr>
            <w:r>
              <w:rPr>
                <w:rFonts w:hint="eastAsia" w:ascii="宋体" w:hAnsi="宋体" w:cs="宋体"/>
                <w:color w:val="auto"/>
                <w:szCs w:val="21"/>
                <w:highlight w:val="none"/>
              </w:rPr>
              <w:t>联系人及电话：</w:t>
            </w:r>
          </w:p>
          <w:p w14:paraId="38906C22">
            <w:pPr>
              <w:spacing w:line="400" w:lineRule="exact"/>
              <w:rPr>
                <w:rFonts w:ascii="宋体" w:hAnsi="宋体" w:cs="宋体"/>
                <w:color w:val="auto"/>
                <w:szCs w:val="21"/>
                <w:highlight w:val="none"/>
              </w:rPr>
            </w:pPr>
          </w:p>
          <w:p w14:paraId="7D25733F">
            <w:pPr>
              <w:spacing w:line="520" w:lineRule="exact"/>
              <w:jc w:val="center"/>
              <w:rPr>
                <w:rFonts w:ascii="宋体" w:hAnsi="宋体" w:cs="宋体"/>
                <w:color w:val="auto"/>
                <w:szCs w:val="21"/>
                <w:highlight w:val="none"/>
              </w:rPr>
            </w:pPr>
            <w:r>
              <w:rPr>
                <w:rFonts w:hint="eastAsia" w:ascii="宋体" w:hAnsi="宋体" w:cs="宋体"/>
                <w:color w:val="auto"/>
                <w:szCs w:val="21"/>
                <w:highlight w:val="none"/>
              </w:rPr>
              <w:t xml:space="preserve">         投标人签章：</w:t>
            </w:r>
          </w:p>
          <w:p w14:paraId="058FAA88">
            <w:pPr>
              <w:spacing w:line="520" w:lineRule="exact"/>
              <w:jc w:val="center"/>
              <w:rPr>
                <w:rFonts w:ascii="宋体" w:hAnsi="宋体" w:cs="宋体"/>
                <w:color w:val="auto"/>
                <w:szCs w:val="21"/>
                <w:highlight w:val="none"/>
              </w:rPr>
            </w:pPr>
            <w:r>
              <w:rPr>
                <w:rFonts w:hint="eastAsia" w:ascii="宋体" w:hAnsi="宋体" w:cs="宋体"/>
                <w:color w:val="auto"/>
                <w:szCs w:val="21"/>
                <w:highlight w:val="none"/>
              </w:rPr>
              <w:t xml:space="preserve">                           年    月     日</w:t>
            </w:r>
          </w:p>
        </w:tc>
      </w:tr>
      <w:tr w14:paraId="68FBC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6" w:hRule="atLeast"/>
          <w:jc w:val="center"/>
        </w:trPr>
        <w:tc>
          <w:tcPr>
            <w:tcW w:w="906" w:type="dxa"/>
            <w:vAlign w:val="center"/>
          </w:tcPr>
          <w:p w14:paraId="0CA06FFD">
            <w:pPr>
              <w:jc w:val="center"/>
              <w:rPr>
                <w:rFonts w:ascii="宋体" w:hAnsi="宋体" w:cs="宋体"/>
                <w:color w:val="auto"/>
                <w:szCs w:val="21"/>
                <w:highlight w:val="none"/>
              </w:rPr>
            </w:pPr>
            <w:r>
              <w:rPr>
                <w:rFonts w:hint="eastAsia" w:ascii="宋体" w:hAnsi="宋体" w:cs="宋体"/>
                <w:color w:val="auto"/>
                <w:szCs w:val="21"/>
                <w:highlight w:val="none"/>
              </w:rPr>
              <w:t>采</w:t>
            </w:r>
          </w:p>
          <w:p w14:paraId="28F7A87C">
            <w:pPr>
              <w:jc w:val="center"/>
              <w:rPr>
                <w:rFonts w:ascii="宋体" w:hAnsi="宋体" w:cs="宋体"/>
                <w:color w:val="auto"/>
                <w:szCs w:val="21"/>
                <w:highlight w:val="none"/>
              </w:rPr>
            </w:pPr>
            <w:r>
              <w:rPr>
                <w:rFonts w:hint="eastAsia" w:ascii="宋体" w:hAnsi="宋体" w:cs="宋体"/>
                <w:color w:val="auto"/>
                <w:szCs w:val="21"/>
                <w:highlight w:val="none"/>
              </w:rPr>
              <w:t>购</w:t>
            </w:r>
          </w:p>
          <w:p w14:paraId="27C11E9F">
            <w:pPr>
              <w:jc w:val="center"/>
              <w:rPr>
                <w:rFonts w:ascii="宋体" w:hAnsi="宋体" w:cs="宋体"/>
                <w:color w:val="auto"/>
                <w:szCs w:val="21"/>
                <w:highlight w:val="none"/>
              </w:rPr>
            </w:pPr>
            <w:r>
              <w:rPr>
                <w:rFonts w:hint="eastAsia" w:ascii="宋体" w:hAnsi="宋体" w:cs="宋体"/>
                <w:color w:val="auto"/>
                <w:szCs w:val="21"/>
                <w:highlight w:val="none"/>
              </w:rPr>
              <w:t>人</w:t>
            </w:r>
          </w:p>
          <w:p w14:paraId="02343923">
            <w:pPr>
              <w:jc w:val="center"/>
              <w:rPr>
                <w:rFonts w:ascii="宋体" w:hAnsi="宋体" w:cs="宋体"/>
                <w:color w:val="auto"/>
                <w:szCs w:val="21"/>
                <w:highlight w:val="none"/>
              </w:rPr>
            </w:pPr>
            <w:r>
              <w:rPr>
                <w:rFonts w:hint="eastAsia" w:ascii="宋体" w:hAnsi="宋体" w:cs="宋体"/>
                <w:color w:val="auto"/>
                <w:szCs w:val="21"/>
                <w:highlight w:val="none"/>
              </w:rPr>
              <w:t>意</w:t>
            </w:r>
          </w:p>
          <w:p w14:paraId="750F78A8">
            <w:pPr>
              <w:jc w:val="center"/>
              <w:rPr>
                <w:rFonts w:ascii="宋体" w:hAnsi="宋体" w:cs="宋体"/>
                <w:color w:val="auto"/>
                <w:szCs w:val="21"/>
                <w:highlight w:val="none"/>
              </w:rPr>
            </w:pPr>
            <w:r>
              <w:rPr>
                <w:rFonts w:hint="eastAsia" w:ascii="宋体" w:hAnsi="宋体" w:cs="宋体"/>
                <w:color w:val="auto"/>
                <w:szCs w:val="21"/>
                <w:highlight w:val="none"/>
              </w:rPr>
              <w:t>见</w:t>
            </w:r>
          </w:p>
        </w:tc>
        <w:tc>
          <w:tcPr>
            <w:tcW w:w="7608" w:type="dxa"/>
            <w:vAlign w:val="center"/>
          </w:tcPr>
          <w:p w14:paraId="3BD2D7F3">
            <w:pPr>
              <w:rPr>
                <w:rFonts w:ascii="宋体" w:hAnsi="宋体" w:cs="宋体"/>
                <w:color w:val="auto"/>
                <w:szCs w:val="21"/>
                <w:highlight w:val="none"/>
              </w:rPr>
            </w:pPr>
          </w:p>
          <w:p w14:paraId="4F9B13FF">
            <w:pPr>
              <w:rPr>
                <w:rFonts w:ascii="宋体" w:hAnsi="宋体" w:cs="宋体"/>
                <w:color w:val="auto"/>
                <w:szCs w:val="21"/>
                <w:highlight w:val="none"/>
              </w:rPr>
            </w:pPr>
            <w:r>
              <w:rPr>
                <w:rFonts w:hint="eastAsia" w:ascii="宋体" w:hAnsi="宋体" w:cs="宋体"/>
                <w:color w:val="auto"/>
                <w:szCs w:val="21"/>
                <w:highlight w:val="none"/>
              </w:rPr>
              <w:t>退付意见：（是否同意退付履约保证金及退付金额）</w:t>
            </w:r>
          </w:p>
          <w:p w14:paraId="42F5CE2E">
            <w:pPr>
              <w:rPr>
                <w:rFonts w:ascii="宋体" w:hAnsi="宋体" w:cs="宋体"/>
                <w:color w:val="auto"/>
                <w:szCs w:val="21"/>
                <w:highlight w:val="none"/>
              </w:rPr>
            </w:pPr>
          </w:p>
          <w:p w14:paraId="0F3B6AE5">
            <w:pPr>
              <w:rPr>
                <w:rFonts w:ascii="宋体" w:hAnsi="宋体" w:cs="宋体"/>
                <w:color w:val="auto"/>
                <w:szCs w:val="21"/>
                <w:highlight w:val="none"/>
              </w:rPr>
            </w:pPr>
          </w:p>
          <w:p w14:paraId="411CF04B">
            <w:pPr>
              <w:rPr>
                <w:rFonts w:ascii="宋体" w:hAnsi="宋体" w:cs="宋体"/>
                <w:color w:val="auto"/>
                <w:szCs w:val="21"/>
                <w:highlight w:val="none"/>
              </w:rPr>
            </w:pPr>
          </w:p>
          <w:p w14:paraId="50DF4247">
            <w:pPr>
              <w:rPr>
                <w:rFonts w:ascii="宋体" w:hAnsi="宋体" w:cs="宋体"/>
                <w:color w:val="auto"/>
                <w:szCs w:val="21"/>
                <w:highlight w:val="none"/>
              </w:rPr>
            </w:pPr>
          </w:p>
          <w:p w14:paraId="6C61E86F">
            <w:pPr>
              <w:spacing w:line="520" w:lineRule="exact"/>
              <w:rPr>
                <w:rFonts w:ascii="宋体" w:hAnsi="宋体" w:cs="宋体"/>
                <w:color w:val="auto"/>
                <w:szCs w:val="21"/>
                <w:highlight w:val="none"/>
              </w:rPr>
            </w:pPr>
            <w:r>
              <w:rPr>
                <w:rFonts w:hint="eastAsia" w:ascii="宋体" w:hAnsi="宋体" w:cs="宋体"/>
                <w:color w:val="auto"/>
                <w:szCs w:val="21"/>
                <w:highlight w:val="none"/>
              </w:rPr>
              <w:t>联系人及电话：                         采购人签章</w:t>
            </w:r>
          </w:p>
          <w:p w14:paraId="2741926D">
            <w:pPr>
              <w:spacing w:line="520" w:lineRule="exact"/>
              <w:jc w:val="center"/>
              <w:rPr>
                <w:rFonts w:ascii="宋体" w:hAnsi="宋体" w:cs="宋体"/>
                <w:color w:val="auto"/>
                <w:szCs w:val="21"/>
                <w:highlight w:val="none"/>
              </w:rPr>
            </w:pPr>
            <w:r>
              <w:rPr>
                <w:rFonts w:hint="eastAsia" w:ascii="宋体" w:hAnsi="宋体" w:cs="宋体"/>
                <w:color w:val="auto"/>
                <w:szCs w:val="21"/>
                <w:highlight w:val="none"/>
              </w:rPr>
              <w:t xml:space="preserve">                                        年    月     日</w:t>
            </w:r>
          </w:p>
        </w:tc>
      </w:tr>
      <w:tr w14:paraId="1289D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jc w:val="center"/>
        </w:trPr>
        <w:tc>
          <w:tcPr>
            <w:tcW w:w="906" w:type="dxa"/>
            <w:vAlign w:val="center"/>
          </w:tcPr>
          <w:p w14:paraId="1F061BC8">
            <w:pPr>
              <w:jc w:val="center"/>
              <w:rPr>
                <w:rFonts w:ascii="宋体" w:hAnsi="宋体" w:cs="宋体"/>
                <w:color w:val="auto"/>
                <w:szCs w:val="21"/>
                <w:highlight w:val="none"/>
              </w:rPr>
            </w:pPr>
            <w:r>
              <w:rPr>
                <w:rFonts w:hint="eastAsia" w:ascii="宋体" w:hAnsi="宋体" w:cs="宋体"/>
                <w:color w:val="auto"/>
                <w:szCs w:val="21"/>
                <w:highlight w:val="none"/>
              </w:rPr>
              <w:t>备注</w:t>
            </w:r>
          </w:p>
        </w:tc>
        <w:tc>
          <w:tcPr>
            <w:tcW w:w="7608" w:type="dxa"/>
            <w:vAlign w:val="center"/>
          </w:tcPr>
          <w:p w14:paraId="13DA3ECA">
            <w:pPr>
              <w:rPr>
                <w:rFonts w:ascii="宋体" w:hAnsi="宋体" w:cs="宋体"/>
                <w:color w:val="auto"/>
                <w:szCs w:val="21"/>
                <w:highlight w:val="none"/>
              </w:rPr>
            </w:pPr>
          </w:p>
        </w:tc>
      </w:tr>
    </w:tbl>
    <w:p w14:paraId="1F5CD754">
      <w:pPr>
        <w:pStyle w:val="12"/>
        <w:ind w:left="450" w:leftChars="114" w:hanging="211" w:hangingChars="100"/>
        <w:rPr>
          <w:rFonts w:ascii="仿宋" w:hAnsi="仿宋" w:eastAsia="仿宋" w:cs="仿宋"/>
          <w:b/>
          <w:bCs/>
          <w:color w:val="auto"/>
          <w:highlight w:val="none"/>
        </w:rPr>
      </w:pPr>
      <w:r>
        <w:rPr>
          <w:rFonts w:hint="eastAsia" w:ascii="宋体" w:hAnsi="宋体" w:cs="宋体"/>
          <w:b/>
          <w:bCs/>
          <w:color w:val="auto"/>
          <w:szCs w:val="21"/>
          <w:highlight w:val="none"/>
        </w:rPr>
        <w:t>注：供应商凭经采购人审批的退付意见书到保证金收取单位办理履约保证金退付事宜。</w:t>
      </w:r>
    </w:p>
    <w:p w14:paraId="4F7FA618">
      <w:pPr>
        <w:spacing w:line="400" w:lineRule="exact"/>
        <w:ind w:firstLine="422" w:firstLineChars="200"/>
        <w:rPr>
          <w:rFonts w:ascii="宋体" w:hAnsi="宋体" w:cs="宋体"/>
          <w:b/>
          <w:bCs/>
          <w:color w:val="auto"/>
          <w:szCs w:val="21"/>
          <w:highlight w:val="none"/>
        </w:rPr>
      </w:pPr>
    </w:p>
    <w:p w14:paraId="36C0620F">
      <w:pPr>
        <w:pStyle w:val="3"/>
        <w:spacing w:line="400" w:lineRule="exact"/>
        <w:jc w:val="center"/>
        <w:rPr>
          <w:rFonts w:ascii="宋体" w:hAnsi="宋体" w:cs="宋体"/>
          <w:color w:val="auto"/>
          <w:highlight w:val="none"/>
        </w:rPr>
        <w:sectPr>
          <w:footerReference r:id="rId6" w:type="first"/>
          <w:footerReference r:id="rId5" w:type="default"/>
          <w:pgSz w:w="11906" w:h="16838"/>
          <w:pgMar w:top="1440" w:right="1803" w:bottom="1440" w:left="1803" w:header="851" w:footer="992" w:gutter="0"/>
          <w:pgNumType w:fmt="decimal" w:start="1"/>
          <w:cols w:space="0" w:num="1"/>
          <w:titlePg/>
          <w:docGrid w:type="lines" w:linePitch="312" w:charSpace="0"/>
        </w:sectPr>
      </w:pPr>
      <w:r>
        <w:rPr>
          <w:rFonts w:hint="eastAsia" w:ascii="宋体" w:hAnsi="宋体" w:cs="宋体"/>
          <w:color w:val="auto"/>
          <w:highlight w:val="none"/>
        </w:rPr>
        <w:br w:type="page"/>
      </w:r>
      <w:bookmarkStart w:id="112" w:name="_Toc1847"/>
    </w:p>
    <w:p w14:paraId="2AC67AC3">
      <w:pPr>
        <w:pStyle w:val="3"/>
        <w:spacing w:line="400" w:lineRule="exact"/>
        <w:jc w:val="center"/>
        <w:rPr>
          <w:rFonts w:ascii="方正小标宋_GBK" w:hAnsi="方正小标宋_GBK" w:eastAsia="方正小标宋_GBK" w:cs="方正小标宋_GBK"/>
          <w:b w:val="0"/>
          <w:bCs w:val="0"/>
          <w:color w:val="auto"/>
          <w:sz w:val="21"/>
          <w:szCs w:val="21"/>
          <w:highlight w:val="none"/>
        </w:rPr>
      </w:pPr>
      <w:r>
        <w:rPr>
          <w:rFonts w:hint="eastAsia" w:ascii="方正小标宋_GBK" w:hAnsi="方正小标宋_GBK" w:eastAsia="方正小标宋_GBK" w:cs="方正小标宋_GBK"/>
          <w:b w:val="0"/>
          <w:bCs w:val="0"/>
          <w:color w:val="auto"/>
          <w:sz w:val="21"/>
          <w:szCs w:val="21"/>
          <w:highlight w:val="none"/>
        </w:rPr>
        <w:t>第三章 采购需求</w:t>
      </w:r>
      <w:bookmarkEnd w:id="112"/>
    </w:p>
    <w:p w14:paraId="44453668">
      <w:pPr>
        <w:spacing w:line="440" w:lineRule="exact"/>
        <w:jc w:val="center"/>
        <w:rPr>
          <w:rFonts w:ascii="宋体" w:hAnsi="宋体" w:cs="宋体"/>
          <w:b/>
          <w:color w:val="auto"/>
          <w:szCs w:val="21"/>
          <w:highlight w:val="none"/>
        </w:rPr>
      </w:pPr>
      <w:r>
        <w:rPr>
          <w:rFonts w:hint="eastAsia" w:ascii="宋体" w:hAnsi="宋体" w:cs="宋体"/>
          <w:b/>
          <w:color w:val="auto"/>
          <w:szCs w:val="21"/>
          <w:highlight w:val="none"/>
        </w:rPr>
        <w:t>采购项目技术规格、参数及要求</w:t>
      </w:r>
    </w:p>
    <w:p w14:paraId="7D212D60">
      <w:pPr>
        <w:spacing w:line="360" w:lineRule="auto"/>
        <w:jc w:val="left"/>
        <w:rPr>
          <w:rFonts w:ascii="宋体" w:hAnsi="宋体" w:cs="宋体"/>
          <w:color w:val="auto"/>
          <w:szCs w:val="21"/>
          <w:highlight w:val="none"/>
        </w:rPr>
      </w:pPr>
      <w:r>
        <w:rPr>
          <w:rFonts w:hint="eastAsia" w:ascii="宋体" w:hAnsi="宋体" w:cs="宋体"/>
          <w:color w:val="auto"/>
          <w:szCs w:val="21"/>
          <w:highlight w:val="none"/>
        </w:rPr>
        <w:t>说明：</w:t>
      </w:r>
    </w:p>
    <w:p w14:paraId="48EF3203">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1.“实质性要求”是指磋商文件中已经指明不满足则响应文件按无效响应处理的条款，或者不能负偏离的条款，或者采购需求中带“▲”的条款。</w:t>
      </w:r>
    </w:p>
    <w:p w14:paraId="5DA733D0">
      <w:pPr>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2.“重要技术参数”是指磋商文件中带“●”的条款。</w:t>
      </w:r>
    </w:p>
    <w:p w14:paraId="02D5944C">
      <w:pPr>
        <w:pStyle w:val="12"/>
        <w:ind w:firstLine="422" w:firstLineChars="200"/>
        <w:outlineLvl w:val="1"/>
        <w:rPr>
          <w:b/>
          <w:bCs/>
          <w:color w:val="auto"/>
          <w:highlight w:val="none"/>
        </w:rPr>
      </w:pPr>
      <w:r>
        <w:rPr>
          <w:rFonts w:hint="eastAsia"/>
          <w:b/>
          <w:bCs/>
          <w:color w:val="auto"/>
          <w:highlight w:val="none"/>
        </w:rPr>
        <w:t>一、技术需求</w:t>
      </w:r>
    </w:p>
    <w:tbl>
      <w:tblPr>
        <w:tblStyle w:val="31"/>
        <w:tblW w:w="14168" w:type="dxa"/>
        <w:tblInd w:w="0" w:type="dxa"/>
        <w:tblLayout w:type="fixed"/>
        <w:tblCellMar>
          <w:top w:w="0" w:type="dxa"/>
          <w:left w:w="108" w:type="dxa"/>
          <w:bottom w:w="0" w:type="dxa"/>
          <w:right w:w="108" w:type="dxa"/>
        </w:tblCellMar>
      </w:tblPr>
      <w:tblGrid>
        <w:gridCol w:w="1078"/>
        <w:gridCol w:w="1310"/>
        <w:gridCol w:w="2089"/>
        <w:gridCol w:w="7679"/>
        <w:gridCol w:w="1006"/>
        <w:gridCol w:w="1006"/>
      </w:tblGrid>
      <w:tr w14:paraId="69058FCF">
        <w:tblPrEx>
          <w:tblCellMar>
            <w:top w:w="0" w:type="dxa"/>
            <w:left w:w="108" w:type="dxa"/>
            <w:bottom w:w="0" w:type="dxa"/>
            <w:right w:w="108" w:type="dxa"/>
          </w:tblCellMar>
        </w:tblPrEx>
        <w:trPr>
          <w:trHeight w:val="580" w:hRule="atLeast"/>
        </w:trPr>
        <w:tc>
          <w:tcPr>
            <w:tcW w:w="1078" w:type="dxa"/>
            <w:tcBorders>
              <w:top w:val="single" w:color="000000" w:sz="4" w:space="0"/>
              <w:left w:val="single" w:color="000000" w:sz="4" w:space="0"/>
              <w:bottom w:val="single" w:color="000000" w:sz="4" w:space="0"/>
              <w:right w:val="single" w:color="000000" w:sz="4" w:space="0"/>
            </w:tcBorders>
            <w:vAlign w:val="center"/>
          </w:tcPr>
          <w:p w14:paraId="4B74AF81">
            <w:pPr>
              <w:widowControl/>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rPr>
              <w:t>序号</w:t>
            </w:r>
          </w:p>
        </w:tc>
        <w:tc>
          <w:tcPr>
            <w:tcW w:w="3399" w:type="dxa"/>
            <w:gridSpan w:val="2"/>
            <w:tcBorders>
              <w:top w:val="single" w:color="000000" w:sz="4" w:space="0"/>
              <w:left w:val="single" w:color="000000" w:sz="4" w:space="0"/>
              <w:bottom w:val="single" w:color="000000" w:sz="4" w:space="0"/>
              <w:right w:val="single" w:color="000000" w:sz="4" w:space="0"/>
            </w:tcBorders>
            <w:vAlign w:val="center"/>
          </w:tcPr>
          <w:p w14:paraId="5C283F43">
            <w:pPr>
              <w:widowControl/>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rPr>
              <w:t>实施内容</w:t>
            </w:r>
          </w:p>
        </w:tc>
        <w:tc>
          <w:tcPr>
            <w:tcW w:w="7679" w:type="dxa"/>
            <w:tcBorders>
              <w:top w:val="single" w:color="000000" w:sz="4" w:space="0"/>
              <w:left w:val="single" w:color="000000" w:sz="4" w:space="0"/>
              <w:bottom w:val="single" w:color="000000" w:sz="4" w:space="0"/>
              <w:right w:val="single" w:color="000000" w:sz="4" w:space="0"/>
            </w:tcBorders>
            <w:vAlign w:val="center"/>
          </w:tcPr>
          <w:p w14:paraId="0B70C4E3">
            <w:pPr>
              <w:widowControl/>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rPr>
              <w:t>采购参数</w:t>
            </w:r>
          </w:p>
        </w:tc>
        <w:tc>
          <w:tcPr>
            <w:tcW w:w="1006" w:type="dxa"/>
            <w:tcBorders>
              <w:top w:val="single" w:color="000000" w:sz="4" w:space="0"/>
              <w:left w:val="single" w:color="000000" w:sz="4" w:space="0"/>
              <w:bottom w:val="single" w:color="000000" w:sz="4" w:space="0"/>
              <w:right w:val="single" w:color="000000" w:sz="4" w:space="0"/>
            </w:tcBorders>
            <w:vAlign w:val="center"/>
          </w:tcPr>
          <w:p w14:paraId="00EF48AC">
            <w:pPr>
              <w:widowControl/>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rPr>
              <w:t>单位</w:t>
            </w:r>
          </w:p>
        </w:tc>
        <w:tc>
          <w:tcPr>
            <w:tcW w:w="1006" w:type="dxa"/>
            <w:tcBorders>
              <w:top w:val="single" w:color="000000" w:sz="4" w:space="0"/>
              <w:left w:val="single" w:color="000000" w:sz="4" w:space="0"/>
              <w:bottom w:val="single" w:color="000000" w:sz="4" w:space="0"/>
              <w:right w:val="single" w:color="000000" w:sz="4" w:space="0"/>
            </w:tcBorders>
            <w:vAlign w:val="center"/>
          </w:tcPr>
          <w:p w14:paraId="7A403B03">
            <w:pPr>
              <w:widowControl/>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rPr>
              <w:t>数量</w:t>
            </w:r>
          </w:p>
        </w:tc>
      </w:tr>
      <w:tr w14:paraId="6B17EA4D">
        <w:tblPrEx>
          <w:tblCellMar>
            <w:top w:w="0" w:type="dxa"/>
            <w:left w:w="108" w:type="dxa"/>
            <w:bottom w:w="0" w:type="dxa"/>
            <w:right w:w="108" w:type="dxa"/>
          </w:tblCellMar>
        </w:tblPrEx>
        <w:trPr>
          <w:trHeight w:val="440" w:hRule="atLeast"/>
        </w:trPr>
        <w:tc>
          <w:tcPr>
            <w:tcW w:w="1078" w:type="dxa"/>
            <w:tcBorders>
              <w:top w:val="single" w:color="000000" w:sz="4" w:space="0"/>
              <w:left w:val="single" w:color="000000" w:sz="4" w:space="0"/>
              <w:bottom w:val="single" w:color="000000" w:sz="4" w:space="0"/>
              <w:right w:val="single" w:color="000000" w:sz="4" w:space="0"/>
            </w:tcBorders>
            <w:vAlign w:val="center"/>
          </w:tcPr>
          <w:p w14:paraId="1C94F368">
            <w:pPr>
              <w:widowControl/>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rPr>
              <w:t>1</w:t>
            </w:r>
          </w:p>
        </w:tc>
        <w:tc>
          <w:tcPr>
            <w:tcW w:w="3399" w:type="dxa"/>
            <w:gridSpan w:val="2"/>
            <w:tcBorders>
              <w:top w:val="single" w:color="000000" w:sz="4" w:space="0"/>
              <w:left w:val="single" w:color="000000" w:sz="4" w:space="0"/>
              <w:bottom w:val="single" w:color="000000" w:sz="4" w:space="0"/>
              <w:right w:val="single" w:color="000000" w:sz="4" w:space="0"/>
            </w:tcBorders>
            <w:vAlign w:val="center"/>
          </w:tcPr>
          <w:p w14:paraId="37D74C2D">
            <w:pPr>
              <w:widowControl/>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rPr>
              <w:t>监测管理平台</w:t>
            </w:r>
          </w:p>
        </w:tc>
        <w:tc>
          <w:tcPr>
            <w:tcW w:w="7679" w:type="dxa"/>
            <w:tcBorders>
              <w:top w:val="single" w:color="000000" w:sz="4" w:space="0"/>
              <w:left w:val="single" w:color="000000" w:sz="4" w:space="0"/>
              <w:bottom w:val="single" w:color="000000" w:sz="4" w:space="0"/>
              <w:right w:val="single" w:color="000000" w:sz="4" w:space="0"/>
            </w:tcBorders>
            <w:vAlign w:val="center"/>
          </w:tcPr>
          <w:p w14:paraId="5DDD7590">
            <w:pPr>
              <w:jc w:val="left"/>
              <w:rPr>
                <w:rFonts w:ascii="宋体" w:hAnsi="宋体" w:cs="宋体"/>
                <w:color w:val="auto"/>
                <w:szCs w:val="21"/>
                <w:highlight w:val="none"/>
              </w:rPr>
            </w:pPr>
          </w:p>
        </w:tc>
        <w:tc>
          <w:tcPr>
            <w:tcW w:w="1006" w:type="dxa"/>
            <w:tcBorders>
              <w:top w:val="single" w:color="000000" w:sz="4" w:space="0"/>
              <w:left w:val="single" w:color="000000" w:sz="4" w:space="0"/>
              <w:bottom w:val="single" w:color="000000" w:sz="4" w:space="0"/>
              <w:right w:val="single" w:color="000000" w:sz="4" w:space="0"/>
            </w:tcBorders>
            <w:vAlign w:val="center"/>
          </w:tcPr>
          <w:p w14:paraId="1E17A3D2">
            <w:pPr>
              <w:jc w:val="center"/>
              <w:rPr>
                <w:rFonts w:ascii="宋体" w:hAnsi="宋体" w:cs="宋体"/>
                <w:color w:val="auto"/>
                <w:szCs w:val="21"/>
                <w:highlight w:val="none"/>
              </w:rPr>
            </w:pPr>
          </w:p>
        </w:tc>
        <w:tc>
          <w:tcPr>
            <w:tcW w:w="1006" w:type="dxa"/>
            <w:tcBorders>
              <w:top w:val="single" w:color="000000" w:sz="4" w:space="0"/>
              <w:left w:val="single" w:color="000000" w:sz="4" w:space="0"/>
              <w:bottom w:val="single" w:color="000000" w:sz="4" w:space="0"/>
              <w:right w:val="single" w:color="000000" w:sz="4" w:space="0"/>
            </w:tcBorders>
            <w:vAlign w:val="center"/>
          </w:tcPr>
          <w:p w14:paraId="1AD5B8DE">
            <w:pPr>
              <w:jc w:val="center"/>
              <w:rPr>
                <w:rFonts w:ascii="宋体" w:hAnsi="宋体" w:cs="宋体"/>
                <w:color w:val="auto"/>
                <w:szCs w:val="21"/>
                <w:highlight w:val="none"/>
              </w:rPr>
            </w:pPr>
          </w:p>
        </w:tc>
      </w:tr>
      <w:tr w14:paraId="0C8C4C8B">
        <w:tblPrEx>
          <w:tblCellMar>
            <w:top w:w="0" w:type="dxa"/>
            <w:left w:w="108" w:type="dxa"/>
            <w:bottom w:w="0" w:type="dxa"/>
            <w:right w:w="108" w:type="dxa"/>
          </w:tblCellMar>
        </w:tblPrEx>
        <w:trPr>
          <w:trHeight w:val="440" w:hRule="atLeast"/>
        </w:trPr>
        <w:tc>
          <w:tcPr>
            <w:tcW w:w="1078" w:type="dxa"/>
            <w:tcBorders>
              <w:top w:val="single" w:color="000000" w:sz="4" w:space="0"/>
              <w:left w:val="single" w:color="000000" w:sz="4" w:space="0"/>
              <w:bottom w:val="single" w:color="000000" w:sz="4" w:space="0"/>
              <w:right w:val="single" w:color="000000" w:sz="4" w:space="0"/>
            </w:tcBorders>
            <w:vAlign w:val="center"/>
          </w:tcPr>
          <w:p w14:paraId="4F28F89C">
            <w:pPr>
              <w:widowControl/>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rPr>
              <w:t>1.1</w:t>
            </w:r>
          </w:p>
        </w:tc>
        <w:tc>
          <w:tcPr>
            <w:tcW w:w="3399" w:type="dxa"/>
            <w:gridSpan w:val="2"/>
            <w:tcBorders>
              <w:top w:val="single" w:color="000000" w:sz="4" w:space="0"/>
              <w:left w:val="single" w:color="000000" w:sz="4" w:space="0"/>
              <w:bottom w:val="single" w:color="000000" w:sz="4" w:space="0"/>
              <w:right w:val="single" w:color="000000" w:sz="4" w:space="0"/>
            </w:tcBorders>
            <w:vAlign w:val="center"/>
          </w:tcPr>
          <w:p w14:paraId="42A713A1">
            <w:pPr>
              <w:widowControl/>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rPr>
              <w:t>数据传输网络升级</w:t>
            </w:r>
          </w:p>
        </w:tc>
        <w:tc>
          <w:tcPr>
            <w:tcW w:w="7679" w:type="dxa"/>
            <w:tcBorders>
              <w:top w:val="single" w:color="000000" w:sz="4" w:space="0"/>
              <w:left w:val="single" w:color="000000" w:sz="4" w:space="0"/>
              <w:bottom w:val="single" w:color="000000" w:sz="4" w:space="0"/>
              <w:right w:val="single" w:color="000000" w:sz="4" w:space="0"/>
            </w:tcBorders>
            <w:vAlign w:val="center"/>
          </w:tcPr>
          <w:p w14:paraId="2CDBE346">
            <w:pPr>
              <w:rPr>
                <w:rFonts w:ascii="宋体" w:hAnsi="宋体" w:cs="宋体"/>
                <w:color w:val="auto"/>
                <w:szCs w:val="21"/>
                <w:highlight w:val="none"/>
              </w:rPr>
            </w:pPr>
          </w:p>
        </w:tc>
        <w:tc>
          <w:tcPr>
            <w:tcW w:w="1006" w:type="dxa"/>
            <w:tcBorders>
              <w:top w:val="single" w:color="000000" w:sz="4" w:space="0"/>
              <w:left w:val="single" w:color="000000" w:sz="4" w:space="0"/>
              <w:bottom w:val="single" w:color="000000" w:sz="4" w:space="0"/>
              <w:right w:val="single" w:color="000000" w:sz="4" w:space="0"/>
            </w:tcBorders>
            <w:vAlign w:val="center"/>
          </w:tcPr>
          <w:p w14:paraId="495438D8">
            <w:pPr>
              <w:jc w:val="center"/>
              <w:rPr>
                <w:rFonts w:ascii="宋体" w:hAnsi="宋体" w:cs="宋体"/>
                <w:color w:val="auto"/>
                <w:szCs w:val="21"/>
                <w:highlight w:val="none"/>
              </w:rPr>
            </w:pPr>
          </w:p>
        </w:tc>
        <w:tc>
          <w:tcPr>
            <w:tcW w:w="1006" w:type="dxa"/>
            <w:tcBorders>
              <w:top w:val="single" w:color="000000" w:sz="4" w:space="0"/>
              <w:left w:val="single" w:color="000000" w:sz="4" w:space="0"/>
              <w:bottom w:val="single" w:color="000000" w:sz="4" w:space="0"/>
              <w:right w:val="single" w:color="000000" w:sz="4" w:space="0"/>
            </w:tcBorders>
            <w:vAlign w:val="center"/>
          </w:tcPr>
          <w:p w14:paraId="72C3E1D9">
            <w:pPr>
              <w:jc w:val="center"/>
              <w:rPr>
                <w:rFonts w:ascii="宋体" w:hAnsi="宋体" w:cs="宋体"/>
                <w:color w:val="auto"/>
                <w:szCs w:val="21"/>
                <w:highlight w:val="none"/>
              </w:rPr>
            </w:pPr>
          </w:p>
        </w:tc>
      </w:tr>
      <w:tr w14:paraId="491A2514">
        <w:tblPrEx>
          <w:tblCellMar>
            <w:top w:w="0" w:type="dxa"/>
            <w:left w:w="108" w:type="dxa"/>
            <w:bottom w:w="0" w:type="dxa"/>
            <w:right w:w="108" w:type="dxa"/>
          </w:tblCellMar>
        </w:tblPrEx>
        <w:trPr>
          <w:trHeight w:val="440" w:hRule="atLeast"/>
        </w:trPr>
        <w:tc>
          <w:tcPr>
            <w:tcW w:w="1078" w:type="dxa"/>
            <w:tcBorders>
              <w:top w:val="single" w:color="000000" w:sz="4" w:space="0"/>
              <w:left w:val="single" w:color="000000" w:sz="4" w:space="0"/>
              <w:bottom w:val="single" w:color="000000" w:sz="4" w:space="0"/>
              <w:right w:val="single" w:color="000000" w:sz="4" w:space="0"/>
            </w:tcBorders>
            <w:vAlign w:val="center"/>
          </w:tcPr>
          <w:p w14:paraId="07B713D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1.1.1</w:t>
            </w:r>
          </w:p>
        </w:tc>
        <w:tc>
          <w:tcPr>
            <w:tcW w:w="3399" w:type="dxa"/>
            <w:gridSpan w:val="2"/>
            <w:tcBorders>
              <w:top w:val="single" w:color="000000" w:sz="4" w:space="0"/>
              <w:left w:val="single" w:color="000000" w:sz="4" w:space="0"/>
              <w:bottom w:val="single" w:color="000000" w:sz="4" w:space="0"/>
              <w:right w:val="single" w:color="000000" w:sz="4" w:space="0"/>
            </w:tcBorders>
            <w:vAlign w:val="center"/>
          </w:tcPr>
          <w:p w14:paraId="27563D1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前端监控点位链路</w:t>
            </w:r>
          </w:p>
        </w:tc>
        <w:tc>
          <w:tcPr>
            <w:tcW w:w="7679" w:type="dxa"/>
            <w:tcBorders>
              <w:top w:val="single" w:color="000000" w:sz="4" w:space="0"/>
              <w:left w:val="single" w:color="000000" w:sz="4" w:space="0"/>
              <w:bottom w:val="single" w:color="000000" w:sz="4" w:space="0"/>
              <w:right w:val="single" w:color="000000" w:sz="4" w:space="0"/>
            </w:tcBorders>
            <w:vAlign w:val="center"/>
          </w:tcPr>
          <w:p w14:paraId="26899BCF">
            <w:pPr>
              <w:widowControl/>
              <w:textAlignment w:val="center"/>
              <w:rPr>
                <w:rFonts w:ascii="宋体" w:hAnsi="宋体" w:cs="宋体"/>
                <w:color w:val="auto"/>
                <w:szCs w:val="21"/>
                <w:highlight w:val="none"/>
              </w:rPr>
            </w:pPr>
            <w:r>
              <w:rPr>
                <w:rFonts w:hint="eastAsia" w:ascii="宋体" w:hAnsi="宋体" w:cs="宋体"/>
                <w:color w:val="auto"/>
                <w:kern w:val="0"/>
                <w:szCs w:val="21"/>
                <w:highlight w:val="none"/>
              </w:rPr>
              <w:t>提供7个前端监控点位的网络传输服务，每个点位不低于50M带宽</w:t>
            </w:r>
          </w:p>
        </w:tc>
        <w:tc>
          <w:tcPr>
            <w:tcW w:w="1006" w:type="dxa"/>
            <w:tcBorders>
              <w:top w:val="single" w:color="000000" w:sz="4" w:space="0"/>
              <w:left w:val="single" w:color="000000" w:sz="4" w:space="0"/>
              <w:bottom w:val="single" w:color="000000" w:sz="4" w:space="0"/>
              <w:right w:val="single" w:color="000000" w:sz="4" w:space="0"/>
            </w:tcBorders>
            <w:vAlign w:val="center"/>
          </w:tcPr>
          <w:p w14:paraId="50B802D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条</w:t>
            </w:r>
          </w:p>
        </w:tc>
        <w:tc>
          <w:tcPr>
            <w:tcW w:w="1006" w:type="dxa"/>
            <w:tcBorders>
              <w:top w:val="single" w:color="000000" w:sz="4" w:space="0"/>
              <w:left w:val="single" w:color="000000" w:sz="4" w:space="0"/>
              <w:bottom w:val="single" w:color="000000" w:sz="4" w:space="0"/>
              <w:right w:val="single" w:color="000000" w:sz="4" w:space="0"/>
            </w:tcBorders>
            <w:vAlign w:val="center"/>
          </w:tcPr>
          <w:p w14:paraId="43B70F99">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 xml:space="preserve">7 </w:t>
            </w:r>
          </w:p>
        </w:tc>
      </w:tr>
      <w:tr w14:paraId="335E2269">
        <w:tblPrEx>
          <w:tblCellMar>
            <w:top w:w="0" w:type="dxa"/>
            <w:left w:w="108" w:type="dxa"/>
            <w:bottom w:w="0" w:type="dxa"/>
            <w:right w:w="108" w:type="dxa"/>
          </w:tblCellMar>
        </w:tblPrEx>
        <w:trPr>
          <w:trHeight w:val="440" w:hRule="atLeast"/>
        </w:trPr>
        <w:tc>
          <w:tcPr>
            <w:tcW w:w="1078" w:type="dxa"/>
            <w:tcBorders>
              <w:top w:val="single" w:color="000000" w:sz="4" w:space="0"/>
              <w:left w:val="single" w:color="000000" w:sz="4" w:space="0"/>
              <w:bottom w:val="single" w:color="000000" w:sz="4" w:space="0"/>
              <w:right w:val="single" w:color="000000" w:sz="4" w:space="0"/>
            </w:tcBorders>
            <w:vAlign w:val="center"/>
          </w:tcPr>
          <w:p w14:paraId="404D0EC2">
            <w:pPr>
              <w:widowControl/>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rPr>
              <w:t>1.2</w:t>
            </w:r>
          </w:p>
        </w:tc>
        <w:tc>
          <w:tcPr>
            <w:tcW w:w="3399" w:type="dxa"/>
            <w:gridSpan w:val="2"/>
            <w:tcBorders>
              <w:top w:val="single" w:color="000000" w:sz="4" w:space="0"/>
              <w:left w:val="single" w:color="000000" w:sz="4" w:space="0"/>
              <w:bottom w:val="single" w:color="000000" w:sz="4" w:space="0"/>
              <w:right w:val="single" w:color="000000" w:sz="4" w:space="0"/>
            </w:tcBorders>
            <w:vAlign w:val="center"/>
          </w:tcPr>
          <w:p w14:paraId="424B674C">
            <w:pPr>
              <w:widowControl/>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rPr>
              <w:t>站址资源服务</w:t>
            </w:r>
          </w:p>
        </w:tc>
        <w:tc>
          <w:tcPr>
            <w:tcW w:w="7679" w:type="dxa"/>
            <w:tcBorders>
              <w:top w:val="single" w:color="000000" w:sz="4" w:space="0"/>
              <w:left w:val="single" w:color="000000" w:sz="4" w:space="0"/>
              <w:bottom w:val="single" w:color="000000" w:sz="4" w:space="0"/>
              <w:right w:val="single" w:color="000000" w:sz="4" w:space="0"/>
            </w:tcBorders>
            <w:vAlign w:val="center"/>
          </w:tcPr>
          <w:p w14:paraId="7B8F66B1">
            <w:pPr>
              <w:rPr>
                <w:rFonts w:ascii="宋体" w:hAnsi="宋体" w:cs="宋体"/>
                <w:color w:val="auto"/>
                <w:szCs w:val="21"/>
                <w:highlight w:val="none"/>
              </w:rPr>
            </w:pPr>
          </w:p>
        </w:tc>
        <w:tc>
          <w:tcPr>
            <w:tcW w:w="1006" w:type="dxa"/>
            <w:tcBorders>
              <w:top w:val="single" w:color="000000" w:sz="4" w:space="0"/>
              <w:left w:val="single" w:color="000000" w:sz="4" w:space="0"/>
              <w:bottom w:val="single" w:color="000000" w:sz="4" w:space="0"/>
              <w:right w:val="single" w:color="000000" w:sz="4" w:space="0"/>
            </w:tcBorders>
            <w:vAlign w:val="center"/>
          </w:tcPr>
          <w:p w14:paraId="29135AD2">
            <w:pPr>
              <w:jc w:val="center"/>
              <w:rPr>
                <w:rFonts w:ascii="宋体" w:hAnsi="宋体" w:cs="宋体"/>
                <w:color w:val="auto"/>
                <w:szCs w:val="21"/>
                <w:highlight w:val="none"/>
              </w:rPr>
            </w:pPr>
          </w:p>
        </w:tc>
        <w:tc>
          <w:tcPr>
            <w:tcW w:w="1006" w:type="dxa"/>
            <w:tcBorders>
              <w:top w:val="single" w:color="000000" w:sz="4" w:space="0"/>
              <w:left w:val="single" w:color="000000" w:sz="4" w:space="0"/>
              <w:bottom w:val="single" w:color="000000" w:sz="4" w:space="0"/>
              <w:right w:val="single" w:color="000000" w:sz="4" w:space="0"/>
            </w:tcBorders>
            <w:vAlign w:val="center"/>
          </w:tcPr>
          <w:p w14:paraId="7EEF14EC">
            <w:pPr>
              <w:jc w:val="center"/>
              <w:rPr>
                <w:rFonts w:ascii="宋体" w:hAnsi="宋体" w:cs="宋体"/>
                <w:color w:val="auto"/>
                <w:szCs w:val="21"/>
                <w:highlight w:val="none"/>
              </w:rPr>
            </w:pPr>
          </w:p>
        </w:tc>
      </w:tr>
      <w:tr w14:paraId="03E29D53">
        <w:tblPrEx>
          <w:tblCellMar>
            <w:top w:w="0" w:type="dxa"/>
            <w:left w:w="108" w:type="dxa"/>
            <w:bottom w:w="0" w:type="dxa"/>
            <w:right w:w="108" w:type="dxa"/>
          </w:tblCellMar>
        </w:tblPrEx>
        <w:trPr>
          <w:trHeight w:val="440" w:hRule="atLeast"/>
        </w:trPr>
        <w:tc>
          <w:tcPr>
            <w:tcW w:w="1078" w:type="dxa"/>
            <w:tcBorders>
              <w:top w:val="single" w:color="000000" w:sz="4" w:space="0"/>
              <w:left w:val="single" w:color="000000" w:sz="4" w:space="0"/>
              <w:bottom w:val="single" w:color="000000" w:sz="4" w:space="0"/>
              <w:right w:val="single" w:color="000000" w:sz="4" w:space="0"/>
            </w:tcBorders>
            <w:vAlign w:val="center"/>
          </w:tcPr>
          <w:p w14:paraId="6EC18CE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1.2.1</w:t>
            </w:r>
          </w:p>
        </w:tc>
        <w:tc>
          <w:tcPr>
            <w:tcW w:w="3399" w:type="dxa"/>
            <w:gridSpan w:val="2"/>
            <w:tcBorders>
              <w:top w:val="single" w:color="000000" w:sz="4" w:space="0"/>
              <w:left w:val="single" w:color="000000" w:sz="4" w:space="0"/>
              <w:bottom w:val="single" w:color="000000" w:sz="4" w:space="0"/>
              <w:right w:val="single" w:color="000000" w:sz="4" w:space="0"/>
            </w:tcBorders>
            <w:vAlign w:val="center"/>
          </w:tcPr>
          <w:p w14:paraId="71665DF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杆塔挂载服务</w:t>
            </w:r>
          </w:p>
        </w:tc>
        <w:tc>
          <w:tcPr>
            <w:tcW w:w="7679" w:type="dxa"/>
            <w:tcBorders>
              <w:top w:val="single" w:color="000000" w:sz="4" w:space="0"/>
              <w:left w:val="single" w:color="000000" w:sz="4" w:space="0"/>
              <w:bottom w:val="single" w:color="000000" w:sz="4" w:space="0"/>
              <w:right w:val="single" w:color="000000" w:sz="4" w:space="0"/>
            </w:tcBorders>
            <w:vAlign w:val="center"/>
          </w:tcPr>
          <w:p w14:paraId="16A15132">
            <w:pPr>
              <w:widowControl/>
              <w:textAlignment w:val="center"/>
              <w:rPr>
                <w:rFonts w:ascii="宋体" w:hAnsi="宋体" w:cs="宋体"/>
                <w:color w:val="auto"/>
                <w:szCs w:val="21"/>
                <w:highlight w:val="none"/>
              </w:rPr>
            </w:pPr>
            <w:r>
              <w:rPr>
                <w:rFonts w:hint="eastAsia" w:ascii="宋体" w:hAnsi="宋体" w:cs="宋体"/>
                <w:color w:val="auto"/>
                <w:kern w:val="0"/>
                <w:szCs w:val="21"/>
                <w:highlight w:val="none"/>
              </w:rPr>
              <w:t>监控设备安装不低于21m高度的挂高，服务期1年。</w:t>
            </w:r>
          </w:p>
        </w:tc>
        <w:tc>
          <w:tcPr>
            <w:tcW w:w="1006" w:type="dxa"/>
            <w:tcBorders>
              <w:top w:val="single" w:color="000000" w:sz="4" w:space="0"/>
              <w:left w:val="single" w:color="000000" w:sz="4" w:space="0"/>
              <w:bottom w:val="single" w:color="000000" w:sz="4" w:space="0"/>
              <w:right w:val="single" w:color="000000" w:sz="4" w:space="0"/>
            </w:tcBorders>
            <w:vAlign w:val="center"/>
          </w:tcPr>
          <w:p w14:paraId="0CD5426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项</w:t>
            </w:r>
          </w:p>
        </w:tc>
        <w:tc>
          <w:tcPr>
            <w:tcW w:w="1006" w:type="dxa"/>
            <w:tcBorders>
              <w:top w:val="single" w:color="000000" w:sz="4" w:space="0"/>
              <w:left w:val="single" w:color="000000" w:sz="4" w:space="0"/>
              <w:bottom w:val="single" w:color="000000" w:sz="4" w:space="0"/>
              <w:right w:val="single" w:color="000000" w:sz="4" w:space="0"/>
            </w:tcBorders>
            <w:vAlign w:val="center"/>
          </w:tcPr>
          <w:p w14:paraId="4B89625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 xml:space="preserve">6 </w:t>
            </w:r>
          </w:p>
        </w:tc>
      </w:tr>
      <w:tr w14:paraId="65E956FC">
        <w:tblPrEx>
          <w:tblCellMar>
            <w:top w:w="0" w:type="dxa"/>
            <w:left w:w="108" w:type="dxa"/>
            <w:bottom w:w="0" w:type="dxa"/>
            <w:right w:w="108" w:type="dxa"/>
          </w:tblCellMar>
        </w:tblPrEx>
        <w:trPr>
          <w:trHeight w:val="440" w:hRule="atLeast"/>
        </w:trPr>
        <w:tc>
          <w:tcPr>
            <w:tcW w:w="1078" w:type="dxa"/>
            <w:tcBorders>
              <w:top w:val="single" w:color="000000" w:sz="4" w:space="0"/>
              <w:left w:val="single" w:color="000000" w:sz="4" w:space="0"/>
              <w:bottom w:val="single" w:color="000000" w:sz="4" w:space="0"/>
              <w:right w:val="single" w:color="000000" w:sz="4" w:space="0"/>
            </w:tcBorders>
            <w:vAlign w:val="center"/>
          </w:tcPr>
          <w:p w14:paraId="7D44E3C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1.2.2</w:t>
            </w:r>
          </w:p>
        </w:tc>
        <w:tc>
          <w:tcPr>
            <w:tcW w:w="3399" w:type="dxa"/>
            <w:gridSpan w:val="2"/>
            <w:tcBorders>
              <w:top w:val="single" w:color="000000" w:sz="4" w:space="0"/>
              <w:left w:val="single" w:color="000000" w:sz="4" w:space="0"/>
              <w:bottom w:val="single" w:color="000000" w:sz="4" w:space="0"/>
              <w:right w:val="single" w:color="000000" w:sz="4" w:space="0"/>
            </w:tcBorders>
            <w:vAlign w:val="center"/>
          </w:tcPr>
          <w:p w14:paraId="6DB0D9F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市电供电服务</w:t>
            </w:r>
          </w:p>
        </w:tc>
        <w:tc>
          <w:tcPr>
            <w:tcW w:w="7679" w:type="dxa"/>
            <w:tcBorders>
              <w:top w:val="single" w:color="000000" w:sz="4" w:space="0"/>
              <w:left w:val="single" w:color="000000" w:sz="4" w:space="0"/>
              <w:bottom w:val="single" w:color="000000" w:sz="4" w:space="0"/>
              <w:right w:val="single" w:color="000000" w:sz="4" w:space="0"/>
            </w:tcBorders>
            <w:vAlign w:val="center"/>
          </w:tcPr>
          <w:p w14:paraId="00840D18">
            <w:pPr>
              <w:widowControl/>
              <w:textAlignment w:val="center"/>
              <w:rPr>
                <w:rFonts w:ascii="宋体" w:hAnsi="宋体" w:cs="宋体"/>
                <w:color w:val="auto"/>
                <w:szCs w:val="21"/>
                <w:highlight w:val="none"/>
              </w:rPr>
            </w:pPr>
            <w:r>
              <w:rPr>
                <w:rFonts w:hint="eastAsia" w:ascii="宋体" w:hAnsi="宋体" w:cs="宋体"/>
                <w:color w:val="auto"/>
                <w:kern w:val="0"/>
                <w:szCs w:val="21"/>
                <w:highlight w:val="none"/>
              </w:rPr>
              <w:t>每个站点提供稳压市电及设备供电服务，服务期1年。</w:t>
            </w:r>
          </w:p>
        </w:tc>
        <w:tc>
          <w:tcPr>
            <w:tcW w:w="1006" w:type="dxa"/>
            <w:tcBorders>
              <w:top w:val="single" w:color="000000" w:sz="4" w:space="0"/>
              <w:left w:val="single" w:color="000000" w:sz="4" w:space="0"/>
              <w:bottom w:val="single" w:color="000000" w:sz="4" w:space="0"/>
              <w:right w:val="single" w:color="000000" w:sz="4" w:space="0"/>
            </w:tcBorders>
            <w:vAlign w:val="center"/>
          </w:tcPr>
          <w:p w14:paraId="6B2D32E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项</w:t>
            </w:r>
          </w:p>
        </w:tc>
        <w:tc>
          <w:tcPr>
            <w:tcW w:w="1006" w:type="dxa"/>
            <w:tcBorders>
              <w:top w:val="single" w:color="000000" w:sz="4" w:space="0"/>
              <w:left w:val="single" w:color="000000" w:sz="4" w:space="0"/>
              <w:bottom w:val="single" w:color="000000" w:sz="4" w:space="0"/>
              <w:right w:val="single" w:color="000000" w:sz="4" w:space="0"/>
            </w:tcBorders>
            <w:vAlign w:val="center"/>
          </w:tcPr>
          <w:p w14:paraId="11A70DC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 xml:space="preserve">6 </w:t>
            </w:r>
          </w:p>
        </w:tc>
      </w:tr>
      <w:tr w14:paraId="412B40A4">
        <w:tblPrEx>
          <w:tblCellMar>
            <w:top w:w="0" w:type="dxa"/>
            <w:left w:w="108" w:type="dxa"/>
            <w:bottom w:w="0" w:type="dxa"/>
            <w:right w:w="108" w:type="dxa"/>
          </w:tblCellMar>
        </w:tblPrEx>
        <w:trPr>
          <w:trHeight w:val="440" w:hRule="atLeast"/>
        </w:trPr>
        <w:tc>
          <w:tcPr>
            <w:tcW w:w="1078" w:type="dxa"/>
            <w:tcBorders>
              <w:top w:val="single" w:color="000000" w:sz="4" w:space="0"/>
              <w:left w:val="single" w:color="000000" w:sz="4" w:space="0"/>
              <w:bottom w:val="single" w:color="000000" w:sz="4" w:space="0"/>
              <w:right w:val="single" w:color="000000" w:sz="4" w:space="0"/>
            </w:tcBorders>
            <w:vAlign w:val="center"/>
          </w:tcPr>
          <w:p w14:paraId="29CF565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1.2.3</w:t>
            </w:r>
          </w:p>
        </w:tc>
        <w:tc>
          <w:tcPr>
            <w:tcW w:w="3399" w:type="dxa"/>
            <w:gridSpan w:val="2"/>
            <w:tcBorders>
              <w:top w:val="single" w:color="000000" w:sz="4" w:space="0"/>
              <w:left w:val="single" w:color="000000" w:sz="4" w:space="0"/>
              <w:bottom w:val="single" w:color="000000" w:sz="4" w:space="0"/>
              <w:right w:val="single" w:color="000000" w:sz="4" w:space="0"/>
            </w:tcBorders>
            <w:vAlign w:val="center"/>
          </w:tcPr>
          <w:p w14:paraId="5406D5C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巡检维护服务</w:t>
            </w:r>
          </w:p>
        </w:tc>
        <w:tc>
          <w:tcPr>
            <w:tcW w:w="7679" w:type="dxa"/>
            <w:tcBorders>
              <w:top w:val="single" w:color="000000" w:sz="4" w:space="0"/>
              <w:left w:val="single" w:color="000000" w:sz="4" w:space="0"/>
              <w:bottom w:val="single" w:color="000000" w:sz="4" w:space="0"/>
              <w:right w:val="single" w:color="000000" w:sz="4" w:space="0"/>
            </w:tcBorders>
            <w:vAlign w:val="center"/>
          </w:tcPr>
          <w:p w14:paraId="57D9BA33">
            <w:pPr>
              <w:widowControl/>
              <w:textAlignment w:val="center"/>
              <w:rPr>
                <w:rFonts w:ascii="宋体" w:hAnsi="宋体" w:cs="宋体"/>
                <w:color w:val="auto"/>
                <w:szCs w:val="21"/>
                <w:highlight w:val="none"/>
              </w:rPr>
            </w:pPr>
            <w:r>
              <w:rPr>
                <w:rFonts w:hint="eastAsia" w:ascii="宋体" w:hAnsi="宋体" w:cs="宋体"/>
                <w:color w:val="auto"/>
                <w:kern w:val="0"/>
                <w:szCs w:val="21"/>
                <w:highlight w:val="none"/>
              </w:rPr>
              <w:t>属地运维巡检服务，服务期1年。</w:t>
            </w:r>
          </w:p>
        </w:tc>
        <w:tc>
          <w:tcPr>
            <w:tcW w:w="1006" w:type="dxa"/>
            <w:tcBorders>
              <w:top w:val="single" w:color="000000" w:sz="4" w:space="0"/>
              <w:left w:val="single" w:color="000000" w:sz="4" w:space="0"/>
              <w:bottom w:val="single" w:color="000000" w:sz="4" w:space="0"/>
              <w:right w:val="single" w:color="000000" w:sz="4" w:space="0"/>
            </w:tcBorders>
            <w:vAlign w:val="center"/>
          </w:tcPr>
          <w:p w14:paraId="480EC4D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站</w:t>
            </w:r>
          </w:p>
        </w:tc>
        <w:tc>
          <w:tcPr>
            <w:tcW w:w="1006" w:type="dxa"/>
            <w:tcBorders>
              <w:top w:val="single" w:color="000000" w:sz="4" w:space="0"/>
              <w:left w:val="single" w:color="000000" w:sz="4" w:space="0"/>
              <w:bottom w:val="single" w:color="000000" w:sz="4" w:space="0"/>
              <w:right w:val="single" w:color="000000" w:sz="4" w:space="0"/>
            </w:tcBorders>
            <w:vAlign w:val="center"/>
          </w:tcPr>
          <w:p w14:paraId="19719DE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 xml:space="preserve">6 </w:t>
            </w:r>
          </w:p>
        </w:tc>
      </w:tr>
      <w:tr w14:paraId="0EAA83B3">
        <w:tblPrEx>
          <w:tblCellMar>
            <w:top w:w="0" w:type="dxa"/>
            <w:left w:w="108" w:type="dxa"/>
            <w:bottom w:w="0" w:type="dxa"/>
            <w:right w:w="108" w:type="dxa"/>
          </w:tblCellMar>
        </w:tblPrEx>
        <w:trPr>
          <w:trHeight w:val="440" w:hRule="atLeast"/>
        </w:trPr>
        <w:tc>
          <w:tcPr>
            <w:tcW w:w="1078" w:type="dxa"/>
            <w:tcBorders>
              <w:top w:val="single" w:color="000000" w:sz="4" w:space="0"/>
              <w:left w:val="single" w:color="000000" w:sz="4" w:space="0"/>
              <w:bottom w:val="single" w:color="000000" w:sz="4" w:space="0"/>
              <w:right w:val="single" w:color="000000" w:sz="4" w:space="0"/>
            </w:tcBorders>
            <w:vAlign w:val="center"/>
          </w:tcPr>
          <w:p w14:paraId="4386A10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1.2.4</w:t>
            </w:r>
          </w:p>
        </w:tc>
        <w:tc>
          <w:tcPr>
            <w:tcW w:w="3399" w:type="dxa"/>
            <w:gridSpan w:val="2"/>
            <w:tcBorders>
              <w:top w:val="single" w:color="000000" w:sz="4" w:space="0"/>
              <w:left w:val="single" w:color="000000" w:sz="4" w:space="0"/>
              <w:bottom w:val="single" w:color="000000" w:sz="4" w:space="0"/>
              <w:right w:val="single" w:color="000000" w:sz="4" w:space="0"/>
            </w:tcBorders>
            <w:vAlign w:val="center"/>
          </w:tcPr>
          <w:p w14:paraId="738A8DD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雷达频段服务</w:t>
            </w:r>
          </w:p>
        </w:tc>
        <w:tc>
          <w:tcPr>
            <w:tcW w:w="7679" w:type="dxa"/>
            <w:tcBorders>
              <w:top w:val="single" w:color="000000" w:sz="4" w:space="0"/>
              <w:left w:val="single" w:color="000000" w:sz="4" w:space="0"/>
              <w:bottom w:val="single" w:color="000000" w:sz="4" w:space="0"/>
              <w:right w:val="single" w:color="000000" w:sz="4" w:space="0"/>
            </w:tcBorders>
            <w:vAlign w:val="center"/>
          </w:tcPr>
          <w:p w14:paraId="67429BF0">
            <w:pPr>
              <w:widowControl/>
              <w:textAlignment w:val="center"/>
              <w:rPr>
                <w:rFonts w:ascii="宋体" w:hAnsi="宋体" w:cs="宋体"/>
                <w:color w:val="auto"/>
                <w:szCs w:val="21"/>
                <w:highlight w:val="none"/>
              </w:rPr>
            </w:pPr>
            <w:r>
              <w:rPr>
                <w:rFonts w:hint="eastAsia" w:ascii="宋体" w:hAnsi="宋体" w:cs="宋体"/>
                <w:color w:val="auto"/>
                <w:kern w:val="0"/>
                <w:szCs w:val="21"/>
                <w:highlight w:val="none"/>
              </w:rPr>
              <w:t>提供雷达系统频段使用服务，服务期1年。</w:t>
            </w:r>
          </w:p>
        </w:tc>
        <w:tc>
          <w:tcPr>
            <w:tcW w:w="1006" w:type="dxa"/>
            <w:tcBorders>
              <w:top w:val="single" w:color="000000" w:sz="4" w:space="0"/>
              <w:left w:val="single" w:color="000000" w:sz="4" w:space="0"/>
              <w:bottom w:val="single" w:color="000000" w:sz="4" w:space="0"/>
              <w:right w:val="single" w:color="000000" w:sz="4" w:space="0"/>
            </w:tcBorders>
            <w:vAlign w:val="center"/>
          </w:tcPr>
          <w:p w14:paraId="7B59BD0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项</w:t>
            </w:r>
          </w:p>
        </w:tc>
        <w:tc>
          <w:tcPr>
            <w:tcW w:w="1006" w:type="dxa"/>
            <w:tcBorders>
              <w:top w:val="single" w:color="000000" w:sz="4" w:space="0"/>
              <w:left w:val="single" w:color="000000" w:sz="4" w:space="0"/>
              <w:bottom w:val="single" w:color="000000" w:sz="4" w:space="0"/>
              <w:right w:val="single" w:color="000000" w:sz="4" w:space="0"/>
            </w:tcBorders>
            <w:vAlign w:val="center"/>
          </w:tcPr>
          <w:p w14:paraId="68B24DA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 xml:space="preserve">1 </w:t>
            </w:r>
          </w:p>
        </w:tc>
      </w:tr>
      <w:tr w14:paraId="5CCEB66B">
        <w:tblPrEx>
          <w:tblCellMar>
            <w:top w:w="0" w:type="dxa"/>
            <w:left w:w="108" w:type="dxa"/>
            <w:bottom w:w="0" w:type="dxa"/>
            <w:right w:w="108" w:type="dxa"/>
          </w:tblCellMar>
        </w:tblPrEx>
        <w:trPr>
          <w:trHeight w:val="440" w:hRule="atLeast"/>
        </w:trPr>
        <w:tc>
          <w:tcPr>
            <w:tcW w:w="1078" w:type="dxa"/>
            <w:tcBorders>
              <w:top w:val="single" w:color="000000" w:sz="4" w:space="0"/>
              <w:left w:val="single" w:color="000000" w:sz="4" w:space="0"/>
              <w:bottom w:val="single" w:color="000000" w:sz="4" w:space="0"/>
              <w:right w:val="single" w:color="000000" w:sz="4" w:space="0"/>
            </w:tcBorders>
            <w:vAlign w:val="center"/>
          </w:tcPr>
          <w:p w14:paraId="7926FCE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1.2.5</w:t>
            </w:r>
          </w:p>
        </w:tc>
        <w:tc>
          <w:tcPr>
            <w:tcW w:w="3399" w:type="dxa"/>
            <w:gridSpan w:val="2"/>
            <w:tcBorders>
              <w:top w:val="single" w:color="000000" w:sz="4" w:space="0"/>
              <w:left w:val="single" w:color="000000" w:sz="4" w:space="0"/>
              <w:bottom w:val="single" w:color="000000" w:sz="4" w:space="0"/>
              <w:right w:val="single" w:color="000000" w:sz="4" w:space="0"/>
            </w:tcBorders>
            <w:vAlign w:val="center"/>
          </w:tcPr>
          <w:p w14:paraId="3C76962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备发电服务</w:t>
            </w:r>
          </w:p>
        </w:tc>
        <w:tc>
          <w:tcPr>
            <w:tcW w:w="7679" w:type="dxa"/>
            <w:tcBorders>
              <w:top w:val="single" w:color="000000" w:sz="4" w:space="0"/>
              <w:left w:val="single" w:color="000000" w:sz="4" w:space="0"/>
              <w:bottom w:val="single" w:color="000000" w:sz="4" w:space="0"/>
              <w:right w:val="single" w:color="000000" w:sz="4" w:space="0"/>
            </w:tcBorders>
            <w:vAlign w:val="center"/>
          </w:tcPr>
          <w:p w14:paraId="22940AF2">
            <w:pPr>
              <w:widowControl/>
              <w:textAlignment w:val="center"/>
              <w:rPr>
                <w:rFonts w:ascii="宋体" w:hAnsi="宋体" w:cs="宋体"/>
                <w:color w:val="auto"/>
                <w:szCs w:val="21"/>
                <w:highlight w:val="none"/>
              </w:rPr>
            </w:pPr>
            <w:r>
              <w:rPr>
                <w:rFonts w:hint="eastAsia" w:ascii="宋体" w:hAnsi="宋体" w:cs="宋体"/>
                <w:color w:val="auto"/>
                <w:kern w:val="0"/>
                <w:szCs w:val="21"/>
                <w:highlight w:val="none"/>
              </w:rPr>
              <w:t>每个站点提供设备备电及不间断油机发电服务，服务期1年。</w:t>
            </w:r>
          </w:p>
        </w:tc>
        <w:tc>
          <w:tcPr>
            <w:tcW w:w="1006" w:type="dxa"/>
            <w:tcBorders>
              <w:top w:val="single" w:color="000000" w:sz="4" w:space="0"/>
              <w:left w:val="single" w:color="000000" w:sz="4" w:space="0"/>
              <w:bottom w:val="single" w:color="000000" w:sz="4" w:space="0"/>
              <w:right w:val="single" w:color="000000" w:sz="4" w:space="0"/>
            </w:tcBorders>
            <w:vAlign w:val="center"/>
          </w:tcPr>
          <w:p w14:paraId="45CDE11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项</w:t>
            </w:r>
          </w:p>
        </w:tc>
        <w:tc>
          <w:tcPr>
            <w:tcW w:w="1006" w:type="dxa"/>
            <w:tcBorders>
              <w:top w:val="single" w:color="000000" w:sz="4" w:space="0"/>
              <w:left w:val="single" w:color="000000" w:sz="4" w:space="0"/>
              <w:bottom w:val="single" w:color="000000" w:sz="4" w:space="0"/>
              <w:right w:val="single" w:color="000000" w:sz="4" w:space="0"/>
            </w:tcBorders>
            <w:vAlign w:val="center"/>
          </w:tcPr>
          <w:p w14:paraId="5A0634F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 xml:space="preserve">6 </w:t>
            </w:r>
          </w:p>
        </w:tc>
      </w:tr>
      <w:tr w14:paraId="54D9460A">
        <w:tblPrEx>
          <w:tblCellMar>
            <w:top w:w="0" w:type="dxa"/>
            <w:left w:w="108" w:type="dxa"/>
            <w:bottom w:w="0" w:type="dxa"/>
            <w:right w:w="108" w:type="dxa"/>
          </w:tblCellMar>
        </w:tblPrEx>
        <w:trPr>
          <w:trHeight w:val="440" w:hRule="atLeast"/>
        </w:trPr>
        <w:tc>
          <w:tcPr>
            <w:tcW w:w="1078" w:type="dxa"/>
            <w:tcBorders>
              <w:top w:val="single" w:color="000000" w:sz="4" w:space="0"/>
              <w:left w:val="single" w:color="000000" w:sz="4" w:space="0"/>
              <w:bottom w:val="single" w:color="000000" w:sz="4" w:space="0"/>
              <w:right w:val="single" w:color="000000" w:sz="4" w:space="0"/>
            </w:tcBorders>
            <w:vAlign w:val="center"/>
          </w:tcPr>
          <w:p w14:paraId="6F3ED317">
            <w:pPr>
              <w:widowControl/>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rPr>
              <w:t>1.3</w:t>
            </w:r>
          </w:p>
        </w:tc>
        <w:tc>
          <w:tcPr>
            <w:tcW w:w="3399" w:type="dxa"/>
            <w:gridSpan w:val="2"/>
            <w:tcBorders>
              <w:top w:val="single" w:color="000000" w:sz="4" w:space="0"/>
              <w:left w:val="single" w:color="000000" w:sz="4" w:space="0"/>
              <w:bottom w:val="single" w:color="000000" w:sz="4" w:space="0"/>
              <w:right w:val="single" w:color="000000" w:sz="4" w:space="0"/>
            </w:tcBorders>
            <w:vAlign w:val="center"/>
          </w:tcPr>
          <w:p w14:paraId="35647AFE">
            <w:pPr>
              <w:widowControl/>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rPr>
              <w:t>监测管理大数据平台</w:t>
            </w:r>
          </w:p>
        </w:tc>
        <w:tc>
          <w:tcPr>
            <w:tcW w:w="7679" w:type="dxa"/>
            <w:tcBorders>
              <w:top w:val="single" w:color="000000" w:sz="4" w:space="0"/>
              <w:left w:val="single" w:color="000000" w:sz="4" w:space="0"/>
              <w:bottom w:val="single" w:color="000000" w:sz="4" w:space="0"/>
              <w:right w:val="single" w:color="000000" w:sz="4" w:space="0"/>
            </w:tcBorders>
            <w:vAlign w:val="center"/>
          </w:tcPr>
          <w:p w14:paraId="7D9B0DCA">
            <w:pPr>
              <w:jc w:val="center"/>
              <w:rPr>
                <w:rFonts w:ascii="宋体" w:hAnsi="宋体" w:cs="宋体"/>
                <w:b/>
                <w:bCs/>
                <w:color w:val="auto"/>
                <w:szCs w:val="21"/>
                <w:highlight w:val="none"/>
              </w:rPr>
            </w:pPr>
          </w:p>
        </w:tc>
        <w:tc>
          <w:tcPr>
            <w:tcW w:w="1006" w:type="dxa"/>
            <w:tcBorders>
              <w:top w:val="single" w:color="000000" w:sz="4" w:space="0"/>
              <w:left w:val="single" w:color="000000" w:sz="4" w:space="0"/>
              <w:bottom w:val="single" w:color="000000" w:sz="4" w:space="0"/>
              <w:right w:val="single" w:color="000000" w:sz="4" w:space="0"/>
            </w:tcBorders>
            <w:vAlign w:val="center"/>
          </w:tcPr>
          <w:p w14:paraId="604DC82A">
            <w:pPr>
              <w:jc w:val="center"/>
              <w:rPr>
                <w:rFonts w:ascii="宋体" w:hAnsi="宋体" w:cs="宋体"/>
                <w:b/>
                <w:bCs/>
                <w:color w:val="auto"/>
                <w:szCs w:val="21"/>
                <w:highlight w:val="none"/>
              </w:rPr>
            </w:pPr>
          </w:p>
        </w:tc>
        <w:tc>
          <w:tcPr>
            <w:tcW w:w="1006" w:type="dxa"/>
            <w:tcBorders>
              <w:top w:val="single" w:color="000000" w:sz="4" w:space="0"/>
              <w:left w:val="single" w:color="000000" w:sz="4" w:space="0"/>
              <w:bottom w:val="single" w:color="000000" w:sz="4" w:space="0"/>
              <w:right w:val="single" w:color="000000" w:sz="4" w:space="0"/>
            </w:tcBorders>
            <w:vAlign w:val="center"/>
          </w:tcPr>
          <w:p w14:paraId="4850B929">
            <w:pPr>
              <w:jc w:val="center"/>
              <w:rPr>
                <w:rFonts w:ascii="宋体" w:hAnsi="宋体" w:cs="宋体"/>
                <w:b/>
                <w:bCs/>
                <w:color w:val="auto"/>
                <w:szCs w:val="21"/>
                <w:highlight w:val="none"/>
              </w:rPr>
            </w:pPr>
          </w:p>
        </w:tc>
      </w:tr>
      <w:tr w14:paraId="474B148C">
        <w:tblPrEx>
          <w:tblCellMar>
            <w:top w:w="0" w:type="dxa"/>
            <w:left w:w="108" w:type="dxa"/>
            <w:bottom w:w="0" w:type="dxa"/>
            <w:right w:w="108" w:type="dxa"/>
          </w:tblCellMar>
        </w:tblPrEx>
        <w:trPr>
          <w:trHeight w:val="440" w:hRule="atLeast"/>
        </w:trPr>
        <w:tc>
          <w:tcPr>
            <w:tcW w:w="1078" w:type="dxa"/>
            <w:tcBorders>
              <w:top w:val="single" w:color="000000" w:sz="4" w:space="0"/>
              <w:left w:val="single" w:color="000000" w:sz="4" w:space="0"/>
              <w:bottom w:val="single" w:color="000000" w:sz="4" w:space="0"/>
              <w:right w:val="single" w:color="000000" w:sz="4" w:space="0"/>
            </w:tcBorders>
            <w:vAlign w:val="center"/>
          </w:tcPr>
          <w:p w14:paraId="6584DDF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1.3.1</w:t>
            </w:r>
          </w:p>
        </w:tc>
        <w:tc>
          <w:tcPr>
            <w:tcW w:w="3399" w:type="dxa"/>
            <w:gridSpan w:val="2"/>
            <w:tcBorders>
              <w:top w:val="single" w:color="000000" w:sz="4" w:space="0"/>
              <w:left w:val="single" w:color="000000" w:sz="4" w:space="0"/>
              <w:bottom w:val="single" w:color="000000" w:sz="4" w:space="0"/>
              <w:right w:val="single" w:color="000000" w:sz="4" w:space="0"/>
            </w:tcBorders>
            <w:vAlign w:val="center"/>
          </w:tcPr>
          <w:p w14:paraId="1E12E0A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云服务器运维服务</w:t>
            </w:r>
          </w:p>
        </w:tc>
        <w:tc>
          <w:tcPr>
            <w:tcW w:w="7679" w:type="dxa"/>
            <w:tcBorders>
              <w:top w:val="single" w:color="000000" w:sz="4" w:space="0"/>
              <w:left w:val="single" w:color="000000" w:sz="4" w:space="0"/>
              <w:bottom w:val="single" w:color="000000" w:sz="4" w:space="0"/>
              <w:right w:val="single" w:color="000000" w:sz="4" w:space="0"/>
            </w:tcBorders>
            <w:vAlign w:val="center"/>
          </w:tcPr>
          <w:p w14:paraId="0A552735">
            <w:pPr>
              <w:widowControl/>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提供云服务器升级优化运维服务，提升当前服务器性能和资源冗余度。迁移水质监测系统后端监控服务至云服务，可以保障监测数据的稳定性以及提供后续运维保障。</w:t>
            </w:r>
          </w:p>
        </w:tc>
        <w:tc>
          <w:tcPr>
            <w:tcW w:w="1006" w:type="dxa"/>
            <w:tcBorders>
              <w:top w:val="single" w:color="000000" w:sz="4" w:space="0"/>
              <w:left w:val="single" w:color="000000" w:sz="4" w:space="0"/>
              <w:bottom w:val="single" w:color="000000" w:sz="4" w:space="0"/>
              <w:right w:val="single" w:color="000000" w:sz="4" w:space="0"/>
            </w:tcBorders>
            <w:vAlign w:val="center"/>
          </w:tcPr>
          <w:p w14:paraId="735E1C7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年</w:t>
            </w:r>
          </w:p>
        </w:tc>
        <w:tc>
          <w:tcPr>
            <w:tcW w:w="1006" w:type="dxa"/>
            <w:tcBorders>
              <w:top w:val="single" w:color="000000" w:sz="4" w:space="0"/>
              <w:left w:val="single" w:color="000000" w:sz="4" w:space="0"/>
              <w:bottom w:val="single" w:color="000000" w:sz="4" w:space="0"/>
              <w:right w:val="single" w:color="000000" w:sz="4" w:space="0"/>
            </w:tcBorders>
            <w:vAlign w:val="center"/>
          </w:tcPr>
          <w:p w14:paraId="799A2F3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 xml:space="preserve">1 </w:t>
            </w:r>
          </w:p>
        </w:tc>
      </w:tr>
      <w:tr w14:paraId="240CDE82">
        <w:tblPrEx>
          <w:tblCellMar>
            <w:top w:w="0" w:type="dxa"/>
            <w:left w:w="108" w:type="dxa"/>
            <w:bottom w:w="0" w:type="dxa"/>
            <w:right w:w="108" w:type="dxa"/>
          </w:tblCellMar>
        </w:tblPrEx>
        <w:trPr>
          <w:trHeight w:val="440" w:hRule="atLeast"/>
        </w:trPr>
        <w:tc>
          <w:tcPr>
            <w:tcW w:w="1078" w:type="dxa"/>
            <w:tcBorders>
              <w:top w:val="single" w:color="000000" w:sz="4" w:space="0"/>
              <w:left w:val="single" w:color="000000" w:sz="4" w:space="0"/>
              <w:bottom w:val="single" w:color="000000" w:sz="4" w:space="0"/>
              <w:right w:val="single" w:color="000000" w:sz="4" w:space="0"/>
            </w:tcBorders>
            <w:vAlign w:val="center"/>
          </w:tcPr>
          <w:p w14:paraId="3224A2B0">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1.3.2</w:t>
            </w:r>
          </w:p>
        </w:tc>
        <w:tc>
          <w:tcPr>
            <w:tcW w:w="3399" w:type="dxa"/>
            <w:gridSpan w:val="2"/>
            <w:tcBorders>
              <w:top w:val="single" w:color="000000" w:sz="4" w:space="0"/>
              <w:left w:val="single" w:color="000000" w:sz="4" w:space="0"/>
              <w:bottom w:val="single" w:color="000000" w:sz="4" w:space="0"/>
              <w:right w:val="single" w:color="000000" w:sz="4" w:space="0"/>
            </w:tcBorders>
            <w:vAlign w:val="center"/>
          </w:tcPr>
          <w:p w14:paraId="35089FC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云存储服务</w:t>
            </w:r>
          </w:p>
        </w:tc>
        <w:tc>
          <w:tcPr>
            <w:tcW w:w="7679" w:type="dxa"/>
            <w:tcBorders>
              <w:top w:val="single" w:color="000000" w:sz="4" w:space="0"/>
              <w:left w:val="single" w:color="000000" w:sz="4" w:space="0"/>
              <w:bottom w:val="single" w:color="000000" w:sz="4" w:space="0"/>
              <w:right w:val="single" w:color="000000" w:sz="4" w:space="0"/>
            </w:tcBorders>
            <w:vAlign w:val="center"/>
          </w:tcPr>
          <w:p w14:paraId="5AC9100F">
            <w:pPr>
              <w:widowControl/>
              <w:textAlignment w:val="center"/>
              <w:rPr>
                <w:rFonts w:ascii="宋体" w:hAnsi="宋体" w:cs="宋体"/>
                <w:color w:val="auto"/>
                <w:szCs w:val="21"/>
                <w:highlight w:val="none"/>
              </w:rPr>
            </w:pPr>
            <w:r>
              <w:rPr>
                <w:rFonts w:hint="eastAsia" w:ascii="宋体" w:hAnsi="宋体" w:cs="宋体"/>
                <w:color w:val="auto"/>
                <w:kern w:val="0"/>
                <w:szCs w:val="21"/>
                <w:highlight w:val="none"/>
              </w:rPr>
              <w:t>提供云存储服务升级，根据保护区预期系统规模和内容，增加保护区云存储数据为20TB，云流量为40TB，满足各项业务数据的需要。</w:t>
            </w:r>
          </w:p>
        </w:tc>
        <w:tc>
          <w:tcPr>
            <w:tcW w:w="1006" w:type="dxa"/>
            <w:tcBorders>
              <w:top w:val="single" w:color="000000" w:sz="4" w:space="0"/>
              <w:left w:val="single" w:color="000000" w:sz="4" w:space="0"/>
              <w:bottom w:val="single" w:color="000000" w:sz="4" w:space="0"/>
              <w:right w:val="single" w:color="000000" w:sz="4" w:space="0"/>
            </w:tcBorders>
            <w:vAlign w:val="center"/>
          </w:tcPr>
          <w:p w14:paraId="5FD6380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项</w:t>
            </w:r>
          </w:p>
        </w:tc>
        <w:tc>
          <w:tcPr>
            <w:tcW w:w="1006" w:type="dxa"/>
            <w:tcBorders>
              <w:top w:val="single" w:color="000000" w:sz="4" w:space="0"/>
              <w:left w:val="single" w:color="000000" w:sz="4" w:space="0"/>
              <w:bottom w:val="single" w:color="000000" w:sz="4" w:space="0"/>
              <w:right w:val="single" w:color="000000" w:sz="4" w:space="0"/>
            </w:tcBorders>
            <w:vAlign w:val="center"/>
          </w:tcPr>
          <w:p w14:paraId="79C79CB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 xml:space="preserve">1 </w:t>
            </w:r>
          </w:p>
        </w:tc>
      </w:tr>
      <w:tr w14:paraId="28825EFD">
        <w:tblPrEx>
          <w:tblCellMar>
            <w:top w:w="0" w:type="dxa"/>
            <w:left w:w="108" w:type="dxa"/>
            <w:bottom w:w="0" w:type="dxa"/>
            <w:right w:w="108" w:type="dxa"/>
          </w:tblCellMar>
        </w:tblPrEx>
        <w:trPr>
          <w:trHeight w:val="440" w:hRule="atLeast"/>
        </w:trPr>
        <w:tc>
          <w:tcPr>
            <w:tcW w:w="1078" w:type="dxa"/>
            <w:vMerge w:val="restart"/>
            <w:tcBorders>
              <w:top w:val="single" w:color="000000" w:sz="4" w:space="0"/>
              <w:left w:val="single" w:color="000000" w:sz="4" w:space="0"/>
              <w:bottom w:val="single" w:color="000000" w:sz="4" w:space="0"/>
              <w:right w:val="single" w:color="000000" w:sz="4" w:space="0"/>
            </w:tcBorders>
            <w:vAlign w:val="center"/>
          </w:tcPr>
          <w:p w14:paraId="4EF4065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1.3.3</w:t>
            </w:r>
          </w:p>
        </w:tc>
        <w:tc>
          <w:tcPr>
            <w:tcW w:w="1310" w:type="dxa"/>
            <w:vMerge w:val="restart"/>
            <w:tcBorders>
              <w:top w:val="single" w:color="000000" w:sz="4" w:space="0"/>
              <w:left w:val="single" w:color="000000" w:sz="4" w:space="0"/>
              <w:bottom w:val="single" w:color="000000" w:sz="4" w:space="0"/>
              <w:right w:val="single" w:color="000000" w:sz="4" w:space="0"/>
            </w:tcBorders>
            <w:vAlign w:val="center"/>
          </w:tcPr>
          <w:p w14:paraId="68DA98DC">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系统框架升级</w:t>
            </w:r>
          </w:p>
        </w:tc>
        <w:tc>
          <w:tcPr>
            <w:tcW w:w="2089" w:type="dxa"/>
            <w:tcBorders>
              <w:top w:val="single" w:color="000000" w:sz="4" w:space="0"/>
              <w:left w:val="single" w:color="000000" w:sz="4" w:space="0"/>
              <w:bottom w:val="single" w:color="000000" w:sz="4" w:space="0"/>
              <w:right w:val="single" w:color="000000" w:sz="4" w:space="0"/>
            </w:tcBorders>
            <w:vAlign w:val="center"/>
          </w:tcPr>
          <w:p w14:paraId="1A8E846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升级系统前后端框架</w:t>
            </w:r>
          </w:p>
        </w:tc>
        <w:tc>
          <w:tcPr>
            <w:tcW w:w="7679" w:type="dxa"/>
            <w:tcBorders>
              <w:top w:val="single" w:color="000000" w:sz="4" w:space="0"/>
              <w:left w:val="single" w:color="000000" w:sz="4" w:space="0"/>
              <w:bottom w:val="single" w:color="000000" w:sz="4" w:space="0"/>
              <w:right w:val="single" w:color="000000" w:sz="4" w:space="0"/>
            </w:tcBorders>
            <w:vAlign w:val="center"/>
          </w:tcPr>
          <w:p w14:paraId="22DEA4FE">
            <w:pPr>
              <w:widowControl/>
              <w:textAlignment w:val="center"/>
              <w:rPr>
                <w:rFonts w:ascii="宋体" w:hAnsi="宋体" w:cs="宋体"/>
                <w:color w:val="auto"/>
                <w:szCs w:val="21"/>
                <w:highlight w:val="none"/>
              </w:rPr>
            </w:pPr>
            <w:r>
              <w:rPr>
                <w:rFonts w:hint="eastAsia" w:ascii="宋体" w:hAnsi="宋体" w:cs="宋体"/>
                <w:color w:val="auto"/>
                <w:kern w:val="0"/>
                <w:szCs w:val="21"/>
                <w:highlight w:val="none"/>
              </w:rPr>
              <w:t>在前后端框架升级调整上，采用先进的技术架构对前后端框架进行全面重构，解决旧框架的兼容性问题，提升系统的稳定性和运行效率，降低维护成本，为后续功能扩展奠定坚实的技术基础。</w:t>
            </w:r>
          </w:p>
        </w:tc>
        <w:tc>
          <w:tcPr>
            <w:tcW w:w="1006" w:type="dxa"/>
            <w:tcBorders>
              <w:top w:val="single" w:color="000000" w:sz="4" w:space="0"/>
              <w:left w:val="single" w:color="000000" w:sz="4" w:space="0"/>
              <w:bottom w:val="single" w:color="000000" w:sz="4" w:space="0"/>
              <w:right w:val="single" w:color="000000" w:sz="4" w:space="0"/>
            </w:tcBorders>
            <w:vAlign w:val="center"/>
          </w:tcPr>
          <w:p w14:paraId="58FCBC2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项</w:t>
            </w:r>
          </w:p>
        </w:tc>
        <w:tc>
          <w:tcPr>
            <w:tcW w:w="1006" w:type="dxa"/>
            <w:tcBorders>
              <w:top w:val="single" w:color="000000" w:sz="4" w:space="0"/>
              <w:left w:val="single" w:color="000000" w:sz="4" w:space="0"/>
              <w:bottom w:val="single" w:color="000000" w:sz="4" w:space="0"/>
              <w:right w:val="single" w:color="000000" w:sz="4" w:space="0"/>
            </w:tcBorders>
            <w:vAlign w:val="center"/>
          </w:tcPr>
          <w:p w14:paraId="7DF0373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 xml:space="preserve">1 </w:t>
            </w:r>
          </w:p>
        </w:tc>
      </w:tr>
      <w:tr w14:paraId="32799557">
        <w:tblPrEx>
          <w:tblCellMar>
            <w:top w:w="0" w:type="dxa"/>
            <w:left w:w="108" w:type="dxa"/>
            <w:bottom w:w="0" w:type="dxa"/>
            <w:right w:w="108" w:type="dxa"/>
          </w:tblCellMar>
        </w:tblPrEx>
        <w:trPr>
          <w:trHeight w:val="440" w:hRule="atLeast"/>
        </w:trPr>
        <w:tc>
          <w:tcPr>
            <w:tcW w:w="1078" w:type="dxa"/>
            <w:vMerge w:val="continue"/>
            <w:tcBorders>
              <w:top w:val="single" w:color="000000" w:sz="4" w:space="0"/>
              <w:left w:val="single" w:color="000000" w:sz="4" w:space="0"/>
              <w:bottom w:val="single" w:color="000000" w:sz="4" w:space="0"/>
              <w:right w:val="single" w:color="000000" w:sz="4" w:space="0"/>
            </w:tcBorders>
            <w:vAlign w:val="center"/>
          </w:tcPr>
          <w:p w14:paraId="74ACB497">
            <w:pPr>
              <w:jc w:val="center"/>
              <w:rPr>
                <w:rFonts w:ascii="宋体" w:hAnsi="宋体" w:cs="宋体"/>
                <w:color w:val="auto"/>
                <w:szCs w:val="21"/>
                <w:highlight w:val="none"/>
              </w:rPr>
            </w:pPr>
          </w:p>
        </w:tc>
        <w:tc>
          <w:tcPr>
            <w:tcW w:w="1310" w:type="dxa"/>
            <w:vMerge w:val="continue"/>
            <w:tcBorders>
              <w:top w:val="single" w:color="000000" w:sz="4" w:space="0"/>
              <w:left w:val="single" w:color="000000" w:sz="4" w:space="0"/>
              <w:bottom w:val="single" w:color="000000" w:sz="4" w:space="0"/>
              <w:right w:val="single" w:color="000000" w:sz="4" w:space="0"/>
            </w:tcBorders>
            <w:vAlign w:val="center"/>
          </w:tcPr>
          <w:p w14:paraId="6A0125E3">
            <w:pPr>
              <w:jc w:val="center"/>
              <w:rPr>
                <w:rFonts w:ascii="宋体" w:hAnsi="宋体" w:cs="宋体"/>
                <w:color w:val="auto"/>
                <w:szCs w:val="21"/>
                <w:highlight w:val="none"/>
              </w:rPr>
            </w:pPr>
          </w:p>
        </w:tc>
        <w:tc>
          <w:tcPr>
            <w:tcW w:w="2089" w:type="dxa"/>
            <w:tcBorders>
              <w:top w:val="single" w:color="000000" w:sz="4" w:space="0"/>
              <w:left w:val="single" w:color="000000" w:sz="4" w:space="0"/>
              <w:bottom w:val="single" w:color="000000" w:sz="4" w:space="0"/>
              <w:right w:val="single" w:color="000000" w:sz="4" w:space="0"/>
            </w:tcBorders>
            <w:vAlign w:val="center"/>
          </w:tcPr>
          <w:p w14:paraId="2A72789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优化系统功能模块的导航制作</w:t>
            </w:r>
          </w:p>
        </w:tc>
        <w:tc>
          <w:tcPr>
            <w:tcW w:w="7679" w:type="dxa"/>
            <w:tcBorders>
              <w:top w:val="single" w:color="000000" w:sz="4" w:space="0"/>
              <w:left w:val="single" w:color="000000" w:sz="4" w:space="0"/>
              <w:bottom w:val="single" w:color="000000" w:sz="4" w:space="0"/>
              <w:right w:val="single" w:color="000000" w:sz="4" w:space="0"/>
            </w:tcBorders>
            <w:vAlign w:val="center"/>
          </w:tcPr>
          <w:p w14:paraId="35377828">
            <w:pPr>
              <w:widowControl/>
              <w:textAlignment w:val="center"/>
              <w:rPr>
                <w:rFonts w:ascii="宋体" w:hAnsi="宋体" w:cs="宋体"/>
                <w:color w:val="auto"/>
                <w:szCs w:val="21"/>
                <w:highlight w:val="none"/>
              </w:rPr>
            </w:pPr>
            <w:r>
              <w:rPr>
                <w:rFonts w:hint="eastAsia" w:ascii="宋体" w:hAnsi="宋体" w:cs="宋体"/>
                <w:color w:val="auto"/>
                <w:kern w:val="0"/>
                <w:szCs w:val="21"/>
                <w:highlight w:val="none"/>
              </w:rPr>
              <w:t>在系统导航架构和用户界面优化上，按照功能模块的关联性和使用频率进行合理分类，使导航更加清晰，工作人员能够快速找到所需功能。用户界面将突出关键功能，简化操作流程，做到简洁易用，同时预留足够的扩展接口，便于根据未来需求新增功能模块，让系统更具灵活性和可扩展性。</w:t>
            </w:r>
          </w:p>
        </w:tc>
        <w:tc>
          <w:tcPr>
            <w:tcW w:w="1006" w:type="dxa"/>
            <w:tcBorders>
              <w:top w:val="single" w:color="000000" w:sz="4" w:space="0"/>
              <w:left w:val="single" w:color="000000" w:sz="4" w:space="0"/>
              <w:bottom w:val="single" w:color="000000" w:sz="4" w:space="0"/>
              <w:right w:val="single" w:color="000000" w:sz="4" w:space="0"/>
            </w:tcBorders>
            <w:vAlign w:val="center"/>
          </w:tcPr>
          <w:p w14:paraId="355BD11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项</w:t>
            </w:r>
          </w:p>
        </w:tc>
        <w:tc>
          <w:tcPr>
            <w:tcW w:w="1006" w:type="dxa"/>
            <w:tcBorders>
              <w:top w:val="single" w:color="000000" w:sz="4" w:space="0"/>
              <w:left w:val="single" w:color="000000" w:sz="4" w:space="0"/>
              <w:bottom w:val="single" w:color="000000" w:sz="4" w:space="0"/>
              <w:right w:val="single" w:color="000000" w:sz="4" w:space="0"/>
            </w:tcBorders>
            <w:vAlign w:val="center"/>
          </w:tcPr>
          <w:p w14:paraId="14ED690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 xml:space="preserve">1 </w:t>
            </w:r>
          </w:p>
        </w:tc>
      </w:tr>
      <w:tr w14:paraId="174DEDD4">
        <w:tblPrEx>
          <w:tblCellMar>
            <w:top w:w="0" w:type="dxa"/>
            <w:left w:w="108" w:type="dxa"/>
            <w:bottom w:w="0" w:type="dxa"/>
            <w:right w:w="108" w:type="dxa"/>
          </w:tblCellMar>
        </w:tblPrEx>
        <w:trPr>
          <w:trHeight w:val="440" w:hRule="atLeast"/>
        </w:trPr>
        <w:tc>
          <w:tcPr>
            <w:tcW w:w="1078" w:type="dxa"/>
            <w:vMerge w:val="continue"/>
            <w:tcBorders>
              <w:top w:val="single" w:color="000000" w:sz="4" w:space="0"/>
              <w:left w:val="single" w:color="000000" w:sz="4" w:space="0"/>
              <w:bottom w:val="single" w:color="000000" w:sz="4" w:space="0"/>
              <w:right w:val="single" w:color="000000" w:sz="4" w:space="0"/>
            </w:tcBorders>
            <w:vAlign w:val="center"/>
          </w:tcPr>
          <w:p w14:paraId="6CEA1980">
            <w:pPr>
              <w:jc w:val="center"/>
              <w:rPr>
                <w:rFonts w:ascii="宋体" w:hAnsi="宋体" w:cs="宋体"/>
                <w:color w:val="auto"/>
                <w:szCs w:val="21"/>
                <w:highlight w:val="none"/>
              </w:rPr>
            </w:pPr>
          </w:p>
        </w:tc>
        <w:tc>
          <w:tcPr>
            <w:tcW w:w="1310" w:type="dxa"/>
            <w:vMerge w:val="continue"/>
            <w:tcBorders>
              <w:top w:val="single" w:color="000000" w:sz="4" w:space="0"/>
              <w:left w:val="single" w:color="000000" w:sz="4" w:space="0"/>
              <w:bottom w:val="single" w:color="000000" w:sz="4" w:space="0"/>
              <w:right w:val="single" w:color="000000" w:sz="4" w:space="0"/>
            </w:tcBorders>
            <w:vAlign w:val="center"/>
          </w:tcPr>
          <w:p w14:paraId="5029AF3C">
            <w:pPr>
              <w:jc w:val="center"/>
              <w:rPr>
                <w:rFonts w:ascii="宋体" w:hAnsi="宋体" w:cs="宋体"/>
                <w:color w:val="auto"/>
                <w:szCs w:val="21"/>
                <w:highlight w:val="none"/>
              </w:rPr>
            </w:pPr>
          </w:p>
        </w:tc>
        <w:tc>
          <w:tcPr>
            <w:tcW w:w="2089" w:type="dxa"/>
            <w:tcBorders>
              <w:top w:val="single" w:color="000000" w:sz="4" w:space="0"/>
              <w:left w:val="single" w:color="000000" w:sz="4" w:space="0"/>
              <w:bottom w:val="single" w:color="000000" w:sz="4" w:space="0"/>
              <w:right w:val="single" w:color="000000" w:sz="4" w:space="0"/>
            </w:tcBorders>
            <w:vAlign w:val="center"/>
          </w:tcPr>
          <w:p w14:paraId="2729C7C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优化视频接入显示效果</w:t>
            </w:r>
          </w:p>
        </w:tc>
        <w:tc>
          <w:tcPr>
            <w:tcW w:w="7679" w:type="dxa"/>
            <w:tcBorders>
              <w:top w:val="single" w:color="000000" w:sz="4" w:space="0"/>
              <w:left w:val="single" w:color="000000" w:sz="4" w:space="0"/>
              <w:bottom w:val="single" w:color="000000" w:sz="4" w:space="0"/>
              <w:right w:val="single" w:color="000000" w:sz="4" w:space="0"/>
            </w:tcBorders>
            <w:vAlign w:val="center"/>
          </w:tcPr>
          <w:p w14:paraId="15CC6C14">
            <w:pPr>
              <w:widowControl/>
              <w:textAlignment w:val="center"/>
              <w:rPr>
                <w:rFonts w:ascii="宋体" w:hAnsi="宋体" w:cs="宋体"/>
                <w:color w:val="auto"/>
                <w:szCs w:val="21"/>
                <w:highlight w:val="none"/>
              </w:rPr>
            </w:pPr>
            <w:r>
              <w:rPr>
                <w:rFonts w:hint="eastAsia" w:ascii="宋体" w:hAnsi="宋体" w:cs="宋体"/>
                <w:color w:val="auto"/>
                <w:kern w:val="0"/>
                <w:szCs w:val="21"/>
                <w:highlight w:val="none"/>
              </w:rPr>
              <w:t>将视频播放器从HTML5播放器升级为视频直播流专用播放器。通过硬件解码，可充分利用设备的硬件性能，大幅提升视频解码速度，有效解决直播视频播放卡顿、断连的问题，确保管理人员能够流畅观看高清、稳定的实时监控画面，及时掌握保护区内的动态。</w:t>
            </w:r>
          </w:p>
        </w:tc>
        <w:tc>
          <w:tcPr>
            <w:tcW w:w="1006" w:type="dxa"/>
            <w:tcBorders>
              <w:top w:val="single" w:color="000000" w:sz="4" w:space="0"/>
              <w:left w:val="single" w:color="000000" w:sz="4" w:space="0"/>
              <w:bottom w:val="single" w:color="000000" w:sz="4" w:space="0"/>
              <w:right w:val="single" w:color="000000" w:sz="4" w:space="0"/>
            </w:tcBorders>
            <w:vAlign w:val="center"/>
          </w:tcPr>
          <w:p w14:paraId="798F9873">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项</w:t>
            </w:r>
          </w:p>
        </w:tc>
        <w:tc>
          <w:tcPr>
            <w:tcW w:w="1006" w:type="dxa"/>
            <w:tcBorders>
              <w:top w:val="single" w:color="000000" w:sz="4" w:space="0"/>
              <w:left w:val="single" w:color="000000" w:sz="4" w:space="0"/>
              <w:bottom w:val="single" w:color="000000" w:sz="4" w:space="0"/>
              <w:right w:val="single" w:color="000000" w:sz="4" w:space="0"/>
            </w:tcBorders>
            <w:vAlign w:val="center"/>
          </w:tcPr>
          <w:p w14:paraId="278E5AA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 xml:space="preserve">1 </w:t>
            </w:r>
          </w:p>
        </w:tc>
      </w:tr>
      <w:tr w14:paraId="7E3B9BAD">
        <w:tblPrEx>
          <w:tblCellMar>
            <w:top w:w="0" w:type="dxa"/>
            <w:left w:w="108" w:type="dxa"/>
            <w:bottom w:w="0" w:type="dxa"/>
            <w:right w:w="108" w:type="dxa"/>
          </w:tblCellMar>
        </w:tblPrEx>
        <w:trPr>
          <w:trHeight w:val="440" w:hRule="atLeast"/>
        </w:trPr>
        <w:tc>
          <w:tcPr>
            <w:tcW w:w="1078" w:type="dxa"/>
            <w:vMerge w:val="continue"/>
            <w:tcBorders>
              <w:top w:val="single" w:color="000000" w:sz="4" w:space="0"/>
              <w:left w:val="single" w:color="000000" w:sz="4" w:space="0"/>
              <w:bottom w:val="single" w:color="000000" w:sz="4" w:space="0"/>
              <w:right w:val="single" w:color="000000" w:sz="4" w:space="0"/>
            </w:tcBorders>
            <w:vAlign w:val="center"/>
          </w:tcPr>
          <w:p w14:paraId="44128242">
            <w:pPr>
              <w:jc w:val="center"/>
              <w:rPr>
                <w:rFonts w:ascii="宋体" w:hAnsi="宋体" w:cs="宋体"/>
                <w:color w:val="auto"/>
                <w:szCs w:val="21"/>
                <w:highlight w:val="none"/>
              </w:rPr>
            </w:pPr>
          </w:p>
        </w:tc>
        <w:tc>
          <w:tcPr>
            <w:tcW w:w="1310" w:type="dxa"/>
            <w:vMerge w:val="continue"/>
            <w:tcBorders>
              <w:top w:val="single" w:color="000000" w:sz="4" w:space="0"/>
              <w:left w:val="single" w:color="000000" w:sz="4" w:space="0"/>
              <w:bottom w:val="single" w:color="000000" w:sz="4" w:space="0"/>
              <w:right w:val="single" w:color="000000" w:sz="4" w:space="0"/>
            </w:tcBorders>
            <w:vAlign w:val="center"/>
          </w:tcPr>
          <w:p w14:paraId="575C25FA">
            <w:pPr>
              <w:jc w:val="center"/>
              <w:rPr>
                <w:rFonts w:ascii="宋体" w:hAnsi="宋体" w:cs="宋体"/>
                <w:color w:val="auto"/>
                <w:szCs w:val="21"/>
                <w:highlight w:val="none"/>
              </w:rPr>
            </w:pPr>
          </w:p>
        </w:tc>
        <w:tc>
          <w:tcPr>
            <w:tcW w:w="2089" w:type="dxa"/>
            <w:tcBorders>
              <w:top w:val="single" w:color="000000" w:sz="4" w:space="0"/>
              <w:left w:val="single" w:color="000000" w:sz="4" w:space="0"/>
              <w:bottom w:val="single" w:color="000000" w:sz="4" w:space="0"/>
              <w:right w:val="single" w:color="000000" w:sz="4" w:space="0"/>
            </w:tcBorders>
            <w:vAlign w:val="center"/>
          </w:tcPr>
          <w:p w14:paraId="4C34CC7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优化地图显示效果和二三维地图框架进行升级</w:t>
            </w:r>
          </w:p>
        </w:tc>
        <w:tc>
          <w:tcPr>
            <w:tcW w:w="7679" w:type="dxa"/>
            <w:tcBorders>
              <w:top w:val="single" w:color="000000" w:sz="4" w:space="0"/>
              <w:left w:val="single" w:color="000000" w:sz="4" w:space="0"/>
              <w:bottom w:val="single" w:color="000000" w:sz="4" w:space="0"/>
              <w:right w:val="single" w:color="000000" w:sz="4" w:space="0"/>
            </w:tcBorders>
            <w:vAlign w:val="center"/>
          </w:tcPr>
          <w:p w14:paraId="5579AF3A">
            <w:pPr>
              <w:widowControl/>
              <w:textAlignment w:val="center"/>
              <w:rPr>
                <w:rFonts w:ascii="宋体" w:hAnsi="宋体" w:cs="宋体"/>
                <w:color w:val="auto"/>
                <w:szCs w:val="21"/>
                <w:highlight w:val="none"/>
              </w:rPr>
            </w:pPr>
            <w:r>
              <w:rPr>
                <w:rFonts w:hint="eastAsia" w:ascii="宋体" w:hAnsi="宋体" w:cs="宋体"/>
                <w:color w:val="auto"/>
                <w:kern w:val="0"/>
                <w:szCs w:val="21"/>
                <w:highlight w:val="none"/>
              </w:rPr>
              <w:t>优化地图框架，底图更新为保护区自建的无人机航拍影像图，满足更高清晰度的地图显示效果。可以支持矢量切片，提升大量历史巡护轨迹数据的同步显示，显示保护区的巡护人员的巡护关键范围。</w:t>
            </w:r>
          </w:p>
        </w:tc>
        <w:tc>
          <w:tcPr>
            <w:tcW w:w="1006" w:type="dxa"/>
            <w:tcBorders>
              <w:top w:val="single" w:color="000000" w:sz="4" w:space="0"/>
              <w:left w:val="single" w:color="000000" w:sz="4" w:space="0"/>
              <w:bottom w:val="single" w:color="000000" w:sz="4" w:space="0"/>
              <w:right w:val="single" w:color="000000" w:sz="4" w:space="0"/>
            </w:tcBorders>
            <w:vAlign w:val="center"/>
          </w:tcPr>
          <w:p w14:paraId="78C1F60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项</w:t>
            </w:r>
          </w:p>
        </w:tc>
        <w:tc>
          <w:tcPr>
            <w:tcW w:w="1006" w:type="dxa"/>
            <w:tcBorders>
              <w:top w:val="single" w:color="000000" w:sz="4" w:space="0"/>
              <w:left w:val="single" w:color="000000" w:sz="4" w:space="0"/>
              <w:bottom w:val="single" w:color="000000" w:sz="4" w:space="0"/>
              <w:right w:val="single" w:color="000000" w:sz="4" w:space="0"/>
            </w:tcBorders>
            <w:vAlign w:val="center"/>
          </w:tcPr>
          <w:p w14:paraId="64EB0DB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 xml:space="preserve">1 </w:t>
            </w:r>
          </w:p>
        </w:tc>
      </w:tr>
      <w:tr w14:paraId="77F52177">
        <w:tblPrEx>
          <w:tblCellMar>
            <w:top w:w="0" w:type="dxa"/>
            <w:left w:w="108" w:type="dxa"/>
            <w:bottom w:w="0" w:type="dxa"/>
            <w:right w:w="108" w:type="dxa"/>
          </w:tblCellMar>
        </w:tblPrEx>
        <w:trPr>
          <w:trHeight w:val="540" w:hRule="atLeast"/>
        </w:trPr>
        <w:tc>
          <w:tcPr>
            <w:tcW w:w="1078" w:type="dxa"/>
            <w:vMerge w:val="restart"/>
            <w:tcBorders>
              <w:top w:val="single" w:color="000000" w:sz="4" w:space="0"/>
              <w:left w:val="single" w:color="000000" w:sz="4" w:space="0"/>
              <w:bottom w:val="single" w:color="000000" w:sz="4" w:space="0"/>
              <w:right w:val="single" w:color="000000" w:sz="4" w:space="0"/>
            </w:tcBorders>
            <w:vAlign w:val="center"/>
          </w:tcPr>
          <w:p w14:paraId="555C362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1.3.4</w:t>
            </w:r>
          </w:p>
        </w:tc>
        <w:tc>
          <w:tcPr>
            <w:tcW w:w="1310" w:type="dxa"/>
            <w:vMerge w:val="restart"/>
            <w:tcBorders>
              <w:top w:val="single" w:color="000000" w:sz="4" w:space="0"/>
              <w:left w:val="single" w:color="000000" w:sz="4" w:space="0"/>
              <w:bottom w:val="single" w:color="000000" w:sz="4" w:space="0"/>
              <w:right w:val="single" w:color="000000" w:sz="4" w:space="0"/>
            </w:tcBorders>
            <w:vAlign w:val="center"/>
          </w:tcPr>
          <w:p w14:paraId="199592E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B/S平台改造部署</w:t>
            </w:r>
          </w:p>
        </w:tc>
        <w:tc>
          <w:tcPr>
            <w:tcW w:w="2089" w:type="dxa"/>
            <w:tcBorders>
              <w:top w:val="single" w:color="000000" w:sz="4" w:space="0"/>
              <w:left w:val="single" w:color="000000" w:sz="4" w:space="0"/>
              <w:bottom w:val="single" w:color="000000" w:sz="4" w:space="0"/>
              <w:right w:val="single" w:color="000000" w:sz="4" w:space="0"/>
            </w:tcBorders>
            <w:vAlign w:val="center"/>
          </w:tcPr>
          <w:p w14:paraId="06D3DB2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信创超融合一体机</w:t>
            </w:r>
          </w:p>
        </w:tc>
        <w:tc>
          <w:tcPr>
            <w:tcW w:w="7679" w:type="dxa"/>
            <w:tcBorders>
              <w:top w:val="single" w:color="000000" w:sz="4" w:space="0"/>
              <w:left w:val="single" w:color="000000" w:sz="4" w:space="0"/>
              <w:bottom w:val="single" w:color="000000" w:sz="4" w:space="0"/>
              <w:right w:val="single" w:color="000000" w:sz="4" w:space="0"/>
            </w:tcBorders>
          </w:tcPr>
          <w:p w14:paraId="7A987986">
            <w:pPr>
              <w:widowControl/>
              <w:textAlignment w:val="top"/>
              <w:rPr>
                <w:rFonts w:ascii="宋体" w:hAnsi="宋体" w:cs="宋体"/>
                <w:color w:val="auto"/>
                <w:szCs w:val="21"/>
                <w:highlight w:val="none"/>
              </w:rPr>
            </w:pPr>
            <w:r>
              <w:rPr>
                <w:rFonts w:hint="eastAsia" w:ascii="宋体" w:hAnsi="宋体" w:cs="宋体"/>
                <w:b/>
                <w:bCs/>
                <w:color w:val="auto"/>
                <w:kern w:val="0"/>
                <w:szCs w:val="21"/>
                <w:highlight w:val="none"/>
              </w:rPr>
              <w:t>▲1、国产品牌，非OEM产品，采用2U机架式，配置导轨</w:t>
            </w:r>
            <w:r>
              <w:rPr>
                <w:rFonts w:hint="eastAsia" w:ascii="宋体" w:hAnsi="宋体" w:cs="宋体"/>
                <w:b/>
                <w:bCs/>
                <w:color w:val="auto"/>
                <w:kern w:val="0"/>
                <w:szCs w:val="21"/>
                <w:highlight w:val="none"/>
              </w:rPr>
              <w:br w:type="textWrapping"/>
            </w:r>
            <w:r>
              <w:rPr>
                <w:rFonts w:hint="eastAsia" w:ascii="宋体" w:hAnsi="宋体" w:cs="宋体"/>
                <w:b/>
                <w:bCs/>
                <w:color w:val="auto"/>
                <w:kern w:val="0"/>
                <w:szCs w:val="21"/>
                <w:highlight w:val="none"/>
              </w:rPr>
              <w:t>▲2、配置≥1个国产C86处理器，单颗处理器核心数≥32核，64线程，主频≥2.2GHz，支持超线程、内置安全处理器；</w:t>
            </w:r>
            <w:r>
              <w:rPr>
                <w:rFonts w:hint="eastAsia" w:ascii="宋体" w:hAnsi="宋体" w:cs="宋体"/>
                <w:b/>
                <w:bCs/>
                <w:color w:val="auto"/>
                <w:kern w:val="0"/>
                <w:szCs w:val="21"/>
                <w:highlight w:val="none"/>
              </w:rPr>
              <w:br w:type="textWrapping"/>
            </w:r>
            <w:r>
              <w:rPr>
                <w:rFonts w:hint="eastAsia" w:ascii="宋体" w:hAnsi="宋体" w:cs="宋体"/>
                <w:b/>
                <w:bCs/>
                <w:color w:val="auto"/>
                <w:kern w:val="0"/>
                <w:szCs w:val="21"/>
                <w:highlight w:val="none"/>
              </w:rPr>
              <w:t>▲3、配置≥256GB DDR4内存，配置≥32个内存插槽；</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4、配置≥2块480GB SATA SSD硬盘，硬盘托架具备Raid重建时不可移出硬盘提示指示灯；前置硬盘支持配置≥12块3.5/2.5英寸硬盘，后置硬盘支持配置≥4块2.5英寸硬盘，板载支持≥2块M.2 SSD硬盘；</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5、整机最大支持≥20块3.5寸硬盘，整机最大支持≥24块U.2 NVMe SSD硬盘；</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6、配置≥1个RAID阵列卡，支持RAID0/1/5；</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7、配置≥2个千兆以太网RJ45接；配置1个双口10Gb光口含模块；1个双口16Gb FC HBA卡；</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8、配置≥1个千兆远程管理接口，板载网口、PCIe网卡均可设置为共享管理接口；</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9、配置≥4个USB接口，≥2个VGA接口 (前后面板各1个)；</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10、最大支持≥8个标准PCIe 4.0插槽；</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11、配置2个≥800W铂金热插拔电源模块，配置冗余热插拔冗余风扇；</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12、机箱前后面板配置清晰指示灯，可直观提示不限于以下:服务器开关状态、系统故障、内存故障、电源故障、风扇故障系统过热、网络状态、VID状态、硬盘活动状态、硬盘故障配置双UID指示灯，前后面板各1个，可通过BMC或UID按键点亮UID指示灯，在机柜前后快速定位服务器；</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13、配置虚拟KVM功能，可实现与操作系统无关的远程对服务器的完全控制，包括远程的开机、关机、重启、更新Firmware、虚拟光驱、虚拟文件夹等操作，提供服务器设备管理、健康日记管理、屏</w:t>
            </w:r>
            <w:r>
              <w:rPr>
                <w:rFonts w:hint="eastAsia" w:ascii="宋体" w:hAnsi="宋体" w:cs="宋体"/>
                <w:color w:val="auto"/>
                <w:kern w:val="0"/>
                <w:szCs w:val="21"/>
                <w:highlight w:val="none"/>
                <w:lang w:val="en-US" w:eastAsia="zh-CN"/>
              </w:rPr>
              <w:t>幕</w:t>
            </w:r>
            <w:r>
              <w:rPr>
                <w:rFonts w:hint="eastAsia" w:ascii="宋体" w:hAnsi="宋体" w:cs="宋体"/>
                <w:color w:val="auto"/>
                <w:kern w:val="0"/>
                <w:szCs w:val="21"/>
                <w:highlight w:val="none"/>
              </w:rPr>
              <w:t>自动/手动截图，提供电源监控BMC系统独立于业务操作系统，可通过BMC管理页面或者前后面板RST按键独立重启BMC系统；</w:t>
            </w:r>
            <w:r>
              <w:rPr>
                <w:rFonts w:hint="eastAsia" w:ascii="宋体" w:hAnsi="宋体" w:cs="宋体"/>
                <w:color w:val="auto"/>
                <w:kern w:val="0"/>
                <w:szCs w:val="21"/>
                <w:highlight w:val="none"/>
              </w:rPr>
              <w:br w:type="textWrapping"/>
            </w:r>
            <w:r>
              <w:rPr>
                <w:rFonts w:hint="eastAsia" w:ascii="宋体" w:hAnsi="宋体" w:cs="宋体"/>
                <w:b/>
                <w:bCs/>
                <w:color w:val="auto"/>
                <w:kern w:val="0"/>
                <w:szCs w:val="21"/>
                <w:highlight w:val="none"/>
              </w:rPr>
              <w:t>▲14、提供不少于1个处理器虚拟化软件授权；实现虚拟机裸金属等计算资源的管理与监控；主机高可用、虚拟机高可用、应用层高可用技术保障业务连续性；定时CBT备份、集群延展等全方位不同等级的数据及业务保护策略；</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●15、支持虚拟机启动、重置密码、暂停、恢复、重启、关闭、快速克隆、迁移、备份、模板导入导出、快照等功能，支持嵌套虚拟化；</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●16、支持虚拟机故障HA功能，可配置HA接入控制策略，HA最大尝试次数、HA资源预留，且支持HA故障切换主机设置，达到故障隔离的效果，并支持配置虚拟机自启动策略和启动优先级；</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17、提供批量跨云热迁移功能，在管理界面将源vSphere平台的虚拟机（≥50台）批量迁移到投标虚拟化平台内，迁移过程无需在源虚拟机中安装代理、无需提前创建目标虚拟机、无需手动关机和重启操作，可分别为不同的虚拟机指定计算、存储、网络资源及切换时间策略；</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●18、提供大内存页和DPDK加速功能，虚拟化界面可配置内存页大小和页数，支持虚拟机NUMA感知功能，保证虚拟机OS的NUMA与主机的NUMA拓扑保持一致，并显示大内存页的使用量和可用内存；</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●19、提供防火墙功能，防火墙可应用于业务网络或分布式NAT网关，可根据源\目的IP和端口设置防火墙规则，支持TCP/UDP/ICMP或任意协议；</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●20、提供分布式路由器功能，可关联业务子网进行路由通信，可配置分布式NAT网关和SNAT网络转换地址进行外部通信；</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●21、提供虚拟机内存快照，支持带快照虚拟机的跨存储热迁移功能，支持快照的瞬时创建及批量快照删除功能，批量删除虚拟机快照，虚拟机读写性能无损耗；</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22、支持多种登录认证策略以提升平台安全级别，包括但不限于身份认证、双因子认证、OTP身份认证，开启OTP认证后，用户登录系统时除需要用户密码外，还需要输入六位验证码，支持将验证码发送到用户邮箱；</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23、提供常见的虚拟资源和物理资源报警，包括但不限于CPU、内存、网卡和硬盘等资源；平台支持不同类型的报警级别，不同级别的报警需要发出对应级别的报警消息；支持邮件、短信、微信、钉钉、Teams及webhook等工具接收告警消息；</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24、提供2年的远程运维服务，服务内容包括： 7*24小时，400客服电话支持；软件迭代补丁和安全修复补丁升级；重大问题故障研发专家技术支持；</w:t>
            </w:r>
          </w:p>
        </w:tc>
        <w:tc>
          <w:tcPr>
            <w:tcW w:w="1006" w:type="dxa"/>
            <w:tcBorders>
              <w:top w:val="single" w:color="000000" w:sz="4" w:space="0"/>
              <w:left w:val="single" w:color="000000" w:sz="4" w:space="0"/>
              <w:bottom w:val="single" w:color="000000" w:sz="4" w:space="0"/>
              <w:right w:val="single" w:color="000000" w:sz="4" w:space="0"/>
            </w:tcBorders>
            <w:vAlign w:val="center"/>
          </w:tcPr>
          <w:p w14:paraId="6D7651F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台</w:t>
            </w:r>
          </w:p>
        </w:tc>
        <w:tc>
          <w:tcPr>
            <w:tcW w:w="1006" w:type="dxa"/>
            <w:tcBorders>
              <w:top w:val="single" w:color="000000" w:sz="4" w:space="0"/>
              <w:left w:val="single" w:color="000000" w:sz="4" w:space="0"/>
              <w:bottom w:val="single" w:color="000000" w:sz="4" w:space="0"/>
              <w:right w:val="single" w:color="000000" w:sz="4" w:space="0"/>
            </w:tcBorders>
            <w:vAlign w:val="center"/>
          </w:tcPr>
          <w:p w14:paraId="1057649F">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 xml:space="preserve">2 </w:t>
            </w:r>
          </w:p>
        </w:tc>
      </w:tr>
      <w:tr w14:paraId="55CF33CC">
        <w:tblPrEx>
          <w:tblCellMar>
            <w:top w:w="0" w:type="dxa"/>
            <w:left w:w="108" w:type="dxa"/>
            <w:bottom w:w="0" w:type="dxa"/>
            <w:right w:w="108" w:type="dxa"/>
          </w:tblCellMar>
        </w:tblPrEx>
        <w:trPr>
          <w:trHeight w:val="480" w:hRule="atLeast"/>
        </w:trPr>
        <w:tc>
          <w:tcPr>
            <w:tcW w:w="1078" w:type="dxa"/>
            <w:vMerge w:val="continue"/>
            <w:tcBorders>
              <w:top w:val="single" w:color="000000" w:sz="4" w:space="0"/>
              <w:left w:val="single" w:color="000000" w:sz="4" w:space="0"/>
              <w:bottom w:val="single" w:color="000000" w:sz="4" w:space="0"/>
              <w:right w:val="single" w:color="000000" w:sz="4" w:space="0"/>
            </w:tcBorders>
            <w:vAlign w:val="center"/>
          </w:tcPr>
          <w:p w14:paraId="71D0DE0A">
            <w:pPr>
              <w:jc w:val="center"/>
              <w:rPr>
                <w:rFonts w:ascii="宋体" w:hAnsi="宋体" w:cs="宋体"/>
                <w:color w:val="auto"/>
                <w:szCs w:val="21"/>
                <w:highlight w:val="none"/>
              </w:rPr>
            </w:pPr>
          </w:p>
        </w:tc>
        <w:tc>
          <w:tcPr>
            <w:tcW w:w="1310" w:type="dxa"/>
            <w:vMerge w:val="continue"/>
            <w:tcBorders>
              <w:top w:val="single" w:color="000000" w:sz="4" w:space="0"/>
              <w:left w:val="single" w:color="000000" w:sz="4" w:space="0"/>
              <w:bottom w:val="single" w:color="000000" w:sz="4" w:space="0"/>
              <w:right w:val="single" w:color="000000" w:sz="4" w:space="0"/>
            </w:tcBorders>
            <w:vAlign w:val="center"/>
          </w:tcPr>
          <w:p w14:paraId="74F68CF9">
            <w:pPr>
              <w:jc w:val="center"/>
              <w:rPr>
                <w:rFonts w:ascii="宋体" w:hAnsi="宋体" w:cs="宋体"/>
                <w:color w:val="auto"/>
                <w:szCs w:val="21"/>
                <w:highlight w:val="none"/>
              </w:rPr>
            </w:pPr>
          </w:p>
        </w:tc>
        <w:tc>
          <w:tcPr>
            <w:tcW w:w="2089" w:type="dxa"/>
            <w:tcBorders>
              <w:top w:val="single" w:color="000000" w:sz="4" w:space="0"/>
              <w:left w:val="single" w:color="000000" w:sz="4" w:space="0"/>
              <w:bottom w:val="single" w:color="000000" w:sz="4" w:space="0"/>
              <w:right w:val="single" w:color="000000" w:sz="4" w:space="0"/>
            </w:tcBorders>
            <w:vAlign w:val="center"/>
          </w:tcPr>
          <w:p w14:paraId="0F56937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存储系统</w:t>
            </w:r>
          </w:p>
        </w:tc>
        <w:tc>
          <w:tcPr>
            <w:tcW w:w="7679" w:type="dxa"/>
            <w:tcBorders>
              <w:top w:val="single" w:color="000000" w:sz="4" w:space="0"/>
              <w:left w:val="single" w:color="000000" w:sz="4" w:space="0"/>
              <w:bottom w:val="single" w:color="000000" w:sz="4" w:space="0"/>
              <w:right w:val="single" w:color="000000" w:sz="4" w:space="0"/>
            </w:tcBorders>
            <w:vAlign w:val="center"/>
          </w:tcPr>
          <w:p w14:paraId="18E2FD0C">
            <w:pPr>
              <w:widowControl/>
              <w:textAlignment w:val="center"/>
              <w:rPr>
                <w:rFonts w:ascii="宋体" w:hAnsi="宋体" w:cs="宋体"/>
                <w:color w:val="auto"/>
                <w:szCs w:val="21"/>
                <w:highlight w:val="none"/>
              </w:rPr>
            </w:pPr>
            <w:r>
              <w:rPr>
                <w:rFonts w:hint="eastAsia" w:ascii="宋体" w:hAnsi="宋体" w:cs="宋体"/>
                <w:color w:val="auto"/>
                <w:kern w:val="0"/>
                <w:szCs w:val="21"/>
                <w:highlight w:val="none"/>
              </w:rPr>
              <w:t>1、国产存储厂商，非OEM或者贴牌</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2、采用≤2U存储系统，配置≥2个控制器，采用控制器冗余设计，支持在线更换控制器；</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3、具备控制器故障自动切换和自动重建功能，无单点故障影响数据的有效性；</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4、采用内置SSD盘作为存储系统盘，非机械硬盘做Raid模式；同时系统盘可以做cache数据掉电保护；</w:t>
            </w:r>
            <w:r>
              <w:rPr>
                <w:rFonts w:hint="eastAsia" w:ascii="宋体" w:hAnsi="宋体" w:cs="宋体"/>
                <w:color w:val="auto"/>
                <w:kern w:val="0"/>
                <w:szCs w:val="21"/>
                <w:highlight w:val="none"/>
              </w:rPr>
              <w:br w:type="textWrapping"/>
            </w:r>
            <w:r>
              <w:rPr>
                <w:rFonts w:hint="eastAsia" w:ascii="宋体" w:hAnsi="宋体" w:cs="宋体"/>
                <w:b/>
                <w:bCs/>
                <w:color w:val="auto"/>
                <w:kern w:val="0"/>
                <w:szCs w:val="21"/>
                <w:highlight w:val="none"/>
              </w:rPr>
              <w:t>▲5、配置1Gbps ISCSI主机端口≥8个，≥4个16Gb FC主机接口；</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6、每个控制器提供3个可拔插的前端主机插槽；</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7、支持缓存保护，并配置BBU电池保护模组，支持2次备电，保证掉电时Cache数据可安全写入Flash或硬盘永久保存，可以支撑2次以上的数据备份时间，实现无限时断电保护Cache数据的目的；</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8、双控配置高速缓存≥32GB（缓存不包含SSD磁盘、PCI-E SSD、闪存、压缩或重删缓存和NAS控制器缓存）</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9、配置6块4TB 7.2K SAS硬盘；</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10、所有磁盘可同时配置为RAID0/1/5/6/10/50/60，且可共存；</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11、配置图形界面管理软件，支持多种语言（至少包括简体中文和英文），支持多台设备集中管理，支持存储资源管理分析和资源使用历史记录分析，支持性能管理等功能，支持WEB管理，支持CLI管理。支持多种事件通知功能；</w:t>
            </w:r>
            <w:r>
              <w:rPr>
                <w:rFonts w:hint="eastAsia" w:ascii="宋体" w:hAnsi="宋体" w:cs="宋体"/>
                <w:color w:val="auto"/>
                <w:kern w:val="0"/>
                <w:szCs w:val="21"/>
                <w:highlight w:val="none"/>
              </w:rPr>
              <w:br w:type="textWrapping"/>
            </w:r>
            <w:r>
              <w:rPr>
                <w:rFonts w:hint="eastAsia" w:ascii="宋体" w:hAnsi="宋体" w:cs="宋体"/>
                <w:b/>
                <w:bCs/>
                <w:color w:val="auto"/>
                <w:kern w:val="0"/>
                <w:szCs w:val="21"/>
                <w:highlight w:val="none"/>
              </w:rPr>
              <w:t>▲12、配置全容量许可精简功能，实现存储空间超分配，精简粒度32K、64K、128K、256K可调节，后续扩容</w:t>
            </w:r>
            <w:r>
              <w:rPr>
                <w:rFonts w:hint="eastAsia" w:ascii="宋体" w:hAnsi="宋体" w:cs="宋体"/>
                <w:b/>
                <w:bCs/>
                <w:color w:val="auto"/>
                <w:kern w:val="0"/>
                <w:szCs w:val="21"/>
                <w:highlight w:val="none"/>
                <w:lang w:eastAsia="zh-CN"/>
              </w:rPr>
              <w:t>无需另外</w:t>
            </w:r>
            <w:r>
              <w:rPr>
                <w:rFonts w:hint="eastAsia" w:ascii="宋体" w:hAnsi="宋体" w:cs="宋体"/>
                <w:b/>
                <w:bCs/>
                <w:color w:val="auto"/>
                <w:kern w:val="0"/>
                <w:szCs w:val="21"/>
                <w:highlight w:val="none"/>
              </w:rPr>
              <w:t>购买许可，支持创建单卷≥256TB的容量配置全容量许可的克隆功能，后续扩容</w:t>
            </w:r>
            <w:r>
              <w:rPr>
                <w:rFonts w:hint="eastAsia" w:ascii="宋体" w:hAnsi="宋体" w:cs="宋体"/>
                <w:b/>
                <w:bCs/>
                <w:color w:val="auto"/>
                <w:kern w:val="0"/>
                <w:szCs w:val="21"/>
                <w:highlight w:val="none"/>
                <w:lang w:eastAsia="zh-CN"/>
              </w:rPr>
              <w:t>无需另外</w:t>
            </w:r>
            <w:r>
              <w:rPr>
                <w:rFonts w:hint="eastAsia" w:ascii="宋体" w:hAnsi="宋体" w:cs="宋体"/>
                <w:b/>
                <w:bCs/>
                <w:color w:val="auto"/>
                <w:kern w:val="0"/>
                <w:szCs w:val="21"/>
                <w:highlight w:val="none"/>
              </w:rPr>
              <w:t>购买许可；</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13、配置全容量许可快照功能，有效预防各种软故障的发生，快照无需预留空间，后续扩容</w:t>
            </w:r>
            <w:r>
              <w:rPr>
                <w:rFonts w:hint="eastAsia" w:ascii="宋体" w:hAnsi="宋体" w:cs="宋体"/>
                <w:color w:val="auto"/>
                <w:kern w:val="0"/>
                <w:szCs w:val="21"/>
                <w:highlight w:val="none"/>
                <w:lang w:eastAsia="zh-CN"/>
              </w:rPr>
              <w:t>无需另外</w:t>
            </w:r>
            <w:r>
              <w:rPr>
                <w:rFonts w:hint="eastAsia" w:ascii="宋体" w:hAnsi="宋体" w:cs="宋体"/>
                <w:color w:val="auto"/>
                <w:kern w:val="0"/>
                <w:szCs w:val="21"/>
                <w:highlight w:val="none"/>
              </w:rPr>
              <w:t>购买许可；</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14、配置全容量许可卷备份功能，有效预防各种软故障的发生，无需预留空间，后续扩容</w:t>
            </w:r>
            <w:r>
              <w:rPr>
                <w:rFonts w:hint="eastAsia" w:ascii="宋体" w:hAnsi="宋体" w:cs="宋体"/>
                <w:color w:val="auto"/>
                <w:kern w:val="0"/>
                <w:szCs w:val="21"/>
                <w:highlight w:val="none"/>
                <w:lang w:eastAsia="zh-CN"/>
              </w:rPr>
              <w:t>无需另外</w:t>
            </w:r>
            <w:r>
              <w:rPr>
                <w:rFonts w:hint="eastAsia" w:ascii="宋体" w:hAnsi="宋体" w:cs="宋体"/>
                <w:color w:val="auto"/>
                <w:kern w:val="0"/>
                <w:szCs w:val="21"/>
                <w:highlight w:val="none"/>
              </w:rPr>
              <w:t>购买许可；支持将快照直接备份到二级存储；</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15、配置存储QoS授权许可，支持单卷的IOPS、Bandwidth的限制设定；</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16、配置卷镜像功能，可实现存储内部，或者不同存储之间的数据同步功能，当其中一个卷离线时，可实现业务无中断，后续扩容</w:t>
            </w:r>
            <w:r>
              <w:rPr>
                <w:rFonts w:hint="eastAsia" w:ascii="宋体" w:hAnsi="宋体" w:cs="宋体"/>
                <w:color w:val="auto"/>
                <w:kern w:val="0"/>
                <w:szCs w:val="21"/>
                <w:highlight w:val="none"/>
                <w:lang w:eastAsia="zh-CN"/>
              </w:rPr>
              <w:t>无需另外</w:t>
            </w:r>
            <w:r>
              <w:rPr>
                <w:rFonts w:hint="eastAsia" w:ascii="宋体" w:hAnsi="宋体" w:cs="宋体"/>
                <w:color w:val="auto"/>
                <w:kern w:val="0"/>
                <w:szCs w:val="21"/>
                <w:highlight w:val="none"/>
              </w:rPr>
              <w:t>购买许可；</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17、配置性能监控和分析软件，配置高级图形化报表软件，可以定制历史运行数据的图形化报表；</w:t>
            </w:r>
            <w:r>
              <w:rPr>
                <w:rFonts w:hint="eastAsia" w:ascii="宋体" w:hAnsi="宋体" w:cs="宋体"/>
                <w:color w:val="auto"/>
                <w:kern w:val="0"/>
                <w:szCs w:val="21"/>
                <w:highlight w:val="none"/>
              </w:rPr>
              <w:br w:type="textWrapping"/>
            </w:r>
            <w:r>
              <w:rPr>
                <w:rFonts w:hint="eastAsia" w:ascii="宋体" w:hAnsi="宋体" w:cs="宋体"/>
                <w:b/>
                <w:bCs/>
                <w:color w:val="auto"/>
                <w:kern w:val="0"/>
                <w:szCs w:val="21"/>
                <w:highlight w:val="none"/>
              </w:rPr>
              <w:t>▲18、支持存储虚拟化功能，可以整合现有异构厂商的存储阵列，通过虚拟化功能将存储资源统一管理和分配；接管异构存储厂商的空间后，可以把异构空间作为存储的RAID资源池，并且资源池可以划分多个卷对主机提供存储服务；支持异构存储数据在线无缝迁移到本地存储上，提供安全高效的数据迁移服务；</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19、提供原厂家的项目管理、现场安装、配置及实施服务，设备原厂商提供配件至少2年质保和1年7*24小时现场保修服务, 包括硬件保修电话支持、现场支持、软件升级；</w:t>
            </w:r>
          </w:p>
        </w:tc>
        <w:tc>
          <w:tcPr>
            <w:tcW w:w="1006" w:type="dxa"/>
            <w:tcBorders>
              <w:top w:val="single" w:color="000000" w:sz="4" w:space="0"/>
              <w:left w:val="single" w:color="000000" w:sz="4" w:space="0"/>
              <w:bottom w:val="single" w:color="000000" w:sz="4" w:space="0"/>
              <w:right w:val="single" w:color="000000" w:sz="4" w:space="0"/>
            </w:tcBorders>
            <w:vAlign w:val="center"/>
          </w:tcPr>
          <w:p w14:paraId="4AA6ADF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台</w:t>
            </w:r>
          </w:p>
        </w:tc>
        <w:tc>
          <w:tcPr>
            <w:tcW w:w="1006" w:type="dxa"/>
            <w:tcBorders>
              <w:top w:val="single" w:color="000000" w:sz="4" w:space="0"/>
              <w:left w:val="single" w:color="000000" w:sz="4" w:space="0"/>
              <w:bottom w:val="single" w:color="000000" w:sz="4" w:space="0"/>
              <w:right w:val="single" w:color="000000" w:sz="4" w:space="0"/>
            </w:tcBorders>
            <w:vAlign w:val="center"/>
          </w:tcPr>
          <w:p w14:paraId="58EA67F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 xml:space="preserve">1 </w:t>
            </w:r>
          </w:p>
        </w:tc>
      </w:tr>
      <w:tr w14:paraId="6AD0F30F">
        <w:tblPrEx>
          <w:tblCellMar>
            <w:top w:w="0" w:type="dxa"/>
            <w:left w:w="108" w:type="dxa"/>
            <w:bottom w:w="0" w:type="dxa"/>
            <w:right w:w="108" w:type="dxa"/>
          </w:tblCellMar>
        </w:tblPrEx>
        <w:trPr>
          <w:trHeight w:val="480" w:hRule="atLeast"/>
        </w:trPr>
        <w:tc>
          <w:tcPr>
            <w:tcW w:w="1078" w:type="dxa"/>
            <w:vMerge w:val="continue"/>
            <w:tcBorders>
              <w:top w:val="single" w:color="000000" w:sz="4" w:space="0"/>
              <w:left w:val="single" w:color="000000" w:sz="4" w:space="0"/>
              <w:bottom w:val="single" w:color="000000" w:sz="4" w:space="0"/>
              <w:right w:val="single" w:color="000000" w:sz="4" w:space="0"/>
            </w:tcBorders>
            <w:vAlign w:val="center"/>
          </w:tcPr>
          <w:p w14:paraId="1AD0334E">
            <w:pPr>
              <w:jc w:val="center"/>
              <w:rPr>
                <w:rFonts w:ascii="宋体" w:hAnsi="宋体" w:cs="宋体"/>
                <w:color w:val="auto"/>
                <w:szCs w:val="21"/>
                <w:highlight w:val="none"/>
              </w:rPr>
            </w:pPr>
          </w:p>
        </w:tc>
        <w:tc>
          <w:tcPr>
            <w:tcW w:w="1310" w:type="dxa"/>
            <w:vMerge w:val="continue"/>
            <w:tcBorders>
              <w:top w:val="single" w:color="000000" w:sz="4" w:space="0"/>
              <w:left w:val="single" w:color="000000" w:sz="4" w:space="0"/>
              <w:bottom w:val="single" w:color="000000" w:sz="4" w:space="0"/>
              <w:right w:val="single" w:color="000000" w:sz="4" w:space="0"/>
            </w:tcBorders>
            <w:vAlign w:val="center"/>
          </w:tcPr>
          <w:p w14:paraId="4241CD61">
            <w:pPr>
              <w:jc w:val="center"/>
              <w:rPr>
                <w:rFonts w:ascii="宋体" w:hAnsi="宋体" w:cs="宋体"/>
                <w:color w:val="auto"/>
                <w:szCs w:val="21"/>
                <w:highlight w:val="none"/>
              </w:rPr>
            </w:pPr>
          </w:p>
        </w:tc>
        <w:tc>
          <w:tcPr>
            <w:tcW w:w="2089" w:type="dxa"/>
            <w:tcBorders>
              <w:top w:val="single" w:color="000000" w:sz="4" w:space="0"/>
              <w:left w:val="single" w:color="000000" w:sz="4" w:space="0"/>
              <w:bottom w:val="single" w:color="000000" w:sz="4" w:space="0"/>
              <w:right w:val="single" w:color="000000" w:sz="4" w:space="0"/>
            </w:tcBorders>
            <w:vAlign w:val="center"/>
          </w:tcPr>
          <w:p w14:paraId="08BD414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万兆交换机</w:t>
            </w:r>
          </w:p>
        </w:tc>
        <w:tc>
          <w:tcPr>
            <w:tcW w:w="7679" w:type="dxa"/>
            <w:tcBorders>
              <w:top w:val="single" w:color="000000" w:sz="4" w:space="0"/>
              <w:left w:val="single" w:color="000000" w:sz="4" w:space="0"/>
              <w:bottom w:val="single" w:color="000000" w:sz="4" w:space="0"/>
              <w:right w:val="single" w:color="000000" w:sz="4" w:space="0"/>
            </w:tcBorders>
            <w:vAlign w:val="center"/>
          </w:tcPr>
          <w:p w14:paraId="49573585">
            <w:pPr>
              <w:widowControl/>
              <w:textAlignment w:val="center"/>
              <w:rPr>
                <w:rFonts w:ascii="宋体" w:hAnsi="宋体" w:cs="宋体"/>
                <w:color w:val="auto"/>
                <w:szCs w:val="21"/>
                <w:highlight w:val="none"/>
              </w:rPr>
            </w:pPr>
            <w:r>
              <w:rPr>
                <w:rFonts w:hint="eastAsia" w:ascii="宋体" w:hAnsi="宋体" w:cs="宋体"/>
                <w:b/>
                <w:bCs/>
                <w:color w:val="auto"/>
                <w:kern w:val="0"/>
                <w:szCs w:val="21"/>
                <w:highlight w:val="none"/>
              </w:rPr>
              <w:t>▲1、交换能力：交换容量≥2.56Tbps，三层包转发率≥720Mpps；</w:t>
            </w:r>
            <w:r>
              <w:rPr>
                <w:rFonts w:hint="eastAsia" w:ascii="宋体" w:hAnsi="宋体" w:cs="宋体"/>
                <w:b/>
                <w:bCs/>
                <w:color w:val="auto"/>
                <w:kern w:val="0"/>
                <w:szCs w:val="21"/>
                <w:highlight w:val="none"/>
              </w:rPr>
              <w:br w:type="textWrapping"/>
            </w:r>
            <w:r>
              <w:rPr>
                <w:rFonts w:hint="eastAsia" w:ascii="宋体" w:hAnsi="宋体" w:cs="宋体"/>
                <w:b/>
                <w:bCs/>
                <w:color w:val="auto"/>
                <w:kern w:val="0"/>
                <w:szCs w:val="21"/>
                <w:highlight w:val="none"/>
              </w:rPr>
              <w:t>▲2、硬件芯片：国产以太网交换芯片；</w:t>
            </w:r>
            <w:r>
              <w:rPr>
                <w:rFonts w:hint="eastAsia" w:ascii="宋体" w:hAnsi="宋体" w:cs="宋体"/>
                <w:b/>
                <w:bCs/>
                <w:color w:val="auto"/>
                <w:kern w:val="0"/>
                <w:szCs w:val="21"/>
                <w:highlight w:val="none"/>
              </w:rPr>
              <w:br w:type="textWrapping"/>
            </w:r>
            <w:r>
              <w:rPr>
                <w:rFonts w:hint="eastAsia" w:ascii="宋体" w:hAnsi="宋体" w:cs="宋体"/>
                <w:b/>
                <w:bCs/>
                <w:color w:val="auto"/>
                <w:kern w:val="0"/>
                <w:szCs w:val="21"/>
                <w:highlight w:val="none"/>
              </w:rPr>
              <w:t>▲3、固定接口要求：16个10/100/1000Base-T电口，20个1G/10G SFP+ 端口，8个10G/25G SFP28端口；提供12个10Gb多模光模块，及配套线缆；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4、接口扩展性要求：≥2个扩展插槽；</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5、最大功耗≤100W；</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6、最大MAC地址≥80K，支持4K VLAN，支持QinQ、支持STP/RSTP/MSTP，支持端口镜像，流镜像及远程端口镜像，支持Jumbo≥9K；</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7、路由表≥48K，支持IPv4静态路由，RIPv1&amp;v2，OSPF，BGP，ECMP，PBR；支持IPv6静态路由，OSPF V3，RIPng，ICMPv6，NDP，PMTU；</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8、支持N：M镜像，N和M无数量限制；</w:t>
            </w:r>
            <w:r>
              <w:rPr>
                <w:rFonts w:hint="eastAsia" w:ascii="宋体" w:hAnsi="宋体" w:cs="宋体"/>
                <w:color w:val="auto"/>
                <w:kern w:val="0"/>
                <w:szCs w:val="21"/>
                <w:highlight w:val="none"/>
              </w:rPr>
              <w:br w:type="textWrapping"/>
            </w:r>
            <w:r>
              <w:rPr>
                <w:rFonts w:hint="eastAsia" w:ascii="宋体" w:hAnsi="宋体" w:cs="宋体"/>
                <w:b/>
                <w:bCs/>
                <w:color w:val="auto"/>
                <w:kern w:val="0"/>
                <w:szCs w:val="21"/>
                <w:highlight w:val="none"/>
              </w:rPr>
              <w:t>▲9、支持M-LAG技术，实现多台设备间的链路聚合；</w:t>
            </w:r>
            <w:r>
              <w:rPr>
                <w:rFonts w:hint="eastAsia" w:ascii="宋体" w:hAnsi="宋体" w:cs="宋体"/>
                <w:b/>
                <w:bCs/>
                <w:color w:val="auto"/>
                <w:kern w:val="0"/>
                <w:szCs w:val="21"/>
                <w:highlight w:val="none"/>
              </w:rPr>
              <w:br w:type="textWrapping"/>
            </w:r>
            <w:r>
              <w:rPr>
                <w:rFonts w:hint="eastAsia" w:ascii="宋体" w:hAnsi="宋体" w:cs="宋体"/>
                <w:color w:val="auto"/>
                <w:kern w:val="0"/>
                <w:szCs w:val="21"/>
                <w:highlight w:val="none"/>
              </w:rPr>
              <w:t>10、支持VARP技术，实现网关双活，满足三层负载均衡转发要求；</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11、BGP协议支持MD5加密，BGP协议支持SM3国密加密；</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12、支持IP SLA，与静态路由结合，可用于测量网络性能；</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13、支持VxLAN二层/三层网关，支持VXLAN tunnel，支持VXLAN 路由，支持BGP EVPN；</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14、实配可热插拔的冗余电源，实现1:1冗余；</w:t>
            </w:r>
          </w:p>
        </w:tc>
        <w:tc>
          <w:tcPr>
            <w:tcW w:w="1006" w:type="dxa"/>
            <w:tcBorders>
              <w:top w:val="single" w:color="000000" w:sz="4" w:space="0"/>
              <w:left w:val="single" w:color="000000" w:sz="4" w:space="0"/>
              <w:bottom w:val="single" w:color="000000" w:sz="4" w:space="0"/>
              <w:right w:val="single" w:color="000000" w:sz="4" w:space="0"/>
            </w:tcBorders>
            <w:vAlign w:val="center"/>
          </w:tcPr>
          <w:p w14:paraId="06DBFB4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台</w:t>
            </w:r>
          </w:p>
        </w:tc>
        <w:tc>
          <w:tcPr>
            <w:tcW w:w="1006" w:type="dxa"/>
            <w:tcBorders>
              <w:top w:val="single" w:color="000000" w:sz="4" w:space="0"/>
              <w:left w:val="single" w:color="000000" w:sz="4" w:space="0"/>
              <w:bottom w:val="single" w:color="000000" w:sz="4" w:space="0"/>
              <w:right w:val="single" w:color="000000" w:sz="4" w:space="0"/>
            </w:tcBorders>
            <w:vAlign w:val="center"/>
          </w:tcPr>
          <w:p w14:paraId="11EB8E8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 xml:space="preserve">2 </w:t>
            </w:r>
          </w:p>
        </w:tc>
      </w:tr>
      <w:tr w14:paraId="229EC02B">
        <w:tblPrEx>
          <w:tblCellMar>
            <w:top w:w="0" w:type="dxa"/>
            <w:left w:w="108" w:type="dxa"/>
            <w:bottom w:w="0" w:type="dxa"/>
            <w:right w:w="108" w:type="dxa"/>
          </w:tblCellMar>
        </w:tblPrEx>
        <w:trPr>
          <w:trHeight w:val="480" w:hRule="atLeast"/>
        </w:trPr>
        <w:tc>
          <w:tcPr>
            <w:tcW w:w="1078" w:type="dxa"/>
            <w:vMerge w:val="continue"/>
            <w:tcBorders>
              <w:top w:val="single" w:color="000000" w:sz="4" w:space="0"/>
              <w:left w:val="single" w:color="000000" w:sz="4" w:space="0"/>
              <w:bottom w:val="single" w:color="000000" w:sz="4" w:space="0"/>
              <w:right w:val="single" w:color="000000" w:sz="4" w:space="0"/>
            </w:tcBorders>
            <w:vAlign w:val="center"/>
          </w:tcPr>
          <w:p w14:paraId="6B8DB32A">
            <w:pPr>
              <w:jc w:val="center"/>
              <w:rPr>
                <w:rFonts w:ascii="宋体" w:hAnsi="宋体" w:cs="宋体"/>
                <w:color w:val="auto"/>
                <w:szCs w:val="21"/>
                <w:highlight w:val="none"/>
              </w:rPr>
            </w:pPr>
          </w:p>
        </w:tc>
        <w:tc>
          <w:tcPr>
            <w:tcW w:w="1310" w:type="dxa"/>
            <w:vMerge w:val="continue"/>
            <w:tcBorders>
              <w:top w:val="single" w:color="000000" w:sz="4" w:space="0"/>
              <w:left w:val="single" w:color="000000" w:sz="4" w:space="0"/>
              <w:bottom w:val="single" w:color="000000" w:sz="4" w:space="0"/>
              <w:right w:val="single" w:color="000000" w:sz="4" w:space="0"/>
            </w:tcBorders>
            <w:vAlign w:val="center"/>
          </w:tcPr>
          <w:p w14:paraId="7914AA3A">
            <w:pPr>
              <w:jc w:val="center"/>
              <w:rPr>
                <w:rFonts w:ascii="宋体" w:hAnsi="宋体" w:cs="宋体"/>
                <w:color w:val="auto"/>
                <w:szCs w:val="21"/>
                <w:highlight w:val="none"/>
              </w:rPr>
            </w:pPr>
          </w:p>
        </w:tc>
        <w:tc>
          <w:tcPr>
            <w:tcW w:w="2089" w:type="dxa"/>
            <w:tcBorders>
              <w:top w:val="single" w:color="000000" w:sz="4" w:space="0"/>
              <w:left w:val="single" w:color="000000" w:sz="4" w:space="0"/>
              <w:bottom w:val="single" w:color="000000" w:sz="4" w:space="0"/>
              <w:right w:val="single" w:color="000000" w:sz="4" w:space="0"/>
            </w:tcBorders>
            <w:vAlign w:val="center"/>
          </w:tcPr>
          <w:p w14:paraId="1C7EDA2B">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千兆交换机</w:t>
            </w:r>
          </w:p>
        </w:tc>
        <w:tc>
          <w:tcPr>
            <w:tcW w:w="7679" w:type="dxa"/>
            <w:tcBorders>
              <w:top w:val="single" w:color="000000" w:sz="4" w:space="0"/>
              <w:left w:val="single" w:color="000000" w:sz="4" w:space="0"/>
              <w:bottom w:val="single" w:color="000000" w:sz="4" w:space="0"/>
              <w:right w:val="single" w:color="000000" w:sz="4" w:space="0"/>
            </w:tcBorders>
            <w:vAlign w:val="center"/>
          </w:tcPr>
          <w:p w14:paraId="67EB298C">
            <w:pPr>
              <w:widowControl/>
              <w:textAlignment w:val="center"/>
              <w:rPr>
                <w:rFonts w:ascii="宋体" w:hAnsi="宋体" w:cs="宋体"/>
                <w:color w:val="auto"/>
                <w:szCs w:val="21"/>
                <w:highlight w:val="none"/>
              </w:rPr>
            </w:pPr>
            <w:r>
              <w:rPr>
                <w:rFonts w:hint="eastAsia" w:ascii="宋体" w:hAnsi="宋体" w:cs="宋体"/>
                <w:b/>
                <w:bCs/>
                <w:color w:val="auto"/>
                <w:kern w:val="0"/>
                <w:szCs w:val="21"/>
                <w:highlight w:val="none"/>
              </w:rPr>
              <w:t>▲1、交换能力：交换容量 368Gbps,三层包转发率≥ 126Mpps；</w:t>
            </w:r>
            <w:r>
              <w:rPr>
                <w:rFonts w:hint="eastAsia" w:ascii="宋体" w:hAnsi="宋体" w:cs="宋体"/>
                <w:b/>
                <w:bCs/>
                <w:color w:val="auto"/>
                <w:kern w:val="0"/>
                <w:szCs w:val="21"/>
                <w:highlight w:val="none"/>
              </w:rPr>
              <w:br w:type="textWrapping"/>
            </w:r>
            <w:r>
              <w:rPr>
                <w:rFonts w:hint="eastAsia" w:ascii="宋体" w:hAnsi="宋体" w:cs="宋体"/>
                <w:b/>
                <w:bCs/>
                <w:color w:val="auto"/>
                <w:kern w:val="0"/>
                <w:szCs w:val="21"/>
                <w:highlight w:val="none"/>
              </w:rPr>
              <w:t>▲2、固定接口配置要求：≥24个10/100/1000 RJ45 电口，≥4个10G SFP+ 端口；含千兆多模光模块8个、六类非屏蔽网线跳线4根；</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3、二层功能：最大MAC地址≥16K，支持4K VLAN，支持STP/RSTP/MSTP，支持本地镜像及远程镜像；</w:t>
            </w:r>
            <w:r>
              <w:rPr>
                <w:rFonts w:hint="eastAsia" w:ascii="宋体" w:hAnsi="宋体" w:cs="宋体"/>
                <w:color w:val="auto"/>
                <w:kern w:val="0"/>
                <w:szCs w:val="21"/>
                <w:highlight w:val="none"/>
              </w:rPr>
              <w:br w:type="textWrapping"/>
            </w:r>
            <w:r>
              <w:rPr>
                <w:rFonts w:hint="eastAsia" w:ascii="宋体" w:hAnsi="宋体" w:cs="宋体"/>
                <w:b/>
                <w:bCs/>
                <w:color w:val="auto"/>
                <w:kern w:val="0"/>
                <w:szCs w:val="21"/>
                <w:highlight w:val="none"/>
              </w:rPr>
              <w:t xml:space="preserve">▲4、三层功能：IPv4 路由表≥1K； 支持IPv4静态路由，RIPv1&amp;v2，OSPFv2， ECMP，ICMP、策略路由， VRF ; 支持IPv6静态路由， RIPng，OSPF V3，ICMPv6，NDP，ICMPv6等；  </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5、组播协议：支持IGMP snooping v1v2v3，IGMP Proxy，Fast leave，Layer 2 Static Multicast等；</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6、可靠性：支持M-LAG技术，将多台物理机箱组成 1 台虚拟交换机，实现多台设备间的链路聚合，从而把链路可靠性从单板级提高到了设备级，组成双活系统；支持VARP；支持Smart Link或等同的技术，确保上联核心设备的备份线路可以在&lt;50ms的时间内恢复；</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7、DHCP：支持DHCP Snooping，支持DHCP Server/DHCP Client/DHCP Relay，支持option82</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8、安全：支持dot1X认证、AAA认证，支持Radius、TACACS+认证，支持CPU防攻击；</w:t>
            </w:r>
          </w:p>
        </w:tc>
        <w:tc>
          <w:tcPr>
            <w:tcW w:w="1006" w:type="dxa"/>
            <w:tcBorders>
              <w:top w:val="single" w:color="000000" w:sz="4" w:space="0"/>
              <w:left w:val="single" w:color="000000" w:sz="4" w:space="0"/>
              <w:bottom w:val="single" w:color="000000" w:sz="4" w:space="0"/>
              <w:right w:val="single" w:color="000000" w:sz="4" w:space="0"/>
            </w:tcBorders>
            <w:vAlign w:val="center"/>
          </w:tcPr>
          <w:p w14:paraId="390FA78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台</w:t>
            </w:r>
          </w:p>
        </w:tc>
        <w:tc>
          <w:tcPr>
            <w:tcW w:w="1006" w:type="dxa"/>
            <w:tcBorders>
              <w:top w:val="single" w:color="000000" w:sz="4" w:space="0"/>
              <w:left w:val="single" w:color="000000" w:sz="4" w:space="0"/>
              <w:bottom w:val="single" w:color="000000" w:sz="4" w:space="0"/>
              <w:right w:val="single" w:color="000000" w:sz="4" w:space="0"/>
            </w:tcBorders>
            <w:vAlign w:val="center"/>
          </w:tcPr>
          <w:p w14:paraId="6609963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 xml:space="preserve">1 </w:t>
            </w:r>
          </w:p>
        </w:tc>
      </w:tr>
      <w:tr w14:paraId="4D8228C9">
        <w:tblPrEx>
          <w:tblCellMar>
            <w:top w:w="0" w:type="dxa"/>
            <w:left w:w="108" w:type="dxa"/>
            <w:bottom w:w="0" w:type="dxa"/>
            <w:right w:w="108" w:type="dxa"/>
          </w:tblCellMar>
        </w:tblPrEx>
        <w:trPr>
          <w:trHeight w:val="480" w:hRule="atLeast"/>
        </w:trPr>
        <w:tc>
          <w:tcPr>
            <w:tcW w:w="1078" w:type="dxa"/>
            <w:vMerge w:val="continue"/>
            <w:tcBorders>
              <w:top w:val="single" w:color="000000" w:sz="4" w:space="0"/>
              <w:left w:val="single" w:color="000000" w:sz="4" w:space="0"/>
              <w:bottom w:val="single" w:color="000000" w:sz="4" w:space="0"/>
              <w:right w:val="single" w:color="000000" w:sz="4" w:space="0"/>
            </w:tcBorders>
            <w:vAlign w:val="center"/>
          </w:tcPr>
          <w:p w14:paraId="18CA04D1">
            <w:pPr>
              <w:jc w:val="center"/>
              <w:rPr>
                <w:rFonts w:ascii="宋体" w:hAnsi="宋体" w:cs="宋体"/>
                <w:color w:val="auto"/>
                <w:szCs w:val="21"/>
                <w:highlight w:val="none"/>
              </w:rPr>
            </w:pPr>
          </w:p>
        </w:tc>
        <w:tc>
          <w:tcPr>
            <w:tcW w:w="1310" w:type="dxa"/>
            <w:vMerge w:val="continue"/>
            <w:tcBorders>
              <w:top w:val="single" w:color="000000" w:sz="4" w:space="0"/>
              <w:left w:val="single" w:color="000000" w:sz="4" w:space="0"/>
              <w:bottom w:val="single" w:color="000000" w:sz="4" w:space="0"/>
              <w:right w:val="single" w:color="000000" w:sz="4" w:space="0"/>
            </w:tcBorders>
            <w:vAlign w:val="center"/>
          </w:tcPr>
          <w:p w14:paraId="346C711A">
            <w:pPr>
              <w:jc w:val="center"/>
              <w:rPr>
                <w:rFonts w:ascii="宋体" w:hAnsi="宋体" w:cs="宋体"/>
                <w:color w:val="auto"/>
                <w:szCs w:val="21"/>
                <w:highlight w:val="none"/>
              </w:rPr>
            </w:pPr>
          </w:p>
        </w:tc>
        <w:tc>
          <w:tcPr>
            <w:tcW w:w="2089" w:type="dxa"/>
            <w:tcBorders>
              <w:top w:val="single" w:color="000000" w:sz="4" w:space="0"/>
              <w:left w:val="single" w:color="000000" w:sz="4" w:space="0"/>
              <w:bottom w:val="single" w:color="000000" w:sz="4" w:space="0"/>
              <w:right w:val="single" w:color="000000" w:sz="4" w:space="0"/>
            </w:tcBorders>
            <w:vAlign w:val="center"/>
          </w:tcPr>
          <w:p w14:paraId="0D860DD7">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lang w:val="en-US" w:eastAsia="zh-CN"/>
              </w:rPr>
              <w:t>基础运行支撑环境升级服务</w:t>
            </w:r>
          </w:p>
        </w:tc>
        <w:tc>
          <w:tcPr>
            <w:tcW w:w="7679" w:type="dxa"/>
            <w:tcBorders>
              <w:top w:val="single" w:color="000000" w:sz="4" w:space="0"/>
              <w:left w:val="single" w:color="000000" w:sz="4" w:space="0"/>
              <w:bottom w:val="single" w:color="000000" w:sz="4" w:space="0"/>
              <w:right w:val="single" w:color="000000" w:sz="4" w:space="0"/>
            </w:tcBorders>
            <w:vAlign w:val="center"/>
          </w:tcPr>
          <w:p w14:paraId="700ABC7E">
            <w:pPr>
              <w:widowControl/>
              <w:textAlignment w:val="center"/>
              <w:rPr>
                <w:rFonts w:ascii="宋体" w:hAnsi="宋体" w:cs="宋体"/>
                <w:color w:val="auto"/>
                <w:szCs w:val="21"/>
                <w:highlight w:val="none"/>
              </w:rPr>
            </w:pPr>
            <w:r>
              <w:rPr>
                <w:rFonts w:hint="eastAsia" w:ascii="宋体" w:hAnsi="宋体" w:cs="宋体"/>
                <w:color w:val="auto"/>
                <w:kern w:val="0"/>
                <w:szCs w:val="21"/>
                <w:highlight w:val="none"/>
              </w:rPr>
              <w:t>1、提供国产化基础运行环境适配升级服务，支持飞腾、鲲鹏、龙芯、兆芯、海光、申威等</w:t>
            </w:r>
            <w:r>
              <w:rPr>
                <w:rFonts w:hint="eastAsia" w:ascii="宋体" w:hAnsi="宋体" w:cs="宋体"/>
                <w:color w:val="auto"/>
                <w:kern w:val="0"/>
                <w:szCs w:val="21"/>
                <w:highlight w:val="none"/>
                <w:lang w:bidi="ar"/>
              </w:rPr>
              <w:t>国产芯片平台</w:t>
            </w:r>
            <w:r>
              <w:rPr>
                <w:rFonts w:hint="eastAsia" w:ascii="宋体" w:hAnsi="宋体" w:cs="宋体"/>
                <w:color w:val="auto"/>
                <w:kern w:val="0"/>
                <w:szCs w:val="21"/>
                <w:highlight w:val="none"/>
              </w:rPr>
              <w:t>。</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2、</w:t>
            </w:r>
            <w:r>
              <w:rPr>
                <w:rFonts w:hint="eastAsia" w:ascii="宋体" w:hAnsi="宋体" w:cs="宋体"/>
                <w:color w:val="auto"/>
                <w:kern w:val="0"/>
                <w:szCs w:val="21"/>
                <w:highlight w:val="none"/>
                <w:lang w:bidi="ar"/>
              </w:rPr>
              <w:t>升级所采用的核心技术应具备</w:t>
            </w:r>
            <w:r>
              <w:rPr>
                <w:rFonts w:hint="eastAsia" w:ascii="宋体" w:hAnsi="宋体" w:cs="宋体"/>
                <w:color w:val="auto"/>
                <w:kern w:val="0"/>
                <w:szCs w:val="21"/>
                <w:highlight w:val="none"/>
              </w:rPr>
              <w:t>拥有自主知识产权</w:t>
            </w:r>
            <w:r>
              <w:rPr>
                <w:rFonts w:hint="eastAsia" w:ascii="宋体" w:hAnsi="宋体" w:cs="宋体"/>
                <w:color w:val="auto"/>
                <w:kern w:val="0"/>
                <w:szCs w:val="21"/>
                <w:highlight w:val="none"/>
                <w:lang w:bidi="ar"/>
              </w:rPr>
              <w:t>，并纳入</w:t>
            </w:r>
            <w:r>
              <w:rPr>
                <w:rFonts w:hint="eastAsia" w:ascii="宋体" w:hAnsi="宋体" w:cs="宋体"/>
                <w:color w:val="auto"/>
                <w:kern w:val="0"/>
                <w:szCs w:val="21"/>
                <w:highlight w:val="none"/>
              </w:rPr>
              <w:t>中国信息安全测评中心安全可靠测评结果公告。</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3、</w:t>
            </w:r>
            <w:r>
              <w:rPr>
                <w:rFonts w:hint="eastAsia" w:ascii="宋体" w:hAnsi="宋体" w:cs="宋体"/>
                <w:color w:val="auto"/>
                <w:kern w:val="0"/>
                <w:szCs w:val="21"/>
                <w:highlight w:val="none"/>
                <w:lang w:bidi="ar"/>
              </w:rPr>
              <w:t>提供基础运行环境安全合规升级服务，满足</w:t>
            </w:r>
            <w:r>
              <w:rPr>
                <w:rFonts w:hint="eastAsia" w:ascii="宋体" w:hAnsi="宋体" w:cs="宋体"/>
                <w:color w:val="auto"/>
                <w:kern w:val="0"/>
                <w:szCs w:val="21"/>
                <w:highlight w:val="none"/>
              </w:rPr>
              <w:t>GB 42250-2022</w:t>
            </w:r>
            <w:r>
              <w:rPr>
                <w:rFonts w:hint="eastAsia" w:ascii="宋体" w:hAnsi="宋体" w:cs="宋体"/>
                <w:color w:val="auto"/>
                <w:kern w:val="0"/>
                <w:szCs w:val="21"/>
                <w:highlight w:val="none"/>
                <w:lang w:val="en-US" w:eastAsia="zh-CN"/>
              </w:rPr>
              <w:t>要求</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并</w:t>
            </w:r>
            <w:r>
              <w:rPr>
                <w:rFonts w:hint="eastAsia" w:ascii="宋体" w:hAnsi="宋体" w:cs="宋体"/>
                <w:color w:val="auto"/>
                <w:kern w:val="0"/>
                <w:szCs w:val="21"/>
                <w:highlight w:val="none"/>
              </w:rPr>
              <w:t>具备</w:t>
            </w:r>
            <w:r>
              <w:rPr>
                <w:rFonts w:hint="eastAsia" w:ascii="宋体" w:hAnsi="宋体" w:cs="宋体"/>
                <w:color w:val="auto"/>
                <w:kern w:val="0"/>
                <w:szCs w:val="21"/>
                <w:highlight w:val="none"/>
                <w:lang w:bidi="ar"/>
              </w:rPr>
              <w:t>相应安全检测及商用密码产品认证</w:t>
            </w:r>
            <w:r>
              <w:rPr>
                <w:rFonts w:hint="eastAsia" w:ascii="宋体" w:hAnsi="宋体" w:cs="宋体"/>
                <w:color w:val="auto"/>
                <w:kern w:val="0"/>
                <w:szCs w:val="21"/>
                <w:highlight w:val="none"/>
              </w:rPr>
              <w:t>。</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4、</w:t>
            </w:r>
            <w:r>
              <w:rPr>
                <w:rFonts w:hint="eastAsia" w:ascii="宋体" w:hAnsi="宋体" w:cs="宋体"/>
                <w:color w:val="auto"/>
                <w:kern w:val="0"/>
                <w:szCs w:val="21"/>
                <w:highlight w:val="none"/>
                <w:lang w:bidi="ar"/>
              </w:rPr>
              <w:t>提供软件供应链安全能力升级服务，</w:t>
            </w:r>
            <w:r>
              <w:rPr>
                <w:rFonts w:hint="eastAsia" w:ascii="宋体" w:hAnsi="宋体" w:cs="宋体"/>
                <w:color w:val="auto"/>
                <w:kern w:val="0"/>
                <w:szCs w:val="21"/>
                <w:highlight w:val="none"/>
                <w:lang w:val="en-US" w:eastAsia="zh-CN"/>
              </w:rPr>
              <w:t>满足</w:t>
            </w:r>
            <w:r>
              <w:rPr>
                <w:rFonts w:hint="eastAsia" w:ascii="宋体" w:hAnsi="宋体" w:cs="宋体"/>
                <w:color w:val="auto"/>
                <w:kern w:val="0"/>
                <w:szCs w:val="21"/>
                <w:highlight w:val="none"/>
              </w:rPr>
              <w:t>GB/T 43698-2024</w:t>
            </w:r>
            <w:r>
              <w:rPr>
                <w:rFonts w:hint="eastAsia" w:ascii="宋体" w:hAnsi="宋体" w:cs="宋体"/>
                <w:color w:val="auto"/>
                <w:kern w:val="0"/>
                <w:szCs w:val="21"/>
                <w:highlight w:val="none"/>
                <w:lang w:val="en-US" w:eastAsia="zh-CN"/>
              </w:rPr>
              <w:t xml:space="preserve">相关要求   </w:t>
            </w:r>
            <w:r>
              <w:rPr>
                <w:rFonts w:hint="eastAsia" w:ascii="宋体" w:hAnsi="宋体" w:cs="宋体"/>
                <w:color w:val="auto"/>
                <w:kern w:val="0"/>
                <w:szCs w:val="21"/>
                <w:highlight w:val="none"/>
              </w:rPr>
              <w:t>。</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5、</w:t>
            </w:r>
            <w:r>
              <w:rPr>
                <w:rFonts w:hint="eastAsia" w:ascii="宋体" w:hAnsi="宋体" w:cs="宋体"/>
                <w:color w:val="auto"/>
                <w:kern w:val="0"/>
                <w:szCs w:val="21"/>
                <w:highlight w:val="none"/>
                <w:lang w:bidi="ar"/>
              </w:rPr>
              <w:t>提供基础资源统一管理能力升级，支持文件、设备、日志、服务、进程、网络、存储、软件包及硬件资源的管理、监控和报表输出</w:t>
            </w:r>
            <w:r>
              <w:rPr>
                <w:rFonts w:hint="eastAsia" w:ascii="宋体" w:hAnsi="宋体" w:cs="宋体"/>
                <w:color w:val="auto"/>
                <w:kern w:val="0"/>
                <w:szCs w:val="21"/>
                <w:highlight w:val="none"/>
              </w:rPr>
              <w:t>。</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6、</w:t>
            </w:r>
            <w:r>
              <w:rPr>
                <w:rFonts w:hint="eastAsia" w:ascii="宋体" w:hAnsi="宋体" w:cs="宋体"/>
                <w:color w:val="auto"/>
                <w:kern w:val="0"/>
                <w:szCs w:val="21"/>
                <w:highlight w:val="none"/>
                <w:lang w:bidi="ar"/>
              </w:rPr>
              <w:t>提供现有业务应用兼容适配服务，支持国产数据库、开源数据库、中间件、虚拟化、容器、云计算及大数据平台</w:t>
            </w:r>
            <w:r>
              <w:rPr>
                <w:rFonts w:hint="eastAsia" w:ascii="宋体" w:hAnsi="宋体" w:cs="宋体"/>
                <w:color w:val="auto"/>
                <w:kern w:val="0"/>
                <w:szCs w:val="21"/>
                <w:highlight w:val="none"/>
              </w:rPr>
              <w:t>；</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7、</w:t>
            </w:r>
            <w:r>
              <w:rPr>
                <w:rFonts w:hint="eastAsia" w:ascii="宋体" w:hAnsi="宋体" w:cs="宋体"/>
                <w:color w:val="auto"/>
                <w:kern w:val="0"/>
                <w:szCs w:val="21"/>
                <w:highlight w:val="none"/>
                <w:lang w:bidi="ar"/>
              </w:rPr>
              <w:t>提供内核级安全访问控制能力升级，支持安全机制模块化配置，以及多个安全模块的独立或组合启用</w:t>
            </w:r>
            <w:r>
              <w:rPr>
                <w:rFonts w:hint="eastAsia" w:ascii="宋体" w:hAnsi="宋体" w:cs="宋体"/>
                <w:color w:val="auto"/>
                <w:kern w:val="0"/>
                <w:szCs w:val="21"/>
                <w:highlight w:val="none"/>
              </w:rPr>
              <w:t>。</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8、</w:t>
            </w:r>
            <w:r>
              <w:rPr>
                <w:rFonts w:hint="eastAsia" w:ascii="宋体" w:hAnsi="宋体" w:cs="宋体"/>
                <w:color w:val="auto"/>
                <w:kern w:val="0"/>
                <w:szCs w:val="21"/>
                <w:highlight w:val="none"/>
                <w:lang w:bidi="ar"/>
              </w:rPr>
              <w:t>提供运行环境安全防护与加固服务，支持安全扫描、一键加固、自定义模板、联网控制、应用执行控制、进程保护、内核模块保护和文件防篡改，并支持中文图形化管理及GB18030-2022字符集</w:t>
            </w:r>
            <w:r>
              <w:rPr>
                <w:rFonts w:hint="eastAsia" w:ascii="宋体" w:hAnsi="宋体" w:cs="宋体"/>
                <w:color w:val="auto"/>
                <w:kern w:val="0"/>
                <w:szCs w:val="21"/>
                <w:highlight w:val="none"/>
              </w:rPr>
              <w:t>。</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9、</w:t>
            </w:r>
            <w:r>
              <w:rPr>
                <w:rFonts w:hint="eastAsia" w:ascii="宋体" w:hAnsi="宋体" w:cs="宋体"/>
                <w:color w:val="auto"/>
                <w:kern w:val="0"/>
                <w:szCs w:val="21"/>
                <w:highlight w:val="none"/>
                <w:lang w:bidi="ar"/>
              </w:rPr>
              <w:t>提供智能运维工具及配套技术服务，支持运行状态检查、配置核验、漏洞缺陷分析、日志采集、资源监控、进程监控和文件监控</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10、</w:t>
            </w:r>
            <w:r>
              <w:rPr>
                <w:rFonts w:hint="eastAsia" w:ascii="宋体" w:hAnsi="宋体" w:cs="宋体"/>
                <w:color w:val="auto"/>
                <w:kern w:val="0"/>
                <w:szCs w:val="21"/>
                <w:highlight w:val="none"/>
                <w:lang w:bidi="ar"/>
              </w:rPr>
              <w:t>提供持续升级、补丁更新和故障排查服务，支持在线升级、动态内核补丁、不停机修复，以及运行配置和诊断信息采集</w:t>
            </w:r>
            <w:r>
              <w:rPr>
                <w:rFonts w:hint="eastAsia" w:ascii="宋体" w:hAnsi="宋体" w:cs="宋体"/>
                <w:color w:val="auto"/>
                <w:kern w:val="0"/>
                <w:szCs w:val="21"/>
                <w:highlight w:val="none"/>
              </w:rPr>
              <w:t>。</w:t>
            </w:r>
          </w:p>
        </w:tc>
        <w:tc>
          <w:tcPr>
            <w:tcW w:w="1006" w:type="dxa"/>
            <w:tcBorders>
              <w:top w:val="single" w:color="000000" w:sz="4" w:space="0"/>
              <w:left w:val="single" w:color="000000" w:sz="4" w:space="0"/>
              <w:bottom w:val="single" w:color="000000" w:sz="4" w:space="0"/>
              <w:right w:val="single" w:color="000000" w:sz="4" w:space="0"/>
            </w:tcBorders>
            <w:vAlign w:val="center"/>
          </w:tcPr>
          <w:p w14:paraId="605802D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套</w:t>
            </w:r>
          </w:p>
        </w:tc>
        <w:tc>
          <w:tcPr>
            <w:tcW w:w="1006" w:type="dxa"/>
            <w:tcBorders>
              <w:top w:val="single" w:color="000000" w:sz="4" w:space="0"/>
              <w:left w:val="single" w:color="000000" w:sz="4" w:space="0"/>
              <w:bottom w:val="single" w:color="000000" w:sz="4" w:space="0"/>
              <w:right w:val="single" w:color="000000" w:sz="4" w:space="0"/>
            </w:tcBorders>
            <w:vAlign w:val="center"/>
          </w:tcPr>
          <w:p w14:paraId="3CA4BFB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 xml:space="preserve">7 </w:t>
            </w:r>
          </w:p>
        </w:tc>
      </w:tr>
      <w:tr w14:paraId="6DA9B5C6">
        <w:tblPrEx>
          <w:tblCellMar>
            <w:top w:w="0" w:type="dxa"/>
            <w:left w:w="108" w:type="dxa"/>
            <w:bottom w:w="0" w:type="dxa"/>
            <w:right w:w="108" w:type="dxa"/>
          </w:tblCellMar>
        </w:tblPrEx>
        <w:trPr>
          <w:trHeight w:val="480" w:hRule="atLeast"/>
        </w:trPr>
        <w:tc>
          <w:tcPr>
            <w:tcW w:w="1078" w:type="dxa"/>
            <w:vMerge w:val="continue"/>
            <w:tcBorders>
              <w:top w:val="single" w:color="000000" w:sz="4" w:space="0"/>
              <w:left w:val="single" w:color="000000" w:sz="4" w:space="0"/>
              <w:bottom w:val="single" w:color="000000" w:sz="4" w:space="0"/>
              <w:right w:val="single" w:color="000000" w:sz="4" w:space="0"/>
            </w:tcBorders>
            <w:vAlign w:val="center"/>
          </w:tcPr>
          <w:p w14:paraId="72240DE4">
            <w:pPr>
              <w:jc w:val="center"/>
              <w:rPr>
                <w:rFonts w:ascii="宋体" w:hAnsi="宋体" w:cs="宋体"/>
                <w:color w:val="auto"/>
                <w:szCs w:val="21"/>
                <w:highlight w:val="none"/>
              </w:rPr>
            </w:pPr>
          </w:p>
        </w:tc>
        <w:tc>
          <w:tcPr>
            <w:tcW w:w="1310" w:type="dxa"/>
            <w:vMerge w:val="continue"/>
            <w:tcBorders>
              <w:top w:val="single" w:color="000000" w:sz="4" w:space="0"/>
              <w:left w:val="single" w:color="000000" w:sz="4" w:space="0"/>
              <w:bottom w:val="single" w:color="000000" w:sz="4" w:space="0"/>
              <w:right w:val="single" w:color="000000" w:sz="4" w:space="0"/>
            </w:tcBorders>
            <w:vAlign w:val="center"/>
          </w:tcPr>
          <w:p w14:paraId="7342386A">
            <w:pPr>
              <w:jc w:val="center"/>
              <w:rPr>
                <w:rFonts w:ascii="宋体" w:hAnsi="宋体" w:cs="宋体"/>
                <w:color w:val="auto"/>
                <w:szCs w:val="21"/>
                <w:highlight w:val="none"/>
              </w:rPr>
            </w:pPr>
          </w:p>
        </w:tc>
        <w:tc>
          <w:tcPr>
            <w:tcW w:w="2089" w:type="dxa"/>
            <w:tcBorders>
              <w:top w:val="single" w:color="000000" w:sz="4" w:space="0"/>
              <w:left w:val="single" w:color="000000" w:sz="4" w:space="0"/>
              <w:bottom w:val="single" w:color="000000" w:sz="4" w:space="0"/>
              <w:right w:val="single" w:color="000000" w:sz="4" w:space="0"/>
            </w:tcBorders>
            <w:vAlign w:val="center"/>
          </w:tcPr>
          <w:p w14:paraId="22C4D44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应用支撑环境升级服务</w:t>
            </w:r>
          </w:p>
        </w:tc>
        <w:tc>
          <w:tcPr>
            <w:tcW w:w="7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FCD09">
            <w:pPr>
              <w:widowControl/>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bidi="ar"/>
              </w:rPr>
              <w:t xml:space="preserve"> 提供现有应用运行支撑环境标准化升级服务，升级后的运行环境应兼容Java EE 5、6、7、8相关规范及认证。</w:t>
            </w:r>
          </w:p>
          <w:p w14:paraId="66C50FF8">
            <w:pPr>
              <w:widowControl/>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2</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bidi="ar"/>
              </w:rPr>
              <w:t>提供升级后的运行环境应兼容Jakarta EE 9、9.1、10、11相关规范，并通过相应官方兼容认证。</w:t>
            </w:r>
          </w:p>
          <w:p w14:paraId="67DB0458">
            <w:pPr>
              <w:widowControl/>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3</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bidi="ar"/>
              </w:rPr>
              <w:t>升级所采用的核心技术应具备合法授权和持续演进能力，相关厂商应获得Java EE平台授权许可，保障技术来源及后续服务的合规性。</w:t>
            </w:r>
          </w:p>
          <w:p w14:paraId="06CA6F6C">
            <w:pPr>
              <w:widowControl/>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4</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bidi="ar"/>
              </w:rPr>
              <w:t>提供Spring Boot应用兼容适配服务，支持Spring Boot 1.x、2.x、3.x等不同版本应用的部署、迁移和运行。</w:t>
            </w:r>
          </w:p>
          <w:p w14:paraId="2435E5F9">
            <w:pPr>
              <w:widowControl/>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5</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bidi="ar"/>
              </w:rPr>
              <w:t>提供微服务运行环境接入升级服务，支持对接Spring Cloud体系及微服务网关，为微服务集群提供统一、稳定的流量入口。</w:t>
            </w:r>
          </w:p>
          <w:p w14:paraId="1B36F287">
            <w:pPr>
              <w:widowControl/>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6</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bidi="ar"/>
              </w:rPr>
              <w:t>提供云原生监控与可观测能力适配服务，支持对接Zipkin、SkyWalking、Prometheus等第三方链路追踪、监控和告警平台。</w:t>
            </w:r>
          </w:p>
          <w:p w14:paraId="16AFD358">
            <w:pPr>
              <w:widowControl/>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7</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bidi="ar"/>
              </w:rPr>
              <w:t>提供高并发应用适配优化服务，支持WebFlux等响应式技术框架。</w:t>
            </w:r>
          </w:p>
          <w:p w14:paraId="087CA5CD">
            <w:pPr>
              <w:widowControl/>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8</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bidi="ar"/>
              </w:rPr>
              <w:t>提升应用并发承载能力和首次访问响应效率，并支持JSP预编译</w:t>
            </w:r>
          </w:p>
          <w:p w14:paraId="7F3997ED">
            <w:pPr>
              <w:widowControl/>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9</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bidi="ar"/>
              </w:rPr>
              <w:t>提供分布式运行实例统一授权管理服务，支持对各运行实例进行集中认证、远程授权和授权状态管理。</w:t>
            </w:r>
          </w:p>
          <w:p w14:paraId="6FC9118D">
            <w:pPr>
              <w:widowControl/>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10</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bidi="ar"/>
              </w:rPr>
              <w:t>提供应用部署兼容性检测服务，支持识别应用部署及运行过程中的类冲突问题，并生成告警信息和辅助分析结果。</w:t>
            </w:r>
          </w:p>
          <w:p w14:paraId="4D2B36D5">
            <w:pPr>
              <w:widowControl/>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11</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bidi="ar"/>
              </w:rPr>
              <w:t>提供应用运行安全能力升级服务，支持跨域访问控制、黑白名单、熔断保护及国密SSL通信，提升应用访问和传输安全水平。</w:t>
            </w:r>
          </w:p>
          <w:p w14:paraId="67D601AE">
            <w:pPr>
              <w:widowControl/>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0"/>
                <w:szCs w:val="21"/>
                <w:highlight w:val="none"/>
                <w:lang w:bidi="ar"/>
              </w:rPr>
              <w:t>12</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bidi="ar"/>
              </w:rPr>
              <w:t>提供应用迁移与自动化转换服务，支持将基于内嵌Tomcat或Netty的应用工程转换为适配升级后运行环境的工程，降低应用改造和迁移工作量。</w:t>
            </w:r>
          </w:p>
        </w:tc>
        <w:tc>
          <w:tcPr>
            <w:tcW w:w="1006" w:type="dxa"/>
            <w:tcBorders>
              <w:top w:val="single" w:color="000000" w:sz="4" w:space="0"/>
              <w:left w:val="single" w:color="000000" w:sz="4" w:space="0"/>
              <w:bottom w:val="single" w:color="000000" w:sz="4" w:space="0"/>
              <w:right w:val="single" w:color="000000" w:sz="4" w:space="0"/>
            </w:tcBorders>
            <w:vAlign w:val="center"/>
          </w:tcPr>
          <w:p w14:paraId="3AB028F6">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套</w:t>
            </w:r>
          </w:p>
        </w:tc>
        <w:tc>
          <w:tcPr>
            <w:tcW w:w="1006" w:type="dxa"/>
            <w:tcBorders>
              <w:top w:val="single" w:color="000000" w:sz="4" w:space="0"/>
              <w:left w:val="single" w:color="000000" w:sz="4" w:space="0"/>
              <w:bottom w:val="single" w:color="000000" w:sz="4" w:space="0"/>
              <w:right w:val="single" w:color="000000" w:sz="4" w:space="0"/>
            </w:tcBorders>
            <w:vAlign w:val="center"/>
          </w:tcPr>
          <w:p w14:paraId="0DA4AB0D">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 xml:space="preserve">1 </w:t>
            </w:r>
          </w:p>
        </w:tc>
      </w:tr>
      <w:tr w14:paraId="7106CF6D">
        <w:tblPrEx>
          <w:tblCellMar>
            <w:top w:w="0" w:type="dxa"/>
            <w:left w:w="108" w:type="dxa"/>
            <w:bottom w:w="0" w:type="dxa"/>
            <w:right w:w="108" w:type="dxa"/>
          </w:tblCellMar>
        </w:tblPrEx>
        <w:trPr>
          <w:trHeight w:val="480" w:hRule="atLeast"/>
        </w:trPr>
        <w:tc>
          <w:tcPr>
            <w:tcW w:w="1078" w:type="dxa"/>
            <w:vMerge w:val="continue"/>
            <w:tcBorders>
              <w:top w:val="single" w:color="000000" w:sz="4" w:space="0"/>
              <w:left w:val="single" w:color="000000" w:sz="4" w:space="0"/>
              <w:bottom w:val="single" w:color="000000" w:sz="4" w:space="0"/>
              <w:right w:val="single" w:color="000000" w:sz="4" w:space="0"/>
            </w:tcBorders>
            <w:vAlign w:val="center"/>
          </w:tcPr>
          <w:p w14:paraId="0BD81512">
            <w:pPr>
              <w:jc w:val="center"/>
              <w:rPr>
                <w:rFonts w:ascii="宋体" w:hAnsi="宋体" w:cs="宋体"/>
                <w:color w:val="auto"/>
                <w:szCs w:val="21"/>
                <w:highlight w:val="none"/>
              </w:rPr>
            </w:pPr>
          </w:p>
        </w:tc>
        <w:tc>
          <w:tcPr>
            <w:tcW w:w="1310" w:type="dxa"/>
            <w:vMerge w:val="continue"/>
            <w:tcBorders>
              <w:top w:val="single" w:color="000000" w:sz="4" w:space="0"/>
              <w:left w:val="single" w:color="000000" w:sz="4" w:space="0"/>
              <w:bottom w:val="single" w:color="000000" w:sz="4" w:space="0"/>
              <w:right w:val="single" w:color="000000" w:sz="4" w:space="0"/>
            </w:tcBorders>
            <w:vAlign w:val="center"/>
          </w:tcPr>
          <w:p w14:paraId="593B31AA">
            <w:pPr>
              <w:jc w:val="center"/>
              <w:rPr>
                <w:rFonts w:ascii="宋体" w:hAnsi="宋体" w:cs="宋体"/>
                <w:color w:val="auto"/>
                <w:szCs w:val="21"/>
                <w:highlight w:val="none"/>
              </w:rPr>
            </w:pPr>
          </w:p>
        </w:tc>
        <w:tc>
          <w:tcPr>
            <w:tcW w:w="2089" w:type="dxa"/>
            <w:tcBorders>
              <w:top w:val="single" w:color="000000" w:sz="4" w:space="0"/>
              <w:left w:val="single" w:color="000000" w:sz="4" w:space="0"/>
              <w:bottom w:val="single" w:color="000000" w:sz="4" w:space="0"/>
              <w:right w:val="single" w:color="000000" w:sz="4" w:space="0"/>
            </w:tcBorders>
            <w:vAlign w:val="center"/>
          </w:tcPr>
          <w:p w14:paraId="76307153">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数据管理支撑环境升级服务</w:t>
            </w:r>
          </w:p>
        </w:tc>
        <w:tc>
          <w:tcPr>
            <w:tcW w:w="7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79EBD">
            <w:pPr>
              <w:widowControl/>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提供现有数据支撑环境的适配、迁移与升级服务，兼容麒麟、Linux、Windows、AIX、HP-UX、Solaris等操作系统，以及龙芯、飞腾等国产硬件平台。完成数据访问、应用接口及运行环境适配，兼容开发工具和持久层技术，支持SQL92标准。提供数据同步、复制、快照及恢复能力升级，支持单向、双向、级联和多节点同步。提升系统高并发和连续运行能力，单节点支持不少于10万个并发连接，连续稳定运行不少于36小时。提供滚动升级、高可用、读写分离及多节点协同服务，支持负载均衡、多节点写入和缓存一致性。</w:t>
            </w:r>
          </w:p>
        </w:tc>
        <w:tc>
          <w:tcPr>
            <w:tcW w:w="1006" w:type="dxa"/>
            <w:tcBorders>
              <w:top w:val="single" w:color="000000" w:sz="4" w:space="0"/>
              <w:left w:val="single" w:color="000000" w:sz="4" w:space="0"/>
              <w:bottom w:val="single" w:color="000000" w:sz="4" w:space="0"/>
              <w:right w:val="single" w:color="000000" w:sz="4" w:space="0"/>
            </w:tcBorders>
            <w:vAlign w:val="center"/>
          </w:tcPr>
          <w:p w14:paraId="1ED89ED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套</w:t>
            </w:r>
          </w:p>
        </w:tc>
        <w:tc>
          <w:tcPr>
            <w:tcW w:w="1006" w:type="dxa"/>
            <w:tcBorders>
              <w:top w:val="single" w:color="000000" w:sz="4" w:space="0"/>
              <w:left w:val="single" w:color="000000" w:sz="4" w:space="0"/>
              <w:bottom w:val="single" w:color="000000" w:sz="4" w:space="0"/>
              <w:right w:val="single" w:color="000000" w:sz="4" w:space="0"/>
            </w:tcBorders>
            <w:vAlign w:val="center"/>
          </w:tcPr>
          <w:p w14:paraId="790D915E">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 xml:space="preserve">1 </w:t>
            </w:r>
          </w:p>
        </w:tc>
      </w:tr>
      <w:tr w14:paraId="404C7F4F">
        <w:tblPrEx>
          <w:tblCellMar>
            <w:top w:w="0" w:type="dxa"/>
            <w:left w:w="108" w:type="dxa"/>
            <w:bottom w:w="0" w:type="dxa"/>
            <w:right w:w="108" w:type="dxa"/>
          </w:tblCellMar>
        </w:tblPrEx>
        <w:trPr>
          <w:trHeight w:val="440" w:hRule="atLeast"/>
        </w:trPr>
        <w:tc>
          <w:tcPr>
            <w:tcW w:w="1078" w:type="dxa"/>
            <w:tcBorders>
              <w:top w:val="single" w:color="000000" w:sz="4" w:space="0"/>
              <w:left w:val="single" w:color="000000" w:sz="4" w:space="0"/>
              <w:bottom w:val="single" w:color="000000" w:sz="4" w:space="0"/>
              <w:right w:val="single" w:color="000000" w:sz="4" w:space="0"/>
            </w:tcBorders>
            <w:vAlign w:val="center"/>
          </w:tcPr>
          <w:p w14:paraId="33DB4D9A">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1.3.5</w:t>
            </w:r>
          </w:p>
        </w:tc>
        <w:tc>
          <w:tcPr>
            <w:tcW w:w="3399" w:type="dxa"/>
            <w:gridSpan w:val="2"/>
            <w:tcBorders>
              <w:top w:val="single" w:color="000000" w:sz="4" w:space="0"/>
              <w:left w:val="single" w:color="000000" w:sz="4" w:space="0"/>
              <w:bottom w:val="single" w:color="000000" w:sz="4" w:space="0"/>
              <w:right w:val="single" w:color="000000" w:sz="4" w:space="0"/>
            </w:tcBorders>
            <w:vAlign w:val="center"/>
          </w:tcPr>
          <w:p w14:paraId="4B171C7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无人机远程控制及管理模块</w:t>
            </w:r>
          </w:p>
        </w:tc>
        <w:tc>
          <w:tcPr>
            <w:tcW w:w="7679" w:type="dxa"/>
            <w:tcBorders>
              <w:top w:val="single" w:color="000000" w:sz="4" w:space="0"/>
              <w:left w:val="single" w:color="000000" w:sz="4" w:space="0"/>
              <w:bottom w:val="single" w:color="000000" w:sz="4" w:space="0"/>
              <w:right w:val="single" w:color="000000" w:sz="4" w:space="0"/>
            </w:tcBorders>
            <w:vAlign w:val="center"/>
          </w:tcPr>
          <w:p w14:paraId="644C0659">
            <w:pPr>
              <w:widowControl/>
              <w:textAlignment w:val="center"/>
              <w:rPr>
                <w:rFonts w:ascii="宋体" w:hAnsi="宋体" w:cs="宋体"/>
                <w:color w:val="auto"/>
                <w:szCs w:val="21"/>
                <w:highlight w:val="none"/>
              </w:rPr>
            </w:pPr>
            <w:r>
              <w:rPr>
                <w:rFonts w:hint="eastAsia" w:ascii="宋体" w:hAnsi="宋体" w:cs="宋体"/>
                <w:color w:val="auto"/>
                <w:kern w:val="0"/>
                <w:szCs w:val="21"/>
                <w:highlight w:val="none"/>
              </w:rPr>
              <w:t>无人机场配套远程控制系统，与保护区现有信息化管理系统相结合，实现web端、大屏端和移动端的远程控制、远程直播等管理功能。</w:t>
            </w:r>
          </w:p>
        </w:tc>
        <w:tc>
          <w:tcPr>
            <w:tcW w:w="1006" w:type="dxa"/>
            <w:tcBorders>
              <w:top w:val="single" w:color="000000" w:sz="4" w:space="0"/>
              <w:left w:val="single" w:color="000000" w:sz="4" w:space="0"/>
              <w:bottom w:val="single" w:color="000000" w:sz="4" w:space="0"/>
              <w:right w:val="single" w:color="000000" w:sz="4" w:space="0"/>
            </w:tcBorders>
            <w:vAlign w:val="center"/>
          </w:tcPr>
          <w:p w14:paraId="4A438344">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项</w:t>
            </w:r>
          </w:p>
        </w:tc>
        <w:tc>
          <w:tcPr>
            <w:tcW w:w="1006" w:type="dxa"/>
            <w:tcBorders>
              <w:top w:val="single" w:color="000000" w:sz="4" w:space="0"/>
              <w:left w:val="single" w:color="000000" w:sz="4" w:space="0"/>
              <w:bottom w:val="single" w:color="000000" w:sz="4" w:space="0"/>
              <w:right w:val="single" w:color="000000" w:sz="4" w:space="0"/>
            </w:tcBorders>
            <w:vAlign w:val="center"/>
          </w:tcPr>
          <w:p w14:paraId="56FF9FD8">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 xml:space="preserve">1 </w:t>
            </w:r>
          </w:p>
        </w:tc>
      </w:tr>
      <w:tr w14:paraId="14E5AF42">
        <w:tblPrEx>
          <w:tblCellMar>
            <w:top w:w="0" w:type="dxa"/>
            <w:left w:w="108" w:type="dxa"/>
            <w:bottom w:w="0" w:type="dxa"/>
            <w:right w:w="108" w:type="dxa"/>
          </w:tblCellMar>
        </w:tblPrEx>
        <w:trPr>
          <w:trHeight w:val="440" w:hRule="atLeast"/>
        </w:trPr>
        <w:tc>
          <w:tcPr>
            <w:tcW w:w="1078" w:type="dxa"/>
            <w:tcBorders>
              <w:top w:val="single" w:color="000000" w:sz="4" w:space="0"/>
              <w:left w:val="single" w:color="000000" w:sz="4" w:space="0"/>
              <w:bottom w:val="single" w:color="000000" w:sz="4" w:space="0"/>
              <w:right w:val="single" w:color="000000" w:sz="4" w:space="0"/>
            </w:tcBorders>
            <w:vAlign w:val="center"/>
          </w:tcPr>
          <w:p w14:paraId="66FC5421">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1.3.6</w:t>
            </w:r>
          </w:p>
        </w:tc>
        <w:tc>
          <w:tcPr>
            <w:tcW w:w="3399" w:type="dxa"/>
            <w:gridSpan w:val="2"/>
            <w:tcBorders>
              <w:top w:val="single" w:color="000000" w:sz="4" w:space="0"/>
              <w:left w:val="single" w:color="000000" w:sz="4" w:space="0"/>
              <w:bottom w:val="single" w:color="000000" w:sz="4" w:space="0"/>
              <w:right w:val="single" w:color="000000" w:sz="4" w:space="0"/>
            </w:tcBorders>
            <w:vAlign w:val="center"/>
          </w:tcPr>
          <w:p w14:paraId="1E3B8047">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单点登录</w:t>
            </w:r>
          </w:p>
        </w:tc>
        <w:tc>
          <w:tcPr>
            <w:tcW w:w="7679" w:type="dxa"/>
            <w:tcBorders>
              <w:top w:val="single" w:color="000000" w:sz="4" w:space="0"/>
              <w:left w:val="single" w:color="000000" w:sz="4" w:space="0"/>
              <w:bottom w:val="single" w:color="000000" w:sz="4" w:space="0"/>
              <w:right w:val="single" w:color="000000" w:sz="4" w:space="0"/>
            </w:tcBorders>
            <w:vAlign w:val="center"/>
          </w:tcPr>
          <w:p w14:paraId="237ED463">
            <w:pPr>
              <w:widowControl/>
              <w:textAlignment w:val="center"/>
              <w:rPr>
                <w:rFonts w:ascii="宋体" w:hAnsi="宋体" w:cs="宋体"/>
                <w:color w:val="auto"/>
                <w:szCs w:val="21"/>
                <w:highlight w:val="none"/>
              </w:rPr>
            </w:pPr>
            <w:r>
              <w:rPr>
                <w:rFonts w:hint="eastAsia" w:ascii="宋体" w:hAnsi="宋体" w:cs="宋体"/>
                <w:color w:val="auto"/>
                <w:kern w:val="0"/>
                <w:szCs w:val="21"/>
                <w:highlight w:val="none"/>
              </w:rPr>
              <w:t>在原有可视化大屏系统中开放链接入口，通过单点登录跳转至光电雷达B/S系统以实现免登。</w:t>
            </w:r>
          </w:p>
        </w:tc>
        <w:tc>
          <w:tcPr>
            <w:tcW w:w="1006" w:type="dxa"/>
            <w:tcBorders>
              <w:top w:val="single" w:color="000000" w:sz="4" w:space="0"/>
              <w:left w:val="single" w:color="000000" w:sz="4" w:space="0"/>
              <w:bottom w:val="single" w:color="000000" w:sz="4" w:space="0"/>
              <w:right w:val="single" w:color="000000" w:sz="4" w:space="0"/>
            </w:tcBorders>
            <w:vAlign w:val="center"/>
          </w:tcPr>
          <w:p w14:paraId="7936A0B5">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项</w:t>
            </w:r>
          </w:p>
        </w:tc>
        <w:tc>
          <w:tcPr>
            <w:tcW w:w="1006" w:type="dxa"/>
            <w:tcBorders>
              <w:top w:val="single" w:color="000000" w:sz="4" w:space="0"/>
              <w:left w:val="single" w:color="000000" w:sz="4" w:space="0"/>
              <w:bottom w:val="single" w:color="000000" w:sz="4" w:space="0"/>
              <w:right w:val="single" w:color="000000" w:sz="4" w:space="0"/>
            </w:tcBorders>
            <w:vAlign w:val="center"/>
          </w:tcPr>
          <w:p w14:paraId="3C80F2E2">
            <w:pPr>
              <w:widowControl/>
              <w:jc w:val="center"/>
              <w:textAlignment w:val="center"/>
              <w:rPr>
                <w:rFonts w:ascii="宋体" w:hAnsi="宋体" w:cs="宋体"/>
                <w:color w:val="auto"/>
                <w:szCs w:val="21"/>
                <w:highlight w:val="none"/>
              </w:rPr>
            </w:pPr>
            <w:r>
              <w:rPr>
                <w:rFonts w:hint="eastAsia" w:ascii="宋体" w:hAnsi="宋体" w:cs="宋体"/>
                <w:color w:val="auto"/>
                <w:kern w:val="0"/>
                <w:szCs w:val="21"/>
                <w:highlight w:val="none"/>
              </w:rPr>
              <w:t xml:space="preserve">1 </w:t>
            </w:r>
          </w:p>
        </w:tc>
      </w:tr>
    </w:tbl>
    <w:p w14:paraId="5685C4BD">
      <w:pPr>
        <w:rPr>
          <w:color w:val="auto"/>
          <w:highlight w:val="none"/>
        </w:rPr>
      </w:pPr>
    </w:p>
    <w:p w14:paraId="47B2C543">
      <w:pPr>
        <w:rPr>
          <w:color w:val="auto"/>
          <w:highlight w:val="none"/>
        </w:rPr>
      </w:pPr>
    </w:p>
    <w:p w14:paraId="2917FE65">
      <w:pPr>
        <w:pStyle w:val="12"/>
        <w:rPr>
          <w:color w:val="auto"/>
          <w:highlight w:val="none"/>
        </w:rPr>
      </w:pPr>
    </w:p>
    <w:p w14:paraId="2A98B4AF">
      <w:pPr>
        <w:rPr>
          <w:color w:val="auto"/>
          <w:highlight w:val="none"/>
        </w:rPr>
        <w:sectPr>
          <w:pgSz w:w="16838" w:h="11906" w:orient="landscape"/>
          <w:pgMar w:top="1803" w:right="1440" w:bottom="1803" w:left="1440" w:header="851" w:footer="992" w:gutter="0"/>
          <w:pgNumType w:fmt="decimal"/>
          <w:cols w:space="0" w:num="1"/>
          <w:titlePg/>
          <w:docGrid w:type="lines" w:linePitch="319" w:charSpace="0"/>
        </w:sectPr>
      </w:pPr>
    </w:p>
    <w:p w14:paraId="42CCF007">
      <w:pPr>
        <w:pStyle w:val="12"/>
        <w:outlineLvl w:val="1"/>
        <w:rPr>
          <w:color w:val="auto"/>
          <w:highlight w:val="none"/>
        </w:rPr>
      </w:pPr>
      <w:r>
        <w:rPr>
          <w:rFonts w:hint="eastAsia" w:ascii="宋体" w:hAnsi="宋体" w:cs="宋体"/>
          <w:b/>
          <w:bCs/>
          <w:color w:val="auto"/>
          <w:kern w:val="0"/>
          <w:szCs w:val="21"/>
          <w:highlight w:val="none"/>
          <w:lang w:val="zh-CN" w:bidi="zh-CN"/>
        </w:rPr>
        <w:t>二、</w:t>
      </w:r>
      <w:r>
        <w:rPr>
          <w:rFonts w:hint="eastAsia" w:ascii="宋体" w:hAnsi="宋体" w:cs="宋体"/>
          <w:b/>
          <w:bCs/>
          <w:color w:val="auto"/>
          <w:szCs w:val="21"/>
          <w:highlight w:val="none"/>
        </w:rPr>
        <w:t>商务条款</w:t>
      </w:r>
    </w:p>
    <w:tbl>
      <w:tblPr>
        <w:tblStyle w:val="31"/>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6515"/>
      </w:tblGrid>
      <w:tr w14:paraId="1782A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2127" w:type="dxa"/>
            <w:vAlign w:val="center"/>
          </w:tcPr>
          <w:p w14:paraId="2B5006CB">
            <w:pPr>
              <w:spacing w:line="400" w:lineRule="exact"/>
              <w:jc w:val="center"/>
              <w:rPr>
                <w:rFonts w:ascii="宋体" w:hAnsi="宋体" w:cs="宋体"/>
                <w:color w:val="auto"/>
                <w:szCs w:val="21"/>
                <w:highlight w:val="none"/>
              </w:rPr>
            </w:pPr>
            <w:bookmarkStart w:id="113" w:name="_Hlk110001250"/>
            <w:r>
              <w:rPr>
                <w:rFonts w:ascii="宋体" w:hAnsi="宋体"/>
                <w:color w:val="auto"/>
                <w:szCs w:val="21"/>
                <w:highlight w:val="none"/>
              </w:rPr>
              <w:t>▲</w:t>
            </w:r>
            <w:r>
              <w:rPr>
                <w:rFonts w:hint="eastAsia" w:ascii="宋体" w:hAnsi="宋体"/>
                <w:color w:val="auto"/>
                <w:szCs w:val="21"/>
                <w:highlight w:val="none"/>
              </w:rPr>
              <w:t>服务期限及地点</w:t>
            </w:r>
          </w:p>
        </w:tc>
        <w:tc>
          <w:tcPr>
            <w:tcW w:w="6515" w:type="dxa"/>
            <w:vAlign w:val="center"/>
          </w:tcPr>
          <w:p w14:paraId="301DB506">
            <w:pPr>
              <w:spacing w:line="400" w:lineRule="exact"/>
              <w:jc w:val="left"/>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服务期限：自合同签订之日起60个工作日内完成建设并通过验收</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自验收合格之日起提供</w:t>
            </w:r>
            <w:r>
              <w:rPr>
                <w:rFonts w:hint="eastAsia" w:ascii="宋体" w:hAnsi="宋体" w:cs="宋体"/>
                <w:color w:val="auto"/>
                <w:szCs w:val="21"/>
                <w:highlight w:val="none"/>
                <w:lang w:eastAsia="zh-CN"/>
              </w:rPr>
              <w:t>1年的整体运营和维护</w:t>
            </w:r>
            <w:r>
              <w:rPr>
                <w:rFonts w:hint="eastAsia" w:ascii="宋体" w:hAnsi="宋体" w:cs="宋体"/>
                <w:color w:val="auto"/>
                <w:szCs w:val="21"/>
                <w:highlight w:val="none"/>
                <w:lang w:val="en-US" w:eastAsia="zh-CN"/>
              </w:rPr>
              <w:t>服务</w:t>
            </w:r>
            <w:r>
              <w:rPr>
                <w:rFonts w:hint="eastAsia" w:ascii="宋体" w:hAnsi="宋体"/>
                <w:color w:val="auto"/>
                <w:szCs w:val="21"/>
                <w:highlight w:val="none"/>
              </w:rPr>
              <w:t>。</w:t>
            </w:r>
          </w:p>
          <w:p w14:paraId="12463955">
            <w:pPr>
              <w:spacing w:line="400" w:lineRule="exact"/>
              <w:jc w:val="left"/>
              <w:rPr>
                <w:rFonts w:ascii="宋体" w:hAnsi="宋体" w:cs="宋体"/>
                <w:color w:val="auto"/>
                <w:szCs w:val="21"/>
                <w:highlight w:val="none"/>
                <w:lang w:val="zh-CN"/>
              </w:rPr>
            </w:pPr>
            <w:r>
              <w:rPr>
                <w:rFonts w:ascii="宋体" w:hAnsi="宋体"/>
                <w:color w:val="auto"/>
                <w:szCs w:val="21"/>
                <w:highlight w:val="none"/>
              </w:rPr>
              <w:t>2.</w:t>
            </w:r>
            <w:r>
              <w:rPr>
                <w:rFonts w:hint="eastAsia" w:ascii="宋体" w:hAnsi="宋体"/>
                <w:color w:val="auto"/>
                <w:szCs w:val="21"/>
                <w:highlight w:val="none"/>
              </w:rPr>
              <w:t>服务地点：广西北海采购人指定地点。</w:t>
            </w:r>
          </w:p>
        </w:tc>
      </w:tr>
      <w:tr w14:paraId="70B9C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2127" w:type="dxa"/>
            <w:vAlign w:val="center"/>
          </w:tcPr>
          <w:p w14:paraId="2D7967CC">
            <w:pPr>
              <w:spacing w:line="400" w:lineRule="exact"/>
              <w:jc w:val="center"/>
              <w:rPr>
                <w:rFonts w:ascii="宋体" w:hAnsi="宋体" w:cs="宋体"/>
                <w:color w:val="auto"/>
                <w:szCs w:val="21"/>
                <w:highlight w:val="none"/>
              </w:rPr>
            </w:pPr>
            <w:r>
              <w:rPr>
                <w:rFonts w:ascii="宋体" w:hAnsi="宋体"/>
                <w:color w:val="auto"/>
                <w:szCs w:val="21"/>
                <w:highlight w:val="none"/>
              </w:rPr>
              <w:t>▲</w:t>
            </w:r>
            <w:r>
              <w:rPr>
                <w:rFonts w:hint="eastAsia" w:ascii="宋体" w:hAnsi="宋体"/>
                <w:color w:val="auto"/>
                <w:szCs w:val="21"/>
                <w:highlight w:val="none"/>
              </w:rPr>
              <w:t>合同签订日期</w:t>
            </w:r>
          </w:p>
        </w:tc>
        <w:tc>
          <w:tcPr>
            <w:tcW w:w="6515" w:type="dxa"/>
            <w:vAlign w:val="center"/>
          </w:tcPr>
          <w:p w14:paraId="5ACC6014">
            <w:pPr>
              <w:spacing w:line="400" w:lineRule="exact"/>
              <w:jc w:val="left"/>
              <w:rPr>
                <w:rFonts w:ascii="宋体" w:hAnsi="宋体" w:cs="宋体"/>
                <w:color w:val="auto"/>
                <w:szCs w:val="21"/>
                <w:highlight w:val="none"/>
                <w:lang w:val="zh-CN"/>
              </w:rPr>
            </w:pPr>
            <w:r>
              <w:rPr>
                <w:rFonts w:hint="eastAsia" w:ascii="宋体" w:hAnsi="宋体"/>
                <w:color w:val="auto"/>
                <w:kern w:val="0"/>
                <w:szCs w:val="21"/>
                <w:highlight w:val="none"/>
              </w:rPr>
              <w:t>自成交通知书发出之日起</w:t>
            </w:r>
            <w:r>
              <w:rPr>
                <w:rFonts w:ascii="宋体" w:hAnsi="宋体"/>
                <w:color w:val="auto"/>
                <w:szCs w:val="21"/>
                <w:highlight w:val="none"/>
              </w:rPr>
              <w:t>25</w:t>
            </w:r>
            <w:r>
              <w:rPr>
                <w:rFonts w:hint="eastAsia" w:ascii="宋体" w:hAnsi="宋体"/>
                <w:color w:val="auto"/>
                <w:kern w:val="0"/>
                <w:szCs w:val="21"/>
                <w:highlight w:val="none"/>
              </w:rPr>
              <w:t>日内。</w:t>
            </w:r>
          </w:p>
        </w:tc>
      </w:tr>
      <w:tr w14:paraId="18ECF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2127" w:type="dxa"/>
            <w:vAlign w:val="center"/>
          </w:tcPr>
          <w:p w14:paraId="3EFF2E6A">
            <w:pPr>
              <w:spacing w:line="400" w:lineRule="exact"/>
              <w:jc w:val="center"/>
              <w:rPr>
                <w:rFonts w:ascii="宋体" w:hAnsi="宋体" w:cs="宋体"/>
                <w:color w:val="auto"/>
                <w:szCs w:val="21"/>
                <w:highlight w:val="none"/>
                <w:lang w:val="zh-CN"/>
              </w:rPr>
            </w:pPr>
            <w:r>
              <w:rPr>
                <w:rFonts w:ascii="宋体" w:hAnsi="宋体"/>
                <w:color w:val="auto"/>
                <w:szCs w:val="21"/>
                <w:highlight w:val="none"/>
              </w:rPr>
              <w:t>▲</w:t>
            </w:r>
            <w:r>
              <w:rPr>
                <w:rFonts w:hint="eastAsia" w:ascii="宋体" w:hAnsi="宋体"/>
                <w:color w:val="auto"/>
                <w:szCs w:val="21"/>
                <w:highlight w:val="none"/>
              </w:rPr>
              <w:t>履约保证金</w:t>
            </w:r>
          </w:p>
        </w:tc>
        <w:tc>
          <w:tcPr>
            <w:tcW w:w="6515" w:type="dxa"/>
            <w:vAlign w:val="center"/>
          </w:tcPr>
          <w:p w14:paraId="4BE114FF">
            <w:pPr>
              <w:spacing w:line="400" w:lineRule="exact"/>
              <w:rPr>
                <w:rFonts w:ascii="宋体" w:hAnsi="宋体" w:cs="宋体"/>
                <w:color w:val="auto"/>
                <w:szCs w:val="21"/>
                <w:highlight w:val="none"/>
                <w:lang w:val="zh-CN"/>
              </w:rPr>
            </w:pPr>
            <w:r>
              <w:rPr>
                <w:rFonts w:hint="eastAsia" w:ascii="宋体" w:hAnsi="宋体" w:cs="宋体"/>
                <w:color w:val="auto"/>
                <w:szCs w:val="21"/>
                <w:highlight w:val="none"/>
                <w:lang w:val="zh-CN"/>
              </w:rPr>
              <w:t>成交通知书发出后合同签订前，成交人应向采购人足额交纳履约保证金。</w:t>
            </w:r>
            <w:r>
              <w:rPr>
                <w:rFonts w:hint="eastAsia" w:ascii="宋体" w:hAnsi="宋体"/>
                <w:color w:val="auto"/>
                <w:kern w:val="0"/>
                <w:szCs w:val="21"/>
                <w:highlight w:val="none"/>
              </w:rPr>
              <w:t>履约保证金金额：合同总金额的5%（中小企业交纳数额为合同总金额的2%）。</w:t>
            </w:r>
            <w:r>
              <w:rPr>
                <w:rFonts w:hint="eastAsia" w:ascii="宋体" w:hAnsi="宋体" w:cs="宋体"/>
                <w:color w:val="auto"/>
                <w:szCs w:val="21"/>
                <w:highlight w:val="none"/>
                <w:lang w:val="zh-CN"/>
              </w:rPr>
              <w:t>履约保证金按采购文件规定退还。</w:t>
            </w:r>
          </w:p>
        </w:tc>
      </w:tr>
      <w:tr w14:paraId="59684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2127" w:type="dxa"/>
            <w:vAlign w:val="center"/>
          </w:tcPr>
          <w:p w14:paraId="3AF9CB34">
            <w:pPr>
              <w:spacing w:line="400" w:lineRule="exact"/>
              <w:jc w:val="center"/>
              <w:rPr>
                <w:rFonts w:ascii="宋体" w:hAnsi="宋体" w:cs="宋体"/>
                <w:color w:val="auto"/>
                <w:szCs w:val="21"/>
                <w:highlight w:val="none"/>
                <w:lang w:val="zh-CN"/>
              </w:rPr>
            </w:pPr>
            <w:r>
              <w:rPr>
                <w:rFonts w:ascii="宋体" w:hAnsi="宋体" w:cs="宋体"/>
                <w:color w:val="auto"/>
                <w:szCs w:val="21"/>
                <w:highlight w:val="none"/>
              </w:rPr>
              <w:t>▲付款条件</w:t>
            </w:r>
          </w:p>
        </w:tc>
        <w:tc>
          <w:tcPr>
            <w:tcW w:w="6515" w:type="dxa"/>
            <w:vAlign w:val="center"/>
          </w:tcPr>
          <w:p w14:paraId="6752B753">
            <w:pPr>
              <w:spacing w:line="400" w:lineRule="exact"/>
              <w:rPr>
                <w:rFonts w:hint="eastAsia"/>
                <w:color w:val="auto"/>
                <w:highlight w:val="none"/>
              </w:rPr>
            </w:pPr>
            <w:r>
              <w:rPr>
                <w:rFonts w:hint="eastAsia"/>
                <w:color w:val="auto"/>
                <w:highlight w:val="none"/>
              </w:rPr>
              <w:t>合同签订后，且财政资金到位后，</w:t>
            </w:r>
            <w:r>
              <w:rPr>
                <w:rFonts w:hint="eastAsia"/>
                <w:color w:val="auto"/>
                <w:highlight w:val="none"/>
                <w:lang w:eastAsia="zh-CN"/>
              </w:rPr>
              <w:t>采购人</w:t>
            </w:r>
            <w:r>
              <w:rPr>
                <w:rFonts w:hint="eastAsia"/>
                <w:color w:val="auto"/>
                <w:highlight w:val="none"/>
              </w:rPr>
              <w:t>收到</w:t>
            </w:r>
            <w:r>
              <w:rPr>
                <w:rFonts w:hint="eastAsia"/>
                <w:color w:val="auto"/>
                <w:highlight w:val="none"/>
                <w:lang w:eastAsia="zh-CN"/>
              </w:rPr>
              <w:t>成交人</w:t>
            </w:r>
            <w:r>
              <w:rPr>
                <w:rFonts w:hint="eastAsia"/>
                <w:color w:val="auto"/>
                <w:highlight w:val="none"/>
              </w:rPr>
              <w:t>出具的符合国家税务规定及</w:t>
            </w:r>
            <w:r>
              <w:rPr>
                <w:rFonts w:hint="eastAsia"/>
                <w:color w:val="auto"/>
                <w:highlight w:val="none"/>
                <w:lang w:eastAsia="zh-CN"/>
              </w:rPr>
              <w:t>采购人</w:t>
            </w:r>
            <w:r>
              <w:rPr>
                <w:rFonts w:hint="eastAsia"/>
                <w:color w:val="auto"/>
                <w:highlight w:val="none"/>
              </w:rPr>
              <w:t>财务要求的有效增值税发票后10个工作日内向</w:t>
            </w:r>
            <w:r>
              <w:rPr>
                <w:rFonts w:hint="eastAsia"/>
                <w:color w:val="auto"/>
                <w:highlight w:val="none"/>
                <w:lang w:eastAsia="zh-CN"/>
              </w:rPr>
              <w:t>成交人</w:t>
            </w:r>
            <w:r>
              <w:rPr>
                <w:rFonts w:hint="eastAsia"/>
                <w:color w:val="auto"/>
                <w:highlight w:val="none"/>
              </w:rPr>
              <w:t>支付合同总金额的50%；如</w:t>
            </w:r>
            <w:r>
              <w:rPr>
                <w:rFonts w:hint="eastAsia"/>
                <w:color w:val="auto"/>
                <w:highlight w:val="none"/>
                <w:lang w:eastAsia="zh-CN"/>
              </w:rPr>
              <w:t>成交人</w:t>
            </w:r>
            <w:r>
              <w:rPr>
                <w:rFonts w:hint="eastAsia"/>
                <w:color w:val="auto"/>
                <w:highlight w:val="none"/>
              </w:rPr>
              <w:t>发票存在不符合国家税务规定或与本合同约定金额、项目明显不一致的情形，</w:t>
            </w:r>
            <w:r>
              <w:rPr>
                <w:rFonts w:hint="eastAsia"/>
                <w:color w:val="auto"/>
                <w:highlight w:val="none"/>
                <w:lang w:eastAsia="zh-CN"/>
              </w:rPr>
              <w:t>采购人</w:t>
            </w:r>
            <w:r>
              <w:rPr>
                <w:rFonts w:hint="eastAsia"/>
                <w:color w:val="auto"/>
                <w:highlight w:val="none"/>
              </w:rPr>
              <w:t>有权书面通知</w:t>
            </w:r>
            <w:r>
              <w:rPr>
                <w:rFonts w:hint="eastAsia"/>
                <w:color w:val="auto"/>
                <w:highlight w:val="none"/>
                <w:lang w:eastAsia="zh-CN"/>
              </w:rPr>
              <w:t>成交人</w:t>
            </w:r>
            <w:r>
              <w:rPr>
                <w:rFonts w:hint="eastAsia"/>
                <w:color w:val="auto"/>
                <w:highlight w:val="none"/>
              </w:rPr>
              <w:t>限期更正，</w:t>
            </w:r>
            <w:r>
              <w:rPr>
                <w:rFonts w:hint="eastAsia"/>
                <w:color w:val="auto"/>
                <w:highlight w:val="none"/>
                <w:lang w:eastAsia="zh-CN"/>
              </w:rPr>
              <w:t>成交人</w:t>
            </w:r>
            <w:r>
              <w:rPr>
                <w:rFonts w:hint="eastAsia"/>
                <w:color w:val="auto"/>
                <w:highlight w:val="none"/>
              </w:rPr>
              <w:t>按要求更正且符合法律法规规定后</w:t>
            </w:r>
            <w:r>
              <w:rPr>
                <w:rFonts w:hint="eastAsia"/>
                <w:color w:val="auto"/>
                <w:highlight w:val="none"/>
                <w:lang w:eastAsia="zh-CN"/>
              </w:rPr>
              <w:t>采购人</w:t>
            </w:r>
            <w:r>
              <w:rPr>
                <w:rFonts w:hint="eastAsia"/>
                <w:color w:val="auto"/>
                <w:highlight w:val="none"/>
              </w:rPr>
              <w:t>应按前述期限付款。</w:t>
            </w:r>
          </w:p>
          <w:p w14:paraId="0338B3CA">
            <w:pPr>
              <w:spacing w:line="400" w:lineRule="exact"/>
              <w:rPr>
                <w:rFonts w:hint="eastAsia"/>
                <w:color w:val="auto"/>
                <w:highlight w:val="none"/>
              </w:rPr>
            </w:pPr>
            <w:r>
              <w:rPr>
                <w:rFonts w:hint="eastAsia"/>
                <w:color w:val="auto"/>
                <w:highlight w:val="none"/>
              </w:rPr>
              <w:t>如因项目开展需要，需提前支付部分款项的，</w:t>
            </w:r>
            <w:r>
              <w:rPr>
                <w:rFonts w:hint="eastAsia"/>
                <w:color w:val="auto"/>
                <w:highlight w:val="none"/>
                <w:lang w:eastAsia="zh-CN"/>
              </w:rPr>
              <w:t>成交人</w:t>
            </w:r>
            <w:r>
              <w:rPr>
                <w:rFonts w:hint="eastAsia"/>
                <w:color w:val="auto"/>
                <w:highlight w:val="none"/>
              </w:rPr>
              <w:t>向</w:t>
            </w:r>
            <w:r>
              <w:rPr>
                <w:rFonts w:hint="eastAsia"/>
                <w:color w:val="auto"/>
                <w:highlight w:val="none"/>
                <w:lang w:eastAsia="zh-CN"/>
              </w:rPr>
              <w:t>采购人</w:t>
            </w:r>
            <w:r>
              <w:rPr>
                <w:rFonts w:hint="eastAsia"/>
                <w:color w:val="auto"/>
                <w:highlight w:val="none"/>
              </w:rPr>
              <w:t>提出申请。</w:t>
            </w:r>
            <w:r>
              <w:rPr>
                <w:rFonts w:hint="eastAsia"/>
                <w:color w:val="auto"/>
                <w:highlight w:val="none"/>
                <w:lang w:eastAsia="zh-CN"/>
              </w:rPr>
              <w:t>采购人</w:t>
            </w:r>
            <w:r>
              <w:rPr>
                <w:rFonts w:hint="eastAsia"/>
                <w:color w:val="auto"/>
                <w:highlight w:val="none"/>
              </w:rPr>
              <w:t>在收到</w:t>
            </w:r>
            <w:r>
              <w:rPr>
                <w:rFonts w:hint="eastAsia"/>
                <w:color w:val="auto"/>
                <w:highlight w:val="none"/>
                <w:lang w:eastAsia="zh-CN"/>
              </w:rPr>
              <w:t>成交人</w:t>
            </w:r>
            <w:r>
              <w:rPr>
                <w:rFonts w:hint="eastAsia"/>
                <w:color w:val="auto"/>
                <w:highlight w:val="none"/>
              </w:rPr>
              <w:t>对应金额的、符合国家税务规定及</w:t>
            </w:r>
            <w:r>
              <w:rPr>
                <w:rFonts w:hint="eastAsia"/>
                <w:color w:val="auto"/>
                <w:highlight w:val="none"/>
                <w:lang w:eastAsia="zh-CN"/>
              </w:rPr>
              <w:t>采购人</w:t>
            </w:r>
            <w:r>
              <w:rPr>
                <w:rFonts w:hint="eastAsia"/>
                <w:color w:val="auto"/>
                <w:highlight w:val="none"/>
              </w:rPr>
              <w:t>财务要求的有效增值税发票且财政资金到位后，应在5个工作日内书面告知</w:t>
            </w:r>
            <w:r>
              <w:rPr>
                <w:rFonts w:hint="eastAsia"/>
                <w:color w:val="auto"/>
                <w:highlight w:val="none"/>
                <w:lang w:eastAsia="zh-CN"/>
              </w:rPr>
              <w:t>成交人</w:t>
            </w:r>
            <w:r>
              <w:rPr>
                <w:rFonts w:hint="eastAsia"/>
                <w:color w:val="auto"/>
                <w:highlight w:val="none"/>
              </w:rPr>
              <w:t>是否支付及具体支付金额。</w:t>
            </w:r>
            <w:r>
              <w:rPr>
                <w:rFonts w:hint="eastAsia"/>
                <w:color w:val="auto"/>
                <w:highlight w:val="none"/>
                <w:lang w:eastAsia="zh-CN"/>
              </w:rPr>
              <w:t>采购人</w:t>
            </w:r>
            <w:r>
              <w:rPr>
                <w:rFonts w:hint="eastAsia"/>
                <w:color w:val="auto"/>
                <w:highlight w:val="none"/>
              </w:rPr>
              <w:t>有权根据项目进度、预算执行情况及资金安排自主决定是否支付及具体支付金额，且无需就不同意支付或调整支付金额向</w:t>
            </w:r>
            <w:r>
              <w:rPr>
                <w:rFonts w:hint="eastAsia"/>
                <w:color w:val="auto"/>
                <w:highlight w:val="none"/>
                <w:lang w:eastAsia="zh-CN"/>
              </w:rPr>
              <w:t>成交人</w:t>
            </w:r>
            <w:r>
              <w:rPr>
                <w:rFonts w:hint="eastAsia"/>
                <w:color w:val="auto"/>
                <w:highlight w:val="none"/>
              </w:rPr>
              <w:t>承担责任。支付进度款最多至合同总金额的95%。</w:t>
            </w:r>
          </w:p>
          <w:p w14:paraId="66DB8490">
            <w:pPr>
              <w:spacing w:line="400" w:lineRule="exact"/>
              <w:rPr>
                <w:rFonts w:hint="eastAsia" w:ascii="宋体" w:hAnsi="宋体" w:cs="宋体"/>
                <w:color w:val="auto"/>
                <w:szCs w:val="21"/>
                <w:highlight w:val="none"/>
                <w:lang w:val="zh-CN"/>
              </w:rPr>
            </w:pPr>
            <w:r>
              <w:rPr>
                <w:rFonts w:hint="eastAsia"/>
                <w:color w:val="auto"/>
                <w:highlight w:val="none"/>
              </w:rPr>
              <w:t>完成项目工作并出具相应的项目验收报告，经</w:t>
            </w:r>
            <w:r>
              <w:rPr>
                <w:rFonts w:hint="eastAsia"/>
                <w:color w:val="auto"/>
                <w:highlight w:val="none"/>
                <w:lang w:eastAsia="zh-CN"/>
              </w:rPr>
              <w:t>采购人</w:t>
            </w:r>
            <w:r>
              <w:rPr>
                <w:rFonts w:hint="eastAsia"/>
                <w:color w:val="auto"/>
                <w:highlight w:val="none"/>
              </w:rPr>
              <w:t>验收合格后，</w:t>
            </w:r>
            <w:r>
              <w:rPr>
                <w:rFonts w:hint="eastAsia"/>
                <w:color w:val="auto"/>
                <w:highlight w:val="none"/>
                <w:lang w:eastAsia="zh-CN"/>
              </w:rPr>
              <w:t>采购人</w:t>
            </w:r>
            <w:r>
              <w:rPr>
                <w:rFonts w:hint="eastAsia"/>
                <w:color w:val="auto"/>
                <w:highlight w:val="none"/>
              </w:rPr>
              <w:t>在财政资金到位后10个工作日内向</w:t>
            </w:r>
            <w:r>
              <w:rPr>
                <w:rFonts w:hint="eastAsia"/>
                <w:color w:val="auto"/>
                <w:highlight w:val="none"/>
                <w:lang w:eastAsia="zh-CN"/>
              </w:rPr>
              <w:t>成交人</w:t>
            </w:r>
            <w:r>
              <w:rPr>
                <w:rFonts w:hint="eastAsia"/>
                <w:color w:val="auto"/>
                <w:highlight w:val="none"/>
              </w:rPr>
              <w:t>支付剩余款项。因财政资金未到位导致付款顺延的，</w:t>
            </w:r>
            <w:r>
              <w:rPr>
                <w:rFonts w:hint="eastAsia"/>
                <w:color w:val="auto"/>
                <w:highlight w:val="none"/>
                <w:lang w:eastAsia="zh-CN"/>
              </w:rPr>
              <w:t>采购人</w:t>
            </w:r>
            <w:r>
              <w:rPr>
                <w:rFonts w:hint="eastAsia"/>
                <w:color w:val="auto"/>
                <w:highlight w:val="none"/>
              </w:rPr>
              <w:t>应及时书面告知</w:t>
            </w:r>
            <w:r>
              <w:rPr>
                <w:rFonts w:hint="eastAsia"/>
                <w:color w:val="auto"/>
                <w:highlight w:val="none"/>
                <w:lang w:eastAsia="zh-CN"/>
              </w:rPr>
              <w:t>成交人</w:t>
            </w:r>
            <w:r>
              <w:rPr>
                <w:rFonts w:hint="eastAsia"/>
                <w:color w:val="auto"/>
                <w:highlight w:val="none"/>
              </w:rPr>
              <w:t>资金到位情况并在资金到位后及时按约付款；</w:t>
            </w:r>
            <w:r>
              <w:rPr>
                <w:rFonts w:hint="eastAsia"/>
                <w:color w:val="auto"/>
                <w:highlight w:val="none"/>
                <w:lang w:eastAsia="zh-CN"/>
              </w:rPr>
              <w:t>成交人</w:t>
            </w:r>
            <w:r>
              <w:rPr>
                <w:rFonts w:hint="eastAsia"/>
                <w:color w:val="auto"/>
                <w:highlight w:val="none"/>
              </w:rPr>
              <w:t>已完成且经</w:t>
            </w:r>
            <w:r>
              <w:rPr>
                <w:rFonts w:hint="eastAsia"/>
                <w:color w:val="auto"/>
                <w:highlight w:val="none"/>
                <w:lang w:eastAsia="zh-CN"/>
              </w:rPr>
              <w:t>采购人</w:t>
            </w:r>
            <w:r>
              <w:rPr>
                <w:rFonts w:hint="eastAsia"/>
                <w:color w:val="auto"/>
                <w:highlight w:val="none"/>
              </w:rPr>
              <w:t>确认的阶段性成果，应按本合同约定及时结算支付。</w:t>
            </w:r>
          </w:p>
        </w:tc>
      </w:tr>
      <w:tr w14:paraId="08FB3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2127" w:type="dxa"/>
            <w:vAlign w:val="center"/>
          </w:tcPr>
          <w:p w14:paraId="75218278">
            <w:pPr>
              <w:spacing w:line="400" w:lineRule="exact"/>
              <w:jc w:val="center"/>
              <w:rPr>
                <w:rFonts w:ascii="宋体" w:hAnsi="宋体" w:cs="宋体"/>
                <w:color w:val="auto"/>
                <w:szCs w:val="21"/>
                <w:highlight w:val="none"/>
                <w:lang w:val="zh-CN"/>
              </w:rPr>
            </w:pPr>
            <w:r>
              <w:rPr>
                <w:rFonts w:ascii="宋体" w:hAnsi="宋体" w:cs="宋体"/>
                <w:color w:val="auto"/>
                <w:szCs w:val="21"/>
                <w:highlight w:val="none"/>
              </w:rPr>
              <w:t>▲</w:t>
            </w:r>
            <w:r>
              <w:rPr>
                <w:rFonts w:hint="eastAsia" w:ascii="宋体" w:hAnsi="宋体" w:cs="宋体"/>
                <w:color w:val="auto"/>
                <w:szCs w:val="21"/>
                <w:highlight w:val="none"/>
              </w:rPr>
              <w:t>质量保证期</w:t>
            </w:r>
          </w:p>
        </w:tc>
        <w:tc>
          <w:tcPr>
            <w:tcW w:w="6515" w:type="dxa"/>
            <w:vAlign w:val="center"/>
          </w:tcPr>
          <w:p w14:paraId="7B873080">
            <w:pPr>
              <w:spacing w:line="400" w:lineRule="exact"/>
              <w:rPr>
                <w:rFonts w:ascii="宋体" w:hAnsi="宋体" w:cs="宋体"/>
                <w:color w:val="auto"/>
                <w:szCs w:val="21"/>
                <w:highlight w:val="none"/>
                <w:lang w:val="zh-CN"/>
              </w:rPr>
            </w:pPr>
            <w:r>
              <w:rPr>
                <w:rFonts w:hint="eastAsia" w:ascii="宋体" w:hAnsi="宋体" w:cs="宋体"/>
                <w:color w:val="auto"/>
                <w:szCs w:val="21"/>
                <w:highlight w:val="none"/>
                <w:lang w:val="zh-CN"/>
              </w:rPr>
              <w:t>1.硬件类自项目验收合格并交付使用之日起质保期</w:t>
            </w:r>
            <w:r>
              <w:rPr>
                <w:rFonts w:hint="eastAsia" w:ascii="宋体" w:hAnsi="宋体" w:cs="宋体"/>
                <w:color w:val="auto"/>
                <w:szCs w:val="21"/>
                <w:highlight w:val="none"/>
              </w:rPr>
              <w:t>2</w:t>
            </w:r>
            <w:r>
              <w:rPr>
                <w:rFonts w:hint="eastAsia" w:ascii="宋体" w:hAnsi="宋体" w:cs="宋体"/>
                <w:color w:val="auto"/>
                <w:szCs w:val="21"/>
                <w:highlight w:val="none"/>
                <w:lang w:val="zh-CN"/>
              </w:rPr>
              <w:t>年；软件类自项目验收合格并交付使用后1年软件维护（费用包含在</w:t>
            </w:r>
            <w:r>
              <w:rPr>
                <w:rFonts w:hint="eastAsia" w:ascii="宋体" w:hAnsi="宋体" w:cs="宋体"/>
                <w:color w:val="auto"/>
                <w:szCs w:val="21"/>
                <w:highlight w:val="none"/>
                <w:lang w:val="en-US" w:eastAsia="zh-CN"/>
              </w:rPr>
              <w:t>竞标</w:t>
            </w:r>
            <w:r>
              <w:rPr>
                <w:rFonts w:hint="eastAsia" w:ascii="宋体" w:hAnsi="宋体" w:cs="宋体"/>
                <w:color w:val="auto"/>
                <w:szCs w:val="21"/>
                <w:highlight w:val="none"/>
                <w:lang w:val="zh-CN"/>
              </w:rPr>
              <w:t>报价中，采购人不在另行支付任何费用）。质保期内负责上门维修、更换零配件。</w:t>
            </w:r>
          </w:p>
          <w:p w14:paraId="4DD6D967">
            <w:pPr>
              <w:spacing w:line="400" w:lineRule="exact"/>
              <w:rPr>
                <w:rFonts w:ascii="宋体" w:hAnsi="宋体" w:cs="宋体"/>
                <w:color w:val="auto"/>
                <w:szCs w:val="21"/>
                <w:highlight w:val="none"/>
                <w:lang w:val="zh-CN"/>
              </w:rPr>
            </w:pPr>
            <w:r>
              <w:rPr>
                <w:rFonts w:hint="eastAsia" w:ascii="宋体" w:hAnsi="宋体" w:cs="宋体"/>
                <w:color w:val="auto"/>
                <w:szCs w:val="21"/>
                <w:highlight w:val="none"/>
                <w:lang w:val="zh-CN"/>
              </w:rPr>
              <w:t>2.</w:t>
            </w:r>
            <w:r>
              <w:rPr>
                <w:rFonts w:hint="eastAsia" w:ascii="宋体" w:hAnsi="宋体" w:cs="宋体"/>
                <w:color w:val="auto"/>
                <w:szCs w:val="21"/>
                <w:highlight w:val="none"/>
              </w:rPr>
              <w:t>供应商</w:t>
            </w:r>
            <w:r>
              <w:rPr>
                <w:rFonts w:hint="eastAsia" w:ascii="宋体" w:hAnsi="宋体" w:cs="宋体"/>
                <w:color w:val="auto"/>
                <w:szCs w:val="21"/>
                <w:highlight w:val="none"/>
                <w:lang w:val="zh-CN"/>
              </w:rPr>
              <w:t>负责1年的整体运营和维护，包括但不限于数据采集更新、现场技术支持和系统业务培训等。提供前端监控点位电力供应服务1年。终端设备在线率和系统无故障运行在线率全年不低于95%。</w:t>
            </w:r>
          </w:p>
        </w:tc>
      </w:tr>
      <w:tr w14:paraId="4880B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2127" w:type="dxa"/>
            <w:vAlign w:val="center"/>
          </w:tcPr>
          <w:p w14:paraId="01E0172B">
            <w:pPr>
              <w:spacing w:line="400" w:lineRule="exact"/>
              <w:jc w:val="center"/>
              <w:rPr>
                <w:rFonts w:ascii="宋体" w:hAnsi="宋体" w:cs="宋体"/>
                <w:color w:val="auto"/>
                <w:szCs w:val="21"/>
                <w:highlight w:val="none"/>
              </w:rPr>
            </w:pPr>
            <w:r>
              <w:rPr>
                <w:rFonts w:ascii="宋体" w:hAnsi="宋体" w:cs="宋体"/>
                <w:color w:val="auto"/>
                <w:szCs w:val="21"/>
                <w:highlight w:val="none"/>
              </w:rPr>
              <w:t>▲包装和运输</w:t>
            </w:r>
          </w:p>
        </w:tc>
        <w:tc>
          <w:tcPr>
            <w:tcW w:w="6515" w:type="dxa"/>
            <w:vAlign w:val="center"/>
          </w:tcPr>
          <w:p w14:paraId="3FE88218">
            <w:pPr>
              <w:spacing w:line="400" w:lineRule="exact"/>
              <w:jc w:val="left"/>
              <w:rPr>
                <w:rFonts w:ascii="宋体" w:hAnsi="宋体" w:cs="宋体"/>
                <w:color w:val="auto"/>
                <w:szCs w:val="21"/>
                <w:highlight w:val="none"/>
                <w:lang w:val="zh-CN"/>
              </w:rPr>
            </w:pPr>
            <w:r>
              <w:rPr>
                <w:rFonts w:hint="eastAsia" w:ascii="宋体" w:hAnsi="宋体" w:cs="宋体"/>
                <w:color w:val="auto"/>
                <w:szCs w:val="21"/>
                <w:highlight w:val="none"/>
              </w:rPr>
              <w:t>1.供应商</w:t>
            </w:r>
            <w:r>
              <w:rPr>
                <w:rFonts w:hint="eastAsia" w:ascii="宋体" w:hAnsi="宋体" w:cs="宋体"/>
                <w:color w:val="auto"/>
                <w:szCs w:val="21"/>
                <w:highlight w:val="none"/>
                <w:lang w:val="zh-CN"/>
              </w:rPr>
              <w:t>提供的货物按</w:t>
            </w:r>
            <w:r>
              <w:rPr>
                <w:rFonts w:hint="eastAsia" w:ascii="宋体" w:hAnsi="宋体" w:cs="宋体"/>
                <w:color w:val="auto"/>
                <w:szCs w:val="21"/>
                <w:highlight w:val="none"/>
              </w:rPr>
              <w:t>采购</w:t>
            </w:r>
            <w:r>
              <w:rPr>
                <w:rFonts w:hint="eastAsia" w:ascii="宋体" w:hAnsi="宋体" w:cs="宋体"/>
                <w:color w:val="auto"/>
                <w:szCs w:val="21"/>
                <w:highlight w:val="none"/>
                <w:lang w:val="zh-CN"/>
              </w:rPr>
              <w:t>文件规定或者</w:t>
            </w:r>
            <w:r>
              <w:rPr>
                <w:rFonts w:hint="eastAsia" w:ascii="宋体" w:hAnsi="宋体" w:cs="宋体"/>
                <w:color w:val="auto"/>
                <w:szCs w:val="21"/>
                <w:highlight w:val="none"/>
              </w:rPr>
              <w:t>响应</w:t>
            </w:r>
            <w:r>
              <w:rPr>
                <w:rFonts w:hint="eastAsia" w:ascii="宋体" w:hAnsi="宋体" w:cs="宋体"/>
                <w:color w:val="auto"/>
                <w:szCs w:val="21"/>
                <w:highlight w:val="none"/>
                <w:lang w:val="zh-CN"/>
              </w:rPr>
              <w:t>文件承诺的要求的包装材料、包装标准、包装方式进行包装，附详细的装箱单和质量合格证。</w:t>
            </w:r>
          </w:p>
          <w:p w14:paraId="0805236B">
            <w:pPr>
              <w:spacing w:line="400" w:lineRule="exact"/>
              <w:jc w:val="left"/>
              <w:rPr>
                <w:rFonts w:ascii="宋体" w:hAnsi="宋体" w:cs="宋体"/>
                <w:color w:val="auto"/>
                <w:szCs w:val="21"/>
                <w:highlight w:val="none"/>
                <w:lang w:val="zh-CN"/>
              </w:rPr>
            </w:pPr>
            <w:r>
              <w:rPr>
                <w:rFonts w:hint="eastAsia" w:ascii="宋体" w:hAnsi="宋体" w:cs="宋体"/>
                <w:color w:val="auto"/>
                <w:szCs w:val="21"/>
                <w:highlight w:val="none"/>
                <w:lang w:val="zh-CN"/>
              </w:rPr>
              <w:t>2.运输方式：不限制货物的运输方式。</w:t>
            </w:r>
          </w:p>
        </w:tc>
      </w:tr>
      <w:tr w14:paraId="562BE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2127" w:type="dxa"/>
            <w:vAlign w:val="center"/>
          </w:tcPr>
          <w:p w14:paraId="7A1933EA">
            <w:pPr>
              <w:spacing w:line="400" w:lineRule="exact"/>
              <w:jc w:val="center"/>
              <w:rPr>
                <w:rFonts w:ascii="宋体" w:hAnsi="宋体" w:cs="宋体"/>
                <w:color w:val="auto"/>
                <w:szCs w:val="21"/>
                <w:highlight w:val="none"/>
              </w:rPr>
            </w:pPr>
            <w:r>
              <w:rPr>
                <w:rFonts w:ascii="宋体" w:hAnsi="宋体" w:cs="宋体"/>
                <w:color w:val="auto"/>
                <w:szCs w:val="21"/>
                <w:highlight w:val="none"/>
              </w:rPr>
              <w:t>▲售后服务</w:t>
            </w:r>
          </w:p>
        </w:tc>
        <w:tc>
          <w:tcPr>
            <w:tcW w:w="6515" w:type="dxa"/>
            <w:vAlign w:val="center"/>
          </w:tcPr>
          <w:p w14:paraId="1C54A3ED">
            <w:pPr>
              <w:spacing w:line="400" w:lineRule="exact"/>
              <w:rPr>
                <w:rFonts w:ascii="宋体" w:hAnsi="宋体" w:cs="宋体"/>
                <w:color w:val="auto"/>
                <w:szCs w:val="21"/>
                <w:highlight w:val="none"/>
                <w:lang w:val="zh-CN"/>
              </w:rPr>
            </w:pPr>
            <w:r>
              <w:rPr>
                <w:rFonts w:hint="eastAsia" w:ascii="宋体" w:hAnsi="宋体" w:cs="宋体"/>
                <w:color w:val="auto"/>
                <w:szCs w:val="21"/>
                <w:highlight w:val="none"/>
                <w:lang w:val="zh-CN"/>
              </w:rPr>
              <w:t>1.售后和运维保障服务：</w:t>
            </w:r>
          </w:p>
          <w:p w14:paraId="07818051">
            <w:pPr>
              <w:spacing w:line="400" w:lineRule="exact"/>
              <w:rPr>
                <w:rFonts w:ascii="宋体" w:hAnsi="宋体" w:cs="宋体"/>
                <w:color w:val="auto"/>
                <w:szCs w:val="21"/>
                <w:highlight w:val="none"/>
                <w:lang w:val="zh-CN"/>
              </w:rPr>
            </w:pPr>
            <w:r>
              <w:rPr>
                <w:rFonts w:hint="eastAsia" w:ascii="宋体" w:hAnsi="宋体" w:cs="宋体"/>
                <w:color w:val="auto"/>
                <w:szCs w:val="21"/>
                <w:highlight w:val="none"/>
                <w:lang w:val="zh-CN"/>
              </w:rPr>
              <w:t>（1）按国家有关规定实行产品“三包”；</w:t>
            </w:r>
          </w:p>
          <w:p w14:paraId="1B6470AB">
            <w:pPr>
              <w:spacing w:line="400" w:lineRule="exact"/>
              <w:rPr>
                <w:rFonts w:ascii="宋体" w:hAnsi="宋体" w:cs="宋体"/>
                <w:color w:val="auto"/>
                <w:szCs w:val="21"/>
                <w:highlight w:val="none"/>
                <w:lang w:val="zh-CN"/>
              </w:rPr>
            </w:pPr>
            <w:r>
              <w:rPr>
                <w:rFonts w:hint="eastAsia" w:ascii="宋体" w:hAnsi="宋体" w:cs="宋体"/>
                <w:color w:val="auto"/>
                <w:szCs w:val="21"/>
                <w:highlight w:val="none"/>
                <w:lang w:val="zh-CN"/>
              </w:rPr>
              <w:t>（2）负责送货上门，安装调试，培训操作人员；</w:t>
            </w:r>
          </w:p>
          <w:p w14:paraId="1A0D20D0">
            <w:pPr>
              <w:spacing w:line="400" w:lineRule="exact"/>
              <w:rPr>
                <w:rFonts w:ascii="宋体" w:hAnsi="宋体" w:cs="宋体"/>
                <w:color w:val="auto"/>
                <w:szCs w:val="21"/>
                <w:highlight w:val="none"/>
                <w:lang w:val="zh-CN"/>
              </w:rPr>
            </w:pPr>
            <w:r>
              <w:rPr>
                <w:rFonts w:hint="eastAsia" w:ascii="宋体" w:hAnsi="宋体" w:cs="宋体"/>
                <w:color w:val="auto"/>
                <w:szCs w:val="21"/>
                <w:highlight w:val="none"/>
                <w:lang w:val="zh-CN"/>
              </w:rPr>
              <w:t>（3）提供市电、备发电、网络线路及塔上设备配件维护，包含塔上作业及应急抢修服务，以保证系统正常运行，并承担一切相关费用；</w:t>
            </w:r>
          </w:p>
          <w:p w14:paraId="7EE4C92A">
            <w:pPr>
              <w:spacing w:line="400" w:lineRule="exact"/>
              <w:rPr>
                <w:rFonts w:ascii="宋体" w:hAnsi="宋体" w:cs="宋体"/>
                <w:color w:val="auto"/>
                <w:szCs w:val="21"/>
                <w:highlight w:val="none"/>
                <w:lang w:val="zh-CN"/>
              </w:rPr>
            </w:pPr>
            <w:r>
              <w:rPr>
                <w:rFonts w:hint="eastAsia" w:ascii="宋体" w:hAnsi="宋体" w:cs="宋体"/>
                <w:color w:val="auto"/>
                <w:szCs w:val="21"/>
                <w:highlight w:val="none"/>
                <w:lang w:val="zh-CN"/>
              </w:rPr>
              <w:t>（4）接到采购人故障通知后4小时内响应，优先采取远程技术支持方式开展故障排查与恢复工作，远程解决不了的故障，必须在24小时内到达现场提供技术支持，以保证系统正常运行，并承担一切相关费用；</w:t>
            </w:r>
          </w:p>
          <w:p w14:paraId="4968F3ED">
            <w:pPr>
              <w:spacing w:line="400" w:lineRule="exact"/>
              <w:rPr>
                <w:rFonts w:ascii="宋体" w:hAnsi="宋体" w:cs="宋体"/>
                <w:color w:val="auto"/>
                <w:szCs w:val="21"/>
                <w:highlight w:val="none"/>
                <w:lang w:val="zh-CN"/>
              </w:rPr>
            </w:pPr>
            <w:r>
              <w:rPr>
                <w:rFonts w:hint="eastAsia" w:ascii="宋体" w:hAnsi="宋体" w:cs="宋体"/>
                <w:color w:val="auto"/>
                <w:szCs w:val="21"/>
                <w:highlight w:val="none"/>
                <w:lang w:val="zh-CN"/>
              </w:rPr>
              <w:t>（5）质保期内定期回访以及维修；</w:t>
            </w:r>
          </w:p>
          <w:p w14:paraId="717B396A">
            <w:pPr>
              <w:spacing w:line="400" w:lineRule="exact"/>
              <w:rPr>
                <w:rFonts w:ascii="宋体" w:hAnsi="宋体" w:cs="宋体"/>
                <w:color w:val="auto"/>
                <w:szCs w:val="21"/>
                <w:highlight w:val="none"/>
                <w:lang w:val="zh-CN"/>
              </w:rPr>
            </w:pPr>
            <w:r>
              <w:rPr>
                <w:rFonts w:hint="eastAsia" w:ascii="宋体" w:hAnsi="宋体" w:cs="宋体"/>
                <w:color w:val="auto"/>
                <w:szCs w:val="21"/>
                <w:highlight w:val="none"/>
                <w:lang w:val="zh-CN"/>
              </w:rPr>
              <w:t>（6）质保期内所有设备负责上门维修服务、更换零部件；</w:t>
            </w:r>
          </w:p>
          <w:p w14:paraId="2E137EFD">
            <w:pPr>
              <w:spacing w:line="400" w:lineRule="exact"/>
              <w:rPr>
                <w:rFonts w:ascii="宋体" w:hAnsi="宋体" w:cs="宋体"/>
                <w:color w:val="auto"/>
                <w:szCs w:val="21"/>
                <w:highlight w:val="none"/>
                <w:lang w:val="zh-CN"/>
              </w:rPr>
            </w:pPr>
            <w:r>
              <w:rPr>
                <w:rFonts w:hint="eastAsia" w:ascii="宋体" w:hAnsi="宋体" w:cs="宋体"/>
                <w:color w:val="auto"/>
                <w:szCs w:val="21"/>
                <w:highlight w:val="none"/>
                <w:lang w:val="zh-CN"/>
              </w:rPr>
              <w:t>（7）服务期间负责项目维护，不得再收取任何费用；</w:t>
            </w:r>
          </w:p>
          <w:p w14:paraId="666B653F">
            <w:pPr>
              <w:spacing w:line="400" w:lineRule="exact"/>
              <w:rPr>
                <w:rFonts w:ascii="宋体" w:hAnsi="宋体" w:cs="宋体"/>
                <w:color w:val="auto"/>
                <w:szCs w:val="21"/>
                <w:highlight w:val="none"/>
                <w:lang w:val="zh-CN"/>
              </w:rPr>
            </w:pPr>
            <w:r>
              <w:rPr>
                <w:rFonts w:hint="eastAsia" w:ascii="宋体" w:hAnsi="宋体" w:cs="宋体"/>
                <w:color w:val="auto"/>
                <w:szCs w:val="21"/>
                <w:highlight w:val="none"/>
                <w:lang w:val="zh-CN"/>
              </w:rPr>
              <w:t>（8）提供365×7×24通过远程、上门服务、电话、E-mail等方式为采购人提供终身完善的售前和售后技术咨询服务；</w:t>
            </w:r>
          </w:p>
          <w:p w14:paraId="37DAD4CD">
            <w:pPr>
              <w:spacing w:line="400" w:lineRule="exact"/>
              <w:rPr>
                <w:rFonts w:ascii="宋体" w:hAnsi="宋体" w:cs="宋体"/>
                <w:color w:val="auto"/>
                <w:szCs w:val="21"/>
                <w:highlight w:val="none"/>
                <w:lang w:val="zh-CN"/>
              </w:rPr>
            </w:pPr>
            <w:r>
              <w:rPr>
                <w:rFonts w:hint="eastAsia" w:ascii="宋体" w:hAnsi="宋体" w:cs="宋体"/>
                <w:color w:val="auto"/>
                <w:szCs w:val="21"/>
                <w:highlight w:val="none"/>
                <w:lang w:val="zh-CN"/>
              </w:rPr>
              <w:t>（9）其余按厂家承诺提供售后服务。</w:t>
            </w:r>
          </w:p>
          <w:p w14:paraId="561519F6">
            <w:pPr>
              <w:spacing w:line="400" w:lineRule="exact"/>
              <w:rPr>
                <w:rFonts w:ascii="宋体" w:hAnsi="宋体" w:cs="宋体"/>
                <w:color w:val="auto"/>
                <w:szCs w:val="21"/>
                <w:highlight w:val="none"/>
                <w:lang w:val="zh-CN"/>
              </w:rPr>
            </w:pPr>
            <w:r>
              <w:rPr>
                <w:rFonts w:hint="eastAsia" w:ascii="宋体" w:hAnsi="宋体" w:cs="宋体"/>
                <w:color w:val="auto"/>
                <w:szCs w:val="21"/>
                <w:highlight w:val="none"/>
                <w:lang w:val="zh-CN"/>
              </w:rPr>
              <w:t>（10）每个月定期维护一次，并提交维护报告给监理单位审定后，出具意见报采购人审批。</w:t>
            </w:r>
          </w:p>
          <w:p w14:paraId="4DC528BD">
            <w:pPr>
              <w:spacing w:line="400" w:lineRule="exact"/>
              <w:rPr>
                <w:rFonts w:ascii="宋体" w:hAnsi="宋体" w:cs="宋体"/>
                <w:color w:val="auto"/>
                <w:szCs w:val="21"/>
                <w:highlight w:val="none"/>
                <w:lang w:val="zh-CN"/>
              </w:rPr>
            </w:pPr>
            <w:r>
              <w:rPr>
                <w:rFonts w:hint="eastAsia" w:ascii="宋体" w:hAnsi="宋体" w:cs="宋体"/>
                <w:color w:val="auto"/>
                <w:szCs w:val="21"/>
                <w:highlight w:val="none"/>
                <w:lang w:val="zh-CN"/>
              </w:rPr>
              <w:t>2.培训：供应商负责培训使用人员和维护人员，内容包括设备及软件系统操作、日常维护，确保熟练掌握全部功能为止，保证设备使用人员掌握设备操作的各种知识和技巧。</w:t>
            </w:r>
          </w:p>
          <w:p w14:paraId="2E5FCFA6">
            <w:pPr>
              <w:spacing w:line="400" w:lineRule="exact"/>
              <w:rPr>
                <w:rFonts w:ascii="宋体" w:hAnsi="宋体" w:cs="宋体"/>
                <w:color w:val="auto"/>
                <w:szCs w:val="21"/>
                <w:highlight w:val="none"/>
                <w:lang w:val="zh-CN"/>
              </w:rPr>
            </w:pPr>
            <w:r>
              <w:rPr>
                <w:rFonts w:hint="eastAsia" w:ascii="宋体" w:hAnsi="宋体" w:cs="宋体"/>
                <w:color w:val="auto"/>
                <w:szCs w:val="21"/>
                <w:highlight w:val="none"/>
                <w:lang w:val="zh-CN"/>
              </w:rPr>
              <w:t>3.技术支持与服务：提供每周7×24小时技术响应服务，供应商应负责所售产品的售后服务，并按照质保要求提供无偿的保修服务；质保期内设备发生不可抗力故障，维修或更换配件所需的全部费用由供应商承担；维修完毕后工程师及时填写维修报告，维修报告包括故障原因、处理情况。</w:t>
            </w:r>
          </w:p>
          <w:p w14:paraId="453969D1">
            <w:pPr>
              <w:spacing w:line="400" w:lineRule="exact"/>
              <w:rPr>
                <w:rFonts w:ascii="宋体" w:hAnsi="宋体" w:cs="宋体"/>
                <w:color w:val="auto"/>
                <w:szCs w:val="21"/>
                <w:highlight w:val="none"/>
                <w:lang w:val="zh-CN"/>
              </w:rPr>
            </w:pPr>
            <w:r>
              <w:rPr>
                <w:rFonts w:hint="eastAsia" w:ascii="宋体" w:hAnsi="宋体" w:cs="宋体"/>
                <w:color w:val="auto"/>
                <w:szCs w:val="21"/>
                <w:highlight w:val="none"/>
                <w:lang w:val="zh-CN"/>
              </w:rPr>
              <w:t>4.供应商若有，请在供货时提供售后服务承诺书（明确保修期、故障响应时间、售后服务技术人员名单和联系方式、定期走访用户周期、保修期限外零配件等）。</w:t>
            </w:r>
          </w:p>
        </w:tc>
      </w:tr>
      <w:tr w14:paraId="42E4C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2127" w:type="dxa"/>
            <w:vAlign w:val="center"/>
          </w:tcPr>
          <w:p w14:paraId="20DA5C77">
            <w:pPr>
              <w:spacing w:line="400" w:lineRule="exact"/>
              <w:jc w:val="center"/>
              <w:rPr>
                <w:rFonts w:ascii="宋体" w:hAnsi="宋体" w:cs="宋体"/>
                <w:color w:val="auto"/>
                <w:szCs w:val="21"/>
                <w:highlight w:val="none"/>
              </w:rPr>
            </w:pPr>
            <w:r>
              <w:rPr>
                <w:rFonts w:ascii="宋体" w:hAnsi="宋体" w:cs="宋体"/>
                <w:color w:val="auto"/>
                <w:szCs w:val="21"/>
                <w:highlight w:val="none"/>
              </w:rPr>
              <w:t>▲保险</w:t>
            </w:r>
          </w:p>
        </w:tc>
        <w:tc>
          <w:tcPr>
            <w:tcW w:w="6515" w:type="dxa"/>
            <w:vAlign w:val="center"/>
          </w:tcPr>
          <w:p w14:paraId="60DBEFDA">
            <w:pPr>
              <w:spacing w:line="400" w:lineRule="exact"/>
              <w:jc w:val="left"/>
              <w:rPr>
                <w:rFonts w:ascii="宋体" w:hAnsi="宋体" w:cs="宋体"/>
                <w:color w:val="auto"/>
                <w:szCs w:val="21"/>
                <w:highlight w:val="none"/>
                <w:lang w:val="zh-CN"/>
              </w:rPr>
            </w:pPr>
            <w:r>
              <w:rPr>
                <w:rFonts w:hint="eastAsia" w:ascii="宋体" w:hAnsi="宋体" w:cs="宋体"/>
                <w:color w:val="auto"/>
                <w:szCs w:val="21"/>
                <w:highlight w:val="none"/>
                <w:lang w:val="zh-CN"/>
              </w:rPr>
              <w:t>由</w:t>
            </w:r>
            <w:r>
              <w:rPr>
                <w:rFonts w:hint="eastAsia" w:ascii="宋体" w:hAnsi="宋体" w:cs="宋体"/>
                <w:color w:val="auto"/>
                <w:szCs w:val="21"/>
                <w:highlight w:val="none"/>
              </w:rPr>
              <w:t>成交供应商</w:t>
            </w:r>
            <w:r>
              <w:rPr>
                <w:rFonts w:hint="eastAsia" w:ascii="宋体" w:hAnsi="宋体" w:cs="宋体"/>
                <w:color w:val="auto"/>
                <w:szCs w:val="21"/>
                <w:highlight w:val="none"/>
                <w:lang w:val="zh-CN"/>
              </w:rPr>
              <w:t>负责所供货物的承保事宜，费用由</w:t>
            </w:r>
            <w:r>
              <w:rPr>
                <w:rFonts w:hint="eastAsia" w:ascii="宋体" w:hAnsi="宋体" w:cs="宋体"/>
                <w:color w:val="auto"/>
                <w:szCs w:val="21"/>
                <w:highlight w:val="none"/>
              </w:rPr>
              <w:t>成交供应商</w:t>
            </w:r>
            <w:r>
              <w:rPr>
                <w:rFonts w:hint="eastAsia" w:ascii="宋体" w:hAnsi="宋体" w:cs="宋体"/>
                <w:color w:val="auto"/>
                <w:szCs w:val="21"/>
                <w:highlight w:val="none"/>
                <w:lang w:val="zh-CN"/>
              </w:rPr>
              <w:t>承担。</w:t>
            </w:r>
          </w:p>
        </w:tc>
      </w:tr>
      <w:tr w14:paraId="12D7A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2127" w:type="dxa"/>
            <w:vAlign w:val="center"/>
          </w:tcPr>
          <w:p w14:paraId="4E13E48F">
            <w:pPr>
              <w:spacing w:line="400" w:lineRule="exact"/>
              <w:jc w:val="center"/>
              <w:rPr>
                <w:rFonts w:ascii="宋体" w:hAnsi="宋体" w:cs="宋体"/>
                <w:color w:val="auto"/>
                <w:szCs w:val="21"/>
                <w:highlight w:val="none"/>
              </w:rPr>
            </w:pPr>
            <w:r>
              <w:rPr>
                <w:rFonts w:ascii="宋体" w:hAnsi="宋体" w:cs="宋体"/>
                <w:color w:val="auto"/>
                <w:szCs w:val="21"/>
                <w:highlight w:val="none"/>
              </w:rPr>
              <w:t>其他要求</w:t>
            </w:r>
          </w:p>
        </w:tc>
        <w:tc>
          <w:tcPr>
            <w:tcW w:w="6515" w:type="dxa"/>
            <w:vAlign w:val="center"/>
          </w:tcPr>
          <w:p w14:paraId="7A5CADAF">
            <w:pPr>
              <w:spacing w:line="400" w:lineRule="exact"/>
              <w:rPr>
                <w:rFonts w:ascii="宋体" w:hAnsi="宋体" w:cs="宋体"/>
                <w:color w:val="auto"/>
                <w:szCs w:val="21"/>
                <w:highlight w:val="none"/>
                <w:lang w:val="zh-CN"/>
              </w:rPr>
            </w:pPr>
            <w:r>
              <w:rPr>
                <w:rFonts w:hint="eastAsia" w:ascii="宋体" w:hAnsi="宋体" w:cs="宋体"/>
                <w:color w:val="auto"/>
                <w:szCs w:val="21"/>
                <w:highlight w:val="none"/>
                <w:lang w:val="zh-CN"/>
              </w:rPr>
              <w:t>1.成交人必须对项目技术文件以及由采购人提供的所有内部材料、技术文档和信息予以保密。成交人必须遵守与采购人签订的保密协议，未经采购人书面许可，成交人不得以任何形式向第三方透露本项目磋商文件以及本项目的任何内容。</w:t>
            </w:r>
          </w:p>
          <w:p w14:paraId="4E29FAA4">
            <w:pPr>
              <w:spacing w:line="400" w:lineRule="exact"/>
              <w:jc w:val="left"/>
              <w:rPr>
                <w:rFonts w:ascii="宋体" w:hAnsi="宋体" w:cs="宋体"/>
                <w:color w:val="auto"/>
                <w:szCs w:val="21"/>
                <w:highlight w:val="none"/>
                <w:lang w:val="zh-CN"/>
              </w:rPr>
            </w:pPr>
            <w:r>
              <w:rPr>
                <w:rFonts w:hint="eastAsia" w:ascii="宋体" w:hAnsi="宋体" w:cs="宋体"/>
                <w:color w:val="auto"/>
                <w:szCs w:val="21"/>
                <w:highlight w:val="none"/>
                <w:lang w:val="zh-CN"/>
              </w:rPr>
              <w:t>2.</w:t>
            </w:r>
            <w:r>
              <w:rPr>
                <w:rFonts w:hint="eastAsia" w:ascii="宋体" w:hAnsi="宋体" w:cs="宋体"/>
                <w:color w:val="auto"/>
                <w:szCs w:val="21"/>
                <w:highlight w:val="none"/>
              </w:rPr>
              <w:t>成交人有不可争议的义务确保采购人依据本次采购所获得的知识产权不存在任何瑕疵并且可以不受限制地行使相关权利，包括各项延伸权利。若因此发生任何争议均应当由成交人承担全部及任何责任，包括但不限于应当承担其自身及采购人为排除任何争议或瑕疵所应当或所需支付的一切相关或由此引起的费用</w:t>
            </w:r>
            <w:r>
              <w:rPr>
                <w:rFonts w:hint="eastAsia" w:ascii="宋体" w:hAnsi="宋体" w:cs="宋体"/>
                <w:color w:val="auto"/>
                <w:szCs w:val="21"/>
                <w:highlight w:val="none"/>
                <w:lang w:val="zh-CN"/>
              </w:rPr>
              <w:t>。</w:t>
            </w:r>
          </w:p>
        </w:tc>
      </w:tr>
      <w:bookmarkEnd w:id="113"/>
    </w:tbl>
    <w:p w14:paraId="33EF7899">
      <w:pPr>
        <w:pStyle w:val="2"/>
        <w:spacing w:before="156" w:after="156"/>
        <w:jc w:val="center"/>
        <w:rPr>
          <w:rFonts w:ascii="宋体" w:hAnsi="宋体" w:eastAsia="宋体" w:cs="宋体"/>
          <w:color w:val="auto"/>
          <w:sz w:val="21"/>
          <w:szCs w:val="21"/>
          <w:highlight w:val="none"/>
        </w:rPr>
        <w:sectPr>
          <w:pgSz w:w="11906" w:h="16838"/>
          <w:pgMar w:top="1440" w:right="1803" w:bottom="1440" w:left="1803" w:header="851" w:footer="992" w:gutter="0"/>
          <w:pgNumType w:fmt="decimal"/>
          <w:cols w:space="0" w:num="1"/>
          <w:titlePg/>
          <w:docGrid w:type="lines" w:linePitch="319" w:charSpace="0"/>
        </w:sectPr>
      </w:pPr>
    </w:p>
    <w:p w14:paraId="7BE11C91">
      <w:pPr>
        <w:pStyle w:val="3"/>
        <w:spacing w:line="400" w:lineRule="exact"/>
        <w:jc w:val="center"/>
        <w:rPr>
          <w:rFonts w:ascii="方正小标宋_GBK" w:hAnsi="方正小标宋_GBK" w:eastAsia="方正小标宋_GBK" w:cs="方正小标宋_GBK"/>
          <w:b w:val="0"/>
          <w:bCs w:val="0"/>
          <w:color w:val="auto"/>
          <w:sz w:val="21"/>
          <w:szCs w:val="21"/>
          <w:highlight w:val="none"/>
        </w:rPr>
      </w:pPr>
      <w:bookmarkStart w:id="114" w:name="_Toc15864"/>
      <w:r>
        <w:rPr>
          <w:rFonts w:hint="eastAsia" w:ascii="方正小标宋_GBK" w:hAnsi="方正小标宋_GBK" w:eastAsia="方正小标宋_GBK" w:cs="方正小标宋_GBK"/>
          <w:b w:val="0"/>
          <w:bCs w:val="0"/>
          <w:color w:val="auto"/>
          <w:sz w:val="21"/>
          <w:szCs w:val="21"/>
          <w:highlight w:val="none"/>
        </w:rPr>
        <w:t>第四章  评审程序、评审方法和评审标准</w:t>
      </w:r>
      <w:bookmarkEnd w:id="114"/>
    </w:p>
    <w:p w14:paraId="32619894">
      <w:pPr>
        <w:pStyle w:val="4"/>
        <w:keepNext w:val="0"/>
        <w:keepLines w:val="0"/>
        <w:adjustRightInd w:val="0"/>
        <w:snapToGrid w:val="0"/>
        <w:spacing w:before="0" w:after="0" w:line="400" w:lineRule="exact"/>
        <w:jc w:val="center"/>
        <w:rPr>
          <w:rFonts w:ascii="宋体" w:hAnsi="宋体" w:cs="宋体"/>
          <w:color w:val="auto"/>
          <w:sz w:val="21"/>
          <w:szCs w:val="21"/>
          <w:highlight w:val="none"/>
        </w:rPr>
      </w:pPr>
      <w:bookmarkStart w:id="115" w:name="_Toc7278"/>
      <w:bookmarkStart w:id="116" w:name="_Toc8692"/>
      <w:r>
        <w:rPr>
          <w:rFonts w:hint="eastAsia" w:ascii="宋体" w:hAnsi="宋体" w:cs="宋体"/>
          <w:color w:val="auto"/>
          <w:sz w:val="21"/>
          <w:szCs w:val="21"/>
          <w:highlight w:val="none"/>
        </w:rPr>
        <w:t>一、评审程序和评审方法</w:t>
      </w:r>
      <w:bookmarkEnd w:id="115"/>
      <w:bookmarkEnd w:id="116"/>
    </w:p>
    <w:p w14:paraId="31F9FAFF">
      <w:pPr>
        <w:spacing w:line="400" w:lineRule="exact"/>
        <w:ind w:firstLine="369" w:firstLineChars="175"/>
        <w:rPr>
          <w:rFonts w:ascii="宋体" w:hAnsi="宋体" w:cs="宋体"/>
          <w:b/>
          <w:bCs/>
          <w:color w:val="auto"/>
          <w:szCs w:val="21"/>
          <w:highlight w:val="none"/>
        </w:rPr>
      </w:pPr>
      <w:r>
        <w:rPr>
          <w:rFonts w:hint="eastAsia" w:ascii="宋体" w:hAnsi="宋体" w:cs="宋体"/>
          <w:b/>
          <w:bCs/>
          <w:color w:val="auto"/>
          <w:szCs w:val="21"/>
          <w:highlight w:val="none"/>
        </w:rPr>
        <w:t>1.资格审查</w:t>
      </w:r>
    </w:p>
    <w:p w14:paraId="7BEE9659">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1.1响应文件开启后，磋商小组依法对供应商的资格证明文件进行审查。</w:t>
      </w:r>
    </w:p>
    <w:p w14:paraId="47E1B3AC">
      <w:pPr>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注：采购人或者采购代理机构在资格审查结束前，对供应商进行信用查询。</w:t>
      </w:r>
    </w:p>
    <w:p w14:paraId="2451286E">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（1）查询渠道：“信用中国”网站(www.creditchina.gov.cn) 、中国政府采购网(www.ccgp.gov.cn)。</w:t>
      </w:r>
    </w:p>
    <w:p w14:paraId="1BB1474D">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74BFDA14">
      <w:pPr>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查询记录和证据留存方式：在查询网站中直接打印查询记录，打印材料作为评审资料保存。</w:t>
      </w:r>
    </w:p>
    <w:p w14:paraId="169B7C30">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6BC2AC32">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1.2资格审查标准为本磋商文件中载明对供应商资格要求的条件。资格审查采用合格制，凡符合磋商文件规定的供应商资格要求的响应文件均通过资格审查。</w:t>
      </w:r>
    </w:p>
    <w:p w14:paraId="125FC178">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1.3供应商有下列情形之一的，资格审查不通过，其响应文件按无效响应处理：</w:t>
      </w:r>
    </w:p>
    <w:p w14:paraId="36E9C3E2">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（1）不具备磋商文件中规定的资格要求的；</w:t>
      </w:r>
    </w:p>
    <w:p w14:paraId="74740604">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（2）未按磋商文件规定的方式获取本磋商文件的供应商；</w:t>
      </w:r>
    </w:p>
    <w:p w14:paraId="612D3E0B">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（3）响应文件的资格证明文件缺少任一项“供应商须知前附表”资格证明文件规定的“必须提供”的文件资料的；</w:t>
      </w:r>
    </w:p>
    <w:p w14:paraId="78CA7542">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（4）响应文件中的资格证明文件出现任一项不符合“供应商须知前附表”资格证明文件规定的“必须提供”的文件资料要求或者无效的；</w:t>
      </w:r>
    </w:p>
    <w:p w14:paraId="5ED40237">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（5）同一合同项下的不同供应商，单位负责人为同一人或者存在直接控股、管理关系的；为本项目提供过整体设计、规范编制或者项目管理、监理、检测等服务的供应商，再参加该采购项目的其他采购活动的。</w:t>
      </w:r>
    </w:p>
    <w:p w14:paraId="26E27AB2">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1.4通过资格审查的合格供应商不足3家的，不得进入符合性审查环节，采购人或者采购代理机构应当重新开展采购活动。</w:t>
      </w:r>
    </w:p>
    <w:p w14:paraId="6765B719">
      <w:pPr>
        <w:spacing w:line="400" w:lineRule="exact"/>
        <w:ind w:firstLine="369" w:firstLineChars="175"/>
        <w:rPr>
          <w:rFonts w:ascii="宋体" w:hAnsi="宋体" w:cs="宋体"/>
          <w:b/>
          <w:bCs/>
          <w:color w:val="auto"/>
          <w:szCs w:val="21"/>
          <w:highlight w:val="none"/>
        </w:rPr>
      </w:pPr>
      <w:r>
        <w:rPr>
          <w:rFonts w:hint="eastAsia" w:ascii="宋体" w:hAnsi="宋体" w:cs="宋体"/>
          <w:b/>
          <w:bCs/>
          <w:color w:val="auto"/>
          <w:szCs w:val="21"/>
          <w:highlight w:val="none"/>
        </w:rPr>
        <w:t>2.符合性审查</w:t>
      </w:r>
    </w:p>
    <w:p w14:paraId="52A11D14">
      <w:pPr>
        <w:spacing w:line="400" w:lineRule="exact"/>
        <w:ind w:firstLine="420" w:firstLineChars="200"/>
        <w:rPr>
          <w:rFonts w:ascii="宋体" w:hAnsi="宋体" w:cs="宋体"/>
          <w:color w:val="auto"/>
          <w:szCs w:val="21"/>
          <w:highlight w:val="none"/>
        </w:rPr>
      </w:pPr>
      <w:bookmarkStart w:id="117" w:name="_Hlk42528882"/>
      <w:r>
        <w:rPr>
          <w:rFonts w:hint="eastAsia" w:ascii="宋体" w:hAnsi="宋体" w:cs="宋体"/>
          <w:color w:val="auto"/>
          <w:szCs w:val="21"/>
          <w:highlight w:val="none"/>
        </w:rPr>
        <w:t>2.1由磋商小组对通过资格审查的合格供应商的响应文件的竞标报价、商务、技术等实质性要求进行符合性审查，以确定其是否满足磋商文件的实质性要求。</w:t>
      </w:r>
    </w:p>
    <w:bookmarkEnd w:id="117"/>
    <w:p w14:paraId="25FAB5BF">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478F7C1">
      <w:pPr>
        <w:spacing w:line="400" w:lineRule="exact"/>
        <w:ind w:firstLine="420" w:firstLineChars="200"/>
        <w:rPr>
          <w:rFonts w:ascii="宋体" w:hAnsi="宋体" w:cs="宋体"/>
          <w:color w:val="auto"/>
          <w:spacing w:val="-6"/>
          <w:szCs w:val="21"/>
          <w:highlight w:val="none"/>
        </w:rPr>
      </w:pPr>
      <w:r>
        <w:rPr>
          <w:rFonts w:hint="eastAsia" w:ascii="宋体" w:hAnsi="宋体" w:cs="宋体"/>
          <w:color w:val="auto"/>
          <w:szCs w:val="21"/>
          <w:highlight w:val="none"/>
        </w:rPr>
        <w:t>2.3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公章</w:t>
      </w:r>
      <w:r>
        <w:rPr>
          <w:rFonts w:hint="eastAsia" w:ascii="宋体" w:hAnsi="宋体" w:cs="宋体"/>
          <w:color w:val="auto"/>
          <w:spacing w:val="-6"/>
          <w:szCs w:val="21"/>
          <w:highlight w:val="none"/>
        </w:rPr>
        <w:t>。供应商为自然人的，必须由本人签字并附身份证明。</w:t>
      </w:r>
    </w:p>
    <w:p w14:paraId="4C3DB50D">
      <w:pPr>
        <w:spacing w:line="400" w:lineRule="exact"/>
        <w:ind w:firstLine="396" w:firstLineChars="200"/>
        <w:rPr>
          <w:rFonts w:ascii="宋体" w:hAnsi="宋体" w:cs="宋体"/>
          <w:color w:val="auto"/>
          <w:szCs w:val="21"/>
          <w:highlight w:val="none"/>
        </w:rPr>
      </w:pPr>
      <w:r>
        <w:rPr>
          <w:rFonts w:hint="eastAsia" w:ascii="宋体" w:hAnsi="宋体" w:cs="宋体"/>
          <w:color w:val="auto"/>
          <w:spacing w:val="-6"/>
          <w:szCs w:val="21"/>
          <w:highlight w:val="none"/>
        </w:rPr>
        <w:t>2.4</w:t>
      </w:r>
      <w:r>
        <w:rPr>
          <w:rFonts w:hint="eastAsia" w:ascii="宋体" w:hAnsi="宋体" w:cs="宋体"/>
          <w:color w:val="auto"/>
          <w:szCs w:val="21"/>
          <w:highlight w:val="none"/>
        </w:rPr>
        <w:t xml:space="preserve">首次响应文件报价出现前后不一致的，按照下列规定修正： </w:t>
      </w:r>
    </w:p>
    <w:p w14:paraId="62DBFC6D">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15ACF942">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33FB6B69">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2E9A9343">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423A8115">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2E8FB2E4">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2.5商务技术报价评审</w:t>
      </w:r>
    </w:p>
    <w:p w14:paraId="214CA38B">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在评审时，如发现下列情形之一的，将被视为响应文件无效处理：</w:t>
      </w:r>
    </w:p>
    <w:p w14:paraId="265C6F49">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（1）商务技术评审</w:t>
      </w:r>
    </w:p>
    <w:p w14:paraId="6195896F">
      <w:pPr>
        <w:spacing w:line="400" w:lineRule="exact"/>
        <w:ind w:firstLine="707" w:firstLineChars="337"/>
        <w:rPr>
          <w:rFonts w:ascii="宋体" w:hAnsi="宋体" w:cs="宋体"/>
          <w:color w:val="auto"/>
          <w:szCs w:val="21"/>
          <w:highlight w:val="none"/>
        </w:rPr>
      </w:pPr>
      <w:r>
        <w:rPr>
          <w:rFonts w:hint="eastAsia" w:ascii="宋体" w:hAnsi="宋体" w:cs="宋体"/>
          <w:color w:val="auto"/>
          <w:szCs w:val="21"/>
          <w:highlight w:val="none"/>
        </w:rPr>
        <w:t>1）响应文件未按磋商文件要求签署、盖章；</w:t>
      </w:r>
    </w:p>
    <w:p w14:paraId="148919C0">
      <w:pPr>
        <w:spacing w:line="400" w:lineRule="exact"/>
        <w:ind w:firstLine="707" w:firstLineChars="337"/>
        <w:rPr>
          <w:rFonts w:ascii="宋体" w:hAnsi="宋体" w:cs="宋体"/>
          <w:color w:val="auto"/>
          <w:szCs w:val="21"/>
          <w:highlight w:val="none"/>
        </w:rPr>
      </w:pPr>
      <w:r>
        <w:rPr>
          <w:rFonts w:hint="eastAsia" w:ascii="宋体" w:hAnsi="宋体" w:cs="宋体"/>
          <w:color w:val="auto"/>
          <w:szCs w:val="21"/>
          <w:highlight w:val="none"/>
        </w:rPr>
        <w:t xml:space="preserve">2）委托代理人未能出具有效身份证明或者出具的身份证明与授权委托书中的信息不符； </w:t>
      </w:r>
    </w:p>
    <w:p w14:paraId="3B05BBF9">
      <w:pPr>
        <w:spacing w:line="400" w:lineRule="exact"/>
        <w:ind w:firstLine="707" w:firstLineChars="337"/>
        <w:rPr>
          <w:rFonts w:ascii="宋体" w:hAnsi="宋体" w:cs="宋体"/>
          <w:color w:val="auto"/>
          <w:szCs w:val="21"/>
          <w:highlight w:val="none"/>
        </w:rPr>
      </w:pPr>
      <w:r>
        <w:rPr>
          <w:rFonts w:hint="eastAsia" w:ascii="宋体" w:hAnsi="宋体" w:cs="宋体"/>
          <w:color w:val="auto"/>
          <w:szCs w:val="21"/>
          <w:highlight w:val="none"/>
        </w:rPr>
        <w:t>3）提交的磋商保证金无效的或者未按照磋商文件的规定提交磋商保证金；</w:t>
      </w:r>
    </w:p>
    <w:p w14:paraId="38069401">
      <w:pPr>
        <w:spacing w:line="400" w:lineRule="exact"/>
        <w:ind w:firstLine="707" w:firstLineChars="337"/>
        <w:rPr>
          <w:rFonts w:ascii="宋体" w:hAnsi="宋体" w:cs="宋体"/>
          <w:color w:val="auto"/>
          <w:szCs w:val="21"/>
          <w:highlight w:val="none"/>
        </w:rPr>
      </w:pPr>
      <w:r>
        <w:rPr>
          <w:rFonts w:hint="eastAsia" w:ascii="宋体" w:hAnsi="宋体" w:cs="宋体"/>
          <w:color w:val="auto"/>
          <w:szCs w:val="21"/>
          <w:highlight w:val="none"/>
        </w:rPr>
        <w:t>4）响应文件未提供任一项“供应商须知前附表” 报价文件、商务技术文件中 “必须提供”或者“委托时必须提供”的文件资料；响应文件提供的报价文件、商务技术文件出现任一项不符合“供应商须知前附表” 报价文件、商务技术文件中 “必须提供”或者“委托时必须提供”文件资料要求的规定或者提供的报价文件、商务技术文件无效。</w:t>
      </w:r>
    </w:p>
    <w:p w14:paraId="73B247E5">
      <w:pPr>
        <w:spacing w:line="400" w:lineRule="exact"/>
        <w:ind w:firstLine="707" w:firstLineChars="337"/>
        <w:rPr>
          <w:rFonts w:ascii="宋体" w:hAnsi="宋体" w:cs="宋体"/>
          <w:color w:val="auto"/>
          <w:szCs w:val="21"/>
          <w:highlight w:val="none"/>
        </w:rPr>
      </w:pPr>
      <w:r>
        <w:rPr>
          <w:rFonts w:hint="eastAsia" w:ascii="宋体" w:hAnsi="宋体" w:cs="宋体"/>
          <w:color w:val="auto"/>
          <w:szCs w:val="21"/>
          <w:highlight w:val="none"/>
        </w:rPr>
        <w:t>5）标“▲”的条款发生负偏离的或者允许负偏离的条款数超过“供应商须知前附表”规定项数的或者标明实质性的要求发生负偏离（如有）；</w:t>
      </w:r>
    </w:p>
    <w:p w14:paraId="2C1D56DF">
      <w:pPr>
        <w:spacing w:line="400" w:lineRule="exact"/>
        <w:ind w:firstLine="707" w:firstLineChars="337"/>
        <w:rPr>
          <w:rFonts w:ascii="宋体" w:hAnsi="宋体" w:cs="宋体"/>
          <w:color w:val="auto"/>
          <w:szCs w:val="21"/>
          <w:highlight w:val="none"/>
        </w:rPr>
      </w:pPr>
      <w:r>
        <w:rPr>
          <w:rFonts w:hint="eastAsia" w:ascii="宋体" w:hAnsi="宋体" w:cs="宋体"/>
          <w:color w:val="auto"/>
          <w:szCs w:val="21"/>
          <w:highlight w:val="none"/>
        </w:rPr>
        <w:t>6）未对竞标有效期作出响应或者响应文件承诺的竞标有效期不满足磋商文件要求；</w:t>
      </w:r>
    </w:p>
    <w:p w14:paraId="1670797B">
      <w:pPr>
        <w:spacing w:line="400" w:lineRule="exact"/>
        <w:ind w:firstLine="707" w:firstLineChars="337"/>
        <w:rPr>
          <w:rFonts w:ascii="宋体" w:hAnsi="宋体" w:cs="宋体"/>
          <w:color w:val="auto"/>
          <w:szCs w:val="21"/>
          <w:highlight w:val="none"/>
        </w:rPr>
      </w:pPr>
      <w:r>
        <w:rPr>
          <w:rFonts w:hint="eastAsia" w:ascii="宋体" w:hAnsi="宋体" w:cs="宋体"/>
          <w:color w:val="auto"/>
          <w:szCs w:val="21"/>
          <w:highlight w:val="none"/>
        </w:rPr>
        <w:t>7）响应文件的实质性内容未使用中文表述、使用计量单位不符合磋商文件要求；</w:t>
      </w:r>
    </w:p>
    <w:p w14:paraId="629CC12B">
      <w:pPr>
        <w:spacing w:line="400" w:lineRule="exact"/>
        <w:ind w:firstLine="707" w:firstLineChars="337"/>
        <w:rPr>
          <w:rFonts w:ascii="宋体" w:hAnsi="宋体" w:cs="宋体"/>
          <w:color w:val="auto"/>
          <w:szCs w:val="21"/>
          <w:highlight w:val="none"/>
        </w:rPr>
      </w:pPr>
      <w:r>
        <w:rPr>
          <w:rFonts w:hint="eastAsia" w:ascii="宋体" w:hAnsi="宋体" w:cs="宋体"/>
          <w:color w:val="auto"/>
          <w:szCs w:val="21"/>
          <w:highlight w:val="none"/>
        </w:rPr>
        <w:t>8）响应文件中的文件资料因填写不齐全或者内容虚假或者出现其他情形而导致被磋商小组认定无效；</w:t>
      </w:r>
    </w:p>
    <w:p w14:paraId="57E72F31">
      <w:pPr>
        <w:spacing w:line="400" w:lineRule="exact"/>
        <w:ind w:firstLine="707" w:firstLineChars="337"/>
        <w:rPr>
          <w:rFonts w:ascii="宋体" w:hAnsi="宋体" w:cs="宋体"/>
          <w:color w:val="auto"/>
          <w:szCs w:val="21"/>
          <w:highlight w:val="none"/>
        </w:rPr>
      </w:pPr>
      <w:r>
        <w:rPr>
          <w:rFonts w:hint="eastAsia" w:ascii="宋体" w:hAnsi="宋体" w:cs="宋体"/>
          <w:color w:val="auto"/>
          <w:szCs w:val="21"/>
          <w:highlight w:val="none"/>
        </w:rPr>
        <w:t>9）响应文件含有采购人不能接受的附加条件；</w:t>
      </w:r>
    </w:p>
    <w:p w14:paraId="2D20297A">
      <w:pPr>
        <w:spacing w:line="400" w:lineRule="exact"/>
        <w:ind w:firstLine="707" w:firstLineChars="337"/>
        <w:rPr>
          <w:rFonts w:ascii="宋体" w:hAnsi="宋体" w:cs="宋体"/>
          <w:color w:val="auto"/>
          <w:szCs w:val="21"/>
          <w:highlight w:val="none"/>
        </w:rPr>
      </w:pPr>
      <w:r>
        <w:rPr>
          <w:rFonts w:hint="eastAsia" w:ascii="宋体" w:hAnsi="宋体" w:cs="宋体"/>
          <w:color w:val="auto"/>
          <w:szCs w:val="21"/>
          <w:highlight w:val="none"/>
        </w:rPr>
        <w:t>10）属于“供应商须知正文”第7.5条情形；</w:t>
      </w:r>
    </w:p>
    <w:p w14:paraId="300F4A64">
      <w:pPr>
        <w:spacing w:line="400" w:lineRule="exact"/>
        <w:ind w:firstLine="707" w:firstLineChars="337"/>
        <w:rPr>
          <w:rFonts w:ascii="宋体" w:hAnsi="宋体" w:cs="宋体"/>
          <w:color w:val="auto"/>
          <w:szCs w:val="21"/>
          <w:highlight w:val="none"/>
        </w:rPr>
      </w:pPr>
      <w:r>
        <w:rPr>
          <w:rFonts w:hint="eastAsia" w:ascii="宋体" w:hAnsi="宋体" w:cs="宋体"/>
          <w:color w:val="auto"/>
          <w:szCs w:val="21"/>
          <w:highlight w:val="none"/>
        </w:rPr>
        <w:t>11）明显不满足磋商文件要求的技术规格、安全、质量标准，或者与磋商文件中标“▲”的技术需求或者标明实质性的要求发生负偏离；</w:t>
      </w:r>
    </w:p>
    <w:p w14:paraId="64065E9F">
      <w:pPr>
        <w:spacing w:line="400" w:lineRule="exact"/>
        <w:ind w:firstLine="707" w:firstLineChars="337"/>
        <w:rPr>
          <w:rFonts w:ascii="宋体" w:hAnsi="宋体" w:cs="宋体"/>
          <w:color w:val="auto"/>
          <w:szCs w:val="21"/>
          <w:highlight w:val="none"/>
        </w:rPr>
      </w:pPr>
      <w:r>
        <w:rPr>
          <w:rFonts w:hint="eastAsia" w:ascii="宋体" w:hAnsi="宋体" w:cs="宋体"/>
          <w:color w:val="auto"/>
          <w:szCs w:val="21"/>
          <w:highlight w:val="none"/>
        </w:rPr>
        <w:t>12）虚假竞标，或者出现其他情形而导致被磋商小组认定无效；</w:t>
      </w:r>
    </w:p>
    <w:p w14:paraId="23A94EB9">
      <w:pPr>
        <w:spacing w:line="400" w:lineRule="exact"/>
        <w:ind w:firstLine="707" w:firstLineChars="337"/>
        <w:rPr>
          <w:rFonts w:ascii="宋体" w:hAnsi="宋体" w:cs="宋体"/>
          <w:color w:val="auto"/>
          <w:szCs w:val="21"/>
          <w:highlight w:val="none"/>
        </w:rPr>
      </w:pPr>
      <w:r>
        <w:rPr>
          <w:rFonts w:hint="eastAsia" w:ascii="宋体" w:hAnsi="宋体" w:cs="宋体"/>
          <w:color w:val="auto"/>
          <w:szCs w:val="21"/>
          <w:highlight w:val="none"/>
        </w:rPr>
        <w:t>13）竞标技术方案不明确，磋商文件未允许但响应文件中存在一个或者一个以上备选（替代）竞标方案；</w:t>
      </w:r>
    </w:p>
    <w:p w14:paraId="204A37A4">
      <w:pPr>
        <w:spacing w:line="400" w:lineRule="exact"/>
        <w:ind w:firstLine="707" w:firstLineChars="337"/>
        <w:rPr>
          <w:rFonts w:ascii="宋体" w:hAnsi="宋体" w:cs="宋体"/>
          <w:color w:val="auto"/>
          <w:szCs w:val="21"/>
          <w:highlight w:val="none"/>
        </w:rPr>
      </w:pPr>
      <w:r>
        <w:rPr>
          <w:rFonts w:hint="eastAsia" w:ascii="宋体" w:hAnsi="宋体" w:cs="宋体"/>
          <w:color w:val="auto"/>
          <w:szCs w:val="21"/>
          <w:highlight w:val="none"/>
        </w:rPr>
        <w:t>14）未响应磋商文件实质性要求；</w:t>
      </w:r>
    </w:p>
    <w:p w14:paraId="5A6C829B">
      <w:pPr>
        <w:spacing w:line="400" w:lineRule="exact"/>
        <w:ind w:firstLine="707" w:firstLineChars="337"/>
        <w:rPr>
          <w:rFonts w:ascii="宋体" w:hAnsi="宋体" w:cs="宋体"/>
          <w:color w:val="auto"/>
          <w:szCs w:val="21"/>
          <w:highlight w:val="none"/>
        </w:rPr>
      </w:pPr>
      <w:r>
        <w:rPr>
          <w:rFonts w:hint="eastAsia" w:ascii="宋体" w:hAnsi="宋体" w:cs="宋体"/>
          <w:color w:val="auto"/>
          <w:szCs w:val="21"/>
          <w:highlight w:val="none"/>
        </w:rPr>
        <w:t>15）法律、法规和磋商文件规定的其他无效情形。</w:t>
      </w:r>
    </w:p>
    <w:p w14:paraId="2E9A0CD3">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（2）报价评审</w:t>
      </w:r>
    </w:p>
    <w:p w14:paraId="3933FDA2">
      <w:pPr>
        <w:spacing w:line="400" w:lineRule="exact"/>
        <w:ind w:firstLine="707" w:firstLineChars="337"/>
        <w:rPr>
          <w:rFonts w:ascii="宋体" w:hAnsi="宋体" w:cs="宋体"/>
          <w:color w:val="auto"/>
          <w:szCs w:val="21"/>
          <w:highlight w:val="none"/>
        </w:rPr>
      </w:pPr>
      <w:r>
        <w:rPr>
          <w:rFonts w:hint="eastAsia" w:ascii="宋体" w:hAnsi="宋体" w:cs="宋体"/>
          <w:color w:val="auto"/>
          <w:szCs w:val="21"/>
          <w:highlight w:val="none"/>
        </w:rPr>
        <w:t>1) 响应文件未提供“供应商须知前附表” 报价文件、商务技术文件中规定的“竞标报价表”；</w:t>
      </w:r>
    </w:p>
    <w:p w14:paraId="7359870C">
      <w:pPr>
        <w:spacing w:line="400" w:lineRule="exact"/>
        <w:ind w:firstLine="707" w:firstLineChars="337"/>
        <w:rPr>
          <w:rFonts w:ascii="宋体" w:hAnsi="宋体" w:cs="宋体"/>
          <w:color w:val="auto"/>
          <w:szCs w:val="21"/>
          <w:highlight w:val="none"/>
        </w:rPr>
      </w:pPr>
      <w:r>
        <w:rPr>
          <w:rFonts w:hint="eastAsia" w:ascii="宋体" w:hAnsi="宋体" w:cs="宋体"/>
          <w:color w:val="auto"/>
          <w:szCs w:val="21"/>
          <w:highlight w:val="none"/>
        </w:rPr>
        <w:t>2）未采用人民币报价或者未按照磋商文件标明的币种报价；</w:t>
      </w:r>
    </w:p>
    <w:p w14:paraId="56E4E064">
      <w:pPr>
        <w:spacing w:line="400" w:lineRule="exact"/>
        <w:ind w:firstLine="707" w:firstLineChars="337"/>
        <w:rPr>
          <w:rFonts w:ascii="宋体" w:hAnsi="宋体" w:cs="宋体"/>
          <w:color w:val="auto"/>
          <w:szCs w:val="21"/>
          <w:highlight w:val="none"/>
        </w:rPr>
      </w:pPr>
      <w:r>
        <w:rPr>
          <w:rFonts w:hint="eastAsia" w:ascii="宋体" w:hAnsi="宋体" w:cs="宋体"/>
          <w:color w:val="auto"/>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74ED95C0">
      <w:pPr>
        <w:spacing w:line="400" w:lineRule="exact"/>
        <w:ind w:firstLine="707" w:firstLineChars="337"/>
        <w:rPr>
          <w:rFonts w:ascii="宋体" w:hAnsi="宋体" w:cs="宋体"/>
          <w:color w:val="auto"/>
          <w:szCs w:val="21"/>
          <w:highlight w:val="none"/>
        </w:rPr>
      </w:pPr>
      <w:r>
        <w:rPr>
          <w:rFonts w:hint="eastAsia" w:ascii="宋体" w:hAnsi="宋体" w:cs="宋体"/>
          <w:color w:val="auto"/>
          <w:szCs w:val="21"/>
          <w:highlight w:val="none"/>
        </w:rPr>
        <w:t>4）竞标报价（包含首次报价、最后报价）超过所竞标分标规定的采购预算金额或者最高限价的（如本项目公布了最高限价）；</w:t>
      </w:r>
      <w:bookmarkStart w:id="118" w:name="_Hlk42596405"/>
      <w:r>
        <w:rPr>
          <w:rFonts w:hint="eastAsia" w:ascii="宋体" w:hAnsi="宋体" w:cs="宋体"/>
          <w:color w:val="auto"/>
          <w:szCs w:val="21"/>
          <w:highlight w:val="none"/>
        </w:rPr>
        <w:t>竞标报价（包含首次报价、最后报价）</w:t>
      </w:r>
      <w:bookmarkEnd w:id="118"/>
      <w:bookmarkStart w:id="119" w:name="_Hlk42596276"/>
      <w:r>
        <w:rPr>
          <w:rFonts w:hint="eastAsia" w:ascii="宋体" w:hAnsi="宋体" w:cs="宋体"/>
          <w:color w:val="auto"/>
          <w:szCs w:val="21"/>
          <w:highlight w:val="none"/>
        </w:rPr>
        <w:t>超过磋商文件分项采购预算金额或者最高限价的</w:t>
      </w:r>
      <w:bookmarkEnd w:id="119"/>
      <w:r>
        <w:rPr>
          <w:rFonts w:hint="eastAsia" w:ascii="宋体" w:hAnsi="宋体" w:cs="宋体"/>
          <w:color w:val="auto"/>
          <w:szCs w:val="21"/>
          <w:highlight w:val="none"/>
        </w:rPr>
        <w:t>（如本项目公布了最高限价）；</w:t>
      </w:r>
    </w:p>
    <w:p w14:paraId="158D5FDC">
      <w:pPr>
        <w:spacing w:line="400" w:lineRule="exact"/>
        <w:ind w:firstLine="707" w:firstLineChars="337"/>
        <w:rPr>
          <w:rFonts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采购预算金额或者最高限价的（如本项目公布了最高限价）。</w:t>
      </w:r>
    </w:p>
    <w:p w14:paraId="52090B7F">
      <w:pPr>
        <w:spacing w:line="400" w:lineRule="exact"/>
        <w:ind w:firstLine="707" w:firstLineChars="337"/>
        <w:rPr>
          <w:rFonts w:ascii="宋体" w:hAnsi="宋体" w:cs="宋体"/>
          <w:color w:val="auto"/>
          <w:szCs w:val="21"/>
          <w:highlight w:val="none"/>
        </w:rPr>
      </w:pPr>
      <w:r>
        <w:rPr>
          <w:rFonts w:hint="eastAsia" w:ascii="宋体" w:hAnsi="宋体" w:cs="宋体"/>
          <w:color w:val="auto"/>
          <w:szCs w:val="21"/>
          <w:highlight w:val="none"/>
        </w:rPr>
        <w:t>6）响应文件响应的标的数量及单位与磋商文件要求实质性不一致的。</w:t>
      </w:r>
    </w:p>
    <w:p w14:paraId="5CB6F2DD">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7A08AA6A">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2.7通过符合性审查的合格供应商不足3家的，不得进入磋商环节，采购人或者采购代理机构应当重新开展采购活动。</w:t>
      </w:r>
    </w:p>
    <w:p w14:paraId="01D08C43">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2.8异常低价说明</w:t>
      </w:r>
    </w:p>
    <w:p w14:paraId="282ECEE0">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 （1）根据《关于推动解决政府采购异常低价问题的通知》财库〔2026〕2号要求，政府采购评审中出现下列情形之一的，磋商小组应当启动异常低价响应审查程序：</w:t>
      </w:r>
    </w:p>
    <w:p w14:paraId="56F30BBC">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①响应报价低于全部通过符合性审查供应商响应报价平均值65%的，即响应报价&lt;全部通过符合性审查供应商响应报价平均值×65%；</w:t>
      </w:r>
    </w:p>
    <w:p w14:paraId="3C783F99">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②响应报价低于通过符合性审查的次低报价供应商响应报价65%的，即响应报价&lt;通过符合性审查的次低报价供应商投标（响应）报价×65%；</w:t>
      </w:r>
    </w:p>
    <w:p w14:paraId="1A3F3D8F">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③响应报价低于采购项目最高限价65%的，即响应报价&lt;采购项目最高限价×65%；</w:t>
      </w:r>
    </w:p>
    <w:p w14:paraId="200BE502">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④磋商小组基于专业判断，认为供应商报价过低，有可能影响产品质量或者不能诚信履约的其他情形。</w:t>
      </w:r>
    </w:p>
    <w:p w14:paraId="64F58F9B">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40A7070E">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磋商小组依据专业经验，参考同类项目中标（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磋商小组应当将其作为无效响应处理。</w:t>
      </w:r>
    </w:p>
    <w:p w14:paraId="311F0E55">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 </w:t>
      </w:r>
    </w:p>
    <w:p w14:paraId="70CDF5F2">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（5）异常低价投标（响应）审查的启动原因、审查意见和审查结果应当在评审报告中记录，并随供应商提供的相关书面说明及证明材料，以及磋商小组有关互联网浏览、查询历史一并归档。 </w:t>
      </w:r>
    </w:p>
    <w:p w14:paraId="7B061947">
      <w:pPr>
        <w:spacing w:line="400" w:lineRule="exact"/>
        <w:ind w:firstLine="369" w:firstLineChars="175"/>
        <w:rPr>
          <w:rFonts w:ascii="宋体" w:hAnsi="宋体" w:cs="宋体"/>
          <w:b/>
          <w:bCs/>
          <w:color w:val="auto"/>
          <w:szCs w:val="21"/>
          <w:highlight w:val="none"/>
        </w:rPr>
      </w:pPr>
      <w:r>
        <w:rPr>
          <w:rFonts w:hint="eastAsia" w:ascii="宋体" w:hAnsi="宋体" w:cs="宋体"/>
          <w:b/>
          <w:bCs/>
          <w:color w:val="auto"/>
          <w:szCs w:val="21"/>
          <w:highlight w:val="none"/>
        </w:rPr>
        <w:t>3.磋商的程序</w:t>
      </w:r>
    </w:p>
    <w:p w14:paraId="124D7C25">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3.1磋商小组按照“供应商须知前附表”确定的</w:t>
      </w:r>
      <w:r>
        <w:rPr>
          <w:rFonts w:hint="eastAsia" w:ascii="宋体" w:hAnsi="宋体" w:cs="宋体"/>
          <w:color w:val="auto"/>
          <w:szCs w:val="21"/>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3CA3E6CC">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790EC383">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3.3对磋商文件作出的实质性变动是磋商文件的有效组成部分，由磋商小组及时以电子澄清函形式同时通知所有参加磋商的供应商。</w:t>
      </w:r>
    </w:p>
    <w:p w14:paraId="0151781C">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3.4供应商必须按照磋商文件的变动情况和磋商小组的要求以回函的形式重新提交响应文件，并加盖公章。供应商为自然人的，必须由本人签字并附身份证明。参加磋商的供应商未在规定时间内重新提交响应文件的，视同退出磋商。</w:t>
      </w:r>
    </w:p>
    <w:p w14:paraId="025122B6">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3.5磋商中，</w:t>
      </w:r>
      <w:r>
        <w:rPr>
          <w:rFonts w:hint="eastAsia" w:ascii="宋体" w:hAnsi="宋体" w:cs="宋体"/>
          <w:color w:val="auto"/>
          <w:spacing w:val="-6"/>
          <w:szCs w:val="21"/>
          <w:highlight w:val="none"/>
        </w:rPr>
        <w:t>磋商的任何一方不得透露与磋商有关的其他供应商的技术资料、价格和其他信息。</w:t>
      </w:r>
    </w:p>
    <w:p w14:paraId="5BA4063D">
      <w:pPr>
        <w:widowControl/>
        <w:tabs>
          <w:tab w:val="left" w:pos="540"/>
        </w:tabs>
        <w:spacing w:line="400" w:lineRule="exact"/>
        <w:ind w:firstLine="420" w:firstLineChars="200"/>
        <w:jc w:val="left"/>
        <w:rPr>
          <w:rFonts w:ascii="宋体" w:hAnsi="宋体" w:cs="宋体"/>
          <w:b/>
          <w:color w:val="auto"/>
          <w:szCs w:val="21"/>
          <w:highlight w:val="none"/>
        </w:rPr>
      </w:pPr>
      <w:r>
        <w:rPr>
          <w:rFonts w:hint="eastAsia" w:ascii="宋体" w:hAnsi="宋体" w:cs="宋体"/>
          <w:color w:val="auto"/>
          <w:szCs w:val="21"/>
          <w:highlight w:val="none"/>
        </w:rPr>
        <w:t>3.6磋商小组应对磋商过程和重要磋商内容进行记录，作为评标报告一部分，磋商小组在记录上签字确认。主要内容包括：</w:t>
      </w:r>
    </w:p>
    <w:p w14:paraId="05950C7F">
      <w:pPr>
        <w:pStyle w:val="69"/>
        <w:spacing w:before="0" w:line="400" w:lineRule="exact"/>
        <w:ind w:firstLine="396"/>
        <w:rPr>
          <w:rFonts w:ascii="宋体" w:hAnsi="宋体" w:cs="宋体"/>
          <w:color w:val="auto"/>
          <w:spacing w:val="-6"/>
          <w:kern w:val="2"/>
          <w:sz w:val="21"/>
          <w:szCs w:val="21"/>
          <w:highlight w:val="none"/>
        </w:rPr>
      </w:pPr>
      <w:r>
        <w:rPr>
          <w:rFonts w:hint="eastAsia" w:ascii="宋体" w:hAnsi="宋体" w:cs="宋体"/>
          <w:color w:val="auto"/>
          <w:spacing w:val="-6"/>
          <w:kern w:val="2"/>
          <w:sz w:val="21"/>
          <w:szCs w:val="21"/>
          <w:highlight w:val="none"/>
        </w:rPr>
        <w:t>（1）按照相关规定进行公示的，公示情况说明；</w:t>
      </w:r>
    </w:p>
    <w:p w14:paraId="53751F77">
      <w:pPr>
        <w:pStyle w:val="69"/>
        <w:spacing w:before="0" w:line="400" w:lineRule="exact"/>
        <w:ind w:firstLine="396"/>
        <w:rPr>
          <w:rFonts w:ascii="宋体" w:hAnsi="宋体" w:cs="宋体"/>
          <w:color w:val="auto"/>
          <w:spacing w:val="-6"/>
          <w:kern w:val="2"/>
          <w:sz w:val="21"/>
          <w:szCs w:val="21"/>
          <w:highlight w:val="none"/>
        </w:rPr>
      </w:pPr>
      <w:r>
        <w:rPr>
          <w:rFonts w:hint="eastAsia" w:ascii="宋体" w:hAnsi="宋体" w:cs="宋体"/>
          <w:color w:val="auto"/>
          <w:spacing w:val="-6"/>
          <w:kern w:val="2"/>
          <w:sz w:val="21"/>
          <w:szCs w:val="21"/>
          <w:highlight w:val="none"/>
        </w:rPr>
        <w:t>（2）磋商日期和地点，磋商人员名单；</w:t>
      </w:r>
    </w:p>
    <w:p w14:paraId="669668ED">
      <w:pPr>
        <w:pStyle w:val="69"/>
        <w:spacing w:before="0" w:line="400" w:lineRule="exact"/>
        <w:ind w:firstLine="396"/>
        <w:rPr>
          <w:rFonts w:ascii="宋体" w:hAnsi="宋体" w:cs="宋体"/>
          <w:color w:val="auto"/>
          <w:spacing w:val="-6"/>
          <w:kern w:val="2"/>
          <w:sz w:val="21"/>
          <w:szCs w:val="21"/>
          <w:highlight w:val="none"/>
        </w:rPr>
      </w:pPr>
      <w:r>
        <w:rPr>
          <w:rFonts w:hint="eastAsia" w:ascii="宋体" w:hAnsi="宋体" w:cs="宋体"/>
          <w:color w:val="auto"/>
          <w:spacing w:val="-6"/>
          <w:kern w:val="2"/>
          <w:sz w:val="21"/>
          <w:szCs w:val="21"/>
          <w:highlight w:val="none"/>
        </w:rPr>
        <w:t>（3）合同主要条款及价格商定情况。</w:t>
      </w:r>
    </w:p>
    <w:p w14:paraId="7C647D96">
      <w:pPr>
        <w:widowControl/>
        <w:tabs>
          <w:tab w:val="left" w:pos="540"/>
        </w:tabs>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3.7磋商过程中重新提交的响应文件，供应商可以在开启前补充、修改。</w:t>
      </w:r>
    </w:p>
    <w:p w14:paraId="4B46362D">
      <w:pPr>
        <w:tabs>
          <w:tab w:val="left" w:pos="2835"/>
        </w:tabs>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3.8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60090700">
      <w:pPr>
        <w:tabs>
          <w:tab w:val="left" w:pos="2835"/>
        </w:tabs>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3.9对磋商过程提交的响应文件进行有效性、完整性和响应程度审查，通过审查的合格供应商不足3家的，除本章第3.8条的情形外，采购人或者采购代理机构应当重新开展采购活动。</w:t>
      </w:r>
    </w:p>
    <w:p w14:paraId="26969BA9">
      <w:pPr>
        <w:spacing w:line="400" w:lineRule="exact"/>
        <w:ind w:firstLine="369" w:firstLineChars="175"/>
        <w:rPr>
          <w:rFonts w:ascii="宋体" w:hAnsi="宋体" w:cs="宋体"/>
          <w:color w:val="auto"/>
          <w:szCs w:val="21"/>
          <w:highlight w:val="none"/>
        </w:rPr>
      </w:pPr>
      <w:r>
        <w:rPr>
          <w:rFonts w:hint="eastAsia" w:ascii="宋体" w:hAnsi="宋体" w:cs="宋体"/>
          <w:b/>
          <w:bCs/>
          <w:color w:val="auto"/>
          <w:szCs w:val="21"/>
          <w:highlight w:val="none"/>
        </w:rPr>
        <w:t>4. 最后报价</w:t>
      </w:r>
    </w:p>
    <w:p w14:paraId="662E8EB4">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4.1磋商文件能够详细列明采购标的的技术、服务要求的，磋商结束后，由磋商小组要求所有继续参加磋商的供应商在规定时间内密封提交最后报价，提交最后报价的供应商不得少于3家，除本章第4.3条外，否则必须重新采购。</w:t>
      </w:r>
    </w:p>
    <w:p w14:paraId="4E4D6B71">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6C8266B5">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4.3 最后报价是供应商响应文件的有效组成部分。符合《政府采购竞争性磋商采购方式管理暂行办法》（财库〔2014〕214号）第三条第四项“市场竞争不充分的科研项目，以及需要扶持的科技成果转化项目”和本章第3.8条情形的，提交最后报价的供应商可以为2家。</w:t>
      </w:r>
    </w:p>
    <w:p w14:paraId="7C404EF3">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4.4已经提交响应文件的供应商，在提交最后报价之前，可以根据磋商情况退出磋商，退出磋商的供应商的响应文件按无效响应处理。采购人、采购代理机构将退还退出磋商的供应商的保证金。</w:t>
      </w:r>
    </w:p>
    <w:p w14:paraId="2134F2E1">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4.5供应商未在规定时间内提交最后报价的，视为退出磋商，其响应文件作无效处理。</w:t>
      </w:r>
    </w:p>
    <w:p w14:paraId="4C8C2885">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4.6磋商小组收齐某一分标最后报价后统一开启，磋商小组对最后报价进行有效性、完整性和响应程度的审查。</w:t>
      </w:r>
    </w:p>
    <w:p w14:paraId="4205E457">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4.7响应文件最后报价出现前后不一致的，按照本章第2.4条的规定修正。 </w:t>
      </w:r>
    </w:p>
    <w:p w14:paraId="74770C08">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4.8修正后的报价出现下列情形的，按无效响应处理：</w:t>
      </w:r>
    </w:p>
    <w:p w14:paraId="16965C4B">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（1）供应商不确认的；</w:t>
      </w:r>
    </w:p>
    <w:p w14:paraId="5739040B">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（2）经供应商确认修正后的竞标报价（包含首次报价、最后报价）超过所竞标分标规定的采购预算金额或者最高限价的（如本项目公布了最高限价）；</w:t>
      </w:r>
    </w:p>
    <w:p w14:paraId="6B293969">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（3）经供应商确认修正后的竞标报价（包含首次报价、最后报价）超过分项采购预算金额或者最高限价的（如本项目公布了最高限价）。</w:t>
      </w:r>
    </w:p>
    <w:p w14:paraId="130ACF3F">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4.9经供应商确认修正后的最后报价作为评审及签订合同的依据。</w:t>
      </w:r>
    </w:p>
    <w:p w14:paraId="26CE8833">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4.10最后报价结束后，磋商小组不得再与供应商进行任何形式的商谈。</w:t>
      </w:r>
    </w:p>
    <w:p w14:paraId="186C8CA0">
      <w:pPr>
        <w:spacing w:line="400" w:lineRule="exact"/>
        <w:ind w:firstLine="369" w:firstLineChars="175"/>
        <w:rPr>
          <w:rFonts w:ascii="宋体" w:hAnsi="宋体" w:cs="宋体"/>
          <w:b/>
          <w:bCs/>
          <w:color w:val="auto"/>
          <w:szCs w:val="21"/>
          <w:highlight w:val="none"/>
        </w:rPr>
      </w:pPr>
      <w:r>
        <w:rPr>
          <w:rFonts w:hint="eastAsia" w:ascii="宋体" w:hAnsi="宋体" w:cs="宋体"/>
          <w:b/>
          <w:bCs/>
          <w:color w:val="auto"/>
          <w:szCs w:val="21"/>
          <w:highlight w:val="none"/>
        </w:rPr>
        <w:t>5.比较与评价</w:t>
      </w:r>
    </w:p>
    <w:p w14:paraId="611CDC88">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5.1评审方法：综合评分法。</w:t>
      </w:r>
    </w:p>
    <w:p w14:paraId="0B64C71D">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5.2经磋商确定最终采购需求和提交最后报价的供应商后，由磋商小组采用综合评分法对提交最后报价的供应商的响应文件和最后报价进行综合评分。</w:t>
      </w:r>
    </w:p>
    <w:p w14:paraId="118A5001">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5.3评审时，磋商小组各成员应当独立对每个有效响应的文件进行评价、打分，然后汇总每个供应商每项评分因素的得分。</w:t>
      </w:r>
    </w:p>
    <w:p w14:paraId="5B10FE9A">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14:paraId="2558AFD1">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14:paraId="51E8E19B">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5.4评审价为供应商的最后报价进行政策性扣除后的价格，评审价只是作为评审时使用。最终成交供应商的成交金额等于最后报价（如有修正，以确认修正后的最后报价为准）。</w:t>
      </w:r>
    </w:p>
    <w:p w14:paraId="3770223C">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szCs w:val="21"/>
          <w:highlight w:val="none"/>
        </w:rPr>
        <w:t>5.5由磋商小组根据综合评分情况，按照评审得分由高到低顺序推荐3名以上成交候选供应商，并编写评</w:t>
      </w:r>
      <w:r>
        <w:rPr>
          <w:rFonts w:hint="eastAsia" w:ascii="宋体" w:hAnsi="宋体" w:cs="宋体"/>
          <w:color w:val="auto"/>
          <w:kern w:val="0"/>
          <w:szCs w:val="21"/>
          <w:highlight w:val="none"/>
        </w:rPr>
        <w:t>审报告。符合本章第4.3条情形的，可以推荐2家成交候选供应商。评审得分相同的，按照最后报价由低到高的顺序推荐。评审得分相同且最后报价相同的，按照评审指标优劣顺序推荐（按技术得分由高到低排序，技术得分相同的按照商务分由高到低排序）。评审得分、最后报价、技术得分、商务分均相同的，由磋商小组随机抽取推荐。</w:t>
      </w:r>
    </w:p>
    <w:p w14:paraId="1C19DAF9">
      <w:pPr>
        <w:spacing w:line="400" w:lineRule="exact"/>
        <w:ind w:firstLine="420" w:firstLineChars="200"/>
        <w:rPr>
          <w:rFonts w:ascii="宋体" w:hAnsi="宋体" w:cs="宋体"/>
          <w:color w:val="auto"/>
          <w:szCs w:val="21"/>
          <w:highlight w:val="none"/>
        </w:rPr>
      </w:pPr>
      <w:r>
        <w:rPr>
          <w:rFonts w:hint="eastAsia" w:ascii="宋体" w:hAnsi="宋体" w:cs="宋体"/>
          <w:color w:val="auto"/>
          <w:kern w:val="0"/>
          <w:szCs w:val="21"/>
          <w:highlight w:val="none"/>
        </w:rPr>
        <w:t>5.6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20ECD734">
      <w:pPr>
        <w:pStyle w:val="4"/>
        <w:keepNext w:val="0"/>
        <w:keepLines w:val="0"/>
        <w:adjustRightInd w:val="0"/>
        <w:snapToGrid w:val="0"/>
        <w:spacing w:before="0" w:after="0" w:line="400" w:lineRule="exact"/>
        <w:jc w:val="center"/>
        <w:rPr>
          <w:rFonts w:ascii="宋体" w:hAnsi="宋体" w:cs="宋体"/>
          <w:color w:val="auto"/>
          <w:sz w:val="21"/>
          <w:szCs w:val="21"/>
          <w:highlight w:val="none"/>
        </w:rPr>
      </w:pPr>
      <w:bookmarkStart w:id="120" w:name="_Toc27715"/>
      <w:bookmarkStart w:id="121" w:name="_Toc6076"/>
      <w:r>
        <w:rPr>
          <w:rFonts w:hint="eastAsia" w:ascii="宋体" w:hAnsi="宋体" w:cs="宋体"/>
          <w:color w:val="auto"/>
          <w:sz w:val="21"/>
          <w:szCs w:val="21"/>
          <w:highlight w:val="none"/>
        </w:rPr>
        <w:t>二、评审标准</w:t>
      </w:r>
      <w:bookmarkEnd w:id="120"/>
      <w:bookmarkEnd w:id="121"/>
    </w:p>
    <w:p w14:paraId="50EDBD91">
      <w:pPr>
        <w:spacing w:line="40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6.评审依据：磋商小组将以磋商响应文件为评审依据，对供应商的报价、技术、商务等方面内容按百分制打分。（计分方法按四舍五入取至百分位）</w:t>
      </w:r>
    </w:p>
    <w:tbl>
      <w:tblPr>
        <w:tblStyle w:val="31"/>
        <w:tblW w:w="90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1133"/>
        <w:gridCol w:w="6573"/>
        <w:gridCol w:w="851"/>
      </w:tblGrid>
      <w:tr w14:paraId="4CAFB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3" w:type="dxa"/>
            <w:vAlign w:val="center"/>
          </w:tcPr>
          <w:p w14:paraId="11A5D2FB">
            <w:pPr>
              <w:widowControl/>
              <w:spacing w:line="40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序号</w:t>
            </w:r>
          </w:p>
        </w:tc>
        <w:tc>
          <w:tcPr>
            <w:tcW w:w="1133" w:type="dxa"/>
            <w:vAlign w:val="center"/>
          </w:tcPr>
          <w:p w14:paraId="6DBC3CFF">
            <w:pPr>
              <w:widowControl/>
              <w:spacing w:line="40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评审因素</w:t>
            </w:r>
          </w:p>
        </w:tc>
        <w:tc>
          <w:tcPr>
            <w:tcW w:w="6573" w:type="dxa"/>
            <w:vAlign w:val="center"/>
          </w:tcPr>
          <w:p w14:paraId="461E84BA">
            <w:pPr>
              <w:widowControl/>
              <w:spacing w:line="40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评审因素具体内容</w:t>
            </w:r>
          </w:p>
        </w:tc>
        <w:tc>
          <w:tcPr>
            <w:tcW w:w="851" w:type="dxa"/>
            <w:vAlign w:val="center"/>
          </w:tcPr>
          <w:p w14:paraId="3C1899D8">
            <w:pPr>
              <w:widowControl/>
              <w:spacing w:line="40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分值</w:t>
            </w:r>
          </w:p>
        </w:tc>
      </w:tr>
      <w:tr w14:paraId="7350E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3" w:type="dxa"/>
            <w:vAlign w:val="center"/>
          </w:tcPr>
          <w:p w14:paraId="63290154">
            <w:pPr>
              <w:widowControl/>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1133" w:type="dxa"/>
            <w:vAlign w:val="center"/>
          </w:tcPr>
          <w:p w14:paraId="29A68205">
            <w:pPr>
              <w:widowControl/>
              <w:spacing w:line="400" w:lineRule="exact"/>
              <w:jc w:val="center"/>
              <w:rPr>
                <w:rFonts w:ascii="宋体" w:hAnsi="宋体" w:cs="宋体"/>
                <w:color w:val="auto"/>
                <w:kern w:val="0"/>
                <w:szCs w:val="21"/>
                <w:highlight w:val="none"/>
              </w:rPr>
            </w:pPr>
            <w:r>
              <w:rPr>
                <w:rFonts w:hint="eastAsia" w:ascii="宋体" w:hAnsi="宋体" w:cs="宋体"/>
                <w:b/>
                <w:bCs/>
                <w:color w:val="auto"/>
                <w:kern w:val="0"/>
                <w:szCs w:val="21"/>
                <w:highlight w:val="none"/>
              </w:rPr>
              <w:t>价格分</w:t>
            </w:r>
          </w:p>
        </w:tc>
        <w:tc>
          <w:tcPr>
            <w:tcW w:w="6573" w:type="dxa"/>
            <w:vAlign w:val="center"/>
          </w:tcPr>
          <w:p w14:paraId="4610A83D">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（1）评审报价为供应商的最后报价进行政策性扣除后的价格，评审报价只是作为评审时使用。最终成交供应商的成交金额等于最后报价。（如有修正，以确认修正后的最后报价为准）</w:t>
            </w:r>
          </w:p>
          <w:p w14:paraId="2D4DA278">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按照《政府采购促进中小企业发展管理办法》（财库〔2020〕46号）的规定，供应商在其响应文件中提供《中小企业声明函》，且其服务为小型和微型企业承接的，按《关于进一步加大政府采购支持中小企业力度的通知》（财库〔2022〕19号）、《广西壮族自治区财政厅关于持续优化政府采购营商环境推动高质量发展的通知》（桂财采〔2024〕55号）的规定，对其最后报价给予10%的扣除。</w:t>
            </w:r>
          </w:p>
          <w:p w14:paraId="04AC3219">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1AD9D93E">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226CEED3">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（5）政策性扣除计算方法。</w:t>
            </w:r>
          </w:p>
          <w:p w14:paraId="169AFE67">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在服务采购项目中，服务由小微企业承接；对符合上述要求的供应商的最后报价给予10%的扣除，扣除后的价格为评审报价，即评审报价=最后报价×（1-10%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4%的扣除，用扣除后的价格参加评审，扣除后的价格为评审报价，即评审报价=最后报价×（1-4%）。除上述情况外，评审报价=最后报价。</w:t>
            </w:r>
          </w:p>
          <w:p w14:paraId="6E355636">
            <w:pPr>
              <w:keepNext w:val="0"/>
              <w:keepLines w:val="0"/>
              <w:widowControl/>
              <w:suppressLineNumbers w:val="0"/>
              <w:spacing w:line="400" w:lineRule="exact"/>
              <w:ind w:firstLine="420" w:firstLineChars="200"/>
              <w:jc w:val="left"/>
              <w:textAlignment w:val="auto"/>
              <w:rPr>
                <w:rFonts w:hint="eastAsia" w:ascii="宋体" w:hAnsi="宋体" w:eastAsia="宋体" w:cs="宋体"/>
                <w:i w:val="0"/>
                <w:iCs w:val="0"/>
                <w:color w:val="auto"/>
                <w:sz w:val="21"/>
                <w:szCs w:val="21"/>
                <w:highlight w:val="none"/>
                <w:u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eastAsia="zh-CN"/>
              </w:rPr>
              <w:t>）</w:t>
            </w:r>
            <w:r>
              <w:rPr>
                <w:rFonts w:hint="eastAsia" w:ascii="宋体" w:hAnsi="宋体" w:eastAsia="宋体" w:cs="宋体"/>
                <w:i w:val="0"/>
                <w:iCs w:val="0"/>
                <w:color w:val="auto"/>
                <w:sz w:val="21"/>
                <w:szCs w:val="21"/>
                <w:highlight w:val="none"/>
                <w:u w:val="none"/>
              </w:rPr>
              <w:t>既有本国产品又有非本国产品参与竞争的，依法对本国产品给予价格评审优惠，对本国产品的报价给予20%的价格扣除，用扣除后的价格参与评审，即</w:t>
            </w:r>
            <w:r>
              <w:rPr>
                <w:rFonts w:hint="eastAsia" w:ascii="宋体" w:hAnsi="宋体" w:cs="宋体"/>
                <w:i w:val="0"/>
                <w:iCs w:val="0"/>
                <w:color w:val="auto"/>
                <w:sz w:val="21"/>
                <w:szCs w:val="21"/>
                <w:highlight w:val="none"/>
                <w:u w:val="none"/>
                <w:lang w:eastAsia="zh-CN"/>
              </w:rPr>
              <w:t>评审报价</w:t>
            </w:r>
            <w:r>
              <w:rPr>
                <w:rFonts w:hint="eastAsia" w:ascii="宋体" w:hAnsi="宋体" w:eastAsia="宋体" w:cs="宋体"/>
                <w:i w:val="0"/>
                <w:iCs w:val="0"/>
                <w:color w:val="auto"/>
                <w:sz w:val="21"/>
                <w:szCs w:val="21"/>
                <w:highlight w:val="none"/>
                <w:u w:val="none"/>
              </w:rPr>
              <w:t>=</w:t>
            </w:r>
            <w:r>
              <w:rPr>
                <w:rFonts w:hint="eastAsia" w:ascii="宋体" w:hAnsi="宋体" w:cs="宋体"/>
                <w:color w:val="auto"/>
                <w:szCs w:val="21"/>
                <w:highlight w:val="none"/>
              </w:rPr>
              <w:t>最后报价</w:t>
            </w:r>
            <w:r>
              <w:rPr>
                <w:rFonts w:hint="eastAsia" w:ascii="宋体" w:hAnsi="宋体" w:eastAsia="宋体" w:cs="宋体"/>
                <w:i w:val="0"/>
                <w:iCs w:val="0"/>
                <w:color w:val="auto"/>
                <w:sz w:val="21"/>
                <w:szCs w:val="21"/>
                <w:highlight w:val="none"/>
                <w:u w:val="none"/>
              </w:rPr>
              <w:t>×（1-20%）。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本项目适用情形详见“</w:t>
            </w:r>
            <w:r>
              <w:rPr>
                <w:rFonts w:hint="eastAsia" w:ascii="宋体" w:hAnsi="宋体" w:cs="宋体"/>
                <w:i w:val="0"/>
                <w:iCs w:val="0"/>
                <w:color w:val="auto"/>
                <w:sz w:val="21"/>
                <w:szCs w:val="21"/>
                <w:highlight w:val="none"/>
                <w:u w:val="none"/>
                <w:lang w:val="en-US" w:eastAsia="zh-CN"/>
              </w:rPr>
              <w:t>供应商</w:t>
            </w:r>
            <w:r>
              <w:rPr>
                <w:rFonts w:hint="eastAsia" w:ascii="宋体" w:hAnsi="宋体" w:eastAsia="宋体" w:cs="宋体"/>
                <w:i w:val="0"/>
                <w:iCs w:val="0"/>
                <w:color w:val="auto"/>
                <w:sz w:val="21"/>
                <w:szCs w:val="21"/>
                <w:highlight w:val="none"/>
                <w:u w:val="none"/>
              </w:rPr>
              <w:t>须知前附表”的规定。对供应商所出具的《声明函》完整性、准确性进行审查。符合澄清补正情形的，应以书面形式要求供应商澄清补正，澄清补正后仍不符合要求的，不享受价格评审优惠。</w:t>
            </w:r>
          </w:p>
          <w:p w14:paraId="73B2E53D">
            <w:pPr>
              <w:keepNext w:val="0"/>
              <w:keepLines w:val="0"/>
              <w:widowControl/>
              <w:suppressLineNumbers w:val="0"/>
              <w:spacing w:line="400" w:lineRule="exact"/>
              <w:ind w:firstLine="420" w:firstLineChars="200"/>
              <w:jc w:val="left"/>
              <w:textAlignment w:val="auto"/>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w:t>
            </w:r>
            <w:r>
              <w:rPr>
                <w:rFonts w:hint="eastAsia" w:ascii="宋体" w:hAnsi="宋体" w:cs="宋体"/>
                <w:i w:val="0"/>
                <w:iCs w:val="0"/>
                <w:color w:val="auto"/>
                <w:sz w:val="21"/>
                <w:szCs w:val="21"/>
                <w:highlight w:val="none"/>
                <w:u w:val="none"/>
                <w:lang w:val="en-US" w:eastAsia="zh-CN"/>
              </w:rPr>
              <w:t>7</w:t>
            </w:r>
            <w:r>
              <w:rPr>
                <w:rFonts w:hint="eastAsia" w:ascii="宋体" w:hAnsi="宋体" w:eastAsia="宋体" w:cs="宋体"/>
                <w:i w:val="0"/>
                <w:iCs w:val="0"/>
                <w:color w:val="auto"/>
                <w:sz w:val="21"/>
                <w:szCs w:val="21"/>
                <w:highlight w:val="none"/>
                <w:u w:val="none"/>
              </w:rPr>
              <w:t>）当同时涉及多个政府采购政策的叠加适用，统一在原报价的基础上进行价格扣除。即</w:t>
            </w:r>
            <w:r>
              <w:rPr>
                <w:rFonts w:hint="eastAsia" w:ascii="宋体" w:hAnsi="宋体" w:cs="宋体"/>
                <w:i w:val="0"/>
                <w:iCs w:val="0"/>
                <w:color w:val="auto"/>
                <w:sz w:val="21"/>
                <w:szCs w:val="21"/>
                <w:highlight w:val="none"/>
                <w:u w:val="none"/>
                <w:lang w:eastAsia="zh-CN"/>
              </w:rPr>
              <w:t>评审报价</w:t>
            </w:r>
            <w:r>
              <w:rPr>
                <w:rFonts w:hint="eastAsia" w:ascii="宋体" w:hAnsi="宋体" w:eastAsia="宋体" w:cs="宋体"/>
                <w:i w:val="0"/>
                <w:iCs w:val="0"/>
                <w:color w:val="auto"/>
                <w:sz w:val="21"/>
                <w:szCs w:val="21"/>
                <w:highlight w:val="none"/>
                <w:u w:val="none"/>
              </w:rPr>
              <w:t>=</w:t>
            </w:r>
            <w:r>
              <w:rPr>
                <w:rFonts w:hint="eastAsia" w:ascii="宋体" w:hAnsi="宋体" w:cs="宋体"/>
                <w:i w:val="0"/>
                <w:iCs w:val="0"/>
                <w:color w:val="auto"/>
                <w:sz w:val="21"/>
                <w:szCs w:val="21"/>
                <w:highlight w:val="none"/>
                <w:u w:val="none"/>
                <w:lang w:val="en-US" w:eastAsia="zh-CN"/>
              </w:rPr>
              <w:t>最后报价</w:t>
            </w:r>
            <w:r>
              <w:rPr>
                <w:rFonts w:hint="eastAsia" w:ascii="宋体" w:hAnsi="宋体" w:eastAsia="宋体" w:cs="宋体"/>
                <w:i w:val="0"/>
                <w:iCs w:val="0"/>
                <w:color w:val="auto"/>
                <w:sz w:val="21"/>
                <w:szCs w:val="21"/>
                <w:highlight w:val="none"/>
                <w:u w:val="none"/>
              </w:rPr>
              <w:t>-中小企业（或监狱企业或者残疾人福利性单位）价格扣除-本国产品价格扣除，除上述情况外，</w:t>
            </w:r>
            <w:r>
              <w:rPr>
                <w:rFonts w:hint="eastAsia" w:ascii="宋体" w:hAnsi="宋体" w:cs="宋体"/>
                <w:i w:val="0"/>
                <w:iCs w:val="0"/>
                <w:color w:val="auto"/>
                <w:sz w:val="21"/>
                <w:szCs w:val="21"/>
                <w:highlight w:val="none"/>
                <w:u w:val="none"/>
                <w:lang w:eastAsia="zh-CN"/>
              </w:rPr>
              <w:t>评审报价</w:t>
            </w:r>
            <w:r>
              <w:rPr>
                <w:rFonts w:hint="eastAsia" w:ascii="宋体" w:hAnsi="宋体" w:eastAsia="宋体" w:cs="宋体"/>
                <w:i w:val="0"/>
                <w:iCs w:val="0"/>
                <w:color w:val="auto"/>
                <w:sz w:val="21"/>
                <w:szCs w:val="21"/>
                <w:highlight w:val="none"/>
                <w:u w:val="none"/>
              </w:rPr>
              <w:t>=</w:t>
            </w:r>
            <w:r>
              <w:rPr>
                <w:rFonts w:hint="eastAsia" w:ascii="宋体" w:hAnsi="宋体" w:cs="宋体"/>
                <w:color w:val="auto"/>
                <w:szCs w:val="21"/>
                <w:highlight w:val="none"/>
              </w:rPr>
              <w:t>最后报价</w:t>
            </w:r>
            <w:r>
              <w:rPr>
                <w:rFonts w:hint="eastAsia" w:ascii="宋体" w:hAnsi="宋体" w:eastAsia="宋体" w:cs="宋体"/>
                <w:i w:val="0"/>
                <w:iCs w:val="0"/>
                <w:color w:val="auto"/>
                <w:sz w:val="21"/>
                <w:szCs w:val="21"/>
                <w:highlight w:val="none"/>
                <w:u w:val="none"/>
              </w:rPr>
              <w:t>。</w:t>
            </w:r>
          </w:p>
          <w:p w14:paraId="00AB7E08">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）满足采购文件要求且评审报价最低的评审报价为评审基准价，其价格分为满分。</w:t>
            </w:r>
          </w:p>
          <w:p w14:paraId="642EE004">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）价格分计算公式：价格分=(评审基准价／评审报价)×10分。</w:t>
            </w:r>
          </w:p>
        </w:tc>
        <w:tc>
          <w:tcPr>
            <w:tcW w:w="851" w:type="dxa"/>
            <w:vAlign w:val="center"/>
          </w:tcPr>
          <w:p w14:paraId="084E7704">
            <w:pPr>
              <w:widowControl/>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 xml:space="preserve"> 10分</w:t>
            </w:r>
          </w:p>
        </w:tc>
      </w:tr>
      <w:tr w14:paraId="35A3C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533" w:type="dxa"/>
            <w:vAlign w:val="center"/>
          </w:tcPr>
          <w:p w14:paraId="79A697FA">
            <w:pPr>
              <w:widowControl/>
              <w:spacing w:line="400" w:lineRule="exact"/>
              <w:jc w:val="center"/>
              <w:rPr>
                <w:rFonts w:ascii="宋体" w:hAnsi="宋体" w:cs="宋体"/>
                <w:b/>
                <w:color w:val="auto"/>
                <w:kern w:val="0"/>
                <w:szCs w:val="21"/>
                <w:highlight w:val="none"/>
              </w:rPr>
            </w:pPr>
            <w:r>
              <w:rPr>
                <w:rFonts w:hint="eastAsia" w:ascii="宋体" w:hAnsi="宋体" w:cs="宋体"/>
                <w:b/>
                <w:bCs/>
                <w:color w:val="auto"/>
                <w:kern w:val="0"/>
                <w:szCs w:val="21"/>
                <w:highlight w:val="none"/>
              </w:rPr>
              <w:t>2</w:t>
            </w:r>
          </w:p>
        </w:tc>
        <w:tc>
          <w:tcPr>
            <w:tcW w:w="1133" w:type="dxa"/>
            <w:vAlign w:val="center"/>
          </w:tcPr>
          <w:p w14:paraId="76B14132">
            <w:pPr>
              <w:widowControl/>
              <w:spacing w:line="400" w:lineRule="exact"/>
              <w:jc w:val="center"/>
              <w:rPr>
                <w:rFonts w:ascii="宋体" w:hAnsi="宋体" w:cs="宋体"/>
                <w:b/>
                <w:color w:val="auto"/>
                <w:kern w:val="0"/>
                <w:szCs w:val="21"/>
                <w:highlight w:val="none"/>
              </w:rPr>
            </w:pPr>
            <w:r>
              <w:rPr>
                <w:rFonts w:hint="eastAsia" w:ascii="宋体" w:hAnsi="宋体" w:cs="宋体"/>
                <w:b/>
                <w:bCs/>
                <w:color w:val="auto"/>
                <w:kern w:val="0"/>
                <w:szCs w:val="21"/>
                <w:highlight w:val="none"/>
              </w:rPr>
              <w:t>技术分</w:t>
            </w:r>
          </w:p>
        </w:tc>
        <w:tc>
          <w:tcPr>
            <w:tcW w:w="6573" w:type="dxa"/>
            <w:vAlign w:val="center"/>
          </w:tcPr>
          <w:p w14:paraId="70FE273E">
            <w:pPr>
              <w:pStyle w:val="16"/>
              <w:spacing w:line="400" w:lineRule="exact"/>
              <w:jc w:val="center"/>
              <w:rPr>
                <w:rFonts w:hAnsi="宋体" w:cs="宋体"/>
                <w:b/>
                <w:bCs/>
                <w:color w:val="auto"/>
                <w:sz w:val="21"/>
                <w:highlight w:val="none"/>
              </w:rPr>
            </w:pPr>
            <w:r>
              <w:rPr>
                <w:rFonts w:hint="eastAsia" w:hAnsi="宋体" w:cs="宋体"/>
                <w:b/>
                <w:bCs/>
                <w:color w:val="auto"/>
                <w:sz w:val="21"/>
                <w:highlight w:val="none"/>
              </w:rPr>
              <w:t>评审因素</w:t>
            </w:r>
          </w:p>
        </w:tc>
        <w:tc>
          <w:tcPr>
            <w:tcW w:w="851" w:type="dxa"/>
            <w:vAlign w:val="center"/>
          </w:tcPr>
          <w:p w14:paraId="49D239BD">
            <w:pPr>
              <w:spacing w:line="400" w:lineRule="exact"/>
              <w:jc w:val="center"/>
              <w:rPr>
                <w:rFonts w:ascii="宋体" w:hAnsi="宋体" w:cs="宋体"/>
                <w:b/>
                <w:color w:val="auto"/>
                <w:kern w:val="0"/>
                <w:szCs w:val="21"/>
                <w:highlight w:val="none"/>
              </w:rPr>
            </w:pPr>
            <w:r>
              <w:rPr>
                <w:rFonts w:hint="eastAsia" w:ascii="宋体" w:hAnsi="宋体" w:cs="宋体"/>
                <w:b/>
                <w:color w:val="auto"/>
                <w:kern w:val="0"/>
                <w:szCs w:val="21"/>
                <w:highlight w:val="none"/>
                <w:lang w:val="en-US" w:eastAsia="zh-CN"/>
              </w:rPr>
              <w:t>80</w:t>
            </w:r>
            <w:r>
              <w:rPr>
                <w:rFonts w:hint="eastAsia" w:ascii="宋体" w:hAnsi="宋体" w:cs="宋体"/>
                <w:b/>
                <w:color w:val="auto"/>
                <w:kern w:val="0"/>
                <w:szCs w:val="21"/>
                <w:highlight w:val="none"/>
              </w:rPr>
              <w:t>分</w:t>
            </w:r>
          </w:p>
        </w:tc>
      </w:tr>
      <w:tr w14:paraId="66660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jc w:val="center"/>
        </w:trPr>
        <w:tc>
          <w:tcPr>
            <w:tcW w:w="533" w:type="dxa"/>
            <w:vAlign w:val="center"/>
          </w:tcPr>
          <w:p w14:paraId="49D7D832">
            <w:pPr>
              <w:adjustRightInd w:val="0"/>
              <w:spacing w:line="400" w:lineRule="exact"/>
              <w:ind w:left="-105" w:leftChars="-50" w:right="-105" w:rightChars="-50"/>
              <w:jc w:val="center"/>
              <w:textAlignment w:val="baseline"/>
              <w:rPr>
                <w:rFonts w:ascii="宋体" w:hAnsi="宋体" w:cs="宋体"/>
                <w:bCs/>
                <w:color w:val="auto"/>
                <w:kern w:val="0"/>
                <w:szCs w:val="21"/>
                <w:highlight w:val="none"/>
              </w:rPr>
            </w:pPr>
            <w:r>
              <w:rPr>
                <w:rFonts w:hint="eastAsia" w:ascii="宋体" w:hAnsi="宋体" w:cs="宋体"/>
                <w:bCs/>
                <w:color w:val="auto"/>
                <w:kern w:val="0"/>
                <w:szCs w:val="21"/>
                <w:highlight w:val="none"/>
              </w:rPr>
              <w:t>2.1</w:t>
            </w:r>
          </w:p>
        </w:tc>
        <w:tc>
          <w:tcPr>
            <w:tcW w:w="1133" w:type="dxa"/>
            <w:vAlign w:val="center"/>
          </w:tcPr>
          <w:p w14:paraId="67507DF6">
            <w:pPr>
              <w:keepLines/>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项目实施方案</w:t>
            </w:r>
          </w:p>
        </w:tc>
        <w:tc>
          <w:tcPr>
            <w:tcW w:w="6573" w:type="dxa"/>
            <w:vAlign w:val="center"/>
          </w:tcPr>
          <w:p w14:paraId="41E8E019">
            <w:pPr>
              <w:wordWrap w:val="0"/>
              <w:spacing w:line="360" w:lineRule="exact"/>
              <w:rPr>
                <w:rFonts w:ascii="宋体" w:hAnsi="宋体" w:cs="宋体"/>
                <w:color w:val="auto"/>
                <w:szCs w:val="21"/>
                <w:highlight w:val="none"/>
              </w:rPr>
            </w:pPr>
            <w:r>
              <w:rPr>
                <w:rFonts w:hint="eastAsia" w:ascii="宋体" w:hAnsi="宋体" w:cs="宋体"/>
                <w:color w:val="auto"/>
                <w:szCs w:val="21"/>
                <w:highlight w:val="none"/>
              </w:rPr>
              <w:t>一档（</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分）：提供有项目实施方案，方案较简单，没有明显技术错误，方案内容包含有项目主要技术、实施进度、检测验收等方面描述；</w:t>
            </w:r>
          </w:p>
          <w:p w14:paraId="7C6C19E5">
            <w:pPr>
              <w:wordWrap w:val="0"/>
              <w:spacing w:line="360" w:lineRule="exact"/>
              <w:rPr>
                <w:rFonts w:ascii="宋体" w:hAnsi="宋体" w:cs="宋体"/>
                <w:color w:val="auto"/>
                <w:szCs w:val="21"/>
                <w:highlight w:val="none"/>
              </w:rPr>
            </w:pPr>
            <w:r>
              <w:rPr>
                <w:rFonts w:hint="eastAsia" w:ascii="宋体" w:hAnsi="宋体" w:cs="宋体"/>
                <w:color w:val="auto"/>
                <w:szCs w:val="21"/>
                <w:highlight w:val="none"/>
              </w:rPr>
              <w:t>二档（</w:t>
            </w:r>
            <w:r>
              <w:rPr>
                <w:rFonts w:hint="eastAsia" w:ascii="宋体" w:hAnsi="宋体" w:cs="宋体"/>
                <w:color w:val="auto"/>
                <w:szCs w:val="21"/>
                <w:highlight w:val="none"/>
                <w:lang w:val="en-US" w:eastAsia="zh-CN"/>
              </w:rPr>
              <w:t>16</w:t>
            </w:r>
            <w:r>
              <w:rPr>
                <w:rFonts w:hint="eastAsia" w:ascii="宋体" w:hAnsi="宋体" w:cs="宋体"/>
                <w:color w:val="auto"/>
                <w:szCs w:val="21"/>
                <w:highlight w:val="none"/>
              </w:rPr>
              <w:t>分）：提供的项目实施方案较详细、合理，有关键技术点，步骤有序，方案内容包含有项目主要技术、实施进度、</w:t>
            </w:r>
            <w:r>
              <w:rPr>
                <w:rFonts w:hint="eastAsia" w:ascii="宋体" w:hAnsi="宋体" w:cs="宋体"/>
                <w:bCs/>
                <w:color w:val="auto"/>
                <w:szCs w:val="21"/>
                <w:highlight w:val="none"/>
              </w:rPr>
              <w:t>检测验收、</w:t>
            </w:r>
            <w:r>
              <w:rPr>
                <w:rFonts w:hint="eastAsia" w:ascii="宋体" w:hAnsi="宋体" w:cs="宋体"/>
                <w:color w:val="auto"/>
                <w:szCs w:val="21"/>
                <w:highlight w:val="none"/>
              </w:rPr>
              <w:t>组织人员</w:t>
            </w:r>
            <w:r>
              <w:rPr>
                <w:rFonts w:hint="eastAsia" w:ascii="宋体" w:hAnsi="宋体" w:cs="宋体"/>
                <w:bCs/>
                <w:color w:val="auto"/>
                <w:szCs w:val="21"/>
                <w:highlight w:val="none"/>
              </w:rPr>
              <w:t>、场地清理维护等方面描述，描述较为全面、可行</w:t>
            </w:r>
            <w:r>
              <w:rPr>
                <w:rFonts w:hint="eastAsia" w:ascii="宋体" w:hAnsi="宋体" w:cs="宋体"/>
                <w:color w:val="auto"/>
                <w:szCs w:val="21"/>
                <w:highlight w:val="none"/>
              </w:rPr>
              <w:t>；</w:t>
            </w:r>
          </w:p>
          <w:p w14:paraId="1874462E">
            <w:pPr>
              <w:wordWrap w:val="0"/>
              <w:spacing w:line="360" w:lineRule="exact"/>
              <w:rPr>
                <w:rFonts w:hint="eastAsia" w:ascii="宋体" w:hAnsi="宋体" w:cs="宋体"/>
                <w:bCs/>
                <w:color w:val="auto"/>
                <w:szCs w:val="21"/>
                <w:highlight w:val="none"/>
              </w:rPr>
            </w:pPr>
            <w:r>
              <w:rPr>
                <w:rFonts w:hint="eastAsia" w:ascii="宋体" w:hAnsi="宋体" w:cs="宋体"/>
                <w:color w:val="auto"/>
                <w:szCs w:val="21"/>
                <w:highlight w:val="none"/>
              </w:rPr>
              <w:t>三档（2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分）：提供的项目实施方案详细、先进、合理，选用的主要设备合理，系统功能配置齐全，能提供详细的设计</w:t>
            </w:r>
            <w:bookmarkStart w:id="229" w:name="_GoBack"/>
            <w:bookmarkEnd w:id="229"/>
            <w:r>
              <w:rPr>
                <w:rFonts w:hint="eastAsia" w:ascii="宋体" w:hAnsi="宋体" w:cs="宋体"/>
                <w:color w:val="auto"/>
                <w:szCs w:val="21"/>
                <w:highlight w:val="none"/>
              </w:rPr>
              <w:t>方案及整体架构图，步骤有序，方案整体性、可靠性、可维护性、安全性好，能较有针对性提出合理化建议，方案内容包含有项目主要技术、实施进度、</w:t>
            </w:r>
            <w:r>
              <w:rPr>
                <w:rFonts w:hint="eastAsia" w:ascii="宋体" w:hAnsi="宋体" w:cs="宋体"/>
                <w:bCs/>
                <w:color w:val="auto"/>
                <w:szCs w:val="21"/>
                <w:highlight w:val="none"/>
              </w:rPr>
              <w:t>检测验收、</w:t>
            </w:r>
            <w:r>
              <w:rPr>
                <w:rFonts w:hint="eastAsia" w:ascii="宋体" w:hAnsi="宋体" w:cs="宋体"/>
                <w:color w:val="auto"/>
                <w:szCs w:val="21"/>
                <w:highlight w:val="none"/>
              </w:rPr>
              <w:t>组织人员、</w:t>
            </w:r>
            <w:r>
              <w:rPr>
                <w:rFonts w:hint="eastAsia" w:ascii="宋体" w:hAnsi="宋体" w:cs="宋体"/>
                <w:bCs/>
                <w:color w:val="auto"/>
                <w:szCs w:val="21"/>
                <w:highlight w:val="none"/>
              </w:rPr>
              <w:t>场地清理维护、质量控制等方面描述，描述全面、详细、可行。</w:t>
            </w:r>
          </w:p>
          <w:p w14:paraId="002D4749">
            <w:pPr>
              <w:wordWrap w:val="0"/>
              <w:spacing w:line="360" w:lineRule="exact"/>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不符合一档要求或未提供得0分。</w:t>
            </w:r>
          </w:p>
        </w:tc>
        <w:tc>
          <w:tcPr>
            <w:tcW w:w="851" w:type="dxa"/>
            <w:vAlign w:val="center"/>
          </w:tcPr>
          <w:p w14:paraId="62444C53">
            <w:pPr>
              <w:keepLines/>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24</w:t>
            </w:r>
            <w:r>
              <w:rPr>
                <w:rFonts w:hint="eastAsia" w:ascii="宋体" w:hAnsi="宋体" w:cs="宋体"/>
                <w:color w:val="auto"/>
                <w:kern w:val="0"/>
                <w:szCs w:val="21"/>
                <w:highlight w:val="none"/>
              </w:rPr>
              <w:t>分</w:t>
            </w:r>
          </w:p>
        </w:tc>
      </w:tr>
      <w:tr w14:paraId="0FC30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533" w:type="dxa"/>
            <w:vAlign w:val="center"/>
          </w:tcPr>
          <w:p w14:paraId="3DEAAA8A">
            <w:pPr>
              <w:adjustRightInd w:val="0"/>
              <w:spacing w:line="400" w:lineRule="exact"/>
              <w:ind w:left="-105" w:leftChars="-50" w:right="-105" w:rightChars="-50"/>
              <w:jc w:val="center"/>
              <w:textAlignment w:val="baseline"/>
              <w:rPr>
                <w:rFonts w:ascii="宋体" w:hAnsi="宋体" w:cs="宋体"/>
                <w:bCs/>
                <w:color w:val="auto"/>
                <w:kern w:val="0"/>
                <w:szCs w:val="21"/>
                <w:highlight w:val="none"/>
              </w:rPr>
            </w:pPr>
            <w:r>
              <w:rPr>
                <w:rFonts w:hint="eastAsia" w:ascii="宋体" w:hAnsi="宋体" w:cs="宋体"/>
                <w:bCs/>
                <w:color w:val="auto"/>
                <w:kern w:val="0"/>
                <w:szCs w:val="21"/>
                <w:highlight w:val="none"/>
              </w:rPr>
              <w:t>2.2</w:t>
            </w:r>
          </w:p>
        </w:tc>
        <w:tc>
          <w:tcPr>
            <w:tcW w:w="1133" w:type="dxa"/>
            <w:vAlign w:val="center"/>
          </w:tcPr>
          <w:p w14:paraId="11644F4C">
            <w:pPr>
              <w:keepLines/>
              <w:spacing w:line="400" w:lineRule="exact"/>
              <w:jc w:val="center"/>
              <w:rPr>
                <w:rFonts w:ascii="宋体" w:hAnsi="宋体" w:cs="宋体"/>
                <w:color w:val="auto"/>
                <w:kern w:val="0"/>
                <w:szCs w:val="21"/>
                <w:highlight w:val="none"/>
              </w:rPr>
            </w:pPr>
            <w:r>
              <w:rPr>
                <w:rFonts w:hint="eastAsia" w:ascii="宋体" w:hAnsi="宋体" w:cs="宋体"/>
                <w:color w:val="auto"/>
                <w:szCs w:val="21"/>
                <w:highlight w:val="none"/>
              </w:rPr>
              <w:t>产品性能分</w:t>
            </w:r>
          </w:p>
        </w:tc>
        <w:tc>
          <w:tcPr>
            <w:tcW w:w="6573" w:type="dxa"/>
            <w:vAlign w:val="center"/>
          </w:tcPr>
          <w:p w14:paraId="61DFB225">
            <w:pPr>
              <w:wordWrap w:val="0"/>
              <w:spacing w:line="360" w:lineRule="exact"/>
              <w:rPr>
                <w:rFonts w:ascii="宋体" w:hAnsi="宋体" w:cs="宋体"/>
                <w:color w:val="auto"/>
                <w:szCs w:val="21"/>
                <w:highlight w:val="none"/>
              </w:rPr>
            </w:pPr>
            <w:r>
              <w:rPr>
                <w:rFonts w:hint="eastAsia" w:ascii="宋体" w:hAnsi="宋体" w:cs="宋体"/>
                <w:color w:val="auto"/>
                <w:szCs w:val="21"/>
                <w:highlight w:val="none"/>
              </w:rPr>
              <w:t>本项产品性能分指采购文件第三章 一、技术需求中“1.3.4</w:t>
            </w:r>
            <w:r>
              <w:rPr>
                <w:rFonts w:hint="eastAsia" w:ascii="宋体" w:hAnsi="宋体" w:cs="宋体"/>
                <w:color w:val="auto"/>
                <w:szCs w:val="21"/>
                <w:highlight w:val="none"/>
              </w:rPr>
              <w:tab/>
            </w:r>
            <w:r>
              <w:rPr>
                <w:rFonts w:hint="eastAsia" w:ascii="宋体" w:hAnsi="宋体" w:cs="宋体"/>
                <w:color w:val="auto"/>
                <w:szCs w:val="21"/>
                <w:highlight w:val="none"/>
              </w:rPr>
              <w:t>B/S平台改造部署”的采购参数。具体的评分标准如下：</w:t>
            </w:r>
          </w:p>
          <w:p w14:paraId="154B6D84">
            <w:pPr>
              <w:wordWrap w:val="0"/>
              <w:spacing w:line="360" w:lineRule="exact"/>
              <w:rPr>
                <w:rFonts w:ascii="宋体" w:hAnsi="宋体" w:cs="宋体"/>
                <w:color w:val="auto"/>
                <w:szCs w:val="21"/>
                <w:highlight w:val="none"/>
              </w:rPr>
            </w:pPr>
            <w:r>
              <w:rPr>
                <w:rFonts w:hint="eastAsia" w:ascii="宋体" w:hAnsi="宋体" w:cs="宋体"/>
                <w:color w:val="auto"/>
                <w:szCs w:val="21"/>
                <w:highlight w:val="none"/>
              </w:rPr>
              <w:t>1.一般技术参数（“1.3.4</w:t>
            </w:r>
            <w:r>
              <w:rPr>
                <w:rFonts w:hint="eastAsia" w:ascii="宋体" w:hAnsi="宋体" w:cs="宋体"/>
                <w:color w:val="auto"/>
                <w:szCs w:val="21"/>
                <w:highlight w:val="none"/>
              </w:rPr>
              <w:tab/>
            </w:r>
            <w:r>
              <w:rPr>
                <w:rFonts w:hint="eastAsia" w:ascii="宋体" w:hAnsi="宋体" w:cs="宋体"/>
                <w:color w:val="auto"/>
                <w:szCs w:val="21"/>
                <w:highlight w:val="none"/>
              </w:rPr>
              <w:t>B/S平台改造部署”中未标注“▲”或者未标注“●”的技术参数）完全满足采购文件要求的得6.5分，每有1项负偏离或漏项的扣0.1分，得分=该项满分分值-累计扣分分值，扣完分值为止。</w:t>
            </w:r>
          </w:p>
          <w:p w14:paraId="340EE944">
            <w:pPr>
              <w:wordWrap w:val="0"/>
              <w:spacing w:line="360" w:lineRule="exact"/>
              <w:rPr>
                <w:rFonts w:ascii="宋体" w:hAnsi="宋体" w:cs="宋体"/>
                <w:color w:val="auto"/>
                <w:szCs w:val="21"/>
                <w:highlight w:val="none"/>
              </w:rPr>
            </w:pPr>
            <w:r>
              <w:rPr>
                <w:rFonts w:hint="eastAsia" w:ascii="宋体" w:hAnsi="宋体" w:cs="宋体"/>
                <w:color w:val="auto"/>
                <w:szCs w:val="21"/>
                <w:highlight w:val="none"/>
              </w:rPr>
              <w:t>注：以技术需求偏离表的响应偏离情况进行评定。</w:t>
            </w:r>
          </w:p>
          <w:p w14:paraId="499B1196">
            <w:pPr>
              <w:wordWrap w:val="0"/>
              <w:spacing w:line="360" w:lineRule="exact"/>
              <w:rPr>
                <w:rFonts w:ascii="宋体" w:hAnsi="宋体" w:cs="宋体"/>
                <w:color w:val="auto"/>
                <w:szCs w:val="21"/>
                <w:highlight w:val="none"/>
              </w:rPr>
            </w:pPr>
            <w:r>
              <w:rPr>
                <w:rFonts w:hint="eastAsia" w:ascii="宋体" w:hAnsi="宋体" w:cs="宋体"/>
                <w:color w:val="auto"/>
                <w:szCs w:val="21"/>
                <w:highlight w:val="none"/>
              </w:rPr>
              <w:t>2.重要技术参数（“1.3.4</w:t>
            </w:r>
            <w:r>
              <w:rPr>
                <w:rFonts w:hint="eastAsia" w:ascii="宋体" w:hAnsi="宋体" w:cs="宋体"/>
                <w:color w:val="auto"/>
                <w:szCs w:val="21"/>
                <w:highlight w:val="none"/>
              </w:rPr>
              <w:tab/>
            </w:r>
            <w:r>
              <w:rPr>
                <w:rFonts w:hint="eastAsia" w:ascii="宋体" w:hAnsi="宋体" w:cs="宋体"/>
                <w:color w:val="auto"/>
                <w:szCs w:val="21"/>
                <w:highlight w:val="none"/>
              </w:rPr>
              <w:t>B/S平台改造部署”中标注“●”的技术参数）完全满足采购文件要求的得18分，每有1项负偏离或漏项的扣2分，得分=该项满分分值-累计扣分分值，扣完分值为止。</w:t>
            </w:r>
          </w:p>
          <w:p w14:paraId="5A7F2338">
            <w:pPr>
              <w:wordWrap w:val="0"/>
              <w:spacing w:line="360" w:lineRule="exact"/>
              <w:rPr>
                <w:rFonts w:ascii="宋体" w:hAnsi="宋体" w:cs="宋体"/>
                <w:color w:val="auto"/>
                <w:szCs w:val="21"/>
                <w:highlight w:val="none"/>
              </w:rPr>
            </w:pPr>
            <w:r>
              <w:rPr>
                <w:rFonts w:hint="eastAsia" w:ascii="宋体" w:hAnsi="宋体" w:cs="宋体"/>
                <w:color w:val="auto"/>
                <w:szCs w:val="21"/>
                <w:highlight w:val="none"/>
              </w:rPr>
              <w:t>注：须提供国家认定的第三方检测机构出具的检测报告复印件并加盖供应商公章作为证明材料，否则不计分。</w:t>
            </w:r>
          </w:p>
        </w:tc>
        <w:tc>
          <w:tcPr>
            <w:tcW w:w="851" w:type="dxa"/>
            <w:vAlign w:val="center"/>
          </w:tcPr>
          <w:p w14:paraId="1E8C2E8D">
            <w:pPr>
              <w:keepLines/>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24.5分</w:t>
            </w:r>
          </w:p>
        </w:tc>
      </w:tr>
      <w:tr w14:paraId="06E24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533" w:type="dxa"/>
            <w:vAlign w:val="center"/>
          </w:tcPr>
          <w:p w14:paraId="3080BC8F">
            <w:pPr>
              <w:adjustRightInd w:val="0"/>
              <w:spacing w:line="400" w:lineRule="exact"/>
              <w:ind w:left="-105" w:leftChars="-50" w:right="-105" w:rightChars="-50"/>
              <w:jc w:val="center"/>
              <w:textAlignment w:val="baseline"/>
              <w:rPr>
                <w:rFonts w:ascii="宋体" w:hAnsi="宋体" w:cs="宋体"/>
                <w:bCs/>
                <w:color w:val="auto"/>
                <w:kern w:val="0"/>
                <w:szCs w:val="21"/>
                <w:highlight w:val="none"/>
              </w:rPr>
            </w:pPr>
            <w:r>
              <w:rPr>
                <w:rFonts w:hint="eastAsia" w:ascii="宋体" w:hAnsi="宋体" w:cs="宋体"/>
                <w:bCs/>
                <w:color w:val="auto"/>
                <w:kern w:val="0"/>
                <w:szCs w:val="21"/>
                <w:highlight w:val="none"/>
              </w:rPr>
              <w:t>2.3</w:t>
            </w:r>
          </w:p>
        </w:tc>
        <w:tc>
          <w:tcPr>
            <w:tcW w:w="1133" w:type="dxa"/>
            <w:vAlign w:val="center"/>
          </w:tcPr>
          <w:p w14:paraId="3BC4BFEE">
            <w:pPr>
              <w:widowControl/>
              <w:spacing w:line="400" w:lineRule="exact"/>
              <w:jc w:val="center"/>
              <w:rPr>
                <w:rFonts w:ascii="宋体" w:hAnsi="宋体" w:cs="宋体"/>
                <w:color w:val="auto"/>
                <w:kern w:val="0"/>
                <w:szCs w:val="21"/>
                <w:highlight w:val="none"/>
              </w:rPr>
            </w:pPr>
            <w:r>
              <w:rPr>
                <w:rFonts w:hint="eastAsia" w:ascii="宋体" w:hAnsi="宋体" w:cs="宋体"/>
                <w:color w:val="auto"/>
                <w:szCs w:val="21"/>
                <w:highlight w:val="none"/>
              </w:rPr>
              <w:t>运维服务能力</w:t>
            </w:r>
          </w:p>
        </w:tc>
        <w:tc>
          <w:tcPr>
            <w:tcW w:w="6573" w:type="dxa"/>
            <w:vAlign w:val="center"/>
          </w:tcPr>
          <w:p w14:paraId="56F110D8">
            <w:pPr>
              <w:wordWrap w:val="0"/>
              <w:spacing w:line="360" w:lineRule="exact"/>
              <w:rPr>
                <w:rFonts w:ascii="宋体" w:hAnsi="宋体" w:cs="宋体"/>
                <w:color w:val="auto"/>
                <w:szCs w:val="21"/>
                <w:highlight w:val="none"/>
              </w:rPr>
            </w:pPr>
            <w:r>
              <w:rPr>
                <w:rFonts w:hint="eastAsia" w:ascii="宋体" w:hAnsi="宋体" w:cs="宋体"/>
                <w:color w:val="auto"/>
                <w:szCs w:val="21"/>
                <w:highlight w:val="none"/>
              </w:rPr>
              <w:t>根据供应商拟投入本项目的自有</w:t>
            </w:r>
            <w:r>
              <w:rPr>
                <w:rFonts w:hint="eastAsia" w:ascii="宋体" w:hAnsi="宋体" w:cs="宋体"/>
                <w:color w:val="auto"/>
                <w:szCs w:val="21"/>
                <w:highlight w:val="none"/>
                <w:lang w:val="en-US" w:eastAsia="zh-CN"/>
              </w:rPr>
              <w:t>或租赁</w:t>
            </w:r>
            <w:r>
              <w:rPr>
                <w:rFonts w:hint="eastAsia" w:ascii="宋体" w:hAnsi="宋体" w:cs="宋体"/>
                <w:color w:val="auto"/>
                <w:szCs w:val="21"/>
                <w:highlight w:val="none"/>
              </w:rPr>
              <w:t>运行维护车辆（①提供有效的机动车行驶证或机动车登记证书复印件等证明材料并加盖供应商公章；②自有车辆：所有人名称应为供应商（与营业执照名称一致）；租赁车辆：所有人名称为出租方；③租赁车辆须提供租赁合同</w:t>
            </w:r>
            <w:r>
              <w:rPr>
                <w:rFonts w:hint="eastAsia" w:ascii="宋体" w:hAnsi="宋体" w:cs="宋体"/>
                <w:color w:val="auto"/>
                <w:szCs w:val="21"/>
                <w:highlight w:val="none"/>
                <w:lang w:val="en-US" w:eastAsia="zh-CN"/>
              </w:rPr>
              <w:t>/协议</w:t>
            </w:r>
            <w:r>
              <w:rPr>
                <w:rFonts w:hint="eastAsia" w:ascii="宋体" w:hAnsi="宋体" w:cs="宋体"/>
                <w:color w:val="auto"/>
                <w:szCs w:val="21"/>
                <w:highlight w:val="none"/>
              </w:rPr>
              <w:t>复印件（</w:t>
            </w:r>
            <w:r>
              <w:rPr>
                <w:rFonts w:hint="eastAsia" w:ascii="宋体" w:hAnsi="宋体" w:cs="宋体"/>
                <w:color w:val="auto"/>
                <w:szCs w:val="21"/>
                <w:highlight w:val="none"/>
                <w:lang w:val="en-US" w:eastAsia="zh-CN"/>
              </w:rPr>
              <w:t>租赁期须覆盖本项目合同期，如未覆盖则需承诺续租至本项目合同结束</w:t>
            </w:r>
            <w:r>
              <w:rPr>
                <w:rFonts w:hint="eastAsia" w:ascii="宋体" w:hAnsi="宋体" w:cs="宋体"/>
                <w:color w:val="auto"/>
                <w:szCs w:val="21"/>
                <w:highlight w:val="none"/>
              </w:rPr>
              <w:t>）并加盖供应商公章）或提供成交后能确保投入本项目自有</w:t>
            </w:r>
            <w:r>
              <w:rPr>
                <w:rFonts w:hint="eastAsia" w:ascii="宋体" w:hAnsi="宋体" w:cs="宋体"/>
                <w:color w:val="auto"/>
                <w:szCs w:val="21"/>
                <w:highlight w:val="none"/>
                <w:lang w:val="en-US" w:eastAsia="zh-CN"/>
              </w:rPr>
              <w:t>或租赁</w:t>
            </w:r>
            <w:r>
              <w:rPr>
                <w:rFonts w:hint="eastAsia" w:ascii="宋体" w:hAnsi="宋体" w:cs="宋体"/>
                <w:color w:val="auto"/>
                <w:szCs w:val="21"/>
                <w:highlight w:val="none"/>
              </w:rPr>
              <w:t>运行维护车辆的承诺函（承诺函格式自拟）进行评分：</w:t>
            </w:r>
          </w:p>
          <w:p w14:paraId="0E12E2A2">
            <w:pPr>
              <w:wordWrap w:val="0"/>
              <w:spacing w:line="360" w:lineRule="exact"/>
              <w:rPr>
                <w:rFonts w:ascii="宋体" w:hAnsi="宋体" w:cs="宋体"/>
                <w:color w:val="auto"/>
                <w:szCs w:val="21"/>
                <w:highlight w:val="none"/>
              </w:rPr>
            </w:pPr>
            <w:r>
              <w:rPr>
                <w:rFonts w:hint="eastAsia" w:ascii="宋体" w:hAnsi="宋体" w:cs="宋体"/>
                <w:color w:val="auto"/>
                <w:szCs w:val="21"/>
                <w:highlight w:val="none"/>
              </w:rPr>
              <w:t>拟投入本项目的自有</w:t>
            </w:r>
            <w:r>
              <w:rPr>
                <w:rFonts w:hint="eastAsia" w:ascii="宋体" w:hAnsi="宋体" w:cs="宋体"/>
                <w:color w:val="auto"/>
                <w:szCs w:val="21"/>
                <w:highlight w:val="none"/>
                <w:lang w:val="en-US" w:eastAsia="zh-CN"/>
              </w:rPr>
              <w:t>或租赁</w:t>
            </w:r>
            <w:r>
              <w:rPr>
                <w:rFonts w:hint="eastAsia" w:ascii="宋体" w:hAnsi="宋体" w:cs="宋体"/>
                <w:color w:val="auto"/>
                <w:szCs w:val="21"/>
                <w:highlight w:val="none"/>
              </w:rPr>
              <w:t>运行维护车辆1辆得0.5分，2辆得1分,3辆及以上得1.5分（采购人有权在合同期间随时抽查上述车辆到位情况，若发现与响应承诺函不符，则按违约处理）。</w:t>
            </w:r>
          </w:p>
        </w:tc>
        <w:tc>
          <w:tcPr>
            <w:tcW w:w="851" w:type="dxa"/>
            <w:vAlign w:val="center"/>
          </w:tcPr>
          <w:p w14:paraId="29DDB972">
            <w:pPr>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1.5分</w:t>
            </w:r>
          </w:p>
        </w:tc>
      </w:tr>
      <w:tr w14:paraId="48448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533" w:type="dxa"/>
            <w:vAlign w:val="center"/>
          </w:tcPr>
          <w:p w14:paraId="345A693A">
            <w:pPr>
              <w:adjustRightInd w:val="0"/>
              <w:spacing w:line="400" w:lineRule="exact"/>
              <w:ind w:left="-105" w:leftChars="-50" w:right="-105" w:rightChars="-50"/>
              <w:jc w:val="center"/>
              <w:textAlignment w:val="baseline"/>
              <w:rPr>
                <w:rFonts w:ascii="宋体" w:hAnsi="宋体" w:cs="宋体"/>
                <w:bCs/>
                <w:color w:val="auto"/>
                <w:kern w:val="0"/>
                <w:szCs w:val="21"/>
                <w:highlight w:val="none"/>
              </w:rPr>
            </w:pPr>
            <w:r>
              <w:rPr>
                <w:rFonts w:hint="eastAsia" w:ascii="宋体" w:hAnsi="宋体" w:cs="宋体"/>
                <w:bCs/>
                <w:color w:val="auto"/>
                <w:kern w:val="0"/>
                <w:szCs w:val="21"/>
                <w:highlight w:val="none"/>
              </w:rPr>
              <w:t>2.4</w:t>
            </w:r>
          </w:p>
        </w:tc>
        <w:tc>
          <w:tcPr>
            <w:tcW w:w="1133" w:type="dxa"/>
            <w:vAlign w:val="center"/>
          </w:tcPr>
          <w:p w14:paraId="539A4AC3">
            <w:pPr>
              <w:adjustRightInd w:val="0"/>
              <w:spacing w:line="400" w:lineRule="exact"/>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售后和运维保障服务方案</w:t>
            </w:r>
          </w:p>
        </w:tc>
        <w:tc>
          <w:tcPr>
            <w:tcW w:w="6573" w:type="dxa"/>
            <w:vAlign w:val="center"/>
          </w:tcPr>
          <w:p w14:paraId="484226D8">
            <w:pPr>
              <w:wordWrap w:val="0"/>
              <w:spacing w:line="360" w:lineRule="exact"/>
              <w:rPr>
                <w:rFonts w:ascii="宋体" w:hAnsi="宋体" w:cs="宋体"/>
                <w:color w:val="auto"/>
                <w:szCs w:val="21"/>
                <w:highlight w:val="none"/>
              </w:rPr>
            </w:pPr>
            <w:r>
              <w:rPr>
                <w:rFonts w:hint="eastAsia" w:ascii="宋体" w:hAnsi="宋体" w:cs="宋体"/>
                <w:color w:val="auto"/>
                <w:szCs w:val="21"/>
                <w:highlight w:val="none"/>
              </w:rPr>
              <w:t>一档（5分）：完全满足采购文件售后服务要求，有服务人员配置、回访安排等，方案内容简单，可行性差。</w:t>
            </w:r>
          </w:p>
          <w:p w14:paraId="2B914BB2">
            <w:pPr>
              <w:wordWrap w:val="0"/>
              <w:spacing w:line="360" w:lineRule="exact"/>
              <w:rPr>
                <w:rFonts w:ascii="宋体" w:hAnsi="宋体" w:cs="宋体"/>
                <w:color w:val="auto"/>
                <w:szCs w:val="21"/>
                <w:highlight w:val="none"/>
              </w:rPr>
            </w:pPr>
            <w:r>
              <w:rPr>
                <w:rFonts w:hint="eastAsia" w:ascii="宋体" w:hAnsi="宋体" w:cs="宋体"/>
                <w:color w:val="auto"/>
                <w:szCs w:val="21"/>
                <w:highlight w:val="none"/>
              </w:rPr>
              <w:t>二档（10分）：满足一档要求的前提下，定期回访安排合理、接故障通知到达现场的时间优于采购文件要求、故障有替代品、有培训计划。服务人员不少于10人，其中具备计算机或通信工程等相关中级及以上职称的人员有不少于1人的。</w:t>
            </w:r>
          </w:p>
          <w:p w14:paraId="6F9C9F0A">
            <w:pPr>
              <w:wordWrap w:val="0"/>
              <w:spacing w:line="360" w:lineRule="exact"/>
              <w:rPr>
                <w:rFonts w:ascii="宋体" w:hAnsi="宋体" w:cs="宋体"/>
                <w:color w:val="auto"/>
                <w:szCs w:val="21"/>
                <w:highlight w:val="none"/>
              </w:rPr>
            </w:pPr>
            <w:r>
              <w:rPr>
                <w:rFonts w:hint="eastAsia" w:ascii="宋体" w:hAnsi="宋体" w:cs="宋体"/>
                <w:color w:val="auto"/>
                <w:szCs w:val="21"/>
                <w:highlight w:val="none"/>
              </w:rPr>
              <w:t>三档（15分）：满足二档要求的前提下，提供</w:t>
            </w:r>
            <w:r>
              <w:rPr>
                <w:rFonts w:hint="eastAsia" w:ascii="宋体" w:hAnsi="宋体" w:cs="宋体"/>
                <w:color w:val="auto"/>
                <w:szCs w:val="21"/>
                <w:highlight w:val="none"/>
                <w:lang w:val="en-US" w:eastAsia="zh-CN"/>
              </w:rPr>
              <w:t>完善的售后和运维</w:t>
            </w:r>
            <w:r>
              <w:rPr>
                <w:rFonts w:hint="eastAsia" w:ascii="宋体" w:hAnsi="宋体" w:cs="宋体"/>
                <w:color w:val="auto"/>
                <w:szCs w:val="21"/>
                <w:highlight w:val="none"/>
              </w:rPr>
              <w:t>服务，培训计划有针对性，且提出其他有利于采购人的优化服务措施。服务人员不少于15人，其中具备计算机或通信工程等相关中级及以上职称人员不少于3人的。</w:t>
            </w:r>
          </w:p>
          <w:p w14:paraId="21E9D6E5">
            <w:pPr>
              <w:wordWrap w:val="0"/>
              <w:spacing w:line="360" w:lineRule="exact"/>
              <w:rPr>
                <w:rFonts w:hint="eastAsia" w:ascii="宋体" w:hAnsi="宋体" w:cs="宋体"/>
                <w:color w:val="auto"/>
                <w:szCs w:val="21"/>
                <w:highlight w:val="none"/>
              </w:rPr>
            </w:pPr>
            <w:r>
              <w:rPr>
                <w:rFonts w:hint="eastAsia" w:ascii="宋体" w:hAnsi="宋体" w:cs="宋体"/>
                <w:color w:val="auto"/>
                <w:szCs w:val="21"/>
                <w:highlight w:val="none"/>
              </w:rPr>
              <w:t>注：以上投入服务人员需提供花名册，包括姓名、职称证书以及在项目工作中拟承担的工作内容和工作分工。上述人员中属招聘人员的须提供在本单位缴纳的至截标时间半年内任意1个月的社保缴纳证明复印件，属事业单位编制人员的提供在编人员证明复印件，退休人员须提供退休证明和劳动合同复印件，复印件均加盖供应商公章，否则不得分。</w:t>
            </w:r>
          </w:p>
          <w:p w14:paraId="6DEE9D97">
            <w:pPr>
              <w:wordWrap w:val="0"/>
              <w:spacing w:line="360" w:lineRule="exact"/>
              <w:rPr>
                <w:rFonts w:hint="eastAsia" w:ascii="宋体" w:hAnsi="宋体" w:cs="宋体"/>
                <w:color w:val="auto"/>
                <w:szCs w:val="21"/>
                <w:highlight w:val="none"/>
              </w:rPr>
            </w:pPr>
            <w:r>
              <w:rPr>
                <w:rFonts w:hint="eastAsia" w:ascii="宋体" w:hAnsi="宋体" w:cs="宋体"/>
                <w:bCs/>
                <w:color w:val="auto"/>
                <w:szCs w:val="21"/>
                <w:highlight w:val="none"/>
                <w:lang w:val="en-US" w:eastAsia="zh-CN"/>
              </w:rPr>
              <w:t>不符合一档要求或未提供得0分。</w:t>
            </w:r>
          </w:p>
        </w:tc>
        <w:tc>
          <w:tcPr>
            <w:tcW w:w="851" w:type="dxa"/>
            <w:vAlign w:val="center"/>
          </w:tcPr>
          <w:p w14:paraId="42FD961F">
            <w:pPr>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15分</w:t>
            </w:r>
          </w:p>
        </w:tc>
      </w:tr>
      <w:tr w14:paraId="7CDAB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533" w:type="dxa"/>
            <w:vAlign w:val="center"/>
          </w:tcPr>
          <w:p w14:paraId="58445016">
            <w:pPr>
              <w:adjustRightInd w:val="0"/>
              <w:spacing w:line="400" w:lineRule="exact"/>
              <w:ind w:left="-105" w:leftChars="-50" w:right="-105" w:rightChars="-50"/>
              <w:jc w:val="center"/>
              <w:textAlignment w:val="baseline"/>
              <w:rPr>
                <w:rFonts w:ascii="宋体" w:hAnsi="宋体" w:cs="宋体"/>
                <w:bCs/>
                <w:color w:val="auto"/>
                <w:kern w:val="0"/>
                <w:szCs w:val="21"/>
                <w:highlight w:val="none"/>
              </w:rPr>
            </w:pPr>
            <w:r>
              <w:rPr>
                <w:rFonts w:hint="eastAsia" w:ascii="宋体" w:hAnsi="宋体" w:cs="宋体"/>
                <w:bCs/>
                <w:color w:val="auto"/>
                <w:kern w:val="0"/>
                <w:szCs w:val="21"/>
                <w:highlight w:val="none"/>
              </w:rPr>
              <w:t>2.5</w:t>
            </w:r>
          </w:p>
        </w:tc>
        <w:tc>
          <w:tcPr>
            <w:tcW w:w="1133" w:type="dxa"/>
            <w:vAlign w:val="center"/>
          </w:tcPr>
          <w:p w14:paraId="666883D7">
            <w:pPr>
              <w:adjustRightInd w:val="0"/>
              <w:spacing w:line="400" w:lineRule="exact"/>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应急方案</w:t>
            </w:r>
          </w:p>
        </w:tc>
        <w:tc>
          <w:tcPr>
            <w:tcW w:w="6573" w:type="dxa"/>
            <w:vAlign w:val="center"/>
          </w:tcPr>
          <w:p w14:paraId="7BBDDD7D">
            <w:pPr>
              <w:wordWrap w:val="0"/>
              <w:spacing w:line="360" w:lineRule="exact"/>
              <w:jc w:val="left"/>
              <w:rPr>
                <w:rFonts w:ascii="宋体" w:hAnsi="宋体" w:cs="宋体"/>
                <w:color w:val="auto"/>
                <w:szCs w:val="21"/>
                <w:highlight w:val="none"/>
              </w:rPr>
            </w:pPr>
            <w:r>
              <w:rPr>
                <w:rFonts w:hint="eastAsia" w:ascii="宋体" w:hAnsi="宋体" w:cs="宋体"/>
                <w:color w:val="auto"/>
                <w:szCs w:val="21"/>
                <w:highlight w:val="none"/>
              </w:rPr>
              <w:t>一档（5分）：预案内容较简单，保障能力基本满足项目需求。</w:t>
            </w:r>
          </w:p>
          <w:p w14:paraId="6A05DF15">
            <w:pPr>
              <w:wordWrap w:val="0"/>
              <w:spacing w:line="360" w:lineRule="exact"/>
              <w:jc w:val="left"/>
              <w:rPr>
                <w:rFonts w:ascii="宋体" w:hAnsi="宋体" w:cs="宋体"/>
                <w:color w:val="auto"/>
                <w:szCs w:val="21"/>
                <w:highlight w:val="none"/>
              </w:rPr>
            </w:pPr>
            <w:r>
              <w:rPr>
                <w:rFonts w:hint="eastAsia" w:ascii="宋体" w:hAnsi="宋体" w:cs="宋体"/>
                <w:color w:val="auto"/>
                <w:szCs w:val="21"/>
                <w:highlight w:val="none"/>
              </w:rPr>
              <w:t>二档（10分）：预案内容较全面，有一定的人力、物力、财力、设备投入，有应急处理程序、保障措施等。</w:t>
            </w:r>
          </w:p>
          <w:p w14:paraId="3C4E448A">
            <w:pPr>
              <w:wordWrap w:val="0"/>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三档（15分）：预案内容全面、针对性强，有足够的人力、物力、财力、设备投入，确保项目顺利进行，有成立应急工作小组，应急处理程序、保障措施等内容详细、可行性高，提供24小时应急通信保障车服务。配置后备电源，提供7*24小时不间断供电保障，市电中断后能提供油机发电保障，供应商须提供有效证明材料（包括但不限于同类项目业绩的相关证明材料）。</w:t>
            </w:r>
          </w:p>
          <w:p w14:paraId="2BD27343">
            <w:pPr>
              <w:wordWrap w:val="0"/>
              <w:spacing w:line="360" w:lineRule="exact"/>
              <w:jc w:val="left"/>
              <w:rPr>
                <w:rFonts w:hint="eastAsia" w:ascii="宋体" w:hAnsi="宋体" w:cs="宋体"/>
                <w:color w:val="auto"/>
                <w:szCs w:val="21"/>
                <w:highlight w:val="none"/>
              </w:rPr>
            </w:pPr>
            <w:r>
              <w:rPr>
                <w:rFonts w:hint="eastAsia" w:ascii="宋体" w:hAnsi="宋体" w:cs="宋体"/>
                <w:bCs/>
                <w:color w:val="auto"/>
                <w:szCs w:val="21"/>
                <w:highlight w:val="none"/>
                <w:lang w:val="en-US" w:eastAsia="zh-CN"/>
              </w:rPr>
              <w:t>不符合一档要求或未提供得0分。</w:t>
            </w:r>
          </w:p>
        </w:tc>
        <w:tc>
          <w:tcPr>
            <w:tcW w:w="851" w:type="dxa"/>
            <w:vAlign w:val="center"/>
          </w:tcPr>
          <w:p w14:paraId="691215F5">
            <w:pPr>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15分</w:t>
            </w:r>
          </w:p>
        </w:tc>
      </w:tr>
      <w:tr w14:paraId="3BA99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33" w:type="dxa"/>
            <w:vAlign w:val="center"/>
          </w:tcPr>
          <w:p w14:paraId="17B046E6">
            <w:pPr>
              <w:keepLines/>
              <w:widowControl/>
              <w:spacing w:line="400" w:lineRule="exact"/>
              <w:jc w:val="center"/>
              <w:rPr>
                <w:rFonts w:ascii="宋体" w:hAnsi="宋体" w:cs="宋体"/>
                <w:b/>
                <w:color w:val="auto"/>
                <w:kern w:val="0"/>
                <w:szCs w:val="21"/>
                <w:highlight w:val="none"/>
              </w:rPr>
            </w:pPr>
            <w:r>
              <w:rPr>
                <w:rFonts w:hint="eastAsia" w:ascii="宋体" w:hAnsi="宋体" w:cs="宋体"/>
                <w:b/>
                <w:color w:val="auto"/>
                <w:kern w:val="0"/>
                <w:szCs w:val="21"/>
                <w:highlight w:val="none"/>
              </w:rPr>
              <w:t>3</w:t>
            </w:r>
          </w:p>
        </w:tc>
        <w:tc>
          <w:tcPr>
            <w:tcW w:w="1133" w:type="dxa"/>
            <w:vAlign w:val="center"/>
          </w:tcPr>
          <w:p w14:paraId="72E1DB26">
            <w:pPr>
              <w:keepLines/>
              <w:widowControl/>
              <w:spacing w:line="400" w:lineRule="exact"/>
              <w:jc w:val="center"/>
              <w:rPr>
                <w:rFonts w:ascii="宋体" w:hAnsi="宋体" w:cs="宋体"/>
                <w:b/>
                <w:bCs/>
                <w:color w:val="auto"/>
                <w:szCs w:val="21"/>
                <w:highlight w:val="none"/>
              </w:rPr>
            </w:pPr>
            <w:r>
              <w:rPr>
                <w:rFonts w:hint="eastAsia" w:ascii="宋体" w:hAnsi="宋体" w:cs="宋体"/>
                <w:b/>
                <w:bCs/>
                <w:color w:val="auto"/>
                <w:szCs w:val="21"/>
                <w:highlight w:val="none"/>
              </w:rPr>
              <w:t>商务分</w:t>
            </w:r>
          </w:p>
        </w:tc>
        <w:tc>
          <w:tcPr>
            <w:tcW w:w="6573" w:type="dxa"/>
            <w:vAlign w:val="center"/>
          </w:tcPr>
          <w:p w14:paraId="3CFF369B">
            <w:pPr>
              <w:keepLines/>
              <w:widowControl/>
              <w:spacing w:line="400" w:lineRule="exact"/>
              <w:jc w:val="center"/>
              <w:rPr>
                <w:rFonts w:ascii="宋体" w:hAnsi="宋体" w:cs="宋体"/>
                <w:b/>
                <w:color w:val="auto"/>
                <w:kern w:val="0"/>
                <w:szCs w:val="21"/>
                <w:highlight w:val="none"/>
              </w:rPr>
            </w:pPr>
            <w:r>
              <w:rPr>
                <w:rFonts w:hint="eastAsia" w:ascii="宋体" w:hAnsi="宋体" w:cs="宋体"/>
                <w:b/>
                <w:color w:val="auto"/>
                <w:kern w:val="0"/>
                <w:szCs w:val="21"/>
                <w:highlight w:val="none"/>
              </w:rPr>
              <w:t>评审因素</w:t>
            </w:r>
          </w:p>
        </w:tc>
        <w:tc>
          <w:tcPr>
            <w:tcW w:w="851" w:type="dxa"/>
            <w:vAlign w:val="center"/>
          </w:tcPr>
          <w:p w14:paraId="0B2B57ED">
            <w:pPr>
              <w:keepLines/>
              <w:widowControl/>
              <w:spacing w:line="400" w:lineRule="exact"/>
              <w:jc w:val="center"/>
              <w:rPr>
                <w:rFonts w:ascii="宋体" w:hAnsi="宋体" w:cs="宋体"/>
                <w:b/>
                <w:color w:val="auto"/>
                <w:kern w:val="0"/>
                <w:szCs w:val="21"/>
                <w:highlight w:val="none"/>
              </w:rPr>
            </w:pPr>
            <w:r>
              <w:rPr>
                <w:rFonts w:hint="eastAsia" w:ascii="宋体" w:hAnsi="宋体" w:cs="宋体"/>
                <w:b/>
                <w:color w:val="auto"/>
                <w:kern w:val="0"/>
                <w:szCs w:val="21"/>
                <w:highlight w:val="none"/>
                <w:lang w:val="en-US" w:eastAsia="zh-CN"/>
              </w:rPr>
              <w:t>10</w:t>
            </w:r>
            <w:r>
              <w:rPr>
                <w:rFonts w:hint="eastAsia" w:ascii="宋体" w:hAnsi="宋体" w:cs="宋体"/>
                <w:b/>
                <w:color w:val="auto"/>
                <w:kern w:val="0"/>
                <w:szCs w:val="21"/>
                <w:highlight w:val="none"/>
              </w:rPr>
              <w:t>分</w:t>
            </w:r>
          </w:p>
        </w:tc>
      </w:tr>
      <w:tr w14:paraId="6D016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33" w:type="dxa"/>
            <w:vAlign w:val="center"/>
          </w:tcPr>
          <w:p w14:paraId="3B5D4138">
            <w:pPr>
              <w:keepLines/>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3.1</w:t>
            </w:r>
          </w:p>
        </w:tc>
        <w:tc>
          <w:tcPr>
            <w:tcW w:w="1133" w:type="dxa"/>
            <w:vAlign w:val="center"/>
          </w:tcPr>
          <w:p w14:paraId="277EA402">
            <w:pPr>
              <w:keepLines/>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业绩分</w:t>
            </w:r>
          </w:p>
        </w:tc>
        <w:tc>
          <w:tcPr>
            <w:tcW w:w="6573" w:type="dxa"/>
            <w:vAlign w:val="center"/>
          </w:tcPr>
          <w:p w14:paraId="733903EC">
            <w:pPr>
              <w:spacing w:line="40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自2022年1月1日以来，供应商具有同类项目业绩的，每提供1项得2分，满分</w:t>
            </w:r>
            <w:r>
              <w:rPr>
                <w:rFonts w:hint="eastAsia" w:ascii="宋体" w:hAnsi="宋体" w:cs="宋体"/>
                <w:bCs/>
                <w:color w:val="auto"/>
                <w:szCs w:val="21"/>
                <w:highlight w:val="none"/>
                <w:lang w:val="en-US" w:eastAsia="zh-CN"/>
              </w:rPr>
              <w:t>10</w:t>
            </w:r>
            <w:r>
              <w:rPr>
                <w:rFonts w:hint="eastAsia" w:ascii="宋体" w:hAnsi="宋体" w:cs="宋体"/>
                <w:bCs/>
                <w:color w:val="auto"/>
                <w:szCs w:val="21"/>
                <w:highlight w:val="none"/>
              </w:rPr>
              <w:t>分。</w:t>
            </w:r>
          </w:p>
          <w:p w14:paraId="12D4721B">
            <w:pPr>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注:须提供中标(成交)通知书或签订的项目合同（合同以合同签订时间为准）,并能清晰反映项目名称、所服务的内容等,否则将不予评审,同一个编号的项目有两个或两个以上的分标中标的只算一次；证明材料须加盖供应商公章，未提供或未按要求提供不计分。</w:t>
            </w:r>
          </w:p>
        </w:tc>
        <w:tc>
          <w:tcPr>
            <w:tcW w:w="851" w:type="dxa"/>
            <w:vAlign w:val="center"/>
          </w:tcPr>
          <w:p w14:paraId="2A0494D3">
            <w:pPr>
              <w:keepLines/>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lang w:val="en-US" w:eastAsia="zh-CN"/>
              </w:rPr>
              <w:t>10</w:t>
            </w:r>
            <w:r>
              <w:rPr>
                <w:rFonts w:hint="eastAsia" w:ascii="宋体" w:hAnsi="宋体" w:cs="宋体"/>
                <w:color w:val="auto"/>
                <w:kern w:val="0"/>
                <w:szCs w:val="21"/>
                <w:highlight w:val="none"/>
              </w:rPr>
              <w:t>分</w:t>
            </w:r>
          </w:p>
        </w:tc>
      </w:tr>
      <w:tr w14:paraId="16DF2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239" w:type="dxa"/>
            <w:gridSpan w:val="3"/>
          </w:tcPr>
          <w:p w14:paraId="596C0E4B">
            <w:pPr>
              <w:pStyle w:val="16"/>
              <w:keepLines/>
              <w:spacing w:line="400" w:lineRule="exact"/>
              <w:ind w:firstLine="420" w:firstLineChars="200"/>
              <w:rPr>
                <w:rFonts w:hAnsi="宋体" w:cs="宋体"/>
                <w:bCs/>
                <w:color w:val="auto"/>
                <w:kern w:val="2"/>
                <w:sz w:val="21"/>
                <w:highlight w:val="none"/>
              </w:rPr>
            </w:pPr>
            <w:r>
              <w:rPr>
                <w:rFonts w:hint="eastAsia" w:hAnsi="宋体" w:cs="宋体"/>
                <w:bCs/>
                <w:color w:val="auto"/>
                <w:kern w:val="2"/>
                <w:sz w:val="21"/>
                <w:highlight w:val="none"/>
              </w:rPr>
              <w:t>总得分＝1＋2＋3</w:t>
            </w:r>
          </w:p>
        </w:tc>
        <w:tc>
          <w:tcPr>
            <w:tcW w:w="851" w:type="dxa"/>
            <w:vAlign w:val="center"/>
          </w:tcPr>
          <w:p w14:paraId="76388188">
            <w:pPr>
              <w:keepLines/>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100分</w:t>
            </w:r>
          </w:p>
        </w:tc>
      </w:tr>
    </w:tbl>
    <w:p w14:paraId="25902E0C">
      <w:pPr>
        <w:keepLines/>
        <w:tabs>
          <w:tab w:val="left" w:pos="312"/>
        </w:tabs>
        <w:spacing w:line="40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7.由磋商小组根据综合评分情况，按照评审得分由高到低顺序推荐3名成交候选供应商，并编写评审报告。符合本章第4.3条情形的，可以推荐2家成交候选供应商。评审得分相同的，按照最后报价（不计算价格折扣）由低到高的顺序推荐。评审得分相同且最后报价（不计算价格折扣）相同的，按照评审指标优劣顺序推荐（按技术得分由高到低排序，技术得分相同的按照商务分由高到低排序）。评审得分、最后报价（不计算价格折扣）、技术得分、商务分均相同的，由磋商小组随机抽取推荐。</w:t>
      </w:r>
    </w:p>
    <w:p w14:paraId="6999ADCA">
      <w:pPr>
        <w:pStyle w:val="3"/>
        <w:spacing w:line="400" w:lineRule="exact"/>
        <w:jc w:val="center"/>
        <w:rPr>
          <w:rFonts w:ascii="方正小标宋_GBK" w:hAnsi="方正小标宋_GBK" w:eastAsia="方正小标宋_GBK" w:cs="方正小标宋_GBK"/>
          <w:b w:val="0"/>
          <w:bCs w:val="0"/>
          <w:color w:val="auto"/>
          <w:sz w:val="21"/>
          <w:szCs w:val="21"/>
          <w:highlight w:val="none"/>
        </w:rPr>
      </w:pPr>
      <w:r>
        <w:rPr>
          <w:rFonts w:hint="eastAsia" w:ascii="宋体" w:hAnsi="宋体" w:cs="宋体"/>
          <w:color w:val="auto"/>
          <w:highlight w:val="none"/>
        </w:rPr>
        <w:br w:type="page"/>
      </w:r>
      <w:bookmarkStart w:id="122" w:name="_Toc29405"/>
      <w:r>
        <w:rPr>
          <w:rFonts w:hint="eastAsia" w:ascii="方正小标宋_GBK" w:hAnsi="方正小标宋_GBK" w:eastAsia="方正小标宋_GBK" w:cs="方正小标宋_GBK"/>
          <w:b w:val="0"/>
          <w:bCs w:val="0"/>
          <w:color w:val="auto"/>
          <w:sz w:val="21"/>
          <w:szCs w:val="21"/>
          <w:highlight w:val="none"/>
        </w:rPr>
        <w:t>第五章 响应文件格式</w:t>
      </w:r>
      <w:bookmarkEnd w:id="122"/>
    </w:p>
    <w:p w14:paraId="36F22F38">
      <w:pPr>
        <w:spacing w:line="240" w:lineRule="atLeast"/>
        <w:rPr>
          <w:rFonts w:ascii="宋体" w:hAnsi="宋体" w:cs="宋体"/>
          <w:b/>
          <w:color w:val="auto"/>
          <w:sz w:val="32"/>
          <w:szCs w:val="32"/>
          <w:highlight w:val="none"/>
        </w:rPr>
      </w:pPr>
    </w:p>
    <w:p w14:paraId="0B0F0670">
      <w:pPr>
        <w:snapToGrid w:val="0"/>
        <w:spacing w:before="50" w:after="50"/>
        <w:rPr>
          <w:rFonts w:ascii="宋体" w:hAnsi="宋体" w:cs="宋体"/>
          <w:b/>
          <w:bCs/>
          <w:color w:val="auto"/>
          <w:sz w:val="24"/>
          <w:highlight w:val="none"/>
        </w:rPr>
      </w:pPr>
    </w:p>
    <w:p w14:paraId="09C99467">
      <w:pPr>
        <w:snapToGrid w:val="0"/>
        <w:spacing w:beforeLines="50" w:after="50"/>
        <w:rPr>
          <w:rFonts w:ascii="宋体" w:hAnsi="宋体" w:cs="宋体"/>
          <w:color w:val="auto"/>
          <w:sz w:val="24"/>
          <w:szCs w:val="20"/>
          <w:highlight w:val="none"/>
        </w:rPr>
      </w:pPr>
    </w:p>
    <w:p w14:paraId="42FC0E17">
      <w:pPr>
        <w:snapToGrid w:val="0"/>
        <w:spacing w:beforeLines="50" w:after="50"/>
        <w:jc w:val="center"/>
        <w:rPr>
          <w:rFonts w:ascii="宋体" w:hAnsi="宋体" w:cs="宋体"/>
          <w:bCs/>
          <w:color w:val="auto"/>
          <w:sz w:val="24"/>
          <w:szCs w:val="20"/>
          <w:highlight w:val="none"/>
        </w:rPr>
      </w:pPr>
    </w:p>
    <w:p w14:paraId="4007331B">
      <w:pPr>
        <w:snapToGrid w:val="0"/>
        <w:spacing w:beforeLines="50" w:after="50"/>
        <w:jc w:val="center"/>
        <w:rPr>
          <w:rFonts w:ascii="宋体" w:hAnsi="宋体" w:cs="宋体"/>
          <w:bCs/>
          <w:color w:val="auto"/>
          <w:sz w:val="44"/>
          <w:szCs w:val="44"/>
          <w:highlight w:val="none"/>
        </w:rPr>
      </w:pPr>
      <w:r>
        <w:rPr>
          <w:rFonts w:hint="eastAsia" w:ascii="宋体" w:hAnsi="宋体" w:cs="宋体"/>
          <w:bCs/>
          <w:color w:val="auto"/>
          <w:sz w:val="44"/>
          <w:szCs w:val="44"/>
          <w:highlight w:val="none"/>
        </w:rPr>
        <w:t>响  应  文  件</w:t>
      </w:r>
    </w:p>
    <w:p w14:paraId="4D2FC462">
      <w:pPr>
        <w:snapToGrid w:val="0"/>
        <w:spacing w:beforeLines="50" w:after="50"/>
        <w:rPr>
          <w:rFonts w:ascii="宋体" w:hAnsi="宋体" w:cs="宋体"/>
          <w:bCs/>
          <w:color w:val="auto"/>
          <w:sz w:val="24"/>
          <w:szCs w:val="20"/>
          <w:highlight w:val="none"/>
        </w:rPr>
      </w:pPr>
    </w:p>
    <w:p w14:paraId="09400CEF">
      <w:pPr>
        <w:snapToGrid w:val="0"/>
        <w:spacing w:beforeLines="50" w:after="50"/>
        <w:rPr>
          <w:rFonts w:ascii="宋体" w:hAnsi="宋体" w:cs="宋体"/>
          <w:bCs/>
          <w:color w:val="auto"/>
          <w:sz w:val="24"/>
          <w:szCs w:val="20"/>
          <w:highlight w:val="none"/>
        </w:rPr>
      </w:pPr>
    </w:p>
    <w:p w14:paraId="0D8C2596">
      <w:pPr>
        <w:snapToGrid w:val="0"/>
        <w:spacing w:beforeLines="50" w:after="50"/>
        <w:rPr>
          <w:rFonts w:ascii="宋体" w:hAnsi="宋体" w:cs="宋体"/>
          <w:bCs/>
          <w:color w:val="auto"/>
          <w:sz w:val="32"/>
          <w:szCs w:val="32"/>
          <w:highlight w:val="none"/>
        </w:rPr>
      </w:pPr>
    </w:p>
    <w:p w14:paraId="54BCE37A">
      <w:pPr>
        <w:snapToGrid w:val="0"/>
        <w:spacing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 xml:space="preserve">项目名称：  </w:t>
      </w:r>
    </w:p>
    <w:p w14:paraId="5A168081">
      <w:pPr>
        <w:snapToGrid w:val="0"/>
        <w:spacing w:beforeLines="50" w:after="50"/>
        <w:ind w:firstLine="480" w:firstLineChars="150"/>
        <w:rPr>
          <w:rFonts w:ascii="宋体" w:hAnsi="宋体" w:cs="宋体"/>
          <w:bCs/>
          <w:color w:val="auto"/>
          <w:sz w:val="32"/>
          <w:szCs w:val="32"/>
          <w:highlight w:val="none"/>
        </w:rPr>
      </w:pPr>
    </w:p>
    <w:p w14:paraId="7F1A9C04">
      <w:pPr>
        <w:snapToGrid w:val="0"/>
        <w:spacing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2C12CB92">
      <w:pPr>
        <w:snapToGrid w:val="0"/>
        <w:spacing w:beforeLines="50" w:after="50"/>
        <w:ind w:firstLine="480" w:firstLineChars="150"/>
        <w:rPr>
          <w:rFonts w:ascii="宋体" w:hAnsi="宋体" w:cs="宋体"/>
          <w:bCs/>
          <w:color w:val="auto"/>
          <w:sz w:val="32"/>
          <w:szCs w:val="32"/>
          <w:highlight w:val="none"/>
        </w:rPr>
      </w:pPr>
    </w:p>
    <w:p w14:paraId="6B5E4B6D">
      <w:pPr>
        <w:snapToGrid w:val="0"/>
        <w:spacing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所竞分标（如有则填写，无分标时填写“无”或者留空）：</w:t>
      </w:r>
    </w:p>
    <w:p w14:paraId="17EEB9A6">
      <w:pPr>
        <w:snapToGrid w:val="0"/>
        <w:spacing w:beforeLines="50" w:after="50"/>
        <w:rPr>
          <w:rFonts w:ascii="宋体" w:hAnsi="宋体" w:cs="宋体"/>
          <w:bCs/>
          <w:color w:val="auto"/>
          <w:sz w:val="32"/>
          <w:szCs w:val="32"/>
          <w:highlight w:val="none"/>
        </w:rPr>
      </w:pPr>
    </w:p>
    <w:p w14:paraId="12FA2140">
      <w:pPr>
        <w:snapToGrid w:val="0"/>
        <w:spacing w:beforeLines="50" w:after="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69A81CB6">
      <w:pPr>
        <w:snapToGrid w:val="0"/>
        <w:spacing w:beforeLines="50" w:after="50"/>
        <w:rPr>
          <w:rFonts w:ascii="宋体" w:hAnsi="宋体" w:cs="宋体"/>
          <w:bCs/>
          <w:color w:val="auto"/>
          <w:sz w:val="32"/>
          <w:szCs w:val="32"/>
          <w:highlight w:val="none"/>
        </w:rPr>
      </w:pPr>
    </w:p>
    <w:p w14:paraId="475512E3">
      <w:pPr>
        <w:snapToGrid w:val="0"/>
        <w:spacing w:beforeLines="50" w:after="50"/>
        <w:ind w:firstLine="480" w:firstLineChars="150"/>
        <w:jc w:val="center"/>
        <w:rPr>
          <w:rFonts w:ascii="宋体" w:hAnsi="宋体" w:cs="宋体"/>
          <w:bCs/>
          <w:color w:val="auto"/>
          <w:sz w:val="32"/>
          <w:szCs w:val="32"/>
          <w:highlight w:val="none"/>
        </w:rPr>
      </w:pPr>
      <w:r>
        <w:rPr>
          <w:rFonts w:hint="eastAsia" w:ascii="宋体" w:hAnsi="宋体" w:cs="宋体"/>
          <w:bCs/>
          <w:color w:val="auto"/>
          <w:sz w:val="32"/>
          <w:szCs w:val="32"/>
          <w:highlight w:val="none"/>
        </w:rPr>
        <w:t>首次响应文件提交截止时间前不得启封</w:t>
      </w:r>
    </w:p>
    <w:p w14:paraId="3BF487E4">
      <w:pPr>
        <w:snapToGrid w:val="0"/>
        <w:spacing w:beforeLines="50" w:after="50"/>
        <w:ind w:firstLine="5440" w:firstLineChars="1700"/>
        <w:jc w:val="center"/>
        <w:rPr>
          <w:rFonts w:ascii="宋体" w:hAnsi="宋体" w:cs="宋体"/>
          <w:bCs/>
          <w:color w:val="auto"/>
          <w:sz w:val="32"/>
          <w:szCs w:val="32"/>
          <w:highlight w:val="none"/>
        </w:rPr>
      </w:pPr>
    </w:p>
    <w:p w14:paraId="287CEDC2">
      <w:pPr>
        <w:snapToGrid w:val="0"/>
        <w:spacing w:beforeLines="50" w:after="50"/>
        <w:ind w:firstLine="645"/>
        <w:jc w:val="center"/>
        <w:rPr>
          <w:rFonts w:ascii="宋体" w:hAnsi="宋体" w:cs="宋体"/>
          <w:color w:val="auto"/>
          <w:sz w:val="32"/>
          <w:szCs w:val="32"/>
          <w:highlight w:val="none"/>
        </w:rPr>
      </w:pPr>
      <w:r>
        <w:rPr>
          <w:rFonts w:hint="eastAsia" w:ascii="宋体" w:hAnsi="宋体" w:cs="宋体"/>
          <w:bCs/>
          <w:color w:val="auto"/>
          <w:sz w:val="32"/>
          <w:szCs w:val="32"/>
          <w:highlight w:val="none"/>
        </w:rPr>
        <w:t>年    月    日</w:t>
      </w:r>
    </w:p>
    <w:p w14:paraId="656B02F4">
      <w:pPr>
        <w:snapToGrid w:val="0"/>
        <w:spacing w:beforeLines="50" w:after="50"/>
        <w:jc w:val="center"/>
        <w:rPr>
          <w:rFonts w:ascii="宋体" w:hAnsi="宋体" w:cs="宋体"/>
          <w:bCs/>
          <w:color w:val="auto"/>
          <w:sz w:val="32"/>
          <w:szCs w:val="32"/>
          <w:highlight w:val="none"/>
        </w:rPr>
      </w:pPr>
      <w:r>
        <w:rPr>
          <w:rFonts w:hint="eastAsia" w:ascii="宋体" w:hAnsi="宋体" w:cs="宋体"/>
          <w:color w:val="auto"/>
          <w:sz w:val="32"/>
          <w:szCs w:val="32"/>
          <w:highlight w:val="none"/>
        </w:rPr>
        <w:br w:type="page"/>
      </w:r>
    </w:p>
    <w:p w14:paraId="66F231D3">
      <w:pPr>
        <w:snapToGrid w:val="0"/>
        <w:spacing w:beforeLines="50" w:after="50" w:line="360" w:lineRule="auto"/>
        <w:outlineLvl w:val="2"/>
        <w:rPr>
          <w:rFonts w:ascii="宋体" w:hAnsi="宋体" w:cs="宋体"/>
          <w:b/>
          <w:bCs/>
          <w:color w:val="auto"/>
          <w:sz w:val="32"/>
          <w:szCs w:val="32"/>
          <w:highlight w:val="none"/>
        </w:rPr>
      </w:pPr>
      <w:bookmarkStart w:id="123" w:name="_Toc44229899"/>
      <w:bookmarkStart w:id="124" w:name="_Toc35611516"/>
      <w:bookmarkStart w:id="125" w:name="_Toc31728084"/>
      <w:bookmarkStart w:id="126" w:name="_Toc31723070"/>
      <w:bookmarkStart w:id="127" w:name="_Toc1789"/>
      <w:bookmarkStart w:id="128" w:name="_Toc35611438"/>
      <w:bookmarkStart w:id="129" w:name="_Toc8354"/>
      <w:r>
        <w:rPr>
          <w:rFonts w:hint="eastAsia" w:ascii="宋体" w:hAnsi="宋体" w:cs="宋体"/>
          <w:b/>
          <w:bCs/>
          <w:color w:val="auto"/>
          <w:sz w:val="32"/>
          <w:szCs w:val="32"/>
          <w:highlight w:val="none"/>
        </w:rPr>
        <w:t>一、资格证明文件格式</w:t>
      </w:r>
      <w:bookmarkEnd w:id="123"/>
      <w:bookmarkEnd w:id="124"/>
      <w:bookmarkEnd w:id="125"/>
      <w:bookmarkEnd w:id="126"/>
      <w:bookmarkEnd w:id="127"/>
      <w:bookmarkEnd w:id="128"/>
      <w:bookmarkEnd w:id="129"/>
    </w:p>
    <w:p w14:paraId="531A6A9B">
      <w:pPr>
        <w:snapToGrid w:val="0"/>
        <w:spacing w:beforeLines="50" w:after="50" w:line="360" w:lineRule="auto"/>
        <w:jc w:val="left"/>
        <w:rPr>
          <w:rFonts w:ascii="宋体" w:hAnsi="宋体" w:cs="宋体"/>
          <w:b/>
          <w:color w:val="auto"/>
          <w:sz w:val="24"/>
          <w:highlight w:val="none"/>
        </w:rPr>
      </w:pPr>
      <w:r>
        <w:rPr>
          <w:rFonts w:hint="eastAsia" w:ascii="宋体" w:hAnsi="宋体" w:cs="宋体"/>
          <w:b/>
          <w:color w:val="auto"/>
          <w:sz w:val="32"/>
          <w:szCs w:val="32"/>
          <w:highlight w:val="none"/>
        </w:rPr>
        <w:t>1.资格证明文件封面格式：</w:t>
      </w:r>
    </w:p>
    <w:p w14:paraId="5A097266">
      <w:pPr>
        <w:pStyle w:val="27"/>
        <w:rPr>
          <w:rFonts w:ascii="宋体" w:hAnsi="宋体" w:cs="宋体"/>
          <w:color w:val="auto"/>
          <w:highlight w:val="none"/>
        </w:rPr>
      </w:pPr>
      <w:r>
        <w:rPr>
          <w:rFonts w:hint="eastAsia" w:ascii="宋体" w:hAnsi="宋体" w:cs="宋体"/>
          <w:color w:val="auto"/>
          <w:highlight w:val="none"/>
        </w:rPr>
        <w:t>全流程电子文件</w:t>
      </w:r>
    </w:p>
    <w:p w14:paraId="1E43648D">
      <w:pPr>
        <w:snapToGrid w:val="0"/>
        <w:spacing w:beforeLines="50" w:after="50"/>
        <w:rPr>
          <w:rFonts w:ascii="宋体" w:hAnsi="宋体" w:cs="宋体"/>
          <w:bCs/>
          <w:color w:val="auto"/>
          <w:sz w:val="32"/>
          <w:szCs w:val="20"/>
          <w:highlight w:val="none"/>
        </w:rPr>
      </w:pPr>
    </w:p>
    <w:p w14:paraId="7F88BBAA">
      <w:pPr>
        <w:snapToGrid w:val="0"/>
        <w:spacing w:beforeLines="50" w:after="50"/>
        <w:rPr>
          <w:rFonts w:ascii="宋体" w:hAnsi="宋体" w:cs="宋体"/>
          <w:color w:val="auto"/>
          <w:sz w:val="24"/>
          <w:szCs w:val="20"/>
          <w:highlight w:val="none"/>
        </w:rPr>
      </w:pPr>
    </w:p>
    <w:p w14:paraId="44CE1C38">
      <w:pPr>
        <w:snapToGrid w:val="0"/>
        <w:spacing w:beforeLines="50" w:after="50"/>
        <w:rPr>
          <w:rFonts w:ascii="宋体" w:hAnsi="宋体" w:cs="宋体"/>
          <w:color w:val="auto"/>
          <w:sz w:val="24"/>
          <w:szCs w:val="20"/>
          <w:highlight w:val="none"/>
        </w:rPr>
      </w:pPr>
    </w:p>
    <w:p w14:paraId="479DA963">
      <w:pPr>
        <w:snapToGrid w:val="0"/>
        <w:spacing w:beforeLines="50" w:after="50"/>
        <w:jc w:val="center"/>
        <w:rPr>
          <w:rFonts w:ascii="宋体" w:hAnsi="宋体" w:cs="宋体"/>
          <w:bCs/>
          <w:color w:val="auto"/>
          <w:sz w:val="44"/>
          <w:szCs w:val="44"/>
          <w:highlight w:val="none"/>
        </w:rPr>
      </w:pPr>
      <w:r>
        <w:rPr>
          <w:rFonts w:hint="eastAsia" w:ascii="宋体" w:hAnsi="宋体" w:cs="宋体"/>
          <w:bCs/>
          <w:color w:val="auto"/>
          <w:sz w:val="44"/>
          <w:szCs w:val="44"/>
          <w:highlight w:val="none"/>
        </w:rPr>
        <w:t>资  格  证  明  文  件</w:t>
      </w:r>
    </w:p>
    <w:p w14:paraId="2B28A03D">
      <w:pPr>
        <w:snapToGrid w:val="0"/>
        <w:spacing w:beforeLines="50" w:after="50"/>
        <w:rPr>
          <w:rFonts w:ascii="宋体" w:hAnsi="宋体" w:cs="宋体"/>
          <w:bCs/>
          <w:color w:val="auto"/>
          <w:sz w:val="24"/>
          <w:szCs w:val="20"/>
          <w:highlight w:val="none"/>
        </w:rPr>
      </w:pPr>
    </w:p>
    <w:p w14:paraId="5DBBA292">
      <w:pPr>
        <w:snapToGrid w:val="0"/>
        <w:spacing w:beforeLines="50" w:after="50"/>
        <w:rPr>
          <w:rFonts w:ascii="宋体" w:hAnsi="宋体" w:cs="宋体"/>
          <w:bCs/>
          <w:color w:val="auto"/>
          <w:sz w:val="24"/>
          <w:szCs w:val="20"/>
          <w:highlight w:val="none"/>
        </w:rPr>
      </w:pPr>
    </w:p>
    <w:p w14:paraId="152BDF1D">
      <w:pPr>
        <w:snapToGrid w:val="0"/>
        <w:spacing w:beforeLines="50" w:after="50"/>
        <w:rPr>
          <w:rFonts w:ascii="宋体" w:hAnsi="宋体" w:cs="宋体"/>
          <w:bCs/>
          <w:color w:val="auto"/>
          <w:sz w:val="24"/>
          <w:szCs w:val="20"/>
          <w:highlight w:val="none"/>
        </w:rPr>
      </w:pPr>
    </w:p>
    <w:p w14:paraId="0AFA5B6C">
      <w:pPr>
        <w:snapToGrid w:val="0"/>
        <w:spacing w:beforeLines="50" w:after="50"/>
        <w:rPr>
          <w:rFonts w:ascii="宋体" w:hAnsi="宋体" w:cs="宋体"/>
          <w:bCs/>
          <w:color w:val="auto"/>
          <w:sz w:val="24"/>
          <w:szCs w:val="20"/>
          <w:highlight w:val="none"/>
        </w:rPr>
      </w:pPr>
    </w:p>
    <w:p w14:paraId="589704D5">
      <w:pPr>
        <w:snapToGrid w:val="0"/>
        <w:spacing w:beforeLines="50" w:after="50"/>
        <w:rPr>
          <w:rFonts w:ascii="宋体" w:hAnsi="宋体" w:cs="宋体"/>
          <w:bCs/>
          <w:color w:val="auto"/>
          <w:sz w:val="24"/>
          <w:szCs w:val="20"/>
          <w:highlight w:val="none"/>
        </w:rPr>
      </w:pPr>
    </w:p>
    <w:p w14:paraId="7430312B">
      <w:pPr>
        <w:snapToGrid w:val="0"/>
        <w:spacing w:beforeLines="250" w:afterLines="2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27FB0473">
      <w:pPr>
        <w:snapToGrid w:val="0"/>
        <w:spacing w:beforeLines="250" w:afterLines="2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 xml:space="preserve">项目编号： </w:t>
      </w:r>
    </w:p>
    <w:p w14:paraId="28DF07FC">
      <w:pPr>
        <w:pStyle w:val="7"/>
        <w:snapToGrid w:val="0"/>
        <w:spacing w:before="250" w:after="2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01E00D32">
      <w:pPr>
        <w:pStyle w:val="7"/>
        <w:snapToGrid w:val="0"/>
        <w:spacing w:before="250" w:after="250"/>
        <w:ind w:firstLine="640" w:firstLineChars="200"/>
        <w:rPr>
          <w:rFonts w:ascii="宋体" w:hAnsi="宋体" w:cs="宋体"/>
          <w:bCs/>
          <w:color w:val="auto"/>
          <w:sz w:val="32"/>
          <w:szCs w:val="32"/>
          <w:highlight w:val="none"/>
        </w:rPr>
      </w:pPr>
    </w:p>
    <w:p w14:paraId="04CD8F6B">
      <w:pPr>
        <w:snapToGrid w:val="0"/>
        <w:spacing w:beforeLines="50" w:after="50"/>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70FDE55A">
      <w:pPr>
        <w:snapToGrid w:val="0"/>
        <w:spacing w:beforeLines="50" w:after="50" w:line="400" w:lineRule="exact"/>
        <w:ind w:left="142"/>
        <w:jc w:val="left"/>
        <w:rPr>
          <w:rFonts w:ascii="宋体" w:hAnsi="宋体" w:cs="宋体"/>
          <w:b/>
          <w:bCs/>
          <w:color w:val="auto"/>
          <w:szCs w:val="21"/>
          <w:highlight w:val="none"/>
        </w:rPr>
      </w:pPr>
      <w:r>
        <w:rPr>
          <w:rFonts w:hint="eastAsia" w:ascii="宋体" w:hAnsi="宋体" w:cs="宋体"/>
          <w:color w:val="auto"/>
          <w:sz w:val="24"/>
          <w:highlight w:val="none"/>
        </w:rPr>
        <w:br w:type="page"/>
      </w:r>
      <w:r>
        <w:rPr>
          <w:rFonts w:hint="eastAsia" w:ascii="宋体" w:hAnsi="宋体" w:cs="宋体"/>
          <w:b/>
          <w:bCs/>
          <w:color w:val="auto"/>
          <w:szCs w:val="21"/>
          <w:highlight w:val="none"/>
        </w:rPr>
        <w:t>2.资格证明文件目录</w:t>
      </w:r>
    </w:p>
    <w:p w14:paraId="26D5B248">
      <w:pPr>
        <w:snapToGrid w:val="0"/>
        <w:spacing w:beforeLines="50" w:after="50" w:line="400" w:lineRule="exact"/>
        <w:ind w:firstLine="645"/>
        <w:rPr>
          <w:rFonts w:ascii="宋体" w:hAnsi="宋体" w:cs="宋体"/>
          <w:color w:val="auto"/>
          <w:szCs w:val="21"/>
          <w:highlight w:val="none"/>
        </w:rPr>
      </w:pPr>
      <w:r>
        <w:rPr>
          <w:rFonts w:hint="eastAsia" w:ascii="宋体" w:hAnsi="宋体" w:cs="宋体"/>
          <w:color w:val="auto"/>
          <w:szCs w:val="21"/>
          <w:highlight w:val="none"/>
        </w:rPr>
        <w:t>根据磋商文件规定及供应商提供的材料自行编写目录（部分格式后附）。</w:t>
      </w:r>
    </w:p>
    <w:p w14:paraId="63F57E67">
      <w:pPr>
        <w:spacing w:line="400" w:lineRule="exact"/>
        <w:jc w:val="left"/>
        <w:rPr>
          <w:rFonts w:ascii="宋体" w:hAnsi="宋体" w:cs="宋体"/>
          <w:bCs/>
          <w:color w:val="auto"/>
          <w:szCs w:val="21"/>
          <w:highlight w:val="none"/>
        </w:rPr>
      </w:pPr>
      <w:r>
        <w:rPr>
          <w:rFonts w:hint="eastAsia" w:ascii="宋体" w:hAnsi="宋体" w:cs="宋体"/>
          <w:color w:val="auto"/>
          <w:szCs w:val="21"/>
          <w:highlight w:val="none"/>
        </w:rPr>
        <w:br w:type="page"/>
      </w:r>
      <w:r>
        <w:rPr>
          <w:rFonts w:hint="eastAsia" w:ascii="宋体" w:hAnsi="宋体" w:cs="宋体"/>
          <w:color w:val="auto"/>
          <w:szCs w:val="21"/>
          <w:highlight w:val="none"/>
        </w:rPr>
        <w:t>供应商直接控股、管理关系信息表</w:t>
      </w:r>
    </w:p>
    <w:p w14:paraId="422E6FEA">
      <w:pPr>
        <w:spacing w:beforeLines="100" w:afterLines="100" w:line="400" w:lineRule="exact"/>
        <w:jc w:val="center"/>
        <w:rPr>
          <w:rFonts w:ascii="宋体" w:hAnsi="宋体" w:cs="宋体"/>
          <w:b/>
          <w:color w:val="auto"/>
          <w:szCs w:val="21"/>
          <w:highlight w:val="none"/>
        </w:rPr>
      </w:pPr>
      <w:r>
        <w:rPr>
          <w:rFonts w:hint="eastAsia" w:ascii="宋体" w:hAnsi="宋体" w:cs="宋体"/>
          <w:b/>
          <w:color w:val="auto"/>
          <w:szCs w:val="21"/>
          <w:highlight w:val="none"/>
        </w:rPr>
        <w:t>供应商直接控股股东信息表</w:t>
      </w:r>
    </w:p>
    <w:tbl>
      <w:tblPr>
        <w:tblStyle w:val="31"/>
        <w:tblW w:w="8537" w:type="dxa"/>
        <w:jc w:val="center"/>
        <w:shd w:val="clear" w:color="auto" w:fill="FBFBFB"/>
        <w:tblLayout w:type="fixed"/>
        <w:tblCellMar>
          <w:top w:w="0" w:type="dxa"/>
          <w:left w:w="0" w:type="dxa"/>
          <w:bottom w:w="0" w:type="dxa"/>
          <w:right w:w="0" w:type="dxa"/>
        </w:tblCellMar>
      </w:tblPr>
      <w:tblGrid>
        <w:gridCol w:w="740"/>
        <w:gridCol w:w="2235"/>
        <w:gridCol w:w="1223"/>
        <w:gridCol w:w="3608"/>
        <w:gridCol w:w="731"/>
      </w:tblGrid>
      <w:tr w14:paraId="35BDD9F4">
        <w:tblPrEx>
          <w:shd w:val="clear" w:color="auto" w:fill="FBFBFB"/>
          <w:tblCellMar>
            <w:top w:w="0" w:type="dxa"/>
            <w:left w:w="0" w:type="dxa"/>
            <w:bottom w:w="0" w:type="dxa"/>
            <w:right w:w="0" w:type="dxa"/>
          </w:tblCellMar>
        </w:tblPrEx>
        <w:trPr>
          <w:tblHeader/>
          <w:jc w:val="center"/>
        </w:trPr>
        <w:tc>
          <w:tcPr>
            <w:tcW w:w="74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50501F1">
            <w:pPr>
              <w:widowControl/>
              <w:spacing w:line="40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序号</w:t>
            </w:r>
          </w:p>
        </w:tc>
        <w:tc>
          <w:tcPr>
            <w:tcW w:w="223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030990D">
            <w:pPr>
              <w:widowControl/>
              <w:spacing w:line="40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直接控股股东名称</w:t>
            </w:r>
          </w:p>
        </w:tc>
        <w:tc>
          <w:tcPr>
            <w:tcW w:w="1223"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7D1BB05">
            <w:pPr>
              <w:widowControl/>
              <w:spacing w:line="40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出资比例</w:t>
            </w:r>
          </w:p>
        </w:tc>
        <w:tc>
          <w:tcPr>
            <w:tcW w:w="36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DA3F1E7">
            <w:pPr>
              <w:widowControl/>
              <w:spacing w:line="40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身份证号码或者统一社会信用代码</w:t>
            </w:r>
          </w:p>
        </w:tc>
        <w:tc>
          <w:tcPr>
            <w:tcW w:w="731"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0204178">
            <w:pPr>
              <w:widowControl/>
              <w:spacing w:line="40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备注</w:t>
            </w:r>
          </w:p>
        </w:tc>
      </w:tr>
      <w:tr w14:paraId="2CEE48F9">
        <w:tblPrEx>
          <w:shd w:val="clear" w:color="auto" w:fill="FBFBFB"/>
          <w:tblCellMar>
            <w:top w:w="0" w:type="dxa"/>
            <w:left w:w="0" w:type="dxa"/>
            <w:bottom w:w="0" w:type="dxa"/>
            <w:right w:w="0" w:type="dxa"/>
          </w:tblCellMar>
        </w:tblPrEx>
        <w:trPr>
          <w:jc w:val="center"/>
        </w:trPr>
        <w:tc>
          <w:tcPr>
            <w:tcW w:w="74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4702444">
            <w:pPr>
              <w:widowControl/>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223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B69F01D">
            <w:pPr>
              <w:widowControl/>
              <w:spacing w:line="400" w:lineRule="exact"/>
              <w:jc w:val="center"/>
              <w:rPr>
                <w:rFonts w:ascii="宋体" w:hAnsi="宋体" w:cs="宋体"/>
                <w:color w:val="auto"/>
                <w:kern w:val="0"/>
                <w:szCs w:val="21"/>
                <w:highlight w:val="none"/>
              </w:rPr>
            </w:pPr>
          </w:p>
        </w:tc>
        <w:tc>
          <w:tcPr>
            <w:tcW w:w="1223"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FF50FCE">
            <w:pPr>
              <w:widowControl/>
              <w:spacing w:line="400" w:lineRule="exact"/>
              <w:jc w:val="center"/>
              <w:rPr>
                <w:rFonts w:ascii="宋体" w:hAnsi="宋体" w:cs="宋体"/>
                <w:color w:val="auto"/>
                <w:kern w:val="0"/>
                <w:szCs w:val="21"/>
                <w:highlight w:val="none"/>
              </w:rPr>
            </w:pPr>
          </w:p>
        </w:tc>
        <w:tc>
          <w:tcPr>
            <w:tcW w:w="36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B41674F">
            <w:pPr>
              <w:widowControl/>
              <w:spacing w:line="400" w:lineRule="exact"/>
              <w:jc w:val="center"/>
              <w:rPr>
                <w:rFonts w:ascii="宋体" w:hAnsi="宋体" w:cs="宋体"/>
                <w:color w:val="auto"/>
                <w:kern w:val="0"/>
                <w:szCs w:val="21"/>
                <w:highlight w:val="none"/>
              </w:rPr>
            </w:pPr>
          </w:p>
        </w:tc>
        <w:tc>
          <w:tcPr>
            <w:tcW w:w="731"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14A60D7">
            <w:pPr>
              <w:widowControl/>
              <w:spacing w:line="400" w:lineRule="exact"/>
              <w:jc w:val="center"/>
              <w:rPr>
                <w:rFonts w:ascii="宋体" w:hAnsi="宋体" w:cs="宋体"/>
                <w:color w:val="auto"/>
                <w:kern w:val="0"/>
                <w:szCs w:val="21"/>
                <w:highlight w:val="none"/>
              </w:rPr>
            </w:pPr>
          </w:p>
        </w:tc>
      </w:tr>
      <w:tr w14:paraId="18C86BD5">
        <w:tblPrEx>
          <w:shd w:val="clear" w:color="auto" w:fill="FBFBFB"/>
          <w:tblCellMar>
            <w:top w:w="0" w:type="dxa"/>
            <w:left w:w="0" w:type="dxa"/>
            <w:bottom w:w="0" w:type="dxa"/>
            <w:right w:w="0" w:type="dxa"/>
          </w:tblCellMar>
        </w:tblPrEx>
        <w:trPr>
          <w:jc w:val="center"/>
        </w:trPr>
        <w:tc>
          <w:tcPr>
            <w:tcW w:w="74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A3CAC8B">
            <w:pPr>
              <w:widowControl/>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223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91B8F4B">
            <w:pPr>
              <w:widowControl/>
              <w:spacing w:line="400" w:lineRule="exact"/>
              <w:jc w:val="center"/>
              <w:rPr>
                <w:rFonts w:ascii="宋体" w:hAnsi="宋体" w:cs="宋体"/>
                <w:color w:val="auto"/>
                <w:kern w:val="0"/>
                <w:szCs w:val="21"/>
                <w:highlight w:val="none"/>
              </w:rPr>
            </w:pPr>
          </w:p>
        </w:tc>
        <w:tc>
          <w:tcPr>
            <w:tcW w:w="1223"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04EE5D3">
            <w:pPr>
              <w:widowControl/>
              <w:spacing w:line="400" w:lineRule="exact"/>
              <w:jc w:val="center"/>
              <w:rPr>
                <w:rFonts w:ascii="宋体" w:hAnsi="宋体" w:cs="宋体"/>
                <w:color w:val="auto"/>
                <w:kern w:val="0"/>
                <w:szCs w:val="21"/>
                <w:highlight w:val="none"/>
              </w:rPr>
            </w:pPr>
          </w:p>
        </w:tc>
        <w:tc>
          <w:tcPr>
            <w:tcW w:w="36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D09D749">
            <w:pPr>
              <w:widowControl/>
              <w:spacing w:line="400" w:lineRule="exact"/>
              <w:jc w:val="center"/>
              <w:rPr>
                <w:rFonts w:ascii="宋体" w:hAnsi="宋体" w:cs="宋体"/>
                <w:color w:val="auto"/>
                <w:kern w:val="0"/>
                <w:szCs w:val="21"/>
                <w:highlight w:val="none"/>
              </w:rPr>
            </w:pPr>
          </w:p>
        </w:tc>
        <w:tc>
          <w:tcPr>
            <w:tcW w:w="731"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6C05933">
            <w:pPr>
              <w:widowControl/>
              <w:spacing w:line="400" w:lineRule="exact"/>
              <w:jc w:val="center"/>
              <w:rPr>
                <w:rFonts w:ascii="宋体" w:hAnsi="宋体" w:cs="宋体"/>
                <w:color w:val="auto"/>
                <w:kern w:val="0"/>
                <w:szCs w:val="21"/>
                <w:highlight w:val="none"/>
              </w:rPr>
            </w:pPr>
          </w:p>
        </w:tc>
      </w:tr>
      <w:tr w14:paraId="7EA0B57D">
        <w:tblPrEx>
          <w:shd w:val="clear" w:color="auto" w:fill="FBFBFB"/>
          <w:tblCellMar>
            <w:top w:w="0" w:type="dxa"/>
            <w:left w:w="0" w:type="dxa"/>
            <w:bottom w:w="0" w:type="dxa"/>
            <w:right w:w="0" w:type="dxa"/>
          </w:tblCellMar>
        </w:tblPrEx>
        <w:trPr>
          <w:jc w:val="center"/>
        </w:trPr>
        <w:tc>
          <w:tcPr>
            <w:tcW w:w="74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83819A0">
            <w:pPr>
              <w:widowControl/>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3</w:t>
            </w:r>
          </w:p>
        </w:tc>
        <w:tc>
          <w:tcPr>
            <w:tcW w:w="223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CCB51E4">
            <w:pPr>
              <w:widowControl/>
              <w:spacing w:line="400" w:lineRule="exact"/>
              <w:jc w:val="center"/>
              <w:rPr>
                <w:rFonts w:ascii="宋体" w:hAnsi="宋体" w:cs="宋体"/>
                <w:color w:val="auto"/>
                <w:kern w:val="0"/>
                <w:szCs w:val="21"/>
                <w:highlight w:val="none"/>
              </w:rPr>
            </w:pPr>
          </w:p>
        </w:tc>
        <w:tc>
          <w:tcPr>
            <w:tcW w:w="1223"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B4DF59F">
            <w:pPr>
              <w:widowControl/>
              <w:spacing w:line="400" w:lineRule="exact"/>
              <w:jc w:val="center"/>
              <w:rPr>
                <w:rFonts w:ascii="宋体" w:hAnsi="宋体" w:cs="宋体"/>
                <w:color w:val="auto"/>
                <w:kern w:val="0"/>
                <w:szCs w:val="21"/>
                <w:highlight w:val="none"/>
              </w:rPr>
            </w:pPr>
          </w:p>
        </w:tc>
        <w:tc>
          <w:tcPr>
            <w:tcW w:w="36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22DA9B5">
            <w:pPr>
              <w:widowControl/>
              <w:spacing w:line="400" w:lineRule="exact"/>
              <w:jc w:val="center"/>
              <w:rPr>
                <w:rFonts w:ascii="宋体" w:hAnsi="宋体" w:cs="宋体"/>
                <w:color w:val="auto"/>
                <w:kern w:val="0"/>
                <w:szCs w:val="21"/>
                <w:highlight w:val="none"/>
              </w:rPr>
            </w:pPr>
          </w:p>
        </w:tc>
        <w:tc>
          <w:tcPr>
            <w:tcW w:w="731"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8DE6178">
            <w:pPr>
              <w:widowControl/>
              <w:spacing w:line="400" w:lineRule="exact"/>
              <w:jc w:val="center"/>
              <w:rPr>
                <w:rFonts w:ascii="宋体" w:hAnsi="宋体" w:cs="宋体"/>
                <w:color w:val="auto"/>
                <w:kern w:val="0"/>
                <w:szCs w:val="21"/>
                <w:highlight w:val="none"/>
              </w:rPr>
            </w:pPr>
          </w:p>
        </w:tc>
      </w:tr>
      <w:tr w14:paraId="4E34A391">
        <w:tblPrEx>
          <w:shd w:val="clear" w:color="auto" w:fill="FBFBFB"/>
          <w:tblCellMar>
            <w:top w:w="0" w:type="dxa"/>
            <w:left w:w="0" w:type="dxa"/>
            <w:bottom w:w="0" w:type="dxa"/>
            <w:right w:w="0" w:type="dxa"/>
          </w:tblCellMar>
        </w:tblPrEx>
        <w:trPr>
          <w:jc w:val="center"/>
        </w:trPr>
        <w:tc>
          <w:tcPr>
            <w:tcW w:w="74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A6F4FCF">
            <w:pPr>
              <w:widowControl/>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223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BD88203">
            <w:pPr>
              <w:widowControl/>
              <w:spacing w:line="400" w:lineRule="exact"/>
              <w:jc w:val="center"/>
              <w:rPr>
                <w:rFonts w:ascii="宋体" w:hAnsi="宋体" w:cs="宋体"/>
                <w:color w:val="auto"/>
                <w:kern w:val="0"/>
                <w:szCs w:val="21"/>
                <w:highlight w:val="none"/>
              </w:rPr>
            </w:pPr>
          </w:p>
        </w:tc>
        <w:tc>
          <w:tcPr>
            <w:tcW w:w="1223"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DCEFC04">
            <w:pPr>
              <w:widowControl/>
              <w:spacing w:line="400" w:lineRule="exact"/>
              <w:jc w:val="center"/>
              <w:rPr>
                <w:rFonts w:ascii="宋体" w:hAnsi="宋体" w:cs="宋体"/>
                <w:color w:val="auto"/>
                <w:kern w:val="0"/>
                <w:szCs w:val="21"/>
                <w:highlight w:val="none"/>
              </w:rPr>
            </w:pPr>
          </w:p>
        </w:tc>
        <w:tc>
          <w:tcPr>
            <w:tcW w:w="36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D17F5BB">
            <w:pPr>
              <w:widowControl/>
              <w:spacing w:line="400" w:lineRule="exact"/>
              <w:jc w:val="center"/>
              <w:rPr>
                <w:rFonts w:ascii="宋体" w:hAnsi="宋体" w:cs="宋体"/>
                <w:color w:val="auto"/>
                <w:kern w:val="0"/>
                <w:szCs w:val="21"/>
                <w:highlight w:val="none"/>
              </w:rPr>
            </w:pPr>
          </w:p>
        </w:tc>
        <w:tc>
          <w:tcPr>
            <w:tcW w:w="731"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3C64815">
            <w:pPr>
              <w:widowControl/>
              <w:spacing w:line="400" w:lineRule="exact"/>
              <w:jc w:val="center"/>
              <w:rPr>
                <w:rFonts w:ascii="宋体" w:hAnsi="宋体" w:cs="宋体"/>
                <w:color w:val="auto"/>
                <w:kern w:val="0"/>
                <w:szCs w:val="21"/>
                <w:highlight w:val="none"/>
              </w:rPr>
            </w:pPr>
          </w:p>
        </w:tc>
      </w:tr>
    </w:tbl>
    <w:p w14:paraId="5859E2DA">
      <w:pPr>
        <w:snapToGrid w:val="0"/>
        <w:spacing w:line="400" w:lineRule="exact"/>
        <w:jc w:val="left"/>
        <w:rPr>
          <w:rFonts w:ascii="宋体" w:hAnsi="宋体" w:cs="宋体"/>
          <w:color w:val="auto"/>
          <w:szCs w:val="21"/>
          <w:highlight w:val="none"/>
        </w:rPr>
      </w:pPr>
      <w:r>
        <w:rPr>
          <w:rFonts w:hint="eastAsia" w:ascii="宋体" w:hAnsi="宋体" w:cs="宋体"/>
          <w:color w:val="auto"/>
          <w:szCs w:val="21"/>
          <w:highlight w:val="none"/>
        </w:rPr>
        <w:t>注：</w:t>
      </w:r>
    </w:p>
    <w:p w14:paraId="75E57105">
      <w:pPr>
        <w:snapToGrid w:val="0"/>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B3A94AD">
      <w:pPr>
        <w:snapToGrid w:val="0"/>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2.本表所指的控股关系仅限于直接控股关系，不包括间接的控股关系。公司实际控制人与公司之间的关系不属于本表所指的直接控股关系。</w:t>
      </w:r>
    </w:p>
    <w:p w14:paraId="6A082F42">
      <w:pPr>
        <w:snapToGrid w:val="0"/>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3.供应商不存在直接控股股东的，则填“无”。</w:t>
      </w:r>
    </w:p>
    <w:p w14:paraId="25BE8FB5">
      <w:pPr>
        <w:snapToGrid w:val="0"/>
        <w:spacing w:line="400" w:lineRule="exact"/>
        <w:jc w:val="left"/>
        <w:rPr>
          <w:rFonts w:ascii="宋体" w:hAnsi="宋体" w:cs="宋体"/>
          <w:color w:val="auto"/>
          <w:szCs w:val="21"/>
          <w:highlight w:val="none"/>
        </w:rPr>
      </w:pPr>
    </w:p>
    <w:p w14:paraId="40ADD7B2">
      <w:pPr>
        <w:snapToGrid w:val="0"/>
        <w:spacing w:line="400" w:lineRule="exact"/>
        <w:jc w:val="left"/>
        <w:rPr>
          <w:rFonts w:ascii="宋体" w:hAnsi="宋体" w:cs="宋体"/>
          <w:color w:val="auto"/>
          <w:szCs w:val="21"/>
          <w:highlight w:val="none"/>
        </w:rPr>
      </w:pPr>
    </w:p>
    <w:p w14:paraId="1EDC526C">
      <w:pPr>
        <w:snapToGrid w:val="0"/>
        <w:spacing w:line="400" w:lineRule="exact"/>
        <w:jc w:val="left"/>
        <w:rPr>
          <w:rFonts w:ascii="宋体" w:hAnsi="宋体" w:cs="宋体"/>
          <w:color w:val="auto"/>
          <w:szCs w:val="21"/>
          <w:highlight w:val="none"/>
        </w:rPr>
      </w:pPr>
    </w:p>
    <w:p w14:paraId="7DD7681F">
      <w:pPr>
        <w:snapToGrid w:val="0"/>
        <w:spacing w:beforeLines="50" w:line="400" w:lineRule="exact"/>
        <w:ind w:right="480" w:firstLine="1680" w:firstLineChars="800"/>
        <w:rPr>
          <w:rFonts w:ascii="宋体" w:hAnsi="宋体" w:cs="宋体"/>
          <w:color w:val="auto"/>
          <w:szCs w:val="21"/>
          <w:highlight w:val="none"/>
          <w:u w:val="single"/>
        </w:rPr>
      </w:pPr>
      <w:r>
        <w:rPr>
          <w:rFonts w:hint="eastAsia" w:ascii="宋体" w:hAnsi="宋体" w:cs="宋体"/>
          <w:color w:val="auto"/>
          <w:szCs w:val="21"/>
          <w:highlight w:val="none"/>
        </w:rPr>
        <w:t>法定代表人或者委托代理人（签字或电子签名）：</w:t>
      </w:r>
    </w:p>
    <w:p w14:paraId="2BFDEBFA">
      <w:pPr>
        <w:snapToGrid w:val="0"/>
        <w:spacing w:beforeLines="50" w:after="50" w:line="400" w:lineRule="exact"/>
        <w:ind w:right="480" w:firstLine="2625" w:firstLineChars="1250"/>
        <w:rPr>
          <w:rFonts w:ascii="宋体" w:hAnsi="宋体" w:cs="宋体"/>
          <w:color w:val="auto"/>
          <w:szCs w:val="21"/>
          <w:highlight w:val="none"/>
          <w:u w:val="single"/>
        </w:rPr>
      </w:pPr>
      <w:r>
        <w:rPr>
          <w:rFonts w:hint="eastAsia" w:ascii="宋体" w:hAnsi="宋体" w:cs="宋体"/>
          <w:color w:val="auto"/>
          <w:szCs w:val="21"/>
          <w:highlight w:val="none"/>
        </w:rPr>
        <w:t>供应商（</w:t>
      </w:r>
      <w:r>
        <w:rPr>
          <w:rFonts w:hint="eastAsia" w:ascii="宋体" w:hAnsi="宋体" w:cs="宋体"/>
          <w:color w:val="auto"/>
          <w:highlight w:val="none"/>
        </w:rPr>
        <w:t>公章或电子签章</w:t>
      </w:r>
      <w:r>
        <w:rPr>
          <w:rFonts w:hint="eastAsia" w:ascii="宋体" w:hAnsi="宋体" w:cs="宋体"/>
          <w:color w:val="auto"/>
          <w:szCs w:val="21"/>
          <w:highlight w:val="none"/>
        </w:rPr>
        <w:t>）：</w:t>
      </w:r>
    </w:p>
    <w:p w14:paraId="21358B92">
      <w:pPr>
        <w:snapToGrid w:val="0"/>
        <w:spacing w:beforeLines="50" w:after="50" w:line="400" w:lineRule="exact"/>
        <w:ind w:right="480" w:firstLine="4620" w:firstLineChars="2200"/>
        <w:rPr>
          <w:rFonts w:ascii="宋体" w:hAnsi="宋体" w:cs="宋体"/>
          <w:color w:val="auto"/>
          <w:szCs w:val="21"/>
          <w:highlight w:val="none"/>
        </w:rPr>
      </w:pPr>
      <w:r>
        <w:rPr>
          <w:rFonts w:hint="eastAsia" w:ascii="宋体" w:hAnsi="宋体" w:cs="宋体"/>
          <w:color w:val="auto"/>
          <w:szCs w:val="21"/>
          <w:highlight w:val="none"/>
        </w:rPr>
        <w:t>年    月    日</w:t>
      </w:r>
    </w:p>
    <w:p w14:paraId="381BFD32">
      <w:pPr>
        <w:spacing w:beforeLines="100" w:afterLines="100" w:line="400" w:lineRule="exact"/>
        <w:jc w:val="center"/>
        <w:rPr>
          <w:rFonts w:ascii="宋体" w:hAnsi="宋体" w:cs="宋体"/>
          <w:b/>
          <w:color w:val="auto"/>
          <w:szCs w:val="21"/>
          <w:highlight w:val="none"/>
        </w:rPr>
      </w:pPr>
      <w:r>
        <w:rPr>
          <w:rFonts w:hint="eastAsia" w:ascii="宋体" w:hAnsi="宋体" w:cs="宋体"/>
          <w:b/>
          <w:color w:val="auto"/>
          <w:szCs w:val="21"/>
          <w:highlight w:val="none"/>
        </w:rPr>
        <w:br w:type="page"/>
      </w:r>
      <w:r>
        <w:rPr>
          <w:rFonts w:hint="eastAsia" w:ascii="宋体" w:hAnsi="宋体" w:cs="宋体"/>
          <w:b/>
          <w:color w:val="auto"/>
          <w:szCs w:val="21"/>
          <w:highlight w:val="none"/>
        </w:rPr>
        <w:t>供应商直接管理关系信息表</w:t>
      </w:r>
    </w:p>
    <w:tbl>
      <w:tblPr>
        <w:tblStyle w:val="31"/>
        <w:tblW w:w="8537" w:type="dxa"/>
        <w:jc w:val="center"/>
        <w:shd w:val="clear" w:color="auto" w:fill="FBFBFB"/>
        <w:tblLayout w:type="fixed"/>
        <w:tblCellMar>
          <w:top w:w="0" w:type="dxa"/>
          <w:left w:w="0" w:type="dxa"/>
          <w:bottom w:w="0" w:type="dxa"/>
          <w:right w:w="0" w:type="dxa"/>
        </w:tblCellMar>
      </w:tblPr>
      <w:tblGrid>
        <w:gridCol w:w="714"/>
        <w:gridCol w:w="3185"/>
        <w:gridCol w:w="3144"/>
        <w:gridCol w:w="1494"/>
      </w:tblGrid>
      <w:tr w14:paraId="063F1812">
        <w:tblPrEx>
          <w:tblCellMar>
            <w:top w:w="0" w:type="dxa"/>
            <w:left w:w="0" w:type="dxa"/>
            <w:bottom w:w="0" w:type="dxa"/>
            <w:right w:w="0" w:type="dxa"/>
          </w:tblCellMar>
        </w:tblPrEx>
        <w:trPr>
          <w:tblHeader/>
          <w:jc w:val="center"/>
        </w:trPr>
        <w:tc>
          <w:tcPr>
            <w:tcW w:w="71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37FD1EC">
            <w:pPr>
              <w:widowControl/>
              <w:spacing w:line="40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序号</w:t>
            </w:r>
          </w:p>
        </w:tc>
        <w:tc>
          <w:tcPr>
            <w:tcW w:w="318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F1C3F59">
            <w:pPr>
              <w:widowControl/>
              <w:spacing w:line="40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直接管理关系单位名称</w:t>
            </w:r>
          </w:p>
        </w:tc>
        <w:tc>
          <w:tcPr>
            <w:tcW w:w="314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01EF696">
            <w:pPr>
              <w:widowControl/>
              <w:spacing w:line="40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统一社会信用代码</w:t>
            </w:r>
          </w:p>
        </w:tc>
        <w:tc>
          <w:tcPr>
            <w:tcW w:w="149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6A12D13">
            <w:pPr>
              <w:widowControl/>
              <w:spacing w:line="40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备注</w:t>
            </w:r>
          </w:p>
        </w:tc>
      </w:tr>
      <w:tr w14:paraId="468B5E14">
        <w:tblPrEx>
          <w:tblCellMar>
            <w:top w:w="0" w:type="dxa"/>
            <w:left w:w="0" w:type="dxa"/>
            <w:bottom w:w="0" w:type="dxa"/>
            <w:right w:w="0" w:type="dxa"/>
          </w:tblCellMar>
        </w:tblPrEx>
        <w:trPr>
          <w:jc w:val="center"/>
        </w:trPr>
        <w:tc>
          <w:tcPr>
            <w:tcW w:w="71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1EEB22F">
            <w:pPr>
              <w:widowControl/>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318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B5EA227">
            <w:pPr>
              <w:widowControl/>
              <w:spacing w:line="400" w:lineRule="exact"/>
              <w:jc w:val="center"/>
              <w:rPr>
                <w:rFonts w:ascii="宋体" w:hAnsi="宋体" w:cs="宋体"/>
                <w:color w:val="auto"/>
                <w:kern w:val="0"/>
                <w:szCs w:val="21"/>
                <w:highlight w:val="none"/>
              </w:rPr>
            </w:pPr>
          </w:p>
        </w:tc>
        <w:tc>
          <w:tcPr>
            <w:tcW w:w="314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B5014EA">
            <w:pPr>
              <w:widowControl/>
              <w:spacing w:line="400" w:lineRule="exact"/>
              <w:jc w:val="center"/>
              <w:rPr>
                <w:rFonts w:ascii="宋体" w:hAnsi="宋体" w:cs="宋体"/>
                <w:color w:val="auto"/>
                <w:kern w:val="0"/>
                <w:szCs w:val="21"/>
                <w:highlight w:val="none"/>
              </w:rPr>
            </w:pPr>
          </w:p>
        </w:tc>
        <w:tc>
          <w:tcPr>
            <w:tcW w:w="149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86866C8">
            <w:pPr>
              <w:widowControl/>
              <w:spacing w:line="400" w:lineRule="exact"/>
              <w:jc w:val="center"/>
              <w:rPr>
                <w:rFonts w:ascii="宋体" w:hAnsi="宋体" w:cs="宋体"/>
                <w:color w:val="auto"/>
                <w:kern w:val="0"/>
                <w:szCs w:val="21"/>
                <w:highlight w:val="none"/>
              </w:rPr>
            </w:pPr>
          </w:p>
        </w:tc>
      </w:tr>
      <w:tr w14:paraId="62C84BB5">
        <w:tblPrEx>
          <w:shd w:val="clear" w:color="auto" w:fill="FBFBFB"/>
          <w:tblCellMar>
            <w:top w:w="0" w:type="dxa"/>
            <w:left w:w="0" w:type="dxa"/>
            <w:bottom w:w="0" w:type="dxa"/>
            <w:right w:w="0" w:type="dxa"/>
          </w:tblCellMar>
        </w:tblPrEx>
        <w:trPr>
          <w:jc w:val="center"/>
        </w:trPr>
        <w:tc>
          <w:tcPr>
            <w:tcW w:w="71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723540C">
            <w:pPr>
              <w:widowControl/>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318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45F8CB4">
            <w:pPr>
              <w:widowControl/>
              <w:spacing w:line="400" w:lineRule="exact"/>
              <w:jc w:val="center"/>
              <w:rPr>
                <w:rFonts w:ascii="宋体" w:hAnsi="宋体" w:cs="宋体"/>
                <w:color w:val="auto"/>
                <w:kern w:val="0"/>
                <w:szCs w:val="21"/>
                <w:highlight w:val="none"/>
              </w:rPr>
            </w:pPr>
          </w:p>
        </w:tc>
        <w:tc>
          <w:tcPr>
            <w:tcW w:w="314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9C29A9E">
            <w:pPr>
              <w:widowControl/>
              <w:spacing w:line="400" w:lineRule="exact"/>
              <w:jc w:val="center"/>
              <w:rPr>
                <w:rFonts w:ascii="宋体" w:hAnsi="宋体" w:cs="宋体"/>
                <w:color w:val="auto"/>
                <w:kern w:val="0"/>
                <w:szCs w:val="21"/>
                <w:highlight w:val="none"/>
              </w:rPr>
            </w:pPr>
          </w:p>
        </w:tc>
        <w:tc>
          <w:tcPr>
            <w:tcW w:w="149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D5BDEA3">
            <w:pPr>
              <w:widowControl/>
              <w:spacing w:line="400" w:lineRule="exact"/>
              <w:jc w:val="center"/>
              <w:rPr>
                <w:rFonts w:ascii="宋体" w:hAnsi="宋体" w:cs="宋体"/>
                <w:color w:val="auto"/>
                <w:kern w:val="0"/>
                <w:szCs w:val="21"/>
                <w:highlight w:val="none"/>
              </w:rPr>
            </w:pPr>
          </w:p>
        </w:tc>
      </w:tr>
      <w:tr w14:paraId="44305C90">
        <w:tblPrEx>
          <w:shd w:val="clear" w:color="auto" w:fill="FBFBFB"/>
          <w:tblCellMar>
            <w:top w:w="0" w:type="dxa"/>
            <w:left w:w="0" w:type="dxa"/>
            <w:bottom w:w="0" w:type="dxa"/>
            <w:right w:w="0" w:type="dxa"/>
          </w:tblCellMar>
        </w:tblPrEx>
        <w:trPr>
          <w:jc w:val="center"/>
        </w:trPr>
        <w:tc>
          <w:tcPr>
            <w:tcW w:w="71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B646807">
            <w:pPr>
              <w:widowControl/>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3</w:t>
            </w:r>
          </w:p>
        </w:tc>
        <w:tc>
          <w:tcPr>
            <w:tcW w:w="318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FB326DC">
            <w:pPr>
              <w:widowControl/>
              <w:spacing w:line="400" w:lineRule="exact"/>
              <w:jc w:val="center"/>
              <w:rPr>
                <w:rFonts w:ascii="宋体" w:hAnsi="宋体" w:cs="宋体"/>
                <w:color w:val="auto"/>
                <w:kern w:val="0"/>
                <w:szCs w:val="21"/>
                <w:highlight w:val="none"/>
              </w:rPr>
            </w:pPr>
          </w:p>
        </w:tc>
        <w:tc>
          <w:tcPr>
            <w:tcW w:w="314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B939649">
            <w:pPr>
              <w:widowControl/>
              <w:spacing w:line="400" w:lineRule="exact"/>
              <w:jc w:val="center"/>
              <w:rPr>
                <w:rFonts w:ascii="宋体" w:hAnsi="宋体" w:cs="宋体"/>
                <w:color w:val="auto"/>
                <w:kern w:val="0"/>
                <w:szCs w:val="21"/>
                <w:highlight w:val="none"/>
              </w:rPr>
            </w:pPr>
          </w:p>
        </w:tc>
        <w:tc>
          <w:tcPr>
            <w:tcW w:w="149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D9D5E17">
            <w:pPr>
              <w:widowControl/>
              <w:spacing w:line="400" w:lineRule="exact"/>
              <w:jc w:val="center"/>
              <w:rPr>
                <w:rFonts w:ascii="宋体" w:hAnsi="宋体" w:cs="宋体"/>
                <w:color w:val="auto"/>
                <w:kern w:val="0"/>
                <w:szCs w:val="21"/>
                <w:highlight w:val="none"/>
              </w:rPr>
            </w:pPr>
          </w:p>
        </w:tc>
      </w:tr>
      <w:tr w14:paraId="7621847D">
        <w:tblPrEx>
          <w:shd w:val="clear" w:color="auto" w:fill="FBFBFB"/>
          <w:tblCellMar>
            <w:top w:w="0" w:type="dxa"/>
            <w:left w:w="0" w:type="dxa"/>
            <w:bottom w:w="0" w:type="dxa"/>
            <w:right w:w="0" w:type="dxa"/>
          </w:tblCellMar>
        </w:tblPrEx>
        <w:trPr>
          <w:jc w:val="center"/>
        </w:trPr>
        <w:tc>
          <w:tcPr>
            <w:tcW w:w="71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0D1FD25">
            <w:pPr>
              <w:widowControl/>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318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4BA8D3E">
            <w:pPr>
              <w:widowControl/>
              <w:spacing w:line="400" w:lineRule="exact"/>
              <w:jc w:val="center"/>
              <w:rPr>
                <w:rFonts w:ascii="宋体" w:hAnsi="宋体" w:cs="宋体"/>
                <w:color w:val="auto"/>
                <w:kern w:val="0"/>
                <w:szCs w:val="21"/>
                <w:highlight w:val="none"/>
              </w:rPr>
            </w:pPr>
          </w:p>
        </w:tc>
        <w:tc>
          <w:tcPr>
            <w:tcW w:w="314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D792A22">
            <w:pPr>
              <w:widowControl/>
              <w:spacing w:line="400" w:lineRule="exact"/>
              <w:jc w:val="center"/>
              <w:rPr>
                <w:rFonts w:ascii="宋体" w:hAnsi="宋体" w:cs="宋体"/>
                <w:color w:val="auto"/>
                <w:kern w:val="0"/>
                <w:szCs w:val="21"/>
                <w:highlight w:val="none"/>
              </w:rPr>
            </w:pPr>
          </w:p>
        </w:tc>
        <w:tc>
          <w:tcPr>
            <w:tcW w:w="149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E1354AD">
            <w:pPr>
              <w:widowControl/>
              <w:spacing w:line="400" w:lineRule="exact"/>
              <w:jc w:val="center"/>
              <w:rPr>
                <w:rFonts w:ascii="宋体" w:hAnsi="宋体" w:cs="宋体"/>
                <w:color w:val="auto"/>
                <w:kern w:val="0"/>
                <w:szCs w:val="21"/>
                <w:highlight w:val="none"/>
              </w:rPr>
            </w:pPr>
          </w:p>
        </w:tc>
      </w:tr>
    </w:tbl>
    <w:p w14:paraId="2FE26D47">
      <w:pPr>
        <w:snapToGrid w:val="0"/>
        <w:spacing w:line="400" w:lineRule="exact"/>
        <w:jc w:val="left"/>
        <w:rPr>
          <w:rFonts w:ascii="宋体" w:hAnsi="宋体" w:cs="宋体"/>
          <w:color w:val="auto"/>
          <w:szCs w:val="21"/>
          <w:highlight w:val="none"/>
        </w:rPr>
      </w:pPr>
      <w:r>
        <w:rPr>
          <w:rFonts w:hint="eastAsia" w:ascii="宋体" w:hAnsi="宋体" w:cs="宋体"/>
          <w:color w:val="auto"/>
          <w:szCs w:val="21"/>
          <w:highlight w:val="none"/>
        </w:rPr>
        <w:t>注：</w:t>
      </w:r>
    </w:p>
    <w:p w14:paraId="67D602E9">
      <w:pPr>
        <w:snapToGrid w:val="0"/>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1.管理关系：是指不具有出资持股关系的其他单位之间存在的管理与被管理关系，如一些上下级关系的事业单位和团体组织。</w:t>
      </w:r>
    </w:p>
    <w:p w14:paraId="7D67361B">
      <w:pPr>
        <w:snapToGrid w:val="0"/>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pacing w:val="-6"/>
          <w:szCs w:val="21"/>
          <w:highlight w:val="none"/>
        </w:rPr>
        <w:t>本表所指的管理关系仅限于直接管理关系，不包括间接的管理关系。</w:t>
      </w:r>
    </w:p>
    <w:p w14:paraId="63A36344">
      <w:pPr>
        <w:snapToGrid w:val="0"/>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3.供应商不存在直接管理关系的，则填“无”。</w:t>
      </w:r>
    </w:p>
    <w:p w14:paraId="72FCE71E">
      <w:pPr>
        <w:snapToGrid w:val="0"/>
        <w:spacing w:line="400" w:lineRule="exact"/>
        <w:jc w:val="left"/>
        <w:rPr>
          <w:rFonts w:ascii="宋体" w:hAnsi="宋体" w:cs="宋体"/>
          <w:color w:val="auto"/>
          <w:szCs w:val="21"/>
          <w:highlight w:val="none"/>
        </w:rPr>
      </w:pPr>
    </w:p>
    <w:p w14:paraId="1D1C12CD">
      <w:pPr>
        <w:snapToGrid w:val="0"/>
        <w:spacing w:line="400" w:lineRule="exact"/>
        <w:jc w:val="left"/>
        <w:rPr>
          <w:rFonts w:ascii="宋体" w:hAnsi="宋体" w:cs="宋体"/>
          <w:color w:val="auto"/>
          <w:szCs w:val="21"/>
          <w:highlight w:val="none"/>
        </w:rPr>
      </w:pPr>
    </w:p>
    <w:p w14:paraId="0603C5C8">
      <w:pPr>
        <w:snapToGrid w:val="0"/>
        <w:spacing w:line="400" w:lineRule="exact"/>
        <w:jc w:val="left"/>
        <w:rPr>
          <w:rFonts w:ascii="宋体" w:hAnsi="宋体" w:cs="宋体"/>
          <w:color w:val="auto"/>
          <w:szCs w:val="21"/>
          <w:highlight w:val="none"/>
        </w:rPr>
      </w:pPr>
    </w:p>
    <w:p w14:paraId="4961B82A">
      <w:pPr>
        <w:snapToGrid w:val="0"/>
        <w:spacing w:line="400" w:lineRule="exact"/>
        <w:jc w:val="left"/>
        <w:rPr>
          <w:rFonts w:ascii="宋体" w:hAnsi="宋体" w:cs="宋体"/>
          <w:color w:val="auto"/>
          <w:szCs w:val="21"/>
          <w:highlight w:val="none"/>
        </w:rPr>
      </w:pPr>
    </w:p>
    <w:p w14:paraId="4C08C544">
      <w:pPr>
        <w:snapToGrid w:val="0"/>
        <w:spacing w:beforeLines="50" w:line="400" w:lineRule="exact"/>
        <w:ind w:right="480" w:firstLine="1680" w:firstLineChars="800"/>
        <w:rPr>
          <w:rFonts w:ascii="宋体" w:hAnsi="宋体" w:cs="宋体"/>
          <w:color w:val="auto"/>
          <w:szCs w:val="21"/>
          <w:highlight w:val="none"/>
          <w:u w:val="single"/>
        </w:rPr>
      </w:pPr>
      <w:r>
        <w:rPr>
          <w:rFonts w:hint="eastAsia" w:ascii="宋体" w:hAnsi="宋体" w:cs="宋体"/>
          <w:color w:val="auto"/>
          <w:szCs w:val="21"/>
          <w:highlight w:val="none"/>
        </w:rPr>
        <w:t>法定代表人或者委托代理人（签字或电子签名）：</w:t>
      </w:r>
    </w:p>
    <w:p w14:paraId="04EFA8BA">
      <w:pPr>
        <w:snapToGrid w:val="0"/>
        <w:spacing w:beforeLines="50" w:after="50" w:line="400" w:lineRule="exact"/>
        <w:ind w:right="480" w:firstLine="2625" w:firstLineChars="1250"/>
        <w:rPr>
          <w:rFonts w:ascii="宋体" w:hAnsi="宋体" w:cs="宋体"/>
          <w:color w:val="auto"/>
          <w:szCs w:val="21"/>
          <w:highlight w:val="none"/>
          <w:u w:val="single"/>
        </w:rPr>
      </w:pPr>
      <w:r>
        <w:rPr>
          <w:rFonts w:hint="eastAsia" w:ascii="宋体" w:hAnsi="宋体" w:cs="宋体"/>
          <w:color w:val="auto"/>
          <w:szCs w:val="21"/>
          <w:highlight w:val="none"/>
        </w:rPr>
        <w:t>供应商（</w:t>
      </w:r>
      <w:r>
        <w:rPr>
          <w:rFonts w:hint="eastAsia" w:ascii="宋体" w:hAnsi="宋体" w:cs="宋体"/>
          <w:color w:val="auto"/>
          <w:highlight w:val="none"/>
        </w:rPr>
        <w:t>公章或电子签章</w:t>
      </w:r>
      <w:r>
        <w:rPr>
          <w:rFonts w:hint="eastAsia" w:ascii="宋体" w:hAnsi="宋体" w:cs="宋体"/>
          <w:color w:val="auto"/>
          <w:szCs w:val="21"/>
          <w:highlight w:val="none"/>
        </w:rPr>
        <w:t>）：</w:t>
      </w:r>
    </w:p>
    <w:p w14:paraId="623B319A">
      <w:pPr>
        <w:snapToGrid w:val="0"/>
        <w:spacing w:beforeLines="50" w:after="50" w:line="400" w:lineRule="exact"/>
        <w:ind w:right="480" w:firstLine="4620" w:firstLineChars="2200"/>
        <w:rPr>
          <w:rFonts w:ascii="宋体" w:hAnsi="宋体" w:cs="宋体"/>
          <w:color w:val="auto"/>
          <w:szCs w:val="21"/>
          <w:highlight w:val="none"/>
        </w:rPr>
      </w:pPr>
      <w:r>
        <w:rPr>
          <w:rFonts w:hint="eastAsia" w:ascii="宋体" w:hAnsi="宋体" w:cs="宋体"/>
          <w:color w:val="auto"/>
          <w:szCs w:val="21"/>
          <w:highlight w:val="none"/>
        </w:rPr>
        <w:t>年    月    日</w:t>
      </w:r>
    </w:p>
    <w:p w14:paraId="0FAB441F">
      <w:pPr>
        <w:pStyle w:val="27"/>
        <w:numPr>
          <w:ilvl w:val="0"/>
          <w:numId w:val="3"/>
        </w:numPr>
        <w:spacing w:line="400" w:lineRule="exact"/>
        <w:jc w:val="both"/>
        <w:rPr>
          <w:rFonts w:ascii="宋体" w:hAnsi="宋体" w:cs="宋体"/>
          <w:bCs w:val="0"/>
          <w:color w:val="auto"/>
          <w:kern w:val="2"/>
          <w:sz w:val="21"/>
          <w:szCs w:val="21"/>
          <w:highlight w:val="none"/>
        </w:rPr>
      </w:pPr>
      <w:r>
        <w:rPr>
          <w:rFonts w:hint="eastAsia" w:ascii="宋体" w:hAnsi="宋体" w:cs="宋体"/>
          <w:color w:val="auto"/>
          <w:sz w:val="21"/>
          <w:szCs w:val="21"/>
          <w:highlight w:val="none"/>
        </w:rPr>
        <w:br w:type="page"/>
      </w:r>
      <w:r>
        <w:rPr>
          <w:rFonts w:hint="eastAsia" w:ascii="宋体" w:hAnsi="宋体" w:cs="宋体"/>
          <w:color w:val="auto"/>
          <w:sz w:val="21"/>
          <w:szCs w:val="21"/>
          <w:highlight w:val="none"/>
        </w:rPr>
        <w:t>竞标声明</w:t>
      </w:r>
    </w:p>
    <w:p w14:paraId="44E152ED">
      <w:pPr>
        <w:spacing w:beforeLines="100" w:afterLines="100" w:line="400" w:lineRule="exact"/>
        <w:jc w:val="center"/>
        <w:rPr>
          <w:rFonts w:ascii="宋体" w:hAnsi="宋体" w:cs="宋体"/>
          <w:b/>
          <w:color w:val="auto"/>
          <w:szCs w:val="21"/>
          <w:highlight w:val="none"/>
        </w:rPr>
      </w:pPr>
      <w:r>
        <w:rPr>
          <w:rFonts w:hint="eastAsia" w:ascii="宋体" w:hAnsi="宋体" w:cs="宋体"/>
          <w:b/>
          <w:color w:val="auto"/>
          <w:szCs w:val="21"/>
          <w:highlight w:val="none"/>
        </w:rPr>
        <w:t>竞标声明</w:t>
      </w:r>
    </w:p>
    <w:p w14:paraId="1A3051D8">
      <w:pPr>
        <w:spacing w:beforeLines="50" w:after="50" w:line="400" w:lineRule="exact"/>
        <w:contextualSpacing/>
        <w:rPr>
          <w:rFonts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b/>
          <w:bCs/>
          <w:color w:val="auto"/>
          <w:szCs w:val="21"/>
          <w:highlight w:val="none"/>
          <w:u w:val="single"/>
        </w:rPr>
        <w:t>（采购代理机构名称）</w:t>
      </w:r>
      <w:r>
        <w:rPr>
          <w:rFonts w:hint="eastAsia" w:ascii="宋体" w:hAnsi="宋体" w:cs="宋体"/>
          <w:color w:val="auto"/>
          <w:szCs w:val="21"/>
          <w:highlight w:val="none"/>
        </w:rPr>
        <w:t>：</w:t>
      </w:r>
    </w:p>
    <w:p w14:paraId="0E57C85F">
      <w:pPr>
        <w:wordWrap w:val="0"/>
        <w:spacing w:beforeLines="50" w:after="50" w:line="400" w:lineRule="exact"/>
        <w:ind w:firstLine="422" w:firstLineChars="200"/>
        <w:contextualSpacing/>
        <w:rPr>
          <w:rFonts w:ascii="宋体" w:hAnsi="宋体" w:cs="宋体"/>
          <w:color w:val="auto"/>
          <w:szCs w:val="21"/>
          <w:highlight w:val="none"/>
        </w:rPr>
      </w:pPr>
      <w:r>
        <w:rPr>
          <w:rFonts w:hint="eastAsia" w:ascii="宋体" w:hAnsi="宋体" w:cs="宋体"/>
          <w:b/>
          <w:bCs/>
          <w:color w:val="auto"/>
          <w:szCs w:val="21"/>
          <w:highlight w:val="none"/>
          <w:u w:val="single"/>
        </w:rPr>
        <w:t>（供应商名称）</w:t>
      </w:r>
      <w:r>
        <w:rPr>
          <w:rFonts w:hint="eastAsia" w:ascii="宋体" w:hAnsi="宋体" w:cs="宋体"/>
          <w:color w:val="auto"/>
          <w:szCs w:val="21"/>
          <w:highlight w:val="none"/>
        </w:rPr>
        <w:t>系中华人民共和国合法供应商，经营地址。</w:t>
      </w:r>
    </w:p>
    <w:p w14:paraId="212183E5">
      <w:pPr>
        <w:spacing w:beforeLines="50" w:line="400" w:lineRule="exact"/>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我方愿意参加贵方组织的</w:t>
      </w:r>
      <w:r>
        <w:rPr>
          <w:rFonts w:hint="eastAsia" w:ascii="宋体" w:hAnsi="宋体" w:cs="宋体"/>
          <w:b/>
          <w:bCs/>
          <w:color w:val="auto"/>
          <w:szCs w:val="21"/>
          <w:highlight w:val="none"/>
          <w:u w:val="single"/>
        </w:rPr>
        <w:t>（项目名称）</w:t>
      </w:r>
      <w:r>
        <w:rPr>
          <w:rFonts w:hint="eastAsia" w:ascii="宋体" w:hAnsi="宋体" w:cs="宋体"/>
          <w:color w:val="auto"/>
          <w:szCs w:val="21"/>
          <w:highlight w:val="none"/>
        </w:rPr>
        <w:t>项目的竞标，为便于贵方公正、择优地确定成交供应商及其竞标产品和服务，我方就本次竞标有关事项郑重声明如下：</w:t>
      </w:r>
    </w:p>
    <w:p w14:paraId="0E9BEE63">
      <w:pPr>
        <w:spacing w:beforeLines="50" w:line="400" w:lineRule="exact"/>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1.我方向贵方提交的所有响应文件、资料都是准确的和真实的。</w:t>
      </w:r>
    </w:p>
    <w:p w14:paraId="6D6E69A9">
      <w:pPr>
        <w:spacing w:beforeLines="50" w:line="400" w:lineRule="exact"/>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2.我方不是为本次采购项目提供整体设计、规范编制或者项目管理、监理、检测等服务的供应商；在获知本项目采购信息后，与采购人聘请的为此项目提供咨询服务的公司及其附属机构没有任何联系。</w:t>
      </w:r>
    </w:p>
    <w:p w14:paraId="27AD3BE0">
      <w:pPr>
        <w:spacing w:beforeLines="50" w:line="400" w:lineRule="exact"/>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3.我方承诺响应文件的竞标有效期与磋商文件第二章供应商须知前附表中要求的竞标有效期一致。</w:t>
      </w:r>
    </w:p>
    <w:p w14:paraId="6E148A96">
      <w:pPr>
        <w:spacing w:beforeLines="50" w:line="400" w:lineRule="exact"/>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4.在此，我方宣布同意如下：</w:t>
      </w:r>
    </w:p>
    <w:p w14:paraId="1A1D0A26">
      <w:pPr>
        <w:spacing w:beforeLines="50" w:line="400" w:lineRule="exact"/>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（1）将按磋商文件的约定履行合同责任和义务；</w:t>
      </w:r>
    </w:p>
    <w:p w14:paraId="1ED4EA89">
      <w:pPr>
        <w:spacing w:beforeLines="50" w:line="400" w:lineRule="exact"/>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（2）已详细审查全部磋商文件，包括澄清或者更正公告（如有）；</w:t>
      </w:r>
    </w:p>
    <w:p w14:paraId="25C58E55">
      <w:pPr>
        <w:spacing w:beforeLines="50" w:line="400" w:lineRule="exact"/>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（3）同意提供按照贵方可能要求的与磋商有关的一切数据或者资料；</w:t>
      </w:r>
    </w:p>
    <w:p w14:paraId="2B9D4B32">
      <w:pPr>
        <w:spacing w:beforeLines="50" w:line="400" w:lineRule="exact"/>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（4）响应磋商文件规定的竞标有效期。</w:t>
      </w:r>
    </w:p>
    <w:p w14:paraId="3F9BE5CF">
      <w:pPr>
        <w:spacing w:beforeLines="50" w:line="400" w:lineRule="exact"/>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5.我方承诺符合《中华人民共和国政府采购法》第二十二条规定：</w:t>
      </w:r>
    </w:p>
    <w:p w14:paraId="514C4BBA">
      <w:pPr>
        <w:spacing w:beforeLines="50" w:line="400" w:lineRule="exact"/>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（1）具有独立承担民事责任的能力；</w:t>
      </w:r>
    </w:p>
    <w:p w14:paraId="6541DE48">
      <w:pPr>
        <w:spacing w:beforeLines="50" w:line="400" w:lineRule="exact"/>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（2）具有良好的商业信誉和健全的财务会计制度；</w:t>
      </w:r>
    </w:p>
    <w:p w14:paraId="6E576A4E">
      <w:pPr>
        <w:spacing w:beforeLines="50" w:line="400" w:lineRule="exact"/>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（3）具有履行合同所必需的设备和专业技术能力；</w:t>
      </w:r>
    </w:p>
    <w:p w14:paraId="5184B502">
      <w:pPr>
        <w:spacing w:beforeLines="50" w:line="400" w:lineRule="exact"/>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（4）有依法缴纳税收和社会保障资金的良好记录；</w:t>
      </w:r>
    </w:p>
    <w:p w14:paraId="7AA86125">
      <w:pPr>
        <w:spacing w:beforeLines="50" w:line="400" w:lineRule="exact"/>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（5）参加政府采购活动前三年内，在经营活动中没有重大违法记录；</w:t>
      </w:r>
    </w:p>
    <w:p w14:paraId="0215CAD9">
      <w:pPr>
        <w:spacing w:beforeLines="50" w:line="400" w:lineRule="exact"/>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（6）法律、行政法规规定的其他条件。</w:t>
      </w:r>
    </w:p>
    <w:p w14:paraId="770998E2">
      <w:pPr>
        <w:spacing w:beforeLines="50" w:line="400" w:lineRule="exact"/>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6.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1CC6CC1B">
      <w:pPr>
        <w:spacing w:beforeLines="50" w:line="400" w:lineRule="exact"/>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7.根据《中华人民共和国政府采购法实施条例》第五十条要求对政府采购合同进行公告，但政府采购合同中涉及国家秘密、商业秘密的内容除外。我方就对本次响应文件进行注明如下：（两项内容中必须选择一项）</w:t>
      </w:r>
    </w:p>
    <w:p w14:paraId="648E347F">
      <w:pPr>
        <w:spacing w:line="400" w:lineRule="exact"/>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□我方本次响应文件</w:t>
      </w:r>
      <w:r>
        <w:rPr>
          <w:rFonts w:hint="eastAsia" w:ascii="宋体" w:hAnsi="宋体" w:cs="宋体"/>
          <w:color w:val="auto"/>
          <w:kern w:val="0"/>
          <w:szCs w:val="21"/>
          <w:highlight w:val="none"/>
        </w:rPr>
        <w:t>内容中</w:t>
      </w:r>
      <w:r>
        <w:rPr>
          <w:rFonts w:hint="eastAsia" w:ascii="宋体" w:hAnsi="宋体" w:cs="宋体"/>
          <w:color w:val="auto"/>
          <w:szCs w:val="21"/>
          <w:highlight w:val="none"/>
        </w:rPr>
        <w:t>未</w:t>
      </w:r>
      <w:r>
        <w:rPr>
          <w:rFonts w:hint="eastAsia" w:ascii="宋体" w:hAnsi="宋体" w:cs="宋体"/>
          <w:color w:val="auto"/>
          <w:kern w:val="0"/>
          <w:szCs w:val="21"/>
          <w:highlight w:val="none"/>
        </w:rPr>
        <w:t>涉及商业秘密；</w:t>
      </w:r>
    </w:p>
    <w:p w14:paraId="49348068">
      <w:pPr>
        <w:spacing w:line="400" w:lineRule="exact"/>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□我方本次响应文件</w:t>
      </w:r>
      <w:r>
        <w:rPr>
          <w:rFonts w:hint="eastAsia" w:ascii="宋体" w:hAnsi="宋体" w:cs="宋体"/>
          <w:color w:val="auto"/>
          <w:kern w:val="0"/>
          <w:szCs w:val="21"/>
          <w:highlight w:val="none"/>
        </w:rPr>
        <w:t>涉及商业秘密的内容有：；</w:t>
      </w:r>
    </w:p>
    <w:p w14:paraId="3592F74E">
      <w:pPr>
        <w:pStyle w:val="16"/>
        <w:spacing w:line="400" w:lineRule="exact"/>
        <w:ind w:firstLine="420" w:firstLineChars="200"/>
        <w:contextualSpacing/>
        <w:rPr>
          <w:rFonts w:hAnsi="宋体" w:cs="宋体"/>
          <w:color w:val="auto"/>
          <w:sz w:val="21"/>
          <w:highlight w:val="none"/>
          <w:u w:val="single"/>
        </w:rPr>
      </w:pPr>
      <w:r>
        <w:rPr>
          <w:rFonts w:hint="eastAsia" w:hAnsi="宋体" w:cs="宋体"/>
          <w:color w:val="auto"/>
          <w:sz w:val="21"/>
          <w:highlight w:val="none"/>
        </w:rPr>
        <w:t>8.与本磋商有关的一切正式往来信函请寄：邮政编号：</w:t>
      </w:r>
    </w:p>
    <w:p w14:paraId="7211CBEC">
      <w:pPr>
        <w:pStyle w:val="16"/>
        <w:spacing w:line="400" w:lineRule="exact"/>
        <w:ind w:firstLine="420" w:firstLineChars="200"/>
        <w:contextualSpacing/>
        <w:rPr>
          <w:rFonts w:hAnsi="宋体" w:cs="宋体"/>
          <w:color w:val="auto"/>
          <w:sz w:val="21"/>
          <w:highlight w:val="none"/>
        </w:rPr>
      </w:pPr>
      <w:r>
        <w:rPr>
          <w:rFonts w:hint="eastAsia" w:hAnsi="宋体" w:cs="宋体"/>
          <w:color w:val="auto"/>
          <w:sz w:val="21"/>
          <w:highlight w:val="none"/>
        </w:rPr>
        <w:t>电话/传真： 电子函件：</w:t>
      </w:r>
    </w:p>
    <w:p w14:paraId="20019CD3">
      <w:pPr>
        <w:pStyle w:val="14"/>
        <w:tabs>
          <w:tab w:val="left" w:pos="939"/>
        </w:tabs>
        <w:spacing w:line="400" w:lineRule="exact"/>
        <w:ind w:left="141" w:leftChars="67" w:firstLine="315" w:firstLineChars="150"/>
        <w:rPr>
          <w:rFonts w:ascii="宋体" w:hAnsi="宋体" w:cs="宋体"/>
          <w:color w:val="auto"/>
          <w:szCs w:val="21"/>
          <w:highlight w:val="none"/>
        </w:rPr>
      </w:pPr>
      <w:r>
        <w:rPr>
          <w:rFonts w:hint="eastAsia" w:ascii="宋体" w:hAnsi="宋体" w:cs="宋体"/>
          <w:color w:val="auto"/>
          <w:szCs w:val="21"/>
          <w:highlight w:val="none"/>
        </w:rPr>
        <w:t>开户银行：  账号：</w:t>
      </w:r>
    </w:p>
    <w:p w14:paraId="48F575C1">
      <w:pPr>
        <w:pStyle w:val="14"/>
        <w:tabs>
          <w:tab w:val="left" w:pos="939"/>
        </w:tabs>
        <w:spacing w:line="400" w:lineRule="exact"/>
        <w:ind w:left="0" w:leftChars="0" w:firstLine="420" w:firstLineChars="200"/>
        <w:rPr>
          <w:rFonts w:ascii="宋体" w:hAnsi="宋体" w:cs="宋体"/>
          <w:color w:val="auto"/>
          <w:szCs w:val="21"/>
          <w:highlight w:val="none"/>
        </w:rPr>
      </w:pPr>
      <w:r>
        <w:rPr>
          <w:rFonts w:hint="eastAsia" w:ascii="宋体" w:hAnsi="宋体" w:cs="宋体"/>
          <w:color w:val="auto"/>
          <w:szCs w:val="21"/>
          <w:highlight w:val="none"/>
        </w:rPr>
        <w:t>9.以上事项如有虚假或者隐瞒，我方愿意承担一切后果，并不再寻求任何旨在减轻或者免除法律责任的辩解。</w:t>
      </w:r>
    </w:p>
    <w:p w14:paraId="2270218E">
      <w:pPr>
        <w:pStyle w:val="14"/>
        <w:tabs>
          <w:tab w:val="left" w:pos="939"/>
        </w:tabs>
        <w:spacing w:line="400" w:lineRule="exact"/>
        <w:ind w:left="141" w:leftChars="67" w:firstLine="315" w:firstLineChars="150"/>
        <w:rPr>
          <w:rFonts w:ascii="宋体" w:hAnsi="宋体" w:cs="宋体"/>
          <w:color w:val="auto"/>
          <w:szCs w:val="21"/>
          <w:highlight w:val="none"/>
        </w:rPr>
      </w:pPr>
      <w:r>
        <w:rPr>
          <w:rFonts w:hint="eastAsia" w:ascii="宋体" w:hAnsi="宋体" w:cs="宋体"/>
          <w:color w:val="auto"/>
          <w:szCs w:val="21"/>
          <w:highlight w:val="none"/>
        </w:rPr>
        <w:t>特此承诺。</w:t>
      </w:r>
    </w:p>
    <w:p w14:paraId="43F5C36C">
      <w:pPr>
        <w:pStyle w:val="14"/>
        <w:tabs>
          <w:tab w:val="left" w:pos="939"/>
        </w:tabs>
        <w:spacing w:line="400" w:lineRule="exact"/>
        <w:ind w:left="0" w:leftChars="0"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注：如为联合体竞标，盖章处须加盖联合体各方公章并由联合体各方法定代表人签署，否则其响应文件按无效响应处理。</w:t>
      </w:r>
    </w:p>
    <w:p w14:paraId="26A270B4">
      <w:pPr>
        <w:spacing w:line="400" w:lineRule="exact"/>
        <w:ind w:firstLine="1890" w:firstLineChars="900"/>
        <w:rPr>
          <w:rFonts w:ascii="宋体" w:hAnsi="宋体" w:cs="宋体"/>
          <w:color w:val="auto"/>
          <w:szCs w:val="21"/>
          <w:highlight w:val="none"/>
        </w:rPr>
      </w:pPr>
    </w:p>
    <w:p w14:paraId="48F668FE">
      <w:pPr>
        <w:spacing w:line="400" w:lineRule="exact"/>
        <w:ind w:firstLine="1890" w:firstLineChars="900"/>
        <w:rPr>
          <w:rFonts w:ascii="宋体" w:hAnsi="宋体" w:cs="宋体"/>
          <w:color w:val="auto"/>
          <w:szCs w:val="21"/>
          <w:highlight w:val="none"/>
        </w:rPr>
      </w:pPr>
    </w:p>
    <w:p w14:paraId="27263650">
      <w:pPr>
        <w:spacing w:line="400" w:lineRule="exact"/>
        <w:ind w:firstLine="1890" w:firstLineChars="900"/>
        <w:rPr>
          <w:rFonts w:ascii="宋体" w:hAnsi="宋体" w:cs="宋体"/>
          <w:color w:val="auto"/>
          <w:szCs w:val="21"/>
          <w:highlight w:val="none"/>
        </w:rPr>
      </w:pPr>
      <w:r>
        <w:rPr>
          <w:rFonts w:hint="eastAsia" w:ascii="宋体" w:hAnsi="宋体" w:cs="宋体"/>
          <w:color w:val="auto"/>
          <w:szCs w:val="21"/>
          <w:highlight w:val="none"/>
        </w:rPr>
        <w:t>法定代表人（签字或电子签名）：</w:t>
      </w:r>
    </w:p>
    <w:p w14:paraId="68811841">
      <w:pPr>
        <w:spacing w:line="400" w:lineRule="exact"/>
        <w:ind w:firstLine="630" w:firstLineChars="300"/>
        <w:rPr>
          <w:rFonts w:ascii="宋体" w:hAnsi="宋体" w:cs="宋体"/>
          <w:color w:val="auto"/>
          <w:szCs w:val="21"/>
          <w:highlight w:val="none"/>
          <w:u w:val="single"/>
        </w:rPr>
      </w:pPr>
      <w:r>
        <w:rPr>
          <w:rFonts w:hint="eastAsia" w:ascii="宋体" w:hAnsi="宋体" w:cs="宋体"/>
          <w:color w:val="auto"/>
          <w:szCs w:val="21"/>
          <w:highlight w:val="none"/>
        </w:rPr>
        <w:t>供应商（</w:t>
      </w:r>
      <w:r>
        <w:rPr>
          <w:rFonts w:hint="eastAsia" w:ascii="宋体" w:hAnsi="宋体" w:cs="宋体"/>
          <w:color w:val="auto"/>
          <w:highlight w:val="none"/>
        </w:rPr>
        <w:t>公章或电子签章</w:t>
      </w:r>
      <w:r>
        <w:rPr>
          <w:rFonts w:hint="eastAsia" w:ascii="宋体" w:hAnsi="宋体" w:cs="宋体"/>
          <w:color w:val="auto"/>
          <w:szCs w:val="21"/>
          <w:highlight w:val="none"/>
        </w:rPr>
        <w:t>）：</w:t>
      </w:r>
    </w:p>
    <w:p w14:paraId="55AF046B">
      <w:pPr>
        <w:snapToGrid w:val="0"/>
        <w:spacing w:beforeLines="50" w:after="50" w:line="400" w:lineRule="exact"/>
        <w:ind w:right="480" w:firstLine="210" w:firstLineChars="100"/>
        <w:jc w:val="center"/>
        <w:rPr>
          <w:rFonts w:ascii="宋体" w:hAnsi="宋体" w:cs="宋体"/>
          <w:color w:val="auto"/>
          <w:szCs w:val="21"/>
          <w:highlight w:val="none"/>
        </w:rPr>
      </w:pPr>
      <w:r>
        <w:rPr>
          <w:rFonts w:hint="eastAsia" w:ascii="宋体" w:hAnsi="宋体" w:cs="宋体"/>
          <w:color w:val="auto"/>
          <w:szCs w:val="21"/>
          <w:highlight w:val="none"/>
        </w:rPr>
        <w:t xml:space="preserve">                                                   年    月    日</w:t>
      </w:r>
    </w:p>
    <w:p w14:paraId="7D905CBE">
      <w:pPr>
        <w:spacing w:line="400" w:lineRule="exact"/>
        <w:rPr>
          <w:rFonts w:ascii="宋体" w:hAnsi="宋体" w:cs="宋体"/>
          <w:color w:val="auto"/>
          <w:szCs w:val="21"/>
          <w:highlight w:val="none"/>
        </w:rPr>
      </w:pPr>
    </w:p>
    <w:p w14:paraId="7F84DE6B">
      <w:pPr>
        <w:snapToGrid w:val="0"/>
        <w:spacing w:beforeLines="50" w:after="50" w:line="400" w:lineRule="exact"/>
        <w:ind w:right="480" w:firstLine="210" w:firstLineChars="100"/>
        <w:jc w:val="center"/>
        <w:rPr>
          <w:rFonts w:ascii="宋体" w:hAnsi="宋体" w:cs="宋体"/>
          <w:color w:val="auto"/>
          <w:szCs w:val="21"/>
          <w:highlight w:val="none"/>
        </w:rPr>
      </w:pPr>
    </w:p>
    <w:p w14:paraId="5FBFD7B5">
      <w:pPr>
        <w:widowControl/>
        <w:jc w:val="left"/>
        <w:rPr>
          <w:rFonts w:ascii="宋体" w:hAnsi="宋体" w:cs="宋体"/>
          <w:b/>
          <w:bCs/>
          <w:color w:val="auto"/>
          <w:kern w:val="0"/>
          <w:szCs w:val="21"/>
          <w:highlight w:val="none"/>
        </w:rPr>
      </w:pPr>
      <w:r>
        <w:rPr>
          <w:rFonts w:hint="eastAsia" w:ascii="宋体" w:hAnsi="宋体" w:cs="宋体"/>
          <w:color w:val="auto"/>
          <w:szCs w:val="21"/>
          <w:highlight w:val="none"/>
        </w:rPr>
        <w:br w:type="page"/>
      </w:r>
    </w:p>
    <w:p w14:paraId="1F3866BC">
      <w:pPr>
        <w:pStyle w:val="7"/>
        <w:overflowPunct w:val="0"/>
        <w:spacing w:line="360" w:lineRule="auto"/>
        <w:ind w:firstLine="562" w:firstLineChars="175"/>
        <w:jc w:val="center"/>
        <w:outlineLvl w:val="2"/>
        <w:rPr>
          <w:rFonts w:ascii="宋体" w:hAnsi="宋体" w:cs="宋体"/>
          <w:b/>
          <w:color w:val="auto"/>
          <w:sz w:val="32"/>
          <w:szCs w:val="32"/>
          <w:highlight w:val="none"/>
        </w:rPr>
      </w:pPr>
      <w:bookmarkStart w:id="130" w:name="_Toc2373"/>
      <w:bookmarkStart w:id="131" w:name="_Toc1113"/>
      <w:r>
        <w:rPr>
          <w:rFonts w:hint="eastAsia" w:ascii="宋体" w:hAnsi="宋体" w:cs="宋体"/>
          <w:b/>
          <w:bCs/>
          <w:color w:val="auto"/>
          <w:sz w:val="32"/>
          <w:szCs w:val="32"/>
          <w:highlight w:val="none"/>
        </w:rPr>
        <w:t>二、商务技术文件格式</w:t>
      </w:r>
      <w:bookmarkEnd w:id="130"/>
      <w:bookmarkEnd w:id="131"/>
    </w:p>
    <w:p w14:paraId="6D104B57">
      <w:pPr>
        <w:snapToGrid w:val="0"/>
        <w:spacing w:beforeLines="50" w:after="50" w:line="360" w:lineRule="auto"/>
        <w:jc w:val="left"/>
        <w:rPr>
          <w:rFonts w:ascii="宋体" w:hAnsi="宋体" w:cs="宋体"/>
          <w:b/>
          <w:color w:val="auto"/>
          <w:sz w:val="32"/>
          <w:szCs w:val="32"/>
          <w:highlight w:val="none"/>
        </w:rPr>
      </w:pPr>
      <w:r>
        <w:rPr>
          <w:rFonts w:hint="eastAsia" w:ascii="宋体" w:hAnsi="宋体" w:cs="宋体"/>
          <w:b/>
          <w:color w:val="auto"/>
          <w:sz w:val="32"/>
          <w:szCs w:val="32"/>
          <w:highlight w:val="none"/>
        </w:rPr>
        <w:t>商务技术文件封面格式</w:t>
      </w:r>
    </w:p>
    <w:p w14:paraId="12C4D419">
      <w:pPr>
        <w:snapToGrid w:val="0"/>
        <w:spacing w:beforeLines="50" w:after="50"/>
        <w:jc w:val="right"/>
        <w:rPr>
          <w:rFonts w:ascii="宋体" w:hAnsi="宋体" w:cs="宋体"/>
          <w:bCs/>
          <w:color w:val="auto"/>
          <w:sz w:val="32"/>
          <w:szCs w:val="20"/>
          <w:highlight w:val="none"/>
        </w:rPr>
      </w:pPr>
      <w:r>
        <w:rPr>
          <w:rFonts w:hint="eastAsia" w:ascii="宋体" w:hAnsi="宋体" w:cs="宋体"/>
          <w:bCs/>
          <w:color w:val="auto"/>
          <w:highlight w:val="none"/>
        </w:rPr>
        <w:t>全流程电子文件</w:t>
      </w:r>
    </w:p>
    <w:p w14:paraId="2C65C70B">
      <w:pPr>
        <w:snapToGrid w:val="0"/>
        <w:spacing w:beforeLines="50" w:after="50"/>
        <w:rPr>
          <w:rFonts w:ascii="宋体" w:hAnsi="宋体" w:cs="宋体"/>
          <w:color w:val="auto"/>
          <w:sz w:val="24"/>
          <w:szCs w:val="20"/>
          <w:highlight w:val="none"/>
        </w:rPr>
      </w:pPr>
    </w:p>
    <w:p w14:paraId="5546FB30">
      <w:pPr>
        <w:snapToGrid w:val="0"/>
        <w:spacing w:beforeLines="50" w:after="50"/>
        <w:rPr>
          <w:rFonts w:ascii="宋体" w:hAnsi="宋体" w:cs="宋体"/>
          <w:color w:val="auto"/>
          <w:sz w:val="24"/>
          <w:szCs w:val="20"/>
          <w:highlight w:val="none"/>
        </w:rPr>
      </w:pPr>
    </w:p>
    <w:p w14:paraId="25CB6EFE">
      <w:pPr>
        <w:snapToGrid w:val="0"/>
        <w:spacing w:beforeLines="50" w:after="50"/>
        <w:rPr>
          <w:rFonts w:ascii="宋体" w:hAnsi="宋体" w:cs="宋体"/>
          <w:color w:val="auto"/>
          <w:sz w:val="24"/>
          <w:szCs w:val="20"/>
          <w:highlight w:val="none"/>
        </w:rPr>
      </w:pPr>
    </w:p>
    <w:p w14:paraId="50D33E45">
      <w:pPr>
        <w:snapToGrid w:val="0"/>
        <w:spacing w:beforeLines="50" w:after="50"/>
        <w:jc w:val="center"/>
        <w:rPr>
          <w:rFonts w:ascii="宋体" w:hAnsi="宋体" w:cs="宋体"/>
          <w:bCs/>
          <w:color w:val="auto"/>
          <w:sz w:val="44"/>
          <w:szCs w:val="44"/>
          <w:highlight w:val="none"/>
        </w:rPr>
      </w:pPr>
      <w:r>
        <w:rPr>
          <w:rFonts w:hint="eastAsia" w:ascii="宋体" w:hAnsi="宋体" w:cs="宋体"/>
          <w:bCs/>
          <w:color w:val="auto"/>
          <w:sz w:val="44"/>
          <w:szCs w:val="44"/>
          <w:highlight w:val="none"/>
        </w:rPr>
        <w:t xml:space="preserve">  商  务  技  术  文  件</w:t>
      </w:r>
    </w:p>
    <w:p w14:paraId="0B815D2B">
      <w:pPr>
        <w:snapToGrid w:val="0"/>
        <w:spacing w:beforeLines="50" w:after="50"/>
        <w:rPr>
          <w:rFonts w:ascii="宋体" w:hAnsi="宋体" w:cs="宋体"/>
          <w:bCs/>
          <w:color w:val="auto"/>
          <w:sz w:val="24"/>
          <w:szCs w:val="20"/>
          <w:highlight w:val="none"/>
        </w:rPr>
      </w:pPr>
    </w:p>
    <w:p w14:paraId="4A5C8603">
      <w:pPr>
        <w:snapToGrid w:val="0"/>
        <w:spacing w:beforeLines="50" w:after="50"/>
        <w:rPr>
          <w:rFonts w:ascii="宋体" w:hAnsi="宋体" w:cs="宋体"/>
          <w:bCs/>
          <w:color w:val="auto"/>
          <w:sz w:val="24"/>
          <w:szCs w:val="20"/>
          <w:highlight w:val="none"/>
        </w:rPr>
      </w:pPr>
    </w:p>
    <w:p w14:paraId="607ABD7F">
      <w:pPr>
        <w:snapToGrid w:val="0"/>
        <w:spacing w:beforeLines="50" w:after="50"/>
        <w:rPr>
          <w:rFonts w:ascii="宋体" w:hAnsi="宋体" w:cs="宋体"/>
          <w:bCs/>
          <w:color w:val="auto"/>
          <w:sz w:val="24"/>
          <w:szCs w:val="20"/>
          <w:highlight w:val="none"/>
        </w:rPr>
      </w:pPr>
    </w:p>
    <w:p w14:paraId="2644C078">
      <w:pPr>
        <w:snapToGrid w:val="0"/>
        <w:spacing w:beforeLines="50" w:after="50"/>
        <w:rPr>
          <w:rFonts w:ascii="宋体" w:hAnsi="宋体" w:cs="宋体"/>
          <w:bCs/>
          <w:color w:val="auto"/>
          <w:sz w:val="24"/>
          <w:szCs w:val="20"/>
          <w:highlight w:val="none"/>
        </w:rPr>
      </w:pPr>
    </w:p>
    <w:p w14:paraId="20C35F3D">
      <w:pPr>
        <w:snapToGrid w:val="0"/>
        <w:spacing w:beforeLines="50" w:after="50"/>
        <w:rPr>
          <w:rFonts w:ascii="宋体" w:hAnsi="宋体" w:cs="宋体"/>
          <w:bCs/>
          <w:color w:val="auto"/>
          <w:sz w:val="24"/>
          <w:szCs w:val="20"/>
          <w:highlight w:val="none"/>
        </w:rPr>
      </w:pPr>
    </w:p>
    <w:p w14:paraId="2ABA0533">
      <w:pPr>
        <w:snapToGrid w:val="0"/>
        <w:spacing w:beforeLines="250" w:afterLines="2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3F22D1E8">
      <w:pPr>
        <w:snapToGrid w:val="0"/>
        <w:spacing w:beforeLines="250" w:afterLines="2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 xml:space="preserve">项目编号： </w:t>
      </w:r>
    </w:p>
    <w:p w14:paraId="2D1A708F">
      <w:pPr>
        <w:pStyle w:val="7"/>
        <w:snapToGrid w:val="0"/>
        <w:spacing w:before="250" w:after="2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6968AF3E">
      <w:pPr>
        <w:pStyle w:val="7"/>
        <w:snapToGrid w:val="0"/>
        <w:spacing w:before="50" w:after="50"/>
        <w:ind w:firstLine="720" w:firstLineChars="225"/>
        <w:rPr>
          <w:rFonts w:ascii="宋体" w:hAnsi="宋体" w:cs="宋体"/>
          <w:bCs/>
          <w:color w:val="auto"/>
          <w:sz w:val="32"/>
          <w:szCs w:val="32"/>
          <w:highlight w:val="none"/>
        </w:rPr>
      </w:pPr>
    </w:p>
    <w:p w14:paraId="0E1B8E64">
      <w:pPr>
        <w:pStyle w:val="7"/>
        <w:snapToGrid w:val="0"/>
        <w:spacing w:before="50" w:after="50"/>
        <w:ind w:firstLine="720" w:firstLineChars="225"/>
        <w:rPr>
          <w:rFonts w:ascii="宋体" w:hAnsi="宋体" w:cs="宋体"/>
          <w:bCs/>
          <w:color w:val="auto"/>
          <w:sz w:val="32"/>
          <w:szCs w:val="32"/>
          <w:highlight w:val="none"/>
        </w:rPr>
      </w:pPr>
    </w:p>
    <w:p w14:paraId="66F3F3D1">
      <w:pPr>
        <w:pStyle w:val="7"/>
        <w:snapToGrid w:val="0"/>
        <w:spacing w:before="50" w:after="50"/>
        <w:ind w:firstLine="1280" w:firstLineChars="400"/>
        <w:rPr>
          <w:rFonts w:ascii="宋体" w:hAnsi="宋体" w:cs="宋体"/>
          <w:bCs/>
          <w:color w:val="auto"/>
          <w:sz w:val="32"/>
          <w:szCs w:val="32"/>
          <w:highlight w:val="none"/>
        </w:rPr>
      </w:pPr>
    </w:p>
    <w:p w14:paraId="73E4E781">
      <w:pPr>
        <w:snapToGrid w:val="0"/>
        <w:spacing w:beforeLines="50" w:after="50"/>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0172EA52">
      <w:pPr>
        <w:snapToGrid w:val="0"/>
        <w:spacing w:beforeLines="50" w:after="50" w:line="400" w:lineRule="exact"/>
        <w:ind w:left="142"/>
        <w:jc w:val="left"/>
        <w:rPr>
          <w:rFonts w:ascii="宋体" w:hAnsi="宋体" w:cs="宋体"/>
          <w:b/>
          <w:bCs/>
          <w:color w:val="auto"/>
          <w:szCs w:val="21"/>
          <w:highlight w:val="none"/>
        </w:rPr>
      </w:pPr>
      <w:r>
        <w:rPr>
          <w:rFonts w:hint="eastAsia" w:ascii="宋体" w:hAnsi="宋体" w:cs="宋体"/>
          <w:color w:val="auto"/>
          <w:sz w:val="24"/>
          <w:highlight w:val="none"/>
        </w:rPr>
        <w:br w:type="page"/>
      </w:r>
      <w:r>
        <w:rPr>
          <w:rFonts w:hint="eastAsia" w:ascii="宋体" w:hAnsi="宋体" w:cs="宋体"/>
          <w:b/>
          <w:bCs/>
          <w:color w:val="auto"/>
          <w:szCs w:val="21"/>
          <w:highlight w:val="none"/>
        </w:rPr>
        <w:t>2.商务技术文件目录</w:t>
      </w:r>
    </w:p>
    <w:p w14:paraId="657406C6">
      <w:pPr>
        <w:snapToGrid w:val="0"/>
        <w:spacing w:beforeLines="50" w:after="50"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根据磋商文件规定及供应商提供的材料自行编写目录（部分格式后附）。</w:t>
      </w:r>
    </w:p>
    <w:p w14:paraId="25F0BF90">
      <w:pPr>
        <w:spacing w:beforeLines="100" w:afterLines="100" w:line="400" w:lineRule="exact"/>
        <w:jc w:val="center"/>
        <w:rPr>
          <w:rFonts w:ascii="宋体" w:hAnsi="宋体" w:cs="宋体"/>
          <w:color w:val="auto"/>
          <w:szCs w:val="21"/>
          <w:highlight w:val="none"/>
        </w:rPr>
      </w:pPr>
      <w:r>
        <w:rPr>
          <w:rFonts w:hint="eastAsia" w:ascii="宋体" w:hAnsi="宋体" w:cs="宋体"/>
          <w:color w:val="auto"/>
          <w:szCs w:val="21"/>
          <w:highlight w:val="none"/>
        </w:rPr>
        <w:br w:type="page"/>
      </w:r>
      <w:r>
        <w:rPr>
          <w:rFonts w:hint="eastAsia" w:ascii="宋体" w:hAnsi="宋体" w:cs="宋体"/>
          <w:b/>
          <w:bCs/>
          <w:color w:val="auto"/>
          <w:szCs w:val="21"/>
          <w:highlight w:val="none"/>
        </w:rPr>
        <w:t>一、商务部分</w:t>
      </w:r>
    </w:p>
    <w:p w14:paraId="2985112F">
      <w:pPr>
        <w:spacing w:beforeLines="100" w:afterLines="100" w:line="400" w:lineRule="exact"/>
        <w:rPr>
          <w:rFonts w:ascii="宋体" w:hAnsi="宋体" w:cs="宋体"/>
          <w:b/>
          <w:color w:val="auto"/>
          <w:szCs w:val="21"/>
          <w:highlight w:val="none"/>
        </w:rPr>
      </w:pPr>
      <w:r>
        <w:rPr>
          <w:rFonts w:hint="eastAsia" w:ascii="宋体" w:hAnsi="宋体" w:cs="宋体"/>
          <w:b/>
          <w:color w:val="auto"/>
          <w:szCs w:val="21"/>
          <w:highlight w:val="none"/>
        </w:rPr>
        <w:t>1.无串通竞标行为的承诺函</w:t>
      </w:r>
    </w:p>
    <w:p w14:paraId="330F021C">
      <w:pPr>
        <w:spacing w:beforeLines="100" w:afterLines="100" w:line="400" w:lineRule="exact"/>
        <w:jc w:val="center"/>
        <w:rPr>
          <w:rFonts w:ascii="宋体" w:hAnsi="宋体" w:cs="宋体"/>
          <w:color w:val="auto"/>
          <w:szCs w:val="21"/>
          <w:highlight w:val="none"/>
        </w:rPr>
      </w:pPr>
      <w:r>
        <w:rPr>
          <w:rFonts w:hint="eastAsia" w:ascii="宋体" w:hAnsi="宋体" w:cs="宋体"/>
          <w:b/>
          <w:color w:val="auto"/>
          <w:szCs w:val="21"/>
          <w:highlight w:val="none"/>
        </w:rPr>
        <w:t>无串通竞标行为的承诺函</w:t>
      </w:r>
    </w:p>
    <w:p w14:paraId="27BE4B98">
      <w:pPr>
        <w:spacing w:line="40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一、我方承诺无下列相互串通竞标的情形：</w:t>
      </w:r>
    </w:p>
    <w:p w14:paraId="5B89DF37">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 不同供应商的响应文件由同一单位或者个人编制；或者不同供应商报名的IP地址一致的；或者编制标书硬件设备CPU编号、硬盘编号、网卡地址一致的情况；</w:t>
      </w:r>
    </w:p>
    <w:p w14:paraId="70E3617F">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2DAEE0ED">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3.不同供应商的响应文件载明的项目管理员为同一个人；</w:t>
      </w:r>
    </w:p>
    <w:p w14:paraId="7ABCC462">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4.不</w:t>
      </w:r>
      <w:r>
        <w:rPr>
          <w:rFonts w:hint="eastAsia" w:ascii="宋体" w:hAnsi="宋体" w:cs="宋体"/>
          <w:color w:val="auto"/>
          <w:spacing w:val="-6"/>
          <w:szCs w:val="21"/>
          <w:highlight w:val="none"/>
        </w:rPr>
        <w:t>同供应商的响应文件异常一致或者竞标报价呈规律性差异；</w:t>
      </w:r>
    </w:p>
    <w:p w14:paraId="4A2F0D8F">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40E16C34">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p>
    <w:p w14:paraId="6DE2057F">
      <w:pPr>
        <w:spacing w:line="40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二、我方承诺无下列恶意串通的情形：</w:t>
      </w:r>
    </w:p>
    <w:p w14:paraId="729B0CAA">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4F638D14">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2B6FA8A0">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3.供</w:t>
      </w:r>
      <w:r>
        <w:rPr>
          <w:rFonts w:hint="eastAsia" w:ascii="宋体" w:hAnsi="宋体" w:cs="宋体"/>
          <w:color w:val="auto"/>
          <w:spacing w:val="-6"/>
          <w:szCs w:val="21"/>
          <w:highlight w:val="none"/>
        </w:rPr>
        <w:t>应商之间协商报价、技术方案等响应文件的实质性内容；</w:t>
      </w:r>
    </w:p>
    <w:p w14:paraId="1B62822E">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38AD3C89">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5.供应商之间事先约定一致抬高或者压低竞标报价，或者在竞争性磋商项目中事先约定轮流以高价位或者低价位成交，或者事先约定由某一特定供应商成交，然后再参加竞标；</w:t>
      </w:r>
    </w:p>
    <w:p w14:paraId="08359949">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7448CFDF">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w:t>
      </w:r>
      <w:r>
        <w:rPr>
          <w:rFonts w:hint="eastAsia" w:ascii="宋体" w:hAnsi="宋体" w:cs="宋体"/>
          <w:color w:val="auto"/>
          <w:spacing w:val="-6"/>
          <w:szCs w:val="21"/>
          <w:highlight w:val="none"/>
        </w:rPr>
        <w:t>谋求特定供应商成交或者排斥其他供应商的其他串通行为。</w:t>
      </w:r>
    </w:p>
    <w:p w14:paraId="09D11B83">
      <w:pPr>
        <w:spacing w:line="40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以上情形一经核查属实，我方愿意承担一切后果，并不再寻求任何旨在减轻或者免除法律责任的辩解。</w:t>
      </w:r>
    </w:p>
    <w:p w14:paraId="37BD62EA">
      <w:pPr>
        <w:spacing w:line="400" w:lineRule="exact"/>
        <w:rPr>
          <w:rFonts w:ascii="宋体" w:hAnsi="宋体" w:cs="宋体"/>
          <w:color w:val="auto"/>
          <w:szCs w:val="21"/>
          <w:highlight w:val="none"/>
        </w:rPr>
      </w:pPr>
    </w:p>
    <w:p w14:paraId="6D62B3A0">
      <w:pPr>
        <w:snapToGrid w:val="0"/>
        <w:spacing w:before="50" w:after="50" w:line="400" w:lineRule="exact"/>
        <w:ind w:right="-817" w:rightChars="-389" w:firstLine="2310" w:firstLineChars="1100"/>
        <w:rPr>
          <w:rFonts w:ascii="宋体" w:hAnsi="宋体" w:cs="宋体"/>
          <w:color w:val="auto"/>
          <w:szCs w:val="21"/>
          <w:highlight w:val="none"/>
        </w:rPr>
      </w:pPr>
      <w:r>
        <w:rPr>
          <w:rFonts w:hint="eastAsia" w:ascii="宋体" w:hAnsi="宋体" w:cs="宋体"/>
          <w:color w:val="auto"/>
          <w:szCs w:val="21"/>
          <w:highlight w:val="none"/>
        </w:rPr>
        <w:t>法定代表人或者委托代理人（签字或电子签名）：</w:t>
      </w:r>
    </w:p>
    <w:p w14:paraId="2AA673B8">
      <w:pPr>
        <w:snapToGrid w:val="0"/>
        <w:spacing w:before="50" w:after="50" w:line="400" w:lineRule="exact"/>
        <w:ind w:right="-817" w:rightChars="-389" w:firstLine="2310" w:firstLineChars="1100"/>
        <w:rPr>
          <w:rFonts w:ascii="宋体" w:hAnsi="宋体" w:cs="宋体"/>
          <w:color w:val="auto"/>
          <w:szCs w:val="21"/>
          <w:highlight w:val="none"/>
        </w:rPr>
      </w:pPr>
      <w:r>
        <w:rPr>
          <w:rFonts w:hint="eastAsia" w:ascii="宋体" w:hAnsi="宋体" w:cs="宋体"/>
          <w:color w:val="auto"/>
          <w:szCs w:val="21"/>
          <w:highlight w:val="none"/>
        </w:rPr>
        <w:t>供应商（公章或电子签章）：</w:t>
      </w:r>
    </w:p>
    <w:p w14:paraId="4AEABCAC">
      <w:pPr>
        <w:snapToGrid w:val="0"/>
        <w:spacing w:beforeLines="50" w:after="50" w:line="400" w:lineRule="exact"/>
        <w:ind w:right="480" w:firstLine="4620" w:firstLineChars="2200"/>
        <w:rPr>
          <w:rFonts w:ascii="宋体" w:hAnsi="宋体" w:cs="宋体"/>
          <w:color w:val="auto"/>
          <w:szCs w:val="21"/>
          <w:highlight w:val="none"/>
        </w:rPr>
      </w:pPr>
      <w:r>
        <w:rPr>
          <w:rFonts w:hint="eastAsia" w:ascii="宋体" w:hAnsi="宋体" w:cs="宋体"/>
          <w:color w:val="auto"/>
          <w:szCs w:val="21"/>
          <w:highlight w:val="none"/>
        </w:rPr>
        <w:t>年    月    日</w:t>
      </w:r>
    </w:p>
    <w:p w14:paraId="6831E340">
      <w:pPr>
        <w:spacing w:beforeLines="100" w:afterLines="100" w:line="400" w:lineRule="exact"/>
        <w:rPr>
          <w:rFonts w:ascii="宋体" w:hAnsi="宋体" w:cs="宋体"/>
          <w:bCs/>
          <w:color w:val="auto"/>
          <w:szCs w:val="21"/>
          <w:highlight w:val="none"/>
        </w:rPr>
      </w:pPr>
      <w:r>
        <w:rPr>
          <w:rFonts w:hint="eastAsia" w:ascii="宋体" w:hAnsi="宋体" w:cs="宋体"/>
          <w:bCs/>
          <w:color w:val="auto"/>
          <w:szCs w:val="21"/>
          <w:highlight w:val="none"/>
        </w:rPr>
        <w:br w:type="page"/>
      </w:r>
      <w:r>
        <w:rPr>
          <w:rFonts w:hint="eastAsia" w:ascii="宋体" w:hAnsi="宋体" w:cs="宋体"/>
          <w:b/>
          <w:color w:val="auto"/>
          <w:szCs w:val="21"/>
          <w:highlight w:val="none"/>
        </w:rPr>
        <w:t>2.法定代表人证明书</w:t>
      </w:r>
    </w:p>
    <w:p w14:paraId="698534AF">
      <w:pPr>
        <w:snapToGrid w:val="0"/>
        <w:spacing w:before="50" w:after="50" w:line="400" w:lineRule="exact"/>
        <w:ind w:right="-817" w:rightChars="-389"/>
        <w:jc w:val="center"/>
        <w:rPr>
          <w:rFonts w:ascii="宋体" w:hAnsi="宋体" w:cs="宋体"/>
          <w:color w:val="auto"/>
          <w:szCs w:val="21"/>
          <w:highlight w:val="none"/>
        </w:rPr>
      </w:pPr>
      <w:r>
        <w:rPr>
          <w:rFonts w:hint="eastAsia" w:ascii="宋体" w:hAnsi="宋体" w:cs="宋体"/>
          <w:b/>
          <w:color w:val="auto"/>
          <w:szCs w:val="21"/>
          <w:highlight w:val="none"/>
        </w:rPr>
        <w:t>法定代表人证明书</w:t>
      </w:r>
    </w:p>
    <w:p w14:paraId="0345C17E">
      <w:pPr>
        <w:spacing w:line="400" w:lineRule="exact"/>
        <w:ind w:left="540"/>
        <w:rPr>
          <w:rFonts w:ascii="宋体" w:hAnsi="宋体" w:cs="宋体"/>
          <w:color w:val="auto"/>
          <w:szCs w:val="21"/>
          <w:highlight w:val="none"/>
        </w:rPr>
      </w:pPr>
      <w:r>
        <w:rPr>
          <w:rFonts w:hint="eastAsia" w:ascii="宋体" w:hAnsi="宋体" w:cs="宋体"/>
          <w:color w:val="auto"/>
          <w:szCs w:val="21"/>
          <w:highlight w:val="none"/>
        </w:rPr>
        <w:t>供应商名称：</w:t>
      </w:r>
    </w:p>
    <w:p w14:paraId="081B5F22">
      <w:pPr>
        <w:spacing w:line="400" w:lineRule="exact"/>
        <w:ind w:left="540"/>
        <w:rPr>
          <w:rFonts w:ascii="宋体" w:hAnsi="宋体" w:cs="宋体"/>
          <w:color w:val="auto"/>
          <w:szCs w:val="21"/>
          <w:highlight w:val="none"/>
        </w:rPr>
      </w:pPr>
      <w:r>
        <w:rPr>
          <w:rFonts w:hint="eastAsia" w:ascii="宋体" w:hAnsi="宋体" w:cs="宋体"/>
          <w:color w:val="auto"/>
          <w:szCs w:val="21"/>
          <w:highlight w:val="none"/>
        </w:rPr>
        <w:t>地    址：</w:t>
      </w:r>
    </w:p>
    <w:p w14:paraId="1D305D29">
      <w:pPr>
        <w:spacing w:line="400" w:lineRule="exact"/>
        <w:ind w:left="540"/>
        <w:rPr>
          <w:rFonts w:ascii="宋体" w:hAnsi="宋体" w:cs="宋体"/>
          <w:color w:val="auto"/>
          <w:szCs w:val="21"/>
          <w:highlight w:val="none"/>
        </w:rPr>
      </w:pPr>
      <w:r>
        <w:rPr>
          <w:rFonts w:hint="eastAsia" w:ascii="宋体" w:hAnsi="宋体" w:cs="宋体"/>
          <w:color w:val="auto"/>
          <w:szCs w:val="21"/>
          <w:highlight w:val="none"/>
        </w:rPr>
        <w:t>姓    名：性     别：</w:t>
      </w:r>
    </w:p>
    <w:p w14:paraId="67C113F1">
      <w:pPr>
        <w:spacing w:line="400" w:lineRule="exact"/>
        <w:ind w:left="540"/>
        <w:rPr>
          <w:rFonts w:ascii="宋体" w:hAnsi="宋体" w:cs="宋体"/>
          <w:color w:val="auto"/>
          <w:szCs w:val="21"/>
          <w:highlight w:val="none"/>
          <w:u w:val="single"/>
        </w:rPr>
      </w:pPr>
      <w:r>
        <w:rPr>
          <w:rFonts w:hint="eastAsia" w:ascii="宋体" w:hAnsi="宋体" w:cs="宋体"/>
          <w:color w:val="auto"/>
          <w:szCs w:val="21"/>
          <w:highlight w:val="none"/>
        </w:rPr>
        <w:t>年    龄：职     务：</w:t>
      </w:r>
    </w:p>
    <w:p w14:paraId="5114774D">
      <w:pPr>
        <w:spacing w:line="400" w:lineRule="exact"/>
        <w:ind w:left="540"/>
        <w:rPr>
          <w:rFonts w:ascii="宋体" w:hAnsi="宋体" w:cs="宋体"/>
          <w:color w:val="auto"/>
          <w:szCs w:val="21"/>
          <w:highlight w:val="none"/>
        </w:rPr>
      </w:pPr>
      <w:r>
        <w:rPr>
          <w:rFonts w:hint="eastAsia" w:ascii="宋体" w:hAnsi="宋体" w:cs="宋体"/>
          <w:color w:val="auto"/>
          <w:szCs w:val="21"/>
          <w:highlight w:val="none"/>
        </w:rPr>
        <w:t>身份证号码：</w:t>
      </w:r>
    </w:p>
    <w:p w14:paraId="666AADE8">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系</w:t>
      </w:r>
      <w:r>
        <w:rPr>
          <w:rFonts w:hint="eastAsia" w:ascii="宋体" w:hAnsi="宋体" w:cs="宋体"/>
          <w:color w:val="auto"/>
          <w:szCs w:val="21"/>
          <w:highlight w:val="none"/>
          <w:u w:val="single"/>
        </w:rPr>
        <w:t>（供应商名称）</w:t>
      </w:r>
      <w:r>
        <w:rPr>
          <w:rFonts w:hint="eastAsia" w:ascii="宋体" w:hAnsi="宋体" w:cs="宋体"/>
          <w:color w:val="auto"/>
          <w:szCs w:val="21"/>
          <w:highlight w:val="none"/>
        </w:rPr>
        <w:t>的法定代表人。</w:t>
      </w:r>
    </w:p>
    <w:p w14:paraId="180B7754">
      <w:pPr>
        <w:spacing w:line="400" w:lineRule="exact"/>
        <w:ind w:left="540"/>
        <w:rPr>
          <w:rFonts w:ascii="宋体" w:hAnsi="宋体" w:cs="宋体"/>
          <w:color w:val="auto"/>
          <w:szCs w:val="21"/>
          <w:highlight w:val="none"/>
        </w:rPr>
      </w:pPr>
      <w:r>
        <w:rPr>
          <w:rFonts w:hint="eastAsia" w:ascii="宋体" w:hAnsi="宋体" w:cs="宋体"/>
          <w:color w:val="auto"/>
          <w:szCs w:val="21"/>
          <w:highlight w:val="none"/>
        </w:rPr>
        <w:t>特此证明。</w:t>
      </w:r>
    </w:p>
    <w:p w14:paraId="330F27E2">
      <w:pPr>
        <w:spacing w:line="400" w:lineRule="exact"/>
        <w:ind w:left="540"/>
        <w:rPr>
          <w:rFonts w:ascii="宋体" w:hAnsi="宋体" w:cs="宋体"/>
          <w:color w:val="auto"/>
          <w:szCs w:val="21"/>
          <w:highlight w:val="none"/>
        </w:rPr>
      </w:pPr>
      <w:r>
        <w:rPr>
          <w:rFonts w:hint="eastAsia" w:ascii="宋体" w:hAnsi="宋体" w:cs="宋体"/>
          <w:color w:val="auto"/>
          <w:szCs w:val="21"/>
          <w:highlight w:val="none"/>
        </w:rPr>
        <w:t>附件：法定代表人有效身份证正反面扫描件</w:t>
      </w:r>
    </w:p>
    <w:p w14:paraId="71814CD4">
      <w:pPr>
        <w:spacing w:line="400" w:lineRule="exact"/>
        <w:ind w:left="540"/>
        <w:rPr>
          <w:rFonts w:ascii="宋体" w:hAnsi="宋体" w:cs="宋体"/>
          <w:color w:val="auto"/>
          <w:szCs w:val="21"/>
          <w:highlight w:val="none"/>
        </w:rPr>
      </w:pPr>
    </w:p>
    <w:p w14:paraId="26CFEC12">
      <w:pPr>
        <w:spacing w:line="400" w:lineRule="exact"/>
        <w:ind w:left="540"/>
        <w:rPr>
          <w:rFonts w:ascii="宋体" w:hAnsi="宋体" w:cs="宋体"/>
          <w:color w:val="auto"/>
          <w:szCs w:val="21"/>
          <w:highlight w:val="none"/>
        </w:rPr>
      </w:pPr>
    </w:p>
    <w:p w14:paraId="05D4CDDD">
      <w:pPr>
        <w:spacing w:line="400" w:lineRule="exact"/>
        <w:ind w:left="540" w:right="420" w:firstLine="2415" w:firstLineChars="1150"/>
        <w:rPr>
          <w:rFonts w:ascii="宋体" w:hAnsi="宋体" w:cs="宋体"/>
          <w:color w:val="auto"/>
          <w:szCs w:val="21"/>
          <w:highlight w:val="none"/>
        </w:rPr>
      </w:pPr>
      <w:r>
        <w:rPr>
          <w:rFonts w:hint="eastAsia" w:ascii="宋体" w:hAnsi="宋体" w:cs="宋体"/>
          <w:color w:val="auto"/>
          <w:szCs w:val="21"/>
          <w:highlight w:val="none"/>
        </w:rPr>
        <w:t>供应商（公章或电子签章）：</w:t>
      </w:r>
    </w:p>
    <w:p w14:paraId="7E192345">
      <w:pPr>
        <w:snapToGrid w:val="0"/>
        <w:spacing w:beforeLines="50" w:after="50" w:line="400" w:lineRule="exact"/>
        <w:ind w:right="480" w:firstLine="4620" w:firstLineChars="2200"/>
        <w:rPr>
          <w:rFonts w:ascii="宋体" w:hAnsi="宋体" w:cs="宋体"/>
          <w:color w:val="auto"/>
          <w:szCs w:val="21"/>
          <w:highlight w:val="none"/>
        </w:rPr>
      </w:pPr>
      <w:r>
        <w:rPr>
          <w:rFonts w:hint="eastAsia" w:ascii="宋体" w:hAnsi="宋体" w:cs="宋体"/>
          <w:color w:val="auto"/>
          <w:szCs w:val="21"/>
          <w:highlight w:val="none"/>
        </w:rPr>
        <w:t>年    月    日</w:t>
      </w:r>
    </w:p>
    <w:p w14:paraId="2E4CCD6F">
      <w:pPr>
        <w:snapToGrid w:val="0"/>
        <w:spacing w:beforeLines="50" w:after="50" w:line="400" w:lineRule="exact"/>
        <w:jc w:val="left"/>
        <w:rPr>
          <w:rFonts w:ascii="宋体" w:hAnsi="宋体" w:cs="宋体"/>
          <w:color w:val="auto"/>
          <w:szCs w:val="21"/>
          <w:highlight w:val="none"/>
        </w:rPr>
      </w:pPr>
      <w:r>
        <w:rPr>
          <w:rFonts w:hint="eastAsia" w:ascii="宋体" w:hAnsi="宋体" w:cs="宋体"/>
          <w:color w:val="auto"/>
          <w:szCs w:val="21"/>
          <w:highlight w:val="none"/>
        </w:rPr>
        <w:t>注：</w:t>
      </w:r>
    </w:p>
    <w:p w14:paraId="0DAA5F05">
      <w:pPr>
        <w:snapToGrid w:val="0"/>
        <w:spacing w:line="400" w:lineRule="exact"/>
        <w:ind w:firstLine="422" w:firstLineChars="200"/>
        <w:jc w:val="left"/>
        <w:rPr>
          <w:rFonts w:ascii="宋体" w:hAnsi="宋体" w:cs="宋体"/>
          <w:b/>
          <w:bCs/>
          <w:color w:val="auto"/>
          <w:szCs w:val="21"/>
          <w:highlight w:val="none"/>
        </w:rPr>
      </w:pPr>
      <w:r>
        <w:rPr>
          <w:rFonts w:hint="eastAsia" w:ascii="宋体" w:hAnsi="宋体" w:cs="宋体"/>
          <w:b/>
          <w:bCs/>
          <w:color w:val="auto"/>
          <w:szCs w:val="21"/>
          <w:highlight w:val="none"/>
        </w:rPr>
        <w:t>1.自然人竞标的无需提供，联合体竞标的只需牵头人出具。</w:t>
      </w:r>
    </w:p>
    <w:p w14:paraId="64E85DA0">
      <w:pPr>
        <w:snapToGrid w:val="0"/>
        <w:spacing w:line="400" w:lineRule="exact"/>
        <w:ind w:firstLine="420" w:firstLineChars="200"/>
        <w:jc w:val="left"/>
        <w:rPr>
          <w:rFonts w:ascii="宋体" w:hAnsi="宋体" w:cs="宋体"/>
          <w:b/>
          <w:color w:val="auto"/>
          <w:szCs w:val="21"/>
          <w:highlight w:val="none"/>
        </w:rPr>
      </w:pPr>
      <w:r>
        <w:rPr>
          <w:rFonts w:hint="eastAsia" w:ascii="宋体" w:hAnsi="宋体" w:cs="宋体"/>
          <w:color w:val="auto"/>
          <w:szCs w:val="21"/>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2072EDDF">
      <w:pPr>
        <w:spacing w:beforeLines="100" w:afterLines="100" w:line="400" w:lineRule="exact"/>
        <w:rPr>
          <w:rFonts w:ascii="宋体" w:hAnsi="宋体" w:cs="宋体"/>
          <w:b/>
          <w:color w:val="auto"/>
          <w:szCs w:val="21"/>
          <w:highlight w:val="none"/>
        </w:rPr>
      </w:pPr>
      <w:r>
        <w:rPr>
          <w:rFonts w:hint="eastAsia" w:ascii="宋体" w:hAnsi="宋体" w:cs="宋体"/>
          <w:b/>
          <w:color w:val="auto"/>
          <w:szCs w:val="21"/>
          <w:highlight w:val="none"/>
        </w:rPr>
        <w:br w:type="page"/>
      </w:r>
      <w:r>
        <w:rPr>
          <w:rFonts w:hint="eastAsia" w:ascii="宋体" w:hAnsi="宋体" w:cs="宋体"/>
          <w:b/>
          <w:color w:val="auto"/>
          <w:szCs w:val="21"/>
          <w:highlight w:val="none"/>
        </w:rPr>
        <w:t>3.授权书（如有委托时）</w:t>
      </w:r>
    </w:p>
    <w:p w14:paraId="22880746">
      <w:pPr>
        <w:spacing w:beforeLines="100" w:afterLines="100" w:line="400" w:lineRule="exact"/>
        <w:jc w:val="center"/>
        <w:rPr>
          <w:rFonts w:ascii="宋体" w:hAnsi="宋体" w:cs="宋体"/>
          <w:b/>
          <w:color w:val="auto"/>
          <w:szCs w:val="21"/>
          <w:highlight w:val="none"/>
        </w:rPr>
      </w:pPr>
      <w:r>
        <w:rPr>
          <w:rFonts w:hint="eastAsia" w:ascii="宋体" w:hAnsi="宋体" w:cs="宋体"/>
          <w:b/>
          <w:color w:val="auto"/>
          <w:szCs w:val="21"/>
          <w:highlight w:val="none"/>
        </w:rPr>
        <w:t>法定代表人授权委托书</w:t>
      </w:r>
    </w:p>
    <w:p w14:paraId="523F7178">
      <w:pPr>
        <w:spacing w:line="400" w:lineRule="exact"/>
        <w:rPr>
          <w:rFonts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color w:val="auto"/>
          <w:szCs w:val="21"/>
          <w:highlight w:val="none"/>
          <w:u w:val="single"/>
        </w:rPr>
        <w:t>（采购人名称）</w:t>
      </w:r>
    </w:p>
    <w:p w14:paraId="7E0624D8">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我</w:t>
      </w:r>
      <w:r>
        <w:rPr>
          <w:rFonts w:hint="eastAsia" w:ascii="宋体" w:hAnsi="宋体" w:cs="宋体"/>
          <w:color w:val="auto"/>
          <w:szCs w:val="21"/>
          <w:highlight w:val="none"/>
          <w:u w:val="single"/>
        </w:rPr>
        <w:t xml:space="preserve">  （姓名）  </w:t>
      </w:r>
      <w:r>
        <w:rPr>
          <w:rFonts w:hint="eastAsia" w:ascii="宋体" w:hAnsi="宋体" w:cs="宋体"/>
          <w:color w:val="auto"/>
          <w:szCs w:val="21"/>
          <w:highlight w:val="none"/>
        </w:rPr>
        <w:t>系</w:t>
      </w:r>
      <w:r>
        <w:rPr>
          <w:rFonts w:hint="eastAsia" w:ascii="宋体" w:hAnsi="宋体" w:cs="宋体"/>
          <w:color w:val="auto"/>
          <w:szCs w:val="21"/>
          <w:highlight w:val="none"/>
          <w:u w:val="single"/>
        </w:rPr>
        <w:t xml:space="preserve">  （供应商名称）  </w:t>
      </w:r>
      <w:r>
        <w:rPr>
          <w:rFonts w:hint="eastAsia" w:ascii="宋体" w:hAnsi="宋体" w:cs="宋体"/>
          <w:color w:val="auto"/>
          <w:szCs w:val="21"/>
          <w:highlight w:val="none"/>
        </w:rPr>
        <w:t>的（</w:t>
      </w:r>
      <w:r>
        <w:rPr>
          <w:rFonts w:hint="eastAsia" w:ascii="宋体" w:hAnsi="宋体" w:cs="宋体"/>
          <w:color w:val="auto"/>
          <w:szCs w:val="21"/>
          <w:highlight w:val="none"/>
          <w:u w:val="single"/>
        </w:rPr>
        <w:sym w:font="Wingdings 2" w:char="00A3"/>
      </w:r>
      <w:r>
        <w:rPr>
          <w:rFonts w:hint="eastAsia" w:ascii="宋体" w:hAnsi="宋体" w:cs="宋体"/>
          <w:color w:val="auto"/>
          <w:szCs w:val="21"/>
          <w:highlight w:val="none"/>
          <w:u w:val="single"/>
        </w:rPr>
        <w:t>法定代表人/□负责人/□自然人本人</w:t>
      </w:r>
      <w:r>
        <w:rPr>
          <w:rFonts w:hint="eastAsia" w:ascii="宋体" w:hAnsi="宋体" w:cs="宋体"/>
          <w:color w:val="auto"/>
          <w:szCs w:val="21"/>
          <w:highlight w:val="none"/>
        </w:rPr>
        <w:t>），现授权</w:t>
      </w:r>
      <w:r>
        <w:rPr>
          <w:rFonts w:hint="eastAsia" w:ascii="宋体" w:hAnsi="宋体" w:cs="宋体"/>
          <w:color w:val="auto"/>
          <w:szCs w:val="21"/>
          <w:highlight w:val="none"/>
          <w:u w:val="single"/>
        </w:rPr>
        <w:t xml:space="preserve"> （姓名） </w:t>
      </w:r>
      <w:r>
        <w:rPr>
          <w:rFonts w:hint="eastAsia" w:ascii="宋体" w:hAnsi="宋体" w:cs="宋体"/>
          <w:color w:val="auto"/>
          <w:szCs w:val="21"/>
          <w:highlight w:val="none"/>
        </w:rPr>
        <w:t>以我方的名义参加项目的竞标活动，并代表我方全权办理针对上述项目的所有采购程序和环节的具体事务和签署相关文件。</w:t>
      </w:r>
    </w:p>
    <w:p w14:paraId="3C177492">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    我方对委托代理人的签字事项负全部责任。</w:t>
      </w:r>
    </w:p>
    <w:p w14:paraId="47DB34F2">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本授权书自签署之日起生效，在撤销授权的书面通知以前，本授权书一直有效。委托代理人在授权书有效期内签署的所有文件不因授权的撤销而失效。</w:t>
      </w:r>
    </w:p>
    <w:p w14:paraId="68D8D1F1">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委托代理人无转委托权，特此委托。</w:t>
      </w:r>
    </w:p>
    <w:p w14:paraId="217689B3">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附：法定代表人身份证明书及委托代理人有效身份证正反面扫描件</w:t>
      </w:r>
    </w:p>
    <w:p w14:paraId="6E4C64AB">
      <w:pPr>
        <w:spacing w:line="400" w:lineRule="exact"/>
        <w:rPr>
          <w:rFonts w:ascii="宋体" w:hAnsi="宋体" w:cs="宋体"/>
          <w:color w:val="auto"/>
          <w:szCs w:val="21"/>
          <w:highlight w:val="none"/>
        </w:rPr>
      </w:pPr>
    </w:p>
    <w:p w14:paraId="073A4039">
      <w:pPr>
        <w:spacing w:line="400" w:lineRule="exact"/>
        <w:rPr>
          <w:rFonts w:ascii="宋体" w:hAnsi="宋体" w:cs="宋体"/>
          <w:color w:val="auto"/>
          <w:szCs w:val="21"/>
          <w:highlight w:val="none"/>
        </w:rPr>
      </w:pPr>
      <w:r>
        <w:rPr>
          <w:rFonts w:hint="eastAsia" w:ascii="宋体" w:hAnsi="宋体" w:cs="宋体"/>
          <w:color w:val="auto"/>
          <w:szCs w:val="21"/>
          <w:highlight w:val="none"/>
        </w:rPr>
        <w:t>委托代理人（签字或电子签名）：</w:t>
      </w:r>
    </w:p>
    <w:p w14:paraId="0AFFD758">
      <w:pPr>
        <w:spacing w:line="400" w:lineRule="exact"/>
        <w:rPr>
          <w:rFonts w:ascii="宋体" w:hAnsi="宋体" w:cs="宋体"/>
          <w:color w:val="auto"/>
          <w:szCs w:val="21"/>
          <w:highlight w:val="none"/>
        </w:rPr>
      </w:pPr>
      <w:r>
        <w:rPr>
          <w:rFonts w:hint="eastAsia" w:ascii="宋体" w:hAnsi="宋体" w:cs="宋体"/>
          <w:color w:val="auto"/>
          <w:szCs w:val="21"/>
          <w:highlight w:val="none"/>
        </w:rPr>
        <w:t>法定代表人（签字或电子签名）：</w:t>
      </w:r>
    </w:p>
    <w:p w14:paraId="2BEE9CF1">
      <w:pPr>
        <w:spacing w:line="400" w:lineRule="exact"/>
        <w:rPr>
          <w:rFonts w:ascii="宋体" w:hAnsi="宋体" w:cs="宋体"/>
          <w:color w:val="auto"/>
          <w:szCs w:val="21"/>
          <w:highlight w:val="none"/>
        </w:rPr>
      </w:pPr>
      <w:r>
        <w:rPr>
          <w:rFonts w:hint="eastAsia" w:ascii="宋体" w:hAnsi="宋体" w:cs="宋体"/>
          <w:color w:val="auto"/>
          <w:szCs w:val="21"/>
          <w:highlight w:val="none"/>
        </w:rPr>
        <w:t>委托代理人身份证号码：</w:t>
      </w:r>
    </w:p>
    <w:p w14:paraId="25553A41">
      <w:pPr>
        <w:spacing w:line="400" w:lineRule="exact"/>
        <w:rPr>
          <w:rFonts w:ascii="宋体" w:hAnsi="宋体" w:cs="宋体"/>
          <w:color w:val="auto"/>
          <w:szCs w:val="21"/>
          <w:highlight w:val="none"/>
        </w:rPr>
      </w:pPr>
    </w:p>
    <w:p w14:paraId="3C060630">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                         供应商（公章或电子签章）：</w:t>
      </w:r>
    </w:p>
    <w:p w14:paraId="1C0704CE">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                                         年    月    日</w:t>
      </w:r>
    </w:p>
    <w:p w14:paraId="64E96570">
      <w:pPr>
        <w:spacing w:line="400" w:lineRule="exact"/>
        <w:rPr>
          <w:rFonts w:ascii="宋体" w:hAnsi="宋体" w:cs="宋体"/>
          <w:b/>
          <w:color w:val="auto"/>
          <w:szCs w:val="21"/>
          <w:highlight w:val="none"/>
        </w:rPr>
      </w:pPr>
    </w:p>
    <w:p w14:paraId="2A72C27E">
      <w:pPr>
        <w:spacing w:line="400" w:lineRule="exact"/>
        <w:rPr>
          <w:rFonts w:ascii="宋体" w:hAnsi="宋体" w:cs="宋体"/>
          <w:b/>
          <w:color w:val="auto"/>
          <w:szCs w:val="21"/>
          <w:highlight w:val="none"/>
        </w:rPr>
      </w:pPr>
      <w:r>
        <w:rPr>
          <w:rFonts w:hint="eastAsia" w:ascii="宋体" w:hAnsi="宋体" w:cs="宋体"/>
          <w:b/>
          <w:color w:val="auto"/>
          <w:szCs w:val="21"/>
          <w:highlight w:val="none"/>
        </w:rPr>
        <w:t>注：</w:t>
      </w:r>
    </w:p>
    <w:p w14:paraId="1AE25D61">
      <w:pPr>
        <w:spacing w:line="400" w:lineRule="exact"/>
        <w:ind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1.如为联合体</w:t>
      </w:r>
      <w:r>
        <w:rPr>
          <w:rFonts w:ascii="宋体" w:hAnsi="宋体" w:cs="宋体"/>
          <w:b/>
          <w:color w:val="auto"/>
          <w:szCs w:val="21"/>
          <w:highlight w:val="none"/>
        </w:rPr>
        <w:t>竞标</w:t>
      </w:r>
      <w:r>
        <w:rPr>
          <w:rFonts w:hint="eastAsia" w:ascii="宋体" w:hAnsi="宋体" w:cs="宋体"/>
          <w:b/>
          <w:color w:val="auto"/>
          <w:szCs w:val="21"/>
          <w:highlight w:val="none"/>
        </w:rPr>
        <w:t>时，</w:t>
      </w:r>
      <w:r>
        <w:rPr>
          <w:rFonts w:ascii="宋体" w:hAnsi="宋体" w:cs="宋体"/>
          <w:b/>
          <w:color w:val="auto"/>
          <w:szCs w:val="21"/>
          <w:highlight w:val="none"/>
        </w:rPr>
        <w:t>法定代表人授权委托书</w:t>
      </w:r>
      <w:r>
        <w:rPr>
          <w:rFonts w:hint="eastAsia" w:ascii="宋体" w:hAnsi="宋体" w:cs="宋体"/>
          <w:b/>
          <w:color w:val="auto"/>
          <w:szCs w:val="21"/>
          <w:highlight w:val="none"/>
        </w:rPr>
        <w:t>由联合体牵头人出具，牵头人法定代表人和委托代理人必须在授权委托书上</w:t>
      </w:r>
      <w:r>
        <w:rPr>
          <w:rFonts w:ascii="宋体" w:hAnsi="宋体" w:cs="宋体"/>
          <w:b/>
          <w:color w:val="auto"/>
          <w:szCs w:val="21"/>
          <w:highlight w:val="none"/>
        </w:rPr>
        <w:t>签字或电子签名</w:t>
      </w:r>
      <w:r>
        <w:rPr>
          <w:rFonts w:hint="eastAsia" w:ascii="宋体" w:hAnsi="宋体" w:cs="宋体"/>
          <w:b/>
          <w:color w:val="auto"/>
          <w:szCs w:val="21"/>
          <w:highlight w:val="none"/>
        </w:rPr>
        <w:t>；</w:t>
      </w:r>
    </w:p>
    <w:p w14:paraId="281EB16D">
      <w:pPr>
        <w:spacing w:line="400" w:lineRule="exact"/>
        <w:ind w:firstLine="420" w:firstLineChars="200"/>
        <w:jc w:val="left"/>
        <w:rPr>
          <w:rFonts w:ascii="宋体" w:hAnsi="宋体" w:cs="宋体"/>
          <w:color w:val="auto"/>
          <w:szCs w:val="21"/>
          <w:highlight w:val="none"/>
        </w:rPr>
      </w:pPr>
      <w:r>
        <w:rPr>
          <w:rFonts w:hint="eastAsia" w:ascii="宋体" w:hAnsi="宋体" w:cs="宋体"/>
          <w:bCs/>
          <w:color w:val="auto"/>
          <w:szCs w:val="21"/>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r>
        <w:rPr>
          <w:rFonts w:hint="eastAsia" w:ascii="宋体" w:hAnsi="宋体" w:cs="宋体"/>
          <w:color w:val="auto"/>
          <w:szCs w:val="21"/>
          <w:highlight w:val="none"/>
        </w:rPr>
        <w:br w:type="page"/>
      </w:r>
      <w:r>
        <w:rPr>
          <w:rFonts w:hint="eastAsia" w:ascii="宋体" w:hAnsi="宋体" w:cs="宋体"/>
          <w:b/>
          <w:color w:val="auto"/>
          <w:szCs w:val="21"/>
          <w:highlight w:val="none"/>
        </w:rPr>
        <w:t>4.商务条款偏离表</w:t>
      </w:r>
    </w:p>
    <w:p w14:paraId="54CCADBC">
      <w:pPr>
        <w:spacing w:line="400" w:lineRule="exact"/>
        <w:jc w:val="center"/>
        <w:rPr>
          <w:rFonts w:ascii="宋体" w:hAnsi="宋体" w:cs="宋体"/>
          <w:b/>
          <w:color w:val="auto"/>
          <w:szCs w:val="21"/>
          <w:highlight w:val="none"/>
        </w:rPr>
      </w:pPr>
      <w:r>
        <w:rPr>
          <w:rFonts w:hint="eastAsia" w:ascii="宋体" w:hAnsi="宋体" w:cs="宋体"/>
          <w:b/>
          <w:color w:val="auto"/>
          <w:szCs w:val="21"/>
          <w:highlight w:val="none"/>
        </w:rPr>
        <w:t>商务条款偏离表</w:t>
      </w:r>
    </w:p>
    <w:p w14:paraId="1DA0EAD9">
      <w:pPr>
        <w:pStyle w:val="16"/>
        <w:spacing w:line="400" w:lineRule="exact"/>
        <w:rPr>
          <w:rFonts w:hAnsi="宋体" w:cs="宋体"/>
          <w:color w:val="auto"/>
          <w:sz w:val="21"/>
          <w:highlight w:val="none"/>
          <w:u w:val="single"/>
        </w:rPr>
      </w:pPr>
      <w:r>
        <w:rPr>
          <w:rFonts w:hint="eastAsia" w:hAnsi="宋体" w:cs="宋体"/>
          <w:color w:val="auto"/>
          <w:sz w:val="21"/>
          <w:highlight w:val="none"/>
        </w:rPr>
        <w:t>项目名称：</w:t>
      </w:r>
    </w:p>
    <w:p w14:paraId="474BCFB8">
      <w:pPr>
        <w:pStyle w:val="16"/>
        <w:spacing w:line="400" w:lineRule="exact"/>
        <w:rPr>
          <w:rFonts w:hAnsi="宋体" w:cs="宋体"/>
          <w:color w:val="auto"/>
          <w:sz w:val="21"/>
          <w:highlight w:val="none"/>
          <w:u w:val="single"/>
        </w:rPr>
      </w:pPr>
      <w:r>
        <w:rPr>
          <w:rFonts w:hint="eastAsia" w:hAnsi="宋体" w:cs="宋体"/>
          <w:color w:val="auto"/>
          <w:sz w:val="21"/>
          <w:highlight w:val="none"/>
        </w:rPr>
        <w:t>项目编号：</w:t>
      </w:r>
    </w:p>
    <w:tbl>
      <w:tblPr>
        <w:tblStyle w:val="31"/>
        <w:tblW w:w="8513"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91"/>
        <w:gridCol w:w="2441"/>
        <w:gridCol w:w="2538"/>
        <w:gridCol w:w="1543"/>
      </w:tblGrid>
      <w:tr w14:paraId="7995BA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991" w:type="dxa"/>
            <w:tcBorders>
              <w:top w:val="single" w:color="auto" w:sz="4" w:space="0"/>
              <w:left w:val="single" w:color="auto" w:sz="4" w:space="0"/>
              <w:bottom w:val="single" w:color="auto" w:sz="4" w:space="0"/>
              <w:right w:val="single" w:color="auto" w:sz="4" w:space="0"/>
            </w:tcBorders>
            <w:vAlign w:val="center"/>
          </w:tcPr>
          <w:p w14:paraId="5B371E8C">
            <w:pPr>
              <w:snapToGrid w:val="0"/>
              <w:spacing w:beforeLines="50" w:line="400" w:lineRule="exact"/>
              <w:jc w:val="center"/>
              <w:rPr>
                <w:rFonts w:ascii="宋体" w:hAnsi="宋体" w:cs="宋体"/>
                <w:color w:val="auto"/>
                <w:szCs w:val="21"/>
                <w:highlight w:val="none"/>
              </w:rPr>
            </w:pPr>
            <w:r>
              <w:rPr>
                <w:rFonts w:hint="eastAsia" w:ascii="宋体" w:hAnsi="宋体" w:cs="宋体"/>
                <w:color w:val="auto"/>
                <w:szCs w:val="21"/>
                <w:highlight w:val="none"/>
              </w:rPr>
              <w:t>项目</w:t>
            </w:r>
          </w:p>
        </w:tc>
        <w:tc>
          <w:tcPr>
            <w:tcW w:w="2441" w:type="dxa"/>
            <w:tcBorders>
              <w:top w:val="single" w:color="auto" w:sz="4" w:space="0"/>
              <w:left w:val="single" w:color="auto" w:sz="4" w:space="0"/>
              <w:bottom w:val="single" w:color="auto" w:sz="4" w:space="0"/>
              <w:right w:val="single" w:color="auto" w:sz="4" w:space="0"/>
            </w:tcBorders>
            <w:vAlign w:val="center"/>
          </w:tcPr>
          <w:p w14:paraId="2E9E4830">
            <w:pPr>
              <w:snapToGrid w:val="0"/>
              <w:spacing w:beforeLines="50" w:line="400" w:lineRule="exact"/>
              <w:jc w:val="center"/>
              <w:rPr>
                <w:rFonts w:ascii="宋体" w:hAnsi="宋体" w:cs="宋体"/>
                <w:color w:val="auto"/>
                <w:szCs w:val="21"/>
                <w:highlight w:val="none"/>
              </w:rPr>
            </w:pPr>
            <w:r>
              <w:rPr>
                <w:rFonts w:hint="eastAsia" w:ascii="宋体" w:hAnsi="宋体" w:cs="宋体"/>
                <w:color w:val="auto"/>
                <w:szCs w:val="21"/>
                <w:highlight w:val="none"/>
              </w:rPr>
              <w:t>磋商文件商务条款要求</w:t>
            </w:r>
          </w:p>
        </w:tc>
        <w:tc>
          <w:tcPr>
            <w:tcW w:w="2538" w:type="dxa"/>
            <w:tcBorders>
              <w:top w:val="single" w:color="auto" w:sz="4" w:space="0"/>
              <w:left w:val="single" w:color="auto" w:sz="4" w:space="0"/>
              <w:bottom w:val="single" w:color="auto" w:sz="4" w:space="0"/>
              <w:right w:val="single" w:color="auto" w:sz="4" w:space="0"/>
            </w:tcBorders>
            <w:vAlign w:val="center"/>
          </w:tcPr>
          <w:p w14:paraId="40720A71">
            <w:pPr>
              <w:snapToGrid w:val="0"/>
              <w:spacing w:beforeLines="50" w:line="400" w:lineRule="exact"/>
              <w:jc w:val="center"/>
              <w:rPr>
                <w:rFonts w:ascii="宋体" w:hAnsi="宋体" w:cs="宋体"/>
                <w:color w:val="auto"/>
                <w:szCs w:val="21"/>
                <w:highlight w:val="none"/>
              </w:rPr>
            </w:pPr>
            <w:r>
              <w:rPr>
                <w:rFonts w:hint="eastAsia" w:ascii="宋体" w:hAnsi="宋体" w:cs="宋体"/>
                <w:color w:val="auto"/>
                <w:szCs w:val="21"/>
                <w:highlight w:val="none"/>
              </w:rPr>
              <w:t>供应商的承诺</w:t>
            </w:r>
          </w:p>
        </w:tc>
        <w:tc>
          <w:tcPr>
            <w:tcW w:w="1543" w:type="dxa"/>
            <w:tcBorders>
              <w:top w:val="single" w:color="auto" w:sz="4" w:space="0"/>
              <w:left w:val="single" w:color="auto" w:sz="4" w:space="0"/>
              <w:bottom w:val="single" w:color="auto" w:sz="4" w:space="0"/>
              <w:right w:val="single" w:color="auto" w:sz="4" w:space="0"/>
            </w:tcBorders>
            <w:vAlign w:val="center"/>
          </w:tcPr>
          <w:p w14:paraId="753784AC">
            <w:pPr>
              <w:snapToGrid w:val="0"/>
              <w:spacing w:beforeLines="50" w:line="400" w:lineRule="exact"/>
              <w:jc w:val="center"/>
              <w:rPr>
                <w:rFonts w:ascii="宋体" w:hAnsi="宋体" w:cs="宋体"/>
                <w:color w:val="auto"/>
                <w:szCs w:val="21"/>
                <w:highlight w:val="none"/>
              </w:rPr>
            </w:pPr>
            <w:r>
              <w:rPr>
                <w:rFonts w:hint="eastAsia" w:ascii="宋体" w:hAnsi="宋体" w:cs="宋体"/>
                <w:color w:val="auto"/>
                <w:szCs w:val="21"/>
                <w:highlight w:val="none"/>
              </w:rPr>
              <w:t>偏离说明</w:t>
            </w:r>
          </w:p>
        </w:tc>
      </w:tr>
      <w:tr w14:paraId="172245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991" w:type="dxa"/>
            <w:tcBorders>
              <w:top w:val="single" w:color="auto" w:sz="4" w:space="0"/>
              <w:left w:val="single" w:color="auto" w:sz="4" w:space="0"/>
              <w:bottom w:val="single" w:color="auto" w:sz="4" w:space="0"/>
              <w:right w:val="single" w:color="auto" w:sz="4" w:space="0"/>
            </w:tcBorders>
            <w:vAlign w:val="center"/>
          </w:tcPr>
          <w:p w14:paraId="098AD42B">
            <w:pPr>
              <w:spacing w:line="400" w:lineRule="exact"/>
              <w:jc w:val="center"/>
              <w:rPr>
                <w:rFonts w:ascii="宋体" w:hAnsi="宋体" w:cs="宋体"/>
                <w:color w:val="auto"/>
                <w:szCs w:val="21"/>
                <w:highlight w:val="none"/>
              </w:rPr>
            </w:pPr>
          </w:p>
        </w:tc>
        <w:tc>
          <w:tcPr>
            <w:tcW w:w="2441" w:type="dxa"/>
            <w:tcBorders>
              <w:top w:val="single" w:color="auto" w:sz="4" w:space="0"/>
              <w:left w:val="single" w:color="auto" w:sz="4" w:space="0"/>
              <w:bottom w:val="single" w:color="auto" w:sz="4" w:space="0"/>
              <w:right w:val="single" w:color="auto" w:sz="4" w:space="0"/>
            </w:tcBorders>
            <w:vAlign w:val="center"/>
          </w:tcPr>
          <w:p w14:paraId="766AD0D9">
            <w:pPr>
              <w:snapToGrid w:val="0"/>
              <w:spacing w:beforeLines="50" w:line="400" w:lineRule="exact"/>
              <w:jc w:val="center"/>
              <w:rPr>
                <w:rFonts w:ascii="宋体" w:hAnsi="宋体" w:cs="宋体"/>
                <w:color w:val="auto"/>
                <w:szCs w:val="21"/>
                <w:highlight w:val="none"/>
              </w:rPr>
            </w:pPr>
          </w:p>
        </w:tc>
        <w:tc>
          <w:tcPr>
            <w:tcW w:w="2538" w:type="dxa"/>
            <w:tcBorders>
              <w:top w:val="single" w:color="auto" w:sz="4" w:space="0"/>
              <w:left w:val="single" w:color="auto" w:sz="4" w:space="0"/>
              <w:bottom w:val="single" w:color="auto" w:sz="4" w:space="0"/>
              <w:right w:val="single" w:color="auto" w:sz="4" w:space="0"/>
            </w:tcBorders>
            <w:vAlign w:val="center"/>
          </w:tcPr>
          <w:p w14:paraId="34A63C9E">
            <w:pPr>
              <w:snapToGrid w:val="0"/>
              <w:spacing w:beforeLines="50" w:line="400" w:lineRule="exact"/>
              <w:jc w:val="center"/>
              <w:rPr>
                <w:rFonts w:ascii="宋体" w:hAnsi="宋体" w:cs="宋体"/>
                <w:color w:val="auto"/>
                <w:szCs w:val="21"/>
                <w:highlight w:val="none"/>
              </w:rPr>
            </w:pPr>
          </w:p>
        </w:tc>
        <w:tc>
          <w:tcPr>
            <w:tcW w:w="1543" w:type="dxa"/>
            <w:tcBorders>
              <w:top w:val="single" w:color="auto" w:sz="4" w:space="0"/>
              <w:left w:val="single" w:color="auto" w:sz="4" w:space="0"/>
              <w:bottom w:val="single" w:color="auto" w:sz="4" w:space="0"/>
              <w:right w:val="single" w:color="auto" w:sz="4" w:space="0"/>
            </w:tcBorders>
            <w:vAlign w:val="center"/>
          </w:tcPr>
          <w:p w14:paraId="522CF150">
            <w:pPr>
              <w:snapToGrid w:val="0"/>
              <w:spacing w:beforeLines="50" w:line="400" w:lineRule="exact"/>
              <w:jc w:val="center"/>
              <w:rPr>
                <w:rFonts w:ascii="宋体" w:hAnsi="宋体" w:cs="宋体"/>
                <w:color w:val="auto"/>
                <w:szCs w:val="21"/>
                <w:highlight w:val="none"/>
              </w:rPr>
            </w:pPr>
          </w:p>
        </w:tc>
      </w:tr>
      <w:tr w14:paraId="0A9E1D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991" w:type="dxa"/>
            <w:tcBorders>
              <w:top w:val="single" w:color="auto" w:sz="4" w:space="0"/>
              <w:left w:val="single" w:color="auto" w:sz="4" w:space="0"/>
              <w:bottom w:val="single" w:color="auto" w:sz="4" w:space="0"/>
              <w:right w:val="single" w:color="auto" w:sz="4" w:space="0"/>
            </w:tcBorders>
            <w:vAlign w:val="center"/>
          </w:tcPr>
          <w:p w14:paraId="729593E2">
            <w:pPr>
              <w:spacing w:line="400" w:lineRule="exact"/>
              <w:jc w:val="center"/>
              <w:rPr>
                <w:rFonts w:ascii="宋体" w:hAnsi="宋体" w:cs="宋体"/>
                <w:color w:val="auto"/>
                <w:szCs w:val="21"/>
                <w:highlight w:val="none"/>
              </w:rPr>
            </w:pPr>
          </w:p>
        </w:tc>
        <w:tc>
          <w:tcPr>
            <w:tcW w:w="2441" w:type="dxa"/>
            <w:tcBorders>
              <w:top w:val="single" w:color="auto" w:sz="4" w:space="0"/>
              <w:left w:val="single" w:color="auto" w:sz="4" w:space="0"/>
              <w:bottom w:val="single" w:color="auto" w:sz="4" w:space="0"/>
              <w:right w:val="single" w:color="auto" w:sz="4" w:space="0"/>
            </w:tcBorders>
            <w:vAlign w:val="center"/>
          </w:tcPr>
          <w:p w14:paraId="157BFC5E">
            <w:pPr>
              <w:snapToGrid w:val="0"/>
              <w:spacing w:beforeLines="50" w:line="400" w:lineRule="exact"/>
              <w:jc w:val="center"/>
              <w:rPr>
                <w:rFonts w:ascii="宋体" w:hAnsi="宋体" w:cs="宋体"/>
                <w:color w:val="auto"/>
                <w:szCs w:val="21"/>
                <w:highlight w:val="none"/>
              </w:rPr>
            </w:pPr>
          </w:p>
        </w:tc>
        <w:tc>
          <w:tcPr>
            <w:tcW w:w="2538" w:type="dxa"/>
            <w:tcBorders>
              <w:top w:val="single" w:color="auto" w:sz="4" w:space="0"/>
              <w:left w:val="single" w:color="auto" w:sz="4" w:space="0"/>
              <w:bottom w:val="single" w:color="auto" w:sz="4" w:space="0"/>
              <w:right w:val="single" w:color="auto" w:sz="4" w:space="0"/>
            </w:tcBorders>
            <w:vAlign w:val="center"/>
          </w:tcPr>
          <w:p w14:paraId="6313E839">
            <w:pPr>
              <w:snapToGrid w:val="0"/>
              <w:spacing w:beforeLines="50" w:line="400" w:lineRule="exact"/>
              <w:jc w:val="center"/>
              <w:rPr>
                <w:rFonts w:ascii="宋体" w:hAnsi="宋体" w:cs="宋体"/>
                <w:color w:val="auto"/>
                <w:szCs w:val="21"/>
                <w:highlight w:val="none"/>
              </w:rPr>
            </w:pPr>
          </w:p>
        </w:tc>
        <w:tc>
          <w:tcPr>
            <w:tcW w:w="1543" w:type="dxa"/>
            <w:tcBorders>
              <w:top w:val="single" w:color="auto" w:sz="4" w:space="0"/>
              <w:left w:val="single" w:color="auto" w:sz="4" w:space="0"/>
              <w:bottom w:val="single" w:color="auto" w:sz="4" w:space="0"/>
              <w:right w:val="single" w:color="auto" w:sz="4" w:space="0"/>
            </w:tcBorders>
            <w:vAlign w:val="center"/>
          </w:tcPr>
          <w:p w14:paraId="69403FE0">
            <w:pPr>
              <w:snapToGrid w:val="0"/>
              <w:spacing w:beforeLines="50" w:line="400" w:lineRule="exact"/>
              <w:jc w:val="center"/>
              <w:rPr>
                <w:rFonts w:ascii="宋体" w:hAnsi="宋体" w:cs="宋体"/>
                <w:color w:val="auto"/>
                <w:szCs w:val="21"/>
                <w:highlight w:val="none"/>
              </w:rPr>
            </w:pPr>
          </w:p>
        </w:tc>
      </w:tr>
      <w:tr w14:paraId="5C8614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991" w:type="dxa"/>
            <w:tcBorders>
              <w:top w:val="single" w:color="auto" w:sz="4" w:space="0"/>
              <w:left w:val="single" w:color="auto" w:sz="4" w:space="0"/>
              <w:bottom w:val="single" w:color="auto" w:sz="4" w:space="0"/>
              <w:right w:val="single" w:color="auto" w:sz="4" w:space="0"/>
            </w:tcBorders>
            <w:vAlign w:val="center"/>
          </w:tcPr>
          <w:p w14:paraId="0A96C97A">
            <w:pPr>
              <w:spacing w:line="400" w:lineRule="exact"/>
              <w:jc w:val="center"/>
              <w:rPr>
                <w:rFonts w:ascii="宋体" w:hAnsi="宋体" w:cs="宋体"/>
                <w:color w:val="auto"/>
                <w:szCs w:val="21"/>
                <w:highlight w:val="none"/>
              </w:rPr>
            </w:pPr>
          </w:p>
        </w:tc>
        <w:tc>
          <w:tcPr>
            <w:tcW w:w="2441" w:type="dxa"/>
            <w:tcBorders>
              <w:top w:val="single" w:color="auto" w:sz="4" w:space="0"/>
              <w:left w:val="single" w:color="auto" w:sz="4" w:space="0"/>
              <w:bottom w:val="single" w:color="auto" w:sz="4" w:space="0"/>
              <w:right w:val="single" w:color="auto" w:sz="4" w:space="0"/>
            </w:tcBorders>
            <w:vAlign w:val="center"/>
          </w:tcPr>
          <w:p w14:paraId="4C94F77D">
            <w:pPr>
              <w:snapToGrid w:val="0"/>
              <w:spacing w:beforeLines="50" w:line="400" w:lineRule="exact"/>
              <w:jc w:val="center"/>
              <w:rPr>
                <w:rFonts w:ascii="宋体" w:hAnsi="宋体" w:cs="宋体"/>
                <w:color w:val="auto"/>
                <w:szCs w:val="21"/>
                <w:highlight w:val="none"/>
              </w:rPr>
            </w:pPr>
          </w:p>
        </w:tc>
        <w:tc>
          <w:tcPr>
            <w:tcW w:w="2538" w:type="dxa"/>
            <w:tcBorders>
              <w:top w:val="single" w:color="auto" w:sz="4" w:space="0"/>
              <w:left w:val="single" w:color="auto" w:sz="4" w:space="0"/>
              <w:bottom w:val="single" w:color="auto" w:sz="4" w:space="0"/>
              <w:right w:val="single" w:color="auto" w:sz="4" w:space="0"/>
            </w:tcBorders>
            <w:vAlign w:val="center"/>
          </w:tcPr>
          <w:p w14:paraId="4F77B355">
            <w:pPr>
              <w:snapToGrid w:val="0"/>
              <w:spacing w:beforeLines="50" w:line="400" w:lineRule="exact"/>
              <w:ind w:left="43"/>
              <w:jc w:val="center"/>
              <w:rPr>
                <w:rFonts w:ascii="宋体" w:hAnsi="宋体" w:cs="宋体"/>
                <w:color w:val="auto"/>
                <w:szCs w:val="21"/>
                <w:highlight w:val="none"/>
              </w:rPr>
            </w:pPr>
          </w:p>
        </w:tc>
        <w:tc>
          <w:tcPr>
            <w:tcW w:w="1543" w:type="dxa"/>
            <w:tcBorders>
              <w:top w:val="single" w:color="auto" w:sz="4" w:space="0"/>
              <w:left w:val="single" w:color="auto" w:sz="4" w:space="0"/>
              <w:bottom w:val="single" w:color="auto" w:sz="4" w:space="0"/>
              <w:right w:val="single" w:color="auto" w:sz="4" w:space="0"/>
            </w:tcBorders>
            <w:vAlign w:val="center"/>
          </w:tcPr>
          <w:p w14:paraId="533ED4DA">
            <w:pPr>
              <w:snapToGrid w:val="0"/>
              <w:spacing w:beforeLines="50" w:line="400" w:lineRule="exact"/>
              <w:ind w:left="43"/>
              <w:jc w:val="center"/>
              <w:rPr>
                <w:rFonts w:ascii="宋体" w:hAnsi="宋体" w:cs="宋体"/>
                <w:color w:val="auto"/>
                <w:szCs w:val="21"/>
                <w:highlight w:val="none"/>
              </w:rPr>
            </w:pPr>
          </w:p>
        </w:tc>
      </w:tr>
      <w:tr w14:paraId="6426B3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991" w:type="dxa"/>
            <w:tcBorders>
              <w:top w:val="single" w:color="auto" w:sz="4" w:space="0"/>
              <w:left w:val="single" w:color="auto" w:sz="4" w:space="0"/>
              <w:bottom w:val="single" w:color="auto" w:sz="4" w:space="0"/>
              <w:right w:val="single" w:color="auto" w:sz="4" w:space="0"/>
            </w:tcBorders>
            <w:vAlign w:val="center"/>
          </w:tcPr>
          <w:p w14:paraId="0DFBED86">
            <w:pPr>
              <w:spacing w:line="400" w:lineRule="exact"/>
              <w:jc w:val="center"/>
              <w:rPr>
                <w:rFonts w:ascii="宋体" w:hAnsi="宋体" w:cs="宋体"/>
                <w:color w:val="auto"/>
                <w:szCs w:val="21"/>
                <w:highlight w:val="none"/>
              </w:rPr>
            </w:pPr>
          </w:p>
        </w:tc>
        <w:tc>
          <w:tcPr>
            <w:tcW w:w="2441" w:type="dxa"/>
            <w:tcBorders>
              <w:top w:val="single" w:color="auto" w:sz="4" w:space="0"/>
              <w:left w:val="single" w:color="auto" w:sz="4" w:space="0"/>
              <w:bottom w:val="single" w:color="auto" w:sz="4" w:space="0"/>
              <w:right w:val="single" w:color="auto" w:sz="4" w:space="0"/>
            </w:tcBorders>
            <w:vAlign w:val="center"/>
          </w:tcPr>
          <w:p w14:paraId="1C1567FE">
            <w:pPr>
              <w:snapToGrid w:val="0"/>
              <w:spacing w:beforeLines="50" w:line="400" w:lineRule="exact"/>
              <w:jc w:val="center"/>
              <w:rPr>
                <w:rFonts w:ascii="宋体" w:hAnsi="宋体" w:cs="宋体"/>
                <w:color w:val="auto"/>
                <w:szCs w:val="21"/>
                <w:highlight w:val="none"/>
              </w:rPr>
            </w:pPr>
          </w:p>
        </w:tc>
        <w:tc>
          <w:tcPr>
            <w:tcW w:w="2538" w:type="dxa"/>
            <w:tcBorders>
              <w:top w:val="single" w:color="auto" w:sz="4" w:space="0"/>
              <w:left w:val="single" w:color="auto" w:sz="4" w:space="0"/>
              <w:bottom w:val="single" w:color="auto" w:sz="4" w:space="0"/>
              <w:right w:val="single" w:color="auto" w:sz="4" w:space="0"/>
            </w:tcBorders>
            <w:vAlign w:val="center"/>
          </w:tcPr>
          <w:p w14:paraId="5A392CC0">
            <w:pPr>
              <w:snapToGrid w:val="0"/>
              <w:spacing w:beforeLines="50" w:line="400" w:lineRule="exact"/>
              <w:jc w:val="center"/>
              <w:rPr>
                <w:rFonts w:ascii="宋体" w:hAnsi="宋体" w:cs="宋体"/>
                <w:color w:val="auto"/>
                <w:szCs w:val="21"/>
                <w:highlight w:val="none"/>
              </w:rPr>
            </w:pPr>
          </w:p>
        </w:tc>
        <w:tc>
          <w:tcPr>
            <w:tcW w:w="1543" w:type="dxa"/>
            <w:tcBorders>
              <w:top w:val="single" w:color="auto" w:sz="4" w:space="0"/>
              <w:left w:val="single" w:color="auto" w:sz="4" w:space="0"/>
              <w:bottom w:val="single" w:color="auto" w:sz="4" w:space="0"/>
              <w:right w:val="single" w:color="auto" w:sz="4" w:space="0"/>
            </w:tcBorders>
            <w:vAlign w:val="center"/>
          </w:tcPr>
          <w:p w14:paraId="467F88C9">
            <w:pPr>
              <w:snapToGrid w:val="0"/>
              <w:spacing w:beforeLines="50" w:line="400" w:lineRule="exact"/>
              <w:jc w:val="center"/>
              <w:rPr>
                <w:rFonts w:ascii="宋体" w:hAnsi="宋体" w:cs="宋体"/>
                <w:color w:val="auto"/>
                <w:szCs w:val="21"/>
                <w:highlight w:val="none"/>
              </w:rPr>
            </w:pPr>
          </w:p>
        </w:tc>
      </w:tr>
      <w:tr w14:paraId="6E610D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991" w:type="dxa"/>
            <w:tcBorders>
              <w:top w:val="single" w:color="auto" w:sz="4" w:space="0"/>
              <w:left w:val="single" w:color="auto" w:sz="4" w:space="0"/>
              <w:bottom w:val="single" w:color="auto" w:sz="4" w:space="0"/>
              <w:right w:val="single" w:color="auto" w:sz="4" w:space="0"/>
            </w:tcBorders>
            <w:vAlign w:val="center"/>
          </w:tcPr>
          <w:p w14:paraId="517891B3">
            <w:pPr>
              <w:snapToGrid w:val="0"/>
              <w:spacing w:beforeLines="50" w:line="400" w:lineRule="exact"/>
              <w:jc w:val="center"/>
              <w:rPr>
                <w:rFonts w:ascii="宋体" w:hAnsi="宋体" w:cs="宋体"/>
                <w:color w:val="auto"/>
                <w:szCs w:val="21"/>
                <w:highlight w:val="none"/>
              </w:rPr>
            </w:pPr>
            <w:r>
              <w:rPr>
                <w:rFonts w:hint="eastAsia" w:ascii="宋体" w:hAnsi="宋体" w:cs="宋体"/>
                <w:color w:val="auto"/>
                <w:szCs w:val="21"/>
                <w:highlight w:val="none"/>
              </w:rPr>
              <w:t>…</w:t>
            </w:r>
          </w:p>
        </w:tc>
        <w:tc>
          <w:tcPr>
            <w:tcW w:w="2441" w:type="dxa"/>
            <w:tcBorders>
              <w:top w:val="single" w:color="auto" w:sz="4" w:space="0"/>
              <w:left w:val="single" w:color="auto" w:sz="4" w:space="0"/>
              <w:bottom w:val="single" w:color="auto" w:sz="4" w:space="0"/>
              <w:right w:val="single" w:color="auto" w:sz="4" w:space="0"/>
            </w:tcBorders>
            <w:vAlign w:val="center"/>
          </w:tcPr>
          <w:p w14:paraId="648B110C">
            <w:pPr>
              <w:snapToGrid w:val="0"/>
              <w:spacing w:beforeLines="50" w:line="400" w:lineRule="exact"/>
              <w:jc w:val="center"/>
              <w:rPr>
                <w:rFonts w:ascii="宋体" w:hAnsi="宋体" w:cs="宋体"/>
                <w:color w:val="auto"/>
                <w:szCs w:val="21"/>
                <w:highlight w:val="none"/>
              </w:rPr>
            </w:pPr>
          </w:p>
        </w:tc>
        <w:tc>
          <w:tcPr>
            <w:tcW w:w="2538" w:type="dxa"/>
            <w:tcBorders>
              <w:top w:val="single" w:color="auto" w:sz="4" w:space="0"/>
              <w:left w:val="single" w:color="auto" w:sz="4" w:space="0"/>
              <w:bottom w:val="single" w:color="auto" w:sz="4" w:space="0"/>
              <w:right w:val="single" w:color="auto" w:sz="4" w:space="0"/>
            </w:tcBorders>
            <w:vAlign w:val="center"/>
          </w:tcPr>
          <w:p w14:paraId="1FD82EFA">
            <w:pPr>
              <w:snapToGrid w:val="0"/>
              <w:spacing w:beforeLines="50" w:line="400" w:lineRule="exact"/>
              <w:jc w:val="center"/>
              <w:rPr>
                <w:rFonts w:ascii="宋体" w:hAnsi="宋体" w:cs="宋体"/>
                <w:color w:val="auto"/>
                <w:szCs w:val="21"/>
                <w:highlight w:val="none"/>
              </w:rPr>
            </w:pPr>
          </w:p>
        </w:tc>
        <w:tc>
          <w:tcPr>
            <w:tcW w:w="1543" w:type="dxa"/>
            <w:tcBorders>
              <w:top w:val="single" w:color="auto" w:sz="4" w:space="0"/>
              <w:left w:val="single" w:color="auto" w:sz="4" w:space="0"/>
              <w:bottom w:val="single" w:color="auto" w:sz="4" w:space="0"/>
              <w:right w:val="single" w:color="auto" w:sz="4" w:space="0"/>
            </w:tcBorders>
            <w:vAlign w:val="center"/>
          </w:tcPr>
          <w:p w14:paraId="115E1202">
            <w:pPr>
              <w:snapToGrid w:val="0"/>
              <w:spacing w:beforeLines="50" w:line="400" w:lineRule="exact"/>
              <w:jc w:val="center"/>
              <w:rPr>
                <w:rFonts w:ascii="宋体" w:hAnsi="宋体" w:cs="宋体"/>
                <w:color w:val="auto"/>
                <w:szCs w:val="21"/>
                <w:highlight w:val="none"/>
              </w:rPr>
            </w:pPr>
          </w:p>
        </w:tc>
      </w:tr>
    </w:tbl>
    <w:p w14:paraId="276989C7">
      <w:pPr>
        <w:pStyle w:val="11"/>
        <w:spacing w:line="400" w:lineRule="exact"/>
        <w:rPr>
          <w:rFonts w:ascii="宋体" w:hAnsi="宋体" w:cs="宋体"/>
          <w:color w:val="auto"/>
          <w:kern w:val="0"/>
          <w:sz w:val="21"/>
          <w:szCs w:val="21"/>
          <w:highlight w:val="none"/>
        </w:rPr>
      </w:pPr>
      <w:r>
        <w:rPr>
          <w:rFonts w:hint="eastAsia" w:ascii="宋体" w:hAnsi="宋体" w:cs="宋体"/>
          <w:color w:val="auto"/>
          <w:kern w:val="0"/>
          <w:sz w:val="21"/>
          <w:szCs w:val="21"/>
          <w:highlight w:val="none"/>
        </w:rPr>
        <w:t>注：</w:t>
      </w:r>
    </w:p>
    <w:p w14:paraId="53F03E5F">
      <w:pPr>
        <w:pStyle w:val="11"/>
        <w:spacing w:line="400" w:lineRule="exact"/>
        <w:ind w:firstLine="420" w:firstLineChars="200"/>
        <w:rPr>
          <w:rFonts w:ascii="宋体" w:hAnsi="宋体" w:cs="宋体"/>
          <w:color w:val="auto"/>
          <w:kern w:val="0"/>
          <w:sz w:val="21"/>
          <w:szCs w:val="21"/>
          <w:highlight w:val="none"/>
        </w:rPr>
      </w:pPr>
      <w:r>
        <w:rPr>
          <w:rFonts w:hint="eastAsia" w:ascii="宋体" w:hAnsi="宋体" w:cs="宋体"/>
          <w:color w:val="auto"/>
          <w:kern w:val="0"/>
          <w:sz w:val="21"/>
          <w:szCs w:val="21"/>
          <w:highlight w:val="none"/>
        </w:rPr>
        <w:t>1. 说明：应对照磋商文件“</w:t>
      </w:r>
      <w:r>
        <w:rPr>
          <w:rFonts w:hint="eastAsia" w:ascii="宋体" w:hAnsi="宋体" w:cs="宋体"/>
          <w:b/>
          <w:bCs/>
          <w:color w:val="auto"/>
          <w:kern w:val="0"/>
          <w:sz w:val="21"/>
          <w:szCs w:val="21"/>
          <w:highlight w:val="none"/>
        </w:rPr>
        <w:t>第三章 采购需求</w:t>
      </w:r>
      <w:r>
        <w:rPr>
          <w:rFonts w:hint="eastAsia" w:ascii="宋体" w:hAnsi="宋体" w:cs="宋体"/>
          <w:color w:val="auto"/>
          <w:kern w:val="0"/>
          <w:sz w:val="21"/>
          <w:szCs w:val="21"/>
          <w:highlight w:val="none"/>
        </w:rPr>
        <w:t>”中的</w:t>
      </w:r>
      <w:r>
        <w:rPr>
          <w:rFonts w:hint="eastAsia" w:ascii="宋体" w:hAnsi="宋体" w:cs="宋体"/>
          <w:b/>
          <w:bCs/>
          <w:color w:val="auto"/>
          <w:kern w:val="0"/>
          <w:sz w:val="21"/>
          <w:szCs w:val="21"/>
          <w:highlight w:val="none"/>
        </w:rPr>
        <w:t>商务条款</w:t>
      </w:r>
      <w:r>
        <w:rPr>
          <w:rFonts w:hint="eastAsia" w:ascii="宋体" w:hAnsi="宋体" w:cs="宋体"/>
          <w:color w:val="auto"/>
          <w:kern w:val="0"/>
          <w:sz w:val="21"/>
          <w:szCs w:val="21"/>
          <w:highlight w:val="none"/>
        </w:rPr>
        <w:t>逐条实质性响应，并作出偏离说明。</w:t>
      </w:r>
    </w:p>
    <w:p w14:paraId="17FDD2A4">
      <w:pPr>
        <w:snapToGrid w:val="0"/>
        <w:spacing w:before="50" w:line="400" w:lineRule="exact"/>
        <w:ind w:firstLine="420" w:firstLineChars="200"/>
        <w:jc w:val="left"/>
        <w:rPr>
          <w:rFonts w:ascii="宋体" w:hAnsi="宋体" w:cs="宋体"/>
          <w:color w:val="auto"/>
          <w:szCs w:val="21"/>
          <w:highlight w:val="none"/>
          <w:u w:val="single"/>
        </w:rPr>
      </w:pPr>
      <w:r>
        <w:rPr>
          <w:rFonts w:hint="eastAsia" w:ascii="宋体" w:hAnsi="宋体" w:cs="宋体"/>
          <w:color w:val="auto"/>
          <w:kern w:val="0"/>
          <w:szCs w:val="21"/>
          <w:highlight w:val="none"/>
        </w:rPr>
        <w:t>2.供应商应根据自身的承诺，对照磋商文件要求在“偏离说明”中注明“正偏离”、“负偏离”或者“无偏离”。既不属于“正偏离”也不属于“负偏离”即为“无偏离”。</w:t>
      </w:r>
    </w:p>
    <w:p w14:paraId="6BF9BB68">
      <w:pPr>
        <w:snapToGrid w:val="0"/>
        <w:spacing w:before="50" w:after="50" w:line="400" w:lineRule="exact"/>
        <w:ind w:right="-817" w:rightChars="-389"/>
        <w:rPr>
          <w:rFonts w:ascii="宋体" w:hAnsi="宋体" w:cs="宋体"/>
          <w:color w:val="auto"/>
          <w:szCs w:val="21"/>
          <w:highlight w:val="none"/>
        </w:rPr>
      </w:pPr>
    </w:p>
    <w:p w14:paraId="4B9D813C">
      <w:pPr>
        <w:snapToGrid w:val="0"/>
        <w:spacing w:before="50" w:after="50" w:line="400" w:lineRule="exact"/>
        <w:ind w:right="-817" w:rightChars="-389" w:firstLine="2310" w:firstLineChars="1100"/>
        <w:rPr>
          <w:rFonts w:ascii="宋体" w:hAnsi="宋体" w:cs="宋体"/>
          <w:color w:val="auto"/>
          <w:szCs w:val="21"/>
          <w:highlight w:val="none"/>
        </w:rPr>
      </w:pPr>
      <w:r>
        <w:rPr>
          <w:rFonts w:hint="eastAsia" w:ascii="宋体" w:hAnsi="宋体" w:cs="宋体"/>
          <w:color w:val="auto"/>
          <w:szCs w:val="21"/>
          <w:highlight w:val="none"/>
        </w:rPr>
        <w:t>法定代表人或者委托代理人（签字或电子签名）：</w:t>
      </w:r>
    </w:p>
    <w:p w14:paraId="620D9169">
      <w:pPr>
        <w:snapToGrid w:val="0"/>
        <w:spacing w:before="50" w:after="50" w:line="400" w:lineRule="exact"/>
        <w:ind w:right="-817" w:rightChars="-389" w:firstLine="2310" w:firstLineChars="1100"/>
        <w:rPr>
          <w:rFonts w:ascii="宋体" w:hAnsi="宋体" w:cs="宋体"/>
          <w:color w:val="auto"/>
          <w:szCs w:val="21"/>
          <w:highlight w:val="none"/>
        </w:rPr>
      </w:pPr>
      <w:r>
        <w:rPr>
          <w:rFonts w:hint="eastAsia" w:ascii="宋体" w:hAnsi="宋体" w:cs="宋体"/>
          <w:color w:val="auto"/>
          <w:szCs w:val="21"/>
          <w:highlight w:val="none"/>
        </w:rPr>
        <w:t>供应商（公章或电子签章）：</w:t>
      </w:r>
    </w:p>
    <w:p w14:paraId="60B9D167">
      <w:pPr>
        <w:snapToGrid w:val="0"/>
        <w:spacing w:beforeLines="50" w:after="50" w:line="400" w:lineRule="exact"/>
        <w:ind w:right="480" w:firstLine="4620" w:firstLineChars="2200"/>
        <w:rPr>
          <w:rFonts w:ascii="宋体" w:hAnsi="宋体" w:cs="宋体"/>
          <w:color w:val="auto"/>
          <w:szCs w:val="21"/>
          <w:highlight w:val="none"/>
        </w:rPr>
      </w:pPr>
      <w:r>
        <w:rPr>
          <w:rFonts w:hint="eastAsia" w:ascii="宋体" w:hAnsi="宋体" w:cs="宋体"/>
          <w:color w:val="auto"/>
          <w:szCs w:val="21"/>
          <w:highlight w:val="none"/>
        </w:rPr>
        <w:t>年    月    日</w:t>
      </w:r>
    </w:p>
    <w:p w14:paraId="79CA3049">
      <w:pPr>
        <w:snapToGrid w:val="0"/>
        <w:spacing w:before="50" w:after="50" w:line="400" w:lineRule="exact"/>
        <w:ind w:right="-817" w:rightChars="-389" w:firstLine="3570" w:firstLineChars="1700"/>
        <w:rPr>
          <w:rFonts w:ascii="宋体" w:hAnsi="宋体" w:cs="宋体"/>
          <w:color w:val="auto"/>
          <w:szCs w:val="21"/>
          <w:highlight w:val="none"/>
        </w:rPr>
        <w:sectPr>
          <w:pgSz w:w="11906" w:h="16838"/>
          <w:pgMar w:top="1440" w:right="1803" w:bottom="1440" w:left="1803" w:header="851" w:footer="992" w:gutter="0"/>
          <w:pgNumType w:fmt="decimal"/>
          <w:cols w:space="0" w:num="1"/>
          <w:titlePg/>
          <w:docGrid w:type="lines" w:linePitch="319" w:charSpace="0"/>
        </w:sectPr>
      </w:pPr>
    </w:p>
    <w:p w14:paraId="484C6B5B">
      <w:pPr>
        <w:spacing w:beforeLines="100" w:afterLines="100" w:line="400" w:lineRule="exact"/>
        <w:rPr>
          <w:rFonts w:ascii="宋体" w:hAnsi="宋体" w:cs="宋体"/>
          <w:b/>
          <w:color w:val="auto"/>
          <w:szCs w:val="21"/>
          <w:highlight w:val="none"/>
        </w:rPr>
      </w:pPr>
      <w:r>
        <w:rPr>
          <w:rFonts w:hint="eastAsia" w:ascii="宋体" w:hAnsi="宋体" w:cs="宋体"/>
          <w:b/>
          <w:color w:val="auto"/>
          <w:szCs w:val="21"/>
          <w:highlight w:val="none"/>
        </w:rPr>
        <w:t>5.人员配置</w:t>
      </w:r>
    </w:p>
    <w:p w14:paraId="4F32437C">
      <w:pPr>
        <w:pStyle w:val="16"/>
        <w:spacing w:line="400" w:lineRule="exact"/>
        <w:jc w:val="center"/>
        <w:rPr>
          <w:rFonts w:hAnsi="宋体" w:cs="宋体"/>
          <w:b/>
          <w:color w:val="auto"/>
          <w:kern w:val="2"/>
          <w:sz w:val="21"/>
          <w:highlight w:val="none"/>
        </w:rPr>
      </w:pPr>
      <w:r>
        <w:rPr>
          <w:rFonts w:hint="eastAsia" w:hAnsi="宋体" w:cs="宋体"/>
          <w:b/>
          <w:color w:val="auto"/>
          <w:kern w:val="2"/>
          <w:sz w:val="21"/>
          <w:highlight w:val="none"/>
        </w:rPr>
        <w:t>项目实施人员一览表</w:t>
      </w:r>
    </w:p>
    <w:p w14:paraId="1739961D">
      <w:pPr>
        <w:pStyle w:val="16"/>
        <w:spacing w:line="400" w:lineRule="exact"/>
        <w:rPr>
          <w:rFonts w:hAnsi="宋体" w:cs="宋体"/>
          <w:color w:val="auto"/>
          <w:sz w:val="21"/>
          <w:highlight w:val="none"/>
          <w:u w:val="single"/>
        </w:rPr>
      </w:pPr>
      <w:r>
        <w:rPr>
          <w:rFonts w:hint="eastAsia" w:hAnsi="宋体" w:cs="宋体"/>
          <w:color w:val="auto"/>
          <w:sz w:val="21"/>
          <w:highlight w:val="none"/>
        </w:rPr>
        <w:t>项目名称：</w:t>
      </w:r>
    </w:p>
    <w:p w14:paraId="09B1ADF9">
      <w:pPr>
        <w:pStyle w:val="16"/>
        <w:spacing w:line="400" w:lineRule="exact"/>
        <w:rPr>
          <w:rFonts w:hAnsi="宋体" w:cs="宋体"/>
          <w:color w:val="auto"/>
          <w:sz w:val="21"/>
          <w:highlight w:val="none"/>
          <w:u w:val="single"/>
        </w:rPr>
      </w:pPr>
      <w:r>
        <w:rPr>
          <w:rFonts w:hint="eastAsia" w:hAnsi="宋体" w:cs="宋体"/>
          <w:color w:val="auto"/>
          <w:sz w:val="21"/>
          <w:highlight w:val="none"/>
        </w:rPr>
        <w:t>项目编号：</w:t>
      </w:r>
    </w:p>
    <w:tbl>
      <w:tblPr>
        <w:tblStyle w:val="31"/>
        <w:tblW w:w="85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790"/>
        <w:gridCol w:w="1146"/>
        <w:gridCol w:w="686"/>
        <w:gridCol w:w="567"/>
        <w:gridCol w:w="681"/>
        <w:gridCol w:w="914"/>
        <w:gridCol w:w="914"/>
        <w:gridCol w:w="914"/>
        <w:gridCol w:w="915"/>
        <w:gridCol w:w="554"/>
      </w:tblGrid>
      <w:tr w14:paraId="23C57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jc w:val="center"/>
        </w:trPr>
        <w:tc>
          <w:tcPr>
            <w:tcW w:w="426" w:type="dxa"/>
            <w:vAlign w:val="center"/>
          </w:tcPr>
          <w:p w14:paraId="51072E61">
            <w:pPr>
              <w:snapToGrid w:val="0"/>
              <w:spacing w:before="50" w:afterLines="50" w:line="400" w:lineRule="exact"/>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790" w:type="dxa"/>
            <w:vAlign w:val="center"/>
          </w:tcPr>
          <w:p w14:paraId="690B26E8">
            <w:pPr>
              <w:snapToGrid w:val="0"/>
              <w:spacing w:before="50" w:afterLines="50" w:line="400" w:lineRule="exact"/>
              <w:jc w:val="center"/>
              <w:rPr>
                <w:rFonts w:ascii="宋体" w:hAnsi="宋体" w:cs="宋体"/>
                <w:color w:val="auto"/>
                <w:szCs w:val="21"/>
                <w:highlight w:val="none"/>
              </w:rPr>
            </w:pPr>
            <w:r>
              <w:rPr>
                <w:rFonts w:hint="eastAsia" w:ascii="宋体" w:hAnsi="宋体" w:cs="宋体"/>
                <w:color w:val="auto"/>
                <w:szCs w:val="21"/>
                <w:highlight w:val="none"/>
              </w:rPr>
              <w:t>姓名</w:t>
            </w:r>
          </w:p>
        </w:tc>
        <w:tc>
          <w:tcPr>
            <w:tcW w:w="1146" w:type="dxa"/>
            <w:vAlign w:val="center"/>
          </w:tcPr>
          <w:p w14:paraId="78B60FB9">
            <w:pPr>
              <w:snapToGrid w:val="0"/>
              <w:spacing w:before="50" w:afterLines="50" w:line="400" w:lineRule="exact"/>
              <w:jc w:val="center"/>
              <w:rPr>
                <w:rFonts w:ascii="宋体" w:hAnsi="宋体" w:cs="宋体"/>
                <w:color w:val="auto"/>
                <w:szCs w:val="21"/>
                <w:highlight w:val="none"/>
              </w:rPr>
            </w:pPr>
            <w:r>
              <w:rPr>
                <w:rFonts w:hint="eastAsia" w:ascii="宋体" w:hAnsi="宋体" w:cs="宋体"/>
                <w:color w:val="auto"/>
                <w:szCs w:val="21"/>
                <w:highlight w:val="none"/>
              </w:rPr>
              <w:t>人员类型</w:t>
            </w:r>
          </w:p>
        </w:tc>
        <w:tc>
          <w:tcPr>
            <w:tcW w:w="686" w:type="dxa"/>
            <w:vAlign w:val="center"/>
          </w:tcPr>
          <w:p w14:paraId="7195DAB8">
            <w:pPr>
              <w:snapToGrid w:val="0"/>
              <w:spacing w:before="50" w:afterLines="50" w:line="400" w:lineRule="exact"/>
              <w:jc w:val="center"/>
              <w:rPr>
                <w:rFonts w:ascii="宋体" w:hAnsi="宋体" w:cs="宋体"/>
                <w:color w:val="auto"/>
                <w:szCs w:val="21"/>
                <w:highlight w:val="none"/>
              </w:rPr>
            </w:pPr>
            <w:r>
              <w:rPr>
                <w:rFonts w:hint="eastAsia" w:ascii="宋体" w:hAnsi="宋体" w:cs="宋体"/>
                <w:color w:val="auto"/>
                <w:szCs w:val="21"/>
                <w:highlight w:val="none"/>
              </w:rPr>
              <w:t>性别</w:t>
            </w:r>
          </w:p>
        </w:tc>
        <w:tc>
          <w:tcPr>
            <w:tcW w:w="567" w:type="dxa"/>
            <w:vAlign w:val="center"/>
          </w:tcPr>
          <w:p w14:paraId="5B89C2F9">
            <w:pPr>
              <w:snapToGrid w:val="0"/>
              <w:spacing w:before="50" w:afterLines="50" w:line="400" w:lineRule="exact"/>
              <w:jc w:val="center"/>
              <w:rPr>
                <w:rFonts w:ascii="宋体" w:hAnsi="宋体" w:cs="宋体"/>
                <w:color w:val="auto"/>
                <w:szCs w:val="21"/>
                <w:highlight w:val="none"/>
              </w:rPr>
            </w:pPr>
            <w:r>
              <w:rPr>
                <w:rFonts w:hint="eastAsia" w:ascii="宋体" w:hAnsi="宋体" w:cs="宋体"/>
                <w:color w:val="auto"/>
                <w:szCs w:val="21"/>
                <w:highlight w:val="none"/>
              </w:rPr>
              <w:t>学历</w:t>
            </w:r>
          </w:p>
        </w:tc>
        <w:tc>
          <w:tcPr>
            <w:tcW w:w="681" w:type="dxa"/>
            <w:vAlign w:val="center"/>
          </w:tcPr>
          <w:p w14:paraId="4B1D5569">
            <w:pPr>
              <w:snapToGrid w:val="0"/>
              <w:spacing w:before="50" w:afterLines="50" w:line="400" w:lineRule="exact"/>
              <w:jc w:val="center"/>
              <w:rPr>
                <w:rFonts w:ascii="宋体" w:hAnsi="宋体" w:cs="宋体"/>
                <w:color w:val="auto"/>
                <w:szCs w:val="21"/>
                <w:highlight w:val="none"/>
              </w:rPr>
            </w:pPr>
            <w:r>
              <w:rPr>
                <w:rFonts w:hint="eastAsia" w:ascii="宋体" w:hAnsi="宋体" w:cs="宋体"/>
                <w:color w:val="auto"/>
                <w:szCs w:val="21"/>
                <w:highlight w:val="none"/>
              </w:rPr>
              <w:t>职务</w:t>
            </w:r>
          </w:p>
        </w:tc>
        <w:tc>
          <w:tcPr>
            <w:tcW w:w="914" w:type="dxa"/>
            <w:vAlign w:val="center"/>
          </w:tcPr>
          <w:p w14:paraId="1459D046">
            <w:pPr>
              <w:snapToGrid w:val="0"/>
              <w:spacing w:before="50" w:afterLines="50" w:line="400" w:lineRule="exact"/>
              <w:jc w:val="center"/>
              <w:rPr>
                <w:rFonts w:ascii="宋体" w:hAnsi="宋体" w:cs="宋体"/>
                <w:color w:val="auto"/>
                <w:szCs w:val="21"/>
                <w:highlight w:val="none"/>
              </w:rPr>
            </w:pPr>
            <w:r>
              <w:rPr>
                <w:rFonts w:hint="eastAsia" w:ascii="宋体" w:hAnsi="宋体" w:cs="宋体"/>
                <w:color w:val="auto"/>
                <w:szCs w:val="21"/>
                <w:highlight w:val="none"/>
              </w:rPr>
              <w:t>资质证书</w:t>
            </w:r>
          </w:p>
        </w:tc>
        <w:tc>
          <w:tcPr>
            <w:tcW w:w="914" w:type="dxa"/>
            <w:vAlign w:val="center"/>
          </w:tcPr>
          <w:p w14:paraId="4C7A9503">
            <w:pPr>
              <w:snapToGrid w:val="0"/>
              <w:spacing w:before="50" w:afterLines="50" w:line="400" w:lineRule="exact"/>
              <w:jc w:val="center"/>
              <w:rPr>
                <w:rFonts w:ascii="宋体" w:hAnsi="宋体" w:cs="宋体"/>
                <w:color w:val="auto"/>
                <w:szCs w:val="21"/>
                <w:highlight w:val="none"/>
              </w:rPr>
            </w:pPr>
            <w:r>
              <w:rPr>
                <w:rFonts w:hint="eastAsia" w:ascii="宋体" w:hAnsi="宋体" w:cs="宋体"/>
                <w:color w:val="auto"/>
                <w:szCs w:val="21"/>
                <w:highlight w:val="none"/>
              </w:rPr>
              <w:t>证书编号</w:t>
            </w:r>
          </w:p>
        </w:tc>
        <w:tc>
          <w:tcPr>
            <w:tcW w:w="914" w:type="dxa"/>
            <w:vAlign w:val="center"/>
          </w:tcPr>
          <w:p w14:paraId="7AB2835A">
            <w:pPr>
              <w:snapToGrid w:val="0"/>
              <w:spacing w:before="50" w:afterLines="50" w:line="400" w:lineRule="exact"/>
              <w:jc w:val="center"/>
              <w:rPr>
                <w:rFonts w:ascii="宋体" w:hAnsi="宋体" w:cs="宋体"/>
                <w:color w:val="auto"/>
                <w:szCs w:val="21"/>
                <w:highlight w:val="none"/>
              </w:rPr>
            </w:pPr>
            <w:r>
              <w:rPr>
                <w:rFonts w:hint="eastAsia" w:ascii="宋体" w:hAnsi="宋体" w:cs="宋体"/>
                <w:color w:val="auto"/>
                <w:szCs w:val="21"/>
                <w:highlight w:val="none"/>
              </w:rPr>
              <w:t>身份证号</w:t>
            </w:r>
          </w:p>
        </w:tc>
        <w:tc>
          <w:tcPr>
            <w:tcW w:w="915" w:type="dxa"/>
            <w:vAlign w:val="center"/>
          </w:tcPr>
          <w:p w14:paraId="6AB4D3F2">
            <w:pPr>
              <w:snapToGrid w:val="0"/>
              <w:spacing w:before="50" w:afterLines="50" w:line="400" w:lineRule="exact"/>
              <w:jc w:val="center"/>
              <w:rPr>
                <w:rFonts w:ascii="宋体" w:hAnsi="宋体" w:cs="宋体"/>
                <w:color w:val="auto"/>
                <w:szCs w:val="21"/>
                <w:highlight w:val="none"/>
              </w:rPr>
            </w:pPr>
            <w:r>
              <w:rPr>
                <w:rFonts w:hint="eastAsia" w:ascii="宋体" w:hAnsi="宋体" w:cs="宋体"/>
                <w:color w:val="auto"/>
                <w:szCs w:val="21"/>
                <w:highlight w:val="none"/>
              </w:rPr>
              <w:t>联系电话</w:t>
            </w:r>
          </w:p>
        </w:tc>
        <w:tc>
          <w:tcPr>
            <w:tcW w:w="554" w:type="dxa"/>
            <w:vAlign w:val="center"/>
          </w:tcPr>
          <w:p w14:paraId="1272836E">
            <w:pPr>
              <w:snapToGrid w:val="0"/>
              <w:spacing w:before="50" w:afterLines="50" w:line="400" w:lineRule="exact"/>
              <w:jc w:val="center"/>
              <w:rPr>
                <w:rFonts w:ascii="宋体" w:hAnsi="宋体" w:cs="宋体"/>
                <w:color w:val="auto"/>
                <w:szCs w:val="21"/>
                <w:highlight w:val="none"/>
              </w:rPr>
            </w:pPr>
            <w:r>
              <w:rPr>
                <w:rFonts w:hint="eastAsia" w:ascii="宋体" w:hAnsi="宋体" w:cs="宋体"/>
                <w:color w:val="auto"/>
                <w:szCs w:val="21"/>
                <w:highlight w:val="none"/>
              </w:rPr>
              <w:t>备注</w:t>
            </w:r>
          </w:p>
        </w:tc>
      </w:tr>
      <w:tr w14:paraId="43954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jc w:val="center"/>
        </w:trPr>
        <w:tc>
          <w:tcPr>
            <w:tcW w:w="426" w:type="dxa"/>
            <w:vAlign w:val="center"/>
          </w:tcPr>
          <w:p w14:paraId="768660E3">
            <w:pPr>
              <w:snapToGrid w:val="0"/>
              <w:spacing w:before="50" w:afterLines="50" w:line="400" w:lineRule="exact"/>
              <w:jc w:val="center"/>
              <w:rPr>
                <w:rFonts w:ascii="宋体" w:hAnsi="宋体" w:cs="宋体"/>
                <w:color w:val="auto"/>
                <w:szCs w:val="21"/>
                <w:highlight w:val="none"/>
              </w:rPr>
            </w:pPr>
          </w:p>
        </w:tc>
        <w:tc>
          <w:tcPr>
            <w:tcW w:w="790" w:type="dxa"/>
            <w:vAlign w:val="center"/>
          </w:tcPr>
          <w:p w14:paraId="152242F2">
            <w:pPr>
              <w:snapToGrid w:val="0"/>
              <w:spacing w:before="50" w:afterLines="50" w:line="400" w:lineRule="exact"/>
              <w:jc w:val="center"/>
              <w:rPr>
                <w:rFonts w:ascii="宋体" w:hAnsi="宋体" w:cs="宋体"/>
                <w:color w:val="auto"/>
                <w:szCs w:val="21"/>
                <w:highlight w:val="none"/>
              </w:rPr>
            </w:pPr>
          </w:p>
        </w:tc>
        <w:tc>
          <w:tcPr>
            <w:tcW w:w="1146" w:type="dxa"/>
          </w:tcPr>
          <w:p w14:paraId="293FC392">
            <w:pPr>
              <w:snapToGrid w:val="0"/>
              <w:spacing w:before="50" w:afterLines="50" w:line="400" w:lineRule="exact"/>
              <w:jc w:val="center"/>
              <w:rPr>
                <w:rFonts w:ascii="宋体" w:hAnsi="宋体" w:cs="宋体"/>
                <w:color w:val="auto"/>
                <w:szCs w:val="21"/>
                <w:highlight w:val="none"/>
              </w:rPr>
            </w:pPr>
          </w:p>
        </w:tc>
        <w:tc>
          <w:tcPr>
            <w:tcW w:w="686" w:type="dxa"/>
            <w:vAlign w:val="center"/>
          </w:tcPr>
          <w:p w14:paraId="5C254828">
            <w:pPr>
              <w:snapToGrid w:val="0"/>
              <w:spacing w:before="50" w:afterLines="50" w:line="400" w:lineRule="exact"/>
              <w:jc w:val="center"/>
              <w:rPr>
                <w:rFonts w:ascii="宋体" w:hAnsi="宋体" w:cs="宋体"/>
                <w:color w:val="auto"/>
                <w:szCs w:val="21"/>
                <w:highlight w:val="none"/>
              </w:rPr>
            </w:pPr>
          </w:p>
        </w:tc>
        <w:tc>
          <w:tcPr>
            <w:tcW w:w="567" w:type="dxa"/>
            <w:vAlign w:val="center"/>
          </w:tcPr>
          <w:p w14:paraId="45775924">
            <w:pPr>
              <w:snapToGrid w:val="0"/>
              <w:spacing w:before="50" w:afterLines="50" w:line="400" w:lineRule="exact"/>
              <w:jc w:val="center"/>
              <w:rPr>
                <w:rFonts w:ascii="宋体" w:hAnsi="宋体" w:cs="宋体"/>
                <w:color w:val="auto"/>
                <w:szCs w:val="21"/>
                <w:highlight w:val="none"/>
              </w:rPr>
            </w:pPr>
          </w:p>
        </w:tc>
        <w:tc>
          <w:tcPr>
            <w:tcW w:w="681" w:type="dxa"/>
            <w:vAlign w:val="center"/>
          </w:tcPr>
          <w:p w14:paraId="3B4303F3">
            <w:pPr>
              <w:snapToGrid w:val="0"/>
              <w:spacing w:before="50" w:afterLines="50" w:line="400" w:lineRule="exact"/>
              <w:jc w:val="center"/>
              <w:rPr>
                <w:rFonts w:ascii="宋体" w:hAnsi="宋体" w:cs="宋体"/>
                <w:color w:val="auto"/>
                <w:szCs w:val="21"/>
                <w:highlight w:val="none"/>
              </w:rPr>
            </w:pPr>
          </w:p>
        </w:tc>
        <w:tc>
          <w:tcPr>
            <w:tcW w:w="914" w:type="dxa"/>
            <w:vAlign w:val="center"/>
          </w:tcPr>
          <w:p w14:paraId="3CC005C3">
            <w:pPr>
              <w:snapToGrid w:val="0"/>
              <w:spacing w:before="50" w:afterLines="50" w:line="400" w:lineRule="exact"/>
              <w:jc w:val="center"/>
              <w:rPr>
                <w:rFonts w:ascii="宋体" w:hAnsi="宋体" w:cs="宋体"/>
                <w:color w:val="auto"/>
                <w:szCs w:val="21"/>
                <w:highlight w:val="none"/>
              </w:rPr>
            </w:pPr>
          </w:p>
        </w:tc>
        <w:tc>
          <w:tcPr>
            <w:tcW w:w="914" w:type="dxa"/>
            <w:vAlign w:val="center"/>
          </w:tcPr>
          <w:p w14:paraId="23786B19">
            <w:pPr>
              <w:snapToGrid w:val="0"/>
              <w:spacing w:before="50" w:afterLines="50" w:line="400" w:lineRule="exact"/>
              <w:jc w:val="center"/>
              <w:rPr>
                <w:rFonts w:ascii="宋体" w:hAnsi="宋体" w:cs="宋体"/>
                <w:color w:val="auto"/>
                <w:szCs w:val="21"/>
                <w:highlight w:val="none"/>
              </w:rPr>
            </w:pPr>
          </w:p>
        </w:tc>
        <w:tc>
          <w:tcPr>
            <w:tcW w:w="914" w:type="dxa"/>
            <w:vAlign w:val="center"/>
          </w:tcPr>
          <w:p w14:paraId="1E4F16C9">
            <w:pPr>
              <w:snapToGrid w:val="0"/>
              <w:spacing w:before="50" w:afterLines="50" w:line="400" w:lineRule="exact"/>
              <w:jc w:val="center"/>
              <w:rPr>
                <w:rFonts w:ascii="宋体" w:hAnsi="宋体" w:cs="宋体"/>
                <w:color w:val="auto"/>
                <w:szCs w:val="21"/>
                <w:highlight w:val="none"/>
              </w:rPr>
            </w:pPr>
          </w:p>
        </w:tc>
        <w:tc>
          <w:tcPr>
            <w:tcW w:w="915" w:type="dxa"/>
            <w:vAlign w:val="center"/>
          </w:tcPr>
          <w:p w14:paraId="1507619E">
            <w:pPr>
              <w:snapToGrid w:val="0"/>
              <w:spacing w:before="50" w:afterLines="50" w:line="400" w:lineRule="exact"/>
              <w:jc w:val="center"/>
              <w:rPr>
                <w:rFonts w:ascii="宋体" w:hAnsi="宋体" w:cs="宋体"/>
                <w:color w:val="auto"/>
                <w:szCs w:val="21"/>
                <w:highlight w:val="none"/>
              </w:rPr>
            </w:pPr>
          </w:p>
        </w:tc>
        <w:tc>
          <w:tcPr>
            <w:tcW w:w="554" w:type="dxa"/>
            <w:vAlign w:val="center"/>
          </w:tcPr>
          <w:p w14:paraId="2598445A">
            <w:pPr>
              <w:snapToGrid w:val="0"/>
              <w:spacing w:before="50" w:afterLines="50" w:line="400" w:lineRule="exact"/>
              <w:jc w:val="center"/>
              <w:rPr>
                <w:rFonts w:ascii="宋体" w:hAnsi="宋体" w:cs="宋体"/>
                <w:color w:val="auto"/>
                <w:szCs w:val="21"/>
                <w:highlight w:val="none"/>
              </w:rPr>
            </w:pPr>
          </w:p>
        </w:tc>
      </w:tr>
      <w:tr w14:paraId="17D7C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jc w:val="center"/>
        </w:trPr>
        <w:tc>
          <w:tcPr>
            <w:tcW w:w="426" w:type="dxa"/>
            <w:vAlign w:val="center"/>
          </w:tcPr>
          <w:p w14:paraId="7759109F">
            <w:pPr>
              <w:snapToGrid w:val="0"/>
              <w:spacing w:before="50" w:afterLines="50" w:line="400" w:lineRule="exact"/>
              <w:jc w:val="center"/>
              <w:rPr>
                <w:rFonts w:ascii="宋体" w:hAnsi="宋体" w:cs="宋体"/>
                <w:color w:val="auto"/>
                <w:szCs w:val="21"/>
                <w:highlight w:val="none"/>
              </w:rPr>
            </w:pPr>
          </w:p>
        </w:tc>
        <w:tc>
          <w:tcPr>
            <w:tcW w:w="790" w:type="dxa"/>
            <w:vAlign w:val="center"/>
          </w:tcPr>
          <w:p w14:paraId="11A974A1">
            <w:pPr>
              <w:snapToGrid w:val="0"/>
              <w:spacing w:before="50" w:afterLines="50" w:line="400" w:lineRule="exact"/>
              <w:jc w:val="center"/>
              <w:rPr>
                <w:rFonts w:ascii="宋体" w:hAnsi="宋体" w:cs="宋体"/>
                <w:color w:val="auto"/>
                <w:szCs w:val="21"/>
                <w:highlight w:val="none"/>
              </w:rPr>
            </w:pPr>
          </w:p>
        </w:tc>
        <w:tc>
          <w:tcPr>
            <w:tcW w:w="1146" w:type="dxa"/>
          </w:tcPr>
          <w:p w14:paraId="5F18FF87">
            <w:pPr>
              <w:snapToGrid w:val="0"/>
              <w:spacing w:before="50" w:afterLines="50" w:line="400" w:lineRule="exact"/>
              <w:jc w:val="center"/>
              <w:rPr>
                <w:rFonts w:ascii="宋体" w:hAnsi="宋体" w:cs="宋体"/>
                <w:color w:val="auto"/>
                <w:szCs w:val="21"/>
                <w:highlight w:val="none"/>
              </w:rPr>
            </w:pPr>
          </w:p>
        </w:tc>
        <w:tc>
          <w:tcPr>
            <w:tcW w:w="686" w:type="dxa"/>
            <w:vAlign w:val="center"/>
          </w:tcPr>
          <w:p w14:paraId="270FEE1F">
            <w:pPr>
              <w:snapToGrid w:val="0"/>
              <w:spacing w:before="50" w:afterLines="50" w:line="400" w:lineRule="exact"/>
              <w:jc w:val="center"/>
              <w:rPr>
                <w:rFonts w:ascii="宋体" w:hAnsi="宋体" w:cs="宋体"/>
                <w:color w:val="auto"/>
                <w:szCs w:val="21"/>
                <w:highlight w:val="none"/>
              </w:rPr>
            </w:pPr>
          </w:p>
        </w:tc>
        <w:tc>
          <w:tcPr>
            <w:tcW w:w="567" w:type="dxa"/>
            <w:vAlign w:val="center"/>
          </w:tcPr>
          <w:p w14:paraId="624D84B2">
            <w:pPr>
              <w:snapToGrid w:val="0"/>
              <w:spacing w:before="50" w:afterLines="50" w:line="400" w:lineRule="exact"/>
              <w:jc w:val="center"/>
              <w:rPr>
                <w:rFonts w:ascii="宋体" w:hAnsi="宋体" w:cs="宋体"/>
                <w:color w:val="auto"/>
                <w:szCs w:val="21"/>
                <w:highlight w:val="none"/>
              </w:rPr>
            </w:pPr>
          </w:p>
        </w:tc>
        <w:tc>
          <w:tcPr>
            <w:tcW w:w="681" w:type="dxa"/>
            <w:vAlign w:val="center"/>
          </w:tcPr>
          <w:p w14:paraId="7DF47A7C">
            <w:pPr>
              <w:snapToGrid w:val="0"/>
              <w:spacing w:before="50" w:afterLines="50" w:line="400" w:lineRule="exact"/>
              <w:jc w:val="center"/>
              <w:rPr>
                <w:rFonts w:ascii="宋体" w:hAnsi="宋体" w:cs="宋体"/>
                <w:color w:val="auto"/>
                <w:szCs w:val="21"/>
                <w:highlight w:val="none"/>
              </w:rPr>
            </w:pPr>
          </w:p>
        </w:tc>
        <w:tc>
          <w:tcPr>
            <w:tcW w:w="914" w:type="dxa"/>
            <w:vAlign w:val="center"/>
          </w:tcPr>
          <w:p w14:paraId="0AADE23D">
            <w:pPr>
              <w:snapToGrid w:val="0"/>
              <w:spacing w:before="50" w:afterLines="50" w:line="400" w:lineRule="exact"/>
              <w:jc w:val="center"/>
              <w:rPr>
                <w:rFonts w:ascii="宋体" w:hAnsi="宋体" w:cs="宋体"/>
                <w:color w:val="auto"/>
                <w:szCs w:val="21"/>
                <w:highlight w:val="none"/>
              </w:rPr>
            </w:pPr>
          </w:p>
        </w:tc>
        <w:tc>
          <w:tcPr>
            <w:tcW w:w="914" w:type="dxa"/>
            <w:vAlign w:val="center"/>
          </w:tcPr>
          <w:p w14:paraId="293074F4">
            <w:pPr>
              <w:snapToGrid w:val="0"/>
              <w:spacing w:before="50" w:afterLines="50" w:line="400" w:lineRule="exact"/>
              <w:jc w:val="center"/>
              <w:rPr>
                <w:rFonts w:ascii="宋体" w:hAnsi="宋体" w:cs="宋体"/>
                <w:color w:val="auto"/>
                <w:szCs w:val="21"/>
                <w:highlight w:val="none"/>
              </w:rPr>
            </w:pPr>
          </w:p>
        </w:tc>
        <w:tc>
          <w:tcPr>
            <w:tcW w:w="914" w:type="dxa"/>
            <w:vAlign w:val="center"/>
          </w:tcPr>
          <w:p w14:paraId="01481E52">
            <w:pPr>
              <w:snapToGrid w:val="0"/>
              <w:spacing w:before="50" w:afterLines="50" w:line="400" w:lineRule="exact"/>
              <w:jc w:val="center"/>
              <w:rPr>
                <w:rFonts w:ascii="宋体" w:hAnsi="宋体" w:cs="宋体"/>
                <w:color w:val="auto"/>
                <w:szCs w:val="21"/>
                <w:highlight w:val="none"/>
              </w:rPr>
            </w:pPr>
          </w:p>
        </w:tc>
        <w:tc>
          <w:tcPr>
            <w:tcW w:w="915" w:type="dxa"/>
            <w:vAlign w:val="center"/>
          </w:tcPr>
          <w:p w14:paraId="1CF59CE7">
            <w:pPr>
              <w:snapToGrid w:val="0"/>
              <w:spacing w:before="50" w:afterLines="50" w:line="400" w:lineRule="exact"/>
              <w:jc w:val="center"/>
              <w:rPr>
                <w:rFonts w:ascii="宋体" w:hAnsi="宋体" w:cs="宋体"/>
                <w:color w:val="auto"/>
                <w:szCs w:val="21"/>
                <w:highlight w:val="none"/>
              </w:rPr>
            </w:pPr>
          </w:p>
        </w:tc>
        <w:tc>
          <w:tcPr>
            <w:tcW w:w="554" w:type="dxa"/>
            <w:vAlign w:val="center"/>
          </w:tcPr>
          <w:p w14:paraId="7EC64FEE">
            <w:pPr>
              <w:snapToGrid w:val="0"/>
              <w:spacing w:before="50" w:afterLines="50" w:line="400" w:lineRule="exact"/>
              <w:jc w:val="center"/>
              <w:rPr>
                <w:rFonts w:ascii="宋体" w:hAnsi="宋体" w:cs="宋体"/>
                <w:color w:val="auto"/>
                <w:szCs w:val="21"/>
                <w:highlight w:val="none"/>
              </w:rPr>
            </w:pPr>
          </w:p>
        </w:tc>
      </w:tr>
      <w:tr w14:paraId="0B5DB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jc w:val="center"/>
        </w:trPr>
        <w:tc>
          <w:tcPr>
            <w:tcW w:w="426" w:type="dxa"/>
            <w:vAlign w:val="center"/>
          </w:tcPr>
          <w:p w14:paraId="1C538E3C">
            <w:pPr>
              <w:snapToGrid w:val="0"/>
              <w:spacing w:before="50" w:afterLines="50" w:line="400" w:lineRule="exact"/>
              <w:jc w:val="center"/>
              <w:rPr>
                <w:rFonts w:ascii="宋体" w:hAnsi="宋体" w:cs="宋体"/>
                <w:color w:val="auto"/>
                <w:szCs w:val="21"/>
                <w:highlight w:val="none"/>
              </w:rPr>
            </w:pPr>
          </w:p>
        </w:tc>
        <w:tc>
          <w:tcPr>
            <w:tcW w:w="790" w:type="dxa"/>
            <w:vAlign w:val="center"/>
          </w:tcPr>
          <w:p w14:paraId="4ED41441">
            <w:pPr>
              <w:snapToGrid w:val="0"/>
              <w:spacing w:before="50" w:afterLines="50" w:line="400" w:lineRule="exact"/>
              <w:jc w:val="center"/>
              <w:rPr>
                <w:rFonts w:ascii="宋体" w:hAnsi="宋体" w:cs="宋体"/>
                <w:color w:val="auto"/>
                <w:szCs w:val="21"/>
                <w:highlight w:val="none"/>
              </w:rPr>
            </w:pPr>
          </w:p>
        </w:tc>
        <w:tc>
          <w:tcPr>
            <w:tcW w:w="1146" w:type="dxa"/>
          </w:tcPr>
          <w:p w14:paraId="44F258BD">
            <w:pPr>
              <w:snapToGrid w:val="0"/>
              <w:spacing w:before="50" w:afterLines="50" w:line="400" w:lineRule="exact"/>
              <w:jc w:val="center"/>
              <w:rPr>
                <w:rFonts w:ascii="宋体" w:hAnsi="宋体" w:cs="宋体"/>
                <w:color w:val="auto"/>
                <w:szCs w:val="21"/>
                <w:highlight w:val="none"/>
              </w:rPr>
            </w:pPr>
          </w:p>
        </w:tc>
        <w:tc>
          <w:tcPr>
            <w:tcW w:w="686" w:type="dxa"/>
            <w:vAlign w:val="center"/>
          </w:tcPr>
          <w:p w14:paraId="7763D55F">
            <w:pPr>
              <w:snapToGrid w:val="0"/>
              <w:spacing w:before="50" w:afterLines="50" w:line="400" w:lineRule="exact"/>
              <w:jc w:val="center"/>
              <w:rPr>
                <w:rFonts w:ascii="宋体" w:hAnsi="宋体" w:cs="宋体"/>
                <w:color w:val="auto"/>
                <w:szCs w:val="21"/>
                <w:highlight w:val="none"/>
              </w:rPr>
            </w:pPr>
          </w:p>
        </w:tc>
        <w:tc>
          <w:tcPr>
            <w:tcW w:w="567" w:type="dxa"/>
            <w:vAlign w:val="center"/>
          </w:tcPr>
          <w:p w14:paraId="71ECADCF">
            <w:pPr>
              <w:snapToGrid w:val="0"/>
              <w:spacing w:before="50" w:afterLines="50" w:line="400" w:lineRule="exact"/>
              <w:jc w:val="center"/>
              <w:rPr>
                <w:rFonts w:ascii="宋体" w:hAnsi="宋体" w:cs="宋体"/>
                <w:color w:val="auto"/>
                <w:szCs w:val="21"/>
                <w:highlight w:val="none"/>
              </w:rPr>
            </w:pPr>
          </w:p>
        </w:tc>
        <w:tc>
          <w:tcPr>
            <w:tcW w:w="681" w:type="dxa"/>
            <w:vAlign w:val="center"/>
          </w:tcPr>
          <w:p w14:paraId="082C67CB">
            <w:pPr>
              <w:snapToGrid w:val="0"/>
              <w:spacing w:before="50" w:afterLines="50" w:line="400" w:lineRule="exact"/>
              <w:jc w:val="center"/>
              <w:rPr>
                <w:rFonts w:ascii="宋体" w:hAnsi="宋体" w:cs="宋体"/>
                <w:color w:val="auto"/>
                <w:szCs w:val="21"/>
                <w:highlight w:val="none"/>
              </w:rPr>
            </w:pPr>
          </w:p>
        </w:tc>
        <w:tc>
          <w:tcPr>
            <w:tcW w:w="914" w:type="dxa"/>
            <w:vAlign w:val="center"/>
          </w:tcPr>
          <w:p w14:paraId="064F24B2">
            <w:pPr>
              <w:snapToGrid w:val="0"/>
              <w:spacing w:before="50" w:afterLines="50" w:line="400" w:lineRule="exact"/>
              <w:jc w:val="center"/>
              <w:rPr>
                <w:rFonts w:ascii="宋体" w:hAnsi="宋体" w:cs="宋体"/>
                <w:color w:val="auto"/>
                <w:szCs w:val="21"/>
                <w:highlight w:val="none"/>
              </w:rPr>
            </w:pPr>
          </w:p>
        </w:tc>
        <w:tc>
          <w:tcPr>
            <w:tcW w:w="914" w:type="dxa"/>
            <w:vAlign w:val="center"/>
          </w:tcPr>
          <w:p w14:paraId="230BC961">
            <w:pPr>
              <w:snapToGrid w:val="0"/>
              <w:spacing w:before="50" w:afterLines="50" w:line="400" w:lineRule="exact"/>
              <w:jc w:val="center"/>
              <w:rPr>
                <w:rFonts w:ascii="宋体" w:hAnsi="宋体" w:cs="宋体"/>
                <w:color w:val="auto"/>
                <w:szCs w:val="21"/>
                <w:highlight w:val="none"/>
              </w:rPr>
            </w:pPr>
          </w:p>
        </w:tc>
        <w:tc>
          <w:tcPr>
            <w:tcW w:w="914" w:type="dxa"/>
            <w:vAlign w:val="center"/>
          </w:tcPr>
          <w:p w14:paraId="5D35DB09">
            <w:pPr>
              <w:snapToGrid w:val="0"/>
              <w:spacing w:before="50" w:afterLines="50" w:line="400" w:lineRule="exact"/>
              <w:jc w:val="center"/>
              <w:rPr>
                <w:rFonts w:ascii="宋体" w:hAnsi="宋体" w:cs="宋体"/>
                <w:color w:val="auto"/>
                <w:szCs w:val="21"/>
                <w:highlight w:val="none"/>
              </w:rPr>
            </w:pPr>
          </w:p>
        </w:tc>
        <w:tc>
          <w:tcPr>
            <w:tcW w:w="915" w:type="dxa"/>
            <w:vAlign w:val="center"/>
          </w:tcPr>
          <w:p w14:paraId="41A4446E">
            <w:pPr>
              <w:snapToGrid w:val="0"/>
              <w:spacing w:before="50" w:afterLines="50" w:line="400" w:lineRule="exact"/>
              <w:jc w:val="center"/>
              <w:rPr>
                <w:rFonts w:ascii="宋体" w:hAnsi="宋体" w:cs="宋体"/>
                <w:color w:val="auto"/>
                <w:szCs w:val="21"/>
                <w:highlight w:val="none"/>
              </w:rPr>
            </w:pPr>
          </w:p>
        </w:tc>
        <w:tc>
          <w:tcPr>
            <w:tcW w:w="554" w:type="dxa"/>
            <w:vAlign w:val="center"/>
          </w:tcPr>
          <w:p w14:paraId="6FE06DBC">
            <w:pPr>
              <w:snapToGrid w:val="0"/>
              <w:spacing w:before="50" w:afterLines="50" w:line="400" w:lineRule="exact"/>
              <w:jc w:val="center"/>
              <w:rPr>
                <w:rFonts w:ascii="宋体" w:hAnsi="宋体" w:cs="宋体"/>
                <w:color w:val="auto"/>
                <w:szCs w:val="21"/>
                <w:highlight w:val="none"/>
              </w:rPr>
            </w:pPr>
          </w:p>
        </w:tc>
      </w:tr>
    </w:tbl>
    <w:p w14:paraId="2A3D57D9">
      <w:pPr>
        <w:snapToGrid w:val="0"/>
        <w:spacing w:line="400" w:lineRule="exact"/>
        <w:rPr>
          <w:rFonts w:ascii="宋体" w:hAnsi="宋体" w:cs="宋体"/>
          <w:color w:val="auto"/>
          <w:szCs w:val="21"/>
          <w:highlight w:val="none"/>
        </w:rPr>
      </w:pPr>
      <w:r>
        <w:rPr>
          <w:rFonts w:hint="eastAsia" w:ascii="宋体" w:hAnsi="宋体" w:cs="宋体"/>
          <w:color w:val="auto"/>
          <w:kern w:val="0"/>
          <w:szCs w:val="21"/>
          <w:highlight w:val="none"/>
        </w:rPr>
        <w:t>注：需提供以上拟投入人员的证明材料，证明材料见第四章《评审程序、评审方法和评审标准》规定。</w:t>
      </w:r>
    </w:p>
    <w:p w14:paraId="3F27774E">
      <w:pPr>
        <w:snapToGrid w:val="0"/>
        <w:spacing w:line="400" w:lineRule="exact"/>
        <w:ind w:firstLine="3990" w:firstLineChars="1900"/>
        <w:rPr>
          <w:rFonts w:ascii="宋体" w:hAnsi="宋体" w:cs="宋体"/>
          <w:color w:val="auto"/>
          <w:szCs w:val="21"/>
          <w:highlight w:val="none"/>
        </w:rPr>
      </w:pPr>
    </w:p>
    <w:p w14:paraId="63FD4657">
      <w:pPr>
        <w:snapToGrid w:val="0"/>
        <w:spacing w:before="50" w:after="50" w:line="400" w:lineRule="exact"/>
        <w:ind w:right="-817" w:rightChars="-389" w:firstLine="2310" w:firstLineChars="1100"/>
        <w:rPr>
          <w:rFonts w:ascii="宋体" w:hAnsi="宋体" w:cs="宋体"/>
          <w:color w:val="auto"/>
          <w:szCs w:val="21"/>
          <w:highlight w:val="none"/>
        </w:rPr>
      </w:pPr>
      <w:r>
        <w:rPr>
          <w:rFonts w:hint="eastAsia" w:ascii="宋体" w:hAnsi="宋体" w:cs="宋体"/>
          <w:color w:val="auto"/>
          <w:szCs w:val="21"/>
          <w:highlight w:val="none"/>
        </w:rPr>
        <w:t>法定代表人或者委托代理人（签字或电子签名）：</w:t>
      </w:r>
    </w:p>
    <w:p w14:paraId="7938FA2C">
      <w:pPr>
        <w:snapToGrid w:val="0"/>
        <w:spacing w:before="50" w:after="50" w:line="400" w:lineRule="exact"/>
        <w:ind w:right="-817" w:rightChars="-389" w:firstLine="2310" w:firstLineChars="1100"/>
        <w:rPr>
          <w:rFonts w:ascii="宋体" w:hAnsi="宋体" w:cs="宋体"/>
          <w:color w:val="auto"/>
          <w:szCs w:val="21"/>
          <w:highlight w:val="none"/>
        </w:rPr>
      </w:pPr>
      <w:r>
        <w:rPr>
          <w:rFonts w:hint="eastAsia" w:ascii="宋体" w:hAnsi="宋体" w:cs="宋体"/>
          <w:color w:val="auto"/>
          <w:szCs w:val="21"/>
          <w:highlight w:val="none"/>
        </w:rPr>
        <w:t>供应商（公章或电子签章）：</w:t>
      </w:r>
    </w:p>
    <w:p w14:paraId="3490441A">
      <w:pPr>
        <w:snapToGrid w:val="0"/>
        <w:spacing w:beforeLines="50" w:after="50" w:line="400" w:lineRule="exact"/>
        <w:ind w:right="480" w:firstLine="4620" w:firstLineChars="2200"/>
        <w:rPr>
          <w:rFonts w:ascii="宋体" w:hAnsi="宋体" w:cs="宋体"/>
          <w:color w:val="auto"/>
          <w:szCs w:val="21"/>
          <w:highlight w:val="none"/>
        </w:rPr>
      </w:pPr>
      <w:r>
        <w:rPr>
          <w:rFonts w:hint="eastAsia" w:ascii="宋体" w:hAnsi="宋体" w:cs="宋体"/>
          <w:color w:val="auto"/>
          <w:szCs w:val="21"/>
          <w:highlight w:val="none"/>
        </w:rPr>
        <w:t>年    月    日</w:t>
      </w:r>
    </w:p>
    <w:p w14:paraId="37F7AC86">
      <w:pPr>
        <w:snapToGrid w:val="0"/>
        <w:spacing w:before="50" w:after="50" w:line="400" w:lineRule="exact"/>
        <w:ind w:right="-817" w:rightChars="-389" w:firstLine="5250" w:firstLineChars="2500"/>
        <w:rPr>
          <w:rFonts w:ascii="宋体" w:hAnsi="宋体" w:cs="宋体"/>
          <w:color w:val="auto"/>
          <w:szCs w:val="21"/>
          <w:highlight w:val="none"/>
        </w:rPr>
      </w:pPr>
    </w:p>
    <w:p w14:paraId="2E0C0925">
      <w:pPr>
        <w:spacing w:line="400" w:lineRule="exact"/>
        <w:rPr>
          <w:rFonts w:ascii="宋体" w:hAnsi="宋体" w:cs="宋体"/>
          <w:b/>
          <w:color w:val="auto"/>
          <w:szCs w:val="21"/>
          <w:highlight w:val="none"/>
        </w:rPr>
      </w:pPr>
      <w:r>
        <w:rPr>
          <w:rFonts w:hint="eastAsia" w:ascii="宋体" w:hAnsi="宋体" w:cs="宋体"/>
          <w:color w:val="auto"/>
          <w:szCs w:val="21"/>
          <w:highlight w:val="none"/>
        </w:rPr>
        <w:br w:type="column"/>
      </w:r>
      <w:r>
        <w:rPr>
          <w:rFonts w:hint="eastAsia" w:ascii="宋体" w:hAnsi="宋体" w:cs="宋体"/>
          <w:b/>
          <w:color w:val="auto"/>
          <w:szCs w:val="21"/>
          <w:highlight w:val="none"/>
        </w:rPr>
        <w:t>6.业绩</w:t>
      </w:r>
    </w:p>
    <w:p w14:paraId="2053330C">
      <w:pPr>
        <w:snapToGrid w:val="0"/>
        <w:spacing w:before="50" w:afterLines="50" w:line="400" w:lineRule="exact"/>
        <w:jc w:val="center"/>
        <w:rPr>
          <w:rFonts w:ascii="宋体" w:hAnsi="宋体" w:cs="宋体"/>
          <w:b/>
          <w:color w:val="auto"/>
          <w:szCs w:val="21"/>
          <w:highlight w:val="none"/>
        </w:rPr>
      </w:pPr>
      <w:r>
        <w:rPr>
          <w:rFonts w:hint="eastAsia" w:ascii="宋体" w:hAnsi="宋体" w:cs="宋体"/>
          <w:b/>
          <w:color w:val="auto"/>
          <w:szCs w:val="21"/>
          <w:highlight w:val="none"/>
        </w:rPr>
        <w:t>同类业绩一览表</w:t>
      </w:r>
    </w:p>
    <w:p w14:paraId="12437338">
      <w:pPr>
        <w:pStyle w:val="16"/>
        <w:spacing w:line="400" w:lineRule="exact"/>
        <w:rPr>
          <w:rFonts w:hAnsi="宋体" w:cs="宋体"/>
          <w:color w:val="auto"/>
          <w:sz w:val="21"/>
          <w:highlight w:val="none"/>
          <w:u w:val="single"/>
        </w:rPr>
      </w:pPr>
      <w:r>
        <w:rPr>
          <w:rFonts w:hint="eastAsia" w:hAnsi="宋体" w:cs="宋体"/>
          <w:color w:val="auto"/>
          <w:sz w:val="21"/>
          <w:highlight w:val="none"/>
        </w:rPr>
        <w:t>项目名称：</w:t>
      </w:r>
    </w:p>
    <w:p w14:paraId="1114DB3B">
      <w:pPr>
        <w:pStyle w:val="16"/>
        <w:spacing w:line="400" w:lineRule="exact"/>
        <w:rPr>
          <w:rFonts w:hAnsi="宋体" w:cs="宋体"/>
          <w:color w:val="auto"/>
          <w:sz w:val="21"/>
          <w:highlight w:val="none"/>
          <w:u w:val="single"/>
        </w:rPr>
      </w:pPr>
      <w:r>
        <w:rPr>
          <w:rFonts w:hint="eastAsia" w:hAnsi="宋体" w:cs="宋体"/>
          <w:color w:val="auto"/>
          <w:sz w:val="21"/>
          <w:highlight w:val="none"/>
        </w:rPr>
        <w:t>项目编号：</w:t>
      </w:r>
    </w:p>
    <w:tbl>
      <w:tblPr>
        <w:tblStyle w:val="31"/>
        <w:tblpPr w:leftFromText="180" w:rightFromText="180" w:vertAnchor="text" w:horzAnchor="margin" w:tblpY="80"/>
        <w:tblW w:w="8513" w:type="dxa"/>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1768"/>
        <w:gridCol w:w="2298"/>
        <w:gridCol w:w="741"/>
        <w:gridCol w:w="846"/>
        <w:gridCol w:w="1154"/>
        <w:gridCol w:w="1706"/>
      </w:tblGrid>
      <w:tr w14:paraId="2FD5157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485" w:hRule="atLeast"/>
        </w:trPr>
        <w:tc>
          <w:tcPr>
            <w:tcW w:w="1768" w:type="dxa"/>
            <w:vMerge w:val="restart"/>
            <w:tcBorders>
              <w:top w:val="single" w:color="auto" w:sz="4" w:space="0"/>
              <w:left w:val="single" w:color="auto" w:sz="4" w:space="0"/>
              <w:bottom w:val="single" w:color="auto" w:sz="4" w:space="0"/>
              <w:right w:val="single" w:color="auto" w:sz="4" w:space="0"/>
            </w:tcBorders>
            <w:vAlign w:val="center"/>
          </w:tcPr>
          <w:p w14:paraId="73844C6D">
            <w:pPr>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采购单位名称</w:t>
            </w:r>
          </w:p>
        </w:tc>
        <w:tc>
          <w:tcPr>
            <w:tcW w:w="2298" w:type="dxa"/>
            <w:vMerge w:val="restart"/>
            <w:tcBorders>
              <w:top w:val="single" w:color="auto" w:sz="4" w:space="0"/>
              <w:left w:val="single" w:color="auto" w:sz="4" w:space="0"/>
              <w:bottom w:val="single" w:color="auto" w:sz="4" w:space="0"/>
              <w:right w:val="single" w:color="auto" w:sz="4" w:space="0"/>
            </w:tcBorders>
            <w:vAlign w:val="center"/>
          </w:tcPr>
          <w:p w14:paraId="0F8D0825">
            <w:pPr>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项目名称</w:t>
            </w:r>
          </w:p>
        </w:tc>
        <w:tc>
          <w:tcPr>
            <w:tcW w:w="741" w:type="dxa"/>
            <w:vMerge w:val="restart"/>
            <w:tcBorders>
              <w:top w:val="single" w:color="auto" w:sz="4" w:space="0"/>
              <w:left w:val="single" w:color="auto" w:sz="4" w:space="0"/>
              <w:bottom w:val="single" w:color="auto" w:sz="4" w:space="0"/>
              <w:right w:val="single" w:color="auto" w:sz="4" w:space="0"/>
            </w:tcBorders>
            <w:vAlign w:val="center"/>
          </w:tcPr>
          <w:p w14:paraId="5AB71D28">
            <w:pPr>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采购</w:t>
            </w:r>
          </w:p>
          <w:p w14:paraId="115F6E67">
            <w:pPr>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数量</w:t>
            </w:r>
          </w:p>
        </w:tc>
        <w:tc>
          <w:tcPr>
            <w:tcW w:w="846" w:type="dxa"/>
            <w:vMerge w:val="restart"/>
            <w:tcBorders>
              <w:top w:val="single" w:color="auto" w:sz="4" w:space="0"/>
              <w:left w:val="single" w:color="auto" w:sz="4" w:space="0"/>
              <w:bottom w:val="single" w:color="auto" w:sz="4" w:space="0"/>
              <w:right w:val="single" w:color="auto" w:sz="4" w:space="0"/>
            </w:tcBorders>
            <w:vAlign w:val="center"/>
          </w:tcPr>
          <w:p w14:paraId="5A19B247">
            <w:pPr>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单价（元）</w:t>
            </w:r>
          </w:p>
        </w:tc>
        <w:tc>
          <w:tcPr>
            <w:tcW w:w="1154" w:type="dxa"/>
            <w:vMerge w:val="restart"/>
            <w:tcBorders>
              <w:top w:val="single" w:color="auto" w:sz="4" w:space="0"/>
              <w:left w:val="single" w:color="auto" w:sz="4" w:space="0"/>
              <w:bottom w:val="single" w:color="auto" w:sz="4" w:space="0"/>
              <w:right w:val="single" w:color="auto" w:sz="4" w:space="0"/>
            </w:tcBorders>
            <w:vAlign w:val="center"/>
          </w:tcPr>
          <w:p w14:paraId="15BA5963">
            <w:pPr>
              <w:snapToGrid w:val="0"/>
              <w:spacing w:line="400" w:lineRule="exact"/>
              <w:jc w:val="center"/>
              <w:rPr>
                <w:rFonts w:ascii="宋体" w:hAnsi="宋体" w:cs="宋体"/>
                <w:color w:val="auto"/>
                <w:szCs w:val="21"/>
                <w:highlight w:val="none"/>
              </w:rPr>
            </w:pPr>
            <w:r>
              <w:rPr>
                <w:rFonts w:hint="eastAsia" w:ascii="宋体" w:hAnsi="宋体" w:cs="宋体"/>
                <w:color w:val="auto"/>
                <w:szCs w:val="21"/>
                <w:highlight w:val="none"/>
              </w:rPr>
              <w:t>合同总价（元）</w:t>
            </w:r>
          </w:p>
        </w:tc>
        <w:tc>
          <w:tcPr>
            <w:tcW w:w="1706" w:type="dxa"/>
            <w:vMerge w:val="restart"/>
            <w:tcBorders>
              <w:top w:val="single" w:color="auto" w:sz="4" w:space="0"/>
              <w:left w:val="single" w:color="auto" w:sz="4" w:space="0"/>
              <w:bottom w:val="single" w:color="auto" w:sz="4" w:space="0"/>
              <w:right w:val="single" w:color="auto" w:sz="4" w:space="0"/>
            </w:tcBorders>
            <w:vAlign w:val="center"/>
          </w:tcPr>
          <w:p w14:paraId="2CDC2EA4">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采购单位联系人及联系电话</w:t>
            </w:r>
          </w:p>
        </w:tc>
      </w:tr>
      <w:tr w14:paraId="5040732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833" w:hRule="atLeast"/>
        </w:trPr>
        <w:tc>
          <w:tcPr>
            <w:tcW w:w="1768" w:type="dxa"/>
            <w:vMerge w:val="continue"/>
            <w:tcBorders>
              <w:top w:val="single" w:color="auto" w:sz="4" w:space="0"/>
              <w:left w:val="single" w:color="auto" w:sz="4" w:space="0"/>
              <w:bottom w:val="single" w:color="auto" w:sz="4" w:space="0"/>
              <w:right w:val="single" w:color="auto" w:sz="4" w:space="0"/>
            </w:tcBorders>
            <w:vAlign w:val="center"/>
          </w:tcPr>
          <w:p w14:paraId="2A6E22B3">
            <w:pPr>
              <w:spacing w:line="400" w:lineRule="exact"/>
              <w:rPr>
                <w:rFonts w:ascii="宋体" w:hAnsi="宋体" w:cs="宋体"/>
                <w:color w:val="auto"/>
                <w:szCs w:val="21"/>
                <w:highlight w:val="none"/>
              </w:rPr>
            </w:pPr>
          </w:p>
        </w:tc>
        <w:tc>
          <w:tcPr>
            <w:tcW w:w="2298" w:type="dxa"/>
            <w:vMerge w:val="continue"/>
            <w:tcBorders>
              <w:top w:val="single" w:color="auto" w:sz="4" w:space="0"/>
              <w:left w:val="single" w:color="auto" w:sz="4" w:space="0"/>
              <w:bottom w:val="single" w:color="auto" w:sz="4" w:space="0"/>
              <w:right w:val="single" w:color="auto" w:sz="4" w:space="0"/>
            </w:tcBorders>
            <w:vAlign w:val="center"/>
          </w:tcPr>
          <w:p w14:paraId="723818D3">
            <w:pPr>
              <w:spacing w:line="400" w:lineRule="exact"/>
              <w:rPr>
                <w:rFonts w:ascii="宋体" w:hAnsi="宋体" w:cs="宋体"/>
                <w:color w:val="auto"/>
                <w:szCs w:val="21"/>
                <w:highlight w:val="none"/>
              </w:rPr>
            </w:pPr>
          </w:p>
        </w:tc>
        <w:tc>
          <w:tcPr>
            <w:tcW w:w="741" w:type="dxa"/>
            <w:vMerge w:val="continue"/>
            <w:tcBorders>
              <w:top w:val="single" w:color="auto" w:sz="4" w:space="0"/>
              <w:left w:val="single" w:color="auto" w:sz="4" w:space="0"/>
              <w:bottom w:val="single" w:color="auto" w:sz="4" w:space="0"/>
              <w:right w:val="single" w:color="auto" w:sz="4" w:space="0"/>
            </w:tcBorders>
            <w:vAlign w:val="center"/>
          </w:tcPr>
          <w:p w14:paraId="504534A4">
            <w:pPr>
              <w:spacing w:line="400" w:lineRule="exact"/>
              <w:rPr>
                <w:rFonts w:ascii="宋体" w:hAnsi="宋体" w:cs="宋体"/>
                <w:color w:val="auto"/>
                <w:szCs w:val="21"/>
                <w:highlight w:val="none"/>
              </w:rPr>
            </w:pPr>
          </w:p>
        </w:tc>
        <w:tc>
          <w:tcPr>
            <w:tcW w:w="846" w:type="dxa"/>
            <w:vMerge w:val="continue"/>
            <w:tcBorders>
              <w:top w:val="single" w:color="auto" w:sz="4" w:space="0"/>
              <w:left w:val="single" w:color="auto" w:sz="4" w:space="0"/>
              <w:bottom w:val="single" w:color="auto" w:sz="4" w:space="0"/>
              <w:right w:val="single" w:color="auto" w:sz="4" w:space="0"/>
            </w:tcBorders>
            <w:vAlign w:val="center"/>
          </w:tcPr>
          <w:p w14:paraId="465042C4">
            <w:pPr>
              <w:spacing w:line="400" w:lineRule="exact"/>
              <w:rPr>
                <w:rFonts w:ascii="宋体" w:hAnsi="宋体" w:cs="宋体"/>
                <w:color w:val="auto"/>
                <w:szCs w:val="21"/>
                <w:highlight w:val="none"/>
              </w:rPr>
            </w:pPr>
          </w:p>
        </w:tc>
        <w:tc>
          <w:tcPr>
            <w:tcW w:w="1154" w:type="dxa"/>
            <w:vMerge w:val="continue"/>
            <w:tcBorders>
              <w:top w:val="single" w:color="auto" w:sz="4" w:space="0"/>
              <w:left w:val="single" w:color="auto" w:sz="4" w:space="0"/>
              <w:bottom w:val="single" w:color="auto" w:sz="4" w:space="0"/>
              <w:right w:val="single" w:color="auto" w:sz="4" w:space="0"/>
            </w:tcBorders>
            <w:vAlign w:val="center"/>
          </w:tcPr>
          <w:p w14:paraId="1E4FDDD7">
            <w:pPr>
              <w:spacing w:line="400" w:lineRule="exact"/>
              <w:rPr>
                <w:rFonts w:ascii="宋体" w:hAnsi="宋体" w:cs="宋体"/>
                <w:color w:val="auto"/>
                <w:szCs w:val="21"/>
                <w:highlight w:val="none"/>
              </w:rPr>
            </w:pPr>
          </w:p>
        </w:tc>
        <w:tc>
          <w:tcPr>
            <w:tcW w:w="1706" w:type="dxa"/>
            <w:vMerge w:val="continue"/>
            <w:tcBorders>
              <w:top w:val="single" w:color="auto" w:sz="4" w:space="0"/>
              <w:left w:val="single" w:color="auto" w:sz="4" w:space="0"/>
              <w:bottom w:val="single" w:color="auto" w:sz="4" w:space="0"/>
              <w:right w:val="single" w:color="auto" w:sz="4" w:space="0"/>
            </w:tcBorders>
            <w:vAlign w:val="center"/>
          </w:tcPr>
          <w:p w14:paraId="58433D59">
            <w:pPr>
              <w:spacing w:line="400" w:lineRule="exact"/>
              <w:rPr>
                <w:rFonts w:ascii="宋体" w:hAnsi="宋体" w:cs="宋体"/>
                <w:color w:val="auto"/>
                <w:szCs w:val="21"/>
                <w:highlight w:val="none"/>
              </w:rPr>
            </w:pPr>
          </w:p>
        </w:tc>
      </w:tr>
      <w:tr w14:paraId="542D652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47" w:hRule="atLeast"/>
        </w:trPr>
        <w:tc>
          <w:tcPr>
            <w:tcW w:w="1768" w:type="dxa"/>
            <w:tcBorders>
              <w:top w:val="single" w:color="auto" w:sz="4" w:space="0"/>
              <w:left w:val="single" w:color="auto" w:sz="4" w:space="0"/>
              <w:bottom w:val="single" w:color="auto" w:sz="4" w:space="0"/>
              <w:right w:val="single" w:color="auto" w:sz="4" w:space="0"/>
            </w:tcBorders>
          </w:tcPr>
          <w:p w14:paraId="069E8095">
            <w:pPr>
              <w:snapToGrid w:val="0"/>
              <w:spacing w:line="400" w:lineRule="exact"/>
              <w:jc w:val="left"/>
              <w:rPr>
                <w:rFonts w:ascii="宋体" w:hAnsi="宋体" w:cs="宋体"/>
                <w:color w:val="auto"/>
                <w:szCs w:val="21"/>
                <w:highlight w:val="none"/>
              </w:rPr>
            </w:pPr>
          </w:p>
        </w:tc>
        <w:tc>
          <w:tcPr>
            <w:tcW w:w="2298" w:type="dxa"/>
            <w:tcBorders>
              <w:top w:val="single" w:color="auto" w:sz="4" w:space="0"/>
              <w:left w:val="single" w:color="auto" w:sz="4" w:space="0"/>
              <w:bottom w:val="single" w:color="auto" w:sz="4" w:space="0"/>
              <w:right w:val="single" w:color="auto" w:sz="4" w:space="0"/>
            </w:tcBorders>
          </w:tcPr>
          <w:p w14:paraId="222D91D7">
            <w:pPr>
              <w:snapToGrid w:val="0"/>
              <w:spacing w:line="400" w:lineRule="exact"/>
              <w:jc w:val="left"/>
              <w:rPr>
                <w:rFonts w:ascii="宋体" w:hAnsi="宋体" w:cs="宋体"/>
                <w:color w:val="auto"/>
                <w:szCs w:val="21"/>
                <w:highlight w:val="none"/>
              </w:rPr>
            </w:pPr>
          </w:p>
        </w:tc>
        <w:tc>
          <w:tcPr>
            <w:tcW w:w="741" w:type="dxa"/>
            <w:tcBorders>
              <w:top w:val="single" w:color="auto" w:sz="4" w:space="0"/>
              <w:left w:val="single" w:color="auto" w:sz="4" w:space="0"/>
              <w:bottom w:val="single" w:color="auto" w:sz="4" w:space="0"/>
              <w:right w:val="single" w:color="auto" w:sz="4" w:space="0"/>
            </w:tcBorders>
          </w:tcPr>
          <w:p w14:paraId="219671D4">
            <w:pPr>
              <w:snapToGrid w:val="0"/>
              <w:spacing w:line="400" w:lineRule="exact"/>
              <w:jc w:val="left"/>
              <w:rPr>
                <w:rFonts w:ascii="宋体" w:hAnsi="宋体" w:cs="宋体"/>
                <w:color w:val="auto"/>
                <w:szCs w:val="21"/>
                <w:highlight w:val="none"/>
              </w:rPr>
            </w:pPr>
          </w:p>
        </w:tc>
        <w:tc>
          <w:tcPr>
            <w:tcW w:w="846" w:type="dxa"/>
            <w:tcBorders>
              <w:top w:val="single" w:color="auto" w:sz="4" w:space="0"/>
              <w:left w:val="single" w:color="auto" w:sz="4" w:space="0"/>
              <w:bottom w:val="single" w:color="auto" w:sz="4" w:space="0"/>
              <w:right w:val="single" w:color="auto" w:sz="4" w:space="0"/>
            </w:tcBorders>
          </w:tcPr>
          <w:p w14:paraId="5E774F7C">
            <w:pPr>
              <w:snapToGrid w:val="0"/>
              <w:spacing w:line="400" w:lineRule="exact"/>
              <w:jc w:val="left"/>
              <w:rPr>
                <w:rFonts w:ascii="宋体" w:hAnsi="宋体" w:cs="宋体"/>
                <w:color w:val="auto"/>
                <w:szCs w:val="21"/>
                <w:highlight w:val="none"/>
              </w:rPr>
            </w:pPr>
          </w:p>
        </w:tc>
        <w:tc>
          <w:tcPr>
            <w:tcW w:w="1154" w:type="dxa"/>
            <w:tcBorders>
              <w:top w:val="single" w:color="auto" w:sz="4" w:space="0"/>
              <w:left w:val="single" w:color="auto" w:sz="4" w:space="0"/>
              <w:bottom w:val="single" w:color="auto" w:sz="4" w:space="0"/>
              <w:right w:val="single" w:color="auto" w:sz="4" w:space="0"/>
            </w:tcBorders>
          </w:tcPr>
          <w:p w14:paraId="09DB1302">
            <w:pPr>
              <w:snapToGrid w:val="0"/>
              <w:spacing w:line="400" w:lineRule="exact"/>
              <w:jc w:val="left"/>
              <w:rPr>
                <w:rFonts w:ascii="宋体" w:hAnsi="宋体" w:cs="宋体"/>
                <w:color w:val="auto"/>
                <w:szCs w:val="21"/>
                <w:highlight w:val="none"/>
              </w:rPr>
            </w:pPr>
          </w:p>
        </w:tc>
        <w:tc>
          <w:tcPr>
            <w:tcW w:w="1706" w:type="dxa"/>
            <w:tcBorders>
              <w:top w:val="single" w:color="auto" w:sz="4" w:space="0"/>
              <w:left w:val="single" w:color="auto" w:sz="4" w:space="0"/>
              <w:bottom w:val="single" w:color="auto" w:sz="4" w:space="0"/>
              <w:right w:val="single" w:color="auto" w:sz="4" w:space="0"/>
            </w:tcBorders>
          </w:tcPr>
          <w:p w14:paraId="710BC765">
            <w:pPr>
              <w:snapToGrid w:val="0"/>
              <w:spacing w:line="400" w:lineRule="exact"/>
              <w:jc w:val="left"/>
              <w:rPr>
                <w:rFonts w:ascii="宋体" w:hAnsi="宋体" w:cs="宋体"/>
                <w:color w:val="auto"/>
                <w:szCs w:val="21"/>
                <w:highlight w:val="none"/>
              </w:rPr>
            </w:pPr>
          </w:p>
        </w:tc>
      </w:tr>
      <w:tr w14:paraId="6E565FA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68" w:hRule="atLeast"/>
        </w:trPr>
        <w:tc>
          <w:tcPr>
            <w:tcW w:w="1768" w:type="dxa"/>
            <w:tcBorders>
              <w:top w:val="single" w:color="auto" w:sz="4" w:space="0"/>
              <w:left w:val="single" w:color="auto" w:sz="4" w:space="0"/>
              <w:bottom w:val="single" w:color="auto" w:sz="4" w:space="0"/>
              <w:right w:val="single" w:color="auto" w:sz="4" w:space="0"/>
            </w:tcBorders>
          </w:tcPr>
          <w:p w14:paraId="6693D808">
            <w:pPr>
              <w:snapToGrid w:val="0"/>
              <w:spacing w:before="50" w:afterLines="50" w:line="400" w:lineRule="exact"/>
              <w:jc w:val="left"/>
              <w:rPr>
                <w:rFonts w:ascii="宋体" w:hAnsi="宋体" w:cs="宋体"/>
                <w:color w:val="auto"/>
                <w:szCs w:val="21"/>
                <w:highlight w:val="none"/>
              </w:rPr>
            </w:pPr>
          </w:p>
        </w:tc>
        <w:tc>
          <w:tcPr>
            <w:tcW w:w="2298" w:type="dxa"/>
            <w:tcBorders>
              <w:top w:val="single" w:color="auto" w:sz="4" w:space="0"/>
              <w:left w:val="single" w:color="auto" w:sz="4" w:space="0"/>
              <w:bottom w:val="single" w:color="auto" w:sz="4" w:space="0"/>
              <w:right w:val="single" w:color="auto" w:sz="4" w:space="0"/>
            </w:tcBorders>
          </w:tcPr>
          <w:p w14:paraId="42D045F8">
            <w:pPr>
              <w:snapToGrid w:val="0"/>
              <w:spacing w:before="50" w:afterLines="50" w:line="400" w:lineRule="exact"/>
              <w:jc w:val="left"/>
              <w:rPr>
                <w:rFonts w:ascii="宋体" w:hAnsi="宋体" w:cs="宋体"/>
                <w:color w:val="auto"/>
                <w:szCs w:val="21"/>
                <w:highlight w:val="none"/>
              </w:rPr>
            </w:pPr>
          </w:p>
        </w:tc>
        <w:tc>
          <w:tcPr>
            <w:tcW w:w="741" w:type="dxa"/>
            <w:tcBorders>
              <w:top w:val="single" w:color="auto" w:sz="4" w:space="0"/>
              <w:left w:val="single" w:color="auto" w:sz="4" w:space="0"/>
              <w:bottom w:val="single" w:color="auto" w:sz="4" w:space="0"/>
              <w:right w:val="single" w:color="auto" w:sz="4" w:space="0"/>
            </w:tcBorders>
          </w:tcPr>
          <w:p w14:paraId="2B6B4FCB">
            <w:pPr>
              <w:snapToGrid w:val="0"/>
              <w:spacing w:before="50" w:afterLines="50" w:line="400" w:lineRule="exact"/>
              <w:jc w:val="left"/>
              <w:rPr>
                <w:rFonts w:ascii="宋体" w:hAnsi="宋体" w:cs="宋体"/>
                <w:color w:val="auto"/>
                <w:szCs w:val="21"/>
                <w:highlight w:val="none"/>
              </w:rPr>
            </w:pPr>
          </w:p>
        </w:tc>
        <w:tc>
          <w:tcPr>
            <w:tcW w:w="846" w:type="dxa"/>
            <w:tcBorders>
              <w:top w:val="single" w:color="auto" w:sz="4" w:space="0"/>
              <w:left w:val="single" w:color="auto" w:sz="4" w:space="0"/>
              <w:bottom w:val="single" w:color="auto" w:sz="4" w:space="0"/>
              <w:right w:val="single" w:color="auto" w:sz="4" w:space="0"/>
            </w:tcBorders>
          </w:tcPr>
          <w:p w14:paraId="3B9B692A">
            <w:pPr>
              <w:snapToGrid w:val="0"/>
              <w:spacing w:before="50" w:afterLines="50" w:line="400" w:lineRule="exact"/>
              <w:jc w:val="left"/>
              <w:rPr>
                <w:rFonts w:ascii="宋体" w:hAnsi="宋体" w:cs="宋体"/>
                <w:color w:val="auto"/>
                <w:szCs w:val="21"/>
                <w:highlight w:val="none"/>
              </w:rPr>
            </w:pPr>
          </w:p>
        </w:tc>
        <w:tc>
          <w:tcPr>
            <w:tcW w:w="1154" w:type="dxa"/>
            <w:tcBorders>
              <w:top w:val="single" w:color="auto" w:sz="4" w:space="0"/>
              <w:left w:val="single" w:color="auto" w:sz="4" w:space="0"/>
              <w:bottom w:val="single" w:color="auto" w:sz="4" w:space="0"/>
              <w:right w:val="single" w:color="auto" w:sz="4" w:space="0"/>
            </w:tcBorders>
          </w:tcPr>
          <w:p w14:paraId="37E24F37">
            <w:pPr>
              <w:snapToGrid w:val="0"/>
              <w:spacing w:before="50" w:afterLines="50" w:line="400" w:lineRule="exact"/>
              <w:jc w:val="left"/>
              <w:rPr>
                <w:rFonts w:ascii="宋体" w:hAnsi="宋体" w:cs="宋体"/>
                <w:color w:val="auto"/>
                <w:szCs w:val="21"/>
                <w:highlight w:val="none"/>
              </w:rPr>
            </w:pPr>
          </w:p>
        </w:tc>
        <w:tc>
          <w:tcPr>
            <w:tcW w:w="1706" w:type="dxa"/>
            <w:tcBorders>
              <w:top w:val="single" w:color="auto" w:sz="4" w:space="0"/>
              <w:left w:val="single" w:color="auto" w:sz="4" w:space="0"/>
              <w:bottom w:val="single" w:color="auto" w:sz="4" w:space="0"/>
              <w:right w:val="single" w:color="auto" w:sz="4" w:space="0"/>
            </w:tcBorders>
          </w:tcPr>
          <w:p w14:paraId="1B1F78A3">
            <w:pPr>
              <w:snapToGrid w:val="0"/>
              <w:spacing w:before="50" w:afterLines="50" w:line="400" w:lineRule="exact"/>
              <w:jc w:val="left"/>
              <w:rPr>
                <w:rFonts w:ascii="宋体" w:hAnsi="宋体" w:cs="宋体"/>
                <w:color w:val="auto"/>
                <w:szCs w:val="21"/>
                <w:highlight w:val="none"/>
              </w:rPr>
            </w:pPr>
          </w:p>
        </w:tc>
      </w:tr>
      <w:tr w14:paraId="69C133A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708" w:hRule="atLeast"/>
        </w:trPr>
        <w:tc>
          <w:tcPr>
            <w:tcW w:w="1768" w:type="dxa"/>
            <w:tcBorders>
              <w:top w:val="single" w:color="auto" w:sz="4" w:space="0"/>
              <w:left w:val="single" w:color="auto" w:sz="4" w:space="0"/>
              <w:bottom w:val="single" w:color="auto" w:sz="4" w:space="0"/>
              <w:right w:val="single" w:color="auto" w:sz="4" w:space="0"/>
            </w:tcBorders>
          </w:tcPr>
          <w:p w14:paraId="0C3C8029">
            <w:pPr>
              <w:snapToGrid w:val="0"/>
              <w:spacing w:before="50" w:afterLines="50" w:line="400" w:lineRule="exact"/>
              <w:jc w:val="left"/>
              <w:rPr>
                <w:rFonts w:ascii="宋体" w:hAnsi="宋体" w:cs="宋体"/>
                <w:color w:val="auto"/>
                <w:szCs w:val="21"/>
                <w:highlight w:val="none"/>
              </w:rPr>
            </w:pPr>
          </w:p>
        </w:tc>
        <w:tc>
          <w:tcPr>
            <w:tcW w:w="2298" w:type="dxa"/>
            <w:tcBorders>
              <w:top w:val="single" w:color="auto" w:sz="4" w:space="0"/>
              <w:left w:val="single" w:color="auto" w:sz="4" w:space="0"/>
              <w:bottom w:val="single" w:color="auto" w:sz="4" w:space="0"/>
              <w:right w:val="single" w:color="auto" w:sz="4" w:space="0"/>
            </w:tcBorders>
          </w:tcPr>
          <w:p w14:paraId="6E95A2A8">
            <w:pPr>
              <w:snapToGrid w:val="0"/>
              <w:spacing w:before="50" w:afterLines="50" w:line="400" w:lineRule="exact"/>
              <w:jc w:val="left"/>
              <w:rPr>
                <w:rFonts w:ascii="宋体" w:hAnsi="宋体" w:cs="宋体"/>
                <w:color w:val="auto"/>
                <w:szCs w:val="21"/>
                <w:highlight w:val="none"/>
              </w:rPr>
            </w:pPr>
          </w:p>
        </w:tc>
        <w:tc>
          <w:tcPr>
            <w:tcW w:w="741" w:type="dxa"/>
            <w:tcBorders>
              <w:top w:val="single" w:color="auto" w:sz="4" w:space="0"/>
              <w:left w:val="single" w:color="auto" w:sz="4" w:space="0"/>
              <w:bottom w:val="single" w:color="auto" w:sz="4" w:space="0"/>
              <w:right w:val="single" w:color="auto" w:sz="4" w:space="0"/>
            </w:tcBorders>
          </w:tcPr>
          <w:p w14:paraId="538410C3">
            <w:pPr>
              <w:snapToGrid w:val="0"/>
              <w:spacing w:before="50" w:afterLines="50" w:line="400" w:lineRule="exact"/>
              <w:jc w:val="left"/>
              <w:rPr>
                <w:rFonts w:ascii="宋体" w:hAnsi="宋体" w:cs="宋体"/>
                <w:color w:val="auto"/>
                <w:szCs w:val="21"/>
                <w:highlight w:val="none"/>
              </w:rPr>
            </w:pPr>
          </w:p>
        </w:tc>
        <w:tc>
          <w:tcPr>
            <w:tcW w:w="846" w:type="dxa"/>
            <w:tcBorders>
              <w:top w:val="single" w:color="auto" w:sz="4" w:space="0"/>
              <w:left w:val="single" w:color="auto" w:sz="4" w:space="0"/>
              <w:bottom w:val="single" w:color="auto" w:sz="4" w:space="0"/>
              <w:right w:val="single" w:color="auto" w:sz="4" w:space="0"/>
            </w:tcBorders>
          </w:tcPr>
          <w:p w14:paraId="3A8D4749">
            <w:pPr>
              <w:snapToGrid w:val="0"/>
              <w:spacing w:before="50" w:afterLines="50" w:line="400" w:lineRule="exact"/>
              <w:jc w:val="left"/>
              <w:rPr>
                <w:rFonts w:ascii="宋体" w:hAnsi="宋体" w:cs="宋体"/>
                <w:color w:val="auto"/>
                <w:szCs w:val="21"/>
                <w:highlight w:val="none"/>
              </w:rPr>
            </w:pPr>
          </w:p>
        </w:tc>
        <w:tc>
          <w:tcPr>
            <w:tcW w:w="1154" w:type="dxa"/>
            <w:tcBorders>
              <w:top w:val="single" w:color="auto" w:sz="4" w:space="0"/>
              <w:left w:val="single" w:color="auto" w:sz="4" w:space="0"/>
              <w:bottom w:val="single" w:color="auto" w:sz="4" w:space="0"/>
              <w:right w:val="single" w:color="auto" w:sz="4" w:space="0"/>
            </w:tcBorders>
          </w:tcPr>
          <w:p w14:paraId="100723D3">
            <w:pPr>
              <w:snapToGrid w:val="0"/>
              <w:spacing w:before="50" w:afterLines="50" w:line="400" w:lineRule="exact"/>
              <w:jc w:val="left"/>
              <w:rPr>
                <w:rFonts w:ascii="宋体" w:hAnsi="宋体" w:cs="宋体"/>
                <w:color w:val="auto"/>
                <w:szCs w:val="21"/>
                <w:highlight w:val="none"/>
              </w:rPr>
            </w:pPr>
          </w:p>
        </w:tc>
        <w:tc>
          <w:tcPr>
            <w:tcW w:w="1706" w:type="dxa"/>
            <w:tcBorders>
              <w:top w:val="single" w:color="auto" w:sz="4" w:space="0"/>
              <w:left w:val="single" w:color="auto" w:sz="4" w:space="0"/>
              <w:bottom w:val="single" w:color="auto" w:sz="4" w:space="0"/>
              <w:right w:val="single" w:color="auto" w:sz="4" w:space="0"/>
            </w:tcBorders>
          </w:tcPr>
          <w:p w14:paraId="75438A93">
            <w:pPr>
              <w:snapToGrid w:val="0"/>
              <w:spacing w:before="50" w:afterLines="50" w:line="400" w:lineRule="exact"/>
              <w:jc w:val="left"/>
              <w:rPr>
                <w:rFonts w:ascii="宋体" w:hAnsi="宋体" w:cs="宋体"/>
                <w:color w:val="auto"/>
                <w:szCs w:val="21"/>
                <w:highlight w:val="none"/>
              </w:rPr>
            </w:pPr>
          </w:p>
        </w:tc>
      </w:tr>
      <w:tr w14:paraId="4EB829D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68" w:hRule="atLeast"/>
        </w:trPr>
        <w:tc>
          <w:tcPr>
            <w:tcW w:w="1768" w:type="dxa"/>
            <w:tcBorders>
              <w:top w:val="single" w:color="auto" w:sz="4" w:space="0"/>
              <w:left w:val="single" w:color="auto" w:sz="4" w:space="0"/>
              <w:bottom w:val="single" w:color="auto" w:sz="4" w:space="0"/>
              <w:right w:val="single" w:color="auto" w:sz="4" w:space="0"/>
            </w:tcBorders>
          </w:tcPr>
          <w:p w14:paraId="36A150BA">
            <w:pPr>
              <w:snapToGrid w:val="0"/>
              <w:spacing w:before="50" w:afterLines="50" w:line="400" w:lineRule="exact"/>
              <w:jc w:val="left"/>
              <w:rPr>
                <w:rFonts w:ascii="宋体" w:hAnsi="宋体" w:cs="宋体"/>
                <w:color w:val="auto"/>
                <w:szCs w:val="21"/>
                <w:highlight w:val="none"/>
              </w:rPr>
            </w:pPr>
          </w:p>
        </w:tc>
        <w:tc>
          <w:tcPr>
            <w:tcW w:w="2298" w:type="dxa"/>
            <w:tcBorders>
              <w:top w:val="single" w:color="auto" w:sz="4" w:space="0"/>
              <w:left w:val="single" w:color="auto" w:sz="4" w:space="0"/>
              <w:bottom w:val="single" w:color="auto" w:sz="4" w:space="0"/>
              <w:right w:val="single" w:color="auto" w:sz="4" w:space="0"/>
            </w:tcBorders>
          </w:tcPr>
          <w:p w14:paraId="0D5AF847">
            <w:pPr>
              <w:snapToGrid w:val="0"/>
              <w:spacing w:before="50" w:afterLines="50" w:line="400" w:lineRule="exact"/>
              <w:jc w:val="left"/>
              <w:rPr>
                <w:rFonts w:ascii="宋体" w:hAnsi="宋体" w:cs="宋体"/>
                <w:color w:val="auto"/>
                <w:szCs w:val="21"/>
                <w:highlight w:val="none"/>
              </w:rPr>
            </w:pPr>
          </w:p>
        </w:tc>
        <w:tc>
          <w:tcPr>
            <w:tcW w:w="741" w:type="dxa"/>
            <w:tcBorders>
              <w:top w:val="single" w:color="auto" w:sz="4" w:space="0"/>
              <w:left w:val="single" w:color="auto" w:sz="4" w:space="0"/>
              <w:bottom w:val="single" w:color="auto" w:sz="4" w:space="0"/>
              <w:right w:val="single" w:color="auto" w:sz="4" w:space="0"/>
            </w:tcBorders>
          </w:tcPr>
          <w:p w14:paraId="6F0975F4">
            <w:pPr>
              <w:snapToGrid w:val="0"/>
              <w:spacing w:before="50" w:afterLines="50" w:line="400" w:lineRule="exact"/>
              <w:jc w:val="left"/>
              <w:rPr>
                <w:rFonts w:ascii="宋体" w:hAnsi="宋体" w:cs="宋体"/>
                <w:color w:val="auto"/>
                <w:szCs w:val="21"/>
                <w:highlight w:val="none"/>
              </w:rPr>
            </w:pPr>
          </w:p>
        </w:tc>
        <w:tc>
          <w:tcPr>
            <w:tcW w:w="846" w:type="dxa"/>
            <w:tcBorders>
              <w:top w:val="single" w:color="auto" w:sz="4" w:space="0"/>
              <w:left w:val="single" w:color="auto" w:sz="4" w:space="0"/>
              <w:bottom w:val="single" w:color="auto" w:sz="4" w:space="0"/>
              <w:right w:val="single" w:color="auto" w:sz="4" w:space="0"/>
            </w:tcBorders>
          </w:tcPr>
          <w:p w14:paraId="5EF2A9DD">
            <w:pPr>
              <w:snapToGrid w:val="0"/>
              <w:spacing w:before="50" w:afterLines="50" w:line="400" w:lineRule="exact"/>
              <w:jc w:val="left"/>
              <w:rPr>
                <w:rFonts w:ascii="宋体" w:hAnsi="宋体" w:cs="宋体"/>
                <w:color w:val="auto"/>
                <w:szCs w:val="21"/>
                <w:highlight w:val="none"/>
              </w:rPr>
            </w:pPr>
          </w:p>
        </w:tc>
        <w:tc>
          <w:tcPr>
            <w:tcW w:w="1154" w:type="dxa"/>
            <w:tcBorders>
              <w:top w:val="single" w:color="auto" w:sz="4" w:space="0"/>
              <w:left w:val="single" w:color="auto" w:sz="4" w:space="0"/>
              <w:bottom w:val="single" w:color="auto" w:sz="4" w:space="0"/>
              <w:right w:val="single" w:color="auto" w:sz="4" w:space="0"/>
            </w:tcBorders>
          </w:tcPr>
          <w:p w14:paraId="0B244BDA">
            <w:pPr>
              <w:snapToGrid w:val="0"/>
              <w:spacing w:before="50" w:afterLines="50" w:line="400" w:lineRule="exact"/>
              <w:jc w:val="left"/>
              <w:rPr>
                <w:rFonts w:ascii="宋体" w:hAnsi="宋体" w:cs="宋体"/>
                <w:color w:val="auto"/>
                <w:szCs w:val="21"/>
                <w:highlight w:val="none"/>
              </w:rPr>
            </w:pPr>
          </w:p>
        </w:tc>
        <w:tc>
          <w:tcPr>
            <w:tcW w:w="1706" w:type="dxa"/>
            <w:tcBorders>
              <w:top w:val="single" w:color="auto" w:sz="4" w:space="0"/>
              <w:left w:val="single" w:color="auto" w:sz="4" w:space="0"/>
              <w:bottom w:val="single" w:color="auto" w:sz="4" w:space="0"/>
              <w:right w:val="single" w:color="auto" w:sz="4" w:space="0"/>
            </w:tcBorders>
          </w:tcPr>
          <w:p w14:paraId="2DAD39F1">
            <w:pPr>
              <w:snapToGrid w:val="0"/>
              <w:spacing w:before="50" w:afterLines="50" w:line="400" w:lineRule="exact"/>
              <w:jc w:val="left"/>
              <w:rPr>
                <w:rFonts w:ascii="宋体" w:hAnsi="宋体" w:cs="宋体"/>
                <w:color w:val="auto"/>
                <w:szCs w:val="21"/>
                <w:highlight w:val="none"/>
              </w:rPr>
            </w:pPr>
          </w:p>
        </w:tc>
      </w:tr>
      <w:tr w14:paraId="1D94375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68" w:hRule="atLeast"/>
        </w:trPr>
        <w:tc>
          <w:tcPr>
            <w:tcW w:w="1768" w:type="dxa"/>
            <w:tcBorders>
              <w:top w:val="single" w:color="auto" w:sz="4" w:space="0"/>
              <w:left w:val="single" w:color="auto" w:sz="4" w:space="0"/>
              <w:bottom w:val="single" w:color="auto" w:sz="4" w:space="0"/>
              <w:right w:val="single" w:color="auto" w:sz="4" w:space="0"/>
            </w:tcBorders>
          </w:tcPr>
          <w:p w14:paraId="15B0B0B1">
            <w:pPr>
              <w:snapToGrid w:val="0"/>
              <w:spacing w:before="50" w:afterLines="50" w:line="400" w:lineRule="exact"/>
              <w:jc w:val="left"/>
              <w:rPr>
                <w:rFonts w:ascii="宋体" w:hAnsi="宋体" w:cs="宋体"/>
                <w:color w:val="auto"/>
                <w:szCs w:val="21"/>
                <w:highlight w:val="none"/>
              </w:rPr>
            </w:pPr>
          </w:p>
        </w:tc>
        <w:tc>
          <w:tcPr>
            <w:tcW w:w="2298" w:type="dxa"/>
            <w:tcBorders>
              <w:top w:val="single" w:color="auto" w:sz="4" w:space="0"/>
              <w:left w:val="single" w:color="auto" w:sz="4" w:space="0"/>
              <w:bottom w:val="single" w:color="auto" w:sz="4" w:space="0"/>
              <w:right w:val="single" w:color="auto" w:sz="4" w:space="0"/>
            </w:tcBorders>
          </w:tcPr>
          <w:p w14:paraId="0F30D4F7">
            <w:pPr>
              <w:snapToGrid w:val="0"/>
              <w:spacing w:before="50" w:afterLines="50" w:line="400" w:lineRule="exact"/>
              <w:jc w:val="left"/>
              <w:rPr>
                <w:rFonts w:ascii="宋体" w:hAnsi="宋体" w:cs="宋体"/>
                <w:color w:val="auto"/>
                <w:szCs w:val="21"/>
                <w:highlight w:val="none"/>
              </w:rPr>
            </w:pPr>
          </w:p>
        </w:tc>
        <w:tc>
          <w:tcPr>
            <w:tcW w:w="741" w:type="dxa"/>
            <w:tcBorders>
              <w:top w:val="single" w:color="auto" w:sz="4" w:space="0"/>
              <w:left w:val="single" w:color="auto" w:sz="4" w:space="0"/>
              <w:bottom w:val="single" w:color="auto" w:sz="4" w:space="0"/>
              <w:right w:val="single" w:color="auto" w:sz="4" w:space="0"/>
            </w:tcBorders>
          </w:tcPr>
          <w:p w14:paraId="5F9E00B6">
            <w:pPr>
              <w:snapToGrid w:val="0"/>
              <w:spacing w:before="50" w:afterLines="50" w:line="400" w:lineRule="exact"/>
              <w:jc w:val="left"/>
              <w:rPr>
                <w:rFonts w:ascii="宋体" w:hAnsi="宋体" w:cs="宋体"/>
                <w:color w:val="auto"/>
                <w:szCs w:val="21"/>
                <w:highlight w:val="none"/>
              </w:rPr>
            </w:pPr>
          </w:p>
        </w:tc>
        <w:tc>
          <w:tcPr>
            <w:tcW w:w="846" w:type="dxa"/>
            <w:tcBorders>
              <w:top w:val="single" w:color="auto" w:sz="4" w:space="0"/>
              <w:left w:val="single" w:color="auto" w:sz="4" w:space="0"/>
              <w:bottom w:val="single" w:color="auto" w:sz="4" w:space="0"/>
              <w:right w:val="single" w:color="auto" w:sz="4" w:space="0"/>
            </w:tcBorders>
          </w:tcPr>
          <w:p w14:paraId="6154E73A">
            <w:pPr>
              <w:snapToGrid w:val="0"/>
              <w:spacing w:before="50" w:afterLines="50" w:line="400" w:lineRule="exact"/>
              <w:jc w:val="left"/>
              <w:rPr>
                <w:rFonts w:ascii="宋体" w:hAnsi="宋体" w:cs="宋体"/>
                <w:color w:val="auto"/>
                <w:szCs w:val="21"/>
                <w:highlight w:val="none"/>
              </w:rPr>
            </w:pPr>
          </w:p>
        </w:tc>
        <w:tc>
          <w:tcPr>
            <w:tcW w:w="1154" w:type="dxa"/>
            <w:tcBorders>
              <w:top w:val="single" w:color="auto" w:sz="4" w:space="0"/>
              <w:left w:val="single" w:color="auto" w:sz="4" w:space="0"/>
              <w:bottom w:val="single" w:color="auto" w:sz="4" w:space="0"/>
              <w:right w:val="single" w:color="auto" w:sz="4" w:space="0"/>
            </w:tcBorders>
          </w:tcPr>
          <w:p w14:paraId="7E28EDEF">
            <w:pPr>
              <w:snapToGrid w:val="0"/>
              <w:spacing w:before="50" w:afterLines="50" w:line="400" w:lineRule="exact"/>
              <w:jc w:val="left"/>
              <w:rPr>
                <w:rFonts w:ascii="宋体" w:hAnsi="宋体" w:cs="宋体"/>
                <w:color w:val="auto"/>
                <w:szCs w:val="21"/>
                <w:highlight w:val="none"/>
              </w:rPr>
            </w:pPr>
          </w:p>
        </w:tc>
        <w:tc>
          <w:tcPr>
            <w:tcW w:w="1706" w:type="dxa"/>
            <w:tcBorders>
              <w:top w:val="single" w:color="auto" w:sz="4" w:space="0"/>
              <w:left w:val="single" w:color="auto" w:sz="4" w:space="0"/>
              <w:bottom w:val="single" w:color="auto" w:sz="4" w:space="0"/>
              <w:right w:val="single" w:color="auto" w:sz="4" w:space="0"/>
            </w:tcBorders>
          </w:tcPr>
          <w:p w14:paraId="57178FD0">
            <w:pPr>
              <w:snapToGrid w:val="0"/>
              <w:spacing w:before="50" w:afterLines="50" w:line="400" w:lineRule="exact"/>
              <w:jc w:val="left"/>
              <w:rPr>
                <w:rFonts w:ascii="宋体" w:hAnsi="宋体" w:cs="宋体"/>
                <w:color w:val="auto"/>
                <w:szCs w:val="21"/>
                <w:highlight w:val="none"/>
              </w:rPr>
            </w:pPr>
          </w:p>
        </w:tc>
      </w:tr>
    </w:tbl>
    <w:p w14:paraId="617C3D59">
      <w:pPr>
        <w:snapToGrid w:val="0"/>
        <w:spacing w:before="50"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注：</w:t>
      </w:r>
    </w:p>
    <w:p w14:paraId="47FDCBFA">
      <w:pPr>
        <w:snapToGrid w:val="0"/>
        <w:spacing w:before="50"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（1）未附证明材料的业绩无效，证明材料见第四章《评审程序、评审方法和评审标准》规定。</w:t>
      </w:r>
    </w:p>
    <w:p w14:paraId="5C37FCF9">
      <w:pPr>
        <w:snapToGrid w:val="0"/>
        <w:spacing w:before="50"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w:t>
      </w:r>
      <w:bookmarkStart w:id="132" w:name="_Hlk19049505"/>
      <w:r>
        <w:rPr>
          <w:rFonts w:hint="eastAsia" w:ascii="宋体" w:hAnsi="宋体" w:cs="宋体"/>
          <w:color w:val="auto"/>
          <w:kern w:val="0"/>
          <w:szCs w:val="21"/>
          <w:highlight w:val="none"/>
        </w:rPr>
        <w:t>本表可拓展。</w:t>
      </w:r>
      <w:bookmarkEnd w:id="132"/>
    </w:p>
    <w:p w14:paraId="6F0D5B5F">
      <w:pPr>
        <w:snapToGrid w:val="0"/>
        <w:spacing w:before="50" w:line="400" w:lineRule="exact"/>
        <w:jc w:val="left"/>
        <w:rPr>
          <w:rFonts w:ascii="宋体" w:hAnsi="宋体" w:cs="宋体"/>
          <w:color w:val="auto"/>
          <w:szCs w:val="21"/>
          <w:highlight w:val="none"/>
        </w:rPr>
      </w:pPr>
    </w:p>
    <w:p w14:paraId="0676FB39">
      <w:pPr>
        <w:snapToGrid w:val="0"/>
        <w:spacing w:before="50" w:after="50" w:line="400" w:lineRule="exact"/>
        <w:ind w:right="-817" w:rightChars="-389" w:firstLine="2310" w:firstLineChars="1100"/>
        <w:rPr>
          <w:rFonts w:ascii="宋体" w:hAnsi="宋体" w:cs="宋体"/>
          <w:color w:val="auto"/>
          <w:szCs w:val="21"/>
          <w:highlight w:val="none"/>
        </w:rPr>
      </w:pPr>
      <w:r>
        <w:rPr>
          <w:rFonts w:hint="eastAsia" w:ascii="宋体" w:hAnsi="宋体" w:cs="宋体"/>
          <w:color w:val="auto"/>
          <w:szCs w:val="21"/>
          <w:highlight w:val="none"/>
        </w:rPr>
        <w:t>法定代表人或者委托代理人（签字或电子签名）：</w:t>
      </w:r>
    </w:p>
    <w:p w14:paraId="40BAB290">
      <w:pPr>
        <w:snapToGrid w:val="0"/>
        <w:spacing w:before="50" w:after="50" w:line="400" w:lineRule="exact"/>
        <w:ind w:right="-817" w:rightChars="-389" w:firstLine="2310" w:firstLineChars="1100"/>
        <w:rPr>
          <w:rFonts w:ascii="宋体" w:hAnsi="宋体" w:cs="宋体"/>
          <w:color w:val="auto"/>
          <w:szCs w:val="21"/>
          <w:highlight w:val="none"/>
        </w:rPr>
      </w:pPr>
      <w:r>
        <w:rPr>
          <w:rFonts w:hint="eastAsia" w:ascii="宋体" w:hAnsi="宋体" w:cs="宋体"/>
          <w:color w:val="auto"/>
          <w:szCs w:val="21"/>
          <w:highlight w:val="none"/>
        </w:rPr>
        <w:t>供应商（公章或电子签章）：</w:t>
      </w:r>
    </w:p>
    <w:p w14:paraId="022962B4">
      <w:pPr>
        <w:snapToGrid w:val="0"/>
        <w:spacing w:beforeLines="50" w:after="50" w:line="400" w:lineRule="exact"/>
        <w:ind w:right="480" w:firstLine="4620" w:firstLineChars="2200"/>
        <w:rPr>
          <w:rFonts w:ascii="宋体" w:hAnsi="宋体" w:cs="宋体"/>
          <w:color w:val="auto"/>
          <w:szCs w:val="21"/>
          <w:highlight w:val="none"/>
        </w:rPr>
      </w:pPr>
      <w:r>
        <w:rPr>
          <w:rFonts w:hint="eastAsia" w:ascii="宋体" w:hAnsi="宋体" w:cs="宋体"/>
          <w:color w:val="auto"/>
          <w:szCs w:val="21"/>
          <w:highlight w:val="none"/>
        </w:rPr>
        <w:t>年    月    日</w:t>
      </w:r>
    </w:p>
    <w:p w14:paraId="34BD3C07">
      <w:pPr>
        <w:snapToGrid w:val="0"/>
        <w:spacing w:before="50" w:after="50" w:line="400" w:lineRule="exact"/>
        <w:ind w:right="-817" w:rightChars="-389" w:firstLine="5250" w:firstLineChars="2500"/>
        <w:rPr>
          <w:rFonts w:ascii="宋体" w:hAnsi="宋体" w:cs="宋体"/>
          <w:color w:val="auto"/>
          <w:szCs w:val="21"/>
          <w:highlight w:val="none"/>
        </w:rPr>
      </w:pPr>
    </w:p>
    <w:p w14:paraId="33A50934">
      <w:pPr>
        <w:pStyle w:val="27"/>
        <w:spacing w:line="400" w:lineRule="exact"/>
        <w:jc w:val="both"/>
        <w:rPr>
          <w:rFonts w:ascii="宋体" w:hAnsi="宋体" w:cs="宋体"/>
          <w:bCs w:val="0"/>
          <w:color w:val="auto"/>
          <w:kern w:val="2"/>
          <w:sz w:val="21"/>
          <w:szCs w:val="21"/>
          <w:highlight w:val="none"/>
        </w:rPr>
        <w:sectPr>
          <w:pgSz w:w="11906" w:h="16838"/>
          <w:pgMar w:top="1440" w:right="1803" w:bottom="1440" w:left="1803" w:header="851" w:footer="992" w:gutter="0"/>
          <w:pgNumType w:fmt="decimal"/>
          <w:cols w:space="0" w:num="1"/>
          <w:titlePg/>
          <w:docGrid w:type="lines" w:linePitch="319" w:charSpace="0"/>
        </w:sectPr>
      </w:pPr>
    </w:p>
    <w:p w14:paraId="205906ED">
      <w:pPr>
        <w:spacing w:beforeLines="100" w:afterLines="100" w:line="400" w:lineRule="exact"/>
        <w:jc w:val="center"/>
        <w:rPr>
          <w:rFonts w:ascii="宋体" w:hAnsi="宋体" w:cs="宋体"/>
          <w:bCs/>
          <w:color w:val="auto"/>
          <w:szCs w:val="21"/>
          <w:highlight w:val="none"/>
        </w:rPr>
      </w:pPr>
      <w:r>
        <w:rPr>
          <w:rFonts w:hint="eastAsia" w:ascii="宋体" w:hAnsi="宋体" w:cs="宋体"/>
          <w:b/>
          <w:bCs/>
          <w:color w:val="auto"/>
          <w:szCs w:val="21"/>
          <w:highlight w:val="none"/>
        </w:rPr>
        <w:t>二．技术部分</w:t>
      </w:r>
    </w:p>
    <w:p w14:paraId="5DE49D89">
      <w:pPr>
        <w:spacing w:beforeLines="100" w:afterLines="100" w:line="400" w:lineRule="exact"/>
        <w:rPr>
          <w:rFonts w:ascii="宋体" w:hAnsi="宋体" w:cs="宋体"/>
          <w:bCs/>
          <w:color w:val="auto"/>
          <w:szCs w:val="21"/>
          <w:highlight w:val="none"/>
        </w:rPr>
      </w:pPr>
      <w:r>
        <w:rPr>
          <w:rFonts w:hint="eastAsia" w:ascii="宋体" w:hAnsi="宋体" w:cs="宋体"/>
          <w:b/>
          <w:color w:val="auto"/>
          <w:szCs w:val="21"/>
          <w:highlight w:val="none"/>
        </w:rPr>
        <w:t>1.技术需求偏离表</w:t>
      </w:r>
    </w:p>
    <w:p w14:paraId="4E2EF43D">
      <w:pPr>
        <w:pStyle w:val="16"/>
        <w:spacing w:line="400" w:lineRule="exact"/>
        <w:rPr>
          <w:rFonts w:hAnsi="宋体" w:cs="宋体"/>
          <w:color w:val="auto"/>
          <w:sz w:val="21"/>
          <w:highlight w:val="none"/>
          <w:u w:val="single"/>
        </w:rPr>
      </w:pPr>
      <w:r>
        <w:rPr>
          <w:rFonts w:hint="eastAsia" w:hAnsi="宋体" w:cs="宋体"/>
          <w:color w:val="auto"/>
          <w:sz w:val="21"/>
          <w:highlight w:val="none"/>
        </w:rPr>
        <w:t>项目名称：</w:t>
      </w:r>
    </w:p>
    <w:p w14:paraId="6E37151B">
      <w:pPr>
        <w:pStyle w:val="16"/>
        <w:spacing w:line="400" w:lineRule="exact"/>
        <w:rPr>
          <w:rFonts w:hAnsi="宋体" w:cs="宋体"/>
          <w:color w:val="auto"/>
          <w:sz w:val="21"/>
          <w:highlight w:val="none"/>
          <w:u w:val="single"/>
        </w:rPr>
      </w:pPr>
      <w:r>
        <w:rPr>
          <w:rFonts w:hint="eastAsia" w:hAnsi="宋体" w:cs="宋体"/>
          <w:color w:val="auto"/>
          <w:sz w:val="21"/>
          <w:highlight w:val="none"/>
        </w:rPr>
        <w:t>项目编号：</w:t>
      </w:r>
    </w:p>
    <w:tbl>
      <w:tblPr>
        <w:tblStyle w:val="31"/>
        <w:tblW w:w="8513"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55"/>
        <w:gridCol w:w="855"/>
        <w:gridCol w:w="2845"/>
        <w:gridCol w:w="2561"/>
        <w:gridCol w:w="1397"/>
      </w:tblGrid>
      <w:tr w14:paraId="758125C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72" w:hRule="atLeast"/>
          <w:jc w:val="center"/>
        </w:trPr>
        <w:tc>
          <w:tcPr>
            <w:tcW w:w="855" w:type="dxa"/>
            <w:vAlign w:val="center"/>
          </w:tcPr>
          <w:p w14:paraId="05B34409">
            <w:pPr>
              <w:pStyle w:val="13"/>
              <w:spacing w:line="400" w:lineRule="exact"/>
              <w:ind w:firstLine="0" w:firstLineChars="0"/>
              <w:jc w:val="center"/>
              <w:rPr>
                <w:rFonts w:ascii="宋体" w:hAnsi="宋体" w:eastAsia="宋体" w:cs="宋体"/>
                <w:color w:val="auto"/>
                <w:kern w:val="2"/>
                <w:sz w:val="21"/>
                <w:szCs w:val="21"/>
                <w:highlight w:val="none"/>
              </w:rPr>
            </w:pPr>
            <w:bookmarkStart w:id="133" w:name="_Toc383699906"/>
            <w:bookmarkStart w:id="134" w:name="_Toc297193185"/>
            <w:bookmarkStart w:id="135" w:name="_Toc173066401"/>
            <w:bookmarkStart w:id="136" w:name="_Toc254970729"/>
            <w:bookmarkStart w:id="137" w:name="_Toc373333689"/>
            <w:bookmarkStart w:id="138" w:name="_Toc295404981"/>
            <w:bookmarkStart w:id="139" w:name="_Toc254970588"/>
            <w:bookmarkStart w:id="140" w:name="_Toc173211900"/>
            <w:bookmarkStart w:id="141" w:name="_Toc301781611"/>
            <w:r>
              <w:rPr>
                <w:rFonts w:hint="eastAsia" w:ascii="宋体" w:hAnsi="宋体" w:eastAsia="宋体" w:cs="宋体"/>
                <w:color w:val="auto"/>
                <w:kern w:val="2"/>
                <w:sz w:val="21"/>
                <w:szCs w:val="21"/>
                <w:highlight w:val="none"/>
              </w:rPr>
              <w:t>序号</w:t>
            </w:r>
            <w:bookmarkEnd w:id="133"/>
            <w:bookmarkEnd w:id="134"/>
            <w:bookmarkEnd w:id="135"/>
            <w:bookmarkEnd w:id="136"/>
            <w:bookmarkEnd w:id="137"/>
            <w:bookmarkEnd w:id="138"/>
            <w:bookmarkEnd w:id="139"/>
            <w:bookmarkEnd w:id="140"/>
            <w:bookmarkEnd w:id="141"/>
          </w:p>
        </w:tc>
        <w:tc>
          <w:tcPr>
            <w:tcW w:w="855" w:type="dxa"/>
            <w:tcBorders>
              <w:right w:val="single" w:color="auto" w:sz="4" w:space="0"/>
            </w:tcBorders>
            <w:vAlign w:val="center"/>
          </w:tcPr>
          <w:p w14:paraId="3632E597">
            <w:pPr>
              <w:pStyle w:val="13"/>
              <w:spacing w:line="400" w:lineRule="exact"/>
              <w:ind w:firstLine="0" w:firstLineChars="0"/>
              <w:jc w:val="center"/>
              <w:rPr>
                <w:rFonts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名称</w:t>
            </w:r>
          </w:p>
        </w:tc>
        <w:tc>
          <w:tcPr>
            <w:tcW w:w="2845" w:type="dxa"/>
            <w:tcBorders>
              <w:left w:val="single" w:color="auto" w:sz="4" w:space="0"/>
            </w:tcBorders>
            <w:vAlign w:val="center"/>
          </w:tcPr>
          <w:p w14:paraId="673527B5">
            <w:pPr>
              <w:pStyle w:val="13"/>
              <w:spacing w:line="400" w:lineRule="exact"/>
              <w:ind w:firstLine="0" w:firstLineChars="0"/>
              <w:jc w:val="center"/>
              <w:rPr>
                <w:rFonts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磋商文件技术需求</w:t>
            </w:r>
          </w:p>
        </w:tc>
        <w:tc>
          <w:tcPr>
            <w:tcW w:w="2561" w:type="dxa"/>
            <w:vAlign w:val="center"/>
          </w:tcPr>
          <w:p w14:paraId="4EC26CCB">
            <w:pPr>
              <w:pStyle w:val="13"/>
              <w:spacing w:line="400" w:lineRule="exact"/>
              <w:ind w:firstLine="0" w:firstLineChars="0"/>
              <w:jc w:val="center"/>
              <w:rPr>
                <w:rFonts w:ascii="宋体" w:hAnsi="宋体" w:eastAsia="宋体" w:cs="宋体"/>
                <w:color w:val="auto"/>
                <w:kern w:val="2"/>
                <w:sz w:val="21"/>
                <w:szCs w:val="21"/>
                <w:highlight w:val="none"/>
              </w:rPr>
            </w:pPr>
            <w:bookmarkStart w:id="142" w:name="_Toc254970731"/>
            <w:bookmarkStart w:id="143" w:name="_Toc373333691"/>
            <w:bookmarkStart w:id="144" w:name="_Toc254970590"/>
            <w:bookmarkStart w:id="145" w:name="_Toc173211902"/>
            <w:bookmarkStart w:id="146" w:name="_Toc295404983"/>
            <w:bookmarkStart w:id="147" w:name="_Toc383699908"/>
            <w:bookmarkStart w:id="148" w:name="_Toc301781613"/>
            <w:bookmarkStart w:id="149" w:name="_Toc173066403"/>
            <w:bookmarkStart w:id="150" w:name="_Toc297193187"/>
            <w:r>
              <w:rPr>
                <w:rFonts w:hint="eastAsia" w:ascii="宋体" w:hAnsi="宋体" w:eastAsia="宋体" w:cs="宋体"/>
                <w:color w:val="auto"/>
                <w:kern w:val="2"/>
                <w:sz w:val="21"/>
                <w:szCs w:val="21"/>
                <w:highlight w:val="none"/>
              </w:rPr>
              <w:t>竞标响应</w:t>
            </w:r>
            <w:bookmarkEnd w:id="142"/>
            <w:bookmarkEnd w:id="143"/>
            <w:bookmarkEnd w:id="144"/>
            <w:bookmarkEnd w:id="145"/>
            <w:bookmarkEnd w:id="146"/>
            <w:bookmarkEnd w:id="147"/>
            <w:bookmarkEnd w:id="148"/>
            <w:bookmarkEnd w:id="149"/>
            <w:bookmarkEnd w:id="150"/>
            <w:r>
              <w:rPr>
                <w:rFonts w:hint="eastAsia" w:ascii="宋体" w:hAnsi="宋体" w:eastAsia="宋体" w:cs="宋体"/>
                <w:color w:val="auto"/>
                <w:kern w:val="2"/>
                <w:sz w:val="21"/>
                <w:szCs w:val="21"/>
                <w:highlight w:val="none"/>
              </w:rPr>
              <w:t>承诺</w:t>
            </w:r>
          </w:p>
        </w:tc>
        <w:tc>
          <w:tcPr>
            <w:tcW w:w="1397" w:type="dxa"/>
            <w:vAlign w:val="center"/>
          </w:tcPr>
          <w:p w14:paraId="376BE422">
            <w:pPr>
              <w:pStyle w:val="13"/>
              <w:spacing w:line="400" w:lineRule="exact"/>
              <w:ind w:firstLine="0" w:firstLineChars="0"/>
              <w:jc w:val="center"/>
              <w:rPr>
                <w:rFonts w:ascii="宋体" w:hAnsi="宋体" w:eastAsia="宋体" w:cs="宋体"/>
                <w:color w:val="auto"/>
                <w:kern w:val="2"/>
                <w:sz w:val="21"/>
                <w:szCs w:val="21"/>
                <w:highlight w:val="none"/>
              </w:rPr>
            </w:pPr>
            <w:bookmarkStart w:id="151" w:name="_Toc173066404"/>
            <w:bookmarkStart w:id="152" w:name="_Toc373333692"/>
            <w:bookmarkStart w:id="153" w:name="_Toc383699909"/>
            <w:bookmarkStart w:id="154" w:name="_Toc254970732"/>
            <w:bookmarkStart w:id="155" w:name="_Toc295404984"/>
            <w:bookmarkStart w:id="156" w:name="_Toc254970591"/>
            <w:bookmarkStart w:id="157" w:name="_Toc301781614"/>
            <w:bookmarkStart w:id="158" w:name="_Toc173211903"/>
            <w:bookmarkStart w:id="159" w:name="_Toc297193188"/>
            <w:r>
              <w:rPr>
                <w:rFonts w:hint="eastAsia" w:ascii="宋体" w:hAnsi="宋体" w:eastAsia="宋体" w:cs="宋体"/>
                <w:color w:val="auto"/>
                <w:kern w:val="2"/>
                <w:sz w:val="21"/>
                <w:szCs w:val="21"/>
                <w:highlight w:val="none"/>
              </w:rPr>
              <w:t>偏离</w:t>
            </w:r>
            <w:bookmarkEnd w:id="151"/>
            <w:bookmarkEnd w:id="152"/>
            <w:bookmarkEnd w:id="153"/>
            <w:bookmarkEnd w:id="154"/>
            <w:bookmarkEnd w:id="155"/>
            <w:bookmarkEnd w:id="156"/>
            <w:bookmarkEnd w:id="157"/>
            <w:bookmarkEnd w:id="158"/>
            <w:bookmarkEnd w:id="159"/>
            <w:bookmarkStart w:id="160" w:name="_Toc297193189"/>
            <w:bookmarkStart w:id="161" w:name="_Toc383699910"/>
            <w:bookmarkStart w:id="162" w:name="_Toc254970592"/>
            <w:bookmarkStart w:id="163" w:name="_Toc254970733"/>
            <w:bookmarkStart w:id="164" w:name="_Toc295404985"/>
            <w:bookmarkStart w:id="165" w:name="_Toc373333693"/>
            <w:bookmarkStart w:id="166" w:name="_Toc173066405"/>
            <w:bookmarkStart w:id="167" w:name="_Toc301781615"/>
            <w:bookmarkStart w:id="168" w:name="_Toc173211904"/>
            <w:r>
              <w:rPr>
                <w:rFonts w:hint="eastAsia" w:ascii="宋体" w:hAnsi="宋体" w:eastAsia="宋体" w:cs="宋体"/>
                <w:color w:val="auto"/>
                <w:kern w:val="2"/>
                <w:sz w:val="21"/>
                <w:szCs w:val="21"/>
                <w:highlight w:val="none"/>
              </w:rPr>
              <w:t>说明</w:t>
            </w:r>
            <w:bookmarkEnd w:id="160"/>
            <w:bookmarkEnd w:id="161"/>
            <w:bookmarkEnd w:id="162"/>
            <w:bookmarkEnd w:id="163"/>
            <w:bookmarkEnd w:id="164"/>
            <w:bookmarkEnd w:id="165"/>
            <w:bookmarkEnd w:id="166"/>
            <w:bookmarkEnd w:id="167"/>
            <w:bookmarkEnd w:id="168"/>
          </w:p>
        </w:tc>
      </w:tr>
      <w:tr w14:paraId="29DFC67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72" w:hRule="atLeast"/>
          <w:jc w:val="center"/>
        </w:trPr>
        <w:tc>
          <w:tcPr>
            <w:tcW w:w="855" w:type="dxa"/>
            <w:vAlign w:val="center"/>
          </w:tcPr>
          <w:p w14:paraId="2351AA13">
            <w:pPr>
              <w:pStyle w:val="13"/>
              <w:spacing w:line="400" w:lineRule="exact"/>
              <w:ind w:firstLine="0" w:firstLineChars="0"/>
              <w:jc w:val="center"/>
              <w:rPr>
                <w:rFonts w:ascii="宋体" w:hAnsi="宋体" w:eastAsia="宋体" w:cs="宋体"/>
                <w:color w:val="auto"/>
                <w:kern w:val="2"/>
                <w:sz w:val="21"/>
                <w:szCs w:val="21"/>
                <w:highlight w:val="none"/>
              </w:rPr>
            </w:pPr>
            <w:bookmarkStart w:id="169" w:name="_Toc301781616"/>
            <w:bookmarkStart w:id="170" w:name="_Toc254970593"/>
            <w:bookmarkStart w:id="171" w:name="_Toc173066406"/>
            <w:bookmarkStart w:id="172" w:name="_Toc295404986"/>
            <w:bookmarkStart w:id="173" w:name="_Toc254970734"/>
            <w:bookmarkStart w:id="174" w:name="_Toc297193190"/>
            <w:bookmarkStart w:id="175" w:name="_Toc383699911"/>
            <w:bookmarkStart w:id="176" w:name="_Toc373333694"/>
            <w:bookmarkStart w:id="177" w:name="_Toc173211905"/>
            <w:r>
              <w:rPr>
                <w:rFonts w:hint="eastAsia" w:ascii="宋体" w:hAnsi="宋体" w:eastAsia="宋体" w:cs="宋体"/>
                <w:color w:val="auto"/>
                <w:kern w:val="2"/>
                <w:sz w:val="21"/>
                <w:szCs w:val="21"/>
                <w:highlight w:val="none"/>
              </w:rPr>
              <w:t>1</w:t>
            </w:r>
            <w:bookmarkEnd w:id="169"/>
            <w:bookmarkEnd w:id="170"/>
            <w:bookmarkEnd w:id="171"/>
            <w:bookmarkEnd w:id="172"/>
            <w:bookmarkEnd w:id="173"/>
            <w:bookmarkEnd w:id="174"/>
            <w:bookmarkEnd w:id="175"/>
            <w:bookmarkEnd w:id="176"/>
            <w:bookmarkEnd w:id="177"/>
          </w:p>
        </w:tc>
        <w:tc>
          <w:tcPr>
            <w:tcW w:w="855" w:type="dxa"/>
            <w:tcBorders>
              <w:right w:val="single" w:color="auto" w:sz="4" w:space="0"/>
            </w:tcBorders>
            <w:vAlign w:val="center"/>
          </w:tcPr>
          <w:p w14:paraId="0C49F7B1">
            <w:pPr>
              <w:pStyle w:val="13"/>
              <w:spacing w:line="400" w:lineRule="exact"/>
              <w:ind w:firstLine="0" w:firstLineChars="0"/>
              <w:jc w:val="center"/>
              <w:rPr>
                <w:rFonts w:ascii="宋体" w:hAnsi="宋体" w:eastAsia="宋体" w:cs="宋体"/>
                <w:color w:val="auto"/>
                <w:kern w:val="2"/>
                <w:sz w:val="21"/>
                <w:szCs w:val="21"/>
                <w:highlight w:val="none"/>
              </w:rPr>
            </w:pPr>
          </w:p>
        </w:tc>
        <w:tc>
          <w:tcPr>
            <w:tcW w:w="2845" w:type="dxa"/>
            <w:tcBorders>
              <w:left w:val="single" w:color="auto" w:sz="4" w:space="0"/>
            </w:tcBorders>
            <w:vAlign w:val="center"/>
          </w:tcPr>
          <w:p w14:paraId="3E451037">
            <w:pPr>
              <w:pStyle w:val="13"/>
              <w:spacing w:line="400" w:lineRule="exact"/>
              <w:ind w:firstLine="0" w:firstLineChars="0"/>
              <w:jc w:val="center"/>
              <w:rPr>
                <w:rFonts w:ascii="宋体" w:hAnsi="宋体" w:eastAsia="宋体" w:cs="宋体"/>
                <w:color w:val="auto"/>
                <w:kern w:val="2"/>
                <w:sz w:val="21"/>
                <w:szCs w:val="21"/>
                <w:highlight w:val="none"/>
              </w:rPr>
            </w:pPr>
          </w:p>
        </w:tc>
        <w:tc>
          <w:tcPr>
            <w:tcW w:w="2561" w:type="dxa"/>
            <w:vAlign w:val="center"/>
          </w:tcPr>
          <w:p w14:paraId="6F73C8B1">
            <w:pPr>
              <w:pStyle w:val="13"/>
              <w:spacing w:line="400" w:lineRule="exact"/>
              <w:ind w:firstLine="0" w:firstLineChars="0"/>
              <w:jc w:val="center"/>
              <w:rPr>
                <w:rFonts w:ascii="宋体" w:hAnsi="宋体" w:eastAsia="宋体" w:cs="宋体"/>
                <w:color w:val="auto"/>
                <w:kern w:val="2"/>
                <w:sz w:val="21"/>
                <w:szCs w:val="21"/>
                <w:highlight w:val="none"/>
              </w:rPr>
            </w:pPr>
          </w:p>
        </w:tc>
        <w:tc>
          <w:tcPr>
            <w:tcW w:w="1397" w:type="dxa"/>
            <w:vAlign w:val="center"/>
          </w:tcPr>
          <w:p w14:paraId="646176A4">
            <w:pPr>
              <w:pStyle w:val="13"/>
              <w:spacing w:line="400" w:lineRule="exact"/>
              <w:ind w:firstLine="0" w:firstLineChars="0"/>
              <w:jc w:val="center"/>
              <w:rPr>
                <w:rFonts w:ascii="宋体" w:hAnsi="宋体" w:eastAsia="宋体" w:cs="宋体"/>
                <w:color w:val="auto"/>
                <w:kern w:val="2"/>
                <w:sz w:val="21"/>
                <w:szCs w:val="21"/>
                <w:highlight w:val="none"/>
              </w:rPr>
            </w:pPr>
          </w:p>
        </w:tc>
      </w:tr>
      <w:tr w14:paraId="640E850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72" w:hRule="atLeast"/>
          <w:jc w:val="center"/>
        </w:trPr>
        <w:tc>
          <w:tcPr>
            <w:tcW w:w="855" w:type="dxa"/>
            <w:vAlign w:val="center"/>
          </w:tcPr>
          <w:p w14:paraId="22910D7A">
            <w:pPr>
              <w:pStyle w:val="13"/>
              <w:spacing w:line="400" w:lineRule="exact"/>
              <w:ind w:firstLine="0" w:firstLineChars="0"/>
              <w:jc w:val="center"/>
              <w:rPr>
                <w:rFonts w:ascii="宋体" w:hAnsi="宋体" w:eastAsia="宋体" w:cs="宋体"/>
                <w:color w:val="auto"/>
                <w:kern w:val="2"/>
                <w:sz w:val="21"/>
                <w:szCs w:val="21"/>
                <w:highlight w:val="none"/>
              </w:rPr>
            </w:pPr>
            <w:bookmarkStart w:id="178" w:name="_Toc254970594"/>
            <w:bookmarkStart w:id="179" w:name="_Toc297193191"/>
            <w:bookmarkStart w:id="180" w:name="_Toc173211906"/>
            <w:bookmarkStart w:id="181" w:name="_Toc254970735"/>
            <w:bookmarkStart w:id="182" w:name="_Toc383699912"/>
            <w:bookmarkStart w:id="183" w:name="_Toc301781617"/>
            <w:bookmarkStart w:id="184" w:name="_Toc295404987"/>
            <w:bookmarkStart w:id="185" w:name="_Toc173066407"/>
            <w:bookmarkStart w:id="186" w:name="_Toc373333695"/>
            <w:r>
              <w:rPr>
                <w:rFonts w:hint="eastAsia" w:ascii="宋体" w:hAnsi="宋体" w:eastAsia="宋体" w:cs="宋体"/>
                <w:color w:val="auto"/>
                <w:kern w:val="2"/>
                <w:sz w:val="21"/>
                <w:szCs w:val="21"/>
                <w:highlight w:val="none"/>
              </w:rPr>
              <w:t>2</w:t>
            </w:r>
            <w:bookmarkEnd w:id="178"/>
            <w:bookmarkEnd w:id="179"/>
            <w:bookmarkEnd w:id="180"/>
            <w:bookmarkEnd w:id="181"/>
            <w:bookmarkEnd w:id="182"/>
            <w:bookmarkEnd w:id="183"/>
            <w:bookmarkEnd w:id="184"/>
            <w:bookmarkEnd w:id="185"/>
            <w:bookmarkEnd w:id="186"/>
          </w:p>
        </w:tc>
        <w:tc>
          <w:tcPr>
            <w:tcW w:w="855" w:type="dxa"/>
            <w:tcBorders>
              <w:right w:val="single" w:color="auto" w:sz="4" w:space="0"/>
            </w:tcBorders>
            <w:vAlign w:val="center"/>
          </w:tcPr>
          <w:p w14:paraId="79A68C49">
            <w:pPr>
              <w:pStyle w:val="13"/>
              <w:spacing w:line="400" w:lineRule="exact"/>
              <w:ind w:firstLine="0" w:firstLineChars="0"/>
              <w:jc w:val="center"/>
              <w:rPr>
                <w:rFonts w:ascii="宋体" w:hAnsi="宋体" w:eastAsia="宋体" w:cs="宋体"/>
                <w:color w:val="auto"/>
                <w:kern w:val="2"/>
                <w:sz w:val="21"/>
                <w:szCs w:val="21"/>
                <w:highlight w:val="none"/>
              </w:rPr>
            </w:pPr>
          </w:p>
        </w:tc>
        <w:tc>
          <w:tcPr>
            <w:tcW w:w="2845" w:type="dxa"/>
            <w:tcBorders>
              <w:left w:val="single" w:color="auto" w:sz="4" w:space="0"/>
            </w:tcBorders>
            <w:vAlign w:val="center"/>
          </w:tcPr>
          <w:p w14:paraId="573C7BEE">
            <w:pPr>
              <w:pStyle w:val="13"/>
              <w:spacing w:line="400" w:lineRule="exact"/>
              <w:ind w:firstLine="0" w:firstLineChars="0"/>
              <w:jc w:val="center"/>
              <w:rPr>
                <w:rFonts w:ascii="宋体" w:hAnsi="宋体" w:eastAsia="宋体" w:cs="宋体"/>
                <w:color w:val="auto"/>
                <w:kern w:val="2"/>
                <w:sz w:val="21"/>
                <w:szCs w:val="21"/>
                <w:highlight w:val="none"/>
              </w:rPr>
            </w:pPr>
          </w:p>
        </w:tc>
        <w:tc>
          <w:tcPr>
            <w:tcW w:w="2561" w:type="dxa"/>
            <w:vAlign w:val="center"/>
          </w:tcPr>
          <w:p w14:paraId="6EDDE6D0">
            <w:pPr>
              <w:pStyle w:val="13"/>
              <w:spacing w:line="400" w:lineRule="exact"/>
              <w:ind w:firstLine="0" w:firstLineChars="0"/>
              <w:jc w:val="center"/>
              <w:rPr>
                <w:rFonts w:ascii="宋体" w:hAnsi="宋体" w:eastAsia="宋体" w:cs="宋体"/>
                <w:color w:val="auto"/>
                <w:kern w:val="2"/>
                <w:sz w:val="21"/>
                <w:szCs w:val="21"/>
                <w:highlight w:val="none"/>
              </w:rPr>
            </w:pPr>
          </w:p>
        </w:tc>
        <w:tc>
          <w:tcPr>
            <w:tcW w:w="1397" w:type="dxa"/>
            <w:vAlign w:val="center"/>
          </w:tcPr>
          <w:p w14:paraId="7C2AFA71">
            <w:pPr>
              <w:pStyle w:val="13"/>
              <w:spacing w:line="400" w:lineRule="exact"/>
              <w:ind w:firstLine="0" w:firstLineChars="0"/>
              <w:jc w:val="center"/>
              <w:rPr>
                <w:rFonts w:ascii="宋体" w:hAnsi="宋体" w:eastAsia="宋体" w:cs="宋体"/>
                <w:color w:val="auto"/>
                <w:kern w:val="2"/>
                <w:sz w:val="21"/>
                <w:szCs w:val="21"/>
                <w:highlight w:val="none"/>
              </w:rPr>
            </w:pPr>
          </w:p>
        </w:tc>
      </w:tr>
      <w:tr w14:paraId="1BFB209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72" w:hRule="atLeast"/>
          <w:jc w:val="center"/>
        </w:trPr>
        <w:tc>
          <w:tcPr>
            <w:tcW w:w="855" w:type="dxa"/>
            <w:vAlign w:val="center"/>
          </w:tcPr>
          <w:p w14:paraId="3F9AA8F5">
            <w:pPr>
              <w:pStyle w:val="13"/>
              <w:spacing w:line="400" w:lineRule="exact"/>
              <w:ind w:firstLine="0" w:firstLineChars="0"/>
              <w:jc w:val="center"/>
              <w:rPr>
                <w:rFonts w:ascii="宋体" w:hAnsi="宋体" w:eastAsia="宋体" w:cs="宋体"/>
                <w:color w:val="auto"/>
                <w:kern w:val="2"/>
                <w:sz w:val="21"/>
                <w:szCs w:val="21"/>
                <w:highlight w:val="none"/>
              </w:rPr>
            </w:pPr>
            <w:bookmarkStart w:id="187" w:name="_Toc297193192"/>
            <w:bookmarkStart w:id="188" w:name="_Toc383699913"/>
            <w:bookmarkStart w:id="189" w:name="_Toc295404988"/>
            <w:bookmarkStart w:id="190" w:name="_Toc301781618"/>
            <w:bookmarkStart w:id="191" w:name="_Toc254970736"/>
            <w:bookmarkStart w:id="192" w:name="_Toc173066408"/>
            <w:bookmarkStart w:id="193" w:name="_Toc254970595"/>
            <w:bookmarkStart w:id="194" w:name="_Toc373333696"/>
            <w:bookmarkStart w:id="195" w:name="_Toc173211907"/>
            <w:r>
              <w:rPr>
                <w:rFonts w:hint="eastAsia" w:ascii="宋体" w:hAnsi="宋体" w:eastAsia="宋体" w:cs="宋体"/>
                <w:color w:val="auto"/>
                <w:kern w:val="2"/>
                <w:sz w:val="21"/>
                <w:szCs w:val="21"/>
                <w:highlight w:val="none"/>
              </w:rPr>
              <w:t>3</w:t>
            </w:r>
            <w:bookmarkEnd w:id="187"/>
            <w:bookmarkEnd w:id="188"/>
            <w:bookmarkEnd w:id="189"/>
            <w:bookmarkEnd w:id="190"/>
            <w:bookmarkEnd w:id="191"/>
            <w:bookmarkEnd w:id="192"/>
            <w:bookmarkEnd w:id="193"/>
            <w:bookmarkEnd w:id="194"/>
            <w:bookmarkEnd w:id="195"/>
          </w:p>
        </w:tc>
        <w:tc>
          <w:tcPr>
            <w:tcW w:w="855" w:type="dxa"/>
            <w:tcBorders>
              <w:right w:val="single" w:color="auto" w:sz="4" w:space="0"/>
            </w:tcBorders>
            <w:vAlign w:val="center"/>
          </w:tcPr>
          <w:p w14:paraId="4279EA53">
            <w:pPr>
              <w:pStyle w:val="13"/>
              <w:spacing w:line="400" w:lineRule="exact"/>
              <w:ind w:firstLine="0" w:firstLineChars="0"/>
              <w:jc w:val="center"/>
              <w:rPr>
                <w:rFonts w:ascii="宋体" w:hAnsi="宋体" w:eastAsia="宋体" w:cs="宋体"/>
                <w:color w:val="auto"/>
                <w:kern w:val="2"/>
                <w:sz w:val="21"/>
                <w:szCs w:val="21"/>
                <w:highlight w:val="none"/>
              </w:rPr>
            </w:pPr>
          </w:p>
        </w:tc>
        <w:tc>
          <w:tcPr>
            <w:tcW w:w="2845" w:type="dxa"/>
            <w:tcBorders>
              <w:left w:val="single" w:color="auto" w:sz="4" w:space="0"/>
            </w:tcBorders>
            <w:vAlign w:val="center"/>
          </w:tcPr>
          <w:p w14:paraId="011E859B">
            <w:pPr>
              <w:pStyle w:val="13"/>
              <w:spacing w:line="400" w:lineRule="exact"/>
              <w:ind w:firstLine="0" w:firstLineChars="0"/>
              <w:jc w:val="center"/>
              <w:rPr>
                <w:rFonts w:ascii="宋体" w:hAnsi="宋体" w:eastAsia="宋体" w:cs="宋体"/>
                <w:color w:val="auto"/>
                <w:kern w:val="2"/>
                <w:sz w:val="21"/>
                <w:szCs w:val="21"/>
                <w:highlight w:val="none"/>
              </w:rPr>
            </w:pPr>
          </w:p>
        </w:tc>
        <w:tc>
          <w:tcPr>
            <w:tcW w:w="2561" w:type="dxa"/>
            <w:vAlign w:val="center"/>
          </w:tcPr>
          <w:p w14:paraId="0E3ACCA5">
            <w:pPr>
              <w:pStyle w:val="13"/>
              <w:spacing w:line="400" w:lineRule="exact"/>
              <w:ind w:firstLine="0" w:firstLineChars="0"/>
              <w:jc w:val="center"/>
              <w:rPr>
                <w:rFonts w:ascii="宋体" w:hAnsi="宋体" w:eastAsia="宋体" w:cs="宋体"/>
                <w:color w:val="auto"/>
                <w:kern w:val="2"/>
                <w:sz w:val="21"/>
                <w:szCs w:val="21"/>
                <w:highlight w:val="none"/>
              </w:rPr>
            </w:pPr>
          </w:p>
        </w:tc>
        <w:tc>
          <w:tcPr>
            <w:tcW w:w="1397" w:type="dxa"/>
            <w:vAlign w:val="center"/>
          </w:tcPr>
          <w:p w14:paraId="68C61797">
            <w:pPr>
              <w:pStyle w:val="13"/>
              <w:spacing w:line="400" w:lineRule="exact"/>
              <w:ind w:firstLine="0" w:firstLineChars="0"/>
              <w:jc w:val="center"/>
              <w:rPr>
                <w:rFonts w:ascii="宋体" w:hAnsi="宋体" w:eastAsia="宋体" w:cs="宋体"/>
                <w:color w:val="auto"/>
                <w:kern w:val="2"/>
                <w:sz w:val="21"/>
                <w:szCs w:val="21"/>
                <w:highlight w:val="none"/>
              </w:rPr>
            </w:pPr>
          </w:p>
        </w:tc>
      </w:tr>
      <w:tr w14:paraId="0D403DA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72" w:hRule="atLeast"/>
          <w:jc w:val="center"/>
        </w:trPr>
        <w:tc>
          <w:tcPr>
            <w:tcW w:w="855" w:type="dxa"/>
            <w:vAlign w:val="center"/>
          </w:tcPr>
          <w:p w14:paraId="73651C44">
            <w:pPr>
              <w:pStyle w:val="13"/>
              <w:spacing w:line="400" w:lineRule="exact"/>
              <w:ind w:firstLine="0" w:firstLineChars="0"/>
              <w:jc w:val="center"/>
              <w:rPr>
                <w:rFonts w:ascii="宋体" w:hAnsi="宋体" w:eastAsia="宋体" w:cs="宋体"/>
                <w:color w:val="auto"/>
                <w:kern w:val="2"/>
                <w:sz w:val="21"/>
                <w:szCs w:val="21"/>
                <w:highlight w:val="none"/>
              </w:rPr>
            </w:pPr>
            <w:bookmarkStart w:id="196" w:name="_Toc254970737"/>
            <w:bookmarkStart w:id="197" w:name="_Toc173066409"/>
            <w:bookmarkStart w:id="198" w:name="_Toc373333697"/>
            <w:bookmarkStart w:id="199" w:name="_Toc297193193"/>
            <w:bookmarkStart w:id="200" w:name="_Toc301781619"/>
            <w:bookmarkStart w:id="201" w:name="_Toc254970596"/>
            <w:bookmarkStart w:id="202" w:name="_Toc295404989"/>
            <w:bookmarkStart w:id="203" w:name="_Toc173211908"/>
            <w:bookmarkStart w:id="204" w:name="_Toc383699914"/>
            <w:r>
              <w:rPr>
                <w:rFonts w:hint="eastAsia" w:ascii="宋体" w:hAnsi="宋体" w:eastAsia="宋体" w:cs="宋体"/>
                <w:color w:val="auto"/>
                <w:kern w:val="2"/>
                <w:sz w:val="21"/>
                <w:szCs w:val="21"/>
                <w:highlight w:val="none"/>
              </w:rPr>
              <w:t>4</w:t>
            </w:r>
            <w:bookmarkEnd w:id="196"/>
            <w:bookmarkEnd w:id="197"/>
            <w:bookmarkEnd w:id="198"/>
            <w:bookmarkEnd w:id="199"/>
            <w:bookmarkEnd w:id="200"/>
            <w:bookmarkEnd w:id="201"/>
            <w:bookmarkEnd w:id="202"/>
            <w:bookmarkEnd w:id="203"/>
            <w:bookmarkEnd w:id="204"/>
          </w:p>
        </w:tc>
        <w:tc>
          <w:tcPr>
            <w:tcW w:w="855" w:type="dxa"/>
            <w:tcBorders>
              <w:right w:val="single" w:color="auto" w:sz="4" w:space="0"/>
            </w:tcBorders>
            <w:vAlign w:val="center"/>
          </w:tcPr>
          <w:p w14:paraId="211F3790">
            <w:pPr>
              <w:pStyle w:val="13"/>
              <w:spacing w:line="400" w:lineRule="exact"/>
              <w:ind w:firstLine="0" w:firstLineChars="0"/>
              <w:jc w:val="center"/>
              <w:rPr>
                <w:rFonts w:ascii="宋体" w:hAnsi="宋体" w:eastAsia="宋体" w:cs="宋体"/>
                <w:color w:val="auto"/>
                <w:kern w:val="2"/>
                <w:sz w:val="21"/>
                <w:szCs w:val="21"/>
                <w:highlight w:val="none"/>
              </w:rPr>
            </w:pPr>
          </w:p>
        </w:tc>
        <w:tc>
          <w:tcPr>
            <w:tcW w:w="2845" w:type="dxa"/>
            <w:tcBorders>
              <w:left w:val="single" w:color="auto" w:sz="4" w:space="0"/>
            </w:tcBorders>
            <w:vAlign w:val="center"/>
          </w:tcPr>
          <w:p w14:paraId="6A8616F8">
            <w:pPr>
              <w:pStyle w:val="13"/>
              <w:spacing w:line="400" w:lineRule="exact"/>
              <w:ind w:firstLine="0" w:firstLineChars="0"/>
              <w:jc w:val="center"/>
              <w:rPr>
                <w:rFonts w:ascii="宋体" w:hAnsi="宋体" w:eastAsia="宋体" w:cs="宋体"/>
                <w:color w:val="auto"/>
                <w:kern w:val="2"/>
                <w:sz w:val="21"/>
                <w:szCs w:val="21"/>
                <w:highlight w:val="none"/>
              </w:rPr>
            </w:pPr>
          </w:p>
        </w:tc>
        <w:tc>
          <w:tcPr>
            <w:tcW w:w="2561" w:type="dxa"/>
            <w:vAlign w:val="center"/>
          </w:tcPr>
          <w:p w14:paraId="338786A7">
            <w:pPr>
              <w:pStyle w:val="13"/>
              <w:spacing w:line="400" w:lineRule="exact"/>
              <w:ind w:firstLine="0" w:firstLineChars="0"/>
              <w:jc w:val="center"/>
              <w:rPr>
                <w:rFonts w:ascii="宋体" w:hAnsi="宋体" w:eastAsia="宋体" w:cs="宋体"/>
                <w:color w:val="auto"/>
                <w:kern w:val="2"/>
                <w:sz w:val="21"/>
                <w:szCs w:val="21"/>
                <w:highlight w:val="none"/>
              </w:rPr>
            </w:pPr>
          </w:p>
        </w:tc>
        <w:tc>
          <w:tcPr>
            <w:tcW w:w="1397" w:type="dxa"/>
            <w:vAlign w:val="center"/>
          </w:tcPr>
          <w:p w14:paraId="0B2AA560">
            <w:pPr>
              <w:pStyle w:val="13"/>
              <w:spacing w:line="400" w:lineRule="exact"/>
              <w:ind w:firstLine="0" w:firstLineChars="0"/>
              <w:jc w:val="center"/>
              <w:rPr>
                <w:rFonts w:ascii="宋体" w:hAnsi="宋体" w:eastAsia="宋体" w:cs="宋体"/>
                <w:color w:val="auto"/>
                <w:kern w:val="2"/>
                <w:sz w:val="21"/>
                <w:szCs w:val="21"/>
                <w:highlight w:val="none"/>
              </w:rPr>
            </w:pPr>
          </w:p>
        </w:tc>
      </w:tr>
      <w:tr w14:paraId="40FA5AF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72" w:hRule="atLeast"/>
          <w:jc w:val="center"/>
        </w:trPr>
        <w:tc>
          <w:tcPr>
            <w:tcW w:w="855" w:type="dxa"/>
            <w:vAlign w:val="center"/>
          </w:tcPr>
          <w:p w14:paraId="20F8C978">
            <w:pPr>
              <w:pStyle w:val="13"/>
              <w:spacing w:line="400" w:lineRule="exact"/>
              <w:ind w:firstLine="0" w:firstLineChars="0"/>
              <w:jc w:val="center"/>
              <w:rPr>
                <w:rFonts w:ascii="宋体" w:hAnsi="宋体" w:eastAsia="宋体" w:cs="宋体"/>
                <w:color w:val="auto"/>
                <w:kern w:val="2"/>
                <w:sz w:val="21"/>
                <w:szCs w:val="21"/>
                <w:highlight w:val="none"/>
              </w:rPr>
            </w:pPr>
            <w:bookmarkStart w:id="205" w:name="_Toc254970738"/>
            <w:bookmarkStart w:id="206" w:name="_Toc301781620"/>
            <w:bookmarkStart w:id="207" w:name="_Toc295404990"/>
            <w:bookmarkStart w:id="208" w:name="_Toc173211909"/>
            <w:bookmarkStart w:id="209" w:name="_Toc297193194"/>
            <w:bookmarkStart w:id="210" w:name="_Toc173066410"/>
            <w:bookmarkStart w:id="211" w:name="_Toc254970597"/>
            <w:bookmarkStart w:id="212" w:name="_Toc383699915"/>
            <w:bookmarkStart w:id="213" w:name="_Toc373333698"/>
            <w:r>
              <w:rPr>
                <w:rFonts w:hint="eastAsia" w:ascii="宋体" w:hAnsi="宋体" w:eastAsia="宋体" w:cs="宋体"/>
                <w:color w:val="auto"/>
                <w:kern w:val="2"/>
                <w:sz w:val="21"/>
                <w:szCs w:val="21"/>
                <w:highlight w:val="none"/>
              </w:rPr>
              <w:t>5</w:t>
            </w:r>
            <w:bookmarkEnd w:id="205"/>
            <w:bookmarkEnd w:id="206"/>
            <w:bookmarkEnd w:id="207"/>
            <w:bookmarkEnd w:id="208"/>
            <w:bookmarkEnd w:id="209"/>
            <w:bookmarkEnd w:id="210"/>
            <w:bookmarkEnd w:id="211"/>
            <w:bookmarkEnd w:id="212"/>
            <w:bookmarkEnd w:id="213"/>
          </w:p>
        </w:tc>
        <w:tc>
          <w:tcPr>
            <w:tcW w:w="855" w:type="dxa"/>
            <w:tcBorders>
              <w:right w:val="single" w:color="auto" w:sz="4" w:space="0"/>
            </w:tcBorders>
            <w:vAlign w:val="center"/>
          </w:tcPr>
          <w:p w14:paraId="0DA438CB">
            <w:pPr>
              <w:pStyle w:val="13"/>
              <w:spacing w:line="400" w:lineRule="exact"/>
              <w:ind w:firstLine="0" w:firstLineChars="0"/>
              <w:jc w:val="center"/>
              <w:rPr>
                <w:rFonts w:ascii="宋体" w:hAnsi="宋体" w:eastAsia="宋体" w:cs="宋体"/>
                <w:color w:val="auto"/>
                <w:kern w:val="2"/>
                <w:sz w:val="21"/>
                <w:szCs w:val="21"/>
                <w:highlight w:val="none"/>
              </w:rPr>
            </w:pPr>
          </w:p>
        </w:tc>
        <w:tc>
          <w:tcPr>
            <w:tcW w:w="2845" w:type="dxa"/>
            <w:tcBorders>
              <w:left w:val="single" w:color="auto" w:sz="4" w:space="0"/>
            </w:tcBorders>
            <w:vAlign w:val="center"/>
          </w:tcPr>
          <w:p w14:paraId="1820724A">
            <w:pPr>
              <w:pStyle w:val="13"/>
              <w:spacing w:line="400" w:lineRule="exact"/>
              <w:ind w:firstLine="0" w:firstLineChars="0"/>
              <w:jc w:val="center"/>
              <w:rPr>
                <w:rFonts w:ascii="宋体" w:hAnsi="宋体" w:eastAsia="宋体" w:cs="宋体"/>
                <w:color w:val="auto"/>
                <w:kern w:val="2"/>
                <w:sz w:val="21"/>
                <w:szCs w:val="21"/>
                <w:highlight w:val="none"/>
              </w:rPr>
            </w:pPr>
          </w:p>
        </w:tc>
        <w:tc>
          <w:tcPr>
            <w:tcW w:w="2561" w:type="dxa"/>
            <w:vAlign w:val="center"/>
          </w:tcPr>
          <w:p w14:paraId="435EA5E3">
            <w:pPr>
              <w:pStyle w:val="13"/>
              <w:spacing w:line="400" w:lineRule="exact"/>
              <w:ind w:firstLine="0" w:firstLineChars="0"/>
              <w:jc w:val="center"/>
              <w:rPr>
                <w:rFonts w:ascii="宋体" w:hAnsi="宋体" w:eastAsia="宋体" w:cs="宋体"/>
                <w:color w:val="auto"/>
                <w:kern w:val="2"/>
                <w:sz w:val="21"/>
                <w:szCs w:val="21"/>
                <w:highlight w:val="none"/>
              </w:rPr>
            </w:pPr>
          </w:p>
        </w:tc>
        <w:tc>
          <w:tcPr>
            <w:tcW w:w="1397" w:type="dxa"/>
            <w:vAlign w:val="center"/>
          </w:tcPr>
          <w:p w14:paraId="2C82DF8E">
            <w:pPr>
              <w:pStyle w:val="13"/>
              <w:spacing w:line="400" w:lineRule="exact"/>
              <w:ind w:firstLine="0" w:firstLineChars="0"/>
              <w:jc w:val="center"/>
              <w:rPr>
                <w:rFonts w:ascii="宋体" w:hAnsi="宋体" w:eastAsia="宋体" w:cs="宋体"/>
                <w:color w:val="auto"/>
                <w:kern w:val="2"/>
                <w:sz w:val="21"/>
                <w:szCs w:val="21"/>
                <w:highlight w:val="none"/>
              </w:rPr>
            </w:pPr>
          </w:p>
        </w:tc>
      </w:tr>
      <w:tr w14:paraId="5579601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72" w:hRule="atLeast"/>
          <w:jc w:val="center"/>
        </w:trPr>
        <w:tc>
          <w:tcPr>
            <w:tcW w:w="855" w:type="dxa"/>
            <w:vAlign w:val="center"/>
          </w:tcPr>
          <w:p w14:paraId="4AEA422D">
            <w:pPr>
              <w:pStyle w:val="13"/>
              <w:spacing w:line="400" w:lineRule="exact"/>
              <w:ind w:firstLine="0" w:firstLineChars="0"/>
              <w:jc w:val="center"/>
              <w:rPr>
                <w:rFonts w:ascii="宋体" w:hAnsi="宋体" w:eastAsia="宋体" w:cs="宋体"/>
                <w:color w:val="auto"/>
                <w:kern w:val="2"/>
                <w:sz w:val="21"/>
                <w:szCs w:val="21"/>
                <w:highlight w:val="none"/>
              </w:rPr>
            </w:pPr>
            <w:bookmarkStart w:id="214" w:name="_Toc297193195"/>
            <w:bookmarkStart w:id="215" w:name="_Toc301781621"/>
            <w:bookmarkStart w:id="216" w:name="_Toc383699916"/>
            <w:bookmarkStart w:id="217" w:name="_Toc295404991"/>
            <w:bookmarkStart w:id="218" w:name="_Toc254970602"/>
            <w:bookmarkStart w:id="219" w:name="_Toc173066415"/>
            <w:bookmarkStart w:id="220" w:name="_Toc254970743"/>
            <w:bookmarkStart w:id="221" w:name="_Toc373333699"/>
            <w:bookmarkStart w:id="222" w:name="_Toc173211914"/>
            <w:r>
              <w:rPr>
                <w:rFonts w:hint="eastAsia" w:ascii="宋体" w:hAnsi="宋体" w:eastAsia="宋体" w:cs="宋体"/>
                <w:color w:val="auto"/>
                <w:kern w:val="2"/>
                <w:sz w:val="21"/>
                <w:szCs w:val="21"/>
                <w:highlight w:val="none"/>
              </w:rPr>
              <w:t>…</w:t>
            </w:r>
            <w:bookmarkEnd w:id="214"/>
            <w:bookmarkEnd w:id="215"/>
            <w:bookmarkEnd w:id="216"/>
            <w:bookmarkEnd w:id="217"/>
            <w:bookmarkEnd w:id="218"/>
            <w:bookmarkEnd w:id="219"/>
            <w:bookmarkEnd w:id="220"/>
            <w:bookmarkEnd w:id="221"/>
            <w:bookmarkEnd w:id="222"/>
          </w:p>
        </w:tc>
        <w:tc>
          <w:tcPr>
            <w:tcW w:w="855" w:type="dxa"/>
            <w:tcBorders>
              <w:right w:val="single" w:color="auto" w:sz="4" w:space="0"/>
            </w:tcBorders>
            <w:vAlign w:val="center"/>
          </w:tcPr>
          <w:p w14:paraId="2E7803F8">
            <w:pPr>
              <w:pStyle w:val="13"/>
              <w:spacing w:line="400" w:lineRule="exact"/>
              <w:ind w:firstLine="0" w:firstLineChars="0"/>
              <w:jc w:val="center"/>
              <w:rPr>
                <w:rFonts w:ascii="宋体" w:hAnsi="宋体" w:eastAsia="宋体" w:cs="宋体"/>
                <w:color w:val="auto"/>
                <w:kern w:val="2"/>
                <w:sz w:val="21"/>
                <w:szCs w:val="21"/>
                <w:highlight w:val="none"/>
              </w:rPr>
            </w:pPr>
          </w:p>
        </w:tc>
        <w:tc>
          <w:tcPr>
            <w:tcW w:w="2845" w:type="dxa"/>
            <w:tcBorders>
              <w:left w:val="single" w:color="auto" w:sz="4" w:space="0"/>
            </w:tcBorders>
            <w:vAlign w:val="center"/>
          </w:tcPr>
          <w:p w14:paraId="57799A87">
            <w:pPr>
              <w:pStyle w:val="13"/>
              <w:spacing w:line="400" w:lineRule="exact"/>
              <w:ind w:firstLine="0" w:firstLineChars="0"/>
              <w:jc w:val="center"/>
              <w:rPr>
                <w:rFonts w:ascii="宋体" w:hAnsi="宋体" w:eastAsia="宋体" w:cs="宋体"/>
                <w:color w:val="auto"/>
                <w:kern w:val="2"/>
                <w:sz w:val="21"/>
                <w:szCs w:val="21"/>
                <w:highlight w:val="none"/>
              </w:rPr>
            </w:pPr>
          </w:p>
        </w:tc>
        <w:tc>
          <w:tcPr>
            <w:tcW w:w="2561" w:type="dxa"/>
            <w:vAlign w:val="center"/>
          </w:tcPr>
          <w:p w14:paraId="36610310">
            <w:pPr>
              <w:pStyle w:val="13"/>
              <w:spacing w:line="400" w:lineRule="exact"/>
              <w:ind w:firstLine="0" w:firstLineChars="0"/>
              <w:jc w:val="center"/>
              <w:rPr>
                <w:rFonts w:ascii="宋体" w:hAnsi="宋体" w:eastAsia="宋体" w:cs="宋体"/>
                <w:color w:val="auto"/>
                <w:kern w:val="2"/>
                <w:sz w:val="21"/>
                <w:szCs w:val="21"/>
                <w:highlight w:val="none"/>
              </w:rPr>
            </w:pPr>
          </w:p>
        </w:tc>
        <w:tc>
          <w:tcPr>
            <w:tcW w:w="1397" w:type="dxa"/>
            <w:tcBorders>
              <w:right w:val="single" w:color="auto" w:sz="4" w:space="0"/>
            </w:tcBorders>
            <w:vAlign w:val="center"/>
          </w:tcPr>
          <w:p w14:paraId="2E5E45AF">
            <w:pPr>
              <w:pStyle w:val="13"/>
              <w:spacing w:line="400" w:lineRule="exact"/>
              <w:ind w:firstLine="0" w:firstLineChars="0"/>
              <w:jc w:val="center"/>
              <w:rPr>
                <w:rFonts w:ascii="宋体" w:hAnsi="宋体" w:eastAsia="宋体" w:cs="宋体"/>
                <w:color w:val="auto"/>
                <w:kern w:val="2"/>
                <w:sz w:val="21"/>
                <w:szCs w:val="21"/>
                <w:highlight w:val="none"/>
              </w:rPr>
            </w:pPr>
          </w:p>
        </w:tc>
      </w:tr>
    </w:tbl>
    <w:p w14:paraId="3C34AA21">
      <w:pPr>
        <w:pStyle w:val="13"/>
        <w:spacing w:line="400" w:lineRule="exact"/>
        <w:ind w:firstLine="0" w:firstLineChars="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56DEAC04">
      <w:pPr>
        <w:pStyle w:val="13"/>
        <w:spacing w:line="400" w:lineRule="exact"/>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1. 说明：应对照磋商文件“</w:t>
      </w:r>
      <w:r>
        <w:rPr>
          <w:rFonts w:hint="eastAsia" w:ascii="宋体" w:hAnsi="宋体" w:eastAsia="宋体" w:cs="宋体"/>
          <w:b/>
          <w:bCs/>
          <w:color w:val="auto"/>
          <w:sz w:val="21"/>
          <w:szCs w:val="21"/>
          <w:highlight w:val="none"/>
        </w:rPr>
        <w:t>第三章 采购需求</w:t>
      </w:r>
      <w:r>
        <w:rPr>
          <w:rFonts w:hint="eastAsia" w:ascii="宋体" w:hAnsi="宋体" w:eastAsia="宋体" w:cs="宋体"/>
          <w:color w:val="auto"/>
          <w:sz w:val="21"/>
          <w:szCs w:val="21"/>
          <w:highlight w:val="none"/>
        </w:rPr>
        <w:t>”中的</w:t>
      </w:r>
      <w:r>
        <w:rPr>
          <w:rFonts w:hint="eastAsia" w:ascii="宋体" w:hAnsi="宋体" w:eastAsia="宋体" w:cs="宋体"/>
          <w:b/>
          <w:bCs/>
          <w:color w:val="auto"/>
          <w:sz w:val="21"/>
          <w:szCs w:val="21"/>
          <w:highlight w:val="none"/>
        </w:rPr>
        <w:t>技术需求</w:t>
      </w:r>
      <w:r>
        <w:rPr>
          <w:rFonts w:hint="eastAsia" w:ascii="宋体" w:hAnsi="宋体" w:eastAsia="宋体" w:cs="宋体"/>
          <w:color w:val="auto"/>
          <w:sz w:val="21"/>
          <w:szCs w:val="21"/>
          <w:highlight w:val="none"/>
        </w:rPr>
        <w:t>逐条实质性响应，并作出偏离说明。</w:t>
      </w:r>
    </w:p>
    <w:p w14:paraId="0B6CE7EE">
      <w:pPr>
        <w:pStyle w:val="13"/>
        <w:spacing w:line="400" w:lineRule="exact"/>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2.供应商应根据竞标设备的性能指标，对照磋商文件要求，在“偏离说明”中注明“正偏离”、“负偏离”或者“无偏离”。既不属于“正偏离”也不属于“负偏离”即为“无偏离”。</w:t>
      </w:r>
    </w:p>
    <w:p w14:paraId="77A33589">
      <w:pPr>
        <w:pStyle w:val="13"/>
        <w:spacing w:line="400" w:lineRule="exact"/>
        <w:ind w:firstLine="0" w:firstLineChars="0"/>
        <w:rPr>
          <w:rFonts w:ascii="宋体" w:hAnsi="宋体" w:eastAsia="宋体" w:cs="宋体"/>
          <w:color w:val="auto"/>
          <w:sz w:val="21"/>
          <w:szCs w:val="21"/>
          <w:highlight w:val="none"/>
        </w:rPr>
      </w:pPr>
    </w:p>
    <w:p w14:paraId="180BF74F">
      <w:pPr>
        <w:pStyle w:val="16"/>
        <w:spacing w:line="400" w:lineRule="exact"/>
        <w:rPr>
          <w:rFonts w:hAnsi="宋体" w:cs="宋体"/>
          <w:color w:val="auto"/>
          <w:sz w:val="21"/>
          <w:highlight w:val="none"/>
        </w:rPr>
      </w:pPr>
    </w:p>
    <w:p w14:paraId="7A4656F5">
      <w:pPr>
        <w:snapToGrid w:val="0"/>
        <w:spacing w:before="50" w:after="50" w:line="400" w:lineRule="exact"/>
        <w:ind w:right="-817" w:rightChars="-389"/>
        <w:rPr>
          <w:rFonts w:ascii="宋体" w:hAnsi="宋体" w:cs="宋体"/>
          <w:color w:val="auto"/>
          <w:szCs w:val="21"/>
          <w:highlight w:val="none"/>
        </w:rPr>
      </w:pPr>
    </w:p>
    <w:p w14:paraId="3D208671">
      <w:pPr>
        <w:snapToGrid w:val="0"/>
        <w:spacing w:before="50" w:after="50" w:line="400" w:lineRule="exact"/>
        <w:ind w:right="-817" w:rightChars="-389" w:firstLine="2310" w:firstLineChars="1100"/>
        <w:rPr>
          <w:rFonts w:ascii="宋体" w:hAnsi="宋体" w:cs="宋体"/>
          <w:color w:val="auto"/>
          <w:szCs w:val="21"/>
          <w:highlight w:val="none"/>
        </w:rPr>
      </w:pPr>
      <w:r>
        <w:rPr>
          <w:rFonts w:hint="eastAsia" w:ascii="宋体" w:hAnsi="宋体" w:cs="宋体"/>
          <w:color w:val="auto"/>
          <w:szCs w:val="21"/>
          <w:highlight w:val="none"/>
        </w:rPr>
        <w:t>法定代表人或者委托代理人（签字或电子签名）：</w:t>
      </w:r>
    </w:p>
    <w:p w14:paraId="75752ECC">
      <w:pPr>
        <w:snapToGrid w:val="0"/>
        <w:spacing w:before="50" w:after="50" w:line="400" w:lineRule="exact"/>
        <w:ind w:right="-817" w:rightChars="-389" w:firstLine="2310" w:firstLineChars="1100"/>
        <w:rPr>
          <w:rFonts w:ascii="宋体" w:hAnsi="宋体" w:cs="宋体"/>
          <w:color w:val="auto"/>
          <w:szCs w:val="21"/>
          <w:highlight w:val="none"/>
        </w:rPr>
      </w:pPr>
      <w:r>
        <w:rPr>
          <w:rFonts w:hint="eastAsia" w:ascii="宋体" w:hAnsi="宋体" w:cs="宋体"/>
          <w:color w:val="auto"/>
          <w:szCs w:val="21"/>
          <w:highlight w:val="none"/>
        </w:rPr>
        <w:t>供应商（公章或电子签章）：</w:t>
      </w:r>
    </w:p>
    <w:p w14:paraId="79FD65DE">
      <w:pPr>
        <w:snapToGrid w:val="0"/>
        <w:spacing w:before="50" w:after="50" w:line="400" w:lineRule="exact"/>
        <w:ind w:right="-817" w:rightChars="-389" w:firstLine="5250" w:firstLineChars="2500"/>
        <w:rPr>
          <w:rFonts w:ascii="宋体" w:hAnsi="宋体" w:cs="宋体"/>
          <w:color w:val="auto"/>
          <w:szCs w:val="21"/>
          <w:highlight w:val="none"/>
        </w:rPr>
      </w:pPr>
      <w:r>
        <w:rPr>
          <w:rFonts w:hint="eastAsia" w:ascii="宋体" w:hAnsi="宋体" w:cs="宋体"/>
          <w:color w:val="auto"/>
          <w:szCs w:val="21"/>
          <w:highlight w:val="none"/>
        </w:rPr>
        <w:t>年    月    日</w:t>
      </w:r>
    </w:p>
    <w:p w14:paraId="6C03C9FE">
      <w:pPr>
        <w:snapToGrid w:val="0"/>
        <w:spacing w:beforeLines="50" w:after="50" w:line="400" w:lineRule="exact"/>
        <w:jc w:val="left"/>
        <w:rPr>
          <w:rFonts w:ascii="宋体" w:hAnsi="宋体" w:cs="宋体"/>
          <w:b/>
          <w:color w:val="auto"/>
          <w:szCs w:val="21"/>
          <w:highlight w:val="none"/>
        </w:rPr>
      </w:pPr>
    </w:p>
    <w:p w14:paraId="62E15E9E">
      <w:pPr>
        <w:snapToGrid w:val="0"/>
        <w:spacing w:beforeLines="50" w:after="50" w:line="400" w:lineRule="exact"/>
        <w:jc w:val="left"/>
        <w:rPr>
          <w:rFonts w:ascii="宋体" w:hAnsi="宋体" w:cs="宋体"/>
          <w:b/>
          <w:color w:val="auto"/>
          <w:szCs w:val="21"/>
          <w:highlight w:val="none"/>
        </w:rPr>
      </w:pPr>
    </w:p>
    <w:p w14:paraId="3F747557">
      <w:pPr>
        <w:snapToGrid w:val="0"/>
        <w:spacing w:beforeLines="50" w:after="50" w:line="400" w:lineRule="exact"/>
        <w:jc w:val="left"/>
        <w:rPr>
          <w:rFonts w:ascii="宋体" w:hAnsi="宋体" w:cs="宋体"/>
          <w:b/>
          <w:color w:val="auto"/>
          <w:szCs w:val="21"/>
          <w:highlight w:val="none"/>
        </w:rPr>
      </w:pPr>
    </w:p>
    <w:p w14:paraId="6045491A">
      <w:pPr>
        <w:snapToGrid w:val="0"/>
        <w:spacing w:beforeLines="50" w:after="50" w:line="400" w:lineRule="exact"/>
        <w:jc w:val="left"/>
        <w:rPr>
          <w:rFonts w:ascii="宋体" w:hAnsi="宋体" w:cs="宋体"/>
          <w:b/>
          <w:color w:val="auto"/>
          <w:szCs w:val="21"/>
          <w:highlight w:val="none"/>
        </w:rPr>
      </w:pPr>
    </w:p>
    <w:p w14:paraId="01899072">
      <w:pPr>
        <w:snapToGrid w:val="0"/>
        <w:spacing w:beforeLines="50" w:after="50" w:line="400" w:lineRule="exact"/>
        <w:ind w:left="142"/>
        <w:jc w:val="left"/>
        <w:rPr>
          <w:rFonts w:ascii="宋体" w:hAnsi="宋体" w:cs="宋体"/>
          <w:b/>
          <w:bCs/>
          <w:color w:val="auto"/>
          <w:kern w:val="0"/>
          <w:szCs w:val="21"/>
          <w:highlight w:val="none"/>
        </w:rPr>
      </w:pPr>
    </w:p>
    <w:p w14:paraId="78006648">
      <w:pPr>
        <w:pStyle w:val="7"/>
        <w:overflowPunct w:val="0"/>
        <w:spacing w:line="360" w:lineRule="auto"/>
        <w:ind w:firstLine="562" w:firstLineChars="175"/>
        <w:jc w:val="center"/>
        <w:outlineLvl w:val="2"/>
        <w:rPr>
          <w:rFonts w:ascii="宋体" w:hAnsi="宋体" w:cs="宋体"/>
          <w:b/>
          <w:bCs/>
          <w:color w:val="auto"/>
          <w:sz w:val="32"/>
          <w:szCs w:val="32"/>
          <w:highlight w:val="none"/>
        </w:rPr>
      </w:pPr>
      <w:bookmarkStart w:id="223" w:name="_Toc15582"/>
      <w:bookmarkStart w:id="224" w:name="_Toc30943"/>
      <w:r>
        <w:rPr>
          <w:rFonts w:hint="eastAsia" w:ascii="宋体" w:hAnsi="宋体" w:cs="宋体"/>
          <w:b/>
          <w:bCs/>
          <w:color w:val="auto"/>
          <w:sz w:val="32"/>
          <w:szCs w:val="32"/>
          <w:highlight w:val="none"/>
        </w:rPr>
        <w:t>三、报价文件格式</w:t>
      </w:r>
      <w:bookmarkEnd w:id="223"/>
      <w:bookmarkEnd w:id="224"/>
    </w:p>
    <w:p w14:paraId="515CE683">
      <w:pPr>
        <w:snapToGrid w:val="0"/>
        <w:spacing w:beforeLines="50" w:after="50" w:line="360" w:lineRule="auto"/>
        <w:jc w:val="left"/>
        <w:rPr>
          <w:rFonts w:ascii="宋体" w:hAnsi="宋体" w:cs="宋体"/>
          <w:b/>
          <w:color w:val="auto"/>
          <w:sz w:val="32"/>
          <w:szCs w:val="32"/>
          <w:highlight w:val="none"/>
        </w:rPr>
      </w:pPr>
      <w:r>
        <w:rPr>
          <w:rFonts w:hint="eastAsia" w:ascii="宋体" w:hAnsi="宋体" w:cs="宋体"/>
          <w:b/>
          <w:color w:val="auto"/>
          <w:sz w:val="32"/>
          <w:szCs w:val="32"/>
          <w:highlight w:val="none"/>
        </w:rPr>
        <w:t>报价文件封面格式</w:t>
      </w:r>
    </w:p>
    <w:p w14:paraId="0CC160CF">
      <w:pPr>
        <w:snapToGrid w:val="0"/>
        <w:spacing w:beforeLines="50" w:after="50"/>
        <w:jc w:val="right"/>
        <w:rPr>
          <w:rFonts w:ascii="宋体" w:hAnsi="宋体" w:cs="宋体"/>
          <w:bCs/>
          <w:color w:val="auto"/>
          <w:sz w:val="32"/>
          <w:szCs w:val="20"/>
          <w:highlight w:val="none"/>
        </w:rPr>
      </w:pPr>
      <w:r>
        <w:rPr>
          <w:rFonts w:hint="eastAsia" w:ascii="宋体" w:hAnsi="宋体" w:cs="宋体"/>
          <w:bCs/>
          <w:color w:val="auto"/>
          <w:highlight w:val="none"/>
        </w:rPr>
        <w:t>全流程电子文件</w:t>
      </w:r>
    </w:p>
    <w:p w14:paraId="1CFD6D7B">
      <w:pPr>
        <w:snapToGrid w:val="0"/>
        <w:spacing w:beforeLines="50" w:after="50"/>
        <w:rPr>
          <w:rFonts w:ascii="宋体" w:hAnsi="宋体" w:cs="宋体"/>
          <w:color w:val="auto"/>
          <w:sz w:val="24"/>
          <w:szCs w:val="20"/>
          <w:highlight w:val="none"/>
        </w:rPr>
      </w:pPr>
    </w:p>
    <w:p w14:paraId="76C21A3C">
      <w:pPr>
        <w:snapToGrid w:val="0"/>
        <w:spacing w:beforeLines="50" w:after="50"/>
        <w:rPr>
          <w:rFonts w:ascii="宋体" w:hAnsi="宋体" w:cs="宋体"/>
          <w:color w:val="auto"/>
          <w:sz w:val="24"/>
          <w:szCs w:val="20"/>
          <w:highlight w:val="none"/>
        </w:rPr>
      </w:pPr>
    </w:p>
    <w:p w14:paraId="6B102846">
      <w:pPr>
        <w:snapToGrid w:val="0"/>
        <w:spacing w:beforeLines="50" w:after="50"/>
        <w:rPr>
          <w:rFonts w:ascii="宋体" w:hAnsi="宋体" w:cs="宋体"/>
          <w:color w:val="auto"/>
          <w:sz w:val="24"/>
          <w:szCs w:val="20"/>
          <w:highlight w:val="none"/>
        </w:rPr>
      </w:pPr>
    </w:p>
    <w:p w14:paraId="3E6F721A">
      <w:pPr>
        <w:snapToGrid w:val="0"/>
        <w:spacing w:beforeLines="50" w:after="50"/>
        <w:jc w:val="center"/>
        <w:rPr>
          <w:rFonts w:ascii="宋体" w:hAnsi="宋体" w:cs="宋体"/>
          <w:bCs/>
          <w:color w:val="auto"/>
          <w:sz w:val="44"/>
          <w:szCs w:val="44"/>
          <w:highlight w:val="none"/>
        </w:rPr>
      </w:pPr>
      <w:r>
        <w:rPr>
          <w:rFonts w:hint="eastAsia" w:ascii="宋体" w:hAnsi="宋体" w:cs="宋体"/>
          <w:bCs/>
          <w:color w:val="auto"/>
          <w:sz w:val="44"/>
          <w:szCs w:val="44"/>
          <w:highlight w:val="none"/>
        </w:rPr>
        <w:t xml:space="preserve">  报    价  文  件</w:t>
      </w:r>
    </w:p>
    <w:p w14:paraId="4D3EE5FD">
      <w:pPr>
        <w:snapToGrid w:val="0"/>
        <w:spacing w:beforeLines="50" w:after="50"/>
        <w:rPr>
          <w:rFonts w:ascii="宋体" w:hAnsi="宋体" w:cs="宋体"/>
          <w:bCs/>
          <w:color w:val="auto"/>
          <w:sz w:val="24"/>
          <w:szCs w:val="20"/>
          <w:highlight w:val="none"/>
        </w:rPr>
      </w:pPr>
    </w:p>
    <w:p w14:paraId="7EAB6697">
      <w:pPr>
        <w:snapToGrid w:val="0"/>
        <w:spacing w:beforeLines="50" w:after="50"/>
        <w:rPr>
          <w:rFonts w:ascii="宋体" w:hAnsi="宋体" w:cs="宋体"/>
          <w:bCs/>
          <w:color w:val="auto"/>
          <w:sz w:val="24"/>
          <w:szCs w:val="20"/>
          <w:highlight w:val="none"/>
        </w:rPr>
      </w:pPr>
    </w:p>
    <w:p w14:paraId="634C7846">
      <w:pPr>
        <w:snapToGrid w:val="0"/>
        <w:spacing w:beforeLines="50" w:after="50"/>
        <w:rPr>
          <w:rFonts w:ascii="宋体" w:hAnsi="宋体" w:cs="宋体"/>
          <w:bCs/>
          <w:color w:val="auto"/>
          <w:sz w:val="24"/>
          <w:szCs w:val="20"/>
          <w:highlight w:val="none"/>
        </w:rPr>
      </w:pPr>
    </w:p>
    <w:p w14:paraId="3CEACBB1">
      <w:pPr>
        <w:snapToGrid w:val="0"/>
        <w:spacing w:beforeLines="50" w:after="50"/>
        <w:rPr>
          <w:rFonts w:ascii="宋体" w:hAnsi="宋体" w:cs="宋体"/>
          <w:bCs/>
          <w:color w:val="auto"/>
          <w:sz w:val="24"/>
          <w:szCs w:val="20"/>
          <w:highlight w:val="none"/>
        </w:rPr>
      </w:pPr>
    </w:p>
    <w:p w14:paraId="03949EDB">
      <w:pPr>
        <w:snapToGrid w:val="0"/>
        <w:spacing w:beforeLines="250" w:afterLines="2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3345FABB">
      <w:pPr>
        <w:snapToGrid w:val="0"/>
        <w:spacing w:beforeLines="250" w:afterLines="2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 xml:space="preserve">项目编号： </w:t>
      </w:r>
    </w:p>
    <w:p w14:paraId="06778C44">
      <w:pPr>
        <w:pStyle w:val="7"/>
        <w:snapToGrid w:val="0"/>
        <w:spacing w:beforeLines="250" w:afterLines="250"/>
        <w:ind w:firstLine="640" w:firstLineChars="200"/>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234EA064">
      <w:pPr>
        <w:pStyle w:val="7"/>
        <w:snapToGrid w:val="0"/>
        <w:spacing w:before="50" w:after="50"/>
        <w:ind w:firstLine="720" w:firstLineChars="225"/>
        <w:rPr>
          <w:rFonts w:ascii="宋体" w:hAnsi="宋体" w:cs="宋体"/>
          <w:bCs/>
          <w:color w:val="auto"/>
          <w:sz w:val="32"/>
          <w:szCs w:val="32"/>
          <w:highlight w:val="none"/>
        </w:rPr>
      </w:pPr>
    </w:p>
    <w:p w14:paraId="2BC91815">
      <w:pPr>
        <w:pStyle w:val="7"/>
        <w:snapToGrid w:val="0"/>
        <w:spacing w:before="50" w:after="50"/>
        <w:ind w:firstLine="720" w:firstLineChars="225"/>
        <w:rPr>
          <w:rFonts w:ascii="宋体" w:hAnsi="宋体" w:cs="宋体"/>
          <w:bCs/>
          <w:color w:val="auto"/>
          <w:sz w:val="32"/>
          <w:szCs w:val="32"/>
          <w:highlight w:val="none"/>
        </w:rPr>
      </w:pPr>
    </w:p>
    <w:p w14:paraId="6D7F9EDD">
      <w:pPr>
        <w:pStyle w:val="7"/>
        <w:snapToGrid w:val="0"/>
        <w:spacing w:before="50" w:after="50"/>
        <w:ind w:firstLine="1280" w:firstLineChars="400"/>
        <w:rPr>
          <w:rFonts w:ascii="宋体" w:hAnsi="宋体" w:cs="宋体"/>
          <w:bCs/>
          <w:color w:val="auto"/>
          <w:sz w:val="32"/>
          <w:szCs w:val="32"/>
          <w:highlight w:val="none"/>
        </w:rPr>
      </w:pPr>
    </w:p>
    <w:p w14:paraId="4D845442">
      <w:pPr>
        <w:snapToGrid w:val="0"/>
        <w:spacing w:beforeLines="50" w:after="50"/>
        <w:jc w:val="center"/>
        <w:rPr>
          <w:rFonts w:ascii="宋体" w:hAnsi="宋体" w:cs="宋体"/>
          <w:color w:val="auto"/>
          <w:sz w:val="32"/>
          <w:szCs w:val="32"/>
          <w:highlight w:val="none"/>
        </w:rPr>
        <w:sectPr>
          <w:pgSz w:w="11906" w:h="16838"/>
          <w:pgMar w:top="1440" w:right="1803" w:bottom="1440" w:left="1803" w:header="851" w:footer="992" w:gutter="0"/>
          <w:pgNumType w:fmt="decimal"/>
          <w:cols w:space="0" w:num="1"/>
          <w:titlePg/>
          <w:docGrid w:type="lines" w:linePitch="319" w:charSpace="0"/>
        </w:sectPr>
      </w:pPr>
      <w:r>
        <w:rPr>
          <w:rFonts w:hint="eastAsia" w:ascii="宋体" w:hAnsi="宋体" w:cs="宋体"/>
          <w:color w:val="auto"/>
          <w:sz w:val="32"/>
          <w:szCs w:val="32"/>
          <w:highlight w:val="none"/>
        </w:rPr>
        <w:t>年    月    日</w:t>
      </w:r>
    </w:p>
    <w:p w14:paraId="35C80872">
      <w:pPr>
        <w:spacing w:beforeLines="100" w:afterLines="100" w:line="400" w:lineRule="exact"/>
        <w:jc w:val="center"/>
        <w:rPr>
          <w:rFonts w:ascii="宋体" w:hAnsi="宋体" w:cs="宋体"/>
          <w:bCs/>
          <w:color w:val="auto"/>
          <w:szCs w:val="21"/>
          <w:highlight w:val="none"/>
        </w:rPr>
      </w:pPr>
      <w:r>
        <w:rPr>
          <w:rFonts w:hint="eastAsia" w:ascii="宋体" w:hAnsi="宋体" w:cs="宋体"/>
          <w:b/>
          <w:color w:val="auto"/>
          <w:szCs w:val="21"/>
          <w:highlight w:val="none"/>
          <w:lang w:val="en-US" w:eastAsia="zh-CN"/>
        </w:rPr>
        <w:t>竞标报价表</w:t>
      </w:r>
    </w:p>
    <w:p w14:paraId="6053B454">
      <w:pPr>
        <w:snapToGrid w:val="0"/>
        <w:spacing w:before="50" w:after="50" w:line="400" w:lineRule="exact"/>
        <w:jc w:val="left"/>
        <w:rPr>
          <w:rFonts w:ascii="宋体" w:hAnsi="宋体" w:cs="宋体"/>
          <w:color w:val="auto"/>
          <w:szCs w:val="21"/>
          <w:highlight w:val="none"/>
        </w:rPr>
      </w:pPr>
      <w:r>
        <w:rPr>
          <w:rFonts w:hint="eastAsia" w:ascii="宋体" w:hAnsi="宋体" w:cs="宋体"/>
          <w:color w:val="auto"/>
          <w:szCs w:val="21"/>
          <w:highlight w:val="none"/>
        </w:rPr>
        <w:t>项目名称：</w:t>
      </w:r>
    </w:p>
    <w:p w14:paraId="7102CD41">
      <w:pPr>
        <w:snapToGrid w:val="0"/>
        <w:spacing w:before="50" w:after="50" w:line="400" w:lineRule="exact"/>
        <w:jc w:val="left"/>
        <w:rPr>
          <w:rFonts w:ascii="宋体" w:hAnsi="宋体" w:cs="宋体"/>
          <w:color w:val="auto"/>
          <w:szCs w:val="21"/>
          <w:highlight w:val="none"/>
        </w:rPr>
      </w:pPr>
      <w:r>
        <w:rPr>
          <w:rFonts w:hint="eastAsia" w:ascii="宋体" w:hAnsi="宋体" w:cs="宋体"/>
          <w:color w:val="auto"/>
          <w:szCs w:val="21"/>
          <w:highlight w:val="none"/>
        </w:rPr>
        <w:t>项目编号：</w:t>
      </w:r>
    </w:p>
    <w:p w14:paraId="2F88389C">
      <w:pPr>
        <w:snapToGrid w:val="0"/>
        <w:spacing w:before="50" w:after="50" w:line="400" w:lineRule="exact"/>
        <w:jc w:val="right"/>
        <w:rPr>
          <w:rFonts w:ascii="宋体" w:hAnsi="宋体" w:cs="宋体"/>
          <w:color w:val="auto"/>
          <w:szCs w:val="21"/>
          <w:highlight w:val="none"/>
        </w:rPr>
      </w:pPr>
      <w:r>
        <w:rPr>
          <w:rFonts w:hint="eastAsia" w:ascii="宋体" w:hAnsi="宋体" w:cs="宋体"/>
          <w:color w:val="auto"/>
          <w:szCs w:val="21"/>
          <w:highlight w:val="none"/>
        </w:rPr>
        <w:t>单位：元</w:t>
      </w:r>
    </w:p>
    <w:tbl>
      <w:tblPr>
        <w:tblStyle w:val="31"/>
        <w:tblW w:w="4997"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13"/>
        <w:gridCol w:w="1207"/>
        <w:gridCol w:w="1527"/>
        <w:gridCol w:w="1157"/>
        <w:gridCol w:w="872"/>
        <w:gridCol w:w="872"/>
        <w:gridCol w:w="2163"/>
      </w:tblGrid>
      <w:tr w14:paraId="65837C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1134FC14">
            <w:pPr>
              <w:snapToGrid w:val="0"/>
              <w:spacing w:line="360" w:lineRule="exact"/>
              <w:jc w:val="center"/>
              <w:rPr>
                <w:rFonts w:hint="eastAsia" w:ascii="宋体" w:hAnsi="宋体"/>
                <w:b/>
                <w:color w:val="auto"/>
                <w:szCs w:val="21"/>
                <w:highlight w:val="none"/>
              </w:rPr>
            </w:pPr>
            <w:r>
              <w:rPr>
                <w:rFonts w:hint="eastAsia" w:ascii="宋体" w:hAnsi="宋体"/>
                <w:b/>
                <w:color w:val="auto"/>
                <w:szCs w:val="21"/>
                <w:highlight w:val="none"/>
              </w:rPr>
              <w:t>序号</w:t>
            </w:r>
          </w:p>
        </w:tc>
        <w:tc>
          <w:tcPr>
            <w:tcW w:w="709" w:type="pct"/>
            <w:tcBorders>
              <w:top w:val="single" w:color="auto" w:sz="4" w:space="0"/>
              <w:left w:val="single" w:color="auto" w:sz="4" w:space="0"/>
              <w:bottom w:val="single" w:color="auto" w:sz="4" w:space="0"/>
              <w:right w:val="single" w:color="auto" w:sz="4" w:space="0"/>
            </w:tcBorders>
            <w:vAlign w:val="center"/>
          </w:tcPr>
          <w:p w14:paraId="31A08351">
            <w:pPr>
              <w:snapToGrid w:val="0"/>
              <w:spacing w:line="360" w:lineRule="exact"/>
              <w:jc w:val="center"/>
              <w:rPr>
                <w:rFonts w:hint="default" w:ascii="宋体" w:hAnsi="宋体" w:eastAsia="宋体"/>
                <w:b/>
                <w:color w:val="auto"/>
                <w:szCs w:val="21"/>
                <w:highlight w:val="none"/>
                <w:lang w:val="en-US" w:eastAsia="zh-CN"/>
              </w:rPr>
            </w:pPr>
            <w:r>
              <w:rPr>
                <w:rFonts w:hint="eastAsia" w:ascii="宋体" w:hAnsi="宋体"/>
                <w:b/>
                <w:color w:val="auto"/>
                <w:szCs w:val="21"/>
                <w:highlight w:val="none"/>
                <w:lang w:val="en-US" w:eastAsia="zh-CN"/>
              </w:rPr>
              <w:t>报价内容</w:t>
            </w:r>
          </w:p>
        </w:tc>
        <w:tc>
          <w:tcPr>
            <w:tcW w:w="897" w:type="pct"/>
            <w:tcBorders>
              <w:top w:val="single" w:color="auto" w:sz="4" w:space="0"/>
              <w:left w:val="single" w:color="auto" w:sz="4" w:space="0"/>
              <w:bottom w:val="single" w:color="auto" w:sz="4" w:space="0"/>
              <w:right w:val="single" w:color="auto" w:sz="4" w:space="0"/>
            </w:tcBorders>
            <w:vAlign w:val="center"/>
          </w:tcPr>
          <w:p w14:paraId="1738FA3D">
            <w:pPr>
              <w:snapToGrid w:val="0"/>
              <w:spacing w:line="360" w:lineRule="exact"/>
              <w:jc w:val="center"/>
              <w:rPr>
                <w:rFonts w:hint="default" w:ascii="宋体" w:hAnsi="宋体" w:eastAsia="宋体"/>
                <w:b/>
                <w:color w:val="auto"/>
                <w:szCs w:val="21"/>
                <w:highlight w:val="none"/>
                <w:lang w:val="en-US" w:eastAsia="zh-CN"/>
              </w:rPr>
            </w:pPr>
            <w:r>
              <w:rPr>
                <w:rFonts w:hint="eastAsia" w:ascii="宋体" w:hAnsi="宋体"/>
                <w:b/>
                <w:color w:val="auto"/>
                <w:szCs w:val="21"/>
                <w:highlight w:val="none"/>
              </w:rPr>
              <w:t>品牌</w:t>
            </w:r>
            <w:r>
              <w:rPr>
                <w:rFonts w:hint="eastAsia" w:ascii="宋体" w:hAnsi="宋体"/>
                <w:b/>
                <w:color w:val="auto"/>
                <w:szCs w:val="21"/>
                <w:highlight w:val="none"/>
                <w:lang w:val="en-US" w:eastAsia="zh-CN"/>
              </w:rPr>
              <w:t>及型号</w:t>
            </w:r>
          </w:p>
        </w:tc>
        <w:tc>
          <w:tcPr>
            <w:tcW w:w="680" w:type="pct"/>
            <w:tcBorders>
              <w:top w:val="single" w:color="auto" w:sz="4" w:space="0"/>
              <w:left w:val="single" w:color="auto" w:sz="4" w:space="0"/>
              <w:bottom w:val="single" w:color="auto" w:sz="4" w:space="0"/>
              <w:right w:val="single" w:color="auto" w:sz="4" w:space="0"/>
            </w:tcBorders>
            <w:vAlign w:val="center"/>
          </w:tcPr>
          <w:p w14:paraId="181C30DD">
            <w:pPr>
              <w:snapToGrid w:val="0"/>
              <w:spacing w:line="360" w:lineRule="exact"/>
              <w:jc w:val="center"/>
              <w:rPr>
                <w:rFonts w:hint="eastAsia" w:ascii="宋体" w:hAnsi="宋体"/>
                <w:b/>
                <w:color w:val="auto"/>
                <w:szCs w:val="21"/>
                <w:highlight w:val="none"/>
              </w:rPr>
            </w:pPr>
            <w:r>
              <w:rPr>
                <w:rFonts w:hint="eastAsia" w:ascii="宋体" w:hAnsi="宋体"/>
                <w:b/>
                <w:color w:val="auto"/>
                <w:szCs w:val="21"/>
                <w:highlight w:val="none"/>
              </w:rPr>
              <w:t>单位</w:t>
            </w:r>
          </w:p>
        </w:tc>
        <w:tc>
          <w:tcPr>
            <w:tcW w:w="512" w:type="pct"/>
            <w:tcBorders>
              <w:top w:val="single" w:color="auto" w:sz="4" w:space="0"/>
              <w:left w:val="single" w:color="auto" w:sz="4" w:space="0"/>
              <w:bottom w:val="single" w:color="auto" w:sz="4" w:space="0"/>
              <w:right w:val="single" w:color="auto" w:sz="4" w:space="0"/>
            </w:tcBorders>
            <w:vAlign w:val="center"/>
          </w:tcPr>
          <w:p w14:paraId="77FAE218">
            <w:pPr>
              <w:snapToGrid w:val="0"/>
              <w:spacing w:line="360" w:lineRule="exact"/>
              <w:jc w:val="center"/>
              <w:rPr>
                <w:rFonts w:hint="eastAsia" w:ascii="宋体" w:hAnsi="宋体"/>
                <w:b/>
                <w:color w:val="auto"/>
                <w:szCs w:val="21"/>
                <w:highlight w:val="none"/>
              </w:rPr>
            </w:pPr>
            <w:r>
              <w:rPr>
                <w:rFonts w:hint="eastAsia" w:ascii="宋体" w:hAnsi="宋体"/>
                <w:b/>
                <w:color w:val="auto"/>
                <w:szCs w:val="21"/>
                <w:highlight w:val="none"/>
              </w:rPr>
              <w:t>数量①</w:t>
            </w:r>
          </w:p>
        </w:tc>
        <w:tc>
          <w:tcPr>
            <w:tcW w:w="512" w:type="pct"/>
            <w:tcBorders>
              <w:top w:val="single" w:color="auto" w:sz="4" w:space="0"/>
              <w:left w:val="single" w:color="auto" w:sz="4" w:space="0"/>
              <w:bottom w:val="single" w:color="auto" w:sz="4" w:space="0"/>
              <w:right w:val="single" w:color="auto" w:sz="4" w:space="0"/>
            </w:tcBorders>
            <w:vAlign w:val="center"/>
          </w:tcPr>
          <w:p w14:paraId="3E475742">
            <w:pPr>
              <w:snapToGrid w:val="0"/>
              <w:spacing w:line="360" w:lineRule="exact"/>
              <w:jc w:val="center"/>
              <w:rPr>
                <w:rFonts w:hint="eastAsia" w:ascii="宋体" w:hAnsi="宋体"/>
                <w:b/>
                <w:color w:val="auto"/>
                <w:szCs w:val="21"/>
                <w:highlight w:val="none"/>
              </w:rPr>
            </w:pPr>
            <w:r>
              <w:rPr>
                <w:rFonts w:hint="eastAsia" w:ascii="宋体" w:hAnsi="宋体"/>
                <w:b/>
                <w:color w:val="auto"/>
                <w:szCs w:val="21"/>
                <w:highlight w:val="none"/>
              </w:rPr>
              <w:t>单价②</w:t>
            </w:r>
          </w:p>
        </w:tc>
        <w:tc>
          <w:tcPr>
            <w:tcW w:w="1268" w:type="pct"/>
            <w:tcBorders>
              <w:top w:val="single" w:color="auto" w:sz="4" w:space="0"/>
              <w:left w:val="single" w:color="auto" w:sz="4" w:space="0"/>
              <w:bottom w:val="single" w:color="auto" w:sz="4" w:space="0"/>
              <w:right w:val="single" w:color="auto" w:sz="4" w:space="0"/>
            </w:tcBorders>
            <w:vAlign w:val="center"/>
          </w:tcPr>
          <w:p w14:paraId="5CEFF8C7">
            <w:pPr>
              <w:snapToGrid w:val="0"/>
              <w:spacing w:line="360" w:lineRule="exact"/>
              <w:jc w:val="center"/>
              <w:rPr>
                <w:rFonts w:hint="eastAsia" w:ascii="宋体" w:hAnsi="宋体"/>
                <w:b/>
                <w:color w:val="auto"/>
                <w:szCs w:val="21"/>
                <w:highlight w:val="none"/>
              </w:rPr>
            </w:pPr>
            <w:r>
              <w:rPr>
                <w:rFonts w:hint="eastAsia" w:ascii="宋体" w:hAnsi="宋体"/>
                <w:b/>
                <w:color w:val="auto"/>
                <w:szCs w:val="21"/>
                <w:highlight w:val="none"/>
                <w:lang w:val="en-US" w:eastAsia="zh-CN"/>
              </w:rPr>
              <w:t>竞标</w:t>
            </w:r>
            <w:r>
              <w:rPr>
                <w:rFonts w:hint="eastAsia" w:ascii="宋体" w:hAnsi="宋体"/>
                <w:b/>
                <w:color w:val="auto"/>
                <w:szCs w:val="21"/>
                <w:highlight w:val="none"/>
              </w:rPr>
              <w:t>报价</w:t>
            </w:r>
            <w:r>
              <w:rPr>
                <w:rFonts w:ascii="宋体" w:hAnsi="宋体"/>
                <w:b/>
                <w:color w:val="auto"/>
                <w:szCs w:val="21"/>
                <w:highlight w:val="none"/>
              </w:rPr>
              <w:t>③</w:t>
            </w:r>
            <w:r>
              <w:rPr>
                <w:rFonts w:hint="eastAsia" w:ascii="宋体" w:hAnsi="宋体"/>
                <w:b/>
                <w:color w:val="auto"/>
                <w:szCs w:val="21"/>
                <w:highlight w:val="none"/>
              </w:rPr>
              <w:t>=①×②</w:t>
            </w:r>
          </w:p>
        </w:tc>
      </w:tr>
      <w:tr w14:paraId="2B5DC8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11963EE3">
            <w:pPr>
              <w:snapToGrid w:val="0"/>
              <w:spacing w:line="360" w:lineRule="exact"/>
              <w:jc w:val="center"/>
              <w:rPr>
                <w:rFonts w:hint="eastAsia" w:ascii="宋体" w:hAnsi="宋体"/>
                <w:b/>
                <w:color w:val="auto"/>
                <w:szCs w:val="21"/>
                <w:highlight w:val="none"/>
              </w:rPr>
            </w:pPr>
            <w:r>
              <w:rPr>
                <w:rFonts w:hint="eastAsia" w:ascii="宋体" w:hAnsi="宋体"/>
                <w:b/>
                <w:color w:val="auto"/>
                <w:szCs w:val="21"/>
                <w:highlight w:val="none"/>
              </w:rPr>
              <w:t>1</w:t>
            </w:r>
          </w:p>
        </w:tc>
        <w:tc>
          <w:tcPr>
            <w:tcW w:w="709" w:type="pct"/>
            <w:tcBorders>
              <w:top w:val="single" w:color="auto" w:sz="4" w:space="0"/>
              <w:left w:val="single" w:color="auto" w:sz="4" w:space="0"/>
              <w:bottom w:val="single" w:color="auto" w:sz="4" w:space="0"/>
              <w:right w:val="single" w:color="auto" w:sz="4" w:space="0"/>
            </w:tcBorders>
            <w:vAlign w:val="center"/>
          </w:tcPr>
          <w:p w14:paraId="5FDCA5B6">
            <w:pPr>
              <w:snapToGrid w:val="0"/>
              <w:spacing w:line="360" w:lineRule="exact"/>
              <w:jc w:val="center"/>
              <w:rPr>
                <w:rFonts w:hint="default" w:ascii="宋体" w:hAnsi="宋体" w:eastAsia="宋体"/>
                <w:b/>
                <w:color w:val="auto"/>
                <w:szCs w:val="21"/>
                <w:highlight w:val="none"/>
                <w:lang w:val="en-US" w:eastAsia="zh-CN"/>
              </w:rPr>
            </w:pPr>
            <w:r>
              <w:rPr>
                <w:rFonts w:hint="eastAsia" w:ascii="宋体" w:hAnsi="宋体"/>
                <w:b/>
                <w:color w:val="auto"/>
                <w:szCs w:val="21"/>
                <w:highlight w:val="none"/>
                <w:lang w:val="en-US" w:eastAsia="zh-CN"/>
              </w:rPr>
              <w:t>XX服务</w:t>
            </w:r>
          </w:p>
        </w:tc>
        <w:tc>
          <w:tcPr>
            <w:tcW w:w="897" w:type="pct"/>
            <w:tcBorders>
              <w:top w:val="single" w:color="auto" w:sz="4" w:space="0"/>
              <w:left w:val="single" w:color="auto" w:sz="4" w:space="0"/>
              <w:bottom w:val="single" w:color="auto" w:sz="4" w:space="0"/>
              <w:right w:val="single" w:color="auto" w:sz="4" w:space="0"/>
            </w:tcBorders>
            <w:vAlign w:val="center"/>
          </w:tcPr>
          <w:p w14:paraId="3CCA97A6">
            <w:pPr>
              <w:snapToGrid w:val="0"/>
              <w:spacing w:line="360" w:lineRule="exact"/>
              <w:rPr>
                <w:rFonts w:hint="eastAsia" w:ascii="宋体" w:hAnsi="宋体"/>
                <w:color w:val="auto"/>
                <w:szCs w:val="21"/>
                <w:highlight w:val="none"/>
              </w:rPr>
            </w:pPr>
          </w:p>
        </w:tc>
        <w:tc>
          <w:tcPr>
            <w:tcW w:w="680" w:type="pct"/>
            <w:tcBorders>
              <w:top w:val="single" w:color="auto" w:sz="4" w:space="0"/>
              <w:left w:val="single" w:color="auto" w:sz="4" w:space="0"/>
              <w:bottom w:val="single" w:color="auto" w:sz="4" w:space="0"/>
              <w:right w:val="single" w:color="auto" w:sz="4" w:space="0"/>
            </w:tcBorders>
            <w:vAlign w:val="center"/>
          </w:tcPr>
          <w:p w14:paraId="4F683912">
            <w:pPr>
              <w:snapToGrid w:val="0"/>
              <w:spacing w:line="360" w:lineRule="exact"/>
              <w:rPr>
                <w:rFonts w:hint="eastAsia" w:ascii="宋体" w:hAnsi="宋体"/>
                <w:color w:val="auto"/>
                <w:szCs w:val="21"/>
                <w:highlight w:val="none"/>
              </w:rPr>
            </w:pPr>
          </w:p>
        </w:tc>
        <w:tc>
          <w:tcPr>
            <w:tcW w:w="512" w:type="pct"/>
            <w:tcBorders>
              <w:top w:val="single" w:color="auto" w:sz="4" w:space="0"/>
              <w:left w:val="single" w:color="auto" w:sz="4" w:space="0"/>
              <w:bottom w:val="single" w:color="auto" w:sz="4" w:space="0"/>
              <w:right w:val="single" w:color="auto" w:sz="4" w:space="0"/>
            </w:tcBorders>
            <w:vAlign w:val="center"/>
          </w:tcPr>
          <w:p w14:paraId="32BB4A92">
            <w:pPr>
              <w:snapToGrid w:val="0"/>
              <w:spacing w:line="360" w:lineRule="exact"/>
              <w:rPr>
                <w:rFonts w:hint="eastAsia" w:ascii="宋体" w:hAnsi="宋体"/>
                <w:color w:val="auto"/>
                <w:szCs w:val="21"/>
                <w:highlight w:val="none"/>
              </w:rPr>
            </w:pPr>
          </w:p>
        </w:tc>
        <w:tc>
          <w:tcPr>
            <w:tcW w:w="512" w:type="pct"/>
            <w:tcBorders>
              <w:top w:val="single" w:color="auto" w:sz="4" w:space="0"/>
              <w:left w:val="single" w:color="auto" w:sz="4" w:space="0"/>
              <w:bottom w:val="single" w:color="auto" w:sz="4" w:space="0"/>
              <w:right w:val="single" w:color="auto" w:sz="4" w:space="0"/>
            </w:tcBorders>
            <w:vAlign w:val="center"/>
          </w:tcPr>
          <w:p w14:paraId="3C445841">
            <w:pPr>
              <w:snapToGrid w:val="0"/>
              <w:spacing w:line="360" w:lineRule="exact"/>
              <w:rPr>
                <w:rFonts w:hint="eastAsia" w:ascii="宋体" w:hAnsi="宋体"/>
                <w:color w:val="auto"/>
                <w:szCs w:val="21"/>
                <w:highlight w:val="none"/>
              </w:rPr>
            </w:pPr>
          </w:p>
        </w:tc>
        <w:tc>
          <w:tcPr>
            <w:tcW w:w="1268" w:type="pct"/>
            <w:tcBorders>
              <w:top w:val="single" w:color="auto" w:sz="4" w:space="0"/>
              <w:left w:val="single" w:color="auto" w:sz="4" w:space="0"/>
              <w:bottom w:val="single" w:color="auto" w:sz="4" w:space="0"/>
              <w:right w:val="single" w:color="auto" w:sz="4" w:space="0"/>
            </w:tcBorders>
            <w:vAlign w:val="center"/>
          </w:tcPr>
          <w:p w14:paraId="4CFE96E3">
            <w:pPr>
              <w:snapToGrid w:val="0"/>
              <w:spacing w:line="360" w:lineRule="exact"/>
              <w:rPr>
                <w:rFonts w:hint="eastAsia" w:ascii="宋体" w:hAnsi="宋体"/>
                <w:color w:val="auto"/>
                <w:szCs w:val="21"/>
                <w:highlight w:val="none"/>
              </w:rPr>
            </w:pPr>
          </w:p>
        </w:tc>
      </w:tr>
      <w:tr w14:paraId="77D7B4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4AADCD5A">
            <w:pPr>
              <w:snapToGrid w:val="0"/>
              <w:spacing w:line="360" w:lineRule="exact"/>
              <w:jc w:val="center"/>
              <w:rPr>
                <w:rFonts w:hint="eastAsia" w:ascii="宋体" w:hAnsi="宋体"/>
                <w:b/>
                <w:color w:val="auto"/>
                <w:szCs w:val="21"/>
                <w:highlight w:val="none"/>
              </w:rPr>
            </w:pPr>
            <w:r>
              <w:rPr>
                <w:rFonts w:hint="eastAsia" w:ascii="宋体" w:hAnsi="宋体"/>
                <w:b/>
                <w:color w:val="auto"/>
                <w:szCs w:val="21"/>
                <w:highlight w:val="none"/>
              </w:rPr>
              <w:t>2</w:t>
            </w:r>
          </w:p>
        </w:tc>
        <w:tc>
          <w:tcPr>
            <w:tcW w:w="709" w:type="pct"/>
            <w:tcBorders>
              <w:top w:val="single" w:color="auto" w:sz="4" w:space="0"/>
              <w:left w:val="single" w:color="auto" w:sz="4" w:space="0"/>
              <w:bottom w:val="single" w:color="auto" w:sz="4" w:space="0"/>
              <w:right w:val="single" w:color="auto" w:sz="4" w:space="0"/>
            </w:tcBorders>
            <w:shd w:val="clear" w:color="auto" w:fill="auto"/>
            <w:vAlign w:val="center"/>
          </w:tcPr>
          <w:p w14:paraId="7781A67A">
            <w:pPr>
              <w:widowControl/>
              <w:snapToGrid w:val="0"/>
              <w:spacing w:line="360" w:lineRule="exact"/>
              <w:jc w:val="center"/>
              <w:textAlignment w:val="auto"/>
              <w:rPr>
                <w:rFonts w:hint="default" w:ascii="宋体" w:hAnsi="宋体" w:eastAsia="宋体" w:cs="Times New Roman"/>
                <w:b/>
                <w:color w:val="auto"/>
                <w:kern w:val="2"/>
                <w:sz w:val="21"/>
                <w:szCs w:val="21"/>
                <w:highlight w:val="none"/>
                <w:lang w:val="en-US" w:eastAsia="zh-CN" w:bidi="ar-SA"/>
              </w:rPr>
            </w:pPr>
            <w:r>
              <w:rPr>
                <w:rFonts w:hint="default" w:ascii="宋体" w:hAnsi="宋体" w:cs="Times New Roman"/>
                <w:b/>
                <w:color w:val="auto"/>
                <w:kern w:val="2"/>
                <w:szCs w:val="21"/>
                <w:highlight w:val="none"/>
              </w:rPr>
              <w:t>信创超融合一体机</w:t>
            </w:r>
          </w:p>
        </w:tc>
        <w:tc>
          <w:tcPr>
            <w:tcW w:w="897" w:type="pct"/>
            <w:tcBorders>
              <w:top w:val="single" w:color="auto" w:sz="4" w:space="0"/>
              <w:left w:val="single" w:color="auto" w:sz="4" w:space="0"/>
              <w:bottom w:val="single" w:color="auto" w:sz="4" w:space="0"/>
              <w:right w:val="single" w:color="auto" w:sz="4" w:space="0"/>
            </w:tcBorders>
            <w:vAlign w:val="center"/>
          </w:tcPr>
          <w:p w14:paraId="3ED7BD51">
            <w:pPr>
              <w:snapToGrid w:val="0"/>
              <w:spacing w:line="360" w:lineRule="exact"/>
              <w:rPr>
                <w:rFonts w:hint="eastAsia" w:ascii="宋体" w:hAnsi="宋体"/>
                <w:color w:val="auto"/>
                <w:szCs w:val="21"/>
                <w:highlight w:val="none"/>
              </w:rPr>
            </w:pPr>
          </w:p>
        </w:tc>
        <w:tc>
          <w:tcPr>
            <w:tcW w:w="680" w:type="pct"/>
            <w:tcBorders>
              <w:top w:val="single" w:color="auto" w:sz="4" w:space="0"/>
              <w:left w:val="single" w:color="auto" w:sz="4" w:space="0"/>
              <w:bottom w:val="single" w:color="auto" w:sz="4" w:space="0"/>
              <w:right w:val="single" w:color="auto" w:sz="4" w:space="0"/>
            </w:tcBorders>
            <w:vAlign w:val="center"/>
          </w:tcPr>
          <w:p w14:paraId="29C8E95F">
            <w:pPr>
              <w:snapToGrid w:val="0"/>
              <w:spacing w:line="360" w:lineRule="exact"/>
              <w:rPr>
                <w:rFonts w:hint="eastAsia" w:ascii="宋体" w:hAnsi="宋体"/>
                <w:color w:val="auto"/>
                <w:szCs w:val="21"/>
                <w:highlight w:val="none"/>
              </w:rPr>
            </w:pPr>
          </w:p>
        </w:tc>
        <w:tc>
          <w:tcPr>
            <w:tcW w:w="512" w:type="pct"/>
            <w:tcBorders>
              <w:top w:val="single" w:color="auto" w:sz="4" w:space="0"/>
              <w:left w:val="single" w:color="auto" w:sz="4" w:space="0"/>
              <w:bottom w:val="single" w:color="auto" w:sz="4" w:space="0"/>
              <w:right w:val="single" w:color="auto" w:sz="4" w:space="0"/>
            </w:tcBorders>
            <w:vAlign w:val="center"/>
          </w:tcPr>
          <w:p w14:paraId="32DD3E68">
            <w:pPr>
              <w:snapToGrid w:val="0"/>
              <w:spacing w:line="360" w:lineRule="exact"/>
              <w:rPr>
                <w:rFonts w:hint="eastAsia" w:ascii="宋体" w:hAnsi="宋体"/>
                <w:color w:val="auto"/>
                <w:szCs w:val="21"/>
                <w:highlight w:val="none"/>
              </w:rPr>
            </w:pPr>
          </w:p>
        </w:tc>
        <w:tc>
          <w:tcPr>
            <w:tcW w:w="512" w:type="pct"/>
            <w:tcBorders>
              <w:top w:val="single" w:color="auto" w:sz="4" w:space="0"/>
              <w:left w:val="single" w:color="auto" w:sz="4" w:space="0"/>
              <w:bottom w:val="single" w:color="auto" w:sz="4" w:space="0"/>
              <w:right w:val="single" w:color="auto" w:sz="4" w:space="0"/>
            </w:tcBorders>
            <w:vAlign w:val="center"/>
          </w:tcPr>
          <w:p w14:paraId="5966E756">
            <w:pPr>
              <w:snapToGrid w:val="0"/>
              <w:spacing w:line="360" w:lineRule="exact"/>
              <w:rPr>
                <w:rFonts w:hint="eastAsia" w:ascii="宋体" w:hAnsi="宋体"/>
                <w:color w:val="auto"/>
                <w:szCs w:val="21"/>
                <w:highlight w:val="none"/>
              </w:rPr>
            </w:pPr>
          </w:p>
        </w:tc>
        <w:tc>
          <w:tcPr>
            <w:tcW w:w="1268" w:type="pct"/>
            <w:tcBorders>
              <w:top w:val="single" w:color="auto" w:sz="4" w:space="0"/>
              <w:left w:val="single" w:color="auto" w:sz="4" w:space="0"/>
              <w:bottom w:val="single" w:color="auto" w:sz="4" w:space="0"/>
              <w:right w:val="single" w:color="auto" w:sz="4" w:space="0"/>
            </w:tcBorders>
            <w:vAlign w:val="center"/>
          </w:tcPr>
          <w:p w14:paraId="5411528B">
            <w:pPr>
              <w:snapToGrid w:val="0"/>
              <w:spacing w:line="360" w:lineRule="exact"/>
              <w:rPr>
                <w:rFonts w:hint="eastAsia" w:ascii="宋体" w:hAnsi="宋体"/>
                <w:color w:val="auto"/>
                <w:szCs w:val="21"/>
                <w:highlight w:val="none"/>
              </w:rPr>
            </w:pPr>
          </w:p>
        </w:tc>
      </w:tr>
      <w:tr w14:paraId="0791B5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04560012">
            <w:pPr>
              <w:snapToGrid w:val="0"/>
              <w:spacing w:line="360" w:lineRule="exact"/>
              <w:jc w:val="center"/>
              <w:rPr>
                <w:rFonts w:hint="eastAsia" w:ascii="宋体" w:hAnsi="宋体" w:eastAsia="宋体"/>
                <w:b/>
                <w:color w:val="auto"/>
                <w:szCs w:val="21"/>
                <w:highlight w:val="none"/>
                <w:lang w:val="en-US" w:eastAsia="zh-CN"/>
              </w:rPr>
            </w:pPr>
            <w:r>
              <w:rPr>
                <w:rFonts w:hint="eastAsia" w:ascii="宋体" w:hAnsi="宋体"/>
                <w:b/>
                <w:color w:val="auto"/>
                <w:szCs w:val="21"/>
                <w:highlight w:val="none"/>
                <w:lang w:val="en-US" w:eastAsia="zh-CN"/>
              </w:rPr>
              <w:t>3</w:t>
            </w:r>
          </w:p>
        </w:tc>
        <w:tc>
          <w:tcPr>
            <w:tcW w:w="709" w:type="pct"/>
            <w:tcBorders>
              <w:top w:val="single" w:color="auto" w:sz="4" w:space="0"/>
              <w:left w:val="single" w:color="auto" w:sz="4" w:space="0"/>
              <w:bottom w:val="single" w:color="auto" w:sz="4" w:space="0"/>
              <w:right w:val="single" w:color="auto" w:sz="4" w:space="0"/>
            </w:tcBorders>
            <w:shd w:val="clear" w:color="auto" w:fill="auto"/>
            <w:vAlign w:val="center"/>
          </w:tcPr>
          <w:p w14:paraId="63A022B8">
            <w:pPr>
              <w:widowControl/>
              <w:snapToGrid w:val="0"/>
              <w:spacing w:line="360" w:lineRule="exact"/>
              <w:jc w:val="center"/>
              <w:textAlignment w:val="auto"/>
              <w:rPr>
                <w:rFonts w:hint="default" w:ascii="宋体" w:hAnsi="宋体" w:eastAsia="宋体" w:cs="Times New Roman"/>
                <w:b/>
                <w:color w:val="auto"/>
                <w:kern w:val="2"/>
                <w:sz w:val="21"/>
                <w:szCs w:val="21"/>
                <w:highlight w:val="none"/>
                <w:lang w:val="en-US" w:eastAsia="zh-CN" w:bidi="ar-SA"/>
              </w:rPr>
            </w:pPr>
            <w:r>
              <w:rPr>
                <w:rFonts w:hint="default" w:ascii="宋体" w:hAnsi="宋体" w:cs="Times New Roman"/>
                <w:b/>
                <w:color w:val="auto"/>
                <w:kern w:val="2"/>
                <w:szCs w:val="21"/>
                <w:highlight w:val="none"/>
              </w:rPr>
              <w:t>存储系统</w:t>
            </w:r>
          </w:p>
        </w:tc>
        <w:tc>
          <w:tcPr>
            <w:tcW w:w="897" w:type="pct"/>
            <w:tcBorders>
              <w:top w:val="single" w:color="auto" w:sz="4" w:space="0"/>
              <w:left w:val="single" w:color="auto" w:sz="4" w:space="0"/>
              <w:bottom w:val="single" w:color="auto" w:sz="4" w:space="0"/>
              <w:right w:val="single" w:color="auto" w:sz="4" w:space="0"/>
            </w:tcBorders>
            <w:vAlign w:val="center"/>
          </w:tcPr>
          <w:p w14:paraId="256D5275">
            <w:pPr>
              <w:snapToGrid w:val="0"/>
              <w:spacing w:line="360" w:lineRule="exact"/>
              <w:rPr>
                <w:rFonts w:hint="eastAsia" w:ascii="宋体" w:hAnsi="宋体"/>
                <w:color w:val="auto"/>
                <w:szCs w:val="21"/>
                <w:highlight w:val="none"/>
              </w:rPr>
            </w:pPr>
          </w:p>
        </w:tc>
        <w:tc>
          <w:tcPr>
            <w:tcW w:w="680" w:type="pct"/>
            <w:tcBorders>
              <w:top w:val="single" w:color="auto" w:sz="4" w:space="0"/>
              <w:left w:val="single" w:color="auto" w:sz="4" w:space="0"/>
              <w:bottom w:val="single" w:color="auto" w:sz="4" w:space="0"/>
              <w:right w:val="single" w:color="auto" w:sz="4" w:space="0"/>
            </w:tcBorders>
            <w:vAlign w:val="center"/>
          </w:tcPr>
          <w:p w14:paraId="6ACD84E9">
            <w:pPr>
              <w:snapToGrid w:val="0"/>
              <w:spacing w:line="360" w:lineRule="exact"/>
              <w:rPr>
                <w:rFonts w:hint="eastAsia" w:ascii="宋体" w:hAnsi="宋体"/>
                <w:color w:val="auto"/>
                <w:szCs w:val="21"/>
                <w:highlight w:val="none"/>
              </w:rPr>
            </w:pPr>
          </w:p>
        </w:tc>
        <w:tc>
          <w:tcPr>
            <w:tcW w:w="512" w:type="pct"/>
            <w:tcBorders>
              <w:top w:val="single" w:color="auto" w:sz="4" w:space="0"/>
              <w:left w:val="single" w:color="auto" w:sz="4" w:space="0"/>
              <w:bottom w:val="single" w:color="auto" w:sz="4" w:space="0"/>
              <w:right w:val="single" w:color="auto" w:sz="4" w:space="0"/>
            </w:tcBorders>
            <w:vAlign w:val="center"/>
          </w:tcPr>
          <w:p w14:paraId="771A83AD">
            <w:pPr>
              <w:snapToGrid w:val="0"/>
              <w:spacing w:line="360" w:lineRule="exact"/>
              <w:rPr>
                <w:rFonts w:hint="eastAsia" w:ascii="宋体" w:hAnsi="宋体"/>
                <w:color w:val="auto"/>
                <w:szCs w:val="21"/>
                <w:highlight w:val="none"/>
              </w:rPr>
            </w:pPr>
          </w:p>
        </w:tc>
        <w:tc>
          <w:tcPr>
            <w:tcW w:w="512" w:type="pct"/>
            <w:tcBorders>
              <w:top w:val="single" w:color="auto" w:sz="4" w:space="0"/>
              <w:left w:val="single" w:color="auto" w:sz="4" w:space="0"/>
              <w:bottom w:val="single" w:color="auto" w:sz="4" w:space="0"/>
              <w:right w:val="single" w:color="auto" w:sz="4" w:space="0"/>
            </w:tcBorders>
            <w:vAlign w:val="center"/>
          </w:tcPr>
          <w:p w14:paraId="57D2E509">
            <w:pPr>
              <w:snapToGrid w:val="0"/>
              <w:spacing w:line="360" w:lineRule="exact"/>
              <w:rPr>
                <w:rFonts w:hint="eastAsia" w:ascii="宋体" w:hAnsi="宋体"/>
                <w:color w:val="auto"/>
                <w:szCs w:val="21"/>
                <w:highlight w:val="none"/>
              </w:rPr>
            </w:pPr>
          </w:p>
        </w:tc>
        <w:tc>
          <w:tcPr>
            <w:tcW w:w="1268" w:type="pct"/>
            <w:tcBorders>
              <w:top w:val="single" w:color="auto" w:sz="4" w:space="0"/>
              <w:left w:val="single" w:color="auto" w:sz="4" w:space="0"/>
              <w:bottom w:val="single" w:color="auto" w:sz="4" w:space="0"/>
              <w:right w:val="single" w:color="auto" w:sz="4" w:space="0"/>
            </w:tcBorders>
            <w:vAlign w:val="center"/>
          </w:tcPr>
          <w:p w14:paraId="0257409A">
            <w:pPr>
              <w:snapToGrid w:val="0"/>
              <w:spacing w:line="360" w:lineRule="exact"/>
              <w:rPr>
                <w:rFonts w:hint="eastAsia" w:ascii="宋体" w:hAnsi="宋体"/>
                <w:color w:val="auto"/>
                <w:szCs w:val="21"/>
                <w:highlight w:val="none"/>
              </w:rPr>
            </w:pPr>
          </w:p>
        </w:tc>
      </w:tr>
      <w:tr w14:paraId="37ABB1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59F8B33C">
            <w:pPr>
              <w:snapToGrid w:val="0"/>
              <w:spacing w:line="360" w:lineRule="exact"/>
              <w:jc w:val="center"/>
              <w:rPr>
                <w:rFonts w:hint="eastAsia" w:ascii="宋体" w:hAnsi="宋体" w:eastAsia="宋体"/>
                <w:b/>
                <w:color w:val="auto"/>
                <w:szCs w:val="21"/>
                <w:highlight w:val="none"/>
                <w:lang w:val="en-US" w:eastAsia="zh-CN"/>
              </w:rPr>
            </w:pPr>
            <w:r>
              <w:rPr>
                <w:rFonts w:hint="eastAsia" w:ascii="宋体" w:hAnsi="宋体"/>
                <w:b/>
                <w:color w:val="auto"/>
                <w:szCs w:val="21"/>
                <w:highlight w:val="none"/>
                <w:lang w:val="en-US" w:eastAsia="zh-CN"/>
              </w:rPr>
              <w:t>4</w:t>
            </w:r>
          </w:p>
        </w:tc>
        <w:tc>
          <w:tcPr>
            <w:tcW w:w="709" w:type="pct"/>
            <w:tcBorders>
              <w:top w:val="single" w:color="auto" w:sz="4" w:space="0"/>
              <w:left w:val="single" w:color="auto" w:sz="4" w:space="0"/>
              <w:bottom w:val="single" w:color="auto" w:sz="4" w:space="0"/>
              <w:right w:val="single" w:color="auto" w:sz="4" w:space="0"/>
            </w:tcBorders>
            <w:shd w:val="clear" w:color="auto" w:fill="auto"/>
            <w:vAlign w:val="center"/>
          </w:tcPr>
          <w:p w14:paraId="47A4F9EA">
            <w:pPr>
              <w:widowControl/>
              <w:snapToGrid w:val="0"/>
              <w:spacing w:line="360" w:lineRule="exact"/>
              <w:jc w:val="center"/>
              <w:textAlignment w:val="auto"/>
              <w:rPr>
                <w:rFonts w:hint="default" w:ascii="宋体" w:hAnsi="宋体" w:eastAsia="宋体" w:cs="Times New Roman"/>
                <w:b/>
                <w:color w:val="auto"/>
                <w:kern w:val="2"/>
                <w:sz w:val="21"/>
                <w:szCs w:val="21"/>
                <w:highlight w:val="none"/>
                <w:lang w:val="en-US" w:eastAsia="zh-CN" w:bidi="ar-SA"/>
              </w:rPr>
            </w:pPr>
            <w:r>
              <w:rPr>
                <w:rFonts w:hint="default" w:ascii="宋体" w:hAnsi="宋体" w:cs="Times New Roman"/>
                <w:b/>
                <w:color w:val="auto"/>
                <w:kern w:val="2"/>
                <w:szCs w:val="21"/>
                <w:highlight w:val="none"/>
              </w:rPr>
              <w:t>万兆交换机</w:t>
            </w:r>
          </w:p>
        </w:tc>
        <w:tc>
          <w:tcPr>
            <w:tcW w:w="897" w:type="pct"/>
            <w:tcBorders>
              <w:top w:val="single" w:color="auto" w:sz="4" w:space="0"/>
              <w:left w:val="single" w:color="auto" w:sz="4" w:space="0"/>
              <w:bottom w:val="single" w:color="auto" w:sz="4" w:space="0"/>
              <w:right w:val="single" w:color="auto" w:sz="4" w:space="0"/>
            </w:tcBorders>
            <w:vAlign w:val="center"/>
          </w:tcPr>
          <w:p w14:paraId="2292812C">
            <w:pPr>
              <w:snapToGrid w:val="0"/>
              <w:spacing w:line="360" w:lineRule="exact"/>
              <w:rPr>
                <w:rFonts w:hint="eastAsia" w:ascii="宋体" w:hAnsi="宋体"/>
                <w:color w:val="auto"/>
                <w:szCs w:val="21"/>
                <w:highlight w:val="none"/>
              </w:rPr>
            </w:pPr>
          </w:p>
        </w:tc>
        <w:tc>
          <w:tcPr>
            <w:tcW w:w="680" w:type="pct"/>
            <w:tcBorders>
              <w:top w:val="single" w:color="auto" w:sz="4" w:space="0"/>
              <w:left w:val="single" w:color="auto" w:sz="4" w:space="0"/>
              <w:bottom w:val="single" w:color="auto" w:sz="4" w:space="0"/>
              <w:right w:val="single" w:color="auto" w:sz="4" w:space="0"/>
            </w:tcBorders>
            <w:vAlign w:val="center"/>
          </w:tcPr>
          <w:p w14:paraId="6D50CCE5">
            <w:pPr>
              <w:snapToGrid w:val="0"/>
              <w:spacing w:line="360" w:lineRule="exact"/>
              <w:rPr>
                <w:rFonts w:hint="eastAsia" w:ascii="宋体" w:hAnsi="宋体"/>
                <w:color w:val="auto"/>
                <w:szCs w:val="21"/>
                <w:highlight w:val="none"/>
              </w:rPr>
            </w:pPr>
          </w:p>
        </w:tc>
        <w:tc>
          <w:tcPr>
            <w:tcW w:w="512" w:type="pct"/>
            <w:tcBorders>
              <w:top w:val="single" w:color="auto" w:sz="4" w:space="0"/>
              <w:left w:val="single" w:color="auto" w:sz="4" w:space="0"/>
              <w:bottom w:val="single" w:color="auto" w:sz="4" w:space="0"/>
              <w:right w:val="single" w:color="auto" w:sz="4" w:space="0"/>
            </w:tcBorders>
            <w:vAlign w:val="center"/>
          </w:tcPr>
          <w:p w14:paraId="31B7100F">
            <w:pPr>
              <w:snapToGrid w:val="0"/>
              <w:spacing w:line="360" w:lineRule="exact"/>
              <w:rPr>
                <w:rFonts w:hint="eastAsia" w:ascii="宋体" w:hAnsi="宋体"/>
                <w:color w:val="auto"/>
                <w:szCs w:val="21"/>
                <w:highlight w:val="none"/>
              </w:rPr>
            </w:pPr>
          </w:p>
        </w:tc>
        <w:tc>
          <w:tcPr>
            <w:tcW w:w="512" w:type="pct"/>
            <w:tcBorders>
              <w:top w:val="single" w:color="auto" w:sz="4" w:space="0"/>
              <w:left w:val="single" w:color="auto" w:sz="4" w:space="0"/>
              <w:bottom w:val="single" w:color="auto" w:sz="4" w:space="0"/>
              <w:right w:val="single" w:color="auto" w:sz="4" w:space="0"/>
            </w:tcBorders>
            <w:vAlign w:val="center"/>
          </w:tcPr>
          <w:p w14:paraId="0AA0D242">
            <w:pPr>
              <w:snapToGrid w:val="0"/>
              <w:spacing w:line="360" w:lineRule="exact"/>
              <w:rPr>
                <w:rFonts w:hint="eastAsia" w:ascii="宋体" w:hAnsi="宋体"/>
                <w:color w:val="auto"/>
                <w:szCs w:val="21"/>
                <w:highlight w:val="none"/>
              </w:rPr>
            </w:pPr>
          </w:p>
        </w:tc>
        <w:tc>
          <w:tcPr>
            <w:tcW w:w="1268" w:type="pct"/>
            <w:tcBorders>
              <w:top w:val="single" w:color="auto" w:sz="4" w:space="0"/>
              <w:left w:val="single" w:color="auto" w:sz="4" w:space="0"/>
              <w:bottom w:val="single" w:color="auto" w:sz="4" w:space="0"/>
              <w:right w:val="single" w:color="auto" w:sz="4" w:space="0"/>
            </w:tcBorders>
            <w:vAlign w:val="center"/>
          </w:tcPr>
          <w:p w14:paraId="70CC22DF">
            <w:pPr>
              <w:snapToGrid w:val="0"/>
              <w:spacing w:line="360" w:lineRule="exact"/>
              <w:rPr>
                <w:rFonts w:hint="eastAsia" w:ascii="宋体" w:hAnsi="宋体"/>
                <w:color w:val="auto"/>
                <w:szCs w:val="21"/>
                <w:highlight w:val="none"/>
              </w:rPr>
            </w:pPr>
          </w:p>
        </w:tc>
      </w:tr>
      <w:tr w14:paraId="3E107B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419" w:type="pct"/>
            <w:tcBorders>
              <w:top w:val="single" w:color="auto" w:sz="4" w:space="0"/>
              <w:left w:val="single" w:color="auto" w:sz="4" w:space="0"/>
              <w:bottom w:val="single" w:color="auto" w:sz="4" w:space="0"/>
              <w:right w:val="single" w:color="auto" w:sz="4" w:space="0"/>
            </w:tcBorders>
            <w:vAlign w:val="center"/>
          </w:tcPr>
          <w:p w14:paraId="1386EA55">
            <w:pPr>
              <w:snapToGrid w:val="0"/>
              <w:spacing w:line="360" w:lineRule="exact"/>
              <w:jc w:val="center"/>
              <w:rPr>
                <w:rFonts w:hint="eastAsia" w:ascii="宋体" w:hAnsi="宋体" w:eastAsia="宋体"/>
                <w:b/>
                <w:color w:val="auto"/>
                <w:szCs w:val="21"/>
                <w:highlight w:val="none"/>
                <w:lang w:val="en-US" w:eastAsia="zh-CN"/>
              </w:rPr>
            </w:pPr>
            <w:r>
              <w:rPr>
                <w:rFonts w:hint="eastAsia" w:ascii="宋体" w:hAnsi="宋体"/>
                <w:b/>
                <w:color w:val="auto"/>
                <w:szCs w:val="21"/>
                <w:highlight w:val="none"/>
                <w:lang w:val="en-US" w:eastAsia="zh-CN"/>
              </w:rPr>
              <w:t>5</w:t>
            </w:r>
          </w:p>
        </w:tc>
        <w:tc>
          <w:tcPr>
            <w:tcW w:w="709" w:type="pct"/>
            <w:tcBorders>
              <w:top w:val="single" w:color="auto" w:sz="4" w:space="0"/>
              <w:left w:val="single" w:color="auto" w:sz="4" w:space="0"/>
              <w:bottom w:val="single" w:color="auto" w:sz="4" w:space="0"/>
              <w:right w:val="single" w:color="auto" w:sz="4" w:space="0"/>
            </w:tcBorders>
            <w:shd w:val="clear" w:color="auto" w:fill="auto"/>
            <w:vAlign w:val="center"/>
          </w:tcPr>
          <w:p w14:paraId="54B65B54">
            <w:pPr>
              <w:widowControl/>
              <w:snapToGrid w:val="0"/>
              <w:spacing w:line="360" w:lineRule="exact"/>
              <w:jc w:val="center"/>
              <w:textAlignment w:val="auto"/>
              <w:rPr>
                <w:rFonts w:hint="default" w:ascii="宋体" w:hAnsi="宋体" w:eastAsia="宋体" w:cs="Times New Roman"/>
                <w:b/>
                <w:color w:val="auto"/>
                <w:kern w:val="2"/>
                <w:sz w:val="21"/>
                <w:szCs w:val="21"/>
                <w:highlight w:val="none"/>
                <w:lang w:val="en-US" w:eastAsia="zh-CN" w:bidi="ar-SA"/>
              </w:rPr>
            </w:pPr>
            <w:r>
              <w:rPr>
                <w:rFonts w:hint="default" w:ascii="宋体" w:hAnsi="宋体" w:cs="Times New Roman"/>
                <w:b/>
                <w:color w:val="auto"/>
                <w:kern w:val="2"/>
                <w:szCs w:val="21"/>
                <w:highlight w:val="none"/>
              </w:rPr>
              <w:t>千兆交换机</w:t>
            </w:r>
          </w:p>
        </w:tc>
        <w:tc>
          <w:tcPr>
            <w:tcW w:w="897" w:type="pct"/>
            <w:tcBorders>
              <w:top w:val="single" w:color="auto" w:sz="4" w:space="0"/>
              <w:left w:val="single" w:color="auto" w:sz="4" w:space="0"/>
              <w:bottom w:val="single" w:color="auto" w:sz="4" w:space="0"/>
              <w:right w:val="single" w:color="auto" w:sz="4" w:space="0"/>
            </w:tcBorders>
            <w:vAlign w:val="center"/>
          </w:tcPr>
          <w:p w14:paraId="6395C928">
            <w:pPr>
              <w:snapToGrid w:val="0"/>
              <w:spacing w:line="360" w:lineRule="exact"/>
              <w:rPr>
                <w:rFonts w:hint="eastAsia" w:ascii="宋体" w:hAnsi="宋体"/>
                <w:color w:val="auto"/>
                <w:szCs w:val="21"/>
                <w:highlight w:val="none"/>
              </w:rPr>
            </w:pPr>
          </w:p>
        </w:tc>
        <w:tc>
          <w:tcPr>
            <w:tcW w:w="680" w:type="pct"/>
            <w:tcBorders>
              <w:top w:val="single" w:color="auto" w:sz="4" w:space="0"/>
              <w:left w:val="single" w:color="auto" w:sz="4" w:space="0"/>
              <w:bottom w:val="single" w:color="auto" w:sz="4" w:space="0"/>
              <w:right w:val="single" w:color="auto" w:sz="4" w:space="0"/>
            </w:tcBorders>
            <w:vAlign w:val="center"/>
          </w:tcPr>
          <w:p w14:paraId="487A3452">
            <w:pPr>
              <w:snapToGrid w:val="0"/>
              <w:spacing w:line="360" w:lineRule="exact"/>
              <w:rPr>
                <w:rFonts w:hint="eastAsia" w:ascii="宋体" w:hAnsi="宋体"/>
                <w:color w:val="auto"/>
                <w:szCs w:val="21"/>
                <w:highlight w:val="none"/>
              </w:rPr>
            </w:pPr>
          </w:p>
        </w:tc>
        <w:tc>
          <w:tcPr>
            <w:tcW w:w="512" w:type="pct"/>
            <w:tcBorders>
              <w:top w:val="single" w:color="auto" w:sz="4" w:space="0"/>
              <w:left w:val="single" w:color="auto" w:sz="4" w:space="0"/>
              <w:bottom w:val="single" w:color="auto" w:sz="4" w:space="0"/>
              <w:right w:val="single" w:color="auto" w:sz="4" w:space="0"/>
            </w:tcBorders>
            <w:vAlign w:val="center"/>
          </w:tcPr>
          <w:p w14:paraId="1C71F17B">
            <w:pPr>
              <w:snapToGrid w:val="0"/>
              <w:spacing w:line="360" w:lineRule="exact"/>
              <w:rPr>
                <w:rFonts w:hint="eastAsia" w:ascii="宋体" w:hAnsi="宋体"/>
                <w:color w:val="auto"/>
                <w:szCs w:val="21"/>
                <w:highlight w:val="none"/>
              </w:rPr>
            </w:pPr>
          </w:p>
        </w:tc>
        <w:tc>
          <w:tcPr>
            <w:tcW w:w="512" w:type="pct"/>
            <w:tcBorders>
              <w:top w:val="single" w:color="auto" w:sz="4" w:space="0"/>
              <w:left w:val="single" w:color="auto" w:sz="4" w:space="0"/>
              <w:bottom w:val="single" w:color="auto" w:sz="4" w:space="0"/>
              <w:right w:val="single" w:color="auto" w:sz="4" w:space="0"/>
            </w:tcBorders>
            <w:vAlign w:val="center"/>
          </w:tcPr>
          <w:p w14:paraId="6683899F">
            <w:pPr>
              <w:snapToGrid w:val="0"/>
              <w:spacing w:line="360" w:lineRule="exact"/>
              <w:rPr>
                <w:rFonts w:hint="eastAsia" w:ascii="宋体" w:hAnsi="宋体"/>
                <w:color w:val="auto"/>
                <w:szCs w:val="21"/>
                <w:highlight w:val="none"/>
              </w:rPr>
            </w:pPr>
          </w:p>
        </w:tc>
        <w:tc>
          <w:tcPr>
            <w:tcW w:w="1268" w:type="pct"/>
            <w:tcBorders>
              <w:top w:val="single" w:color="auto" w:sz="4" w:space="0"/>
              <w:left w:val="single" w:color="auto" w:sz="4" w:space="0"/>
              <w:bottom w:val="single" w:color="auto" w:sz="4" w:space="0"/>
              <w:right w:val="single" w:color="auto" w:sz="4" w:space="0"/>
            </w:tcBorders>
            <w:vAlign w:val="center"/>
          </w:tcPr>
          <w:p w14:paraId="0C5D7B9E">
            <w:pPr>
              <w:snapToGrid w:val="0"/>
              <w:spacing w:line="360" w:lineRule="exact"/>
              <w:rPr>
                <w:rFonts w:hint="eastAsia" w:ascii="宋体" w:hAnsi="宋体"/>
                <w:color w:val="auto"/>
                <w:szCs w:val="21"/>
                <w:highlight w:val="none"/>
              </w:rPr>
            </w:pPr>
          </w:p>
        </w:tc>
      </w:tr>
      <w:tr w14:paraId="68CD82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419" w:type="pct"/>
            <w:tcBorders>
              <w:top w:val="single" w:color="auto" w:sz="4" w:space="0"/>
              <w:left w:val="single" w:color="auto" w:sz="4" w:space="0"/>
              <w:bottom w:val="single" w:color="auto" w:sz="4" w:space="0"/>
              <w:right w:val="single" w:color="auto" w:sz="4" w:space="0"/>
            </w:tcBorders>
            <w:shd w:val="clear" w:color="auto" w:fill="auto"/>
            <w:vAlign w:val="center"/>
          </w:tcPr>
          <w:p w14:paraId="6CF092F1">
            <w:pPr>
              <w:snapToGrid w:val="0"/>
              <w:spacing w:line="360" w:lineRule="exact"/>
              <w:jc w:val="center"/>
              <w:rPr>
                <w:rFonts w:hint="eastAsia" w:ascii="宋体" w:hAnsi="宋体" w:eastAsia="宋体" w:cs="Times New Roman"/>
                <w:b/>
                <w:color w:val="auto"/>
                <w:kern w:val="2"/>
                <w:sz w:val="21"/>
                <w:szCs w:val="21"/>
                <w:highlight w:val="none"/>
                <w:lang w:val="en-US" w:eastAsia="zh-CN" w:bidi="ar-SA"/>
              </w:rPr>
            </w:pPr>
            <w:r>
              <w:rPr>
                <w:rFonts w:hint="eastAsia" w:ascii="宋体" w:hAnsi="宋体"/>
                <w:b/>
                <w:color w:val="auto"/>
                <w:szCs w:val="21"/>
                <w:highlight w:val="none"/>
              </w:rPr>
              <w:t>……</w:t>
            </w:r>
          </w:p>
        </w:tc>
        <w:tc>
          <w:tcPr>
            <w:tcW w:w="709" w:type="pct"/>
            <w:tcBorders>
              <w:top w:val="single" w:color="auto" w:sz="4" w:space="0"/>
              <w:left w:val="single" w:color="auto" w:sz="4" w:space="0"/>
              <w:bottom w:val="single" w:color="auto" w:sz="4" w:space="0"/>
              <w:right w:val="single" w:color="auto" w:sz="4" w:space="0"/>
            </w:tcBorders>
            <w:shd w:val="clear" w:color="auto" w:fill="auto"/>
            <w:vAlign w:val="center"/>
          </w:tcPr>
          <w:p w14:paraId="1B502C17">
            <w:pPr>
              <w:snapToGrid w:val="0"/>
              <w:spacing w:line="360" w:lineRule="exact"/>
              <w:jc w:val="center"/>
              <w:rPr>
                <w:rFonts w:hint="eastAsia" w:ascii="宋体" w:hAnsi="宋体" w:eastAsia="宋体" w:cs="Times New Roman"/>
                <w:b/>
                <w:color w:val="auto"/>
                <w:kern w:val="2"/>
                <w:sz w:val="21"/>
                <w:szCs w:val="21"/>
                <w:highlight w:val="none"/>
                <w:lang w:val="en-US" w:eastAsia="zh-CN" w:bidi="ar-SA"/>
              </w:rPr>
            </w:pPr>
            <w:r>
              <w:rPr>
                <w:rFonts w:hint="eastAsia" w:ascii="宋体" w:hAnsi="宋体"/>
                <w:b/>
                <w:color w:val="auto"/>
                <w:szCs w:val="21"/>
                <w:highlight w:val="none"/>
              </w:rPr>
              <w:t>……</w:t>
            </w:r>
          </w:p>
        </w:tc>
        <w:tc>
          <w:tcPr>
            <w:tcW w:w="897" w:type="pct"/>
            <w:tcBorders>
              <w:top w:val="single" w:color="auto" w:sz="4" w:space="0"/>
              <w:left w:val="single" w:color="auto" w:sz="4" w:space="0"/>
              <w:bottom w:val="single" w:color="auto" w:sz="4" w:space="0"/>
              <w:right w:val="single" w:color="auto" w:sz="4" w:space="0"/>
            </w:tcBorders>
            <w:vAlign w:val="center"/>
          </w:tcPr>
          <w:p w14:paraId="6580F52C">
            <w:pPr>
              <w:snapToGrid w:val="0"/>
              <w:spacing w:line="360" w:lineRule="exact"/>
              <w:rPr>
                <w:rFonts w:hint="eastAsia" w:ascii="宋体" w:hAnsi="宋体"/>
                <w:color w:val="auto"/>
                <w:szCs w:val="21"/>
                <w:highlight w:val="none"/>
              </w:rPr>
            </w:pPr>
          </w:p>
        </w:tc>
        <w:tc>
          <w:tcPr>
            <w:tcW w:w="680" w:type="pct"/>
            <w:tcBorders>
              <w:top w:val="single" w:color="auto" w:sz="4" w:space="0"/>
              <w:left w:val="single" w:color="auto" w:sz="4" w:space="0"/>
              <w:bottom w:val="single" w:color="auto" w:sz="4" w:space="0"/>
              <w:right w:val="single" w:color="auto" w:sz="4" w:space="0"/>
            </w:tcBorders>
            <w:vAlign w:val="center"/>
          </w:tcPr>
          <w:p w14:paraId="1B32C971">
            <w:pPr>
              <w:snapToGrid w:val="0"/>
              <w:spacing w:line="360" w:lineRule="exact"/>
              <w:rPr>
                <w:rFonts w:hint="eastAsia" w:ascii="宋体" w:hAnsi="宋体"/>
                <w:color w:val="auto"/>
                <w:szCs w:val="21"/>
                <w:highlight w:val="none"/>
              </w:rPr>
            </w:pPr>
          </w:p>
        </w:tc>
        <w:tc>
          <w:tcPr>
            <w:tcW w:w="512" w:type="pct"/>
            <w:tcBorders>
              <w:top w:val="single" w:color="auto" w:sz="4" w:space="0"/>
              <w:left w:val="single" w:color="auto" w:sz="4" w:space="0"/>
              <w:bottom w:val="single" w:color="auto" w:sz="4" w:space="0"/>
              <w:right w:val="single" w:color="auto" w:sz="4" w:space="0"/>
            </w:tcBorders>
            <w:vAlign w:val="center"/>
          </w:tcPr>
          <w:p w14:paraId="1452F130">
            <w:pPr>
              <w:snapToGrid w:val="0"/>
              <w:spacing w:line="360" w:lineRule="exact"/>
              <w:rPr>
                <w:rFonts w:hint="eastAsia" w:ascii="宋体" w:hAnsi="宋体"/>
                <w:color w:val="auto"/>
                <w:szCs w:val="21"/>
                <w:highlight w:val="none"/>
              </w:rPr>
            </w:pPr>
          </w:p>
        </w:tc>
        <w:tc>
          <w:tcPr>
            <w:tcW w:w="512" w:type="pct"/>
            <w:tcBorders>
              <w:top w:val="single" w:color="auto" w:sz="4" w:space="0"/>
              <w:left w:val="single" w:color="auto" w:sz="4" w:space="0"/>
              <w:bottom w:val="single" w:color="auto" w:sz="4" w:space="0"/>
              <w:right w:val="single" w:color="auto" w:sz="4" w:space="0"/>
            </w:tcBorders>
            <w:vAlign w:val="center"/>
          </w:tcPr>
          <w:p w14:paraId="4923F09F">
            <w:pPr>
              <w:snapToGrid w:val="0"/>
              <w:spacing w:line="360" w:lineRule="exact"/>
              <w:rPr>
                <w:rFonts w:hint="eastAsia" w:ascii="宋体" w:hAnsi="宋体"/>
                <w:color w:val="auto"/>
                <w:szCs w:val="21"/>
                <w:highlight w:val="none"/>
              </w:rPr>
            </w:pPr>
          </w:p>
        </w:tc>
        <w:tc>
          <w:tcPr>
            <w:tcW w:w="1268" w:type="pct"/>
            <w:tcBorders>
              <w:top w:val="single" w:color="auto" w:sz="4" w:space="0"/>
              <w:left w:val="single" w:color="auto" w:sz="4" w:space="0"/>
              <w:bottom w:val="single" w:color="auto" w:sz="4" w:space="0"/>
              <w:right w:val="single" w:color="auto" w:sz="4" w:space="0"/>
            </w:tcBorders>
            <w:vAlign w:val="center"/>
          </w:tcPr>
          <w:p w14:paraId="37F607B9">
            <w:pPr>
              <w:snapToGrid w:val="0"/>
              <w:spacing w:line="360" w:lineRule="exact"/>
              <w:rPr>
                <w:rFonts w:hint="eastAsia" w:ascii="宋体" w:hAnsi="宋体"/>
                <w:color w:val="auto"/>
                <w:szCs w:val="21"/>
                <w:highlight w:val="none"/>
              </w:rPr>
            </w:pPr>
          </w:p>
        </w:tc>
      </w:tr>
      <w:tr w14:paraId="36F469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5000" w:type="pct"/>
            <w:gridSpan w:val="7"/>
            <w:tcBorders>
              <w:top w:val="single" w:color="auto" w:sz="4" w:space="0"/>
              <w:left w:val="single" w:color="auto" w:sz="4" w:space="0"/>
              <w:bottom w:val="single" w:color="auto" w:sz="4" w:space="0"/>
              <w:right w:val="single" w:color="auto" w:sz="4" w:space="0"/>
            </w:tcBorders>
            <w:vAlign w:val="center"/>
          </w:tcPr>
          <w:p w14:paraId="49A690CD">
            <w:pPr>
              <w:spacing w:line="360" w:lineRule="exact"/>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竞标</w:t>
            </w:r>
            <w:r>
              <w:rPr>
                <w:rFonts w:ascii="宋体" w:hAnsi="宋体"/>
                <w:color w:val="auto"/>
                <w:szCs w:val="21"/>
                <w:highlight w:val="none"/>
              </w:rPr>
              <w:t>报价合计：（大写）人民币</w:t>
            </w:r>
            <w:r>
              <w:rPr>
                <w:rFonts w:ascii="宋体" w:hAnsi="宋体"/>
                <w:color w:val="auto"/>
                <w:szCs w:val="21"/>
                <w:highlight w:val="none"/>
                <w:u w:val="single"/>
              </w:rPr>
              <w:t xml:space="preserve">                             </w:t>
            </w:r>
            <w:r>
              <w:rPr>
                <w:rFonts w:ascii="宋体" w:hAnsi="宋体"/>
                <w:color w:val="auto"/>
                <w:szCs w:val="21"/>
                <w:highlight w:val="none"/>
              </w:rPr>
              <w:t>（</w:t>
            </w:r>
            <w:r>
              <w:rPr>
                <w:rFonts w:hint="eastAsia" w:ascii="宋体" w:hAnsi="宋体"/>
                <w:color w:val="auto"/>
                <w:szCs w:val="21"/>
                <w:highlight w:val="none"/>
                <w:lang w:val="en-US" w:eastAsia="zh-CN"/>
              </w:rPr>
              <w:t>¥</w:t>
            </w:r>
            <w:r>
              <w:rPr>
                <w:rFonts w:ascii="宋体" w:hAnsi="宋体"/>
                <w:color w:val="auto"/>
                <w:szCs w:val="21"/>
                <w:highlight w:val="none"/>
                <w:u w:val="single"/>
              </w:rPr>
              <w:t xml:space="preserve">           </w:t>
            </w:r>
            <w:r>
              <w:rPr>
                <w:rFonts w:ascii="宋体" w:hAnsi="宋体"/>
                <w:color w:val="auto"/>
                <w:szCs w:val="21"/>
                <w:highlight w:val="none"/>
              </w:rPr>
              <w:t>元）</w:t>
            </w:r>
          </w:p>
        </w:tc>
      </w:tr>
      <w:tr w14:paraId="484719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0" w:hRule="atLeast"/>
          <w:jc w:val="center"/>
        </w:trPr>
        <w:tc>
          <w:tcPr>
            <w:tcW w:w="5000" w:type="pct"/>
            <w:gridSpan w:val="7"/>
            <w:tcBorders>
              <w:top w:val="single" w:color="auto" w:sz="4" w:space="0"/>
              <w:left w:val="single" w:color="auto" w:sz="4" w:space="0"/>
              <w:bottom w:val="single" w:color="auto" w:sz="4" w:space="0"/>
              <w:right w:val="single" w:color="auto" w:sz="4" w:space="0"/>
            </w:tcBorders>
            <w:vAlign w:val="center"/>
          </w:tcPr>
          <w:p w14:paraId="40430AF2">
            <w:pPr>
              <w:spacing w:line="360" w:lineRule="exact"/>
              <w:rPr>
                <w:rFonts w:hint="eastAsia" w:ascii="宋体" w:hAnsi="宋体" w:cs="Times New Roman"/>
                <w:color w:val="auto"/>
                <w:szCs w:val="21"/>
                <w:highlight w:val="none"/>
                <w:lang w:val="en-US" w:eastAsia="zh-CN"/>
              </w:rPr>
            </w:pPr>
            <w:r>
              <w:rPr>
                <w:rFonts w:hint="eastAsia" w:ascii="宋体" w:hAnsi="宋体" w:cs="Times New Roman"/>
                <w:color w:val="auto"/>
                <w:szCs w:val="21"/>
                <w:highlight w:val="none"/>
                <w:lang w:val="en-US" w:eastAsia="zh-CN"/>
              </w:rPr>
              <w:t>竞标</w:t>
            </w:r>
            <w:r>
              <w:rPr>
                <w:rFonts w:hint="eastAsia" w:ascii="宋体" w:hAnsi="宋体" w:cs="Times New Roman"/>
                <w:color w:val="auto"/>
                <w:szCs w:val="21"/>
                <w:highlight w:val="none"/>
              </w:rPr>
              <w:t>货物中，属于本国产品总值为</w:t>
            </w:r>
            <w:r>
              <w:rPr>
                <w:rFonts w:hint="eastAsia" w:ascii="宋体" w:hAnsi="宋体" w:cs="Times New Roman"/>
                <w:color w:val="auto"/>
                <w:szCs w:val="21"/>
                <w:highlight w:val="none"/>
                <w:lang w:val="en-US" w:eastAsia="zh-CN"/>
              </w:rPr>
              <w:t>¥</w:t>
            </w:r>
            <w:r>
              <w:rPr>
                <w:rFonts w:hint="eastAsia" w:ascii="宋体" w:hAnsi="宋体" w:cs="Times New Roman"/>
                <w:color w:val="auto"/>
                <w:szCs w:val="21"/>
                <w:highlight w:val="none"/>
              </w:rPr>
              <w:t xml:space="preserve">      ，占</w:t>
            </w:r>
            <w:r>
              <w:rPr>
                <w:rFonts w:hint="eastAsia" w:ascii="宋体" w:hAnsi="宋体" w:cs="Times New Roman"/>
                <w:color w:val="auto"/>
                <w:szCs w:val="21"/>
                <w:highlight w:val="none"/>
                <w:lang w:val="en-US" w:eastAsia="zh-CN"/>
              </w:rPr>
              <w:t>竞标</w:t>
            </w:r>
            <w:r>
              <w:rPr>
                <w:rFonts w:hint="eastAsia" w:ascii="宋体" w:hAnsi="宋体" w:cs="Times New Roman"/>
                <w:color w:val="auto"/>
                <w:szCs w:val="21"/>
                <w:highlight w:val="none"/>
              </w:rPr>
              <w:t>报价</w:t>
            </w:r>
            <w:r>
              <w:rPr>
                <w:rFonts w:hint="eastAsia" w:ascii="宋体" w:hAnsi="宋体" w:cs="Times New Roman"/>
                <w:color w:val="auto"/>
                <w:szCs w:val="21"/>
                <w:highlight w:val="none"/>
                <w:lang w:eastAsia="zh-CN"/>
              </w:rPr>
              <w:t>（</w:t>
            </w:r>
            <w:r>
              <w:rPr>
                <w:rFonts w:hint="eastAsia" w:ascii="宋体" w:hAnsi="宋体"/>
                <w:color w:val="auto"/>
                <w:szCs w:val="21"/>
                <w:highlight w:val="none"/>
                <w:lang w:val="en-US" w:eastAsia="zh-CN"/>
              </w:rPr>
              <w:t>竞标</w:t>
            </w:r>
            <w:r>
              <w:rPr>
                <w:rFonts w:ascii="宋体" w:hAnsi="宋体"/>
                <w:color w:val="auto"/>
                <w:szCs w:val="21"/>
                <w:highlight w:val="none"/>
              </w:rPr>
              <w:t>报价合计</w:t>
            </w:r>
            <w:r>
              <w:rPr>
                <w:rFonts w:hint="eastAsia" w:ascii="宋体" w:hAnsi="宋体" w:cs="Times New Roman"/>
                <w:color w:val="auto"/>
                <w:szCs w:val="21"/>
                <w:highlight w:val="none"/>
                <w:lang w:eastAsia="zh-CN"/>
              </w:rPr>
              <w:t>）</w:t>
            </w:r>
            <w:r>
              <w:rPr>
                <w:rFonts w:hint="eastAsia" w:ascii="宋体" w:hAnsi="宋体" w:cs="Times New Roman"/>
                <w:color w:val="auto"/>
                <w:szCs w:val="21"/>
                <w:highlight w:val="none"/>
              </w:rPr>
              <w:t>的比例为    %。</w:t>
            </w:r>
          </w:p>
        </w:tc>
      </w:tr>
    </w:tbl>
    <w:p w14:paraId="377254D5">
      <w:pPr>
        <w:snapToGrid w:val="0"/>
        <w:spacing w:line="400" w:lineRule="exact"/>
        <w:jc w:val="left"/>
        <w:rPr>
          <w:rFonts w:ascii="宋体" w:hAnsi="宋体" w:cs="宋体"/>
          <w:color w:val="auto"/>
          <w:szCs w:val="21"/>
          <w:highlight w:val="none"/>
        </w:rPr>
      </w:pPr>
      <w:r>
        <w:rPr>
          <w:rFonts w:hint="eastAsia" w:ascii="宋体" w:hAnsi="宋体" w:cs="宋体"/>
          <w:color w:val="auto"/>
          <w:szCs w:val="21"/>
          <w:highlight w:val="none"/>
        </w:rPr>
        <w:t xml:space="preserve">注: </w:t>
      </w:r>
    </w:p>
    <w:p w14:paraId="7D028475">
      <w:pPr>
        <w:snapToGrid w:val="0"/>
        <w:spacing w:line="40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 以上报价表中</w:t>
      </w:r>
      <w:r>
        <w:rPr>
          <w:rFonts w:hint="eastAsia" w:ascii="宋体" w:hAnsi="宋体" w:cs="宋体"/>
          <w:color w:val="auto"/>
          <w:szCs w:val="21"/>
          <w:highlight w:val="none"/>
          <w:lang w:val="en-US" w:eastAsia="zh-CN"/>
        </w:rPr>
        <w:t>所列内容</w:t>
      </w:r>
      <w:r>
        <w:rPr>
          <w:rFonts w:hint="eastAsia" w:ascii="宋体" w:hAnsi="宋体" w:cs="宋体"/>
          <w:color w:val="auto"/>
          <w:szCs w:val="21"/>
          <w:highlight w:val="none"/>
        </w:rPr>
        <w:t>必须如实填写完整，否则其响应文件作无效处理。</w:t>
      </w:r>
    </w:p>
    <w:p w14:paraId="683638B7">
      <w:pPr>
        <w:snapToGrid w:val="0"/>
        <w:spacing w:line="400" w:lineRule="exact"/>
        <w:ind w:firstLine="420" w:firstLineChars="200"/>
        <w:rPr>
          <w:rFonts w:ascii="宋体" w:hAnsi="宋体" w:cs="宋体"/>
          <w:color w:val="auto"/>
          <w:szCs w:val="21"/>
          <w:highlight w:val="none"/>
        </w:rPr>
      </w:pPr>
    </w:p>
    <w:p w14:paraId="719C05FD">
      <w:pPr>
        <w:pStyle w:val="27"/>
        <w:spacing w:line="400" w:lineRule="exact"/>
        <w:rPr>
          <w:rFonts w:ascii="宋体" w:hAnsi="宋体" w:cs="宋体"/>
          <w:color w:val="auto"/>
          <w:sz w:val="21"/>
          <w:szCs w:val="21"/>
          <w:highlight w:val="none"/>
        </w:rPr>
      </w:pPr>
    </w:p>
    <w:p w14:paraId="25C6FC36">
      <w:pPr>
        <w:snapToGrid w:val="0"/>
        <w:spacing w:before="50" w:after="50" w:line="400" w:lineRule="exact"/>
        <w:ind w:right="-817" w:rightChars="-389" w:firstLine="2310" w:firstLineChars="1100"/>
        <w:rPr>
          <w:rFonts w:ascii="宋体" w:hAnsi="宋体" w:cs="宋体"/>
          <w:color w:val="auto"/>
          <w:szCs w:val="21"/>
          <w:highlight w:val="none"/>
        </w:rPr>
      </w:pPr>
      <w:r>
        <w:rPr>
          <w:rFonts w:hint="eastAsia" w:ascii="宋体" w:hAnsi="宋体" w:cs="宋体"/>
          <w:color w:val="auto"/>
          <w:szCs w:val="21"/>
          <w:highlight w:val="none"/>
        </w:rPr>
        <w:t>法定代表人或者委托代理人（签字或电子签名）：</w:t>
      </w:r>
    </w:p>
    <w:p w14:paraId="787DAE0C">
      <w:pPr>
        <w:snapToGrid w:val="0"/>
        <w:spacing w:before="50" w:after="50" w:line="400" w:lineRule="exact"/>
        <w:ind w:right="-817" w:rightChars="-389" w:firstLine="2310" w:firstLineChars="1100"/>
        <w:rPr>
          <w:rFonts w:ascii="宋体" w:hAnsi="宋体" w:cs="宋体"/>
          <w:color w:val="auto"/>
          <w:szCs w:val="21"/>
          <w:highlight w:val="none"/>
        </w:rPr>
      </w:pPr>
      <w:r>
        <w:rPr>
          <w:rFonts w:hint="eastAsia" w:ascii="宋体" w:hAnsi="宋体" w:cs="宋体"/>
          <w:color w:val="auto"/>
          <w:szCs w:val="21"/>
          <w:highlight w:val="none"/>
        </w:rPr>
        <w:t>供应商（公章或电子签章）：</w:t>
      </w:r>
    </w:p>
    <w:p w14:paraId="1A56BD43">
      <w:pPr>
        <w:pStyle w:val="27"/>
        <w:spacing w:line="400" w:lineRule="exact"/>
        <w:ind w:firstLine="3780" w:firstLineChars="1800"/>
        <w:jc w:val="both"/>
        <w:rPr>
          <w:rFonts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年    月    日</w:t>
      </w:r>
    </w:p>
    <w:p w14:paraId="7F5E828E">
      <w:pPr>
        <w:rPr>
          <w:rFonts w:hint="eastAsia" w:ascii="宋体" w:hAnsi="宋体" w:cs="宋体"/>
          <w:color w:val="auto"/>
          <w:szCs w:val="21"/>
          <w:highlight w:val="none"/>
        </w:rPr>
      </w:pPr>
      <w:r>
        <w:rPr>
          <w:rFonts w:hint="eastAsia" w:ascii="宋体" w:hAnsi="宋体" w:cs="宋体"/>
          <w:color w:val="auto"/>
          <w:szCs w:val="21"/>
          <w:highlight w:val="none"/>
        </w:rPr>
        <w:br w:type="page"/>
      </w:r>
    </w:p>
    <w:p w14:paraId="0EF59737">
      <w:pPr>
        <w:rPr>
          <w:rFonts w:hint="eastAsia" w:ascii="宋体" w:hAnsi="宋体" w:cs="宋体"/>
          <w:color w:val="auto"/>
          <w:szCs w:val="21"/>
          <w:highlight w:val="none"/>
        </w:rPr>
      </w:pPr>
    </w:p>
    <w:p w14:paraId="5962F776">
      <w:pPr>
        <w:widowControl/>
        <w:spacing w:afterLines="150" w:line="400" w:lineRule="exact"/>
        <w:jc w:val="center"/>
        <w:rPr>
          <w:rFonts w:ascii="宋体" w:hAnsi="宋体" w:cs="宋体"/>
          <w:color w:val="auto"/>
          <w:kern w:val="0"/>
          <w:szCs w:val="21"/>
          <w:highlight w:val="none"/>
        </w:rPr>
      </w:pPr>
      <w:r>
        <w:rPr>
          <w:rFonts w:hint="eastAsia" w:ascii="宋体" w:hAnsi="宋体" w:cs="宋体"/>
          <w:b/>
          <w:bCs/>
          <w:color w:val="auto"/>
          <w:kern w:val="0"/>
          <w:szCs w:val="21"/>
          <w:highlight w:val="none"/>
        </w:rPr>
        <w:t>中小企业声明函（服务）</w:t>
      </w:r>
    </w:p>
    <w:p w14:paraId="67974CB2">
      <w:pPr>
        <w:widowControl/>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本公司（联合体）郑重声明，根据《政府采购促进中小企业发展管理办法》（财库﹝2020﹞46 号）的规定，本公司（联合体）参加</w:t>
      </w:r>
      <w:r>
        <w:rPr>
          <w:rFonts w:hint="eastAsia" w:ascii="宋体" w:hAnsi="宋体" w:cs="宋体"/>
          <w:color w:val="auto"/>
          <w:kern w:val="0"/>
          <w:szCs w:val="21"/>
          <w:highlight w:val="none"/>
          <w:u w:val="single"/>
        </w:rPr>
        <w:t>广西壮族自治区合浦儒艮国家级自然保护区管理中心</w:t>
      </w:r>
      <w:r>
        <w:rPr>
          <w:rFonts w:hint="eastAsia" w:ascii="宋体" w:hAnsi="宋体" w:cs="宋体"/>
          <w:color w:val="auto"/>
          <w:kern w:val="0"/>
          <w:szCs w:val="21"/>
          <w:highlight w:val="none"/>
        </w:rPr>
        <w:t>的</w:t>
      </w:r>
      <w:r>
        <w:rPr>
          <w:rFonts w:hint="eastAsia" w:ascii="宋体" w:hAnsi="宋体" w:cs="宋体"/>
          <w:color w:val="auto"/>
          <w:kern w:val="0"/>
          <w:szCs w:val="21"/>
          <w:highlight w:val="none"/>
          <w:u w:val="single"/>
        </w:rPr>
        <w:t>2026年度中央财政林业草原生态保护恢复资金——广西合浦儒艮国家级自然保护区保护设施设备购置维护、专项监测及宣传教育项目（监测平台维护）</w:t>
      </w:r>
      <w:r>
        <w:rPr>
          <w:rFonts w:hint="eastAsia" w:ascii="宋体" w:hAnsi="宋体" w:cs="宋体"/>
          <w:color w:val="auto"/>
          <w:kern w:val="0"/>
          <w:szCs w:val="21"/>
          <w:highlight w:val="none"/>
        </w:rPr>
        <w:t>采购活动，服务全部由符合政策要求的中小企业承接。相关企业（含联合体中的中小企业、签订分包意向协议的中小企业）的具体情况如下：</w:t>
      </w:r>
    </w:p>
    <w:p w14:paraId="63623002">
      <w:pPr>
        <w:widowControl/>
        <w:spacing w:line="400" w:lineRule="exact"/>
        <w:ind w:firstLine="200"/>
        <w:jc w:val="left"/>
        <w:rPr>
          <w:rFonts w:ascii="宋体" w:hAnsi="宋体" w:cs="宋体"/>
          <w:color w:val="auto"/>
          <w:kern w:val="0"/>
          <w:szCs w:val="21"/>
          <w:highlight w:val="none"/>
        </w:rPr>
      </w:pPr>
      <w:r>
        <w:rPr>
          <w:rFonts w:hint="eastAsia" w:ascii="宋体" w:hAnsi="宋体" w:cs="宋体"/>
          <w:color w:val="auto"/>
          <w:kern w:val="0"/>
          <w:szCs w:val="21"/>
          <w:highlight w:val="none"/>
        </w:rPr>
        <w:t>1.</w:t>
      </w:r>
      <w:r>
        <w:rPr>
          <w:rFonts w:hint="eastAsia" w:ascii="宋体" w:hAnsi="宋体" w:cs="宋体"/>
          <w:color w:val="auto"/>
          <w:kern w:val="0"/>
          <w:szCs w:val="21"/>
          <w:highlight w:val="none"/>
          <w:u w:val="single"/>
        </w:rPr>
        <w:t>2026年度中央财政林业草原生态保护恢复资金——广西合浦儒艮国家级自然保护区保护设施设备购置维护、专项监测及宣传教育项目（监测平台维护）</w:t>
      </w:r>
      <w:r>
        <w:rPr>
          <w:rFonts w:hint="eastAsia" w:ascii="宋体" w:hAnsi="宋体" w:cs="宋体"/>
          <w:color w:val="auto"/>
          <w:kern w:val="0"/>
          <w:szCs w:val="21"/>
          <w:highlight w:val="none"/>
        </w:rPr>
        <w:t>，属于</w:t>
      </w:r>
      <w:r>
        <w:rPr>
          <w:rFonts w:hint="eastAsia" w:ascii="宋体" w:hAnsi="宋体" w:cs="宋体"/>
          <w:color w:val="auto"/>
          <w:kern w:val="0"/>
          <w:szCs w:val="21"/>
          <w:highlight w:val="none"/>
          <w:u w:val="single"/>
        </w:rPr>
        <w:t>软件和信息技术服务业</w:t>
      </w:r>
      <w:r>
        <w:rPr>
          <w:rFonts w:hint="eastAsia" w:ascii="宋体" w:hAnsi="宋体" w:cs="宋体"/>
          <w:color w:val="auto"/>
          <w:kern w:val="0"/>
          <w:szCs w:val="21"/>
          <w:highlight w:val="none"/>
        </w:rPr>
        <w:t>；承接企业为</w:t>
      </w:r>
      <w:r>
        <w:rPr>
          <w:rFonts w:hint="eastAsia" w:ascii="宋体" w:hAnsi="宋体" w:cs="宋体"/>
          <w:i/>
          <w:iCs/>
          <w:color w:val="auto"/>
          <w:kern w:val="0"/>
          <w:szCs w:val="21"/>
          <w:highlight w:val="none"/>
          <w:u w:val="single"/>
        </w:rPr>
        <w:t>（企业名称）</w:t>
      </w:r>
      <w:r>
        <w:rPr>
          <w:rFonts w:hint="eastAsia" w:ascii="宋体" w:hAnsi="宋体" w:cs="宋体"/>
          <w:color w:val="auto"/>
          <w:kern w:val="0"/>
          <w:szCs w:val="21"/>
          <w:highlight w:val="none"/>
        </w:rPr>
        <w:t>，从业人员  人，营业收入为万元，资产总额为万元，属于</w:t>
      </w:r>
      <w:r>
        <w:rPr>
          <w:rFonts w:hint="eastAsia" w:ascii="宋体" w:hAnsi="宋体" w:cs="宋体"/>
          <w:i/>
          <w:iCs/>
          <w:color w:val="auto"/>
          <w:kern w:val="0"/>
          <w:szCs w:val="21"/>
          <w:highlight w:val="none"/>
          <w:u w:val="single"/>
        </w:rPr>
        <w:t>（中型企业、小型企业、微型企业）</w:t>
      </w:r>
      <w:r>
        <w:rPr>
          <w:rFonts w:hint="eastAsia" w:ascii="宋体" w:hAnsi="宋体" w:cs="宋体"/>
          <w:color w:val="auto"/>
          <w:kern w:val="0"/>
          <w:szCs w:val="21"/>
          <w:highlight w:val="none"/>
        </w:rPr>
        <w:t xml:space="preserve">； </w:t>
      </w:r>
    </w:p>
    <w:p w14:paraId="043D0373">
      <w:pPr>
        <w:widowControl/>
        <w:spacing w:line="400" w:lineRule="exact"/>
        <w:ind w:firstLine="200"/>
        <w:jc w:val="left"/>
        <w:rPr>
          <w:rFonts w:ascii="宋体" w:hAnsi="宋体" w:cs="宋体"/>
          <w:color w:val="auto"/>
          <w:kern w:val="0"/>
          <w:szCs w:val="21"/>
          <w:highlight w:val="none"/>
        </w:rPr>
      </w:pPr>
      <w:r>
        <w:rPr>
          <w:rFonts w:hint="eastAsia" w:ascii="宋体" w:hAnsi="宋体" w:cs="宋体"/>
          <w:color w:val="auto"/>
          <w:kern w:val="0"/>
          <w:szCs w:val="21"/>
          <w:highlight w:val="none"/>
        </w:rPr>
        <w:t>2.</w:t>
      </w:r>
      <w:r>
        <w:rPr>
          <w:rFonts w:hint="eastAsia" w:ascii="宋体" w:hAnsi="宋体" w:cs="宋体"/>
          <w:color w:val="auto"/>
          <w:kern w:val="0"/>
          <w:szCs w:val="21"/>
          <w:highlight w:val="none"/>
          <w:u w:val="single"/>
        </w:rPr>
        <w:t>2026年度中央财政林业草原生态保护恢复资金——广西合浦儒艮国家级自然保护区保护设施设备购置维护、专项监测及宣传教育项目（监测平台维护）</w:t>
      </w:r>
      <w:r>
        <w:rPr>
          <w:rFonts w:hint="eastAsia" w:ascii="宋体" w:hAnsi="宋体" w:cs="宋体"/>
          <w:color w:val="auto"/>
          <w:kern w:val="0"/>
          <w:szCs w:val="21"/>
          <w:highlight w:val="none"/>
        </w:rPr>
        <w:t>，属于</w:t>
      </w:r>
      <w:r>
        <w:rPr>
          <w:rFonts w:hint="eastAsia" w:ascii="宋体" w:hAnsi="宋体" w:cs="宋体"/>
          <w:color w:val="auto"/>
          <w:kern w:val="0"/>
          <w:szCs w:val="21"/>
          <w:highlight w:val="none"/>
          <w:u w:val="single"/>
        </w:rPr>
        <w:t>软件和信息技术服务业</w:t>
      </w:r>
      <w:r>
        <w:rPr>
          <w:rFonts w:hint="eastAsia" w:ascii="宋体" w:hAnsi="宋体" w:cs="宋体"/>
          <w:color w:val="auto"/>
          <w:kern w:val="0"/>
          <w:szCs w:val="21"/>
          <w:highlight w:val="none"/>
        </w:rPr>
        <w:t>；承接企业为</w:t>
      </w:r>
      <w:r>
        <w:rPr>
          <w:rFonts w:hint="eastAsia" w:ascii="宋体" w:hAnsi="宋体" w:cs="宋体"/>
          <w:i/>
          <w:iCs/>
          <w:color w:val="auto"/>
          <w:kern w:val="0"/>
          <w:szCs w:val="21"/>
          <w:highlight w:val="none"/>
          <w:u w:val="single"/>
        </w:rPr>
        <w:t>（企业名称）</w:t>
      </w:r>
      <w:r>
        <w:rPr>
          <w:rFonts w:hint="eastAsia" w:ascii="宋体" w:hAnsi="宋体" w:cs="宋体"/>
          <w:color w:val="auto"/>
          <w:kern w:val="0"/>
          <w:szCs w:val="21"/>
          <w:highlight w:val="none"/>
        </w:rPr>
        <w:t>，从业人员人，营业收入为万元，资产总额为万元，属于</w:t>
      </w:r>
      <w:r>
        <w:rPr>
          <w:rFonts w:hint="eastAsia" w:ascii="宋体" w:hAnsi="宋体" w:cs="宋体"/>
          <w:i/>
          <w:iCs/>
          <w:color w:val="auto"/>
          <w:kern w:val="0"/>
          <w:szCs w:val="21"/>
          <w:highlight w:val="none"/>
          <w:u w:val="single"/>
        </w:rPr>
        <w:t>（中型企业、小型企业、微型企业）</w:t>
      </w:r>
      <w:r>
        <w:rPr>
          <w:rFonts w:hint="eastAsia" w:ascii="宋体" w:hAnsi="宋体" w:cs="宋体"/>
          <w:color w:val="auto"/>
          <w:kern w:val="0"/>
          <w:szCs w:val="21"/>
          <w:highlight w:val="none"/>
        </w:rPr>
        <w:t>；</w:t>
      </w:r>
    </w:p>
    <w:p w14:paraId="48097B2E">
      <w:pPr>
        <w:widowControl/>
        <w:spacing w:line="400" w:lineRule="exact"/>
        <w:ind w:firstLine="200"/>
        <w:jc w:val="left"/>
        <w:rPr>
          <w:rFonts w:ascii="宋体" w:hAnsi="宋体" w:cs="宋体"/>
          <w:color w:val="auto"/>
          <w:kern w:val="0"/>
          <w:szCs w:val="21"/>
          <w:highlight w:val="none"/>
        </w:rPr>
      </w:pPr>
      <w:r>
        <w:rPr>
          <w:rFonts w:hint="eastAsia" w:ascii="宋体" w:hAnsi="宋体" w:cs="宋体"/>
          <w:color w:val="auto"/>
          <w:kern w:val="0"/>
          <w:szCs w:val="21"/>
          <w:highlight w:val="none"/>
        </w:rPr>
        <w:t>……</w:t>
      </w:r>
    </w:p>
    <w:p w14:paraId="69CE9E52">
      <w:pPr>
        <w:widowControl/>
        <w:spacing w:line="400" w:lineRule="exact"/>
        <w:ind w:firstLine="200"/>
        <w:jc w:val="left"/>
        <w:rPr>
          <w:rFonts w:ascii="宋体" w:hAnsi="宋体" w:cs="宋体"/>
          <w:color w:val="auto"/>
          <w:kern w:val="0"/>
          <w:szCs w:val="21"/>
          <w:highlight w:val="none"/>
        </w:rPr>
      </w:pPr>
      <w:r>
        <w:rPr>
          <w:rFonts w:hint="eastAsia" w:ascii="宋体" w:hAnsi="宋体" w:cs="宋体"/>
          <w:color w:val="auto"/>
          <w:kern w:val="0"/>
          <w:szCs w:val="21"/>
          <w:highlight w:val="none"/>
        </w:rPr>
        <w:t>以上企业，不属于大企业的分支机构，不存在控股股东为大企业的情形，也不存在与大企业的负责人为同一人的情形。</w:t>
      </w:r>
    </w:p>
    <w:p w14:paraId="72B4244C">
      <w:pPr>
        <w:widowControl/>
        <w:spacing w:line="400" w:lineRule="exact"/>
        <w:ind w:firstLine="200"/>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本企业对上述声明内容的真实性负责。如有虚假，将依法承担相应责任。 </w:t>
      </w:r>
    </w:p>
    <w:p w14:paraId="15A7DD00">
      <w:pPr>
        <w:pStyle w:val="27"/>
        <w:spacing w:line="400" w:lineRule="exact"/>
        <w:rPr>
          <w:rFonts w:ascii="宋体" w:hAnsi="宋体" w:cs="宋体"/>
          <w:color w:val="auto"/>
          <w:highlight w:val="none"/>
        </w:rPr>
      </w:pPr>
    </w:p>
    <w:p w14:paraId="4FB726EF">
      <w:pPr>
        <w:pStyle w:val="27"/>
        <w:spacing w:line="400" w:lineRule="exact"/>
        <w:rPr>
          <w:rFonts w:ascii="宋体" w:hAnsi="宋体" w:cs="宋体"/>
          <w:color w:val="auto"/>
          <w:highlight w:val="none"/>
        </w:rPr>
      </w:pPr>
    </w:p>
    <w:p w14:paraId="130EE7B1">
      <w:pPr>
        <w:pStyle w:val="27"/>
        <w:spacing w:line="400" w:lineRule="exact"/>
        <w:rPr>
          <w:rFonts w:ascii="宋体" w:hAnsi="宋体" w:cs="宋体"/>
          <w:color w:val="auto"/>
          <w:highlight w:val="none"/>
        </w:rPr>
      </w:pPr>
    </w:p>
    <w:p w14:paraId="1DA9648B">
      <w:pPr>
        <w:widowControl/>
        <w:spacing w:line="400" w:lineRule="exact"/>
        <w:ind w:firstLine="4252" w:firstLineChars="2025"/>
        <w:jc w:val="left"/>
        <w:rPr>
          <w:rFonts w:ascii="宋体" w:hAnsi="宋体" w:cs="宋体"/>
          <w:color w:val="auto"/>
          <w:kern w:val="0"/>
          <w:szCs w:val="21"/>
          <w:highlight w:val="none"/>
        </w:rPr>
      </w:pPr>
      <w:r>
        <w:rPr>
          <w:rFonts w:hint="eastAsia" w:ascii="宋体" w:hAnsi="宋体" w:cs="宋体"/>
          <w:color w:val="auto"/>
          <w:kern w:val="0"/>
          <w:szCs w:val="21"/>
          <w:highlight w:val="none"/>
        </w:rPr>
        <w:t>企业名称（</w:t>
      </w:r>
      <w:r>
        <w:rPr>
          <w:rFonts w:hint="eastAsia" w:ascii="宋体" w:hAnsi="宋体" w:cs="宋体"/>
          <w:bCs/>
          <w:color w:val="auto"/>
          <w:highlight w:val="none"/>
        </w:rPr>
        <w:t>公章或电子签章</w:t>
      </w:r>
      <w:r>
        <w:rPr>
          <w:rFonts w:hint="eastAsia" w:ascii="宋体" w:hAnsi="宋体" w:cs="宋体"/>
          <w:color w:val="auto"/>
          <w:kern w:val="0"/>
          <w:szCs w:val="21"/>
          <w:highlight w:val="none"/>
        </w:rPr>
        <w:t xml:space="preserve">）： </w:t>
      </w:r>
    </w:p>
    <w:p w14:paraId="49E5CCAB">
      <w:pPr>
        <w:snapToGrid w:val="0"/>
        <w:spacing w:line="400" w:lineRule="exact"/>
        <w:ind w:firstLine="5386" w:firstLineChars="2565"/>
        <w:rPr>
          <w:rFonts w:ascii="宋体" w:hAnsi="宋体" w:cs="宋体"/>
          <w:color w:val="auto"/>
          <w:szCs w:val="21"/>
          <w:highlight w:val="none"/>
        </w:rPr>
      </w:pPr>
      <w:r>
        <w:rPr>
          <w:rFonts w:hint="eastAsia" w:ascii="宋体" w:hAnsi="宋体" w:cs="宋体"/>
          <w:color w:val="auto"/>
          <w:kern w:val="0"/>
          <w:szCs w:val="21"/>
          <w:highlight w:val="none"/>
        </w:rPr>
        <w:t>日 期：</w:t>
      </w:r>
    </w:p>
    <w:p w14:paraId="0DA8D5AB">
      <w:pPr>
        <w:spacing w:line="400" w:lineRule="exact"/>
        <w:rPr>
          <w:rFonts w:ascii="宋体" w:hAnsi="宋体" w:cs="宋体"/>
          <w:color w:val="auto"/>
          <w:szCs w:val="21"/>
          <w:highlight w:val="none"/>
        </w:rPr>
      </w:pPr>
    </w:p>
    <w:p w14:paraId="596D5D73">
      <w:pPr>
        <w:spacing w:line="400" w:lineRule="exact"/>
        <w:rPr>
          <w:rFonts w:ascii="宋体" w:hAnsi="宋体" w:cs="宋体"/>
          <w:color w:val="auto"/>
          <w:szCs w:val="21"/>
          <w:highlight w:val="none"/>
        </w:rPr>
      </w:pPr>
      <w:r>
        <w:rPr>
          <w:rFonts w:hint="eastAsia" w:ascii="宋体" w:hAnsi="宋体" w:cs="宋体"/>
          <w:color w:val="auto"/>
          <w:szCs w:val="21"/>
          <w:highlight w:val="none"/>
        </w:rPr>
        <w:t>注：</w:t>
      </w:r>
    </w:p>
    <w:p w14:paraId="0CD77B24">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（1）请根据自己的真实情况出具《中小企业声明函》。依法享受中小企业优惠政策的，采购人或者采购代理机构在公告成交结果时，同时公告其《中小企业声明函》，接受社会监督。</w:t>
      </w:r>
    </w:p>
    <w:p w14:paraId="1B659A9D">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（2）从业人员、营业收入、资产总额填报上一年度数据，无上一年度数据的新成立企业可不填报。</w:t>
      </w:r>
    </w:p>
    <w:p w14:paraId="3CBEB372">
      <w:pPr>
        <w:snapToGrid w:val="0"/>
        <w:spacing w:beforeLines="50" w:afterLines="100" w:line="400" w:lineRule="exact"/>
        <w:jc w:val="center"/>
        <w:rPr>
          <w:rFonts w:ascii="宋体" w:hAnsi="宋体" w:cs="宋体"/>
          <w:b/>
          <w:color w:val="auto"/>
          <w:szCs w:val="21"/>
          <w:highlight w:val="none"/>
        </w:rPr>
      </w:pPr>
      <w:r>
        <w:rPr>
          <w:rFonts w:hint="eastAsia" w:ascii="宋体" w:hAnsi="宋体" w:cs="宋体"/>
          <w:b/>
          <w:color w:val="auto"/>
          <w:szCs w:val="21"/>
          <w:highlight w:val="none"/>
        </w:rPr>
        <w:br w:type="page"/>
      </w:r>
      <w:r>
        <w:rPr>
          <w:rFonts w:hint="eastAsia" w:ascii="宋体" w:hAnsi="宋体" w:cs="宋体"/>
          <w:b/>
          <w:color w:val="auto"/>
          <w:szCs w:val="21"/>
          <w:highlight w:val="none"/>
        </w:rPr>
        <w:t>监狱企业证明材料</w:t>
      </w:r>
    </w:p>
    <w:p w14:paraId="75C65FE1">
      <w:pPr>
        <w:autoSpaceDE w:val="0"/>
        <w:autoSpaceDN w:val="0"/>
        <w:adjustRightInd w:val="0"/>
        <w:snapToGrid w:val="0"/>
        <w:spacing w:line="400" w:lineRule="exact"/>
        <w:ind w:firstLine="422" w:firstLineChars="200"/>
        <w:jc w:val="left"/>
        <w:rPr>
          <w:rFonts w:ascii="宋体" w:hAnsi="宋体" w:cs="宋体"/>
          <w:b/>
          <w:color w:val="auto"/>
          <w:kern w:val="0"/>
          <w:szCs w:val="21"/>
          <w:highlight w:val="none"/>
        </w:rPr>
      </w:pPr>
      <w:r>
        <w:rPr>
          <w:rFonts w:hint="eastAsia" w:ascii="宋体" w:hAnsi="宋体" w:cs="宋体"/>
          <w:b/>
          <w:color w:val="auto"/>
          <w:kern w:val="0"/>
          <w:szCs w:val="21"/>
          <w:highlight w:val="none"/>
        </w:rPr>
        <w:t>提供省级以上监狱管理局、戒毒管理局(含新疆生产建设兵团)出具的属于监狱企业的证明文件</w:t>
      </w:r>
    </w:p>
    <w:p w14:paraId="33B7C8AB">
      <w:pPr>
        <w:spacing w:line="400" w:lineRule="exact"/>
        <w:rPr>
          <w:rFonts w:ascii="宋体" w:hAnsi="宋体" w:cs="宋体"/>
          <w:b/>
          <w:color w:val="auto"/>
          <w:spacing w:val="-8"/>
          <w:szCs w:val="21"/>
          <w:highlight w:val="none"/>
        </w:rPr>
      </w:pPr>
    </w:p>
    <w:p w14:paraId="08ACBB9F">
      <w:pPr>
        <w:snapToGrid w:val="0"/>
        <w:spacing w:beforeLines="50" w:afterLines="100" w:line="400" w:lineRule="exact"/>
        <w:jc w:val="center"/>
        <w:rPr>
          <w:rFonts w:ascii="宋体" w:hAnsi="宋体" w:cs="宋体"/>
          <w:color w:val="auto"/>
          <w:szCs w:val="21"/>
          <w:highlight w:val="none"/>
        </w:rPr>
      </w:pPr>
      <w:r>
        <w:rPr>
          <w:rFonts w:hint="eastAsia" w:ascii="宋体" w:hAnsi="宋体" w:cs="宋体"/>
          <w:color w:val="auto"/>
          <w:szCs w:val="21"/>
          <w:highlight w:val="none"/>
        </w:rPr>
        <w:br w:type="page"/>
      </w:r>
      <w:r>
        <w:rPr>
          <w:rFonts w:hint="eastAsia" w:ascii="宋体" w:hAnsi="宋体" w:cs="宋体"/>
          <w:b/>
          <w:color w:val="auto"/>
          <w:szCs w:val="21"/>
          <w:highlight w:val="none"/>
        </w:rPr>
        <w:t>残疾人福利性单位声明函</w:t>
      </w:r>
    </w:p>
    <w:p w14:paraId="3B30A1F3">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4D022155">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本单位对上述声明的真实性负责。如有虚假，将依法承担相应责任。</w:t>
      </w:r>
    </w:p>
    <w:p w14:paraId="1B7654AE">
      <w:pPr>
        <w:spacing w:line="400" w:lineRule="exact"/>
        <w:rPr>
          <w:rFonts w:ascii="宋体" w:hAnsi="宋体" w:cs="宋体"/>
          <w:color w:val="auto"/>
          <w:szCs w:val="21"/>
          <w:highlight w:val="none"/>
        </w:rPr>
      </w:pPr>
    </w:p>
    <w:p w14:paraId="7A42B1EE">
      <w:pPr>
        <w:spacing w:line="400" w:lineRule="exact"/>
        <w:ind w:firstLine="2100" w:firstLineChars="1000"/>
        <w:rPr>
          <w:rFonts w:ascii="宋体" w:hAnsi="宋体" w:cs="宋体"/>
          <w:color w:val="auto"/>
          <w:szCs w:val="21"/>
          <w:highlight w:val="none"/>
        </w:rPr>
      </w:pPr>
      <w:r>
        <w:rPr>
          <w:rFonts w:hint="eastAsia" w:ascii="宋体" w:hAnsi="宋体" w:cs="宋体"/>
          <w:color w:val="auto"/>
          <w:szCs w:val="21"/>
          <w:highlight w:val="none"/>
        </w:rPr>
        <w:t>单位名称（</w:t>
      </w:r>
      <w:r>
        <w:rPr>
          <w:rFonts w:hint="eastAsia" w:ascii="宋体" w:hAnsi="宋体" w:cs="宋体"/>
          <w:bCs/>
          <w:color w:val="auto"/>
          <w:highlight w:val="none"/>
        </w:rPr>
        <w:t>公章或电子签章</w:t>
      </w:r>
      <w:r>
        <w:rPr>
          <w:rFonts w:hint="eastAsia" w:ascii="宋体" w:hAnsi="宋体" w:cs="宋体"/>
          <w:color w:val="auto"/>
          <w:szCs w:val="21"/>
          <w:highlight w:val="none"/>
        </w:rPr>
        <w:t>）：</w:t>
      </w:r>
    </w:p>
    <w:p w14:paraId="7AB3CBB0">
      <w:pPr>
        <w:spacing w:line="400" w:lineRule="exact"/>
        <w:ind w:firstLine="3150" w:firstLineChars="1500"/>
        <w:rPr>
          <w:rFonts w:ascii="宋体" w:hAnsi="宋体" w:cs="宋体"/>
          <w:color w:val="auto"/>
          <w:szCs w:val="21"/>
          <w:highlight w:val="none"/>
        </w:rPr>
      </w:pPr>
      <w:r>
        <w:rPr>
          <w:rFonts w:hint="eastAsia" w:ascii="宋体" w:hAnsi="宋体" w:cs="宋体"/>
          <w:color w:val="auto"/>
          <w:szCs w:val="21"/>
          <w:highlight w:val="none"/>
        </w:rPr>
        <w:t>日  期：</w:t>
      </w:r>
    </w:p>
    <w:p w14:paraId="03CF666C">
      <w:pPr>
        <w:spacing w:line="400" w:lineRule="exact"/>
        <w:rPr>
          <w:rFonts w:ascii="宋体" w:hAnsi="宋体" w:cs="宋体"/>
          <w:color w:val="auto"/>
          <w:szCs w:val="21"/>
          <w:highlight w:val="none"/>
        </w:rPr>
      </w:pPr>
    </w:p>
    <w:p w14:paraId="557F524F">
      <w:pPr>
        <w:spacing w:line="400" w:lineRule="exact"/>
        <w:rPr>
          <w:rFonts w:ascii="宋体" w:hAnsi="宋体" w:cs="宋体"/>
          <w:color w:val="auto"/>
          <w:szCs w:val="21"/>
          <w:highlight w:val="none"/>
        </w:rPr>
      </w:pPr>
    </w:p>
    <w:p w14:paraId="56691B5C">
      <w:pPr>
        <w:spacing w:line="400" w:lineRule="exact"/>
        <w:rPr>
          <w:rFonts w:ascii="宋体" w:hAnsi="宋体" w:cs="宋体"/>
          <w:color w:val="auto"/>
          <w:szCs w:val="21"/>
          <w:highlight w:val="none"/>
        </w:rPr>
      </w:pPr>
    </w:p>
    <w:p w14:paraId="38556B57">
      <w:pPr>
        <w:spacing w:line="400" w:lineRule="exact"/>
        <w:rPr>
          <w:rFonts w:ascii="宋体" w:hAnsi="宋体" w:cs="宋体"/>
          <w:color w:val="auto"/>
          <w:szCs w:val="21"/>
          <w:highlight w:val="none"/>
        </w:rPr>
      </w:pPr>
      <w:r>
        <w:rPr>
          <w:rFonts w:hint="eastAsia" w:ascii="宋体" w:hAnsi="宋体" w:cs="宋体"/>
          <w:color w:val="auto"/>
          <w:szCs w:val="21"/>
          <w:highlight w:val="none"/>
        </w:rPr>
        <w:t>注：请根据自己的真实情况出具《残疾人福利性单位声明函》。依法享受中小企业优惠政策的，采购人或者采购代理机构在公告成交结果时，同时公告其《残疾人福利性单位声明函》，接受社会监督。</w:t>
      </w:r>
    </w:p>
    <w:p w14:paraId="348CDB32">
      <w:pPr>
        <w:rPr>
          <w:rFonts w:ascii="宋体" w:hAnsi="宋体" w:cs="宋体"/>
          <w:b w:val="0"/>
          <w:bCs w:val="0"/>
          <w:color w:val="auto"/>
          <w:sz w:val="21"/>
          <w:szCs w:val="21"/>
          <w:highlight w:val="none"/>
        </w:rPr>
      </w:pPr>
      <w:r>
        <w:rPr>
          <w:rFonts w:ascii="宋体" w:hAnsi="宋体" w:cs="宋体"/>
          <w:b w:val="0"/>
          <w:bCs w:val="0"/>
          <w:color w:val="auto"/>
          <w:sz w:val="21"/>
          <w:szCs w:val="21"/>
          <w:highlight w:val="none"/>
        </w:rPr>
        <w:br w:type="page"/>
      </w:r>
    </w:p>
    <w:p w14:paraId="69E4605B">
      <w:pPr>
        <w:snapToGrid w:val="0"/>
        <w:spacing w:before="120" w:beforeLines="50" w:after="240" w:afterLines="100"/>
        <w:jc w:val="center"/>
        <w:rPr>
          <w:rFonts w:hint="eastAsia" w:ascii="宋体" w:hAnsi="宋体" w:eastAsia="宋体" w:cs="宋体"/>
          <w:b/>
          <w:color w:val="auto"/>
          <w:sz w:val="21"/>
          <w:szCs w:val="21"/>
          <w:highlight w:val="none"/>
        </w:rPr>
      </w:pPr>
    </w:p>
    <w:p w14:paraId="2124A2A5">
      <w:pPr>
        <w:snapToGrid w:val="0"/>
        <w:spacing w:before="120" w:beforeLines="50" w:after="240" w:afterLines="100"/>
        <w:jc w:val="center"/>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关于符合本国产品标准的声明函</w:t>
      </w:r>
    </w:p>
    <w:p w14:paraId="77021566">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本公司（单位）郑重声明，根据《国务院办公厅关于在政府采购中实施本国产品标准及相关政策的通知》（国办发〔2025〕34号）的规定，本公司（单位）提供的以下产品属于本国产品。具体情况如下：</w:t>
      </w:r>
    </w:p>
    <w:p w14:paraId="48DC4BF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i/>
          <w:iCs/>
          <w:color w:val="auto"/>
          <w:sz w:val="21"/>
          <w:szCs w:val="21"/>
          <w:highlight w:val="none"/>
          <w:u w:val="single"/>
        </w:rPr>
        <w:t>产品名称1</w:t>
      </w:r>
      <w:r>
        <w:rPr>
          <w:rFonts w:hint="eastAsia" w:ascii="宋体" w:hAnsi="宋体" w:eastAsia="宋体" w:cs="宋体"/>
          <w:color w:val="auto"/>
          <w:sz w:val="21"/>
          <w:szCs w:val="21"/>
          <w:highlight w:val="none"/>
        </w:rPr>
        <w:t>）</w:t>
      </w:r>
      <w:r>
        <w:rPr>
          <w:rFonts w:hint="eastAsia" w:ascii="宋体" w:hAnsi="宋体" w:eastAsia="宋体" w:cs="宋体"/>
          <w:i/>
          <w:iCs/>
          <w:color w:val="auto"/>
          <w:sz w:val="21"/>
          <w:szCs w:val="21"/>
          <w:highlight w:val="none"/>
          <w:vertAlign w:val="superscript"/>
        </w:rPr>
        <w:t>1</w:t>
      </w:r>
      <w:r>
        <w:rPr>
          <w:rFonts w:hint="eastAsia" w:ascii="宋体" w:hAnsi="宋体" w:eastAsia="宋体" w:cs="宋体"/>
          <w:color w:val="auto"/>
          <w:sz w:val="21"/>
          <w:szCs w:val="21"/>
          <w:highlight w:val="none"/>
        </w:rPr>
        <w:t>，生产厂为（</w:t>
      </w:r>
      <w:r>
        <w:rPr>
          <w:rFonts w:hint="eastAsia" w:ascii="宋体" w:hAnsi="宋体" w:eastAsia="宋体" w:cs="宋体"/>
          <w:i/>
          <w:iCs/>
          <w:color w:val="auto"/>
          <w:sz w:val="21"/>
          <w:szCs w:val="21"/>
          <w:highlight w:val="none"/>
          <w:u w:val="single"/>
        </w:rPr>
        <w:t>厂名</w:t>
      </w:r>
      <w:r>
        <w:rPr>
          <w:rFonts w:hint="eastAsia" w:ascii="宋体" w:hAnsi="宋体" w:eastAsia="宋体" w:cs="宋体"/>
          <w:color w:val="auto"/>
          <w:sz w:val="21"/>
          <w:szCs w:val="21"/>
          <w:highlight w:val="none"/>
        </w:rPr>
        <w:t>）</w:t>
      </w:r>
      <w:r>
        <w:rPr>
          <w:rFonts w:hint="eastAsia" w:ascii="宋体" w:hAnsi="宋体" w:eastAsia="宋体" w:cs="宋体"/>
          <w:i/>
          <w:iCs/>
          <w:color w:val="auto"/>
          <w:sz w:val="21"/>
          <w:szCs w:val="21"/>
          <w:highlight w:val="none"/>
          <w:vertAlign w:val="superscript"/>
        </w:rPr>
        <w:t>2</w:t>
      </w:r>
      <w:r>
        <w:rPr>
          <w:rFonts w:hint="eastAsia" w:ascii="宋体" w:hAnsi="宋体" w:eastAsia="宋体" w:cs="宋体"/>
          <w:color w:val="auto"/>
          <w:sz w:val="21"/>
          <w:szCs w:val="21"/>
          <w:highlight w:val="none"/>
        </w:rPr>
        <w:t>，厂址为（</w:t>
      </w:r>
      <w:r>
        <w:rPr>
          <w:rFonts w:hint="eastAsia" w:ascii="宋体" w:hAnsi="宋体" w:eastAsia="宋体" w:cs="宋体"/>
          <w:i/>
          <w:iCs/>
          <w:color w:val="auto"/>
          <w:sz w:val="21"/>
          <w:szCs w:val="21"/>
          <w:highlight w:val="none"/>
          <w:u w:val="single"/>
        </w:rPr>
        <w:t>生产厂址</w:t>
      </w:r>
      <w:r>
        <w:rPr>
          <w:rFonts w:hint="eastAsia" w:ascii="宋体" w:hAnsi="宋体" w:eastAsia="宋体" w:cs="宋体"/>
          <w:color w:val="auto"/>
          <w:sz w:val="21"/>
          <w:szCs w:val="21"/>
          <w:highlight w:val="none"/>
        </w:rPr>
        <w:t>）。（</w:t>
      </w:r>
      <w:r>
        <w:rPr>
          <w:rFonts w:hint="eastAsia" w:ascii="宋体" w:hAnsi="宋体" w:eastAsia="宋体" w:cs="宋体"/>
          <w:i/>
          <w:iCs/>
          <w:color w:val="auto"/>
          <w:sz w:val="21"/>
          <w:szCs w:val="21"/>
          <w:highlight w:val="none"/>
          <w:u w:val="single"/>
        </w:rPr>
        <w:t>产品名称1</w:t>
      </w:r>
      <w:r>
        <w:rPr>
          <w:rFonts w:hint="eastAsia" w:ascii="宋体" w:hAnsi="宋体" w:eastAsia="宋体" w:cs="宋体"/>
          <w:color w:val="auto"/>
          <w:sz w:val="21"/>
          <w:szCs w:val="21"/>
          <w:highlight w:val="none"/>
        </w:rPr>
        <w:t>）的中国境内生产的组件成本占比≥（</w:t>
      </w:r>
      <w:r>
        <w:rPr>
          <w:rFonts w:hint="eastAsia" w:ascii="宋体" w:hAnsi="宋体" w:eastAsia="宋体" w:cs="宋体"/>
          <w:i/>
          <w:iCs/>
          <w:color w:val="auto"/>
          <w:sz w:val="21"/>
          <w:szCs w:val="21"/>
          <w:highlight w:val="none"/>
          <w:u w:val="single"/>
        </w:rPr>
        <w:t>规定比例</w:t>
      </w:r>
      <w:r>
        <w:rPr>
          <w:rFonts w:hint="eastAsia" w:ascii="宋体" w:hAnsi="宋体" w:eastAsia="宋体" w:cs="宋体"/>
          <w:color w:val="auto"/>
          <w:sz w:val="21"/>
          <w:szCs w:val="21"/>
          <w:highlight w:val="none"/>
        </w:rPr>
        <w:t>）</w:t>
      </w:r>
      <w:r>
        <w:rPr>
          <w:rFonts w:hint="eastAsia" w:ascii="宋体" w:hAnsi="宋体" w:eastAsia="宋体" w:cs="宋体"/>
          <w:i/>
          <w:iCs/>
          <w:color w:val="auto"/>
          <w:sz w:val="21"/>
          <w:szCs w:val="21"/>
          <w:highlight w:val="none"/>
          <w:vertAlign w:val="superscript"/>
        </w:rPr>
        <w:t>3</w:t>
      </w:r>
      <w:r>
        <w:rPr>
          <w:rFonts w:hint="eastAsia" w:ascii="宋体" w:hAnsi="宋体" w:eastAsia="宋体" w:cs="宋体"/>
          <w:color w:val="auto"/>
          <w:sz w:val="21"/>
          <w:szCs w:val="21"/>
          <w:highlight w:val="none"/>
        </w:rPr>
        <w:t>。（</w:t>
      </w:r>
      <w:r>
        <w:rPr>
          <w:rFonts w:hint="eastAsia" w:ascii="宋体" w:hAnsi="宋体" w:eastAsia="宋体" w:cs="宋体"/>
          <w:i/>
          <w:iCs/>
          <w:color w:val="auto"/>
          <w:sz w:val="21"/>
          <w:szCs w:val="21"/>
          <w:highlight w:val="none"/>
          <w:u w:val="single"/>
        </w:rPr>
        <w:t>产品名称1</w:t>
      </w:r>
      <w:r>
        <w:rPr>
          <w:rFonts w:hint="eastAsia" w:ascii="宋体" w:hAnsi="宋体" w:eastAsia="宋体" w:cs="宋体"/>
          <w:color w:val="auto"/>
          <w:sz w:val="21"/>
          <w:szCs w:val="21"/>
          <w:highlight w:val="none"/>
        </w:rPr>
        <w:t>）的（</w:t>
      </w:r>
      <w:r>
        <w:rPr>
          <w:rFonts w:hint="eastAsia" w:ascii="宋体" w:hAnsi="宋体" w:eastAsia="宋体" w:cs="宋体"/>
          <w:i/>
          <w:iCs/>
          <w:color w:val="auto"/>
          <w:sz w:val="21"/>
          <w:szCs w:val="21"/>
          <w:highlight w:val="none"/>
          <w:u w:val="single"/>
        </w:rPr>
        <w:t>关键组件</w:t>
      </w:r>
      <w:r>
        <w:rPr>
          <w:rFonts w:hint="eastAsia" w:ascii="宋体" w:hAnsi="宋体" w:eastAsia="宋体" w:cs="宋体"/>
          <w:color w:val="auto"/>
          <w:sz w:val="21"/>
          <w:szCs w:val="21"/>
          <w:highlight w:val="none"/>
        </w:rPr>
        <w:t>）</w:t>
      </w:r>
      <w:r>
        <w:rPr>
          <w:rFonts w:hint="eastAsia" w:ascii="宋体" w:hAnsi="宋体" w:eastAsia="宋体" w:cs="宋体"/>
          <w:i/>
          <w:iCs/>
          <w:color w:val="auto"/>
          <w:sz w:val="21"/>
          <w:szCs w:val="21"/>
          <w:highlight w:val="none"/>
          <w:vertAlign w:val="superscript"/>
        </w:rPr>
        <w:t>4</w:t>
      </w:r>
      <w:r>
        <w:rPr>
          <w:rFonts w:hint="eastAsia" w:ascii="宋体" w:hAnsi="宋体" w:eastAsia="宋体" w:cs="宋体"/>
          <w:color w:val="auto"/>
          <w:sz w:val="21"/>
          <w:szCs w:val="21"/>
          <w:highlight w:val="none"/>
        </w:rPr>
        <w:t>在中国境内生产。（</w:t>
      </w:r>
      <w:r>
        <w:rPr>
          <w:rFonts w:hint="eastAsia" w:ascii="宋体" w:hAnsi="宋体" w:eastAsia="宋体" w:cs="宋体"/>
          <w:i/>
          <w:iCs/>
          <w:color w:val="auto"/>
          <w:sz w:val="21"/>
          <w:szCs w:val="21"/>
          <w:highlight w:val="none"/>
          <w:u w:val="single"/>
        </w:rPr>
        <w:t>产品名称1</w:t>
      </w:r>
      <w:r>
        <w:rPr>
          <w:rFonts w:hint="eastAsia" w:ascii="宋体" w:hAnsi="宋体" w:eastAsia="宋体" w:cs="宋体"/>
          <w:color w:val="auto"/>
          <w:sz w:val="21"/>
          <w:szCs w:val="21"/>
          <w:highlight w:val="none"/>
        </w:rPr>
        <w:t>）的（</w:t>
      </w:r>
      <w:r>
        <w:rPr>
          <w:rFonts w:hint="eastAsia" w:ascii="宋体" w:hAnsi="宋体" w:eastAsia="宋体" w:cs="宋体"/>
          <w:i/>
          <w:iCs/>
          <w:color w:val="auto"/>
          <w:sz w:val="21"/>
          <w:szCs w:val="21"/>
          <w:highlight w:val="none"/>
          <w:u w:val="single"/>
        </w:rPr>
        <w:t>关键工序</w:t>
      </w:r>
      <w:r>
        <w:rPr>
          <w:rFonts w:hint="eastAsia" w:ascii="宋体" w:hAnsi="宋体" w:eastAsia="宋体" w:cs="宋体"/>
          <w:color w:val="auto"/>
          <w:sz w:val="21"/>
          <w:szCs w:val="21"/>
          <w:highlight w:val="none"/>
        </w:rPr>
        <w:t>）</w:t>
      </w:r>
      <w:r>
        <w:rPr>
          <w:rFonts w:hint="eastAsia" w:ascii="宋体" w:hAnsi="宋体" w:eastAsia="宋体" w:cs="宋体"/>
          <w:i/>
          <w:iCs/>
          <w:color w:val="auto"/>
          <w:sz w:val="21"/>
          <w:szCs w:val="21"/>
          <w:highlight w:val="none"/>
          <w:vertAlign w:val="superscript"/>
        </w:rPr>
        <w:t>5</w:t>
      </w:r>
      <w:r>
        <w:rPr>
          <w:rFonts w:hint="eastAsia" w:ascii="宋体" w:hAnsi="宋体" w:eastAsia="宋体" w:cs="宋体"/>
          <w:color w:val="auto"/>
          <w:sz w:val="21"/>
          <w:szCs w:val="21"/>
          <w:highlight w:val="none"/>
        </w:rPr>
        <w:t>在中国境内完成。</w:t>
      </w:r>
    </w:p>
    <w:p w14:paraId="6C53B6C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i/>
          <w:iCs/>
          <w:color w:val="auto"/>
          <w:sz w:val="21"/>
          <w:szCs w:val="21"/>
          <w:highlight w:val="none"/>
          <w:u w:val="single"/>
        </w:rPr>
        <w:t>产品名称2</w:t>
      </w:r>
      <w:r>
        <w:rPr>
          <w:rFonts w:hint="eastAsia" w:ascii="宋体" w:hAnsi="宋体" w:eastAsia="宋体" w:cs="宋体"/>
          <w:color w:val="auto"/>
          <w:sz w:val="21"/>
          <w:szCs w:val="21"/>
          <w:highlight w:val="none"/>
        </w:rPr>
        <w:t>），生产厂为（</w:t>
      </w:r>
      <w:r>
        <w:rPr>
          <w:rFonts w:hint="eastAsia" w:ascii="宋体" w:hAnsi="宋体" w:eastAsia="宋体" w:cs="宋体"/>
          <w:i/>
          <w:iCs/>
          <w:color w:val="auto"/>
          <w:sz w:val="21"/>
          <w:szCs w:val="21"/>
          <w:highlight w:val="none"/>
          <w:u w:val="single"/>
        </w:rPr>
        <w:t>厂名</w:t>
      </w:r>
      <w:r>
        <w:rPr>
          <w:rFonts w:hint="eastAsia" w:ascii="宋体" w:hAnsi="宋体" w:eastAsia="宋体" w:cs="宋体"/>
          <w:color w:val="auto"/>
          <w:sz w:val="21"/>
          <w:szCs w:val="21"/>
          <w:highlight w:val="none"/>
        </w:rPr>
        <w:t>），厂址为（</w:t>
      </w:r>
      <w:r>
        <w:rPr>
          <w:rFonts w:hint="eastAsia" w:ascii="宋体" w:hAnsi="宋体" w:eastAsia="宋体" w:cs="宋体"/>
          <w:i/>
          <w:iCs/>
          <w:color w:val="auto"/>
          <w:sz w:val="21"/>
          <w:szCs w:val="21"/>
          <w:highlight w:val="none"/>
          <w:u w:val="single"/>
        </w:rPr>
        <w:t>生产厂址</w:t>
      </w:r>
      <w:r>
        <w:rPr>
          <w:rFonts w:hint="eastAsia" w:ascii="宋体" w:hAnsi="宋体" w:eastAsia="宋体" w:cs="宋体"/>
          <w:color w:val="auto"/>
          <w:sz w:val="21"/>
          <w:szCs w:val="21"/>
          <w:highlight w:val="none"/>
        </w:rPr>
        <w:t>）。（</w:t>
      </w:r>
      <w:r>
        <w:rPr>
          <w:rFonts w:hint="eastAsia" w:ascii="宋体" w:hAnsi="宋体" w:eastAsia="宋体" w:cs="宋体"/>
          <w:i/>
          <w:iCs/>
          <w:color w:val="auto"/>
          <w:sz w:val="21"/>
          <w:szCs w:val="21"/>
          <w:highlight w:val="none"/>
          <w:u w:val="single"/>
        </w:rPr>
        <w:t>产品名称2</w:t>
      </w:r>
      <w:r>
        <w:rPr>
          <w:rFonts w:hint="eastAsia" w:ascii="宋体" w:hAnsi="宋体" w:eastAsia="宋体" w:cs="宋体"/>
          <w:color w:val="auto"/>
          <w:sz w:val="21"/>
          <w:szCs w:val="21"/>
          <w:highlight w:val="none"/>
        </w:rPr>
        <w:t>）的中国境内生产的组件成本占比≥（</w:t>
      </w:r>
      <w:r>
        <w:rPr>
          <w:rFonts w:hint="eastAsia" w:ascii="宋体" w:hAnsi="宋体" w:eastAsia="宋体" w:cs="宋体"/>
          <w:i/>
          <w:iCs/>
          <w:color w:val="auto"/>
          <w:sz w:val="21"/>
          <w:szCs w:val="21"/>
          <w:highlight w:val="none"/>
          <w:u w:val="single"/>
        </w:rPr>
        <w:t>规定比例</w:t>
      </w:r>
      <w:r>
        <w:rPr>
          <w:rFonts w:hint="eastAsia" w:ascii="宋体" w:hAnsi="宋体" w:eastAsia="宋体" w:cs="宋体"/>
          <w:color w:val="auto"/>
          <w:sz w:val="21"/>
          <w:szCs w:val="21"/>
          <w:highlight w:val="none"/>
        </w:rPr>
        <w:t>）。（</w:t>
      </w:r>
      <w:r>
        <w:rPr>
          <w:rFonts w:hint="eastAsia" w:ascii="宋体" w:hAnsi="宋体" w:eastAsia="宋体" w:cs="宋体"/>
          <w:i/>
          <w:iCs/>
          <w:color w:val="auto"/>
          <w:sz w:val="21"/>
          <w:szCs w:val="21"/>
          <w:highlight w:val="none"/>
          <w:u w:val="single"/>
        </w:rPr>
        <w:t>产品名称2</w:t>
      </w:r>
      <w:r>
        <w:rPr>
          <w:rFonts w:hint="eastAsia" w:ascii="宋体" w:hAnsi="宋体" w:eastAsia="宋体" w:cs="宋体"/>
          <w:color w:val="auto"/>
          <w:sz w:val="21"/>
          <w:szCs w:val="21"/>
          <w:highlight w:val="none"/>
        </w:rPr>
        <w:t>）的（</w:t>
      </w:r>
      <w:r>
        <w:rPr>
          <w:rFonts w:hint="eastAsia" w:ascii="宋体" w:hAnsi="宋体" w:eastAsia="宋体" w:cs="宋体"/>
          <w:i/>
          <w:iCs/>
          <w:color w:val="auto"/>
          <w:sz w:val="21"/>
          <w:szCs w:val="21"/>
          <w:highlight w:val="none"/>
          <w:u w:val="single"/>
        </w:rPr>
        <w:t>关键组件</w:t>
      </w:r>
      <w:r>
        <w:rPr>
          <w:rFonts w:hint="eastAsia" w:ascii="宋体" w:hAnsi="宋体" w:eastAsia="宋体" w:cs="宋体"/>
          <w:color w:val="auto"/>
          <w:sz w:val="21"/>
          <w:szCs w:val="21"/>
          <w:highlight w:val="none"/>
        </w:rPr>
        <w:t>）在中国境内生产。（</w:t>
      </w:r>
      <w:r>
        <w:rPr>
          <w:rFonts w:hint="eastAsia" w:ascii="宋体" w:hAnsi="宋体" w:eastAsia="宋体" w:cs="宋体"/>
          <w:i/>
          <w:iCs/>
          <w:color w:val="auto"/>
          <w:sz w:val="21"/>
          <w:szCs w:val="21"/>
          <w:highlight w:val="none"/>
          <w:u w:val="single"/>
        </w:rPr>
        <w:t>产品名称2</w:t>
      </w:r>
      <w:r>
        <w:rPr>
          <w:rFonts w:hint="eastAsia" w:ascii="宋体" w:hAnsi="宋体" w:eastAsia="宋体" w:cs="宋体"/>
          <w:color w:val="auto"/>
          <w:sz w:val="21"/>
          <w:szCs w:val="21"/>
          <w:highlight w:val="none"/>
        </w:rPr>
        <w:t>）的（</w:t>
      </w:r>
      <w:r>
        <w:rPr>
          <w:rFonts w:hint="eastAsia" w:ascii="宋体" w:hAnsi="宋体" w:eastAsia="宋体" w:cs="宋体"/>
          <w:i/>
          <w:iCs/>
          <w:color w:val="auto"/>
          <w:sz w:val="21"/>
          <w:szCs w:val="21"/>
          <w:highlight w:val="none"/>
          <w:u w:val="single"/>
        </w:rPr>
        <w:t>关键工序</w:t>
      </w:r>
      <w:r>
        <w:rPr>
          <w:rFonts w:hint="eastAsia" w:ascii="宋体" w:hAnsi="宋体" w:eastAsia="宋体" w:cs="宋体"/>
          <w:color w:val="auto"/>
          <w:sz w:val="21"/>
          <w:szCs w:val="21"/>
          <w:highlight w:val="none"/>
        </w:rPr>
        <w:t>）在中国境内完成。</w:t>
      </w:r>
    </w:p>
    <w:p w14:paraId="4F7CD9CC">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p w14:paraId="189EF4C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本公司（单位）对上述声明内容的真实性负责。如有虚假，愿承担相应法律责任。</w:t>
      </w:r>
    </w:p>
    <w:p w14:paraId="1D8CEC6A">
      <w:pPr>
        <w:spacing w:line="360" w:lineRule="auto"/>
        <w:rPr>
          <w:rFonts w:hint="eastAsia" w:ascii="宋体" w:hAnsi="宋体" w:eastAsia="宋体" w:cs="宋体"/>
          <w:color w:val="auto"/>
          <w:sz w:val="21"/>
          <w:szCs w:val="21"/>
          <w:highlight w:val="none"/>
        </w:rPr>
      </w:pPr>
    </w:p>
    <w:p w14:paraId="5572196E">
      <w:pPr>
        <w:spacing w:line="360" w:lineRule="auto"/>
        <w:ind w:firstLine="2100" w:firstLineChars="10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单位名称（盖公章或电子签章）：</w:t>
      </w:r>
    </w:p>
    <w:p w14:paraId="6A62B41F">
      <w:pPr>
        <w:spacing w:line="360" w:lineRule="auto"/>
        <w:ind w:firstLine="3150" w:firstLineChars="15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  期：</w:t>
      </w:r>
    </w:p>
    <w:p w14:paraId="3745A059">
      <w:pPr>
        <w:spacing w:line="360" w:lineRule="auto"/>
        <w:ind w:firstLine="3150" w:firstLineChars="1500"/>
        <w:rPr>
          <w:rFonts w:hint="eastAsia" w:ascii="宋体" w:hAnsi="宋体" w:eastAsia="宋体" w:cs="宋体"/>
          <w:color w:val="auto"/>
          <w:sz w:val="21"/>
          <w:szCs w:val="21"/>
          <w:highlight w:val="none"/>
        </w:rPr>
      </w:pPr>
    </w:p>
    <w:p w14:paraId="12F0E92E">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_____________________________</w:t>
      </w:r>
    </w:p>
    <w:p w14:paraId="5DCD981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1.产品如有型号，请在“产品名称”栏一并填写。</w:t>
      </w:r>
    </w:p>
    <w:p w14:paraId="36176F1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2.生产厂名与厂址应与生产厂营业执照载明的相关信息保持一致。</w:t>
      </w:r>
    </w:p>
    <w:p w14:paraId="4544ACF7">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3.该产品的中国境内生产的组件成本占比相关要求实施前，“规定比例”栏可不填，下同。</w:t>
      </w:r>
    </w:p>
    <w:p w14:paraId="26B9CDD0">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4.该产品的关键组件要求实施前，“关键组件”栏可不填，下同。</w:t>
      </w:r>
    </w:p>
    <w:p w14:paraId="1655C748">
      <w:pPr>
        <w:spacing w:line="360" w:lineRule="auto"/>
        <w:ind w:firstLine="420" w:firstLineChars="200"/>
        <w:rPr>
          <w:rFonts w:hint="eastAsia" w:ascii="宋体" w:hAnsi="宋体" w:eastAsia="宋体" w:cs="宋体"/>
          <w:b w:val="0"/>
          <w:bCs w:val="0"/>
          <w:color w:val="auto"/>
          <w:sz w:val="21"/>
          <w:szCs w:val="21"/>
          <w:highlight w:val="none"/>
        </w:rPr>
      </w:pPr>
      <w:r>
        <w:rPr>
          <w:rFonts w:hint="eastAsia" w:ascii="宋体" w:hAnsi="宋体" w:eastAsia="宋体" w:cs="宋体"/>
          <w:color w:val="auto"/>
          <w:sz w:val="21"/>
          <w:szCs w:val="21"/>
          <w:highlight w:val="none"/>
        </w:rPr>
        <w:t xml:space="preserve">5.该产品的关键工序要求实施前，“关键工序”栏可不填，下同。  </w:t>
      </w:r>
    </w:p>
    <w:p w14:paraId="6E863511">
      <w:pPr>
        <w:pStyle w:val="7"/>
        <w:overflowPunct w:val="0"/>
        <w:spacing w:line="360" w:lineRule="auto"/>
        <w:ind w:firstLine="369" w:firstLineChars="175"/>
        <w:jc w:val="center"/>
        <w:rPr>
          <w:rFonts w:hint="eastAsia" w:ascii="宋体" w:hAnsi="宋体" w:eastAsia="宋体" w:cs="宋体"/>
          <w:b/>
          <w:bCs/>
          <w:color w:val="auto"/>
          <w:sz w:val="21"/>
          <w:szCs w:val="21"/>
          <w:highlight w:val="none"/>
        </w:rPr>
      </w:pPr>
    </w:p>
    <w:p w14:paraId="0BED90BC">
      <w:pPr>
        <w:pStyle w:val="27"/>
        <w:rPr>
          <w:rFonts w:hint="eastAsia" w:ascii="宋体" w:hAnsi="宋体" w:eastAsia="宋体" w:cs="宋体"/>
          <w:color w:val="auto"/>
          <w:sz w:val="21"/>
          <w:szCs w:val="21"/>
          <w:highlight w:val="none"/>
        </w:rPr>
      </w:pPr>
    </w:p>
    <w:p w14:paraId="41FFC09E">
      <w:pPr>
        <w:widowControl/>
        <w:spacing w:afterLines="150" w:line="360" w:lineRule="auto"/>
        <w:jc w:val="center"/>
        <w:rPr>
          <w:rFonts w:ascii="宋体" w:hAnsi="宋体" w:cs="宋体"/>
          <w:color w:val="auto"/>
          <w:szCs w:val="21"/>
          <w:highlight w:val="none"/>
        </w:rPr>
      </w:pPr>
      <w:r>
        <w:rPr>
          <w:rFonts w:hint="eastAsia" w:ascii="宋体" w:hAnsi="宋体" w:cs="宋体"/>
          <w:color w:val="auto"/>
          <w:kern w:val="0"/>
          <w:szCs w:val="21"/>
          <w:highlight w:val="none"/>
        </w:rPr>
        <w:br w:type="page"/>
      </w:r>
    </w:p>
    <w:p w14:paraId="65DB9AFB">
      <w:pPr>
        <w:pStyle w:val="3"/>
        <w:spacing w:line="400" w:lineRule="exact"/>
        <w:jc w:val="center"/>
        <w:rPr>
          <w:rFonts w:ascii="方正小标宋_GBK" w:hAnsi="方正小标宋_GBK" w:eastAsia="方正小标宋_GBK" w:cs="方正小标宋_GBK"/>
          <w:b w:val="0"/>
          <w:bCs w:val="0"/>
          <w:color w:val="auto"/>
          <w:sz w:val="21"/>
          <w:szCs w:val="21"/>
          <w:highlight w:val="none"/>
        </w:rPr>
      </w:pPr>
      <w:bookmarkStart w:id="225" w:name="_Toc28523"/>
      <w:r>
        <w:rPr>
          <w:rFonts w:hint="eastAsia" w:ascii="方正小标宋_GBK" w:hAnsi="方正小标宋_GBK" w:eastAsia="方正小标宋_GBK" w:cs="方正小标宋_GBK"/>
          <w:b w:val="0"/>
          <w:bCs w:val="0"/>
          <w:color w:val="auto"/>
          <w:sz w:val="21"/>
          <w:szCs w:val="21"/>
          <w:highlight w:val="none"/>
        </w:rPr>
        <w:t>第六章 合同文本</w:t>
      </w:r>
      <w:bookmarkEnd w:id="225"/>
    </w:p>
    <w:p w14:paraId="0600885D">
      <w:pPr>
        <w:spacing w:line="400" w:lineRule="exact"/>
        <w:jc w:val="center"/>
        <w:rPr>
          <w:rFonts w:ascii="宋体" w:hAnsi="宋体" w:cs="宋体"/>
          <w:b/>
          <w:bCs/>
          <w:color w:val="auto"/>
          <w:sz w:val="24"/>
          <w:highlight w:val="none"/>
        </w:rPr>
      </w:pPr>
    </w:p>
    <w:p w14:paraId="61F725DF">
      <w:pPr>
        <w:rPr>
          <w:rFonts w:ascii="宋体" w:hAnsi="宋体" w:cs="宋体"/>
          <w:color w:val="auto"/>
          <w:sz w:val="24"/>
          <w:highlight w:val="none"/>
        </w:rPr>
      </w:pPr>
      <w:r>
        <w:rPr>
          <w:rFonts w:hint="eastAsia" w:ascii="宋体" w:hAnsi="宋体" w:cs="宋体"/>
          <w:color w:val="auto"/>
          <w:sz w:val="24"/>
          <w:highlight w:val="none"/>
        </w:rPr>
        <w:t>合同编号：</w:t>
      </w:r>
    </w:p>
    <w:p w14:paraId="701BF2EA">
      <w:pPr>
        <w:rPr>
          <w:rFonts w:ascii="宋体" w:hAnsi="宋体" w:cs="宋体"/>
          <w:color w:val="auto"/>
          <w:sz w:val="24"/>
          <w:highlight w:val="none"/>
        </w:rPr>
      </w:pPr>
    </w:p>
    <w:p w14:paraId="6FF0BCD9">
      <w:pPr>
        <w:rPr>
          <w:rFonts w:ascii="宋体" w:hAnsi="宋体" w:cs="宋体"/>
          <w:color w:val="auto"/>
          <w:sz w:val="24"/>
          <w:highlight w:val="none"/>
        </w:rPr>
      </w:pPr>
    </w:p>
    <w:p w14:paraId="69D5155D">
      <w:pPr>
        <w:pStyle w:val="81"/>
        <w:tabs>
          <w:tab w:val="left" w:pos="360"/>
        </w:tabs>
        <w:spacing w:line="360" w:lineRule="auto"/>
        <w:jc w:val="center"/>
        <w:outlineLvl w:val="9"/>
        <w:rPr>
          <w:rFonts w:ascii="宋体" w:hAnsi="宋体" w:cs="宋体"/>
          <w:b/>
          <w:bCs/>
          <w:color w:val="auto"/>
          <w:sz w:val="36"/>
          <w:szCs w:val="36"/>
          <w:highlight w:val="none"/>
        </w:rPr>
      </w:pPr>
      <w:r>
        <w:rPr>
          <w:rFonts w:hint="eastAsia" w:ascii="宋体" w:hAnsi="宋体" w:cs="宋体"/>
          <w:color w:val="auto"/>
          <w:szCs w:val="21"/>
          <w:highlight w:val="none"/>
        </w:rPr>
        <w:t>2026年度中央财政林业草原生态保护恢复资金——广西合浦儒艮国家级自然保护区保护设施设备购置维护、专项监测及宣传教育项目（监测平台维护）</w:t>
      </w:r>
    </w:p>
    <w:p w14:paraId="264EEB6C">
      <w:pPr>
        <w:rPr>
          <w:rFonts w:ascii="宋体" w:hAnsi="宋体" w:cs="宋体"/>
          <w:color w:val="auto"/>
          <w:highlight w:val="none"/>
        </w:rPr>
      </w:pPr>
    </w:p>
    <w:p w14:paraId="6E7EE17D">
      <w:pPr>
        <w:rPr>
          <w:rFonts w:hint="eastAsia"/>
          <w:color w:val="auto"/>
          <w:highlight w:val="none"/>
        </w:rPr>
      </w:pPr>
    </w:p>
    <w:p w14:paraId="758D2AC4">
      <w:pPr>
        <w:rPr>
          <w:rFonts w:ascii="宋体" w:hAnsi="宋体" w:cs="宋体"/>
          <w:color w:val="auto"/>
          <w:highlight w:val="none"/>
        </w:rPr>
      </w:pPr>
    </w:p>
    <w:tbl>
      <w:tblPr>
        <w:tblStyle w:val="31"/>
        <w:tblpPr w:leftFromText="180" w:rightFromText="180" w:vertAnchor="text" w:horzAnchor="page" w:tblpX="2301" w:tblpY="154"/>
        <w:tblOverlap w:val="never"/>
        <w:tblW w:w="71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5"/>
        <w:gridCol w:w="4446"/>
      </w:tblGrid>
      <w:tr w14:paraId="6ACEF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5" w:type="dxa"/>
            <w:tcBorders>
              <w:top w:val="nil"/>
              <w:left w:val="nil"/>
              <w:bottom w:val="nil"/>
              <w:right w:val="nil"/>
            </w:tcBorders>
          </w:tcPr>
          <w:p w14:paraId="20B5252E">
            <w:pPr>
              <w:autoSpaceDE w:val="0"/>
              <w:spacing w:line="400" w:lineRule="exact"/>
              <w:jc w:val="left"/>
              <w:rPr>
                <w:rFonts w:ascii="宋体" w:hAnsi="宋体" w:cs="宋体"/>
                <w:b/>
                <w:color w:val="auto"/>
                <w:sz w:val="28"/>
                <w:szCs w:val="28"/>
                <w:highlight w:val="none"/>
              </w:rPr>
            </w:pPr>
            <w:r>
              <w:rPr>
                <w:rFonts w:hint="eastAsia" w:ascii="宋体" w:hAnsi="宋体" w:cs="宋体"/>
                <w:color w:val="auto"/>
                <w:sz w:val="28"/>
                <w:szCs w:val="28"/>
                <w:highlight w:val="none"/>
              </w:rPr>
              <w:t>采购人（甲方）：</w:t>
            </w:r>
          </w:p>
        </w:tc>
        <w:tc>
          <w:tcPr>
            <w:tcW w:w="4446" w:type="dxa"/>
            <w:tcBorders>
              <w:top w:val="nil"/>
              <w:left w:val="nil"/>
              <w:bottom w:val="single" w:color="000000" w:sz="4" w:space="0"/>
              <w:right w:val="nil"/>
            </w:tcBorders>
          </w:tcPr>
          <w:p w14:paraId="4835B1A6">
            <w:pPr>
              <w:autoSpaceDE w:val="0"/>
              <w:spacing w:line="400" w:lineRule="exact"/>
              <w:jc w:val="center"/>
              <w:rPr>
                <w:rFonts w:ascii="宋体" w:hAnsi="宋体" w:cs="宋体"/>
                <w:b/>
                <w:color w:val="auto"/>
                <w:sz w:val="28"/>
                <w:szCs w:val="28"/>
                <w:highlight w:val="none"/>
              </w:rPr>
            </w:pPr>
            <w:r>
              <w:rPr>
                <w:rFonts w:hint="eastAsia" w:ascii="宋体" w:hAnsi="宋体" w:cs="宋体"/>
                <w:color w:val="auto"/>
                <w:sz w:val="28"/>
                <w:szCs w:val="28"/>
                <w:highlight w:val="none"/>
              </w:rPr>
              <w:t xml:space="preserve">广西壮族自治区合浦儒艮国家级自然保护区管理中心       </w:t>
            </w:r>
          </w:p>
        </w:tc>
      </w:tr>
      <w:tr w14:paraId="1F3DA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5" w:type="dxa"/>
            <w:tcBorders>
              <w:top w:val="nil"/>
              <w:left w:val="nil"/>
              <w:bottom w:val="nil"/>
              <w:right w:val="nil"/>
            </w:tcBorders>
          </w:tcPr>
          <w:p w14:paraId="1CA9A0DA">
            <w:pPr>
              <w:autoSpaceDE w:val="0"/>
              <w:spacing w:line="400" w:lineRule="exact"/>
              <w:jc w:val="left"/>
              <w:rPr>
                <w:rFonts w:ascii="宋体" w:hAnsi="宋体" w:cs="宋体"/>
                <w:b/>
                <w:color w:val="auto"/>
                <w:sz w:val="28"/>
                <w:szCs w:val="28"/>
                <w:highlight w:val="none"/>
              </w:rPr>
            </w:pPr>
            <w:r>
              <w:rPr>
                <w:rFonts w:hint="eastAsia" w:ascii="宋体" w:hAnsi="宋体" w:cs="宋体"/>
                <w:color w:val="auto"/>
                <w:sz w:val="28"/>
                <w:szCs w:val="28"/>
                <w:highlight w:val="none"/>
              </w:rPr>
              <w:t>地    址：</w:t>
            </w:r>
          </w:p>
        </w:tc>
        <w:tc>
          <w:tcPr>
            <w:tcW w:w="4446" w:type="dxa"/>
            <w:tcBorders>
              <w:left w:val="nil"/>
              <w:right w:val="nil"/>
            </w:tcBorders>
          </w:tcPr>
          <w:p w14:paraId="4A67BBD3">
            <w:pPr>
              <w:autoSpaceDE w:val="0"/>
              <w:spacing w:line="400" w:lineRule="exact"/>
              <w:jc w:val="center"/>
              <w:rPr>
                <w:rFonts w:ascii="宋体" w:hAnsi="宋体" w:cs="宋体"/>
                <w:b/>
                <w:color w:val="auto"/>
                <w:sz w:val="28"/>
                <w:szCs w:val="28"/>
                <w:highlight w:val="none"/>
              </w:rPr>
            </w:pPr>
            <w:r>
              <w:rPr>
                <w:rFonts w:hint="eastAsia" w:ascii="宋体" w:hAnsi="宋体" w:cs="宋体"/>
                <w:color w:val="auto"/>
                <w:sz w:val="28"/>
                <w:szCs w:val="28"/>
                <w:highlight w:val="none"/>
              </w:rPr>
              <w:t>广西北海市银海区云南路278号</w:t>
            </w:r>
          </w:p>
        </w:tc>
      </w:tr>
      <w:tr w14:paraId="0D071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5" w:type="dxa"/>
            <w:tcBorders>
              <w:top w:val="nil"/>
              <w:left w:val="nil"/>
              <w:bottom w:val="nil"/>
              <w:right w:val="nil"/>
            </w:tcBorders>
          </w:tcPr>
          <w:p w14:paraId="05F86F41">
            <w:pPr>
              <w:autoSpaceDE w:val="0"/>
              <w:spacing w:line="400" w:lineRule="exact"/>
              <w:jc w:val="left"/>
              <w:rPr>
                <w:rFonts w:ascii="宋体" w:hAnsi="宋体" w:cs="宋体"/>
                <w:b/>
                <w:color w:val="auto"/>
                <w:sz w:val="28"/>
                <w:szCs w:val="28"/>
                <w:highlight w:val="none"/>
              </w:rPr>
            </w:pPr>
            <w:r>
              <w:rPr>
                <w:rFonts w:hint="eastAsia" w:ascii="宋体" w:hAnsi="宋体" w:cs="宋体"/>
                <w:color w:val="auto"/>
                <w:sz w:val="28"/>
                <w:szCs w:val="28"/>
                <w:highlight w:val="none"/>
              </w:rPr>
              <w:t>邮    编：</w:t>
            </w:r>
          </w:p>
        </w:tc>
        <w:tc>
          <w:tcPr>
            <w:tcW w:w="4446" w:type="dxa"/>
            <w:tcBorders>
              <w:left w:val="nil"/>
              <w:right w:val="nil"/>
            </w:tcBorders>
          </w:tcPr>
          <w:p w14:paraId="527653EF">
            <w:pPr>
              <w:autoSpaceDE w:val="0"/>
              <w:spacing w:line="400" w:lineRule="exact"/>
              <w:jc w:val="center"/>
              <w:rPr>
                <w:rFonts w:ascii="宋体" w:hAnsi="宋体" w:cs="宋体"/>
                <w:b/>
                <w:color w:val="auto"/>
                <w:sz w:val="28"/>
                <w:szCs w:val="28"/>
                <w:highlight w:val="none"/>
              </w:rPr>
            </w:pPr>
            <w:r>
              <w:rPr>
                <w:rFonts w:hint="eastAsia" w:ascii="宋体" w:hAnsi="宋体" w:cs="宋体"/>
                <w:color w:val="auto"/>
                <w:sz w:val="28"/>
                <w:szCs w:val="28"/>
                <w:highlight w:val="none"/>
              </w:rPr>
              <w:t>536000</w:t>
            </w:r>
          </w:p>
        </w:tc>
      </w:tr>
      <w:tr w14:paraId="06CB0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5" w:type="dxa"/>
            <w:tcBorders>
              <w:top w:val="nil"/>
              <w:left w:val="nil"/>
              <w:bottom w:val="nil"/>
              <w:right w:val="nil"/>
            </w:tcBorders>
          </w:tcPr>
          <w:p w14:paraId="565F24F4">
            <w:pPr>
              <w:autoSpaceDE w:val="0"/>
              <w:spacing w:line="400" w:lineRule="exact"/>
              <w:jc w:val="left"/>
              <w:rPr>
                <w:rFonts w:ascii="宋体" w:hAnsi="宋体" w:cs="宋体"/>
                <w:b/>
                <w:color w:val="auto"/>
                <w:sz w:val="28"/>
                <w:szCs w:val="28"/>
                <w:highlight w:val="none"/>
              </w:rPr>
            </w:pPr>
            <w:r>
              <w:rPr>
                <w:rFonts w:hint="eastAsia" w:ascii="宋体" w:hAnsi="宋体" w:cs="宋体"/>
                <w:color w:val="auto"/>
                <w:sz w:val="28"/>
                <w:szCs w:val="28"/>
                <w:highlight w:val="none"/>
              </w:rPr>
              <w:t>联 系 电 话：</w:t>
            </w:r>
          </w:p>
        </w:tc>
        <w:tc>
          <w:tcPr>
            <w:tcW w:w="4446" w:type="dxa"/>
            <w:tcBorders>
              <w:left w:val="nil"/>
              <w:right w:val="nil"/>
            </w:tcBorders>
          </w:tcPr>
          <w:p w14:paraId="340FF975">
            <w:pPr>
              <w:autoSpaceDE w:val="0"/>
              <w:spacing w:line="400" w:lineRule="exact"/>
              <w:jc w:val="center"/>
              <w:rPr>
                <w:rFonts w:ascii="宋体" w:hAnsi="宋体" w:cs="宋体"/>
                <w:color w:val="auto"/>
                <w:sz w:val="28"/>
                <w:szCs w:val="28"/>
                <w:highlight w:val="none"/>
              </w:rPr>
            </w:pPr>
          </w:p>
        </w:tc>
      </w:tr>
      <w:tr w14:paraId="22E69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5" w:type="dxa"/>
            <w:tcBorders>
              <w:top w:val="nil"/>
              <w:left w:val="nil"/>
              <w:bottom w:val="nil"/>
              <w:right w:val="nil"/>
            </w:tcBorders>
          </w:tcPr>
          <w:p w14:paraId="3AFB0BDD">
            <w:pPr>
              <w:autoSpaceDE w:val="0"/>
              <w:spacing w:line="400" w:lineRule="exact"/>
              <w:jc w:val="left"/>
              <w:rPr>
                <w:rFonts w:ascii="宋体" w:hAnsi="宋体" w:cs="宋体"/>
                <w:color w:val="auto"/>
                <w:sz w:val="28"/>
                <w:szCs w:val="28"/>
                <w:highlight w:val="none"/>
              </w:rPr>
            </w:pPr>
          </w:p>
        </w:tc>
        <w:tc>
          <w:tcPr>
            <w:tcW w:w="4446" w:type="dxa"/>
            <w:tcBorders>
              <w:left w:val="nil"/>
              <w:bottom w:val="nil"/>
              <w:right w:val="nil"/>
            </w:tcBorders>
          </w:tcPr>
          <w:p w14:paraId="2DC9F33B">
            <w:pPr>
              <w:autoSpaceDE w:val="0"/>
              <w:spacing w:line="400" w:lineRule="exact"/>
              <w:jc w:val="center"/>
              <w:rPr>
                <w:rFonts w:ascii="宋体" w:hAnsi="宋体" w:cs="宋体"/>
                <w:b/>
                <w:color w:val="auto"/>
                <w:sz w:val="28"/>
                <w:szCs w:val="28"/>
                <w:highlight w:val="none"/>
              </w:rPr>
            </w:pPr>
          </w:p>
        </w:tc>
      </w:tr>
      <w:tr w14:paraId="790FF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5" w:type="dxa"/>
            <w:tcBorders>
              <w:top w:val="nil"/>
              <w:left w:val="nil"/>
              <w:bottom w:val="nil"/>
              <w:right w:val="nil"/>
            </w:tcBorders>
          </w:tcPr>
          <w:p w14:paraId="159B1428">
            <w:pPr>
              <w:autoSpaceDE w:val="0"/>
              <w:spacing w:line="400" w:lineRule="exact"/>
              <w:jc w:val="left"/>
              <w:rPr>
                <w:rFonts w:ascii="宋体" w:hAnsi="宋体" w:cs="宋体"/>
                <w:b/>
                <w:color w:val="auto"/>
                <w:sz w:val="28"/>
                <w:szCs w:val="28"/>
                <w:highlight w:val="none"/>
              </w:rPr>
            </w:pPr>
            <w:r>
              <w:rPr>
                <w:rFonts w:hint="eastAsia" w:ascii="宋体" w:hAnsi="宋体" w:cs="宋体"/>
                <w:color w:val="auto"/>
                <w:sz w:val="28"/>
                <w:szCs w:val="28"/>
                <w:highlight w:val="none"/>
              </w:rPr>
              <w:t>成交供应商（乙方）：</w:t>
            </w:r>
          </w:p>
        </w:tc>
        <w:tc>
          <w:tcPr>
            <w:tcW w:w="4446" w:type="dxa"/>
            <w:tcBorders>
              <w:top w:val="nil"/>
              <w:left w:val="nil"/>
              <w:right w:val="nil"/>
            </w:tcBorders>
          </w:tcPr>
          <w:p w14:paraId="799719DE">
            <w:pPr>
              <w:autoSpaceDE w:val="0"/>
              <w:spacing w:line="400" w:lineRule="exact"/>
              <w:jc w:val="center"/>
              <w:rPr>
                <w:rFonts w:ascii="宋体" w:hAnsi="宋体" w:cs="宋体"/>
                <w:bCs/>
                <w:color w:val="auto"/>
                <w:sz w:val="28"/>
                <w:szCs w:val="28"/>
                <w:highlight w:val="none"/>
              </w:rPr>
            </w:pPr>
          </w:p>
        </w:tc>
      </w:tr>
      <w:tr w14:paraId="36A12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5" w:type="dxa"/>
            <w:tcBorders>
              <w:top w:val="nil"/>
              <w:left w:val="nil"/>
              <w:bottom w:val="nil"/>
              <w:right w:val="nil"/>
            </w:tcBorders>
          </w:tcPr>
          <w:p w14:paraId="793703E7">
            <w:pPr>
              <w:autoSpaceDE w:val="0"/>
              <w:spacing w:line="400" w:lineRule="exact"/>
              <w:jc w:val="left"/>
              <w:rPr>
                <w:rFonts w:ascii="宋体" w:hAnsi="宋体" w:cs="宋体"/>
                <w:b/>
                <w:color w:val="auto"/>
                <w:sz w:val="28"/>
                <w:szCs w:val="28"/>
                <w:highlight w:val="none"/>
              </w:rPr>
            </w:pPr>
            <w:r>
              <w:rPr>
                <w:rFonts w:hint="eastAsia" w:ascii="宋体" w:hAnsi="宋体" w:cs="宋体"/>
                <w:color w:val="auto"/>
                <w:sz w:val="28"/>
                <w:szCs w:val="28"/>
                <w:highlight w:val="none"/>
              </w:rPr>
              <w:t>地    址：</w:t>
            </w:r>
          </w:p>
        </w:tc>
        <w:tc>
          <w:tcPr>
            <w:tcW w:w="4446" w:type="dxa"/>
            <w:tcBorders>
              <w:left w:val="nil"/>
              <w:right w:val="nil"/>
            </w:tcBorders>
          </w:tcPr>
          <w:p w14:paraId="5D4B9F1E">
            <w:pPr>
              <w:autoSpaceDE w:val="0"/>
              <w:spacing w:line="400" w:lineRule="exact"/>
              <w:jc w:val="left"/>
              <w:rPr>
                <w:rFonts w:ascii="宋体" w:hAnsi="宋体" w:cs="宋体"/>
                <w:bCs/>
                <w:color w:val="auto"/>
                <w:sz w:val="28"/>
                <w:szCs w:val="28"/>
                <w:highlight w:val="none"/>
              </w:rPr>
            </w:pPr>
          </w:p>
        </w:tc>
      </w:tr>
      <w:tr w14:paraId="1F18F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5" w:type="dxa"/>
            <w:tcBorders>
              <w:top w:val="nil"/>
              <w:left w:val="nil"/>
              <w:bottom w:val="nil"/>
              <w:right w:val="nil"/>
            </w:tcBorders>
          </w:tcPr>
          <w:p w14:paraId="1D4E48F9">
            <w:pPr>
              <w:autoSpaceDE w:val="0"/>
              <w:spacing w:line="400" w:lineRule="exact"/>
              <w:jc w:val="left"/>
              <w:rPr>
                <w:rFonts w:ascii="宋体" w:hAnsi="宋体" w:cs="宋体"/>
                <w:b/>
                <w:color w:val="auto"/>
                <w:sz w:val="28"/>
                <w:szCs w:val="28"/>
                <w:highlight w:val="none"/>
              </w:rPr>
            </w:pPr>
            <w:r>
              <w:rPr>
                <w:rFonts w:hint="eastAsia" w:ascii="宋体" w:hAnsi="宋体" w:cs="宋体"/>
                <w:color w:val="auto"/>
                <w:sz w:val="28"/>
                <w:szCs w:val="28"/>
                <w:highlight w:val="none"/>
              </w:rPr>
              <w:t>邮    编：</w:t>
            </w:r>
          </w:p>
        </w:tc>
        <w:tc>
          <w:tcPr>
            <w:tcW w:w="4446" w:type="dxa"/>
            <w:tcBorders>
              <w:left w:val="nil"/>
              <w:right w:val="nil"/>
            </w:tcBorders>
          </w:tcPr>
          <w:p w14:paraId="627B7F9D">
            <w:pPr>
              <w:autoSpaceDE w:val="0"/>
              <w:spacing w:line="400" w:lineRule="exact"/>
              <w:jc w:val="center"/>
              <w:rPr>
                <w:rFonts w:ascii="宋体" w:hAnsi="宋体" w:cs="宋体"/>
                <w:bCs/>
                <w:color w:val="auto"/>
                <w:sz w:val="28"/>
                <w:szCs w:val="28"/>
                <w:highlight w:val="none"/>
              </w:rPr>
            </w:pPr>
          </w:p>
        </w:tc>
      </w:tr>
      <w:tr w14:paraId="23B12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5" w:type="dxa"/>
            <w:tcBorders>
              <w:top w:val="nil"/>
              <w:left w:val="nil"/>
              <w:bottom w:val="nil"/>
              <w:right w:val="nil"/>
            </w:tcBorders>
          </w:tcPr>
          <w:p w14:paraId="14252E2A">
            <w:pPr>
              <w:autoSpaceDE w:val="0"/>
              <w:spacing w:line="400" w:lineRule="exact"/>
              <w:jc w:val="left"/>
              <w:rPr>
                <w:rFonts w:ascii="宋体" w:hAnsi="宋体" w:cs="宋体"/>
                <w:b/>
                <w:color w:val="auto"/>
                <w:sz w:val="28"/>
                <w:szCs w:val="28"/>
                <w:highlight w:val="none"/>
              </w:rPr>
            </w:pPr>
            <w:r>
              <w:rPr>
                <w:rFonts w:hint="eastAsia" w:ascii="宋体" w:hAnsi="宋体" w:cs="宋体"/>
                <w:color w:val="auto"/>
                <w:sz w:val="28"/>
                <w:szCs w:val="28"/>
                <w:highlight w:val="none"/>
              </w:rPr>
              <w:t>联 系 电 话：</w:t>
            </w:r>
          </w:p>
        </w:tc>
        <w:tc>
          <w:tcPr>
            <w:tcW w:w="4446" w:type="dxa"/>
            <w:tcBorders>
              <w:left w:val="nil"/>
              <w:right w:val="nil"/>
            </w:tcBorders>
          </w:tcPr>
          <w:p w14:paraId="0A5B3D6B">
            <w:pPr>
              <w:autoSpaceDE w:val="0"/>
              <w:spacing w:line="400" w:lineRule="exact"/>
              <w:jc w:val="center"/>
              <w:rPr>
                <w:rFonts w:ascii="宋体" w:hAnsi="宋体" w:cs="宋体"/>
                <w:bCs/>
                <w:color w:val="auto"/>
                <w:sz w:val="28"/>
                <w:szCs w:val="28"/>
                <w:highlight w:val="none"/>
              </w:rPr>
            </w:pPr>
          </w:p>
        </w:tc>
      </w:tr>
    </w:tbl>
    <w:p w14:paraId="0DEDDCA9">
      <w:pPr>
        <w:pStyle w:val="81"/>
        <w:tabs>
          <w:tab w:val="left" w:pos="360"/>
        </w:tabs>
        <w:jc w:val="center"/>
        <w:outlineLvl w:val="9"/>
        <w:rPr>
          <w:rFonts w:ascii="宋体" w:hAnsi="宋体" w:cs="宋体"/>
          <w:color w:val="auto"/>
          <w:highlight w:val="none"/>
        </w:rPr>
      </w:pPr>
    </w:p>
    <w:p w14:paraId="4E67B96E">
      <w:pPr>
        <w:pStyle w:val="81"/>
        <w:tabs>
          <w:tab w:val="left" w:pos="360"/>
        </w:tabs>
        <w:jc w:val="center"/>
        <w:outlineLvl w:val="9"/>
        <w:rPr>
          <w:rFonts w:ascii="宋体" w:hAnsi="宋体" w:cs="宋体"/>
          <w:color w:val="auto"/>
          <w:highlight w:val="none"/>
        </w:rPr>
      </w:pPr>
    </w:p>
    <w:p w14:paraId="5D97F43E">
      <w:pPr>
        <w:pStyle w:val="81"/>
        <w:tabs>
          <w:tab w:val="left" w:pos="360"/>
        </w:tabs>
        <w:jc w:val="center"/>
        <w:outlineLvl w:val="9"/>
        <w:rPr>
          <w:rFonts w:ascii="宋体" w:hAnsi="宋体" w:cs="宋体"/>
          <w:color w:val="auto"/>
          <w:highlight w:val="none"/>
        </w:rPr>
      </w:pPr>
    </w:p>
    <w:p w14:paraId="10880833">
      <w:pPr>
        <w:pStyle w:val="81"/>
        <w:tabs>
          <w:tab w:val="left" w:pos="360"/>
        </w:tabs>
        <w:jc w:val="center"/>
        <w:outlineLvl w:val="9"/>
        <w:rPr>
          <w:rFonts w:ascii="宋体" w:hAnsi="宋体" w:cs="宋体"/>
          <w:color w:val="auto"/>
          <w:highlight w:val="none"/>
        </w:rPr>
      </w:pPr>
    </w:p>
    <w:p w14:paraId="01915657">
      <w:pPr>
        <w:pStyle w:val="81"/>
        <w:tabs>
          <w:tab w:val="left" w:pos="360"/>
        </w:tabs>
        <w:jc w:val="center"/>
        <w:outlineLvl w:val="9"/>
        <w:rPr>
          <w:rFonts w:ascii="宋体" w:hAnsi="宋体" w:cs="宋体"/>
          <w:color w:val="auto"/>
          <w:highlight w:val="none"/>
        </w:rPr>
      </w:pPr>
    </w:p>
    <w:p w14:paraId="1BC71FDE">
      <w:pPr>
        <w:pStyle w:val="81"/>
        <w:tabs>
          <w:tab w:val="left" w:pos="360"/>
        </w:tabs>
        <w:jc w:val="center"/>
        <w:outlineLvl w:val="9"/>
        <w:rPr>
          <w:rFonts w:ascii="宋体" w:hAnsi="宋体" w:cs="宋体"/>
          <w:color w:val="auto"/>
          <w:highlight w:val="none"/>
        </w:rPr>
      </w:pPr>
    </w:p>
    <w:p w14:paraId="6CC0864A">
      <w:pPr>
        <w:pStyle w:val="81"/>
        <w:tabs>
          <w:tab w:val="left" w:pos="360"/>
        </w:tabs>
        <w:jc w:val="center"/>
        <w:outlineLvl w:val="9"/>
        <w:rPr>
          <w:rFonts w:ascii="宋体" w:hAnsi="宋体" w:cs="宋体"/>
          <w:color w:val="auto"/>
          <w:highlight w:val="none"/>
        </w:rPr>
      </w:pPr>
    </w:p>
    <w:p w14:paraId="3A19580C">
      <w:pPr>
        <w:rPr>
          <w:rFonts w:ascii="宋体" w:hAnsi="宋体" w:cs="宋体"/>
          <w:color w:val="auto"/>
          <w:highlight w:val="none"/>
        </w:rPr>
      </w:pPr>
    </w:p>
    <w:p w14:paraId="3A3E2A28">
      <w:pPr>
        <w:spacing w:line="440" w:lineRule="exact"/>
        <w:ind w:right="1440" w:firstLine="0" w:firstLineChars="0"/>
        <w:jc w:val="center"/>
        <w:rPr>
          <w:rFonts w:ascii="宋体" w:hAnsi="宋体" w:cs="宋体"/>
          <w:color w:val="auto"/>
          <w:sz w:val="24"/>
          <w:highlight w:val="none"/>
        </w:rPr>
      </w:pPr>
      <w:r>
        <w:rPr>
          <w:rFonts w:hint="eastAsia" w:ascii="宋体" w:hAnsi="宋体" w:cs="宋体"/>
          <w:color w:val="auto"/>
          <w:highlight w:val="none"/>
        </w:rPr>
        <w:t xml:space="preserve">  </w:t>
      </w:r>
      <w:r>
        <w:rPr>
          <w:rFonts w:hint="eastAsia" w:ascii="宋体" w:hAnsi="宋体" w:cs="宋体"/>
          <w:color w:val="auto"/>
          <w:sz w:val="24"/>
          <w:highlight w:val="none"/>
        </w:rPr>
        <w:t>签约时间：   年  月  日</w:t>
      </w:r>
    </w:p>
    <w:p w14:paraId="78247899">
      <w:pPr>
        <w:wordWrap w:val="0"/>
        <w:spacing w:line="440" w:lineRule="exact"/>
        <w:ind w:right="1440" w:firstLine="480" w:firstLineChars="200"/>
        <w:jc w:val="center"/>
        <w:rPr>
          <w:rFonts w:ascii="宋体" w:hAnsi="宋体" w:cs="宋体"/>
          <w:b/>
          <w:bCs/>
          <w:color w:val="auto"/>
          <w:sz w:val="24"/>
          <w:highlight w:val="none"/>
          <w:u w:val="single"/>
        </w:rPr>
      </w:pPr>
      <w:r>
        <w:rPr>
          <w:rFonts w:hint="eastAsia" w:ascii="宋体" w:hAnsi="宋体" w:cs="宋体"/>
          <w:color w:val="auto"/>
          <w:sz w:val="24"/>
          <w:highlight w:val="none"/>
        </w:rPr>
        <w:t>签约地点：</w:t>
      </w:r>
      <w:r>
        <w:rPr>
          <w:rFonts w:hint="eastAsia" w:ascii="宋体" w:hAnsi="宋体" w:cs="宋体"/>
          <w:color w:val="auto"/>
          <w:sz w:val="24"/>
          <w:highlight w:val="none"/>
          <w:u w:val="single"/>
        </w:rPr>
        <w:t xml:space="preserve"> 广西北海市    </w:t>
      </w:r>
    </w:p>
    <w:p w14:paraId="361EBA63">
      <w:pPr>
        <w:rPr>
          <w:color w:val="auto"/>
          <w:highlight w:val="none"/>
        </w:rPr>
      </w:pPr>
    </w:p>
    <w:p w14:paraId="14713830">
      <w:pPr>
        <w:spacing w:line="360" w:lineRule="auto"/>
        <w:ind w:right="800"/>
        <w:rPr>
          <w:rFonts w:hint="eastAsia" w:ascii="宋体" w:hAnsi="宋体" w:cs="宋体"/>
          <w:color w:val="auto"/>
          <w:szCs w:val="21"/>
          <w:highlight w:val="none"/>
        </w:rPr>
      </w:pPr>
      <w:r>
        <w:rPr>
          <w:rFonts w:hint="eastAsia" w:ascii="宋体" w:hAnsi="宋体" w:cs="宋体"/>
          <w:color w:val="auto"/>
          <w:szCs w:val="21"/>
          <w:highlight w:val="none"/>
        </w:rPr>
        <w:br w:type="page"/>
      </w:r>
    </w:p>
    <w:p w14:paraId="4D5C6631">
      <w:pPr>
        <w:spacing w:line="360" w:lineRule="auto"/>
        <w:ind w:right="800"/>
        <w:rPr>
          <w:rFonts w:ascii="宋体" w:hAnsi="宋体" w:cs="宋体"/>
          <w:bCs/>
          <w:color w:val="auto"/>
          <w:szCs w:val="21"/>
          <w:highlight w:val="none"/>
          <w:u w:val="single"/>
        </w:rPr>
      </w:pPr>
      <w:r>
        <w:rPr>
          <w:rFonts w:hint="eastAsia" w:ascii="宋体" w:hAnsi="宋体" w:cs="宋体"/>
          <w:color w:val="auto"/>
          <w:szCs w:val="21"/>
          <w:highlight w:val="none"/>
        </w:rPr>
        <w:t>采购计划号：</w:t>
      </w:r>
      <w:r>
        <w:rPr>
          <w:rFonts w:hint="eastAsia" w:ascii="宋体" w:hAnsi="宋体" w:cs="宋体"/>
          <w:bCs/>
          <w:color w:val="auto"/>
          <w:szCs w:val="21"/>
          <w:highlight w:val="none"/>
        </w:rPr>
        <w:t>合同编号：</w:t>
      </w:r>
    </w:p>
    <w:p w14:paraId="02477DCD">
      <w:pPr>
        <w:spacing w:line="360" w:lineRule="auto"/>
        <w:rPr>
          <w:rFonts w:ascii="宋体" w:hAnsi="宋体" w:cs="宋体"/>
          <w:color w:val="auto"/>
          <w:szCs w:val="21"/>
          <w:highlight w:val="none"/>
          <w:u w:val="single"/>
        </w:rPr>
      </w:pPr>
      <w:r>
        <w:rPr>
          <w:rFonts w:hint="eastAsia" w:ascii="宋体" w:hAnsi="宋体" w:cs="宋体"/>
          <w:color w:val="auto"/>
          <w:szCs w:val="21"/>
          <w:highlight w:val="none"/>
        </w:rPr>
        <w:t>采购人（甲方）：   供应商（乙方）：</w:t>
      </w:r>
    </w:p>
    <w:p w14:paraId="5283B57B">
      <w:pPr>
        <w:spacing w:line="360" w:lineRule="auto"/>
        <w:rPr>
          <w:rFonts w:ascii="宋体" w:hAnsi="宋体" w:cs="宋体"/>
          <w:color w:val="auto"/>
          <w:szCs w:val="21"/>
          <w:highlight w:val="none"/>
          <w:u w:val="single"/>
        </w:rPr>
      </w:pPr>
      <w:r>
        <w:rPr>
          <w:rFonts w:hint="eastAsia" w:ascii="宋体" w:hAnsi="宋体" w:cs="宋体"/>
          <w:color w:val="auto"/>
          <w:szCs w:val="21"/>
          <w:highlight w:val="none"/>
        </w:rPr>
        <w:t>项目名称：项目编号：</w:t>
      </w:r>
    </w:p>
    <w:p w14:paraId="7C9D8268">
      <w:pPr>
        <w:spacing w:line="360" w:lineRule="auto"/>
        <w:rPr>
          <w:rFonts w:ascii="宋体" w:hAnsi="宋体" w:cs="宋体"/>
          <w:color w:val="auto"/>
          <w:szCs w:val="21"/>
          <w:highlight w:val="none"/>
          <w:u w:val="single"/>
        </w:rPr>
      </w:pPr>
      <w:r>
        <w:rPr>
          <w:rFonts w:hint="eastAsia" w:ascii="宋体" w:hAnsi="宋体" w:cs="宋体"/>
          <w:color w:val="auto"/>
          <w:szCs w:val="21"/>
          <w:highlight w:val="none"/>
        </w:rPr>
        <w:t>签订地点：   签订时间：</w:t>
      </w:r>
    </w:p>
    <w:p w14:paraId="446ACDF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根据《中华人民共和国政府采购法》《中华人民共和国民法典》等法律、法规规定，按照</w:t>
      </w:r>
      <w:r>
        <w:rPr>
          <w:rFonts w:hint="eastAsia" w:ascii="宋体" w:hAnsi="宋体"/>
          <w:color w:val="auto"/>
          <w:szCs w:val="21"/>
          <w:highlight w:val="none"/>
        </w:rPr>
        <w:t>磋商文件规定条款和乙方响应文件及其承诺，甲乙双方签订本合同。</w:t>
      </w:r>
    </w:p>
    <w:p w14:paraId="77A95E05">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第一条</w:t>
      </w:r>
      <w:r>
        <w:rPr>
          <w:rFonts w:hint="eastAsia" w:ascii="宋体" w:hAnsi="宋体" w:cs="宋体"/>
          <w:b/>
          <w:color w:val="auto"/>
          <w:szCs w:val="21"/>
          <w:highlight w:val="none"/>
          <w:lang w:val="en-US" w:eastAsia="zh-CN"/>
        </w:rPr>
        <w:t xml:space="preserve"> </w:t>
      </w:r>
      <w:r>
        <w:rPr>
          <w:rFonts w:hint="eastAsia" w:ascii="宋体" w:hAnsi="宋体" w:cs="宋体"/>
          <w:b/>
          <w:color w:val="auto"/>
          <w:szCs w:val="21"/>
          <w:highlight w:val="none"/>
        </w:rPr>
        <w:t>合同标的</w:t>
      </w:r>
    </w:p>
    <w:p w14:paraId="7A551B00">
      <w:pPr>
        <w:spacing w:line="360" w:lineRule="auto"/>
        <w:ind w:firstLine="420"/>
        <w:rPr>
          <w:color w:val="auto"/>
          <w:highlight w:val="none"/>
          <w:lang w:eastAsia="zh-CN"/>
        </w:rPr>
      </w:pPr>
      <w:r>
        <w:rPr>
          <w:rFonts w:ascii="宋体" w:hAnsi="宋体" w:eastAsia="宋体" w:cs="宋体"/>
          <w:color w:val="auto"/>
          <w:highlight w:val="none"/>
          <w:lang w:eastAsia="zh-CN"/>
        </w:rPr>
        <w:t>1</w:t>
      </w:r>
      <w:r>
        <w:rPr>
          <w:rFonts w:hint="eastAsia" w:ascii="宋体" w:hAnsi="宋体" w:cs="宋体"/>
          <w:color w:val="auto"/>
          <w:highlight w:val="none"/>
          <w:lang w:val="en-US" w:eastAsia="zh-CN"/>
        </w:rPr>
        <w:t>.</w:t>
      </w:r>
      <w:r>
        <w:rPr>
          <w:rFonts w:ascii="宋体" w:hAnsi="宋体" w:eastAsia="宋体" w:cs="宋体"/>
          <w:color w:val="auto"/>
          <w:highlight w:val="none"/>
          <w:lang w:eastAsia="zh-CN"/>
        </w:rPr>
        <w:t>项目一览表</w:t>
      </w:r>
    </w:p>
    <w:tbl>
      <w:tblPr>
        <w:tblStyle w:val="31"/>
        <w:tblW w:w="920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6"/>
        <w:gridCol w:w="1191"/>
        <w:gridCol w:w="2360"/>
        <w:gridCol w:w="1297"/>
        <w:gridCol w:w="1179"/>
        <w:gridCol w:w="1278"/>
        <w:gridCol w:w="1191"/>
      </w:tblGrid>
      <w:tr w14:paraId="3502E9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20" w:hRule="atLeast"/>
        </w:trPr>
        <w:tc>
          <w:tcPr>
            <w:tcW w:w="706" w:type="dxa"/>
            <w:tcBorders>
              <w:bottom w:val="single" w:color="000000" w:sz="4" w:space="0"/>
              <w:right w:val="single" w:color="000000" w:sz="4" w:space="0"/>
            </w:tcBorders>
            <w:tcMar>
              <w:top w:w="0" w:type="dxa"/>
              <w:left w:w="108" w:type="dxa"/>
              <w:bottom w:w="0" w:type="dxa"/>
              <w:right w:w="108" w:type="dxa"/>
            </w:tcMar>
            <w:vAlign w:val="center"/>
          </w:tcPr>
          <w:p w14:paraId="2B0E594A">
            <w:pPr>
              <w:spacing w:line="360" w:lineRule="auto"/>
              <w:jc w:val="center"/>
              <w:rPr>
                <w:color w:val="auto"/>
                <w:highlight w:val="none"/>
              </w:rPr>
            </w:pPr>
            <w:r>
              <w:rPr>
                <w:rFonts w:ascii="宋体" w:hAnsi="宋体" w:eastAsia="宋体" w:cs="宋体"/>
                <w:color w:val="auto"/>
                <w:highlight w:val="none"/>
              </w:rPr>
              <w:t>序号</w:t>
            </w:r>
          </w:p>
        </w:tc>
        <w:tc>
          <w:tcPr>
            <w:tcW w:w="1191" w:type="dxa"/>
            <w:tcBorders>
              <w:left w:val="single" w:color="000000" w:sz="4" w:space="0"/>
              <w:bottom w:val="single" w:color="000000" w:sz="4" w:space="0"/>
              <w:right w:val="single" w:color="000000" w:sz="4" w:space="0"/>
            </w:tcBorders>
            <w:tcMar>
              <w:top w:w="0" w:type="dxa"/>
              <w:left w:w="108" w:type="dxa"/>
              <w:bottom w:w="0" w:type="dxa"/>
              <w:right w:w="108" w:type="dxa"/>
            </w:tcMar>
            <w:vAlign w:val="center"/>
          </w:tcPr>
          <w:p w14:paraId="49FAEAEF">
            <w:pPr>
              <w:spacing w:line="360" w:lineRule="auto"/>
              <w:jc w:val="center"/>
              <w:rPr>
                <w:color w:val="auto"/>
                <w:highlight w:val="none"/>
              </w:rPr>
            </w:pPr>
            <w:r>
              <w:rPr>
                <w:rFonts w:ascii="宋体" w:hAnsi="宋体" w:eastAsia="宋体" w:cs="宋体"/>
                <w:color w:val="auto"/>
                <w:highlight w:val="none"/>
              </w:rPr>
              <w:t>名称</w:t>
            </w:r>
          </w:p>
        </w:tc>
        <w:tc>
          <w:tcPr>
            <w:tcW w:w="2360" w:type="dxa"/>
            <w:tcBorders>
              <w:left w:val="single" w:color="000000" w:sz="4" w:space="0"/>
              <w:bottom w:val="single" w:color="000000" w:sz="4" w:space="0"/>
              <w:right w:val="single" w:color="000000" w:sz="4" w:space="0"/>
            </w:tcBorders>
            <w:tcMar>
              <w:top w:w="0" w:type="dxa"/>
              <w:left w:w="108" w:type="dxa"/>
              <w:bottom w:w="0" w:type="dxa"/>
              <w:right w:w="108" w:type="dxa"/>
            </w:tcMar>
            <w:vAlign w:val="center"/>
          </w:tcPr>
          <w:p w14:paraId="67C4F9D8">
            <w:pPr>
              <w:spacing w:line="360" w:lineRule="auto"/>
              <w:jc w:val="center"/>
              <w:rPr>
                <w:color w:val="auto"/>
                <w:highlight w:val="none"/>
              </w:rPr>
            </w:pPr>
            <w:r>
              <w:rPr>
                <w:rFonts w:ascii="宋体" w:hAnsi="宋体" w:eastAsia="宋体" w:cs="宋体"/>
                <w:color w:val="auto"/>
                <w:highlight w:val="none"/>
              </w:rPr>
              <w:t>服务内容</w:t>
            </w:r>
          </w:p>
        </w:tc>
        <w:tc>
          <w:tcPr>
            <w:tcW w:w="1297" w:type="dxa"/>
            <w:tcBorders>
              <w:left w:val="single" w:color="000000" w:sz="4" w:space="0"/>
              <w:bottom w:val="single" w:color="000000" w:sz="4" w:space="0"/>
              <w:right w:val="single" w:color="000000" w:sz="4" w:space="0"/>
            </w:tcBorders>
            <w:tcMar>
              <w:top w:w="0" w:type="dxa"/>
              <w:left w:w="108" w:type="dxa"/>
              <w:bottom w:w="0" w:type="dxa"/>
              <w:right w:w="108" w:type="dxa"/>
            </w:tcMar>
            <w:vAlign w:val="center"/>
          </w:tcPr>
          <w:p w14:paraId="3CDA37E3">
            <w:pPr>
              <w:spacing w:line="360" w:lineRule="auto"/>
              <w:jc w:val="center"/>
              <w:rPr>
                <w:color w:val="auto"/>
                <w:highlight w:val="none"/>
              </w:rPr>
            </w:pPr>
            <w:r>
              <w:rPr>
                <w:rFonts w:ascii="宋体" w:hAnsi="宋体" w:eastAsia="宋体" w:cs="宋体"/>
                <w:color w:val="auto"/>
                <w:highlight w:val="none"/>
              </w:rPr>
              <w:t>数  量</w:t>
            </w:r>
          </w:p>
        </w:tc>
        <w:tc>
          <w:tcPr>
            <w:tcW w:w="1179" w:type="dxa"/>
            <w:tcBorders>
              <w:left w:val="single" w:color="000000" w:sz="4" w:space="0"/>
              <w:bottom w:val="single" w:color="000000" w:sz="4" w:space="0"/>
              <w:right w:val="single" w:color="000000" w:sz="4" w:space="0"/>
            </w:tcBorders>
            <w:tcMar>
              <w:top w:w="0" w:type="dxa"/>
              <w:left w:w="108" w:type="dxa"/>
              <w:bottom w:w="0" w:type="dxa"/>
              <w:right w:w="108" w:type="dxa"/>
            </w:tcMar>
            <w:vAlign w:val="center"/>
          </w:tcPr>
          <w:p w14:paraId="18BD826B">
            <w:pPr>
              <w:spacing w:line="360" w:lineRule="auto"/>
              <w:jc w:val="center"/>
              <w:rPr>
                <w:color w:val="auto"/>
                <w:highlight w:val="none"/>
              </w:rPr>
            </w:pPr>
            <w:r>
              <w:rPr>
                <w:rFonts w:ascii="宋体" w:hAnsi="宋体" w:eastAsia="宋体" w:cs="宋体"/>
                <w:color w:val="auto"/>
                <w:highlight w:val="none"/>
              </w:rPr>
              <w:t>单位</w:t>
            </w:r>
          </w:p>
        </w:tc>
        <w:tc>
          <w:tcPr>
            <w:tcW w:w="1278" w:type="dxa"/>
            <w:tcBorders>
              <w:left w:val="single" w:color="000000" w:sz="4" w:space="0"/>
              <w:bottom w:val="single" w:color="000000" w:sz="4" w:space="0"/>
              <w:right w:val="single" w:color="000000" w:sz="4" w:space="0"/>
            </w:tcBorders>
            <w:tcMar>
              <w:top w:w="0" w:type="dxa"/>
              <w:left w:w="108" w:type="dxa"/>
              <w:bottom w:w="0" w:type="dxa"/>
              <w:right w:w="108" w:type="dxa"/>
            </w:tcMar>
            <w:vAlign w:val="center"/>
          </w:tcPr>
          <w:p w14:paraId="1AAC2A74">
            <w:pPr>
              <w:spacing w:line="360" w:lineRule="auto"/>
              <w:jc w:val="center"/>
              <w:rPr>
                <w:color w:val="auto"/>
                <w:highlight w:val="none"/>
              </w:rPr>
            </w:pPr>
            <w:r>
              <w:rPr>
                <w:rFonts w:ascii="宋体" w:hAnsi="宋体" w:eastAsia="宋体" w:cs="宋体"/>
                <w:color w:val="auto"/>
                <w:highlight w:val="none"/>
              </w:rPr>
              <w:t>单  价</w:t>
            </w:r>
          </w:p>
          <w:p w14:paraId="38E3BAF2">
            <w:pPr>
              <w:spacing w:line="360" w:lineRule="auto"/>
              <w:jc w:val="center"/>
              <w:rPr>
                <w:color w:val="auto"/>
                <w:highlight w:val="none"/>
              </w:rPr>
            </w:pPr>
            <w:r>
              <w:rPr>
                <w:rFonts w:ascii="宋体" w:hAnsi="宋体" w:eastAsia="宋体" w:cs="宋体"/>
                <w:color w:val="auto"/>
                <w:highlight w:val="none"/>
              </w:rPr>
              <w:t>（元）</w:t>
            </w:r>
          </w:p>
        </w:tc>
        <w:tc>
          <w:tcPr>
            <w:tcW w:w="1191" w:type="dxa"/>
            <w:tcBorders>
              <w:left w:val="single" w:color="000000" w:sz="4" w:space="0"/>
              <w:bottom w:val="single" w:color="000000" w:sz="4" w:space="0"/>
            </w:tcBorders>
            <w:tcMar>
              <w:top w:w="0" w:type="dxa"/>
              <w:left w:w="108" w:type="dxa"/>
              <w:bottom w:w="0" w:type="dxa"/>
              <w:right w:w="108" w:type="dxa"/>
            </w:tcMar>
            <w:vAlign w:val="center"/>
          </w:tcPr>
          <w:p w14:paraId="3831B852">
            <w:pPr>
              <w:spacing w:line="360" w:lineRule="auto"/>
              <w:jc w:val="center"/>
              <w:rPr>
                <w:color w:val="auto"/>
                <w:highlight w:val="none"/>
              </w:rPr>
            </w:pPr>
            <w:r>
              <w:rPr>
                <w:rFonts w:ascii="宋体" w:hAnsi="宋体" w:eastAsia="宋体" w:cs="宋体"/>
                <w:color w:val="auto"/>
                <w:highlight w:val="none"/>
              </w:rPr>
              <w:t>总 价</w:t>
            </w:r>
          </w:p>
          <w:p w14:paraId="42DBCEA7">
            <w:pPr>
              <w:spacing w:line="360" w:lineRule="auto"/>
              <w:jc w:val="center"/>
              <w:rPr>
                <w:color w:val="auto"/>
                <w:highlight w:val="none"/>
              </w:rPr>
            </w:pPr>
            <w:r>
              <w:rPr>
                <w:rFonts w:ascii="宋体" w:hAnsi="宋体" w:eastAsia="宋体" w:cs="宋体"/>
                <w:color w:val="auto"/>
                <w:highlight w:val="none"/>
              </w:rPr>
              <w:t>（元）</w:t>
            </w:r>
          </w:p>
        </w:tc>
      </w:tr>
      <w:tr w14:paraId="22243F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20" w:hRule="atLeast"/>
        </w:trPr>
        <w:tc>
          <w:tcPr>
            <w:tcW w:w="706"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46474B38">
            <w:pPr>
              <w:spacing w:line="360" w:lineRule="auto"/>
              <w:jc w:val="center"/>
              <w:rPr>
                <w:rFonts w:hint="eastAsia" w:ascii="宋体" w:hAnsi="宋体" w:eastAsia="宋体" w:cs="宋体"/>
                <w:color w:val="auto"/>
                <w:highlight w:val="none"/>
              </w:rPr>
            </w:pPr>
          </w:p>
        </w:tc>
        <w:tc>
          <w:tcPr>
            <w:tcW w:w="119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1968BC9">
            <w:pPr>
              <w:spacing w:line="360" w:lineRule="auto"/>
              <w:jc w:val="center"/>
              <w:rPr>
                <w:rFonts w:hint="eastAsia" w:ascii="宋体" w:hAnsi="宋体" w:eastAsia="宋体" w:cs="宋体"/>
                <w:color w:val="auto"/>
                <w:highlight w:val="none"/>
              </w:rPr>
            </w:pPr>
          </w:p>
        </w:tc>
        <w:tc>
          <w:tcPr>
            <w:tcW w:w="23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A60E2B0">
            <w:pPr>
              <w:spacing w:line="360" w:lineRule="auto"/>
              <w:jc w:val="center"/>
              <w:rPr>
                <w:rFonts w:hint="eastAsia" w:ascii="宋体" w:hAnsi="宋体" w:eastAsia="宋体" w:cs="宋体"/>
                <w:color w:val="auto"/>
                <w:highlight w:val="none"/>
              </w:rPr>
            </w:pPr>
          </w:p>
        </w:tc>
        <w:tc>
          <w:tcPr>
            <w:tcW w:w="129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C0545A5">
            <w:pPr>
              <w:spacing w:line="360" w:lineRule="auto"/>
              <w:jc w:val="center"/>
              <w:rPr>
                <w:rFonts w:hint="eastAsia" w:ascii="宋体" w:hAnsi="宋体" w:eastAsia="宋体" w:cs="宋体"/>
                <w:color w:val="auto"/>
                <w:highlight w:val="none"/>
              </w:rPr>
            </w:pPr>
          </w:p>
        </w:tc>
        <w:tc>
          <w:tcPr>
            <w:tcW w:w="11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09FB9C1">
            <w:pPr>
              <w:spacing w:line="360" w:lineRule="auto"/>
              <w:jc w:val="center"/>
              <w:rPr>
                <w:rFonts w:hint="eastAsia" w:ascii="宋体" w:hAnsi="宋体" w:eastAsia="宋体" w:cs="宋体"/>
                <w:color w:val="auto"/>
                <w:highlight w:val="none"/>
              </w:rPr>
            </w:pPr>
          </w:p>
        </w:tc>
        <w:tc>
          <w:tcPr>
            <w:tcW w:w="12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606AF85">
            <w:pPr>
              <w:spacing w:line="360" w:lineRule="auto"/>
              <w:jc w:val="center"/>
              <w:rPr>
                <w:rFonts w:hint="eastAsia" w:ascii="宋体" w:hAnsi="宋体" w:eastAsia="宋体" w:cs="宋体"/>
                <w:color w:val="auto"/>
                <w:highlight w:val="none"/>
              </w:rPr>
            </w:pPr>
          </w:p>
        </w:tc>
        <w:tc>
          <w:tcPr>
            <w:tcW w:w="1191"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1F061CE6">
            <w:pPr>
              <w:spacing w:line="360" w:lineRule="auto"/>
              <w:jc w:val="center"/>
              <w:rPr>
                <w:rFonts w:hint="eastAsia" w:ascii="宋体" w:hAnsi="宋体" w:eastAsia="宋体" w:cs="宋体"/>
                <w:color w:val="auto"/>
                <w:highlight w:val="none"/>
              </w:rPr>
            </w:pPr>
          </w:p>
        </w:tc>
      </w:tr>
      <w:tr w14:paraId="32B9B2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65" w:hRule="atLeast"/>
        </w:trPr>
        <w:tc>
          <w:tcPr>
            <w:tcW w:w="9202" w:type="dxa"/>
            <w:gridSpan w:val="7"/>
            <w:tcBorders>
              <w:top w:val="single" w:color="000000" w:sz="4" w:space="0"/>
              <w:bottom w:val="single" w:color="000000" w:sz="4" w:space="0"/>
            </w:tcBorders>
            <w:tcMar>
              <w:top w:w="0" w:type="dxa"/>
              <w:left w:w="108" w:type="dxa"/>
              <w:bottom w:w="0" w:type="dxa"/>
              <w:right w:w="108" w:type="dxa"/>
            </w:tcMar>
            <w:vAlign w:val="center"/>
          </w:tcPr>
          <w:p w14:paraId="48DDF7D3">
            <w:pPr>
              <w:spacing w:line="360" w:lineRule="auto"/>
              <w:jc w:val="center"/>
              <w:rPr>
                <w:color w:val="auto"/>
                <w:highlight w:val="none"/>
              </w:rPr>
            </w:pPr>
            <w:r>
              <w:rPr>
                <w:rStyle w:val="116"/>
                <w:rFonts w:ascii="宋体" w:hAnsi="宋体" w:eastAsia="宋体" w:cs="宋体"/>
                <w:color w:val="auto"/>
                <w:highlight w:val="none"/>
              </w:rPr>
              <w:t>详见报价表</w:t>
            </w:r>
          </w:p>
        </w:tc>
      </w:tr>
      <w:tr w14:paraId="2D6A64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65" w:hRule="atLeast"/>
        </w:trPr>
        <w:tc>
          <w:tcPr>
            <w:tcW w:w="9202" w:type="dxa"/>
            <w:gridSpan w:val="7"/>
            <w:tcBorders>
              <w:top w:val="single" w:color="000000" w:sz="4" w:space="0"/>
            </w:tcBorders>
            <w:tcMar>
              <w:top w:w="0" w:type="dxa"/>
              <w:left w:w="108" w:type="dxa"/>
              <w:bottom w:w="0" w:type="dxa"/>
              <w:right w:w="108" w:type="dxa"/>
            </w:tcMar>
            <w:vAlign w:val="center"/>
          </w:tcPr>
          <w:p w14:paraId="7264974D">
            <w:pPr>
              <w:spacing w:line="360" w:lineRule="auto"/>
              <w:rPr>
                <w:color w:val="auto"/>
                <w:highlight w:val="none"/>
                <w:lang w:eastAsia="zh-CN"/>
              </w:rPr>
            </w:pPr>
            <w:r>
              <w:rPr>
                <w:rStyle w:val="117"/>
                <w:rFonts w:ascii="宋体" w:hAnsi="宋体" w:eastAsia="宋体" w:cs="宋体"/>
                <w:color w:val="auto"/>
                <w:highlight w:val="none"/>
                <w:lang w:eastAsia="zh-CN"/>
              </w:rPr>
              <w:t>人民币合计金额（大写）：元整（¥）</w:t>
            </w:r>
            <w:r>
              <w:rPr>
                <w:rFonts w:ascii="宋体" w:hAnsi="宋体" w:eastAsia="宋体" w:cs="宋体"/>
                <w:color w:val="auto"/>
                <w:highlight w:val="none"/>
                <w:lang w:eastAsia="zh-CN"/>
              </w:rPr>
              <w:t>              </w:t>
            </w:r>
          </w:p>
        </w:tc>
      </w:tr>
    </w:tbl>
    <w:p w14:paraId="7BF62B33">
      <w:pPr>
        <w:spacing w:line="360" w:lineRule="auto"/>
        <w:ind w:firstLine="420"/>
        <w:rPr>
          <w:color w:val="auto"/>
          <w:highlight w:val="none"/>
          <w:lang w:eastAsia="zh-CN"/>
        </w:rPr>
      </w:pPr>
      <w:r>
        <w:rPr>
          <w:rFonts w:ascii="宋体" w:hAnsi="宋体" w:eastAsia="宋体" w:cs="宋体"/>
          <w:color w:val="auto"/>
          <w:highlight w:val="none"/>
          <w:lang w:eastAsia="zh-CN"/>
        </w:rPr>
        <w:t>2</w:t>
      </w:r>
      <w:r>
        <w:rPr>
          <w:rFonts w:hint="eastAsia" w:ascii="宋体" w:hAnsi="宋体" w:cs="宋体"/>
          <w:color w:val="auto"/>
          <w:highlight w:val="none"/>
          <w:lang w:val="en-US" w:eastAsia="zh-CN"/>
        </w:rPr>
        <w:t>.</w:t>
      </w:r>
      <w:r>
        <w:rPr>
          <w:rFonts w:ascii="宋体" w:hAnsi="宋体" w:eastAsia="宋体" w:cs="宋体"/>
          <w:color w:val="auto"/>
          <w:highlight w:val="none"/>
          <w:lang w:eastAsia="zh-CN"/>
        </w:rPr>
        <w:t>合同合计金额包括但不限于满足本次竞标全部采购需求所应提供的服务，以及伴随的货物和工程（如有）的价格；包含竞标服务、货物、工程的成本、运输（含保险）、安装（如有）、调试、检验、技术服务、培训、税费等所有费用。如磋商文件对服务范围、质量标准另有更高要求的，从其规定；本合同总价已包含全部服务及伴随货物、工程的所有费用，乙方不得就本次服务向甲方主张任何额外费用。</w:t>
      </w:r>
    </w:p>
    <w:p w14:paraId="087DFABE">
      <w:pPr>
        <w:spacing w:line="360" w:lineRule="auto"/>
        <w:ind w:firstLine="420"/>
        <w:rPr>
          <w:color w:val="auto"/>
          <w:highlight w:val="none"/>
          <w:lang w:eastAsia="zh-CN"/>
        </w:rPr>
      </w:pPr>
      <w:r>
        <w:rPr>
          <w:rFonts w:ascii="宋体" w:hAnsi="宋体" w:eastAsia="宋体" w:cs="宋体"/>
          <w:b/>
          <w:bCs/>
          <w:color w:val="auto"/>
          <w:highlight w:val="none"/>
          <w:lang w:eastAsia="zh-CN"/>
        </w:rPr>
        <w:t>第二条</w:t>
      </w:r>
      <w:r>
        <w:rPr>
          <w:rFonts w:hint="eastAsia" w:ascii="宋体" w:hAnsi="宋体" w:cs="宋体"/>
          <w:b/>
          <w:bCs/>
          <w:color w:val="auto"/>
          <w:highlight w:val="none"/>
          <w:lang w:val="en-US" w:eastAsia="zh-CN"/>
        </w:rPr>
        <w:t xml:space="preserve"> </w:t>
      </w:r>
      <w:r>
        <w:rPr>
          <w:rFonts w:ascii="宋体" w:hAnsi="宋体" w:eastAsia="宋体" w:cs="宋体"/>
          <w:b/>
          <w:bCs/>
          <w:color w:val="auto"/>
          <w:highlight w:val="none"/>
          <w:lang w:eastAsia="zh-CN"/>
        </w:rPr>
        <w:t>质量保证</w:t>
      </w:r>
    </w:p>
    <w:p w14:paraId="6BC974C6">
      <w:pPr>
        <w:spacing w:line="360" w:lineRule="auto"/>
        <w:ind w:firstLine="420"/>
        <w:rPr>
          <w:color w:val="auto"/>
          <w:highlight w:val="none"/>
          <w:lang w:eastAsia="zh-CN"/>
        </w:rPr>
      </w:pPr>
      <w:r>
        <w:rPr>
          <w:rFonts w:ascii="宋体" w:hAnsi="宋体" w:eastAsia="宋体" w:cs="宋体"/>
          <w:color w:val="auto"/>
          <w:highlight w:val="none"/>
          <w:lang w:eastAsia="zh-CN"/>
        </w:rPr>
        <w:t>乙方所提供的服务及服务内容必须与响应文件承诺相一致，有国家强制性标准的，还必须符合国家强制性标准的规定，没有国家强制性标准但有其他强制性标准的，必须符合其他强制性标准的规定。</w:t>
      </w:r>
    </w:p>
    <w:p w14:paraId="5133ADA7">
      <w:pPr>
        <w:spacing w:line="360" w:lineRule="auto"/>
        <w:ind w:firstLine="420"/>
        <w:rPr>
          <w:color w:val="auto"/>
          <w:highlight w:val="none"/>
          <w:lang w:eastAsia="zh-CN"/>
        </w:rPr>
      </w:pPr>
      <w:r>
        <w:rPr>
          <w:rFonts w:ascii="宋体" w:hAnsi="宋体" w:eastAsia="宋体" w:cs="宋体"/>
          <w:b/>
          <w:bCs/>
          <w:color w:val="auto"/>
          <w:highlight w:val="none"/>
          <w:lang w:eastAsia="zh-CN"/>
        </w:rPr>
        <w:t>第三条</w:t>
      </w:r>
      <w:r>
        <w:rPr>
          <w:rFonts w:hint="eastAsia" w:ascii="宋体" w:hAnsi="宋体" w:cs="宋体"/>
          <w:b/>
          <w:bCs/>
          <w:color w:val="auto"/>
          <w:highlight w:val="none"/>
          <w:lang w:val="en-US" w:eastAsia="zh-CN"/>
        </w:rPr>
        <w:t xml:space="preserve"> </w:t>
      </w:r>
      <w:r>
        <w:rPr>
          <w:rFonts w:ascii="宋体" w:hAnsi="宋体" w:eastAsia="宋体" w:cs="宋体"/>
          <w:b/>
          <w:bCs/>
          <w:color w:val="auto"/>
          <w:highlight w:val="none"/>
          <w:lang w:eastAsia="zh-CN"/>
        </w:rPr>
        <w:t>权利保证</w:t>
      </w:r>
    </w:p>
    <w:p w14:paraId="2807118A">
      <w:pPr>
        <w:spacing w:line="360" w:lineRule="auto"/>
        <w:ind w:firstLine="420"/>
        <w:rPr>
          <w:color w:val="auto"/>
          <w:highlight w:val="none"/>
          <w:lang w:eastAsia="zh-CN"/>
        </w:rPr>
      </w:pPr>
      <w:r>
        <w:rPr>
          <w:rFonts w:ascii="宋体" w:hAnsi="宋体" w:eastAsia="宋体" w:cs="宋体"/>
          <w:color w:val="auto"/>
          <w:highlight w:val="none"/>
          <w:lang w:eastAsia="zh-CN"/>
        </w:rPr>
        <w:t>1</w:t>
      </w:r>
      <w:r>
        <w:rPr>
          <w:rFonts w:hint="eastAsia" w:ascii="宋体" w:hAnsi="宋体" w:cs="宋体"/>
          <w:color w:val="auto"/>
          <w:highlight w:val="none"/>
          <w:lang w:val="en-US" w:eastAsia="zh-CN"/>
        </w:rPr>
        <w:t>.</w:t>
      </w:r>
      <w:r>
        <w:rPr>
          <w:rFonts w:ascii="宋体" w:hAnsi="宋体" w:eastAsia="宋体" w:cs="宋体"/>
          <w:color w:val="auto"/>
          <w:highlight w:val="none"/>
          <w:lang w:eastAsia="zh-CN"/>
        </w:rPr>
        <w:t>乙方应保证所提供服务在使用时不会侵犯任何第三方的专利权、商标权、工业设计权等知识产权及其他合法权利，且所有权、处分权等没有受到任何限制。</w:t>
      </w:r>
    </w:p>
    <w:p w14:paraId="1ED04FC4">
      <w:pPr>
        <w:spacing w:line="360" w:lineRule="auto"/>
        <w:ind w:firstLine="420"/>
        <w:rPr>
          <w:color w:val="auto"/>
          <w:highlight w:val="none"/>
          <w:lang w:eastAsia="zh-CN"/>
        </w:rPr>
      </w:pPr>
      <w:r>
        <w:rPr>
          <w:rStyle w:val="119"/>
          <w:rFonts w:ascii="宋体" w:hAnsi="宋体" w:eastAsia="宋体" w:cs="宋体"/>
          <w:color w:val="auto"/>
          <w:highlight w:val="none"/>
          <w:lang w:eastAsia="zh-CN"/>
        </w:rPr>
        <w:t>2</w:t>
      </w:r>
      <w:r>
        <w:rPr>
          <w:rStyle w:val="119"/>
          <w:rFonts w:hint="eastAsia" w:ascii="宋体" w:hAnsi="宋体" w:cs="宋体"/>
          <w:color w:val="auto"/>
          <w:highlight w:val="none"/>
          <w:lang w:val="en-US" w:eastAsia="zh-CN"/>
        </w:rPr>
        <w:t>.</w:t>
      </w:r>
      <w:r>
        <w:rPr>
          <w:rStyle w:val="119"/>
          <w:rFonts w:ascii="宋体" w:hAnsi="宋体" w:eastAsia="宋体" w:cs="宋体"/>
          <w:color w:val="auto"/>
          <w:highlight w:val="none"/>
          <w:lang w:eastAsia="zh-CN"/>
        </w:rPr>
        <w:t>未经甲方事先书面同意，乙方不得向任何与履行本合同无关的第三方披露、提供或允许其接触甲方提供的或因履行本合同而知悉的任何非公开信息，包括但不限于合同条款、规格、计划、图纸、样品、资料、项目信息、用户信息、交易数据、商业秘密等。乙方仅得在为履行本合同之必要范围内向参与履行本合同的人员披露前述信息，并应确保该等人员承担不低于本条约定的保密义务。乙方对前述非公开信息仅可用于</w:t>
      </w:r>
      <w:r>
        <w:rPr>
          <w:rStyle w:val="120"/>
          <w:rFonts w:ascii="宋体" w:hAnsi="宋体" w:eastAsia="宋体" w:cs="宋体"/>
          <w:color w:val="auto"/>
          <w:highlight w:val="none"/>
          <w:lang w:eastAsia="zh-CN"/>
        </w:rPr>
        <w:t>履行</w:t>
      </w:r>
      <w:r>
        <w:rPr>
          <w:rStyle w:val="119"/>
          <w:rFonts w:ascii="宋体" w:hAnsi="宋体" w:eastAsia="宋体" w:cs="宋体"/>
          <w:color w:val="auto"/>
          <w:highlight w:val="none"/>
          <w:lang w:eastAsia="zh-CN"/>
        </w:rPr>
        <w:t>本</w:t>
      </w:r>
      <w:r>
        <w:rPr>
          <w:rStyle w:val="120"/>
          <w:rFonts w:ascii="宋体" w:hAnsi="宋体" w:eastAsia="宋体" w:cs="宋体"/>
          <w:color w:val="auto"/>
          <w:highlight w:val="none"/>
          <w:lang w:eastAsia="zh-CN"/>
        </w:rPr>
        <w:t>合同之必要</w:t>
      </w:r>
      <w:r>
        <w:rPr>
          <w:rStyle w:val="119"/>
          <w:rFonts w:ascii="宋体" w:hAnsi="宋体" w:eastAsia="宋体" w:cs="宋体"/>
          <w:color w:val="auto"/>
          <w:highlight w:val="none"/>
          <w:lang w:eastAsia="zh-CN"/>
        </w:rPr>
        <w:t>目的，不得用于任何其他用途。乙方的保密义务不因</w:t>
      </w:r>
      <w:r>
        <w:rPr>
          <w:rStyle w:val="119"/>
          <w:rFonts w:ascii="宋体" w:hAnsi="宋体" w:eastAsia="宋体" w:cs="宋体"/>
          <w:strike/>
          <w:color w:val="auto"/>
          <w:highlight w:val="none"/>
          <w:lang w:eastAsia="zh-CN"/>
        </w:rPr>
        <w:t>为</w:t>
      </w:r>
      <w:r>
        <w:rPr>
          <w:rStyle w:val="119"/>
          <w:rFonts w:ascii="宋体" w:hAnsi="宋体" w:eastAsia="宋体" w:cs="宋体"/>
          <w:color w:val="auto"/>
          <w:highlight w:val="none"/>
          <w:lang w:eastAsia="zh-CN"/>
        </w:rPr>
        <w:t>本合同履行终止、解除或者无效而解除，并自乙方知悉前述非公开信息之日起持续有效</w:t>
      </w:r>
      <w:r>
        <w:rPr>
          <w:rStyle w:val="120"/>
          <w:rFonts w:ascii="宋体" w:hAnsi="宋体" w:eastAsia="宋体" w:cs="宋体"/>
          <w:color w:val="auto"/>
          <w:highlight w:val="none"/>
          <w:lang w:eastAsia="zh-CN"/>
        </w:rPr>
        <w:t>至相关信息依法公开之日止</w:t>
      </w:r>
      <w:r>
        <w:rPr>
          <w:rStyle w:val="119"/>
          <w:rFonts w:ascii="宋体" w:hAnsi="宋体" w:eastAsia="宋体" w:cs="宋体"/>
          <w:color w:val="auto"/>
          <w:highlight w:val="none"/>
          <w:lang w:eastAsia="zh-CN"/>
        </w:rPr>
        <w:t>。</w:t>
      </w:r>
    </w:p>
    <w:p w14:paraId="6F8A3FA9">
      <w:pPr>
        <w:spacing w:line="360" w:lineRule="auto"/>
        <w:ind w:firstLine="420"/>
        <w:rPr>
          <w:color w:val="auto"/>
          <w:highlight w:val="none"/>
          <w:lang w:eastAsia="zh-CN"/>
        </w:rPr>
      </w:pPr>
      <w:r>
        <w:rPr>
          <w:rStyle w:val="121"/>
          <w:rFonts w:ascii="宋体" w:hAnsi="宋体" w:eastAsia="宋体" w:cs="宋体"/>
          <w:color w:val="auto"/>
          <w:highlight w:val="none"/>
          <w:lang w:eastAsia="zh-CN"/>
        </w:rPr>
        <w:t>乙方基于本次合作形成的全部服务成果、项目报告、衍生数据、研究成果等相关权益</w:t>
      </w:r>
      <w:r>
        <w:rPr>
          <w:rStyle w:val="122"/>
          <w:rFonts w:ascii="宋体" w:hAnsi="宋体" w:eastAsia="宋体" w:cs="宋体"/>
          <w:color w:val="auto"/>
          <w:highlight w:val="none"/>
          <w:lang w:eastAsia="zh-CN"/>
        </w:rPr>
        <w:t>（包括但不限于知识产权、所有权、使用权、处分权等全部完整权益）</w:t>
      </w:r>
      <w:r>
        <w:rPr>
          <w:rStyle w:val="121"/>
          <w:rFonts w:ascii="宋体" w:hAnsi="宋体" w:eastAsia="宋体" w:cs="宋体"/>
          <w:color w:val="auto"/>
          <w:highlight w:val="none"/>
          <w:lang w:eastAsia="zh-CN"/>
        </w:rPr>
        <w:t>均归甲方独家所有，乙方仅享有为履行本合同所必需的使用权，不得擅自使用、复制、许可第三方使用或对外披露。</w:t>
      </w:r>
    </w:p>
    <w:p w14:paraId="061CF01F">
      <w:pPr>
        <w:spacing w:line="360" w:lineRule="auto"/>
        <w:ind w:firstLine="420"/>
        <w:rPr>
          <w:color w:val="auto"/>
          <w:highlight w:val="none"/>
          <w:lang w:eastAsia="zh-CN"/>
        </w:rPr>
      </w:pPr>
      <w:r>
        <w:rPr>
          <w:rFonts w:ascii="宋体" w:hAnsi="宋体" w:eastAsia="宋体" w:cs="宋体"/>
          <w:b/>
          <w:bCs/>
          <w:color w:val="auto"/>
          <w:highlight w:val="none"/>
          <w:lang w:eastAsia="zh-CN"/>
        </w:rPr>
        <w:t>第四条</w:t>
      </w:r>
      <w:r>
        <w:rPr>
          <w:rFonts w:hint="eastAsia" w:ascii="宋体" w:hAnsi="宋体" w:cs="宋体"/>
          <w:b/>
          <w:bCs/>
          <w:color w:val="auto"/>
          <w:highlight w:val="none"/>
          <w:lang w:val="en-US" w:eastAsia="zh-CN"/>
        </w:rPr>
        <w:t xml:space="preserve"> </w:t>
      </w:r>
      <w:r>
        <w:rPr>
          <w:rFonts w:ascii="宋体" w:hAnsi="宋体" w:eastAsia="宋体" w:cs="宋体"/>
          <w:b/>
          <w:bCs/>
          <w:color w:val="auto"/>
          <w:highlight w:val="none"/>
          <w:lang w:eastAsia="zh-CN"/>
        </w:rPr>
        <w:t>交付和验收</w:t>
      </w:r>
    </w:p>
    <w:p w14:paraId="165C6E2A">
      <w:pPr>
        <w:spacing w:line="360" w:lineRule="auto"/>
        <w:ind w:firstLine="420"/>
        <w:rPr>
          <w:color w:val="auto"/>
          <w:highlight w:val="none"/>
          <w:lang w:eastAsia="zh-CN"/>
        </w:rPr>
      </w:pPr>
      <w:r>
        <w:rPr>
          <w:rFonts w:ascii="宋体" w:hAnsi="宋体" w:eastAsia="宋体" w:cs="宋体"/>
          <w:color w:val="auto"/>
          <w:highlight w:val="none"/>
          <w:lang w:eastAsia="zh-CN"/>
        </w:rPr>
        <w:t>1</w:t>
      </w:r>
      <w:r>
        <w:rPr>
          <w:rFonts w:hint="eastAsia" w:ascii="宋体" w:hAnsi="宋体" w:cs="宋体"/>
          <w:color w:val="auto"/>
          <w:highlight w:val="none"/>
          <w:lang w:val="en-US" w:eastAsia="zh-CN"/>
        </w:rPr>
        <w:t>.</w:t>
      </w:r>
      <w:r>
        <w:rPr>
          <w:rFonts w:ascii="宋体" w:hAnsi="宋体" w:eastAsia="宋体" w:cs="宋体"/>
          <w:color w:val="auto"/>
          <w:highlight w:val="none"/>
          <w:lang w:eastAsia="zh-CN"/>
        </w:rPr>
        <w:t>服务期限：自合同签订之日起60个工作日内完成建设并通过验收。服务地点：甲方指定地点。</w:t>
      </w:r>
    </w:p>
    <w:p w14:paraId="633150C2">
      <w:pPr>
        <w:spacing w:line="360" w:lineRule="auto"/>
        <w:ind w:firstLine="420"/>
        <w:rPr>
          <w:color w:val="auto"/>
          <w:highlight w:val="none"/>
          <w:lang w:eastAsia="zh-CN"/>
        </w:rPr>
      </w:pPr>
      <w:r>
        <w:rPr>
          <w:rStyle w:val="123"/>
          <w:rFonts w:ascii="宋体" w:hAnsi="宋体" w:eastAsia="宋体" w:cs="宋体"/>
          <w:color w:val="auto"/>
          <w:highlight w:val="none"/>
          <w:lang w:eastAsia="zh-CN"/>
        </w:rPr>
        <w:t>2</w:t>
      </w:r>
      <w:r>
        <w:rPr>
          <w:rStyle w:val="123"/>
          <w:rFonts w:hint="eastAsia" w:ascii="宋体" w:hAnsi="宋体" w:cs="宋体"/>
          <w:color w:val="auto"/>
          <w:highlight w:val="none"/>
          <w:lang w:val="en-US" w:eastAsia="zh-CN"/>
        </w:rPr>
        <w:t>.</w:t>
      </w:r>
      <w:r>
        <w:rPr>
          <w:rStyle w:val="123"/>
          <w:rFonts w:ascii="宋体" w:hAnsi="宋体" w:eastAsia="宋体" w:cs="宋体"/>
          <w:color w:val="auto"/>
          <w:highlight w:val="none"/>
          <w:lang w:eastAsia="zh-CN"/>
        </w:rPr>
        <w:t>乙方应按响应文件的承诺</w:t>
      </w:r>
      <w:r>
        <w:rPr>
          <w:rStyle w:val="124"/>
          <w:rFonts w:ascii="宋体" w:hAnsi="宋体" w:eastAsia="宋体" w:cs="宋体"/>
          <w:color w:val="auto"/>
          <w:highlight w:val="none"/>
          <w:lang w:eastAsia="zh-CN"/>
        </w:rPr>
        <w:t>及本合同约定</w:t>
      </w:r>
      <w:r>
        <w:rPr>
          <w:rStyle w:val="123"/>
          <w:rFonts w:ascii="宋体" w:hAnsi="宋体" w:eastAsia="宋体" w:cs="宋体"/>
          <w:color w:val="auto"/>
          <w:highlight w:val="none"/>
          <w:lang w:eastAsia="zh-CN"/>
        </w:rPr>
        <w:t>向甲方提供相应的服务，并</w:t>
      </w:r>
      <w:r>
        <w:rPr>
          <w:rStyle w:val="124"/>
          <w:rFonts w:ascii="宋体" w:hAnsi="宋体" w:eastAsia="宋体" w:cs="宋体"/>
          <w:color w:val="auto"/>
          <w:highlight w:val="none"/>
          <w:lang w:eastAsia="zh-CN"/>
        </w:rPr>
        <w:t>完整交付</w:t>
      </w:r>
      <w:r>
        <w:rPr>
          <w:rStyle w:val="123"/>
          <w:rFonts w:ascii="宋体" w:hAnsi="宋体" w:eastAsia="宋体" w:cs="宋体"/>
          <w:color w:val="auto"/>
          <w:highlight w:val="none"/>
          <w:lang w:eastAsia="zh-CN"/>
        </w:rPr>
        <w:t>所服务内容的</w:t>
      </w:r>
      <w:r>
        <w:rPr>
          <w:rStyle w:val="124"/>
          <w:rFonts w:ascii="宋体" w:hAnsi="宋体" w:eastAsia="宋体" w:cs="宋体"/>
          <w:color w:val="auto"/>
          <w:highlight w:val="none"/>
          <w:lang w:eastAsia="zh-CN"/>
        </w:rPr>
        <w:t>全部</w:t>
      </w:r>
      <w:r>
        <w:rPr>
          <w:rStyle w:val="123"/>
          <w:rFonts w:ascii="宋体" w:hAnsi="宋体" w:eastAsia="宋体" w:cs="宋体"/>
          <w:color w:val="auto"/>
          <w:highlight w:val="none"/>
          <w:lang w:eastAsia="zh-CN"/>
        </w:rPr>
        <w:t>相关技术资料</w:t>
      </w:r>
      <w:r>
        <w:rPr>
          <w:rStyle w:val="124"/>
          <w:rFonts w:ascii="宋体" w:hAnsi="宋体" w:eastAsia="宋体" w:cs="宋体"/>
          <w:color w:val="auto"/>
          <w:highlight w:val="none"/>
          <w:lang w:eastAsia="zh-CN"/>
        </w:rPr>
        <w:t>（包括但不限于操作手册、维护手册、源代码、数据源说明、底层算法说明等，具体以采购需求约定为准）</w:t>
      </w:r>
      <w:r>
        <w:rPr>
          <w:rStyle w:val="123"/>
          <w:rFonts w:ascii="宋体" w:hAnsi="宋体" w:eastAsia="宋体" w:cs="宋体"/>
          <w:color w:val="auto"/>
          <w:highlight w:val="none"/>
          <w:lang w:eastAsia="zh-CN"/>
        </w:rPr>
        <w:t>。</w:t>
      </w:r>
    </w:p>
    <w:p w14:paraId="01D384FD">
      <w:pPr>
        <w:spacing w:line="360" w:lineRule="auto"/>
        <w:ind w:firstLine="420"/>
        <w:rPr>
          <w:color w:val="auto"/>
          <w:highlight w:val="none"/>
          <w:lang w:eastAsia="zh-CN"/>
        </w:rPr>
      </w:pPr>
      <w:r>
        <w:rPr>
          <w:rFonts w:ascii="宋体" w:hAnsi="宋体" w:eastAsia="宋体" w:cs="宋体"/>
          <w:color w:val="auto"/>
          <w:highlight w:val="none"/>
          <w:lang w:eastAsia="zh-CN"/>
        </w:rPr>
        <w:t>3</w:t>
      </w:r>
      <w:r>
        <w:rPr>
          <w:rFonts w:hint="eastAsia" w:ascii="宋体" w:hAnsi="宋体" w:cs="宋体"/>
          <w:color w:val="auto"/>
          <w:highlight w:val="none"/>
          <w:lang w:val="en-US" w:eastAsia="zh-CN"/>
        </w:rPr>
        <w:t>.</w:t>
      </w:r>
      <w:r>
        <w:rPr>
          <w:rFonts w:ascii="宋体" w:hAnsi="宋体" w:eastAsia="宋体" w:cs="宋体"/>
          <w:color w:val="auto"/>
          <w:highlight w:val="none"/>
          <w:lang w:eastAsia="zh-CN"/>
        </w:rPr>
        <w:t>乙方提供不符合响应文件和本合同规定的服务成果，甲方有权拒绝接受。</w:t>
      </w:r>
    </w:p>
    <w:p w14:paraId="3969D979">
      <w:pPr>
        <w:spacing w:line="360" w:lineRule="auto"/>
        <w:ind w:firstLine="420"/>
        <w:rPr>
          <w:color w:val="auto"/>
          <w:highlight w:val="none"/>
          <w:lang w:eastAsia="zh-CN"/>
        </w:rPr>
      </w:pPr>
      <w:r>
        <w:rPr>
          <w:rStyle w:val="125"/>
          <w:rFonts w:ascii="宋体" w:hAnsi="宋体" w:eastAsia="宋体" w:cs="宋体"/>
          <w:color w:val="auto"/>
          <w:highlight w:val="none"/>
          <w:lang w:eastAsia="zh-CN"/>
        </w:rPr>
        <w:t>4</w:t>
      </w:r>
      <w:r>
        <w:rPr>
          <w:rStyle w:val="125"/>
          <w:rFonts w:hint="eastAsia" w:ascii="宋体" w:hAnsi="宋体" w:cs="宋体"/>
          <w:color w:val="auto"/>
          <w:highlight w:val="none"/>
          <w:lang w:val="en-US" w:eastAsia="zh-CN"/>
        </w:rPr>
        <w:t>.</w:t>
      </w:r>
      <w:r>
        <w:rPr>
          <w:rStyle w:val="125"/>
          <w:rFonts w:ascii="宋体" w:hAnsi="宋体" w:eastAsia="宋体" w:cs="宋体"/>
          <w:color w:val="auto"/>
          <w:highlight w:val="none"/>
          <w:lang w:eastAsia="zh-CN"/>
        </w:rPr>
        <w:t>乙方完成服务后应及时书面通知甲方进行验收并提交完整的服务成果资料。</w:t>
      </w:r>
      <w:r>
        <w:rPr>
          <w:rStyle w:val="126"/>
          <w:rFonts w:ascii="宋体" w:hAnsi="宋体" w:eastAsia="宋体" w:cs="宋体"/>
          <w:color w:val="auto"/>
          <w:highlight w:val="none"/>
          <w:lang w:eastAsia="zh-CN"/>
        </w:rPr>
        <w:t>乙方提交的服务成果资料不符合本合同约定或不完整的，</w:t>
      </w:r>
      <w:r>
        <w:rPr>
          <w:rStyle w:val="125"/>
          <w:rFonts w:ascii="宋体" w:hAnsi="宋体" w:eastAsia="宋体" w:cs="宋体"/>
          <w:color w:val="auto"/>
          <w:highlight w:val="none"/>
          <w:lang w:eastAsia="zh-CN"/>
        </w:rPr>
        <w:t>甲方</w:t>
      </w:r>
      <w:r>
        <w:rPr>
          <w:rStyle w:val="126"/>
          <w:rFonts w:ascii="宋体" w:hAnsi="宋体" w:eastAsia="宋体" w:cs="宋体"/>
          <w:color w:val="auto"/>
          <w:highlight w:val="none"/>
          <w:lang w:eastAsia="zh-CN"/>
        </w:rPr>
        <w:t>有权拒绝启动验收，并要求乙方在甲方指定期限内补正后重新提交。甲方</w:t>
      </w:r>
      <w:r>
        <w:rPr>
          <w:rStyle w:val="125"/>
          <w:rFonts w:ascii="宋体" w:hAnsi="宋体" w:eastAsia="宋体" w:cs="宋体"/>
          <w:color w:val="auto"/>
          <w:highlight w:val="none"/>
          <w:lang w:eastAsia="zh-CN"/>
        </w:rPr>
        <w:t>应在收到</w:t>
      </w:r>
      <w:r>
        <w:rPr>
          <w:rStyle w:val="126"/>
          <w:rFonts w:ascii="宋体" w:hAnsi="宋体" w:eastAsia="宋体" w:cs="宋体"/>
          <w:color w:val="auto"/>
          <w:highlight w:val="none"/>
          <w:lang w:eastAsia="zh-CN"/>
        </w:rPr>
        <w:t>符合要求的</w:t>
      </w:r>
      <w:r>
        <w:rPr>
          <w:rStyle w:val="125"/>
          <w:rFonts w:ascii="宋体" w:hAnsi="宋体" w:eastAsia="宋体" w:cs="宋体"/>
          <w:color w:val="auto"/>
          <w:highlight w:val="none"/>
          <w:lang w:eastAsia="zh-CN"/>
        </w:rPr>
        <w:t>通知及完整资料后七个工作日内启动验收；验收过程中发现问题的，甲方有权在七个工作日内以书面形式向乙方提出异议。验收合格后由甲乙双方签署验收单并加盖采购人公章，甲乙双方各执一份。</w:t>
      </w:r>
    </w:p>
    <w:p w14:paraId="7A0BA3C8">
      <w:pPr>
        <w:spacing w:line="360" w:lineRule="auto"/>
        <w:ind w:firstLine="420"/>
        <w:rPr>
          <w:color w:val="auto"/>
          <w:highlight w:val="none"/>
          <w:lang w:eastAsia="zh-CN"/>
        </w:rPr>
      </w:pPr>
      <w:r>
        <w:rPr>
          <w:rFonts w:ascii="宋体" w:hAnsi="宋体" w:eastAsia="宋体" w:cs="宋体"/>
          <w:color w:val="auto"/>
          <w:highlight w:val="none"/>
          <w:lang w:eastAsia="zh-CN"/>
        </w:rPr>
        <w:t>5</w:t>
      </w:r>
      <w:r>
        <w:rPr>
          <w:rFonts w:hint="eastAsia" w:ascii="宋体" w:hAnsi="宋体" w:cs="宋体"/>
          <w:color w:val="auto"/>
          <w:highlight w:val="none"/>
          <w:lang w:val="en-US" w:eastAsia="zh-CN"/>
        </w:rPr>
        <w:t>.</w:t>
      </w:r>
      <w:r>
        <w:rPr>
          <w:rFonts w:ascii="宋体" w:hAnsi="宋体" w:eastAsia="宋体" w:cs="宋体"/>
          <w:color w:val="auto"/>
          <w:highlight w:val="none"/>
          <w:lang w:eastAsia="zh-CN"/>
        </w:rPr>
        <w:t>甲乙双方应按照</w:t>
      </w:r>
      <w:r>
        <w:rPr>
          <w:rStyle w:val="127"/>
          <w:rFonts w:ascii="宋体" w:hAnsi="宋体" w:eastAsia="宋体" w:cs="宋体"/>
          <w:color w:val="auto"/>
          <w:highlight w:val="none"/>
          <w:lang w:eastAsia="zh-CN"/>
        </w:rPr>
        <w:t>《广西壮族自治区政府采购项目履约验收管理办法》</w:t>
      </w:r>
      <w:r>
        <w:rPr>
          <w:rFonts w:ascii="宋体" w:hAnsi="宋体" w:eastAsia="宋体" w:cs="宋体"/>
          <w:color w:val="auto"/>
          <w:highlight w:val="none"/>
          <w:lang w:eastAsia="zh-CN"/>
        </w:rPr>
        <w:t>、双方合同、响应文件验收。</w:t>
      </w:r>
    </w:p>
    <w:p w14:paraId="035763FB">
      <w:pPr>
        <w:spacing w:line="360" w:lineRule="auto"/>
        <w:ind w:firstLine="420"/>
        <w:rPr>
          <w:color w:val="auto"/>
          <w:highlight w:val="none"/>
          <w:lang w:eastAsia="zh-CN"/>
        </w:rPr>
      </w:pPr>
      <w:r>
        <w:rPr>
          <w:rStyle w:val="128"/>
          <w:rFonts w:ascii="宋体" w:hAnsi="宋体" w:eastAsia="宋体" w:cs="宋体"/>
          <w:color w:val="auto"/>
          <w:highlight w:val="none"/>
          <w:lang w:eastAsia="zh-CN"/>
        </w:rPr>
        <w:t>6</w:t>
      </w:r>
      <w:r>
        <w:rPr>
          <w:rStyle w:val="128"/>
          <w:rFonts w:hint="eastAsia" w:ascii="宋体" w:hAnsi="宋体" w:cs="宋体"/>
          <w:color w:val="auto"/>
          <w:highlight w:val="none"/>
          <w:lang w:val="en-US" w:eastAsia="zh-CN"/>
        </w:rPr>
        <w:t>.</w:t>
      </w:r>
      <w:r>
        <w:rPr>
          <w:rStyle w:val="128"/>
          <w:rFonts w:ascii="宋体" w:hAnsi="宋体" w:eastAsia="宋体" w:cs="宋体"/>
          <w:color w:val="auto"/>
          <w:highlight w:val="none"/>
          <w:lang w:eastAsia="zh-CN"/>
        </w:rPr>
        <w:t>甲方在初步验收或者最终验收过程中如发现乙方提供的服务成果不满足响应文件及本合同规定的，可暂缓向乙方付款，直到乙方及时完善并提交相应的服务成果且经甲方验收合格后，方可办理付款。暂缓付款期间甲方无需向乙方支付任何资金占用利息或其他费用。</w:t>
      </w:r>
    </w:p>
    <w:p w14:paraId="5A922895">
      <w:pPr>
        <w:spacing w:line="360" w:lineRule="auto"/>
        <w:ind w:firstLine="420"/>
        <w:rPr>
          <w:color w:val="auto"/>
          <w:highlight w:val="none"/>
          <w:lang w:eastAsia="zh-CN"/>
        </w:rPr>
      </w:pPr>
      <w:r>
        <w:rPr>
          <w:rStyle w:val="129"/>
          <w:rFonts w:ascii="宋体" w:hAnsi="宋体" w:eastAsia="宋体" w:cs="宋体"/>
          <w:color w:val="auto"/>
          <w:highlight w:val="none"/>
          <w:lang w:eastAsia="zh-CN"/>
        </w:rPr>
        <w:t>7</w:t>
      </w:r>
      <w:r>
        <w:rPr>
          <w:rStyle w:val="129"/>
          <w:rFonts w:hint="eastAsia" w:ascii="宋体" w:hAnsi="宋体" w:cs="宋体"/>
          <w:color w:val="auto"/>
          <w:highlight w:val="none"/>
          <w:lang w:val="en-US" w:eastAsia="zh-CN"/>
        </w:rPr>
        <w:t>.</w:t>
      </w:r>
      <w:r>
        <w:rPr>
          <w:rStyle w:val="129"/>
          <w:rFonts w:ascii="宋体" w:hAnsi="宋体" w:eastAsia="宋体" w:cs="宋体"/>
          <w:color w:val="auto"/>
          <w:highlight w:val="none"/>
          <w:lang w:eastAsia="zh-CN"/>
        </w:rPr>
        <w:t>甲方验收时以书面形式提出异议的，乙方应自收到甲方书面异议后五个工作日内及时予以整改并重新提交甲方验收</w:t>
      </w:r>
      <w:r>
        <w:rPr>
          <w:rStyle w:val="129"/>
          <w:rFonts w:hint="eastAsia" w:ascii="宋体" w:hAnsi="宋体" w:eastAsia="宋体" w:cs="宋体"/>
          <w:color w:val="auto"/>
          <w:highlight w:val="none"/>
          <w:lang w:eastAsia="zh-CN"/>
        </w:rPr>
        <w:t>。</w:t>
      </w:r>
      <w:r>
        <w:rPr>
          <w:rStyle w:val="129"/>
          <w:rFonts w:ascii="宋体" w:hAnsi="宋体" w:eastAsia="宋体" w:cs="宋体"/>
          <w:color w:val="auto"/>
          <w:highlight w:val="none"/>
          <w:lang w:eastAsia="zh-CN"/>
        </w:rPr>
        <w:t>因甲方需求变更、甲方提供资料错误或其他非乙方原因导致的整改费用及工期影响由甲方承担</w:t>
      </w:r>
      <w:r>
        <w:rPr>
          <w:rStyle w:val="129"/>
          <w:rFonts w:hint="eastAsia" w:ascii="宋体" w:hAnsi="宋体" w:eastAsia="宋体" w:cs="宋体"/>
          <w:color w:val="auto"/>
          <w:highlight w:val="none"/>
          <w:lang w:eastAsia="zh-CN"/>
        </w:rPr>
        <w:t>；因乙方原因</w:t>
      </w:r>
      <w:r>
        <w:rPr>
          <w:rStyle w:val="130"/>
          <w:rFonts w:ascii="宋体" w:hAnsi="宋体" w:eastAsia="宋体" w:cs="宋体"/>
          <w:color w:val="auto"/>
          <w:highlight w:val="none"/>
          <w:lang w:eastAsia="zh-CN"/>
        </w:rPr>
        <w:t>产生的</w:t>
      </w:r>
      <w:r>
        <w:rPr>
          <w:rStyle w:val="130"/>
          <w:rFonts w:hint="eastAsia" w:ascii="宋体" w:hAnsi="宋体" w:eastAsia="宋体" w:cs="宋体"/>
          <w:color w:val="auto"/>
          <w:highlight w:val="none"/>
          <w:lang w:eastAsia="zh-CN"/>
        </w:rPr>
        <w:t>整改</w:t>
      </w:r>
      <w:r>
        <w:rPr>
          <w:rStyle w:val="130"/>
          <w:rFonts w:ascii="宋体" w:hAnsi="宋体" w:eastAsia="宋体" w:cs="宋体"/>
          <w:color w:val="auto"/>
          <w:highlight w:val="none"/>
          <w:lang w:eastAsia="zh-CN"/>
        </w:rPr>
        <w:t>费用由乙方自行承担，整改</w:t>
      </w:r>
      <w:r>
        <w:rPr>
          <w:rStyle w:val="129"/>
          <w:rFonts w:ascii="宋体" w:hAnsi="宋体" w:eastAsia="宋体" w:cs="宋体"/>
          <w:color w:val="auto"/>
          <w:highlight w:val="none"/>
          <w:lang w:eastAsia="zh-CN"/>
        </w:rPr>
        <w:t>次数累计不得超过3次</w:t>
      </w:r>
      <w:r>
        <w:rPr>
          <w:rStyle w:val="129"/>
          <w:rFonts w:hint="eastAsia" w:ascii="宋体" w:hAnsi="宋体" w:eastAsia="宋体" w:cs="宋体"/>
          <w:color w:val="auto"/>
          <w:highlight w:val="none"/>
          <w:lang w:eastAsia="zh-CN"/>
        </w:rPr>
        <w:t>。</w:t>
      </w:r>
      <w:r>
        <w:rPr>
          <w:rStyle w:val="130"/>
          <w:rFonts w:ascii="宋体" w:hAnsi="宋体" w:eastAsia="宋体" w:cs="宋体"/>
          <w:color w:val="auto"/>
          <w:highlight w:val="none"/>
          <w:lang w:eastAsia="zh-CN"/>
        </w:rPr>
        <w:t>甲方提出异议应明确整改标准</w:t>
      </w:r>
      <w:r>
        <w:rPr>
          <w:rStyle w:val="130"/>
          <w:rFonts w:hint="eastAsia" w:ascii="宋体" w:hAnsi="宋体" w:eastAsia="宋体" w:cs="宋体"/>
          <w:color w:val="auto"/>
          <w:highlight w:val="none"/>
          <w:lang w:eastAsia="zh-CN"/>
        </w:rPr>
        <w:t>，</w:t>
      </w:r>
      <w:r>
        <w:rPr>
          <w:rStyle w:val="130"/>
          <w:rFonts w:ascii="宋体" w:hAnsi="宋体" w:eastAsia="宋体" w:cs="宋体"/>
          <w:color w:val="auto"/>
          <w:highlight w:val="none"/>
          <w:lang w:eastAsia="zh-CN"/>
        </w:rPr>
        <w:t>乙方完成整改后，甲方应按合同约定重新验收</w:t>
      </w:r>
      <w:r>
        <w:rPr>
          <w:rStyle w:val="130"/>
          <w:rFonts w:hint="eastAsia" w:ascii="宋体" w:hAnsi="宋体" w:eastAsia="宋体" w:cs="宋体"/>
          <w:color w:val="auto"/>
          <w:highlight w:val="none"/>
          <w:lang w:eastAsia="zh-CN"/>
        </w:rPr>
        <w:t>，</w:t>
      </w:r>
      <w:r>
        <w:rPr>
          <w:rStyle w:val="129"/>
          <w:rFonts w:ascii="宋体" w:hAnsi="宋体" w:eastAsia="宋体" w:cs="宋体"/>
          <w:color w:val="auto"/>
          <w:highlight w:val="none"/>
          <w:lang w:eastAsia="zh-CN"/>
        </w:rPr>
        <w:t>逾期未整改或整改后仍不合格的，甲方有权拒绝出具服务验收合格单。</w:t>
      </w:r>
    </w:p>
    <w:p w14:paraId="5D0F5D11">
      <w:pPr>
        <w:spacing w:line="360" w:lineRule="auto"/>
        <w:ind w:firstLine="420"/>
        <w:rPr>
          <w:color w:val="auto"/>
          <w:highlight w:val="none"/>
          <w:lang w:eastAsia="zh-CN"/>
        </w:rPr>
      </w:pPr>
      <w:r>
        <w:rPr>
          <w:rFonts w:ascii="宋体" w:hAnsi="宋体" w:eastAsia="宋体" w:cs="宋体"/>
          <w:b/>
          <w:bCs/>
          <w:color w:val="auto"/>
          <w:highlight w:val="none"/>
          <w:lang w:eastAsia="zh-CN"/>
        </w:rPr>
        <w:t>第五条</w:t>
      </w:r>
      <w:r>
        <w:rPr>
          <w:rFonts w:hint="eastAsia" w:ascii="宋体" w:hAnsi="宋体" w:cs="宋体"/>
          <w:b/>
          <w:bCs/>
          <w:color w:val="auto"/>
          <w:highlight w:val="none"/>
          <w:lang w:val="en-US" w:eastAsia="zh-CN"/>
        </w:rPr>
        <w:t xml:space="preserve"> </w:t>
      </w:r>
      <w:r>
        <w:rPr>
          <w:rFonts w:ascii="宋体" w:hAnsi="宋体" w:eastAsia="宋体" w:cs="宋体"/>
          <w:b/>
          <w:bCs/>
          <w:color w:val="auto"/>
          <w:highlight w:val="none"/>
          <w:lang w:eastAsia="zh-CN"/>
        </w:rPr>
        <w:t>售后服务及培训</w:t>
      </w:r>
    </w:p>
    <w:p w14:paraId="4B1129B5">
      <w:pPr>
        <w:spacing w:line="360" w:lineRule="auto"/>
        <w:ind w:firstLine="420"/>
        <w:rPr>
          <w:color w:val="auto"/>
          <w:highlight w:val="none"/>
          <w:lang w:eastAsia="zh-CN"/>
        </w:rPr>
      </w:pPr>
      <w:r>
        <w:rPr>
          <w:rFonts w:ascii="宋体" w:hAnsi="宋体" w:eastAsia="宋体" w:cs="宋体"/>
          <w:color w:val="auto"/>
          <w:highlight w:val="none"/>
          <w:lang w:eastAsia="zh-CN"/>
        </w:rPr>
        <w:t>1</w:t>
      </w:r>
      <w:r>
        <w:rPr>
          <w:rFonts w:hint="eastAsia" w:ascii="宋体" w:hAnsi="宋体" w:cs="宋体"/>
          <w:color w:val="auto"/>
          <w:highlight w:val="none"/>
          <w:lang w:val="en-US" w:eastAsia="zh-CN"/>
        </w:rPr>
        <w:t>.</w:t>
      </w:r>
      <w:r>
        <w:rPr>
          <w:rFonts w:ascii="宋体" w:hAnsi="宋体" w:eastAsia="宋体" w:cs="宋体"/>
          <w:color w:val="auto"/>
          <w:highlight w:val="none"/>
          <w:lang w:eastAsia="zh-CN"/>
        </w:rPr>
        <w:t>乙方应按照国家有关法律法规和本合同所附的《售后服务承诺》要求为甲方提供相应的售后服务。</w:t>
      </w:r>
    </w:p>
    <w:p w14:paraId="6E4FD8D3">
      <w:pPr>
        <w:spacing w:line="360" w:lineRule="auto"/>
        <w:ind w:firstLine="420"/>
        <w:rPr>
          <w:color w:val="auto"/>
          <w:highlight w:val="none"/>
          <w:lang w:eastAsia="zh-CN"/>
        </w:rPr>
      </w:pPr>
      <w:r>
        <w:rPr>
          <w:rFonts w:ascii="宋体" w:hAnsi="宋体" w:eastAsia="宋体" w:cs="宋体"/>
          <w:color w:val="auto"/>
          <w:highlight w:val="none"/>
          <w:lang w:eastAsia="zh-CN"/>
        </w:rPr>
        <w:t>2</w:t>
      </w:r>
      <w:r>
        <w:rPr>
          <w:rFonts w:hint="eastAsia" w:ascii="宋体" w:hAnsi="宋体" w:cs="宋体"/>
          <w:color w:val="auto"/>
          <w:highlight w:val="none"/>
          <w:lang w:val="en-US" w:eastAsia="zh-CN"/>
        </w:rPr>
        <w:t>.</w:t>
      </w:r>
      <w:r>
        <w:rPr>
          <w:rFonts w:ascii="宋体" w:hAnsi="宋体" w:eastAsia="宋体" w:cs="宋体"/>
          <w:color w:val="auto"/>
          <w:highlight w:val="none"/>
          <w:lang w:eastAsia="zh-CN"/>
        </w:rPr>
        <w:t>甲方仅提供与本次服务相匹配的合理必要测试条件（如场地、电源、水源等），乙方应提前3个工作日将所需测试条件的详细要求书面告知甲方，超出合理范围的条件由乙方自行承担。</w:t>
      </w:r>
    </w:p>
    <w:p w14:paraId="28221F17">
      <w:pPr>
        <w:spacing w:line="360" w:lineRule="auto"/>
        <w:ind w:firstLine="420"/>
        <w:rPr>
          <w:color w:val="auto"/>
          <w:highlight w:val="none"/>
          <w:lang w:eastAsia="zh-CN"/>
        </w:rPr>
      </w:pPr>
      <w:r>
        <w:rPr>
          <w:rStyle w:val="131"/>
          <w:rFonts w:ascii="宋体" w:hAnsi="宋体" w:eastAsia="宋体" w:cs="宋体"/>
          <w:color w:val="auto"/>
          <w:highlight w:val="none"/>
          <w:lang w:eastAsia="zh-CN"/>
        </w:rPr>
        <w:t>3</w:t>
      </w:r>
      <w:r>
        <w:rPr>
          <w:rStyle w:val="131"/>
          <w:rFonts w:hint="eastAsia" w:ascii="宋体" w:hAnsi="宋体" w:cs="宋体"/>
          <w:color w:val="auto"/>
          <w:highlight w:val="none"/>
          <w:lang w:val="en-US" w:eastAsia="zh-CN"/>
        </w:rPr>
        <w:t>.</w:t>
      </w:r>
      <w:r>
        <w:rPr>
          <w:rStyle w:val="131"/>
          <w:rFonts w:ascii="宋体" w:hAnsi="宋体" w:eastAsia="宋体" w:cs="宋体"/>
          <w:color w:val="auto"/>
          <w:highlight w:val="none"/>
          <w:lang w:eastAsia="zh-CN"/>
        </w:rPr>
        <w:t>乙方负责甲方有关人员的培训</w:t>
      </w:r>
      <w:r>
        <w:rPr>
          <w:rStyle w:val="132"/>
          <w:rFonts w:ascii="宋体" w:hAnsi="宋体" w:eastAsia="宋体" w:cs="宋体"/>
          <w:color w:val="auto"/>
          <w:highlight w:val="none"/>
          <w:lang w:eastAsia="zh-CN"/>
        </w:rPr>
        <w:t>，</w:t>
      </w:r>
      <w:r>
        <w:rPr>
          <w:rStyle w:val="131"/>
          <w:rFonts w:ascii="宋体" w:hAnsi="宋体" w:eastAsia="宋体" w:cs="宋体"/>
          <w:color w:val="auto"/>
          <w:highlight w:val="none"/>
          <w:lang w:eastAsia="zh-CN"/>
        </w:rPr>
        <w:t>培训</w:t>
      </w:r>
      <w:r>
        <w:rPr>
          <w:rStyle w:val="132"/>
          <w:rFonts w:ascii="宋体" w:hAnsi="宋体" w:eastAsia="宋体" w:cs="宋体"/>
          <w:color w:val="auto"/>
          <w:highlight w:val="none"/>
          <w:lang w:eastAsia="zh-CN"/>
        </w:rPr>
        <w:t>内容、参训人员范围、培训</w:t>
      </w:r>
      <w:r>
        <w:rPr>
          <w:rStyle w:val="131"/>
          <w:rFonts w:ascii="宋体" w:hAnsi="宋体" w:eastAsia="宋体" w:cs="宋体"/>
          <w:color w:val="auto"/>
          <w:highlight w:val="none"/>
          <w:lang w:eastAsia="zh-CN"/>
        </w:rPr>
        <w:t>时间、地点</w:t>
      </w:r>
      <w:r>
        <w:rPr>
          <w:rStyle w:val="132"/>
          <w:rFonts w:ascii="宋体" w:hAnsi="宋体" w:eastAsia="宋体" w:cs="宋体"/>
          <w:color w:val="auto"/>
          <w:highlight w:val="none"/>
          <w:lang w:eastAsia="zh-CN"/>
        </w:rPr>
        <w:t>由</w:t>
      </w:r>
      <w:r>
        <w:rPr>
          <w:rStyle w:val="131"/>
          <w:rFonts w:ascii="宋体" w:hAnsi="宋体" w:eastAsia="宋体" w:cs="宋体"/>
          <w:color w:val="auto"/>
          <w:highlight w:val="none"/>
          <w:lang w:eastAsia="zh-CN"/>
        </w:rPr>
        <w:t>双方结合项目实际协商确定</w:t>
      </w:r>
      <w:r>
        <w:rPr>
          <w:rStyle w:val="132"/>
          <w:rFonts w:ascii="宋体" w:hAnsi="宋体" w:eastAsia="宋体" w:cs="宋体"/>
          <w:color w:val="auto"/>
          <w:highlight w:val="none"/>
          <w:lang w:eastAsia="zh-CN"/>
        </w:rPr>
        <w:t>，培训产生的全部费用由乙方承担</w:t>
      </w:r>
      <w:r>
        <w:rPr>
          <w:rStyle w:val="131"/>
          <w:rFonts w:ascii="宋体" w:hAnsi="宋体" w:eastAsia="宋体" w:cs="宋体"/>
          <w:color w:val="auto"/>
          <w:highlight w:val="none"/>
          <w:lang w:eastAsia="zh-CN"/>
        </w:rPr>
        <w:t>。超出采购需求、响应文件承诺或合同约定范围的新增培训及由此产生的费用由双方另行协商。</w:t>
      </w:r>
    </w:p>
    <w:p w14:paraId="55363176">
      <w:pPr>
        <w:spacing w:line="360" w:lineRule="auto"/>
        <w:ind w:firstLine="420"/>
        <w:rPr>
          <w:color w:val="auto"/>
          <w:highlight w:val="none"/>
          <w:lang w:eastAsia="zh-CN"/>
        </w:rPr>
      </w:pPr>
      <w:r>
        <w:rPr>
          <w:rFonts w:ascii="宋体" w:hAnsi="宋体" w:eastAsia="宋体" w:cs="宋体"/>
          <w:b/>
          <w:bCs/>
          <w:color w:val="auto"/>
          <w:highlight w:val="none"/>
          <w:lang w:eastAsia="zh-CN"/>
        </w:rPr>
        <w:t>第六条</w:t>
      </w:r>
      <w:r>
        <w:rPr>
          <w:rFonts w:hint="eastAsia" w:ascii="宋体" w:hAnsi="宋体" w:cs="宋体"/>
          <w:b/>
          <w:bCs/>
          <w:color w:val="auto"/>
          <w:highlight w:val="none"/>
          <w:lang w:val="en-US" w:eastAsia="zh-CN"/>
        </w:rPr>
        <w:t xml:space="preserve"> </w:t>
      </w:r>
      <w:r>
        <w:rPr>
          <w:rFonts w:ascii="宋体" w:hAnsi="宋体" w:eastAsia="宋体" w:cs="宋体"/>
          <w:b/>
          <w:bCs/>
          <w:color w:val="auto"/>
          <w:highlight w:val="none"/>
          <w:lang w:eastAsia="zh-CN"/>
        </w:rPr>
        <w:t>付款方式</w:t>
      </w:r>
    </w:p>
    <w:p w14:paraId="1FCB24DC">
      <w:pPr>
        <w:spacing w:line="360" w:lineRule="auto"/>
        <w:ind w:firstLine="420"/>
        <w:rPr>
          <w:color w:val="auto"/>
          <w:highlight w:val="none"/>
          <w:lang w:eastAsia="zh-CN"/>
        </w:rPr>
      </w:pPr>
      <w:r>
        <w:rPr>
          <w:rFonts w:ascii="宋体" w:hAnsi="宋体" w:eastAsia="宋体" w:cs="宋体"/>
          <w:color w:val="auto"/>
          <w:highlight w:val="none"/>
          <w:lang w:eastAsia="zh-CN"/>
        </w:rPr>
        <w:t>甲乙双方同意本合同金额的支付按以下第</w:t>
      </w:r>
      <w:r>
        <w:rPr>
          <w:rFonts w:ascii="宋体" w:hAnsi="宋体" w:eastAsia="宋体" w:cs="宋体"/>
          <w:color w:val="auto"/>
          <w:highlight w:val="none"/>
          <w:u w:val="single"/>
          <w:lang w:eastAsia="zh-CN"/>
        </w:rPr>
        <w:t> 2 </w:t>
      </w:r>
      <w:r>
        <w:rPr>
          <w:rFonts w:ascii="宋体" w:hAnsi="宋体" w:eastAsia="宋体" w:cs="宋体"/>
          <w:color w:val="auto"/>
          <w:highlight w:val="none"/>
          <w:lang w:eastAsia="zh-CN"/>
        </w:rPr>
        <w:t>项约定执行：</w:t>
      </w:r>
    </w:p>
    <w:p w14:paraId="37F18310">
      <w:pPr>
        <w:spacing w:line="360" w:lineRule="auto"/>
        <w:ind w:firstLine="420"/>
        <w:rPr>
          <w:color w:val="auto"/>
          <w:highlight w:val="none"/>
        </w:rPr>
      </w:pPr>
      <w:r>
        <w:rPr>
          <w:rFonts w:ascii="宋体" w:hAnsi="宋体" w:eastAsia="宋体" w:cs="宋体"/>
          <w:color w:val="auto"/>
          <w:highlight w:val="none"/>
        </w:rPr>
        <w:t>1</w:t>
      </w:r>
      <w:r>
        <w:rPr>
          <w:rFonts w:hint="eastAsia" w:ascii="宋体" w:hAnsi="宋体" w:cs="宋体"/>
          <w:color w:val="auto"/>
          <w:highlight w:val="none"/>
          <w:lang w:val="en-US" w:eastAsia="zh-CN"/>
        </w:rPr>
        <w:t>.</w:t>
      </w:r>
      <w:r>
        <w:rPr>
          <w:rFonts w:ascii="宋体" w:hAnsi="宋体" w:eastAsia="宋体" w:cs="宋体"/>
          <w:color w:val="auto"/>
          <w:highlight w:val="none"/>
        </w:rPr>
        <w:t>一次性支付</w:t>
      </w:r>
    </w:p>
    <w:p w14:paraId="56D28BEC">
      <w:pPr>
        <w:spacing w:line="360" w:lineRule="auto"/>
        <w:ind w:firstLine="420"/>
        <w:rPr>
          <w:color w:val="auto"/>
          <w:highlight w:val="none"/>
        </w:rPr>
      </w:pPr>
      <w:r>
        <w:rPr>
          <w:rFonts w:ascii="宋体" w:hAnsi="宋体" w:eastAsia="宋体" w:cs="宋体"/>
          <w:color w:val="auto"/>
          <w:highlight w:val="none"/>
        </w:rPr>
        <w:t>2</w:t>
      </w:r>
      <w:r>
        <w:rPr>
          <w:rFonts w:hint="eastAsia" w:ascii="宋体" w:hAnsi="宋体" w:cs="宋体"/>
          <w:color w:val="auto"/>
          <w:highlight w:val="none"/>
          <w:lang w:val="en-US" w:eastAsia="zh-CN"/>
        </w:rPr>
        <w:t>.</w:t>
      </w:r>
      <w:r>
        <w:rPr>
          <w:rFonts w:ascii="宋体" w:hAnsi="宋体" w:eastAsia="宋体" w:cs="宋体"/>
          <w:color w:val="auto"/>
          <w:highlight w:val="none"/>
        </w:rPr>
        <w:t>分期支付</w:t>
      </w:r>
    </w:p>
    <w:p w14:paraId="67122F31">
      <w:pPr>
        <w:spacing w:line="360" w:lineRule="auto"/>
        <w:ind w:firstLine="420"/>
        <w:rPr>
          <w:color w:val="auto"/>
          <w:highlight w:val="none"/>
          <w:lang w:eastAsia="zh-CN"/>
        </w:rPr>
      </w:pPr>
      <w:r>
        <w:rPr>
          <w:rFonts w:ascii="宋体" w:hAnsi="宋体" w:eastAsia="宋体" w:cs="宋体"/>
          <w:color w:val="auto"/>
          <w:highlight w:val="none"/>
          <w:lang w:eastAsia="zh-CN"/>
        </w:rPr>
        <w:t>合同签订后，且财政资金到位后，甲方收到乙方出具的符合国家税务规定及甲方财务要求的有效增值税发票后10个工作日内向乙方支付合同总金额的50%；如乙方发票存在不符合国家税务规定或与本合同约定金额、项目明显不一致的情形，甲方有权书面通知乙方限期更正，乙方</w:t>
      </w:r>
      <w:r>
        <w:rPr>
          <w:rFonts w:hint="eastAsia" w:ascii="宋体" w:hAnsi="宋体" w:eastAsia="宋体" w:cs="宋体"/>
          <w:color w:val="auto"/>
          <w:highlight w:val="none"/>
          <w:lang w:eastAsia="zh-CN"/>
        </w:rPr>
        <w:t>按要求</w:t>
      </w:r>
      <w:r>
        <w:rPr>
          <w:rFonts w:ascii="宋体" w:hAnsi="宋体" w:eastAsia="宋体" w:cs="宋体"/>
          <w:color w:val="auto"/>
          <w:highlight w:val="none"/>
          <w:lang w:eastAsia="zh-CN"/>
        </w:rPr>
        <w:t>更正</w:t>
      </w:r>
      <w:r>
        <w:rPr>
          <w:rFonts w:hint="eastAsia" w:ascii="宋体" w:hAnsi="宋体" w:eastAsia="宋体" w:cs="宋体"/>
          <w:color w:val="auto"/>
          <w:highlight w:val="none"/>
          <w:lang w:eastAsia="zh-CN"/>
        </w:rPr>
        <w:t>且符合法律法规规定</w:t>
      </w:r>
      <w:r>
        <w:rPr>
          <w:rFonts w:ascii="宋体" w:hAnsi="宋体" w:eastAsia="宋体" w:cs="宋体"/>
          <w:color w:val="auto"/>
          <w:highlight w:val="none"/>
          <w:lang w:eastAsia="zh-CN"/>
        </w:rPr>
        <w:t>后甲方应按前述期限付款。</w:t>
      </w:r>
    </w:p>
    <w:p w14:paraId="303E4C12">
      <w:pPr>
        <w:spacing w:line="360" w:lineRule="auto"/>
        <w:ind w:firstLine="420"/>
        <w:rPr>
          <w:color w:val="auto"/>
          <w:highlight w:val="none"/>
          <w:lang w:eastAsia="zh-CN"/>
        </w:rPr>
      </w:pPr>
      <w:r>
        <w:rPr>
          <w:rStyle w:val="114"/>
          <w:color w:val="auto"/>
          <w:highlight w:val="none"/>
          <w:lang w:eastAsia="zh-CN"/>
        </w:rPr>
        <w:t>如因项目开展需要，需提前支付部分款项的，乙方向甲方提出申请</w:t>
      </w:r>
      <w:r>
        <w:rPr>
          <w:rStyle w:val="115"/>
          <w:color w:val="auto"/>
          <w:highlight w:val="none"/>
          <w:lang w:eastAsia="zh-CN"/>
        </w:rPr>
        <w:t>。</w:t>
      </w:r>
      <w:r>
        <w:rPr>
          <w:rStyle w:val="114"/>
          <w:color w:val="auto"/>
          <w:highlight w:val="none"/>
          <w:lang w:eastAsia="zh-CN"/>
        </w:rPr>
        <w:t>甲方在收到乙方对应金额的</w:t>
      </w:r>
      <w:r>
        <w:rPr>
          <w:rStyle w:val="115"/>
          <w:color w:val="auto"/>
          <w:highlight w:val="none"/>
          <w:lang w:eastAsia="zh-CN"/>
        </w:rPr>
        <w:t>、</w:t>
      </w:r>
      <w:r>
        <w:rPr>
          <w:rStyle w:val="114"/>
          <w:color w:val="auto"/>
          <w:highlight w:val="none"/>
          <w:lang w:eastAsia="zh-CN"/>
        </w:rPr>
        <w:t>符合国家税务规定及甲方财务要求的有效增值税发票且财政资金到位后，</w:t>
      </w:r>
      <w:r>
        <w:rPr>
          <w:rStyle w:val="115"/>
          <w:color w:val="auto"/>
          <w:highlight w:val="none"/>
          <w:lang w:eastAsia="zh-CN"/>
        </w:rPr>
        <w:t>应在5个工作日内书面告知乙方是否支付及具体支付金额。甲方有权根据</w:t>
      </w:r>
      <w:r>
        <w:rPr>
          <w:rStyle w:val="114"/>
          <w:color w:val="auto"/>
          <w:highlight w:val="none"/>
          <w:lang w:eastAsia="zh-CN"/>
        </w:rPr>
        <w:t>项目进度</w:t>
      </w:r>
      <w:r>
        <w:rPr>
          <w:rStyle w:val="115"/>
          <w:color w:val="auto"/>
          <w:highlight w:val="none"/>
          <w:lang w:eastAsia="zh-CN"/>
        </w:rPr>
        <w:t>、</w:t>
      </w:r>
      <w:r>
        <w:rPr>
          <w:rStyle w:val="114"/>
          <w:color w:val="auto"/>
          <w:highlight w:val="none"/>
          <w:lang w:eastAsia="zh-CN"/>
        </w:rPr>
        <w:t>预算执行情况</w:t>
      </w:r>
      <w:r>
        <w:rPr>
          <w:rStyle w:val="115"/>
          <w:color w:val="auto"/>
          <w:highlight w:val="none"/>
          <w:lang w:eastAsia="zh-CN"/>
        </w:rPr>
        <w:t>及资金安排自主</w:t>
      </w:r>
      <w:r>
        <w:rPr>
          <w:rStyle w:val="114"/>
          <w:color w:val="auto"/>
          <w:highlight w:val="none"/>
          <w:lang w:eastAsia="zh-CN"/>
        </w:rPr>
        <w:t>决定是否支付及具体支付金额，</w:t>
      </w:r>
      <w:r>
        <w:rPr>
          <w:rStyle w:val="115"/>
          <w:color w:val="auto"/>
          <w:highlight w:val="none"/>
          <w:lang w:eastAsia="zh-CN"/>
        </w:rPr>
        <w:t>且无需就不同意</w:t>
      </w:r>
      <w:r>
        <w:rPr>
          <w:rStyle w:val="114"/>
          <w:color w:val="auto"/>
          <w:highlight w:val="none"/>
          <w:lang w:eastAsia="zh-CN"/>
        </w:rPr>
        <w:t>支付</w:t>
      </w:r>
      <w:r>
        <w:rPr>
          <w:rStyle w:val="115"/>
          <w:color w:val="auto"/>
          <w:highlight w:val="none"/>
          <w:lang w:eastAsia="zh-CN"/>
        </w:rPr>
        <w:t>或调整支付金额向乙方承担责任。支付</w:t>
      </w:r>
      <w:r>
        <w:rPr>
          <w:rStyle w:val="114"/>
          <w:color w:val="auto"/>
          <w:highlight w:val="none"/>
          <w:lang w:eastAsia="zh-CN"/>
        </w:rPr>
        <w:t>进度款最多至合同总金额的95%</w:t>
      </w:r>
      <w:r>
        <w:rPr>
          <w:rStyle w:val="115"/>
          <w:color w:val="auto"/>
          <w:highlight w:val="none"/>
          <w:lang w:eastAsia="zh-CN"/>
        </w:rPr>
        <w:t>。</w:t>
      </w:r>
    </w:p>
    <w:p w14:paraId="65239754">
      <w:pPr>
        <w:spacing w:line="360" w:lineRule="auto"/>
        <w:ind w:firstLine="420"/>
        <w:rPr>
          <w:color w:val="auto"/>
          <w:highlight w:val="none"/>
          <w:lang w:eastAsia="zh-CN"/>
        </w:rPr>
      </w:pPr>
      <w:r>
        <w:rPr>
          <w:rFonts w:ascii="宋体" w:hAnsi="宋体" w:eastAsia="宋体" w:cs="宋体"/>
          <w:color w:val="auto"/>
          <w:highlight w:val="none"/>
          <w:lang w:eastAsia="zh-CN"/>
        </w:rPr>
        <w:t>完成项目工作并出具相应的项目验收报告，经甲方验收合格后，甲方在财政资金到位后10个工作日内向乙方支付剩余款项。因财政资金未到位导致付款顺延的，甲方应及时书面告知乙方资金到位情况并在资金到位后</w:t>
      </w:r>
      <w:r>
        <w:rPr>
          <w:rFonts w:hint="eastAsia" w:ascii="宋体" w:hAnsi="宋体" w:eastAsia="宋体" w:cs="宋体"/>
          <w:color w:val="auto"/>
          <w:highlight w:val="none"/>
          <w:lang w:val="en-US" w:eastAsia="zh-CN"/>
        </w:rPr>
        <w:t>及时</w:t>
      </w:r>
      <w:r>
        <w:rPr>
          <w:rFonts w:ascii="宋体" w:hAnsi="宋体" w:eastAsia="宋体" w:cs="宋体"/>
          <w:color w:val="auto"/>
          <w:highlight w:val="none"/>
          <w:lang w:eastAsia="zh-CN"/>
        </w:rPr>
        <w:t>按约付款；乙方已完成且经甲方确认的阶段性成果，应按本合同约定及时结算支付。</w:t>
      </w:r>
    </w:p>
    <w:p w14:paraId="31C914B5">
      <w:pPr>
        <w:spacing w:line="360" w:lineRule="auto"/>
        <w:ind w:firstLine="420"/>
        <w:rPr>
          <w:color w:val="auto"/>
          <w:highlight w:val="none"/>
          <w:lang w:eastAsia="zh-CN"/>
        </w:rPr>
      </w:pPr>
      <w:r>
        <w:rPr>
          <w:rFonts w:ascii="宋体" w:hAnsi="宋体" w:eastAsia="宋体" w:cs="宋体"/>
          <w:b/>
          <w:bCs/>
          <w:color w:val="auto"/>
          <w:highlight w:val="none"/>
          <w:lang w:eastAsia="zh-CN"/>
        </w:rPr>
        <w:t>第七条</w:t>
      </w:r>
      <w:r>
        <w:rPr>
          <w:rFonts w:hint="eastAsia" w:ascii="宋体" w:hAnsi="宋体" w:cs="宋体"/>
          <w:b/>
          <w:bCs/>
          <w:color w:val="auto"/>
          <w:highlight w:val="none"/>
          <w:lang w:val="en-US" w:eastAsia="zh-CN"/>
        </w:rPr>
        <w:t xml:space="preserve"> </w:t>
      </w:r>
      <w:r>
        <w:rPr>
          <w:rFonts w:ascii="宋体" w:hAnsi="宋体" w:eastAsia="宋体" w:cs="宋体"/>
          <w:b/>
          <w:bCs/>
          <w:color w:val="auto"/>
          <w:highlight w:val="none"/>
          <w:lang w:eastAsia="zh-CN"/>
        </w:rPr>
        <w:t>履约保证金</w:t>
      </w:r>
    </w:p>
    <w:p w14:paraId="53D5BD89">
      <w:pPr>
        <w:spacing w:line="360" w:lineRule="auto"/>
        <w:ind w:firstLine="420"/>
        <w:rPr>
          <w:color w:val="auto"/>
          <w:highlight w:val="none"/>
          <w:lang w:eastAsia="zh-CN"/>
        </w:rPr>
      </w:pPr>
      <w:r>
        <w:rPr>
          <w:rStyle w:val="133"/>
          <w:rFonts w:ascii="宋体" w:hAnsi="宋体" w:eastAsia="宋体" w:cs="宋体"/>
          <w:color w:val="auto"/>
          <w:highlight w:val="none"/>
          <w:lang w:eastAsia="zh-CN"/>
        </w:rPr>
        <w:t>履约保证金金额：按合同金额的   %。</w:t>
      </w:r>
    </w:p>
    <w:p w14:paraId="24C76C37">
      <w:pPr>
        <w:spacing w:line="360" w:lineRule="auto"/>
        <w:ind w:firstLine="420"/>
        <w:rPr>
          <w:color w:val="auto"/>
          <w:highlight w:val="none"/>
          <w:lang w:eastAsia="zh-CN"/>
        </w:rPr>
      </w:pPr>
      <w:r>
        <w:rPr>
          <w:rFonts w:ascii="宋体" w:hAnsi="宋体" w:eastAsia="宋体" w:cs="宋体"/>
          <w:color w:val="auto"/>
          <w:highlight w:val="none"/>
          <w:lang w:eastAsia="zh-CN"/>
        </w:rPr>
        <w:t>履约保证金递交方式：银行转账、支票、汇票、本票或者金融机构出具的保函、保险机构保单等非现金方式。</w:t>
      </w:r>
    </w:p>
    <w:p w14:paraId="7840A995">
      <w:pPr>
        <w:spacing w:line="360" w:lineRule="auto"/>
        <w:ind w:firstLine="420"/>
        <w:rPr>
          <w:color w:val="auto"/>
          <w:highlight w:val="none"/>
          <w:lang w:eastAsia="zh-CN"/>
        </w:rPr>
      </w:pPr>
      <w:r>
        <w:rPr>
          <w:rStyle w:val="112"/>
          <w:rFonts w:ascii="宋体" w:hAnsi="宋体" w:eastAsia="宋体" w:cs="宋体"/>
          <w:color w:val="auto"/>
          <w:highlight w:val="none"/>
          <w:lang w:eastAsia="zh-CN"/>
        </w:rPr>
        <w:t>履约保证金退付方式、时间及条件：在本项目</w:t>
      </w:r>
      <w:r>
        <w:rPr>
          <w:rStyle w:val="113"/>
          <w:rFonts w:ascii="宋体" w:hAnsi="宋体" w:eastAsia="宋体" w:cs="宋体"/>
          <w:color w:val="auto"/>
          <w:highlight w:val="none"/>
          <w:lang w:eastAsia="zh-CN"/>
        </w:rPr>
        <w:t>经甲方</w:t>
      </w:r>
      <w:r>
        <w:rPr>
          <w:rStyle w:val="112"/>
          <w:rFonts w:ascii="宋体" w:hAnsi="宋体" w:eastAsia="宋体" w:cs="宋体"/>
          <w:color w:val="auto"/>
          <w:highlight w:val="none"/>
          <w:lang w:eastAsia="zh-CN"/>
        </w:rPr>
        <w:t>验收</w:t>
      </w:r>
      <w:r>
        <w:rPr>
          <w:rStyle w:val="113"/>
          <w:rFonts w:ascii="宋体" w:hAnsi="宋体" w:eastAsia="宋体" w:cs="宋体"/>
          <w:color w:val="auto"/>
          <w:highlight w:val="none"/>
          <w:lang w:eastAsia="zh-CN"/>
        </w:rPr>
        <w:t>合格且所有</w:t>
      </w:r>
      <w:r>
        <w:rPr>
          <w:rStyle w:val="112"/>
          <w:rFonts w:ascii="宋体" w:hAnsi="宋体" w:eastAsia="宋体" w:cs="宋体"/>
          <w:color w:val="auto"/>
          <w:highlight w:val="none"/>
          <w:lang w:eastAsia="zh-CN"/>
        </w:rPr>
        <w:t>后</w:t>
      </w:r>
      <w:r>
        <w:rPr>
          <w:rStyle w:val="113"/>
          <w:rFonts w:ascii="宋体" w:hAnsi="宋体" w:eastAsia="宋体" w:cs="宋体"/>
          <w:color w:val="auto"/>
          <w:highlight w:val="none"/>
          <w:lang w:eastAsia="zh-CN"/>
        </w:rPr>
        <w:t>续服务义务履行完毕后</w:t>
      </w:r>
      <w:r>
        <w:rPr>
          <w:rStyle w:val="112"/>
          <w:rFonts w:ascii="宋体" w:hAnsi="宋体" w:eastAsia="宋体" w:cs="宋体"/>
          <w:color w:val="auto"/>
          <w:highlight w:val="none"/>
          <w:lang w:eastAsia="zh-CN"/>
        </w:rPr>
        <w:t>，由乙方向甲方提供《政府采购项目履约保证金退付意见书》及履约保证金支付凭证，经甲方确认乙方不存在未履行完毕的违约赔偿责任且不存在需从履约保证金中扣除相关费用的情形后，甲方在收到合格材料后5个工作日内以银行转账方式如数退还（不计利息）。</w:t>
      </w:r>
    </w:p>
    <w:p w14:paraId="5CFE385F">
      <w:pPr>
        <w:spacing w:line="360" w:lineRule="auto"/>
        <w:ind w:firstLine="420"/>
        <w:rPr>
          <w:color w:val="auto"/>
          <w:highlight w:val="none"/>
          <w:lang w:eastAsia="zh-CN"/>
        </w:rPr>
      </w:pPr>
      <w:r>
        <w:rPr>
          <w:rFonts w:ascii="宋体" w:hAnsi="宋体" w:eastAsia="宋体" w:cs="宋体"/>
          <w:b/>
          <w:bCs/>
          <w:color w:val="auto"/>
          <w:highlight w:val="none"/>
          <w:lang w:eastAsia="zh-CN"/>
        </w:rPr>
        <w:t>第八条</w:t>
      </w:r>
      <w:r>
        <w:rPr>
          <w:rFonts w:hint="eastAsia" w:ascii="宋体" w:hAnsi="宋体" w:cs="宋体"/>
          <w:b/>
          <w:bCs/>
          <w:color w:val="auto"/>
          <w:highlight w:val="none"/>
          <w:lang w:val="en-US" w:eastAsia="zh-CN"/>
        </w:rPr>
        <w:t xml:space="preserve"> </w:t>
      </w:r>
      <w:r>
        <w:rPr>
          <w:rFonts w:ascii="宋体" w:hAnsi="宋体" w:eastAsia="宋体" w:cs="宋体"/>
          <w:b/>
          <w:bCs/>
          <w:color w:val="auto"/>
          <w:highlight w:val="none"/>
          <w:lang w:eastAsia="zh-CN"/>
        </w:rPr>
        <w:t>税费</w:t>
      </w:r>
    </w:p>
    <w:p w14:paraId="16291FA2">
      <w:pPr>
        <w:spacing w:line="360" w:lineRule="auto"/>
        <w:ind w:firstLine="420"/>
        <w:rPr>
          <w:color w:val="auto"/>
          <w:highlight w:val="none"/>
          <w:lang w:eastAsia="zh-CN"/>
        </w:rPr>
      </w:pPr>
      <w:r>
        <w:rPr>
          <w:rFonts w:ascii="宋体" w:hAnsi="宋体" w:eastAsia="宋体" w:cs="宋体"/>
          <w:color w:val="auto"/>
          <w:highlight w:val="none"/>
          <w:lang w:eastAsia="zh-CN"/>
        </w:rPr>
        <w:t>本合同执行中相关的一切税费均由乙方负担，合同另有约定的除外。</w:t>
      </w:r>
    </w:p>
    <w:p w14:paraId="7647D2B8">
      <w:pPr>
        <w:spacing w:line="360" w:lineRule="auto"/>
        <w:ind w:firstLine="420"/>
        <w:rPr>
          <w:color w:val="auto"/>
          <w:highlight w:val="none"/>
          <w:lang w:eastAsia="zh-CN"/>
        </w:rPr>
      </w:pPr>
      <w:r>
        <w:rPr>
          <w:rFonts w:ascii="宋体" w:hAnsi="宋体" w:eastAsia="宋体" w:cs="宋体"/>
          <w:b/>
          <w:bCs/>
          <w:color w:val="auto"/>
          <w:highlight w:val="none"/>
          <w:lang w:eastAsia="zh-CN"/>
        </w:rPr>
        <w:t>第九条</w:t>
      </w:r>
      <w:r>
        <w:rPr>
          <w:rFonts w:hint="eastAsia" w:ascii="宋体" w:hAnsi="宋体" w:cs="宋体"/>
          <w:b/>
          <w:bCs/>
          <w:color w:val="auto"/>
          <w:highlight w:val="none"/>
          <w:lang w:val="en-US" w:eastAsia="zh-CN"/>
        </w:rPr>
        <w:t xml:space="preserve"> </w:t>
      </w:r>
      <w:r>
        <w:rPr>
          <w:rFonts w:ascii="宋体" w:hAnsi="宋体" w:eastAsia="宋体" w:cs="宋体"/>
          <w:b/>
          <w:bCs/>
          <w:color w:val="auto"/>
          <w:highlight w:val="none"/>
          <w:lang w:eastAsia="zh-CN"/>
        </w:rPr>
        <w:t>违约责任</w:t>
      </w:r>
    </w:p>
    <w:p w14:paraId="2067D05D">
      <w:pPr>
        <w:spacing w:line="360" w:lineRule="auto"/>
        <w:ind w:firstLine="420"/>
        <w:rPr>
          <w:color w:val="auto"/>
          <w:highlight w:val="none"/>
          <w:lang w:eastAsia="zh-CN"/>
        </w:rPr>
      </w:pPr>
      <w:r>
        <w:rPr>
          <w:rStyle w:val="134"/>
          <w:rFonts w:ascii="宋体" w:hAnsi="宋体" w:eastAsia="宋体" w:cs="宋体"/>
          <w:color w:val="auto"/>
          <w:highlight w:val="none"/>
          <w:lang w:eastAsia="zh-CN"/>
        </w:rPr>
        <w:t>1.乙方因自身原因不能按本合同约定、采购文件和响应文件要求等提供服务的，视为乙方违约，须承担违约责任。乙方所提供的服务质量不合格的，应及时完善服务质量；经甲方书面通知后乙方未在</w:t>
      </w:r>
      <w:r>
        <w:rPr>
          <w:rStyle w:val="135"/>
          <w:rFonts w:ascii="宋体" w:hAnsi="宋体" w:eastAsia="宋体" w:cs="宋体"/>
          <w:color w:val="auto"/>
          <w:highlight w:val="none"/>
          <w:lang w:eastAsia="zh-CN"/>
        </w:rPr>
        <w:t>5个工作日</w:t>
      </w:r>
      <w:r>
        <w:rPr>
          <w:rStyle w:val="134"/>
          <w:rFonts w:ascii="宋体" w:hAnsi="宋体" w:eastAsia="宋体" w:cs="宋体"/>
          <w:color w:val="auto"/>
          <w:highlight w:val="none"/>
          <w:lang w:eastAsia="zh-CN"/>
        </w:rPr>
        <w:t>内完成整改的，视为乙方逾期履约，每逾期一日，应按合同总金额的千分之一（0.1%）向甲方支付违约金；因服务质量问题甲方不同意接收的，或特殊情况在甲方书面同意并扣减相应不合格部分价款20%向甲方支付违约金；甲方损失超过前述违约金的，乙方就实际损失承担赔偿责任。</w:t>
      </w:r>
    </w:p>
    <w:p w14:paraId="74A254DA">
      <w:pPr>
        <w:spacing w:line="360" w:lineRule="auto"/>
        <w:ind w:firstLine="420"/>
        <w:rPr>
          <w:color w:val="auto"/>
          <w:highlight w:val="none"/>
          <w:lang w:eastAsia="zh-CN"/>
        </w:rPr>
      </w:pPr>
      <w:r>
        <w:rPr>
          <w:rStyle w:val="136"/>
          <w:rFonts w:ascii="宋体" w:hAnsi="宋体" w:eastAsia="宋体" w:cs="宋体"/>
          <w:color w:val="auto"/>
          <w:highlight w:val="none"/>
          <w:lang w:eastAsia="zh-CN"/>
        </w:rPr>
        <w:t>2.乙方给甲方造成的损失超过违约金金额的，乙方应对高出违约金的</w:t>
      </w:r>
      <w:r>
        <w:rPr>
          <w:rStyle w:val="137"/>
          <w:rFonts w:ascii="宋体" w:hAnsi="宋体" w:eastAsia="宋体" w:cs="宋体"/>
          <w:color w:val="auto"/>
          <w:highlight w:val="none"/>
          <w:lang w:eastAsia="zh-CN"/>
        </w:rPr>
        <w:t>全部</w:t>
      </w:r>
      <w:r>
        <w:rPr>
          <w:rStyle w:val="136"/>
          <w:rFonts w:ascii="宋体" w:hAnsi="宋体" w:eastAsia="宋体" w:cs="宋体"/>
          <w:color w:val="auto"/>
          <w:highlight w:val="none"/>
          <w:lang w:eastAsia="zh-CN"/>
        </w:rPr>
        <w:t>实际损失予以赔偿。</w:t>
      </w:r>
    </w:p>
    <w:p w14:paraId="169BE52D">
      <w:pPr>
        <w:spacing w:line="360" w:lineRule="auto"/>
        <w:ind w:firstLine="420"/>
        <w:rPr>
          <w:color w:val="auto"/>
          <w:highlight w:val="none"/>
          <w:lang w:eastAsia="zh-CN"/>
        </w:rPr>
      </w:pPr>
      <w:r>
        <w:rPr>
          <w:rStyle w:val="138"/>
          <w:rFonts w:ascii="宋体" w:hAnsi="宋体" w:eastAsia="宋体" w:cs="宋体"/>
          <w:color w:val="auto"/>
          <w:highlight w:val="none"/>
          <w:lang w:eastAsia="zh-CN"/>
        </w:rPr>
        <w:t>3.乙方需指定专人及时向甲方交接符合要求的项目台账</w:t>
      </w:r>
      <w:r>
        <w:rPr>
          <w:rStyle w:val="139"/>
          <w:rFonts w:ascii="宋体" w:hAnsi="宋体" w:eastAsia="宋体" w:cs="宋体"/>
          <w:color w:val="auto"/>
          <w:highlight w:val="none"/>
          <w:lang w:eastAsia="zh-CN"/>
        </w:rPr>
        <w:t>。</w:t>
      </w:r>
      <w:r>
        <w:rPr>
          <w:rStyle w:val="138"/>
          <w:rFonts w:ascii="宋体" w:hAnsi="宋体" w:eastAsia="宋体" w:cs="宋体"/>
          <w:color w:val="auto"/>
          <w:highlight w:val="none"/>
          <w:lang w:eastAsia="zh-CN"/>
        </w:rPr>
        <w:t>不及时提交且经甲方书面催告后仍未在</w:t>
      </w:r>
      <w:r>
        <w:rPr>
          <w:rStyle w:val="139"/>
          <w:rFonts w:ascii="宋体" w:hAnsi="宋体" w:eastAsia="宋体" w:cs="宋体"/>
          <w:color w:val="auto"/>
          <w:highlight w:val="none"/>
          <w:lang w:eastAsia="zh-CN"/>
        </w:rPr>
        <w:t>5个工作日</w:t>
      </w:r>
      <w:r>
        <w:rPr>
          <w:rStyle w:val="138"/>
          <w:rFonts w:ascii="宋体" w:hAnsi="宋体" w:eastAsia="宋体" w:cs="宋体"/>
          <w:color w:val="auto"/>
          <w:highlight w:val="none"/>
          <w:lang w:eastAsia="zh-CN"/>
        </w:rPr>
        <w:t>内补交的，视为乙方逾期履约</w:t>
      </w:r>
      <w:r>
        <w:rPr>
          <w:rStyle w:val="139"/>
          <w:rFonts w:ascii="宋体" w:hAnsi="宋体" w:eastAsia="宋体" w:cs="宋体"/>
          <w:color w:val="auto"/>
          <w:highlight w:val="none"/>
          <w:lang w:eastAsia="zh-CN"/>
        </w:rPr>
        <w:t>。</w:t>
      </w:r>
      <w:r>
        <w:rPr>
          <w:rStyle w:val="138"/>
          <w:rFonts w:ascii="宋体" w:hAnsi="宋体" w:eastAsia="宋体" w:cs="宋体"/>
          <w:color w:val="auto"/>
          <w:highlight w:val="none"/>
          <w:lang w:eastAsia="zh-CN"/>
        </w:rPr>
        <w:t>每逾期一日，</w:t>
      </w:r>
      <w:r>
        <w:rPr>
          <w:rStyle w:val="139"/>
          <w:rFonts w:ascii="宋体" w:hAnsi="宋体" w:eastAsia="宋体" w:cs="宋体"/>
          <w:color w:val="auto"/>
          <w:highlight w:val="none"/>
          <w:lang w:eastAsia="zh-CN"/>
        </w:rPr>
        <w:t>乙方</w:t>
      </w:r>
      <w:r>
        <w:rPr>
          <w:rStyle w:val="138"/>
          <w:rFonts w:ascii="宋体" w:hAnsi="宋体" w:eastAsia="宋体" w:cs="宋体"/>
          <w:color w:val="auto"/>
          <w:highlight w:val="none"/>
          <w:lang w:eastAsia="zh-CN"/>
        </w:rPr>
        <w:t>应按受影响部分对应合同价款的千分之</w:t>
      </w:r>
      <w:r>
        <w:rPr>
          <w:rStyle w:val="134"/>
          <w:rFonts w:ascii="宋体" w:hAnsi="宋体" w:eastAsia="宋体" w:cs="宋体"/>
          <w:color w:val="auto"/>
          <w:highlight w:val="none"/>
          <w:lang w:eastAsia="zh-CN"/>
        </w:rPr>
        <w:t>一（0.1%）</w:t>
      </w:r>
      <w:r>
        <w:rPr>
          <w:rStyle w:val="138"/>
          <w:rFonts w:ascii="宋体" w:hAnsi="宋体" w:eastAsia="宋体" w:cs="宋体"/>
          <w:color w:val="auto"/>
          <w:highlight w:val="none"/>
          <w:lang w:eastAsia="zh-CN"/>
        </w:rPr>
        <w:t>向甲方支付违约金。乙方逾期履约的，若甲方同意继续履行本合同，乙方在支付前述违约金后应继续履行合同或重新提供符合要求的服务；乙方逾期</w:t>
      </w:r>
      <w:r>
        <w:rPr>
          <w:rStyle w:val="139"/>
          <w:rFonts w:ascii="宋体" w:hAnsi="宋体" w:eastAsia="宋体" w:cs="宋体"/>
          <w:color w:val="auto"/>
          <w:highlight w:val="none"/>
          <w:lang w:eastAsia="zh-CN"/>
        </w:rPr>
        <w:t>履行主要义务</w:t>
      </w:r>
      <w:r>
        <w:rPr>
          <w:rStyle w:val="138"/>
          <w:rFonts w:ascii="宋体" w:hAnsi="宋体" w:eastAsia="宋体" w:cs="宋体"/>
          <w:color w:val="auto"/>
          <w:highlight w:val="none"/>
          <w:lang w:eastAsia="zh-CN"/>
        </w:rPr>
        <w:t>超过30日</w:t>
      </w:r>
      <w:r>
        <w:rPr>
          <w:rStyle w:val="139"/>
          <w:rFonts w:ascii="宋体" w:hAnsi="宋体" w:eastAsia="宋体" w:cs="宋体"/>
          <w:color w:val="auto"/>
          <w:highlight w:val="none"/>
          <w:lang w:eastAsia="zh-CN"/>
        </w:rPr>
        <w:t>，</w:t>
      </w:r>
      <w:r>
        <w:rPr>
          <w:rStyle w:val="138"/>
          <w:rFonts w:ascii="宋体" w:hAnsi="宋体" w:eastAsia="宋体" w:cs="宋体"/>
          <w:color w:val="auto"/>
          <w:highlight w:val="none"/>
          <w:lang w:eastAsia="zh-CN"/>
        </w:rPr>
        <w:t>经甲方</w:t>
      </w:r>
      <w:r>
        <w:rPr>
          <w:rStyle w:val="139"/>
          <w:rFonts w:ascii="宋体" w:hAnsi="宋体" w:eastAsia="宋体" w:cs="宋体"/>
          <w:color w:val="auto"/>
          <w:highlight w:val="none"/>
          <w:lang w:eastAsia="zh-CN"/>
        </w:rPr>
        <w:t>书面</w:t>
      </w:r>
      <w:r>
        <w:rPr>
          <w:rStyle w:val="138"/>
          <w:rFonts w:ascii="宋体" w:hAnsi="宋体" w:eastAsia="宋体" w:cs="宋体"/>
          <w:color w:val="auto"/>
          <w:highlight w:val="none"/>
          <w:lang w:eastAsia="zh-CN"/>
        </w:rPr>
        <w:t>催告后仍</w:t>
      </w:r>
      <w:r>
        <w:rPr>
          <w:rStyle w:val="139"/>
          <w:rFonts w:ascii="宋体" w:hAnsi="宋体" w:eastAsia="宋体" w:cs="宋体"/>
          <w:color w:val="auto"/>
          <w:highlight w:val="none"/>
          <w:lang w:eastAsia="zh-CN"/>
        </w:rPr>
        <w:t>不</w:t>
      </w:r>
      <w:r>
        <w:rPr>
          <w:rStyle w:val="138"/>
          <w:rFonts w:ascii="宋体" w:hAnsi="宋体" w:eastAsia="宋体" w:cs="宋体"/>
          <w:color w:val="auto"/>
          <w:highlight w:val="none"/>
          <w:lang w:eastAsia="zh-CN"/>
        </w:rPr>
        <w:t>履行</w:t>
      </w:r>
      <w:r>
        <w:rPr>
          <w:rStyle w:val="139"/>
          <w:rFonts w:ascii="宋体" w:hAnsi="宋体" w:eastAsia="宋体" w:cs="宋体"/>
          <w:color w:val="auto"/>
          <w:highlight w:val="none"/>
          <w:lang w:eastAsia="zh-CN"/>
        </w:rPr>
        <w:t>的</w:t>
      </w:r>
      <w:r>
        <w:rPr>
          <w:rStyle w:val="138"/>
          <w:rFonts w:ascii="宋体" w:hAnsi="宋体" w:eastAsia="宋体" w:cs="宋体"/>
          <w:color w:val="auto"/>
          <w:highlight w:val="none"/>
          <w:lang w:eastAsia="zh-CN"/>
        </w:rPr>
        <w:t>，甲方有权解除本合同，并</w:t>
      </w:r>
      <w:r>
        <w:rPr>
          <w:rStyle w:val="139"/>
          <w:rFonts w:ascii="宋体" w:hAnsi="宋体" w:eastAsia="宋体" w:cs="宋体"/>
          <w:color w:val="auto"/>
          <w:highlight w:val="none"/>
          <w:lang w:eastAsia="zh-CN"/>
        </w:rPr>
        <w:t>要求乙方</w:t>
      </w:r>
      <w:r>
        <w:rPr>
          <w:rStyle w:val="138"/>
          <w:rFonts w:ascii="宋体" w:hAnsi="宋体" w:eastAsia="宋体" w:cs="宋体"/>
          <w:color w:val="auto"/>
          <w:highlight w:val="none"/>
          <w:lang w:eastAsia="zh-CN"/>
        </w:rPr>
        <w:t>就未履行部分</w:t>
      </w:r>
      <w:r>
        <w:rPr>
          <w:rStyle w:val="139"/>
          <w:rFonts w:ascii="宋体" w:hAnsi="宋体" w:eastAsia="宋体" w:cs="宋体"/>
          <w:color w:val="auto"/>
          <w:highlight w:val="none"/>
          <w:lang w:eastAsia="zh-CN"/>
        </w:rPr>
        <w:t>按其</w:t>
      </w:r>
      <w:r>
        <w:rPr>
          <w:rStyle w:val="138"/>
          <w:rFonts w:ascii="宋体" w:hAnsi="宋体" w:eastAsia="宋体" w:cs="宋体"/>
          <w:color w:val="auto"/>
          <w:highlight w:val="none"/>
          <w:lang w:eastAsia="zh-CN"/>
        </w:rPr>
        <w:t>对应合同价款</w:t>
      </w:r>
      <w:r>
        <w:rPr>
          <w:rStyle w:val="139"/>
          <w:rFonts w:ascii="宋体" w:hAnsi="宋体" w:eastAsia="宋体" w:cs="宋体"/>
          <w:color w:val="auto"/>
          <w:highlight w:val="none"/>
          <w:lang w:eastAsia="zh-CN"/>
        </w:rPr>
        <w:t>的</w:t>
      </w:r>
      <w:r>
        <w:rPr>
          <w:rStyle w:val="138"/>
          <w:rFonts w:ascii="宋体" w:hAnsi="宋体" w:eastAsia="宋体" w:cs="宋体"/>
          <w:color w:val="auto"/>
          <w:highlight w:val="none"/>
          <w:lang w:eastAsia="zh-CN"/>
        </w:rPr>
        <w:t>10%</w:t>
      </w:r>
      <w:r>
        <w:rPr>
          <w:rStyle w:val="139"/>
          <w:rFonts w:ascii="宋体" w:hAnsi="宋体" w:eastAsia="宋体" w:cs="宋体"/>
          <w:color w:val="auto"/>
          <w:highlight w:val="none"/>
          <w:lang w:eastAsia="zh-CN"/>
        </w:rPr>
        <w:t>支付</w:t>
      </w:r>
      <w:r>
        <w:rPr>
          <w:rStyle w:val="138"/>
          <w:rFonts w:ascii="宋体" w:hAnsi="宋体" w:eastAsia="宋体" w:cs="宋体"/>
          <w:color w:val="auto"/>
          <w:highlight w:val="none"/>
          <w:lang w:eastAsia="zh-CN"/>
        </w:rPr>
        <w:t>违约金；已支付且对应已实际履行部分的服务费用不予退还，履约保证金仅可在乙方应承担的违约责任范围内依法处理，不得重复主张。</w:t>
      </w:r>
    </w:p>
    <w:p w14:paraId="04E9C478">
      <w:pPr>
        <w:spacing w:line="360" w:lineRule="auto"/>
        <w:ind w:firstLine="420"/>
        <w:rPr>
          <w:color w:val="auto"/>
          <w:highlight w:val="none"/>
          <w:lang w:eastAsia="zh-CN"/>
        </w:rPr>
      </w:pPr>
      <w:r>
        <w:rPr>
          <w:rFonts w:ascii="宋体" w:hAnsi="宋体" w:eastAsia="宋体" w:cs="宋体"/>
          <w:color w:val="auto"/>
          <w:highlight w:val="none"/>
          <w:lang w:eastAsia="zh-CN"/>
        </w:rPr>
        <w:t>4.</w:t>
      </w:r>
      <w:r>
        <w:rPr>
          <w:rFonts w:ascii="Microsoft YaHei UI" w:hAnsi="Microsoft YaHei UI" w:eastAsia="Microsoft YaHei UI" w:cs="Microsoft YaHei UI"/>
          <w:color w:val="auto"/>
          <w:sz w:val="18"/>
          <w:szCs w:val="18"/>
          <w:highlight w:val="none"/>
          <w:lang w:eastAsia="zh-CN"/>
        </w:rPr>
        <w:t xml:space="preserve"> </w:t>
      </w:r>
      <w:r>
        <w:rPr>
          <w:rFonts w:ascii="宋体" w:hAnsi="宋体" w:eastAsia="宋体" w:cs="宋体"/>
          <w:color w:val="auto"/>
          <w:highlight w:val="none"/>
          <w:lang w:eastAsia="zh-CN"/>
        </w:rPr>
        <w:t>乙方提供服务内容不符合本合同约定、采购文件和响应文件等要求的，甲方有权就对应不合格部分暂缓支付相关费用；如造成甲方实际损失的，乙方还应依法承担赔偿责任。如乙方存在违反本条约定或服务质量不合格的，经甲方提出书面整改意见后，乙方未在合理期限内完成整改或者整改后仍不合格，且已实质影响合同目的实现的，甲方有权解除本合同，并要求乙方按照本条第一款承担相应责任。不合格服务累计出现三次且均经书面确认、乙方整改后仍不合格的，甲方有权单方终止本合同</w:t>
      </w:r>
      <w:r>
        <w:rPr>
          <w:rFonts w:hint="eastAsia" w:ascii="宋体" w:hAnsi="宋体" w:eastAsia="宋体" w:cs="宋体"/>
          <w:color w:val="auto"/>
          <w:highlight w:val="none"/>
          <w:lang w:eastAsia="zh-CN"/>
        </w:rPr>
        <w:t>，</w:t>
      </w:r>
      <w:r>
        <w:rPr>
          <w:rFonts w:ascii="宋体" w:hAnsi="宋体" w:eastAsia="宋体" w:cs="宋体"/>
          <w:color w:val="auto"/>
          <w:highlight w:val="none"/>
          <w:lang w:eastAsia="zh-CN"/>
        </w:rPr>
        <w:t>并要求乙方按照本条第一款承担相应责任。</w:t>
      </w:r>
    </w:p>
    <w:p w14:paraId="750357EE">
      <w:pPr>
        <w:spacing w:line="360" w:lineRule="auto"/>
        <w:ind w:firstLine="420"/>
        <w:rPr>
          <w:color w:val="auto"/>
          <w:highlight w:val="none"/>
          <w:lang w:eastAsia="zh-CN"/>
        </w:rPr>
      </w:pPr>
      <w:r>
        <w:rPr>
          <w:rFonts w:ascii="宋体" w:hAnsi="宋体" w:eastAsia="宋体" w:cs="宋体"/>
          <w:color w:val="auto"/>
          <w:highlight w:val="none"/>
          <w:lang w:eastAsia="zh-CN"/>
        </w:rPr>
        <w:t>5.未经甲方书面同意，乙方不得将本合同项下的全部或部分权利义务转让给第三人，否则甲方有权单方解除本合同，要求乙方按照以上本条第一款承担责任。</w:t>
      </w:r>
    </w:p>
    <w:p w14:paraId="47D8BEF0">
      <w:pPr>
        <w:spacing w:line="360" w:lineRule="auto"/>
        <w:ind w:firstLine="420"/>
        <w:rPr>
          <w:color w:val="auto"/>
          <w:highlight w:val="none"/>
          <w:lang w:eastAsia="zh-CN"/>
        </w:rPr>
      </w:pPr>
      <w:r>
        <w:rPr>
          <w:rStyle w:val="140"/>
          <w:rFonts w:ascii="宋体" w:hAnsi="宋体" w:eastAsia="宋体" w:cs="宋体"/>
          <w:color w:val="auto"/>
          <w:highlight w:val="none"/>
          <w:lang w:eastAsia="zh-CN"/>
        </w:rPr>
        <w:t>6.在合同订立前、履行中、终止后，乙方对于获取甲方的资料或获悉的信息</w:t>
      </w:r>
      <w:r>
        <w:rPr>
          <w:rStyle w:val="140"/>
          <w:rFonts w:ascii="宋体" w:hAnsi="宋体" w:eastAsia="宋体" w:cs="宋体"/>
          <w:strike/>
          <w:color w:val="auto"/>
          <w:highlight w:val="none"/>
          <w:lang w:eastAsia="zh-CN"/>
        </w:rPr>
        <w:t>(</w:t>
      </w:r>
      <w:r>
        <w:rPr>
          <w:rStyle w:val="141"/>
          <w:rFonts w:ascii="宋体" w:hAnsi="宋体" w:eastAsia="宋体" w:cs="宋体"/>
          <w:color w:val="auto"/>
          <w:highlight w:val="none"/>
          <w:lang w:eastAsia="zh-CN"/>
        </w:rPr>
        <w:t>（</w:t>
      </w:r>
      <w:r>
        <w:rPr>
          <w:rStyle w:val="140"/>
          <w:rFonts w:ascii="宋体" w:hAnsi="宋体" w:eastAsia="宋体" w:cs="宋体"/>
          <w:color w:val="auto"/>
          <w:highlight w:val="none"/>
          <w:lang w:eastAsia="zh-CN"/>
        </w:rPr>
        <w:t>包括但不限于涉密公文、技术资料、图样、数据及其他信息等</w:t>
      </w:r>
      <w:r>
        <w:rPr>
          <w:rStyle w:val="141"/>
          <w:rFonts w:ascii="宋体" w:hAnsi="宋体" w:eastAsia="宋体" w:cs="宋体"/>
          <w:color w:val="auto"/>
          <w:highlight w:val="none"/>
          <w:lang w:eastAsia="zh-CN"/>
        </w:rPr>
        <w:t>）</w:t>
      </w:r>
      <w:r>
        <w:rPr>
          <w:rStyle w:val="140"/>
          <w:rFonts w:ascii="宋体" w:hAnsi="宋体" w:eastAsia="宋体" w:cs="宋体"/>
          <w:color w:val="auto"/>
          <w:highlight w:val="none"/>
          <w:lang w:eastAsia="zh-CN"/>
        </w:rPr>
        <w:t>负有保密责任，仅限为履行本合同之目的使用，并应采取合理的保密与安全措施，不得擅自修改、复制、存储、披露、向第三方转让或传输，亦不得用于合同项目外的任何用途。合同终止或解除后</w:t>
      </w:r>
      <w:r>
        <w:rPr>
          <w:rStyle w:val="141"/>
          <w:rFonts w:ascii="宋体" w:hAnsi="宋体" w:eastAsia="宋体" w:cs="宋体"/>
          <w:color w:val="auto"/>
          <w:highlight w:val="none"/>
          <w:lang w:eastAsia="zh-CN"/>
        </w:rPr>
        <w:t>10个工作日内</w:t>
      </w:r>
      <w:r>
        <w:rPr>
          <w:rStyle w:val="140"/>
          <w:rFonts w:ascii="宋体" w:hAnsi="宋体" w:eastAsia="宋体" w:cs="宋体"/>
          <w:color w:val="auto"/>
          <w:highlight w:val="none"/>
          <w:lang w:eastAsia="zh-CN"/>
        </w:rPr>
        <w:t>，甲方</w:t>
      </w:r>
      <w:r>
        <w:rPr>
          <w:rStyle w:val="141"/>
          <w:rFonts w:ascii="宋体" w:hAnsi="宋体" w:eastAsia="宋体" w:cs="宋体"/>
          <w:color w:val="auto"/>
          <w:highlight w:val="none"/>
          <w:lang w:eastAsia="zh-CN"/>
        </w:rPr>
        <w:t>有权</w:t>
      </w:r>
      <w:r>
        <w:rPr>
          <w:rStyle w:val="140"/>
          <w:rFonts w:ascii="宋体" w:hAnsi="宋体" w:eastAsia="宋体" w:cs="宋体"/>
          <w:color w:val="auto"/>
          <w:highlight w:val="none"/>
          <w:lang w:eastAsia="zh-CN"/>
        </w:rPr>
        <w:t>要求</w:t>
      </w:r>
      <w:r>
        <w:rPr>
          <w:rStyle w:val="141"/>
          <w:rFonts w:ascii="宋体" w:hAnsi="宋体" w:eastAsia="宋体" w:cs="宋体"/>
          <w:color w:val="auto"/>
          <w:highlight w:val="none"/>
          <w:lang w:eastAsia="zh-CN"/>
        </w:rPr>
        <w:t>乙方返还或销毁</w:t>
      </w:r>
      <w:r>
        <w:rPr>
          <w:rStyle w:val="140"/>
          <w:rFonts w:ascii="宋体" w:hAnsi="宋体" w:eastAsia="宋体" w:cs="宋体"/>
          <w:color w:val="auto"/>
          <w:highlight w:val="none"/>
          <w:lang w:eastAsia="zh-CN"/>
        </w:rPr>
        <w:t>前述资料、数据</w:t>
      </w:r>
      <w:r>
        <w:rPr>
          <w:rStyle w:val="141"/>
          <w:rFonts w:ascii="宋体" w:hAnsi="宋体" w:eastAsia="宋体" w:cs="宋体"/>
          <w:color w:val="auto"/>
          <w:highlight w:val="none"/>
          <w:lang w:eastAsia="zh-CN"/>
        </w:rPr>
        <w:t>；乙方应在收到甲方要求后5个工作日内完成</w:t>
      </w:r>
      <w:r>
        <w:rPr>
          <w:rStyle w:val="140"/>
          <w:rFonts w:ascii="宋体" w:hAnsi="宋体" w:eastAsia="宋体" w:cs="宋体"/>
          <w:color w:val="auto"/>
          <w:highlight w:val="none"/>
          <w:lang w:eastAsia="zh-CN"/>
        </w:rPr>
        <w:t>返还或销毁，</w:t>
      </w:r>
      <w:r>
        <w:rPr>
          <w:rStyle w:val="141"/>
          <w:rFonts w:ascii="宋体" w:hAnsi="宋体" w:eastAsia="宋体" w:cs="宋体"/>
          <w:color w:val="auto"/>
          <w:highlight w:val="none"/>
          <w:lang w:eastAsia="zh-CN"/>
        </w:rPr>
        <w:t>并向甲方提交书面确认，</w:t>
      </w:r>
      <w:r>
        <w:rPr>
          <w:rStyle w:val="140"/>
          <w:rFonts w:ascii="宋体" w:hAnsi="宋体" w:eastAsia="宋体" w:cs="宋体"/>
          <w:color w:val="auto"/>
          <w:highlight w:val="none"/>
          <w:lang w:eastAsia="zh-CN"/>
        </w:rPr>
        <w:t>不得留存任何副本。否则，乙方应按合同总金额30%向甲方支付违约金并承担赔偿责任；若甲方实际损失高于违约金金额的，乙方还应补足差额，并自行承担其他相关法律责任。无论是否致使本合同无法继续履行的，甲方均有权解除合同，并要求乙方承担上述责任。本保密条款具有独立性，不受本合同终止或解除的影响。</w:t>
      </w:r>
    </w:p>
    <w:p w14:paraId="4466A781">
      <w:pPr>
        <w:spacing w:line="360" w:lineRule="auto"/>
        <w:ind w:firstLine="420"/>
        <w:rPr>
          <w:color w:val="auto"/>
          <w:highlight w:val="none"/>
          <w:lang w:eastAsia="zh-CN"/>
        </w:rPr>
      </w:pPr>
      <w:r>
        <w:rPr>
          <w:rStyle w:val="142"/>
          <w:rFonts w:ascii="宋体" w:hAnsi="宋体" w:eastAsia="宋体" w:cs="宋体"/>
          <w:color w:val="auto"/>
          <w:highlight w:val="none"/>
          <w:lang w:eastAsia="zh-CN"/>
        </w:rPr>
        <w:t>7.甲方有权在应付乙方款项中直接扣除乙方根据法律规定、本合同约</w:t>
      </w:r>
      <w:r>
        <w:rPr>
          <w:rStyle w:val="143"/>
          <w:rFonts w:ascii="宋体" w:hAnsi="宋体" w:eastAsia="宋体" w:cs="宋体"/>
          <w:color w:val="auto"/>
          <w:highlight w:val="none"/>
          <w:lang w:eastAsia="zh-CN"/>
        </w:rPr>
        <w:t>定</w:t>
      </w:r>
      <w:r>
        <w:rPr>
          <w:rStyle w:val="142"/>
          <w:rFonts w:ascii="宋体" w:hAnsi="宋体" w:eastAsia="宋体" w:cs="宋体"/>
          <w:color w:val="auto"/>
          <w:highlight w:val="none"/>
          <w:lang w:eastAsia="zh-CN"/>
        </w:rPr>
        <w:t>且经双方</w:t>
      </w:r>
      <w:r>
        <w:rPr>
          <w:rStyle w:val="143"/>
          <w:rFonts w:ascii="宋体" w:hAnsi="宋体" w:eastAsia="宋体" w:cs="宋体"/>
          <w:color w:val="auto"/>
          <w:highlight w:val="none"/>
          <w:lang w:eastAsia="zh-CN"/>
        </w:rPr>
        <w:t>书面</w:t>
      </w:r>
      <w:r>
        <w:rPr>
          <w:rStyle w:val="142"/>
          <w:rFonts w:ascii="宋体" w:hAnsi="宋体" w:eastAsia="宋体" w:cs="宋体"/>
          <w:color w:val="auto"/>
          <w:highlight w:val="none"/>
          <w:lang w:eastAsia="zh-CN"/>
        </w:rPr>
        <w:t>确认或</w:t>
      </w:r>
      <w:r>
        <w:rPr>
          <w:rStyle w:val="143"/>
          <w:rFonts w:ascii="宋体" w:hAnsi="宋体" w:eastAsia="宋体" w:cs="宋体"/>
          <w:color w:val="auto"/>
          <w:highlight w:val="none"/>
          <w:lang w:eastAsia="zh-CN"/>
        </w:rPr>
        <w:t>由</w:t>
      </w:r>
      <w:r>
        <w:rPr>
          <w:rStyle w:val="142"/>
          <w:rFonts w:ascii="宋体" w:hAnsi="宋体" w:eastAsia="宋体" w:cs="宋体"/>
          <w:color w:val="auto"/>
          <w:highlight w:val="none"/>
          <w:lang w:eastAsia="zh-CN"/>
        </w:rPr>
        <w:t>生效法律文书确定的违约金、赔偿金等；甲方扣除前应书面通知乙方扣款事由、金额及计算依据，超出争议部分的款项不得直接扣除。</w:t>
      </w:r>
    </w:p>
    <w:p w14:paraId="68EA96D3">
      <w:pPr>
        <w:spacing w:line="360" w:lineRule="auto"/>
        <w:ind w:firstLine="420"/>
        <w:rPr>
          <w:color w:val="auto"/>
          <w:highlight w:val="none"/>
          <w:lang w:eastAsia="zh-CN"/>
        </w:rPr>
      </w:pPr>
      <w:r>
        <w:rPr>
          <w:rFonts w:ascii="宋体" w:hAnsi="宋体" w:eastAsia="宋体" w:cs="宋体"/>
          <w:color w:val="auto"/>
          <w:highlight w:val="none"/>
          <w:lang w:eastAsia="zh-CN"/>
        </w:rPr>
        <w:t>8.因本合同的履行等发生争议的，守约方有权要求违约方承担的维权费用，包括但不限于诉讼费、保全费、保全保险费、公告费、鉴定费、评估费、律师费、交通费、差旅费等。</w:t>
      </w:r>
    </w:p>
    <w:p w14:paraId="36FF598F">
      <w:pPr>
        <w:spacing w:line="360" w:lineRule="auto"/>
        <w:ind w:firstLine="420"/>
        <w:rPr>
          <w:color w:val="auto"/>
          <w:highlight w:val="none"/>
          <w:lang w:eastAsia="zh-CN"/>
        </w:rPr>
      </w:pPr>
      <w:r>
        <w:rPr>
          <w:rFonts w:ascii="宋体" w:hAnsi="宋体" w:eastAsia="宋体" w:cs="宋体"/>
          <w:b/>
          <w:bCs/>
          <w:color w:val="auto"/>
          <w:highlight w:val="none"/>
          <w:lang w:eastAsia="zh-CN"/>
        </w:rPr>
        <w:t>第十条</w:t>
      </w:r>
      <w:r>
        <w:rPr>
          <w:rFonts w:hint="eastAsia" w:ascii="宋体" w:hAnsi="宋体" w:cs="宋体"/>
          <w:b/>
          <w:bCs/>
          <w:color w:val="auto"/>
          <w:highlight w:val="none"/>
          <w:lang w:val="en-US" w:eastAsia="zh-CN"/>
        </w:rPr>
        <w:t xml:space="preserve"> </w:t>
      </w:r>
      <w:r>
        <w:rPr>
          <w:rFonts w:ascii="宋体" w:hAnsi="宋体" w:eastAsia="宋体" w:cs="宋体"/>
          <w:b/>
          <w:bCs/>
          <w:color w:val="auto"/>
          <w:highlight w:val="none"/>
          <w:lang w:eastAsia="zh-CN"/>
        </w:rPr>
        <w:t>不可抗力事件处理</w:t>
      </w:r>
    </w:p>
    <w:p w14:paraId="6C4D077C">
      <w:pPr>
        <w:spacing w:line="360" w:lineRule="auto"/>
        <w:ind w:firstLine="420"/>
        <w:rPr>
          <w:color w:val="auto"/>
          <w:highlight w:val="none"/>
          <w:lang w:eastAsia="zh-CN"/>
        </w:rPr>
      </w:pPr>
      <w:r>
        <w:rPr>
          <w:rFonts w:ascii="宋体" w:hAnsi="宋体" w:eastAsia="宋体" w:cs="宋体"/>
          <w:color w:val="auto"/>
          <w:highlight w:val="none"/>
          <w:lang w:eastAsia="zh-CN"/>
        </w:rPr>
        <w:t>1</w:t>
      </w:r>
      <w:r>
        <w:rPr>
          <w:rFonts w:hint="eastAsia" w:ascii="宋体" w:hAnsi="宋体" w:cs="宋体"/>
          <w:color w:val="auto"/>
          <w:highlight w:val="none"/>
          <w:lang w:val="en-US" w:eastAsia="zh-CN"/>
        </w:rPr>
        <w:t>.</w:t>
      </w:r>
      <w:r>
        <w:rPr>
          <w:rFonts w:ascii="宋体" w:hAnsi="宋体" w:eastAsia="宋体" w:cs="宋体"/>
          <w:color w:val="auto"/>
          <w:highlight w:val="none"/>
          <w:lang w:eastAsia="zh-CN"/>
        </w:rPr>
        <w:t>在合同有效期内，任何一方因不可抗力事件导致不能履行合同，则合同履行期可延长，其延长期与不可抗力影响期相同。</w:t>
      </w:r>
    </w:p>
    <w:p w14:paraId="6D5E94A9">
      <w:pPr>
        <w:spacing w:line="360" w:lineRule="auto"/>
        <w:ind w:firstLine="420"/>
        <w:rPr>
          <w:color w:val="auto"/>
          <w:highlight w:val="none"/>
          <w:lang w:eastAsia="zh-CN"/>
        </w:rPr>
      </w:pPr>
      <w:r>
        <w:rPr>
          <w:rFonts w:ascii="宋体" w:hAnsi="宋体" w:eastAsia="宋体" w:cs="宋体"/>
          <w:color w:val="auto"/>
          <w:highlight w:val="none"/>
          <w:lang w:eastAsia="zh-CN"/>
        </w:rPr>
        <w:t>2</w:t>
      </w:r>
      <w:r>
        <w:rPr>
          <w:rFonts w:hint="eastAsia" w:ascii="宋体" w:hAnsi="宋体" w:cs="宋体"/>
          <w:color w:val="auto"/>
          <w:highlight w:val="none"/>
          <w:lang w:val="en-US" w:eastAsia="zh-CN"/>
        </w:rPr>
        <w:t>.</w:t>
      </w:r>
      <w:r>
        <w:rPr>
          <w:rFonts w:ascii="宋体" w:hAnsi="宋体" w:eastAsia="宋体" w:cs="宋体"/>
          <w:color w:val="auto"/>
          <w:highlight w:val="none"/>
          <w:lang w:eastAsia="zh-CN"/>
        </w:rPr>
        <w:t>不可抗力事件发生后，发生方应于48小时内通知对方，并于10日内寄送有关权威机构出具的证明。</w:t>
      </w:r>
    </w:p>
    <w:p w14:paraId="453425C4">
      <w:pPr>
        <w:spacing w:line="360" w:lineRule="auto"/>
        <w:ind w:firstLine="420"/>
        <w:rPr>
          <w:color w:val="auto"/>
          <w:highlight w:val="none"/>
          <w:lang w:eastAsia="zh-CN"/>
        </w:rPr>
      </w:pPr>
      <w:r>
        <w:rPr>
          <w:rFonts w:ascii="宋体" w:hAnsi="宋体" w:eastAsia="宋体" w:cs="宋体"/>
          <w:color w:val="auto"/>
          <w:highlight w:val="none"/>
          <w:lang w:eastAsia="zh-CN"/>
        </w:rPr>
        <w:t>3</w:t>
      </w:r>
      <w:r>
        <w:rPr>
          <w:rFonts w:hint="eastAsia" w:ascii="宋体" w:hAnsi="宋体" w:cs="宋体"/>
          <w:color w:val="auto"/>
          <w:highlight w:val="none"/>
          <w:lang w:val="en-US" w:eastAsia="zh-CN"/>
        </w:rPr>
        <w:t>.</w:t>
      </w:r>
      <w:r>
        <w:rPr>
          <w:rFonts w:ascii="宋体" w:hAnsi="宋体" w:eastAsia="宋体" w:cs="宋体"/>
          <w:color w:val="auto"/>
          <w:highlight w:val="none"/>
          <w:lang w:eastAsia="zh-CN"/>
        </w:rPr>
        <w:t>不可抗力事件延续一百二十天以上，双方应通过友好协商，确定是否继续履行合同。</w:t>
      </w:r>
    </w:p>
    <w:p w14:paraId="6ED61B1E">
      <w:pPr>
        <w:spacing w:line="360" w:lineRule="auto"/>
        <w:ind w:firstLine="420"/>
        <w:rPr>
          <w:color w:val="auto"/>
          <w:highlight w:val="none"/>
          <w:lang w:eastAsia="zh-CN"/>
        </w:rPr>
      </w:pPr>
      <w:r>
        <w:rPr>
          <w:rFonts w:ascii="宋体" w:hAnsi="宋体" w:eastAsia="宋体" w:cs="宋体"/>
          <w:b/>
          <w:bCs/>
          <w:color w:val="auto"/>
          <w:highlight w:val="none"/>
          <w:lang w:eastAsia="zh-CN"/>
        </w:rPr>
        <w:t>第十一条</w:t>
      </w:r>
      <w:r>
        <w:rPr>
          <w:rFonts w:hint="eastAsia" w:ascii="宋体" w:hAnsi="宋体" w:cs="宋体"/>
          <w:b/>
          <w:bCs/>
          <w:color w:val="auto"/>
          <w:highlight w:val="none"/>
          <w:lang w:val="en-US" w:eastAsia="zh-CN"/>
        </w:rPr>
        <w:t xml:space="preserve"> </w:t>
      </w:r>
      <w:r>
        <w:rPr>
          <w:rFonts w:ascii="宋体" w:hAnsi="宋体" w:eastAsia="宋体" w:cs="宋体"/>
          <w:b/>
          <w:bCs/>
          <w:color w:val="auto"/>
          <w:highlight w:val="none"/>
          <w:lang w:eastAsia="zh-CN"/>
        </w:rPr>
        <w:t>合同争议解决</w:t>
      </w:r>
    </w:p>
    <w:p w14:paraId="1F124389">
      <w:pPr>
        <w:spacing w:line="360" w:lineRule="auto"/>
        <w:ind w:firstLine="420"/>
        <w:rPr>
          <w:color w:val="auto"/>
          <w:highlight w:val="none"/>
          <w:lang w:eastAsia="zh-CN"/>
        </w:rPr>
      </w:pPr>
      <w:r>
        <w:rPr>
          <w:rStyle w:val="144"/>
          <w:rFonts w:ascii="宋体" w:hAnsi="宋体" w:eastAsia="宋体" w:cs="宋体"/>
          <w:color w:val="auto"/>
          <w:highlight w:val="none"/>
          <w:lang w:eastAsia="zh-CN"/>
        </w:rPr>
        <w:t>1</w:t>
      </w:r>
      <w:r>
        <w:rPr>
          <w:rStyle w:val="144"/>
          <w:rFonts w:hint="eastAsia" w:ascii="宋体" w:hAnsi="宋体" w:cs="宋体"/>
          <w:color w:val="auto"/>
          <w:highlight w:val="none"/>
          <w:lang w:val="en-US" w:eastAsia="zh-CN"/>
        </w:rPr>
        <w:t>.</w:t>
      </w:r>
      <w:r>
        <w:rPr>
          <w:rStyle w:val="144"/>
          <w:rFonts w:ascii="宋体" w:hAnsi="宋体" w:eastAsia="宋体" w:cs="宋体"/>
          <w:color w:val="auto"/>
          <w:highlight w:val="none"/>
          <w:lang w:eastAsia="zh-CN"/>
        </w:rPr>
        <w:t>因服务质量问题发生争议的，</w:t>
      </w:r>
      <w:r>
        <w:rPr>
          <w:rStyle w:val="145"/>
          <w:rFonts w:ascii="宋体" w:hAnsi="宋体" w:eastAsia="宋体" w:cs="宋体"/>
          <w:color w:val="auto"/>
          <w:highlight w:val="none"/>
          <w:lang w:eastAsia="zh-CN"/>
        </w:rPr>
        <w:t>双方</w:t>
      </w:r>
      <w:r>
        <w:rPr>
          <w:rStyle w:val="144"/>
          <w:rFonts w:ascii="宋体" w:hAnsi="宋体" w:eastAsia="宋体" w:cs="宋体"/>
          <w:color w:val="auto"/>
          <w:highlight w:val="none"/>
          <w:lang w:eastAsia="zh-CN"/>
        </w:rPr>
        <w:t>应</w:t>
      </w:r>
      <w:r>
        <w:rPr>
          <w:rStyle w:val="145"/>
          <w:rFonts w:ascii="宋体" w:hAnsi="宋体" w:eastAsia="宋体" w:cs="宋体"/>
          <w:color w:val="auto"/>
          <w:highlight w:val="none"/>
          <w:lang w:eastAsia="zh-CN"/>
        </w:rPr>
        <w:t>协商确定</w:t>
      </w:r>
      <w:r>
        <w:rPr>
          <w:rStyle w:val="144"/>
          <w:rFonts w:ascii="宋体" w:hAnsi="宋体" w:eastAsia="宋体" w:cs="宋体"/>
          <w:color w:val="auto"/>
          <w:highlight w:val="none"/>
          <w:lang w:eastAsia="zh-CN"/>
        </w:rPr>
        <w:t>国家认可的质量检测机构</w:t>
      </w:r>
      <w:r>
        <w:rPr>
          <w:rStyle w:val="145"/>
          <w:rFonts w:ascii="宋体" w:hAnsi="宋体" w:eastAsia="宋体" w:cs="宋体"/>
          <w:color w:val="auto"/>
          <w:highlight w:val="none"/>
          <w:lang w:eastAsia="zh-CN"/>
        </w:rPr>
        <w:t>；协商不成的，由甲方所在地的质量技术监督部门指定国家认可的质量检测机构</w:t>
      </w:r>
      <w:r>
        <w:rPr>
          <w:rStyle w:val="144"/>
          <w:rFonts w:ascii="宋体" w:hAnsi="宋体" w:eastAsia="宋体" w:cs="宋体"/>
          <w:color w:val="auto"/>
          <w:highlight w:val="none"/>
          <w:lang w:eastAsia="zh-CN"/>
        </w:rPr>
        <w:t>进行鉴定。服务符合标准的，鉴定费由甲方承担；服务不符合标准的，鉴定费由乙方承担。</w:t>
      </w:r>
    </w:p>
    <w:p w14:paraId="1C0ED764">
      <w:pPr>
        <w:spacing w:line="360" w:lineRule="auto"/>
        <w:ind w:firstLine="420"/>
        <w:rPr>
          <w:color w:val="auto"/>
          <w:highlight w:val="none"/>
          <w:lang w:eastAsia="zh-CN"/>
        </w:rPr>
      </w:pPr>
      <w:r>
        <w:rPr>
          <w:rFonts w:ascii="宋体" w:hAnsi="宋体" w:eastAsia="宋体" w:cs="宋体"/>
          <w:color w:val="auto"/>
          <w:highlight w:val="none"/>
          <w:lang w:eastAsia="zh-CN"/>
        </w:rPr>
        <w:t>2</w:t>
      </w:r>
      <w:r>
        <w:rPr>
          <w:rFonts w:hint="eastAsia" w:ascii="宋体" w:hAnsi="宋体" w:cs="宋体"/>
          <w:color w:val="auto"/>
          <w:highlight w:val="none"/>
          <w:lang w:val="en-US" w:eastAsia="zh-CN"/>
        </w:rPr>
        <w:t>.</w:t>
      </w:r>
      <w:r>
        <w:rPr>
          <w:rFonts w:ascii="宋体" w:hAnsi="宋体" w:eastAsia="宋体" w:cs="宋体"/>
          <w:color w:val="auto"/>
          <w:highlight w:val="none"/>
          <w:lang w:eastAsia="zh-CN"/>
        </w:rPr>
        <w:t>因履行本合同引起的或者与本合同有关的争议，甲乙双方应首先通过友好协商解决，如果协商不能解决，可向甲方所在地有管辖权的人民法院提起诉讼。</w:t>
      </w:r>
    </w:p>
    <w:p w14:paraId="287859A0">
      <w:pPr>
        <w:spacing w:line="360" w:lineRule="auto"/>
        <w:ind w:firstLine="420"/>
        <w:rPr>
          <w:color w:val="auto"/>
          <w:highlight w:val="none"/>
          <w:lang w:eastAsia="zh-CN"/>
        </w:rPr>
      </w:pPr>
      <w:r>
        <w:rPr>
          <w:rFonts w:ascii="宋体" w:hAnsi="宋体" w:eastAsia="宋体" w:cs="宋体"/>
          <w:color w:val="auto"/>
          <w:highlight w:val="none"/>
          <w:lang w:eastAsia="zh-CN"/>
        </w:rPr>
        <w:t>3</w:t>
      </w:r>
      <w:r>
        <w:rPr>
          <w:rFonts w:hint="eastAsia" w:ascii="宋体" w:hAnsi="宋体" w:cs="宋体"/>
          <w:color w:val="auto"/>
          <w:highlight w:val="none"/>
          <w:lang w:val="en-US" w:eastAsia="zh-CN"/>
        </w:rPr>
        <w:t>.</w:t>
      </w:r>
      <w:r>
        <w:rPr>
          <w:rFonts w:ascii="宋体" w:hAnsi="宋体" w:eastAsia="宋体" w:cs="宋体"/>
          <w:color w:val="auto"/>
          <w:highlight w:val="none"/>
          <w:lang w:eastAsia="zh-CN"/>
        </w:rPr>
        <w:t>诉讼期间，本合同继续履行。</w:t>
      </w:r>
    </w:p>
    <w:p w14:paraId="2D4911A7">
      <w:pPr>
        <w:spacing w:line="360" w:lineRule="auto"/>
        <w:ind w:firstLine="420"/>
        <w:rPr>
          <w:color w:val="auto"/>
          <w:highlight w:val="none"/>
          <w:lang w:eastAsia="zh-CN"/>
        </w:rPr>
      </w:pPr>
      <w:r>
        <w:rPr>
          <w:rFonts w:ascii="宋体" w:hAnsi="宋体" w:eastAsia="宋体" w:cs="宋体"/>
          <w:b/>
          <w:bCs/>
          <w:color w:val="auto"/>
          <w:highlight w:val="none"/>
          <w:lang w:eastAsia="zh-CN"/>
        </w:rPr>
        <w:t>第十二条</w:t>
      </w:r>
      <w:r>
        <w:rPr>
          <w:rFonts w:hint="eastAsia" w:ascii="宋体" w:hAnsi="宋体" w:cs="宋体"/>
          <w:b/>
          <w:bCs/>
          <w:color w:val="auto"/>
          <w:highlight w:val="none"/>
          <w:lang w:val="en-US" w:eastAsia="zh-CN"/>
        </w:rPr>
        <w:t xml:space="preserve"> </w:t>
      </w:r>
      <w:r>
        <w:rPr>
          <w:rFonts w:ascii="宋体" w:hAnsi="宋体" w:eastAsia="宋体" w:cs="宋体"/>
          <w:b/>
          <w:bCs/>
          <w:color w:val="auto"/>
          <w:highlight w:val="none"/>
          <w:lang w:eastAsia="zh-CN"/>
        </w:rPr>
        <w:t>合同生效及其它</w:t>
      </w:r>
    </w:p>
    <w:p w14:paraId="0D30D690">
      <w:pPr>
        <w:spacing w:line="360" w:lineRule="auto"/>
        <w:ind w:firstLine="420"/>
        <w:rPr>
          <w:color w:val="auto"/>
          <w:highlight w:val="none"/>
          <w:lang w:eastAsia="zh-CN"/>
        </w:rPr>
      </w:pPr>
      <w:r>
        <w:rPr>
          <w:rFonts w:ascii="宋体" w:hAnsi="宋体" w:eastAsia="宋体" w:cs="宋体"/>
          <w:color w:val="auto"/>
          <w:highlight w:val="none"/>
          <w:lang w:eastAsia="zh-CN"/>
        </w:rPr>
        <w:t>1</w:t>
      </w:r>
      <w:r>
        <w:rPr>
          <w:rFonts w:hint="eastAsia" w:ascii="宋体" w:hAnsi="宋体" w:cs="宋体"/>
          <w:color w:val="auto"/>
          <w:highlight w:val="none"/>
          <w:lang w:val="en-US" w:eastAsia="zh-CN"/>
        </w:rPr>
        <w:t>.</w:t>
      </w:r>
      <w:r>
        <w:rPr>
          <w:rFonts w:ascii="宋体" w:hAnsi="宋体" w:eastAsia="宋体" w:cs="宋体"/>
          <w:color w:val="auto"/>
          <w:highlight w:val="none"/>
          <w:lang w:eastAsia="zh-CN"/>
        </w:rPr>
        <w:t>合同经双方法定代表人或者授权代表签字并加盖单位公章后生效（委托代理人签字的需后附授权委托书，格式自拟）。</w:t>
      </w:r>
    </w:p>
    <w:p w14:paraId="037DBA54">
      <w:pPr>
        <w:spacing w:line="360" w:lineRule="auto"/>
        <w:ind w:firstLine="420"/>
        <w:rPr>
          <w:color w:val="auto"/>
          <w:highlight w:val="none"/>
          <w:lang w:eastAsia="zh-CN"/>
        </w:rPr>
      </w:pPr>
      <w:r>
        <w:rPr>
          <w:rFonts w:ascii="宋体" w:hAnsi="宋体" w:eastAsia="宋体" w:cs="宋体"/>
          <w:color w:val="auto"/>
          <w:highlight w:val="none"/>
          <w:lang w:eastAsia="zh-CN"/>
        </w:rPr>
        <w:t>2</w:t>
      </w:r>
      <w:r>
        <w:rPr>
          <w:rFonts w:hint="eastAsia" w:ascii="宋体" w:hAnsi="宋体" w:cs="宋体"/>
          <w:color w:val="auto"/>
          <w:highlight w:val="none"/>
          <w:lang w:val="en-US" w:eastAsia="zh-CN"/>
        </w:rPr>
        <w:t>.</w:t>
      </w:r>
      <w:r>
        <w:rPr>
          <w:rFonts w:ascii="宋体" w:hAnsi="宋体" w:eastAsia="宋体" w:cs="宋体"/>
          <w:color w:val="auto"/>
          <w:highlight w:val="none"/>
          <w:lang w:eastAsia="zh-CN"/>
        </w:rPr>
        <w:t>合同执行中涉及采购资金和采购内容修改或者补充的，须经财政部门审批，并签书面补充协议报财政部门备案，方可作为主合同不可分割的一部分。</w:t>
      </w:r>
    </w:p>
    <w:p w14:paraId="5ABD3C20">
      <w:pPr>
        <w:spacing w:line="360" w:lineRule="auto"/>
        <w:ind w:firstLine="420"/>
        <w:rPr>
          <w:color w:val="auto"/>
          <w:highlight w:val="none"/>
          <w:lang w:eastAsia="zh-CN"/>
        </w:rPr>
      </w:pPr>
      <w:r>
        <w:rPr>
          <w:rFonts w:ascii="宋体" w:hAnsi="宋体" w:eastAsia="宋体" w:cs="宋体"/>
          <w:color w:val="auto"/>
          <w:highlight w:val="none"/>
          <w:lang w:eastAsia="zh-CN"/>
        </w:rPr>
        <w:t>3</w:t>
      </w:r>
      <w:r>
        <w:rPr>
          <w:rFonts w:hint="eastAsia" w:ascii="宋体" w:hAnsi="宋体" w:cs="宋体"/>
          <w:color w:val="auto"/>
          <w:highlight w:val="none"/>
          <w:lang w:val="en-US" w:eastAsia="zh-CN"/>
        </w:rPr>
        <w:t>.</w:t>
      </w:r>
      <w:r>
        <w:rPr>
          <w:rFonts w:ascii="宋体" w:hAnsi="宋体" w:eastAsia="宋体" w:cs="宋体"/>
          <w:color w:val="auto"/>
          <w:highlight w:val="none"/>
          <w:lang w:eastAsia="zh-CN"/>
        </w:rPr>
        <w:t>本合同未尽事宜，遵照《中华人民共和国民法典》有关条文执行。</w:t>
      </w:r>
    </w:p>
    <w:p w14:paraId="006973EA">
      <w:pPr>
        <w:spacing w:line="360" w:lineRule="auto"/>
        <w:ind w:firstLine="420"/>
        <w:rPr>
          <w:color w:val="auto"/>
          <w:highlight w:val="none"/>
          <w:lang w:eastAsia="zh-CN"/>
        </w:rPr>
      </w:pPr>
      <w:r>
        <w:rPr>
          <w:rFonts w:ascii="宋体" w:hAnsi="宋体" w:eastAsia="宋体" w:cs="宋体"/>
          <w:b/>
          <w:bCs/>
          <w:color w:val="auto"/>
          <w:highlight w:val="none"/>
          <w:lang w:eastAsia="zh-CN"/>
        </w:rPr>
        <w:t>第十三条</w:t>
      </w:r>
      <w:r>
        <w:rPr>
          <w:rFonts w:hint="eastAsia" w:ascii="宋体" w:hAnsi="宋体" w:cs="宋体"/>
          <w:b/>
          <w:bCs/>
          <w:color w:val="auto"/>
          <w:highlight w:val="none"/>
          <w:lang w:val="en-US" w:eastAsia="zh-CN"/>
        </w:rPr>
        <w:t xml:space="preserve"> </w:t>
      </w:r>
      <w:r>
        <w:rPr>
          <w:rFonts w:ascii="宋体" w:hAnsi="宋体" w:eastAsia="宋体" w:cs="宋体"/>
          <w:b/>
          <w:bCs/>
          <w:color w:val="auto"/>
          <w:highlight w:val="none"/>
          <w:lang w:eastAsia="zh-CN"/>
        </w:rPr>
        <w:t>合同的变更、终止与转让</w:t>
      </w:r>
    </w:p>
    <w:p w14:paraId="6A48E224">
      <w:pPr>
        <w:spacing w:line="360" w:lineRule="auto"/>
        <w:ind w:firstLine="420"/>
        <w:rPr>
          <w:color w:val="auto"/>
          <w:highlight w:val="none"/>
          <w:lang w:eastAsia="zh-CN"/>
        </w:rPr>
      </w:pPr>
      <w:r>
        <w:rPr>
          <w:rFonts w:ascii="宋体" w:hAnsi="宋体" w:eastAsia="宋体" w:cs="宋体"/>
          <w:color w:val="auto"/>
          <w:highlight w:val="none"/>
          <w:lang w:eastAsia="zh-CN"/>
        </w:rPr>
        <w:t>1</w:t>
      </w:r>
      <w:r>
        <w:rPr>
          <w:rFonts w:hint="eastAsia" w:ascii="宋体" w:hAnsi="宋体" w:cs="宋体"/>
          <w:color w:val="auto"/>
          <w:highlight w:val="none"/>
          <w:lang w:val="en-US" w:eastAsia="zh-CN"/>
        </w:rPr>
        <w:t>.</w:t>
      </w:r>
      <w:r>
        <w:rPr>
          <w:rFonts w:ascii="宋体" w:hAnsi="宋体" w:eastAsia="宋体" w:cs="宋体"/>
          <w:color w:val="auto"/>
          <w:highlight w:val="none"/>
          <w:lang w:eastAsia="zh-CN"/>
        </w:rPr>
        <w:t>除《中华人民共和国政府采购法》第五十条规定的情形外，本合同一经签订，甲乙双方不得擅自变更、中止或者终止。</w:t>
      </w:r>
    </w:p>
    <w:p w14:paraId="6CEBCCE2">
      <w:pPr>
        <w:spacing w:line="360" w:lineRule="auto"/>
        <w:ind w:firstLine="420"/>
        <w:rPr>
          <w:color w:val="auto"/>
          <w:highlight w:val="none"/>
          <w:lang w:eastAsia="zh-CN"/>
        </w:rPr>
      </w:pPr>
      <w:r>
        <w:rPr>
          <w:rFonts w:ascii="宋体" w:hAnsi="宋体" w:eastAsia="宋体" w:cs="宋体"/>
          <w:color w:val="auto"/>
          <w:highlight w:val="none"/>
          <w:lang w:eastAsia="zh-CN"/>
        </w:rPr>
        <w:t>2</w:t>
      </w:r>
      <w:r>
        <w:rPr>
          <w:rFonts w:hint="eastAsia" w:ascii="宋体" w:hAnsi="宋体" w:cs="宋体"/>
          <w:color w:val="auto"/>
          <w:highlight w:val="none"/>
          <w:lang w:val="en-US" w:eastAsia="zh-CN"/>
        </w:rPr>
        <w:t>.</w:t>
      </w:r>
      <w:r>
        <w:rPr>
          <w:rFonts w:ascii="宋体" w:hAnsi="宋体" w:eastAsia="宋体" w:cs="宋体"/>
          <w:color w:val="auto"/>
          <w:highlight w:val="none"/>
          <w:lang w:eastAsia="zh-CN"/>
        </w:rPr>
        <w:t>乙方不得擅自转让其应履行的合同义务。</w:t>
      </w:r>
    </w:p>
    <w:p w14:paraId="14BB1CD3">
      <w:pPr>
        <w:spacing w:line="360" w:lineRule="auto"/>
        <w:ind w:firstLine="420"/>
        <w:rPr>
          <w:color w:val="auto"/>
          <w:highlight w:val="none"/>
          <w:lang w:eastAsia="zh-CN"/>
        </w:rPr>
      </w:pPr>
      <w:r>
        <w:rPr>
          <w:rFonts w:ascii="宋体" w:hAnsi="宋体" w:eastAsia="宋体" w:cs="宋体"/>
          <w:b/>
          <w:bCs/>
          <w:color w:val="auto"/>
          <w:highlight w:val="none"/>
          <w:lang w:eastAsia="zh-CN"/>
        </w:rPr>
        <w:t>第十四条</w:t>
      </w:r>
      <w:r>
        <w:rPr>
          <w:rFonts w:hint="eastAsia" w:ascii="宋体" w:hAnsi="宋体" w:cs="宋体"/>
          <w:b/>
          <w:bCs/>
          <w:color w:val="auto"/>
          <w:highlight w:val="none"/>
          <w:lang w:val="en-US" w:eastAsia="zh-CN"/>
        </w:rPr>
        <w:t xml:space="preserve"> </w:t>
      </w:r>
      <w:r>
        <w:rPr>
          <w:rFonts w:ascii="宋体" w:hAnsi="宋体" w:eastAsia="宋体" w:cs="宋体"/>
          <w:b/>
          <w:bCs/>
          <w:color w:val="auto"/>
          <w:highlight w:val="none"/>
          <w:lang w:eastAsia="zh-CN"/>
        </w:rPr>
        <w:t>签订本合同依据</w:t>
      </w:r>
    </w:p>
    <w:p w14:paraId="7B768DA9">
      <w:pPr>
        <w:spacing w:line="360" w:lineRule="auto"/>
        <w:ind w:firstLine="420" w:firstLineChars="200"/>
        <w:rPr>
          <w:rStyle w:val="147"/>
          <w:rFonts w:ascii="宋体" w:hAnsi="宋体" w:eastAsia="宋体" w:cs="宋体"/>
          <w:color w:val="auto"/>
          <w:highlight w:val="none"/>
          <w:lang w:eastAsia="zh-CN"/>
        </w:rPr>
      </w:pPr>
      <w:r>
        <w:rPr>
          <w:rStyle w:val="146"/>
          <w:rFonts w:ascii="宋体" w:hAnsi="宋体" w:eastAsia="宋体" w:cs="宋体"/>
          <w:color w:val="auto"/>
          <w:highlight w:val="none"/>
          <w:lang w:eastAsia="zh-CN"/>
        </w:rPr>
        <w:t>1</w:t>
      </w:r>
      <w:r>
        <w:rPr>
          <w:rStyle w:val="146"/>
          <w:rFonts w:hint="eastAsia" w:ascii="宋体" w:hAnsi="宋体" w:cs="宋体"/>
          <w:color w:val="auto"/>
          <w:highlight w:val="none"/>
          <w:lang w:val="en-US" w:eastAsia="zh-CN"/>
        </w:rPr>
        <w:t>.</w:t>
      </w:r>
      <w:r>
        <w:rPr>
          <w:rStyle w:val="147"/>
          <w:rFonts w:ascii="宋体" w:hAnsi="宋体" w:eastAsia="宋体" w:cs="宋体"/>
          <w:color w:val="auto"/>
          <w:highlight w:val="none"/>
          <w:lang w:eastAsia="zh-CN"/>
        </w:rPr>
        <w:t>磋商文件；</w:t>
      </w:r>
    </w:p>
    <w:p w14:paraId="37DA3E2E">
      <w:pPr>
        <w:spacing w:line="360" w:lineRule="auto"/>
        <w:ind w:firstLine="420" w:firstLineChars="200"/>
        <w:rPr>
          <w:rStyle w:val="146"/>
          <w:rFonts w:ascii="宋体" w:hAnsi="宋体" w:eastAsia="宋体" w:cs="宋体"/>
          <w:color w:val="auto"/>
          <w:highlight w:val="none"/>
          <w:lang w:eastAsia="zh-CN"/>
        </w:rPr>
      </w:pPr>
      <w:r>
        <w:rPr>
          <w:rStyle w:val="147"/>
          <w:rFonts w:ascii="宋体" w:hAnsi="宋体" w:eastAsia="宋体" w:cs="宋体"/>
          <w:color w:val="auto"/>
          <w:highlight w:val="none"/>
          <w:lang w:eastAsia="zh-CN"/>
        </w:rPr>
        <w:t>2</w:t>
      </w:r>
      <w:r>
        <w:rPr>
          <w:rStyle w:val="147"/>
          <w:rFonts w:hint="eastAsia" w:ascii="宋体" w:hAnsi="宋体" w:cs="宋体"/>
          <w:color w:val="auto"/>
          <w:highlight w:val="none"/>
          <w:lang w:val="en-US" w:eastAsia="zh-CN"/>
        </w:rPr>
        <w:t>.</w:t>
      </w:r>
      <w:r>
        <w:rPr>
          <w:rStyle w:val="146"/>
          <w:rFonts w:ascii="宋体" w:hAnsi="宋体" w:eastAsia="宋体" w:cs="宋体"/>
          <w:color w:val="auto"/>
          <w:highlight w:val="none"/>
          <w:lang w:eastAsia="zh-CN"/>
        </w:rPr>
        <w:t>成交通知书；</w:t>
      </w:r>
    </w:p>
    <w:p w14:paraId="60B39011">
      <w:pPr>
        <w:spacing w:line="360" w:lineRule="auto"/>
        <w:ind w:firstLine="420" w:firstLineChars="200"/>
        <w:rPr>
          <w:rStyle w:val="146"/>
          <w:rFonts w:ascii="宋体" w:hAnsi="宋体" w:eastAsia="宋体" w:cs="宋体"/>
          <w:color w:val="auto"/>
          <w:highlight w:val="none"/>
          <w:lang w:eastAsia="zh-CN"/>
        </w:rPr>
      </w:pPr>
      <w:r>
        <w:rPr>
          <w:rStyle w:val="147"/>
          <w:rFonts w:ascii="宋体" w:hAnsi="宋体" w:eastAsia="宋体" w:cs="宋体"/>
          <w:color w:val="auto"/>
          <w:highlight w:val="none"/>
          <w:lang w:eastAsia="zh-CN"/>
        </w:rPr>
        <w:t>3</w:t>
      </w:r>
      <w:r>
        <w:rPr>
          <w:rStyle w:val="146"/>
          <w:rFonts w:hint="eastAsia" w:ascii="宋体" w:hAnsi="宋体" w:cs="宋体"/>
          <w:color w:val="auto"/>
          <w:highlight w:val="none"/>
          <w:lang w:val="en-US" w:eastAsia="zh-CN"/>
        </w:rPr>
        <w:t>.</w:t>
      </w:r>
      <w:r>
        <w:rPr>
          <w:rStyle w:val="146"/>
          <w:rFonts w:ascii="宋体" w:hAnsi="宋体" w:eastAsia="宋体" w:cs="宋体"/>
          <w:color w:val="auto"/>
          <w:highlight w:val="none"/>
          <w:lang w:eastAsia="zh-CN"/>
        </w:rPr>
        <w:t>竞标报价表；</w:t>
      </w:r>
    </w:p>
    <w:p w14:paraId="3481F9AD">
      <w:pPr>
        <w:spacing w:line="360" w:lineRule="auto"/>
        <w:ind w:firstLine="420" w:firstLineChars="200"/>
        <w:rPr>
          <w:rStyle w:val="146"/>
          <w:rFonts w:ascii="宋体" w:hAnsi="宋体" w:eastAsia="宋体" w:cs="宋体"/>
          <w:color w:val="auto"/>
          <w:highlight w:val="none"/>
          <w:lang w:eastAsia="zh-CN"/>
        </w:rPr>
      </w:pPr>
      <w:r>
        <w:rPr>
          <w:rStyle w:val="147"/>
          <w:rFonts w:ascii="宋体" w:hAnsi="宋体" w:eastAsia="宋体" w:cs="宋体"/>
          <w:color w:val="auto"/>
          <w:highlight w:val="none"/>
          <w:lang w:eastAsia="zh-CN"/>
        </w:rPr>
        <w:t>4</w:t>
      </w:r>
      <w:r>
        <w:rPr>
          <w:rStyle w:val="146"/>
          <w:rFonts w:hint="eastAsia" w:ascii="宋体" w:hAnsi="宋体" w:cs="宋体"/>
          <w:color w:val="auto"/>
          <w:highlight w:val="none"/>
          <w:lang w:val="en-US" w:eastAsia="zh-CN"/>
        </w:rPr>
        <w:t>.</w:t>
      </w:r>
      <w:r>
        <w:rPr>
          <w:rStyle w:val="146"/>
          <w:rFonts w:ascii="宋体" w:hAnsi="宋体" w:eastAsia="宋体" w:cs="宋体"/>
          <w:color w:val="auto"/>
          <w:highlight w:val="none"/>
          <w:lang w:eastAsia="zh-CN"/>
        </w:rPr>
        <w:t>采购需求；</w:t>
      </w:r>
    </w:p>
    <w:p w14:paraId="20A576F3">
      <w:pPr>
        <w:spacing w:line="360" w:lineRule="auto"/>
        <w:ind w:firstLine="420" w:firstLineChars="200"/>
        <w:rPr>
          <w:rStyle w:val="146"/>
          <w:rFonts w:ascii="宋体" w:hAnsi="宋体" w:eastAsia="宋体" w:cs="宋体"/>
          <w:color w:val="auto"/>
          <w:highlight w:val="none"/>
          <w:lang w:eastAsia="zh-CN"/>
        </w:rPr>
      </w:pPr>
      <w:r>
        <w:rPr>
          <w:rStyle w:val="147"/>
          <w:rFonts w:ascii="宋体" w:hAnsi="宋体" w:eastAsia="宋体" w:cs="宋体"/>
          <w:color w:val="auto"/>
          <w:highlight w:val="none"/>
          <w:lang w:eastAsia="zh-CN"/>
        </w:rPr>
        <w:t>5</w:t>
      </w:r>
      <w:r>
        <w:rPr>
          <w:rStyle w:val="146"/>
          <w:rFonts w:hint="eastAsia" w:ascii="宋体" w:hAnsi="宋体" w:cs="宋体"/>
          <w:color w:val="auto"/>
          <w:highlight w:val="none"/>
          <w:lang w:val="en-US" w:eastAsia="zh-CN"/>
        </w:rPr>
        <w:t>.</w:t>
      </w:r>
      <w:r>
        <w:rPr>
          <w:rStyle w:val="146"/>
          <w:rFonts w:ascii="宋体" w:hAnsi="宋体" w:eastAsia="宋体" w:cs="宋体"/>
          <w:color w:val="auto"/>
          <w:highlight w:val="none"/>
          <w:lang w:eastAsia="zh-CN"/>
        </w:rPr>
        <w:t>商务要求偏离表和技术要求偏离表；</w:t>
      </w:r>
    </w:p>
    <w:p w14:paraId="05E9E77F">
      <w:pPr>
        <w:spacing w:line="360" w:lineRule="auto"/>
        <w:ind w:firstLine="420" w:firstLineChars="200"/>
        <w:rPr>
          <w:rStyle w:val="146"/>
          <w:rFonts w:ascii="宋体" w:hAnsi="宋体" w:eastAsia="宋体" w:cs="宋体"/>
          <w:color w:val="auto"/>
          <w:highlight w:val="none"/>
          <w:lang w:eastAsia="zh-CN"/>
        </w:rPr>
      </w:pPr>
      <w:r>
        <w:rPr>
          <w:rStyle w:val="147"/>
          <w:rFonts w:ascii="宋体" w:hAnsi="宋体" w:eastAsia="宋体" w:cs="宋体"/>
          <w:color w:val="auto"/>
          <w:highlight w:val="none"/>
          <w:lang w:eastAsia="zh-CN"/>
        </w:rPr>
        <w:t>6</w:t>
      </w:r>
      <w:r>
        <w:rPr>
          <w:rStyle w:val="146"/>
          <w:rFonts w:hint="eastAsia" w:ascii="宋体" w:hAnsi="宋体" w:cs="宋体"/>
          <w:color w:val="auto"/>
          <w:highlight w:val="none"/>
          <w:lang w:val="en-US" w:eastAsia="zh-CN"/>
        </w:rPr>
        <w:t>.</w:t>
      </w:r>
      <w:r>
        <w:rPr>
          <w:rStyle w:val="146"/>
          <w:rFonts w:ascii="宋体" w:hAnsi="宋体" w:eastAsia="宋体" w:cs="宋体"/>
          <w:color w:val="auto"/>
          <w:highlight w:val="none"/>
          <w:lang w:eastAsia="zh-CN"/>
        </w:rPr>
        <w:t>服务方案；</w:t>
      </w:r>
    </w:p>
    <w:p w14:paraId="0AC94241">
      <w:pPr>
        <w:spacing w:line="360" w:lineRule="auto"/>
        <w:ind w:firstLine="420" w:firstLineChars="200"/>
        <w:rPr>
          <w:rStyle w:val="149"/>
          <w:rFonts w:ascii="宋体" w:hAnsi="宋体" w:eastAsia="宋体" w:cs="宋体"/>
          <w:color w:val="auto"/>
          <w:highlight w:val="none"/>
          <w:lang w:eastAsia="zh-CN"/>
        </w:rPr>
      </w:pPr>
      <w:r>
        <w:rPr>
          <w:rStyle w:val="148"/>
          <w:rFonts w:ascii="宋体" w:hAnsi="宋体" w:eastAsia="宋体" w:cs="宋体"/>
          <w:color w:val="auto"/>
          <w:highlight w:val="none"/>
          <w:lang w:eastAsia="zh-CN"/>
        </w:rPr>
        <w:t>7</w:t>
      </w:r>
      <w:r>
        <w:rPr>
          <w:rStyle w:val="148"/>
          <w:rFonts w:hint="eastAsia" w:ascii="宋体" w:hAnsi="宋体" w:cs="宋体"/>
          <w:color w:val="auto"/>
          <w:highlight w:val="none"/>
          <w:lang w:val="en-US" w:eastAsia="zh-CN"/>
        </w:rPr>
        <w:t>.</w:t>
      </w:r>
      <w:r>
        <w:rPr>
          <w:rStyle w:val="149"/>
          <w:rFonts w:ascii="宋体" w:hAnsi="宋体" w:eastAsia="宋体" w:cs="宋体"/>
          <w:color w:val="auto"/>
          <w:highlight w:val="none"/>
          <w:lang w:eastAsia="zh-CN"/>
        </w:rPr>
        <w:t>响应文件中的其他相关文件；</w:t>
      </w:r>
    </w:p>
    <w:p w14:paraId="6E45BF19">
      <w:pPr>
        <w:spacing w:line="360" w:lineRule="auto"/>
        <w:ind w:firstLine="420" w:firstLineChars="200"/>
        <w:rPr>
          <w:color w:val="auto"/>
          <w:highlight w:val="none"/>
          <w:lang w:eastAsia="zh-CN"/>
        </w:rPr>
      </w:pPr>
      <w:r>
        <w:rPr>
          <w:rStyle w:val="149"/>
          <w:rFonts w:ascii="宋体" w:hAnsi="宋体" w:eastAsia="宋体" w:cs="宋体"/>
          <w:color w:val="auto"/>
          <w:highlight w:val="none"/>
          <w:lang w:eastAsia="zh-CN"/>
        </w:rPr>
        <w:t>8</w:t>
      </w:r>
      <w:r>
        <w:rPr>
          <w:rStyle w:val="149"/>
          <w:rFonts w:hint="eastAsia" w:ascii="宋体" w:hAnsi="宋体" w:cs="宋体"/>
          <w:color w:val="auto"/>
          <w:highlight w:val="none"/>
          <w:lang w:val="en-US" w:eastAsia="zh-CN"/>
        </w:rPr>
        <w:t>.</w:t>
      </w:r>
      <w:r>
        <w:rPr>
          <w:rStyle w:val="148"/>
          <w:rFonts w:ascii="宋体" w:hAnsi="宋体" w:eastAsia="宋体" w:cs="宋体"/>
          <w:color w:val="auto"/>
          <w:highlight w:val="none"/>
          <w:lang w:eastAsia="zh-CN"/>
        </w:rPr>
        <w:t>上述合同文件互相补充和解释。如果合同文件之间存在矛盾或者不一致之处，以上述文件的排列顺序在先者为准；</w:t>
      </w:r>
    </w:p>
    <w:p w14:paraId="354C7E13">
      <w:pPr>
        <w:spacing w:line="360" w:lineRule="auto"/>
        <w:ind w:firstLine="420"/>
        <w:rPr>
          <w:color w:val="auto"/>
          <w:highlight w:val="none"/>
          <w:lang w:eastAsia="zh-CN"/>
        </w:rPr>
      </w:pPr>
      <w:r>
        <w:rPr>
          <w:rFonts w:ascii="宋体" w:hAnsi="宋体" w:eastAsia="宋体" w:cs="宋体"/>
          <w:b/>
          <w:bCs/>
          <w:color w:val="auto"/>
          <w:highlight w:val="none"/>
          <w:lang w:eastAsia="zh-CN"/>
        </w:rPr>
        <w:t>第十五条</w:t>
      </w:r>
      <w:r>
        <w:rPr>
          <w:rFonts w:hint="eastAsia" w:ascii="宋体" w:hAnsi="宋体" w:cs="宋体"/>
          <w:b/>
          <w:bCs/>
          <w:color w:val="auto"/>
          <w:highlight w:val="none"/>
          <w:lang w:val="en-US" w:eastAsia="zh-CN"/>
        </w:rPr>
        <w:t xml:space="preserve"> </w:t>
      </w:r>
      <w:r>
        <w:rPr>
          <w:rFonts w:ascii="宋体" w:hAnsi="宋体" w:eastAsia="宋体" w:cs="宋体"/>
          <w:color w:val="auto"/>
          <w:highlight w:val="none"/>
          <w:lang w:eastAsia="zh-CN"/>
        </w:rPr>
        <w:t>本合同一式六份，具有同等法律效力，财政部门（政府采购监管部门）、采购代理机构各一份，甲乙双方各二份（可根据需要另增加）。</w:t>
      </w:r>
    </w:p>
    <w:p w14:paraId="7DE2C816">
      <w:pPr>
        <w:spacing w:line="360" w:lineRule="auto"/>
        <w:ind w:firstLine="420"/>
        <w:rPr>
          <w:color w:val="auto"/>
          <w:highlight w:val="none"/>
          <w:lang w:eastAsia="zh-CN"/>
        </w:rPr>
      </w:pPr>
      <w:r>
        <w:rPr>
          <w:rFonts w:ascii="宋体" w:hAnsi="宋体" w:eastAsia="宋体" w:cs="宋体"/>
          <w:color w:val="auto"/>
          <w:highlight w:val="none"/>
          <w:lang w:eastAsia="zh-CN"/>
        </w:rPr>
        <w:t>本合同经甲乙双方法定代表人或者授权代表签字并加盖单位公章后生效，自签订之日起七个工作日内，甲方应当将合同副本报同级财政部门备案。</w:t>
      </w:r>
    </w:p>
    <w:p w14:paraId="3DE8C911">
      <w:pPr>
        <w:spacing w:before="210" w:after="210"/>
        <w:ind w:firstLine="420"/>
        <w:rPr>
          <w:color w:val="auto"/>
          <w:highlight w:val="none"/>
          <w:lang w:eastAsia="zh-CN"/>
        </w:rPr>
      </w:pPr>
      <w:r>
        <w:rPr>
          <w:rFonts w:ascii="宋体" w:hAnsi="宋体" w:eastAsia="宋体" w:cs="宋体"/>
          <w:color w:val="auto"/>
          <w:highlight w:val="none"/>
          <w:lang w:eastAsia="zh-CN"/>
        </w:rPr>
        <w:t>甲乙双方确认本合同落款处载明的地址、联系电话为双方履行本合同的通知及司法送达地址，任何通知按该地址寄送后，经过合理在途期限即视为有效送达；一方变更送达地址的，应当提前3个工作日书面通知对方，否则仍以原地址为有效送达地址。</w:t>
      </w:r>
    </w:p>
    <w:p w14:paraId="226A110C">
      <w:pPr>
        <w:spacing w:line="360" w:lineRule="auto"/>
        <w:ind w:firstLine="420"/>
        <w:rPr>
          <w:color w:val="auto"/>
          <w:highlight w:val="none"/>
          <w:lang w:eastAsia="zh-CN"/>
        </w:rPr>
      </w:pPr>
      <w:r>
        <w:rPr>
          <w:rFonts w:ascii="宋体" w:hAnsi="宋体" w:eastAsia="宋体" w:cs="宋体"/>
          <w:color w:val="auto"/>
          <w:highlight w:val="none"/>
          <w:lang w:eastAsia="zh-CN"/>
        </w:rPr>
        <w:t>本合同自签订之日起2个工作日内，甲方应当将采购合同在广西壮族自治区财政厅指定的媒体上公告。</w:t>
      </w:r>
    </w:p>
    <w:tbl>
      <w:tblPr>
        <w:tblStyle w:val="31"/>
        <w:tblW w:w="920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99"/>
        <w:gridCol w:w="4603"/>
      </w:tblGrid>
      <w:tr w14:paraId="420926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80" w:hRule="atLeast"/>
        </w:trPr>
        <w:tc>
          <w:tcPr>
            <w:tcW w:w="4599" w:type="dxa"/>
            <w:tcBorders>
              <w:bottom w:val="single" w:color="000000" w:sz="4" w:space="0"/>
              <w:right w:val="single" w:color="000000" w:sz="4" w:space="0"/>
            </w:tcBorders>
            <w:tcMar>
              <w:top w:w="0" w:type="dxa"/>
              <w:left w:w="108" w:type="dxa"/>
              <w:bottom w:w="0" w:type="dxa"/>
              <w:right w:w="108" w:type="dxa"/>
            </w:tcMar>
            <w:vAlign w:val="center"/>
          </w:tcPr>
          <w:p w14:paraId="65E7B7CE">
            <w:pPr>
              <w:spacing w:line="360" w:lineRule="auto"/>
              <w:rPr>
                <w:color w:val="auto"/>
                <w:highlight w:val="none"/>
              </w:rPr>
            </w:pPr>
            <w:r>
              <w:rPr>
                <w:rFonts w:ascii="宋体" w:hAnsi="宋体" w:eastAsia="宋体" w:cs="宋体"/>
                <w:color w:val="auto"/>
                <w:highlight w:val="none"/>
              </w:rPr>
              <w:t>甲方：（章）</w:t>
            </w:r>
          </w:p>
          <w:p w14:paraId="3193215A">
            <w:pPr>
              <w:spacing w:line="360" w:lineRule="auto"/>
              <w:rPr>
                <w:rFonts w:hint="eastAsia" w:ascii="宋体" w:hAnsi="宋体" w:eastAsia="宋体" w:cs="宋体"/>
                <w:color w:val="auto"/>
                <w:highlight w:val="none"/>
              </w:rPr>
            </w:pPr>
          </w:p>
          <w:p w14:paraId="2DD850FE">
            <w:pPr>
              <w:spacing w:line="360" w:lineRule="auto"/>
              <w:rPr>
                <w:rFonts w:hint="eastAsia" w:ascii="宋体" w:hAnsi="宋体" w:eastAsia="宋体" w:cs="宋体"/>
                <w:color w:val="auto"/>
                <w:highlight w:val="none"/>
              </w:rPr>
            </w:pPr>
          </w:p>
          <w:p w14:paraId="297F6F50">
            <w:pPr>
              <w:spacing w:line="360" w:lineRule="auto"/>
              <w:ind w:firstLine="945"/>
              <w:jc w:val="right"/>
              <w:rPr>
                <w:rFonts w:hint="eastAsia" w:ascii="宋体" w:hAnsi="宋体" w:eastAsia="宋体" w:cs="宋体"/>
                <w:color w:val="auto"/>
                <w:highlight w:val="none"/>
              </w:rPr>
            </w:pPr>
          </w:p>
          <w:p w14:paraId="1AC66DE4">
            <w:pPr>
              <w:spacing w:line="360" w:lineRule="auto"/>
              <w:ind w:firstLine="945"/>
              <w:jc w:val="right"/>
              <w:rPr>
                <w:color w:val="auto"/>
                <w:highlight w:val="none"/>
              </w:rPr>
            </w:pPr>
            <w:r>
              <w:rPr>
                <w:rStyle w:val="150"/>
                <w:rFonts w:ascii="宋体" w:hAnsi="宋体" w:eastAsia="宋体" w:cs="宋体"/>
                <w:color w:val="auto"/>
                <w:highlight w:val="none"/>
              </w:rPr>
              <w:t>年   月   日</w:t>
            </w:r>
          </w:p>
        </w:tc>
        <w:tc>
          <w:tcPr>
            <w:tcW w:w="4603" w:type="dxa"/>
            <w:tcBorders>
              <w:left w:val="single" w:color="000000" w:sz="4" w:space="0"/>
              <w:bottom w:val="single" w:color="000000" w:sz="4" w:space="0"/>
            </w:tcBorders>
            <w:tcMar>
              <w:top w:w="0" w:type="dxa"/>
              <w:left w:w="108" w:type="dxa"/>
              <w:bottom w:w="0" w:type="dxa"/>
              <w:right w:w="108" w:type="dxa"/>
            </w:tcMar>
            <w:vAlign w:val="center"/>
          </w:tcPr>
          <w:p w14:paraId="614A213E">
            <w:pPr>
              <w:spacing w:line="360" w:lineRule="auto"/>
              <w:rPr>
                <w:color w:val="auto"/>
                <w:highlight w:val="none"/>
              </w:rPr>
            </w:pPr>
            <w:r>
              <w:rPr>
                <w:rFonts w:ascii="宋体" w:hAnsi="宋体" w:eastAsia="宋体" w:cs="宋体"/>
                <w:color w:val="auto"/>
                <w:highlight w:val="none"/>
              </w:rPr>
              <w:t>乙方：（章）       </w:t>
            </w:r>
          </w:p>
          <w:p w14:paraId="068D8F9F">
            <w:pPr>
              <w:spacing w:line="360" w:lineRule="auto"/>
              <w:rPr>
                <w:rFonts w:hint="eastAsia" w:ascii="宋体" w:hAnsi="宋体" w:eastAsia="宋体" w:cs="宋体"/>
                <w:color w:val="auto"/>
                <w:highlight w:val="none"/>
              </w:rPr>
            </w:pPr>
          </w:p>
          <w:p w14:paraId="43465F7B">
            <w:pPr>
              <w:spacing w:line="360" w:lineRule="auto"/>
              <w:rPr>
                <w:rFonts w:hint="eastAsia" w:ascii="宋体" w:hAnsi="宋体" w:eastAsia="宋体" w:cs="宋体"/>
                <w:color w:val="auto"/>
                <w:highlight w:val="none"/>
              </w:rPr>
            </w:pPr>
          </w:p>
          <w:p w14:paraId="6DC151D2">
            <w:pPr>
              <w:spacing w:line="360" w:lineRule="auto"/>
              <w:jc w:val="right"/>
              <w:rPr>
                <w:rFonts w:hint="eastAsia" w:ascii="宋体" w:hAnsi="宋体" w:eastAsia="宋体" w:cs="宋体"/>
                <w:color w:val="auto"/>
                <w:highlight w:val="none"/>
              </w:rPr>
            </w:pPr>
          </w:p>
          <w:p w14:paraId="23218B03">
            <w:pPr>
              <w:spacing w:line="360" w:lineRule="auto"/>
              <w:jc w:val="right"/>
              <w:rPr>
                <w:color w:val="auto"/>
                <w:highlight w:val="none"/>
              </w:rPr>
            </w:pPr>
            <w:r>
              <w:rPr>
                <w:rFonts w:ascii="宋体" w:hAnsi="宋体" w:eastAsia="宋体" w:cs="宋体"/>
                <w:color w:val="auto"/>
                <w:highlight w:val="none"/>
              </w:rPr>
              <w:t xml:space="preserve"> </w:t>
            </w:r>
            <w:r>
              <w:rPr>
                <w:rStyle w:val="151"/>
                <w:rFonts w:ascii="宋体" w:hAnsi="宋体" w:eastAsia="宋体" w:cs="宋体"/>
                <w:color w:val="auto"/>
                <w:highlight w:val="none"/>
              </w:rPr>
              <w:t>年   月   日</w:t>
            </w:r>
          </w:p>
        </w:tc>
      </w:tr>
      <w:tr w14:paraId="0B93EF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3" w:hRule="atLeast"/>
        </w:trPr>
        <w:tc>
          <w:tcPr>
            <w:tcW w:w="4599"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1076F550">
            <w:pPr>
              <w:spacing w:line="360" w:lineRule="auto"/>
              <w:rPr>
                <w:color w:val="auto"/>
                <w:highlight w:val="none"/>
              </w:rPr>
            </w:pPr>
            <w:r>
              <w:rPr>
                <w:rFonts w:ascii="宋体" w:hAnsi="宋体" w:eastAsia="宋体" w:cs="宋体"/>
                <w:color w:val="auto"/>
                <w:highlight w:val="none"/>
              </w:rPr>
              <w:t>单位地址：</w:t>
            </w:r>
          </w:p>
        </w:tc>
        <w:tc>
          <w:tcPr>
            <w:tcW w:w="4603"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6E2254E4">
            <w:pPr>
              <w:spacing w:line="360" w:lineRule="auto"/>
              <w:rPr>
                <w:color w:val="auto"/>
                <w:highlight w:val="none"/>
              </w:rPr>
            </w:pPr>
            <w:r>
              <w:rPr>
                <w:rFonts w:ascii="宋体" w:hAnsi="宋体" w:eastAsia="宋体" w:cs="宋体"/>
                <w:color w:val="auto"/>
                <w:highlight w:val="none"/>
              </w:rPr>
              <w:t>单位地址： </w:t>
            </w:r>
          </w:p>
        </w:tc>
      </w:tr>
      <w:tr w14:paraId="34E0B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3" w:hRule="atLeast"/>
        </w:trPr>
        <w:tc>
          <w:tcPr>
            <w:tcW w:w="4599"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5B49637E">
            <w:pPr>
              <w:spacing w:line="360" w:lineRule="auto"/>
              <w:rPr>
                <w:color w:val="auto"/>
                <w:highlight w:val="none"/>
              </w:rPr>
            </w:pPr>
            <w:r>
              <w:rPr>
                <w:rFonts w:ascii="宋体" w:hAnsi="宋体" w:eastAsia="宋体" w:cs="宋体"/>
                <w:color w:val="auto"/>
                <w:highlight w:val="none"/>
              </w:rPr>
              <w:t>法定代表人：</w:t>
            </w:r>
          </w:p>
        </w:tc>
        <w:tc>
          <w:tcPr>
            <w:tcW w:w="4603"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59E2D636">
            <w:pPr>
              <w:spacing w:line="360" w:lineRule="auto"/>
              <w:rPr>
                <w:color w:val="auto"/>
                <w:highlight w:val="none"/>
              </w:rPr>
            </w:pPr>
            <w:r>
              <w:rPr>
                <w:rFonts w:ascii="宋体" w:hAnsi="宋体" w:eastAsia="宋体" w:cs="宋体"/>
                <w:color w:val="auto"/>
                <w:highlight w:val="none"/>
              </w:rPr>
              <w:t>法定代表人：</w:t>
            </w:r>
          </w:p>
        </w:tc>
      </w:tr>
      <w:tr w14:paraId="0FF96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3" w:hRule="atLeast"/>
        </w:trPr>
        <w:tc>
          <w:tcPr>
            <w:tcW w:w="4599"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1A5EE0A7">
            <w:pPr>
              <w:spacing w:line="360" w:lineRule="auto"/>
              <w:rPr>
                <w:color w:val="auto"/>
                <w:highlight w:val="none"/>
              </w:rPr>
            </w:pPr>
            <w:r>
              <w:rPr>
                <w:rFonts w:ascii="宋体" w:hAnsi="宋体" w:eastAsia="宋体" w:cs="宋体"/>
                <w:color w:val="auto"/>
                <w:highlight w:val="none"/>
              </w:rPr>
              <w:t>委托代理人：</w:t>
            </w:r>
          </w:p>
        </w:tc>
        <w:tc>
          <w:tcPr>
            <w:tcW w:w="4603"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505CA19F">
            <w:pPr>
              <w:spacing w:line="360" w:lineRule="auto"/>
              <w:rPr>
                <w:color w:val="auto"/>
                <w:highlight w:val="none"/>
              </w:rPr>
            </w:pPr>
            <w:r>
              <w:rPr>
                <w:rFonts w:ascii="宋体" w:hAnsi="宋体" w:eastAsia="宋体" w:cs="宋体"/>
                <w:color w:val="auto"/>
                <w:highlight w:val="none"/>
              </w:rPr>
              <w:t>委托代理人：</w:t>
            </w:r>
          </w:p>
        </w:tc>
      </w:tr>
      <w:tr w14:paraId="6AD958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3" w:hRule="atLeast"/>
        </w:trPr>
        <w:tc>
          <w:tcPr>
            <w:tcW w:w="4599"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248AC9AC">
            <w:pPr>
              <w:spacing w:line="360" w:lineRule="auto"/>
              <w:rPr>
                <w:color w:val="auto"/>
                <w:highlight w:val="none"/>
              </w:rPr>
            </w:pPr>
            <w:r>
              <w:rPr>
                <w:rFonts w:ascii="宋体" w:hAnsi="宋体" w:eastAsia="宋体" w:cs="宋体"/>
                <w:color w:val="auto"/>
                <w:highlight w:val="none"/>
              </w:rPr>
              <w:t>电话：</w:t>
            </w:r>
          </w:p>
        </w:tc>
        <w:tc>
          <w:tcPr>
            <w:tcW w:w="4603"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08418017">
            <w:pPr>
              <w:spacing w:line="360" w:lineRule="auto"/>
              <w:rPr>
                <w:color w:val="auto"/>
                <w:highlight w:val="none"/>
              </w:rPr>
            </w:pPr>
            <w:r>
              <w:rPr>
                <w:rFonts w:ascii="宋体" w:hAnsi="宋体" w:eastAsia="宋体" w:cs="宋体"/>
                <w:color w:val="auto"/>
                <w:highlight w:val="none"/>
              </w:rPr>
              <w:t>电话：</w:t>
            </w:r>
          </w:p>
        </w:tc>
      </w:tr>
      <w:tr w14:paraId="29D1A5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3" w:hRule="atLeast"/>
        </w:trPr>
        <w:tc>
          <w:tcPr>
            <w:tcW w:w="4599"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09AF600B">
            <w:pPr>
              <w:spacing w:line="360" w:lineRule="auto"/>
              <w:rPr>
                <w:color w:val="auto"/>
                <w:highlight w:val="none"/>
              </w:rPr>
            </w:pPr>
            <w:bookmarkStart w:id="226" w:name="OLE_LINK11"/>
            <w:bookmarkStart w:id="227" w:name="OLE_LINK9"/>
            <w:r>
              <w:rPr>
                <w:rFonts w:ascii="宋体" w:hAnsi="宋体" w:eastAsia="宋体" w:cs="宋体"/>
                <w:color w:val="auto"/>
                <w:highlight w:val="none"/>
              </w:rPr>
              <w:t>邮箱：</w:t>
            </w:r>
            <w:bookmarkEnd w:id="226"/>
            <w:bookmarkEnd w:id="227"/>
          </w:p>
        </w:tc>
        <w:tc>
          <w:tcPr>
            <w:tcW w:w="4603"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3F5AFF3E">
            <w:pPr>
              <w:spacing w:line="360" w:lineRule="auto"/>
              <w:rPr>
                <w:color w:val="auto"/>
                <w:highlight w:val="none"/>
              </w:rPr>
            </w:pPr>
            <w:r>
              <w:rPr>
                <w:rFonts w:ascii="宋体" w:hAnsi="宋体" w:eastAsia="宋体" w:cs="宋体"/>
                <w:color w:val="auto"/>
                <w:highlight w:val="none"/>
              </w:rPr>
              <w:t>邮箱：</w:t>
            </w:r>
          </w:p>
        </w:tc>
      </w:tr>
      <w:tr w14:paraId="38F40D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3" w:hRule="atLeast"/>
        </w:trPr>
        <w:tc>
          <w:tcPr>
            <w:tcW w:w="4599"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32382C41">
            <w:pPr>
              <w:spacing w:line="360" w:lineRule="auto"/>
              <w:rPr>
                <w:color w:val="auto"/>
                <w:highlight w:val="none"/>
              </w:rPr>
            </w:pPr>
            <w:r>
              <w:rPr>
                <w:rFonts w:ascii="宋体" w:hAnsi="宋体" w:eastAsia="宋体" w:cs="宋体"/>
                <w:color w:val="auto"/>
                <w:highlight w:val="none"/>
              </w:rPr>
              <w:t>开户银行： </w:t>
            </w:r>
          </w:p>
        </w:tc>
        <w:tc>
          <w:tcPr>
            <w:tcW w:w="4603"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4E322FF2">
            <w:pPr>
              <w:spacing w:line="360" w:lineRule="auto"/>
              <w:rPr>
                <w:color w:val="auto"/>
                <w:highlight w:val="none"/>
              </w:rPr>
            </w:pPr>
            <w:r>
              <w:rPr>
                <w:rFonts w:ascii="宋体" w:hAnsi="宋体" w:eastAsia="宋体" w:cs="宋体"/>
                <w:color w:val="auto"/>
                <w:highlight w:val="none"/>
              </w:rPr>
              <w:t>开户银行： </w:t>
            </w:r>
          </w:p>
        </w:tc>
      </w:tr>
      <w:tr w14:paraId="283460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3" w:hRule="atLeast"/>
        </w:trPr>
        <w:tc>
          <w:tcPr>
            <w:tcW w:w="4599"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12083BB3">
            <w:pPr>
              <w:spacing w:line="360" w:lineRule="auto"/>
              <w:rPr>
                <w:color w:val="auto"/>
                <w:highlight w:val="none"/>
              </w:rPr>
            </w:pPr>
            <w:r>
              <w:rPr>
                <w:rFonts w:ascii="宋体" w:hAnsi="宋体" w:eastAsia="宋体" w:cs="宋体"/>
                <w:color w:val="auto"/>
                <w:highlight w:val="none"/>
              </w:rPr>
              <w:t>账号：</w:t>
            </w:r>
          </w:p>
        </w:tc>
        <w:tc>
          <w:tcPr>
            <w:tcW w:w="4603"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4632C372">
            <w:pPr>
              <w:spacing w:line="360" w:lineRule="auto"/>
              <w:rPr>
                <w:color w:val="auto"/>
                <w:highlight w:val="none"/>
              </w:rPr>
            </w:pPr>
            <w:r>
              <w:rPr>
                <w:rFonts w:ascii="宋体" w:hAnsi="宋体" w:eastAsia="宋体" w:cs="宋体"/>
                <w:color w:val="auto"/>
                <w:highlight w:val="none"/>
              </w:rPr>
              <w:t>账号：</w:t>
            </w:r>
          </w:p>
        </w:tc>
      </w:tr>
      <w:tr w14:paraId="6F7CB6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3" w:hRule="atLeast"/>
        </w:trPr>
        <w:tc>
          <w:tcPr>
            <w:tcW w:w="4599" w:type="dxa"/>
            <w:tcBorders>
              <w:top w:val="single" w:color="000000" w:sz="4" w:space="0"/>
              <w:right w:val="single" w:color="000000" w:sz="4" w:space="0"/>
            </w:tcBorders>
            <w:tcMar>
              <w:top w:w="0" w:type="dxa"/>
              <w:left w:w="108" w:type="dxa"/>
              <w:bottom w:w="0" w:type="dxa"/>
              <w:right w:w="108" w:type="dxa"/>
            </w:tcMar>
            <w:vAlign w:val="center"/>
          </w:tcPr>
          <w:p w14:paraId="0062E8D9">
            <w:pPr>
              <w:spacing w:line="360" w:lineRule="auto"/>
              <w:rPr>
                <w:color w:val="auto"/>
                <w:highlight w:val="none"/>
              </w:rPr>
            </w:pPr>
            <w:r>
              <w:rPr>
                <w:rStyle w:val="152"/>
                <w:rFonts w:ascii="宋体" w:hAnsi="宋体" w:eastAsia="宋体" w:cs="宋体"/>
                <w:color w:val="auto"/>
                <w:highlight w:val="none"/>
              </w:rPr>
              <w:t>邮政编码：</w:t>
            </w:r>
          </w:p>
        </w:tc>
        <w:tc>
          <w:tcPr>
            <w:tcW w:w="4603" w:type="dxa"/>
            <w:tcBorders>
              <w:top w:val="single" w:color="000000" w:sz="4" w:space="0"/>
              <w:left w:val="single" w:color="000000" w:sz="4" w:space="0"/>
            </w:tcBorders>
            <w:tcMar>
              <w:top w:w="0" w:type="dxa"/>
              <w:left w:w="108" w:type="dxa"/>
              <w:bottom w:w="0" w:type="dxa"/>
              <w:right w:w="108" w:type="dxa"/>
            </w:tcMar>
            <w:vAlign w:val="center"/>
          </w:tcPr>
          <w:p w14:paraId="52DDF3E2">
            <w:pPr>
              <w:spacing w:line="360" w:lineRule="auto"/>
              <w:rPr>
                <w:color w:val="auto"/>
                <w:highlight w:val="none"/>
              </w:rPr>
            </w:pPr>
            <w:r>
              <w:rPr>
                <w:rStyle w:val="153"/>
                <w:rFonts w:ascii="宋体" w:hAnsi="宋体" w:eastAsia="宋体" w:cs="宋体"/>
                <w:color w:val="auto"/>
                <w:highlight w:val="none"/>
              </w:rPr>
              <w:t>邮政编码：</w:t>
            </w:r>
          </w:p>
        </w:tc>
      </w:tr>
    </w:tbl>
    <w:p w14:paraId="2DF07F6B">
      <w:pPr>
        <w:spacing w:before="4"/>
        <w:rPr>
          <w:rFonts w:hint="eastAsia" w:ascii="宋体" w:hAnsi="宋体" w:eastAsia="宋体" w:cs="宋体"/>
          <w:color w:val="auto"/>
          <w:sz w:val="6"/>
          <w:szCs w:val="6"/>
          <w:highlight w:val="none"/>
        </w:rPr>
      </w:pPr>
    </w:p>
    <w:p w14:paraId="7E072D2A">
      <w:pPr>
        <w:spacing w:line="400" w:lineRule="atLeast"/>
        <w:rPr>
          <w:color w:val="auto"/>
          <w:highlight w:val="none"/>
        </w:rPr>
      </w:pPr>
      <w:r>
        <w:rPr>
          <w:rFonts w:ascii="宋体" w:hAnsi="宋体" w:eastAsia="宋体" w:cs="宋体"/>
          <w:b/>
          <w:bCs/>
          <w:color w:val="auto"/>
          <w:highlight w:val="none"/>
        </w:rPr>
        <w:t>合同附件：</w:t>
      </w:r>
    </w:p>
    <w:p w14:paraId="5C101F3A">
      <w:pPr>
        <w:spacing w:line="400" w:lineRule="atLeast"/>
        <w:rPr>
          <w:color w:val="auto"/>
          <w:highlight w:val="none"/>
        </w:rPr>
      </w:pPr>
      <w:r>
        <w:rPr>
          <w:rFonts w:ascii="宋体" w:hAnsi="宋体" w:eastAsia="宋体" w:cs="宋体"/>
          <w:b/>
          <w:bCs/>
          <w:color w:val="auto"/>
          <w:highlight w:val="none"/>
        </w:rPr>
        <w:t>1.公司营业执照</w:t>
      </w:r>
    </w:p>
    <w:p w14:paraId="1C27C013">
      <w:pPr>
        <w:spacing w:line="400" w:lineRule="atLeast"/>
        <w:rPr>
          <w:color w:val="auto"/>
          <w:highlight w:val="none"/>
        </w:rPr>
      </w:pPr>
      <w:r>
        <w:rPr>
          <w:rFonts w:ascii="宋体" w:hAnsi="宋体" w:eastAsia="宋体" w:cs="宋体"/>
          <w:b/>
          <w:bCs/>
          <w:color w:val="auto"/>
          <w:highlight w:val="none"/>
        </w:rPr>
        <w:t>2.法人身份证复印件</w:t>
      </w:r>
    </w:p>
    <w:p w14:paraId="1F061C95">
      <w:pPr>
        <w:spacing w:line="400" w:lineRule="atLeast"/>
        <w:rPr>
          <w:color w:val="auto"/>
          <w:highlight w:val="none"/>
        </w:rPr>
      </w:pPr>
      <w:r>
        <w:rPr>
          <w:rFonts w:ascii="宋体" w:hAnsi="宋体" w:eastAsia="宋体" w:cs="宋体"/>
          <w:b/>
          <w:bCs/>
          <w:color w:val="auto"/>
          <w:highlight w:val="none"/>
        </w:rPr>
        <w:t>3.银行开户许可证</w:t>
      </w:r>
    </w:p>
    <w:p w14:paraId="04F491AD">
      <w:pPr>
        <w:spacing w:line="400" w:lineRule="atLeast"/>
        <w:rPr>
          <w:color w:val="auto"/>
          <w:highlight w:val="none"/>
        </w:rPr>
      </w:pPr>
      <w:r>
        <w:rPr>
          <w:rFonts w:ascii="宋体" w:hAnsi="宋体" w:eastAsia="宋体" w:cs="宋体"/>
          <w:b/>
          <w:bCs/>
          <w:color w:val="auto"/>
          <w:highlight w:val="none"/>
        </w:rPr>
        <w:t>4.项目采购廉政合同</w:t>
      </w:r>
    </w:p>
    <w:p w14:paraId="16E738F8">
      <w:pPr>
        <w:spacing w:line="400" w:lineRule="atLeast"/>
        <w:rPr>
          <w:color w:val="auto"/>
          <w:highlight w:val="none"/>
        </w:rPr>
      </w:pPr>
      <w:r>
        <w:rPr>
          <w:rFonts w:ascii="宋体" w:hAnsi="宋体" w:eastAsia="宋体" w:cs="宋体"/>
          <w:b/>
          <w:bCs/>
          <w:color w:val="auto"/>
          <w:highlight w:val="none"/>
        </w:rPr>
        <w:t>5.安全文明服务协议书</w:t>
      </w:r>
    </w:p>
    <w:p w14:paraId="4938AEBA">
      <w:pPr>
        <w:rPr>
          <w:color w:val="auto"/>
          <w:highlight w:val="none"/>
        </w:rPr>
      </w:pPr>
    </w:p>
    <w:p w14:paraId="6D48B0F5">
      <w:pPr>
        <w:rPr>
          <w:color w:val="auto"/>
          <w:highlight w:val="none"/>
        </w:rPr>
      </w:pPr>
    </w:p>
    <w:p w14:paraId="049B56BF">
      <w:pPr>
        <w:pStyle w:val="19"/>
        <w:rPr>
          <w:color w:val="auto"/>
          <w:highlight w:val="none"/>
        </w:rPr>
      </w:pPr>
    </w:p>
    <w:p w14:paraId="53868B30">
      <w:pPr>
        <w:rPr>
          <w:rFonts w:hint="eastAsia" w:ascii="方正小标宋_GBK" w:hAnsi="方正小标宋_GBK" w:eastAsia="方正小标宋_GBK" w:cs="方正小标宋_GBK"/>
          <w:b w:val="0"/>
          <w:bCs w:val="0"/>
          <w:color w:val="auto"/>
          <w:sz w:val="21"/>
          <w:szCs w:val="21"/>
          <w:highlight w:val="none"/>
        </w:rPr>
      </w:pPr>
      <w:bookmarkStart w:id="228" w:name="_Toc429"/>
      <w:r>
        <w:rPr>
          <w:rFonts w:hint="eastAsia" w:ascii="方正小标宋_GBK" w:hAnsi="方正小标宋_GBK" w:eastAsia="方正小标宋_GBK" w:cs="方正小标宋_GBK"/>
          <w:b w:val="0"/>
          <w:bCs w:val="0"/>
          <w:color w:val="auto"/>
          <w:sz w:val="21"/>
          <w:szCs w:val="21"/>
          <w:highlight w:val="none"/>
        </w:rPr>
        <w:br w:type="page"/>
      </w:r>
    </w:p>
    <w:p w14:paraId="400496FA">
      <w:pPr>
        <w:pStyle w:val="12"/>
        <w:widowControl/>
        <w:kinsoku w:val="0"/>
        <w:autoSpaceDE w:val="0"/>
        <w:autoSpaceDN w:val="0"/>
        <w:adjustRightInd w:val="0"/>
        <w:snapToGrid w:val="0"/>
        <w:spacing w:after="0" w:line="460" w:lineRule="exact"/>
        <w:textAlignment w:val="baseline"/>
        <w:outlineLvl w:val="2"/>
        <w:rPr>
          <w:rFonts w:ascii="宋体" w:hAnsi="宋体" w:cs="宋体"/>
          <w:b/>
          <w:bCs/>
          <w:color w:val="auto"/>
          <w:spacing w:val="-2"/>
          <w:szCs w:val="28"/>
          <w:highlight w:val="none"/>
        </w:rPr>
      </w:pPr>
      <w:r>
        <w:rPr>
          <w:rFonts w:hint="eastAsia" w:ascii="宋体" w:hAnsi="宋体" w:cs="宋体"/>
          <w:b/>
          <w:bCs/>
          <w:color w:val="auto"/>
          <w:spacing w:val="-2"/>
          <w:szCs w:val="28"/>
          <w:highlight w:val="none"/>
        </w:rPr>
        <w:t>附件1 项目采购廉政协议</w:t>
      </w:r>
    </w:p>
    <w:p w14:paraId="223AC2AD">
      <w:pPr>
        <w:pStyle w:val="26"/>
        <w:jc w:val="center"/>
        <w:rPr>
          <w:color w:val="auto"/>
          <w:sz w:val="36"/>
          <w:szCs w:val="44"/>
          <w:highlight w:val="none"/>
        </w:rPr>
      </w:pPr>
    </w:p>
    <w:p w14:paraId="0865562E">
      <w:pPr>
        <w:pStyle w:val="26"/>
        <w:jc w:val="center"/>
        <w:rPr>
          <w:color w:val="auto"/>
          <w:sz w:val="36"/>
          <w:szCs w:val="44"/>
          <w:highlight w:val="none"/>
        </w:rPr>
      </w:pPr>
      <w:r>
        <w:rPr>
          <w:rFonts w:hint="eastAsia"/>
          <w:color w:val="auto"/>
          <w:sz w:val="36"/>
          <w:szCs w:val="44"/>
          <w:highlight w:val="none"/>
        </w:rPr>
        <w:t>广西壮族自治区合浦儒艮国家级自然保护区管理中心限额标准</w:t>
      </w:r>
      <w:r>
        <w:rPr>
          <w:rFonts w:hint="eastAsia"/>
          <w:color w:val="auto"/>
          <w:sz w:val="36"/>
          <w:szCs w:val="44"/>
          <w:highlight w:val="none"/>
          <w:lang w:val="en-US" w:eastAsia="zh-CN"/>
        </w:rPr>
        <w:t>以上</w:t>
      </w:r>
      <w:r>
        <w:rPr>
          <w:rFonts w:hint="eastAsia"/>
          <w:color w:val="auto"/>
          <w:sz w:val="36"/>
          <w:szCs w:val="44"/>
          <w:highlight w:val="none"/>
        </w:rPr>
        <w:t>项目采购廉政协议</w:t>
      </w:r>
    </w:p>
    <w:p w14:paraId="4CAB8A38">
      <w:pPr>
        <w:spacing w:line="360" w:lineRule="exact"/>
        <w:ind w:firstLine="630" w:firstLineChars="300"/>
        <w:rPr>
          <w:rFonts w:ascii="宋体" w:hAnsi="宋体"/>
          <w:color w:val="auto"/>
          <w:highlight w:val="none"/>
        </w:rPr>
      </w:pPr>
    </w:p>
    <w:p w14:paraId="33BEF913">
      <w:pPr>
        <w:spacing w:line="360" w:lineRule="exact"/>
        <w:rPr>
          <w:rFonts w:ascii="宋体" w:hAnsi="宋体"/>
          <w:color w:val="auto"/>
          <w:highlight w:val="none"/>
        </w:rPr>
      </w:pPr>
      <w:r>
        <w:rPr>
          <w:rFonts w:hint="eastAsia" w:ascii="宋体" w:hAnsi="宋体"/>
          <w:color w:val="auto"/>
          <w:highlight w:val="none"/>
        </w:rPr>
        <w:t>采购项目：</w:t>
      </w:r>
      <w:r>
        <w:rPr>
          <w:rFonts w:hint="eastAsia" w:ascii="宋体" w:hAnsi="宋体" w:cs="宋体"/>
          <w:color w:val="auto"/>
          <w:szCs w:val="21"/>
          <w:highlight w:val="none"/>
        </w:rPr>
        <w:t>2026年度中央财政林业草原生态保护恢复资金——广西合浦儒艮国家级自然保护区保护设施设备购置维护、专项监测及宣传教育项目（监测平台维护）</w:t>
      </w:r>
    </w:p>
    <w:p w14:paraId="686B013E">
      <w:pPr>
        <w:spacing w:line="360" w:lineRule="exact"/>
        <w:rPr>
          <w:rFonts w:ascii="宋体" w:hAnsi="宋体"/>
          <w:color w:val="auto"/>
          <w:highlight w:val="none"/>
        </w:rPr>
      </w:pPr>
      <w:r>
        <w:rPr>
          <w:rFonts w:hint="eastAsia" w:ascii="宋体" w:hAnsi="宋体"/>
          <w:color w:val="auto"/>
          <w:highlight w:val="none"/>
        </w:rPr>
        <w:t>采购时间：2026年月  日</w:t>
      </w:r>
    </w:p>
    <w:p w14:paraId="3C542B62">
      <w:pPr>
        <w:spacing w:line="360" w:lineRule="exact"/>
        <w:rPr>
          <w:rFonts w:ascii="宋体" w:hAnsi="宋体"/>
          <w:color w:val="auto"/>
          <w:highlight w:val="none"/>
        </w:rPr>
      </w:pPr>
      <w:r>
        <w:rPr>
          <w:rFonts w:hint="eastAsia" w:ascii="宋体" w:hAnsi="宋体"/>
          <w:color w:val="auto"/>
          <w:highlight w:val="none"/>
        </w:rPr>
        <w:t>采购单位（甲方）：广西壮族自治区合浦儒艮国家级自然保护区管理中心</w:t>
      </w:r>
    </w:p>
    <w:p w14:paraId="3FAB18F0">
      <w:pPr>
        <w:spacing w:line="360" w:lineRule="exact"/>
        <w:rPr>
          <w:rFonts w:ascii="宋体" w:hAnsi="宋体"/>
          <w:color w:val="auto"/>
          <w:highlight w:val="none"/>
        </w:rPr>
      </w:pPr>
      <w:r>
        <w:rPr>
          <w:rFonts w:hint="eastAsia" w:ascii="宋体" w:hAnsi="宋体"/>
          <w:color w:val="auto"/>
          <w:highlight w:val="none"/>
        </w:rPr>
        <w:t>供应单位（乙方）：</w:t>
      </w:r>
    </w:p>
    <w:p w14:paraId="7A4AA0E9">
      <w:pPr>
        <w:pStyle w:val="26"/>
        <w:rPr>
          <w:color w:val="auto"/>
          <w:highlight w:val="none"/>
        </w:rPr>
      </w:pPr>
    </w:p>
    <w:p w14:paraId="1E385E9D">
      <w:pPr>
        <w:spacing w:line="360" w:lineRule="exact"/>
        <w:ind w:firstLine="420" w:firstLineChars="200"/>
        <w:rPr>
          <w:rFonts w:ascii="宋体" w:hAnsi="宋体"/>
          <w:color w:val="auto"/>
          <w:highlight w:val="none"/>
        </w:rPr>
      </w:pPr>
      <w:r>
        <w:rPr>
          <w:rFonts w:ascii="宋体" w:hAnsi="宋体"/>
          <w:color w:val="auto"/>
          <w:highlight w:val="none"/>
        </w:rPr>
        <w:t>为加强货物、工程和服务采购中的廉政建设，规范采购及供应双方的各项活动，防止发生各种谋取不正当利益的违法违纪行为，保护国家、集体和当事人的合法权益，根据国家、自治区有关采购的法律法规和廉政建设责任制规定，特订立本廉政</w:t>
      </w:r>
      <w:r>
        <w:rPr>
          <w:rFonts w:hint="eastAsia" w:ascii="宋体" w:hAnsi="宋体"/>
          <w:color w:val="auto"/>
          <w:highlight w:val="none"/>
        </w:rPr>
        <w:t>协议</w:t>
      </w:r>
      <w:r>
        <w:rPr>
          <w:rFonts w:ascii="宋体" w:hAnsi="宋体"/>
          <w:color w:val="auto"/>
          <w:highlight w:val="none"/>
        </w:rPr>
        <w:t>。</w:t>
      </w:r>
    </w:p>
    <w:p w14:paraId="33CF9DB1">
      <w:pPr>
        <w:pStyle w:val="26"/>
        <w:rPr>
          <w:b/>
          <w:bCs/>
          <w:color w:val="auto"/>
          <w:highlight w:val="none"/>
        </w:rPr>
      </w:pPr>
    </w:p>
    <w:p w14:paraId="4E51D9F9">
      <w:pPr>
        <w:pStyle w:val="26"/>
        <w:rPr>
          <w:b/>
          <w:bCs/>
          <w:color w:val="auto"/>
          <w:highlight w:val="none"/>
        </w:rPr>
      </w:pPr>
      <w:r>
        <w:rPr>
          <w:rFonts w:hint="eastAsia"/>
          <w:b/>
          <w:bCs/>
          <w:color w:val="auto"/>
          <w:highlight w:val="none"/>
        </w:rPr>
        <w:t>第一条  甲乙双方的责任</w:t>
      </w:r>
    </w:p>
    <w:p w14:paraId="1DDF57A6">
      <w:pPr>
        <w:spacing w:line="360" w:lineRule="exact"/>
        <w:ind w:firstLine="420" w:firstLineChars="200"/>
        <w:rPr>
          <w:rFonts w:ascii="宋体" w:hAnsi="宋体"/>
          <w:color w:val="auto"/>
          <w:highlight w:val="none"/>
        </w:rPr>
      </w:pPr>
      <w:r>
        <w:rPr>
          <w:rFonts w:ascii="宋体" w:hAnsi="宋体"/>
          <w:color w:val="auto"/>
          <w:highlight w:val="none"/>
        </w:rPr>
        <w:t>（一）应严格遵守国家关于货物、工程和服务采购有关法律、法规、政策，以及廉政建设的各项规定。</w:t>
      </w:r>
    </w:p>
    <w:p w14:paraId="5A28B85D">
      <w:pPr>
        <w:spacing w:line="360" w:lineRule="exact"/>
        <w:ind w:firstLine="420" w:firstLineChars="200"/>
        <w:rPr>
          <w:rFonts w:ascii="宋体" w:hAnsi="宋体"/>
          <w:color w:val="auto"/>
          <w:highlight w:val="none"/>
        </w:rPr>
      </w:pPr>
      <w:r>
        <w:rPr>
          <w:rFonts w:ascii="宋体" w:hAnsi="宋体"/>
          <w:color w:val="auto"/>
          <w:highlight w:val="none"/>
        </w:rPr>
        <w:t>（二）严格执行货物、工程和服务采购</w:t>
      </w:r>
      <w:r>
        <w:rPr>
          <w:rFonts w:hint="eastAsia" w:ascii="宋体" w:hAnsi="宋体"/>
          <w:color w:val="auto"/>
          <w:highlight w:val="none"/>
        </w:rPr>
        <w:t>协议</w:t>
      </w:r>
      <w:r>
        <w:rPr>
          <w:rFonts w:ascii="宋体" w:hAnsi="宋体"/>
          <w:color w:val="auto"/>
          <w:highlight w:val="none"/>
        </w:rPr>
        <w:t>文件，自觉按</w:t>
      </w:r>
      <w:r>
        <w:rPr>
          <w:rFonts w:hint="eastAsia" w:ascii="宋体" w:hAnsi="宋体"/>
          <w:color w:val="auto"/>
          <w:highlight w:val="none"/>
        </w:rPr>
        <w:t>协议</w:t>
      </w:r>
      <w:r>
        <w:rPr>
          <w:rFonts w:ascii="宋体" w:hAnsi="宋体"/>
          <w:color w:val="auto"/>
          <w:highlight w:val="none"/>
        </w:rPr>
        <w:t>办事。</w:t>
      </w:r>
    </w:p>
    <w:p w14:paraId="0D08DD34">
      <w:pPr>
        <w:spacing w:line="360" w:lineRule="exact"/>
        <w:ind w:firstLine="420" w:firstLineChars="200"/>
        <w:rPr>
          <w:rFonts w:ascii="宋体" w:hAnsi="宋体"/>
          <w:color w:val="auto"/>
          <w:highlight w:val="none"/>
        </w:rPr>
      </w:pPr>
      <w:r>
        <w:rPr>
          <w:rFonts w:ascii="宋体" w:hAnsi="宋体"/>
          <w:color w:val="auto"/>
          <w:highlight w:val="none"/>
        </w:rPr>
        <w:t>（三）业务活动必须坚持公开、公平、诚信、透明的原则（除法律法规另有规定外），甲乙双方不得为获取不正当利益，就货物、工程和服务采购、使用、维护、管理等问题私下达成协议。</w:t>
      </w:r>
    </w:p>
    <w:p w14:paraId="23720295">
      <w:pPr>
        <w:spacing w:line="360" w:lineRule="exact"/>
        <w:ind w:firstLine="420" w:firstLineChars="200"/>
        <w:rPr>
          <w:rFonts w:ascii="宋体" w:hAnsi="宋体"/>
          <w:color w:val="auto"/>
          <w:highlight w:val="none"/>
        </w:rPr>
      </w:pPr>
      <w:r>
        <w:rPr>
          <w:rFonts w:ascii="宋体" w:hAnsi="宋体"/>
          <w:color w:val="auto"/>
          <w:highlight w:val="none"/>
        </w:rPr>
        <w:t>（四）发现对方在业务活动中有违规违纪违法行为的，应及时提醒对方，情节严重的，应向其上级主管部门或纪检监察、司法等有关机关举报。</w:t>
      </w:r>
    </w:p>
    <w:p w14:paraId="7B9693A1">
      <w:pPr>
        <w:pStyle w:val="26"/>
        <w:rPr>
          <w:b/>
          <w:bCs/>
          <w:color w:val="auto"/>
          <w:highlight w:val="none"/>
        </w:rPr>
      </w:pPr>
      <w:r>
        <w:rPr>
          <w:rFonts w:hint="eastAsia"/>
          <w:b/>
          <w:bCs/>
          <w:color w:val="auto"/>
          <w:highlight w:val="none"/>
        </w:rPr>
        <w:t>第二条  甲方的责任</w:t>
      </w:r>
    </w:p>
    <w:p w14:paraId="72DF6A2B">
      <w:pPr>
        <w:spacing w:line="360" w:lineRule="exact"/>
        <w:ind w:firstLine="420" w:firstLineChars="200"/>
        <w:rPr>
          <w:rFonts w:ascii="宋体" w:hAnsi="宋体"/>
          <w:color w:val="auto"/>
          <w:highlight w:val="none"/>
        </w:rPr>
      </w:pPr>
      <w:r>
        <w:rPr>
          <w:rFonts w:ascii="宋体" w:hAnsi="宋体"/>
          <w:color w:val="auto"/>
          <w:highlight w:val="none"/>
        </w:rPr>
        <w:t>甲方的领导和从事该货物、工程和服务采购、使用、维护、管理的工作人员，在采购的事前、事中、事后应遵守以下规定：</w:t>
      </w:r>
    </w:p>
    <w:p w14:paraId="606A44CB">
      <w:pPr>
        <w:spacing w:line="360" w:lineRule="exact"/>
        <w:ind w:firstLine="420" w:firstLineChars="200"/>
        <w:rPr>
          <w:rFonts w:ascii="宋体" w:hAnsi="宋体"/>
          <w:color w:val="auto"/>
          <w:highlight w:val="none"/>
        </w:rPr>
      </w:pPr>
      <w:r>
        <w:rPr>
          <w:rFonts w:ascii="宋体" w:hAnsi="宋体"/>
          <w:color w:val="auto"/>
          <w:highlight w:val="none"/>
        </w:rPr>
        <w:t>（一）不准向乙方和相关单位索要或接受回扣、礼金、有价证券、贵重物品和好处费、感谢费等。</w:t>
      </w:r>
    </w:p>
    <w:p w14:paraId="0FEEA698">
      <w:pPr>
        <w:spacing w:line="360" w:lineRule="exact"/>
        <w:ind w:firstLine="420" w:firstLineChars="200"/>
        <w:rPr>
          <w:rFonts w:ascii="宋体" w:hAnsi="宋体"/>
          <w:color w:val="auto"/>
          <w:highlight w:val="none"/>
        </w:rPr>
      </w:pPr>
      <w:r>
        <w:rPr>
          <w:rFonts w:ascii="宋体" w:hAnsi="宋体"/>
          <w:color w:val="auto"/>
          <w:highlight w:val="none"/>
        </w:rPr>
        <w:t>（二）不准在乙方和相关单位报销任何应由甲方或个人支付的费用。</w:t>
      </w:r>
    </w:p>
    <w:p w14:paraId="621C2C90">
      <w:pPr>
        <w:spacing w:line="360" w:lineRule="exact"/>
        <w:ind w:firstLine="420" w:firstLineChars="200"/>
        <w:rPr>
          <w:rFonts w:ascii="宋体" w:hAnsi="宋体"/>
          <w:color w:val="auto"/>
          <w:highlight w:val="none"/>
        </w:rPr>
      </w:pPr>
      <w:r>
        <w:rPr>
          <w:rFonts w:ascii="宋体" w:hAnsi="宋体"/>
          <w:color w:val="auto"/>
          <w:highlight w:val="none"/>
        </w:rPr>
        <w:t>（三）不准参加有可能影响公正执行公务的乙方和相关单位的宴请和健身、娱乐等活动。</w:t>
      </w:r>
    </w:p>
    <w:p w14:paraId="39A946F0">
      <w:pPr>
        <w:spacing w:line="360" w:lineRule="exact"/>
        <w:ind w:firstLine="420" w:firstLineChars="200"/>
        <w:rPr>
          <w:rFonts w:ascii="宋体" w:hAnsi="宋体"/>
          <w:color w:val="auto"/>
          <w:highlight w:val="none"/>
        </w:rPr>
      </w:pPr>
      <w:r>
        <w:rPr>
          <w:rFonts w:ascii="宋体" w:hAnsi="宋体"/>
          <w:color w:val="auto"/>
          <w:highlight w:val="none"/>
        </w:rPr>
        <w:t>（四）不得以任何理由向乙方提出其他涉及个人利益的不合理要求。</w:t>
      </w:r>
    </w:p>
    <w:p w14:paraId="381FB303">
      <w:pPr>
        <w:pStyle w:val="26"/>
        <w:rPr>
          <w:b/>
          <w:bCs/>
          <w:color w:val="auto"/>
          <w:highlight w:val="none"/>
        </w:rPr>
      </w:pPr>
      <w:r>
        <w:rPr>
          <w:rFonts w:hint="eastAsia"/>
          <w:b/>
          <w:bCs/>
          <w:color w:val="auto"/>
          <w:highlight w:val="none"/>
        </w:rPr>
        <w:t>第三条  乙方的责任</w:t>
      </w:r>
    </w:p>
    <w:p w14:paraId="199FD630">
      <w:pPr>
        <w:spacing w:line="360" w:lineRule="exact"/>
        <w:ind w:firstLine="420" w:firstLineChars="200"/>
        <w:rPr>
          <w:rFonts w:ascii="宋体" w:hAnsi="宋体"/>
          <w:color w:val="auto"/>
          <w:highlight w:val="none"/>
        </w:rPr>
      </w:pPr>
      <w:r>
        <w:rPr>
          <w:rFonts w:ascii="宋体" w:hAnsi="宋体"/>
          <w:color w:val="auto"/>
          <w:highlight w:val="none"/>
        </w:rPr>
        <w:t>乙方应与甲方保持正常的业务交往，按照有关法律法规和程序开展业务工作，并遵守以下规定：</w:t>
      </w:r>
    </w:p>
    <w:p w14:paraId="73C40838">
      <w:pPr>
        <w:spacing w:line="360" w:lineRule="exact"/>
        <w:ind w:firstLine="420" w:firstLineChars="200"/>
        <w:rPr>
          <w:rFonts w:ascii="宋体" w:hAnsi="宋体"/>
          <w:color w:val="auto"/>
          <w:highlight w:val="none"/>
        </w:rPr>
      </w:pPr>
      <w:r>
        <w:rPr>
          <w:rFonts w:ascii="宋体" w:hAnsi="宋体"/>
          <w:color w:val="auto"/>
          <w:highlight w:val="none"/>
        </w:rPr>
        <w:t>（一）不准以任何理由向甲方、相关单位及其工作人员赠送礼金、有价证券、贵重物品和回扣、好处费、感谢费等。</w:t>
      </w:r>
    </w:p>
    <w:p w14:paraId="00591324">
      <w:pPr>
        <w:spacing w:line="360" w:lineRule="exact"/>
        <w:ind w:firstLine="420" w:firstLineChars="200"/>
        <w:rPr>
          <w:rFonts w:ascii="宋体" w:hAnsi="宋体"/>
          <w:color w:val="auto"/>
          <w:highlight w:val="none"/>
        </w:rPr>
      </w:pPr>
      <w:r>
        <w:rPr>
          <w:rFonts w:ascii="宋体" w:hAnsi="宋体"/>
          <w:color w:val="auto"/>
          <w:highlight w:val="none"/>
        </w:rPr>
        <w:t>（二）不准以任何名义为甲方、相关单位或个人报销应由对方或个人支付的费用。</w:t>
      </w:r>
    </w:p>
    <w:p w14:paraId="4E0A2461">
      <w:pPr>
        <w:spacing w:line="360" w:lineRule="exact"/>
        <w:ind w:firstLine="420" w:firstLineChars="200"/>
        <w:rPr>
          <w:rFonts w:ascii="宋体" w:hAnsi="宋体"/>
          <w:color w:val="auto"/>
          <w:highlight w:val="none"/>
        </w:rPr>
      </w:pPr>
      <w:r>
        <w:rPr>
          <w:rFonts w:ascii="宋体" w:hAnsi="宋体"/>
          <w:color w:val="auto"/>
          <w:highlight w:val="none"/>
        </w:rPr>
        <w:t>（三）不准以任何理由为甲方、相关单位或个人组织有可能影响公正执行公务的宴请、健身、娱乐等活动。</w:t>
      </w:r>
    </w:p>
    <w:p w14:paraId="245503F9">
      <w:pPr>
        <w:spacing w:line="360" w:lineRule="exact"/>
        <w:ind w:firstLine="420" w:firstLineChars="200"/>
        <w:rPr>
          <w:rFonts w:ascii="宋体" w:hAnsi="宋体"/>
          <w:color w:val="auto"/>
          <w:highlight w:val="none"/>
        </w:rPr>
      </w:pPr>
      <w:r>
        <w:rPr>
          <w:rFonts w:ascii="宋体" w:hAnsi="宋体"/>
          <w:color w:val="auto"/>
          <w:highlight w:val="none"/>
        </w:rPr>
        <w:t>（四）不得为甲方单位和工作人员安排其他涉及个人利益的活动。</w:t>
      </w:r>
    </w:p>
    <w:p w14:paraId="1034C310">
      <w:pPr>
        <w:pStyle w:val="26"/>
        <w:rPr>
          <w:b/>
          <w:bCs/>
          <w:color w:val="auto"/>
          <w:highlight w:val="none"/>
        </w:rPr>
      </w:pPr>
      <w:r>
        <w:rPr>
          <w:rFonts w:hint="eastAsia"/>
          <w:b/>
          <w:bCs/>
          <w:color w:val="auto"/>
          <w:highlight w:val="none"/>
        </w:rPr>
        <w:t>第四条  违约责任</w:t>
      </w:r>
    </w:p>
    <w:p w14:paraId="2A191EC2">
      <w:pPr>
        <w:spacing w:line="360" w:lineRule="exact"/>
        <w:ind w:firstLine="420" w:firstLineChars="200"/>
        <w:rPr>
          <w:rFonts w:ascii="宋体" w:hAnsi="宋体"/>
          <w:color w:val="auto"/>
          <w:highlight w:val="none"/>
        </w:rPr>
      </w:pPr>
      <w:r>
        <w:rPr>
          <w:rFonts w:ascii="宋体" w:hAnsi="宋体"/>
          <w:color w:val="auto"/>
          <w:highlight w:val="none"/>
        </w:rPr>
        <w:t>（一）甲方工作人员有违反本</w:t>
      </w:r>
      <w:r>
        <w:rPr>
          <w:rFonts w:hint="eastAsia" w:ascii="宋体" w:hAnsi="宋体"/>
          <w:color w:val="auto"/>
          <w:highlight w:val="none"/>
        </w:rPr>
        <w:t>协议</w:t>
      </w:r>
      <w:r>
        <w:rPr>
          <w:rFonts w:ascii="宋体" w:hAnsi="宋体"/>
          <w:color w:val="auto"/>
          <w:highlight w:val="none"/>
        </w:rPr>
        <w:t>第一、二条责任行为的，按照管理权限，依据有关法律法规和规定给予党纪、政纪处分或组织处理；涉嫌犯罪的，移交司法机关追究刑事责任。</w:t>
      </w:r>
    </w:p>
    <w:p w14:paraId="57F2E89C">
      <w:pPr>
        <w:spacing w:line="360" w:lineRule="exact"/>
        <w:ind w:firstLine="420" w:firstLineChars="200"/>
        <w:rPr>
          <w:rFonts w:ascii="宋体" w:hAnsi="宋体"/>
          <w:color w:val="auto"/>
          <w:highlight w:val="none"/>
        </w:rPr>
      </w:pPr>
      <w:r>
        <w:rPr>
          <w:rFonts w:ascii="宋体" w:hAnsi="宋体"/>
          <w:color w:val="auto"/>
          <w:highlight w:val="none"/>
        </w:rPr>
        <w:t>（二）乙方工作人员有违反本</w:t>
      </w:r>
      <w:r>
        <w:rPr>
          <w:rFonts w:hint="eastAsia" w:ascii="宋体" w:hAnsi="宋体"/>
          <w:color w:val="auto"/>
          <w:highlight w:val="none"/>
        </w:rPr>
        <w:t>协议</w:t>
      </w:r>
      <w:r>
        <w:rPr>
          <w:rFonts w:ascii="宋体" w:hAnsi="宋体"/>
          <w:color w:val="auto"/>
          <w:highlight w:val="none"/>
        </w:rPr>
        <w:t>第一、三条责任行为的，一经发现将取消供货资格、终止供货</w:t>
      </w:r>
      <w:r>
        <w:rPr>
          <w:rFonts w:hint="eastAsia" w:ascii="宋体" w:hAnsi="宋体"/>
          <w:color w:val="auto"/>
          <w:highlight w:val="none"/>
        </w:rPr>
        <w:t>协议</w:t>
      </w:r>
      <w:r>
        <w:rPr>
          <w:rFonts w:ascii="宋体" w:hAnsi="宋体"/>
          <w:color w:val="auto"/>
          <w:highlight w:val="none"/>
        </w:rPr>
        <w:t>、列入供应商黑名单，乙方向甲方按照采购金额的20%支付违约金，并将有关线索移交给相关部门。</w:t>
      </w:r>
    </w:p>
    <w:p w14:paraId="4F6261D2">
      <w:pPr>
        <w:spacing w:line="360" w:lineRule="exact"/>
        <w:ind w:firstLine="422" w:firstLineChars="200"/>
        <w:rPr>
          <w:rFonts w:ascii="宋体" w:hAnsi="宋体"/>
          <w:b/>
          <w:bCs/>
          <w:color w:val="auto"/>
          <w:highlight w:val="none"/>
        </w:rPr>
      </w:pPr>
      <w:r>
        <w:rPr>
          <w:rFonts w:ascii="宋体" w:hAnsi="宋体"/>
          <w:b/>
          <w:bCs/>
          <w:color w:val="auto"/>
          <w:highlight w:val="none"/>
        </w:rPr>
        <w:t xml:space="preserve">第五条  </w:t>
      </w:r>
      <w:r>
        <w:rPr>
          <w:rFonts w:hint="eastAsia" w:ascii="宋体" w:hAnsi="宋体"/>
          <w:b/>
          <w:bCs/>
          <w:color w:val="auto"/>
          <w:highlight w:val="none"/>
        </w:rPr>
        <w:t>其他</w:t>
      </w:r>
    </w:p>
    <w:p w14:paraId="5DFAE19D">
      <w:pPr>
        <w:spacing w:line="360" w:lineRule="exact"/>
        <w:ind w:firstLine="420" w:firstLineChars="200"/>
        <w:rPr>
          <w:rFonts w:ascii="宋体" w:hAnsi="宋体"/>
          <w:color w:val="auto"/>
          <w:highlight w:val="none"/>
        </w:rPr>
      </w:pPr>
      <w:r>
        <w:rPr>
          <w:rFonts w:ascii="宋体" w:hAnsi="宋体"/>
          <w:color w:val="auto"/>
          <w:highlight w:val="none"/>
        </w:rPr>
        <w:t>本</w:t>
      </w:r>
      <w:r>
        <w:rPr>
          <w:rFonts w:hint="eastAsia" w:ascii="宋体" w:hAnsi="宋体"/>
          <w:color w:val="auto"/>
          <w:highlight w:val="none"/>
        </w:rPr>
        <w:t>协议</w:t>
      </w:r>
      <w:r>
        <w:rPr>
          <w:rFonts w:ascii="宋体" w:hAnsi="宋体"/>
          <w:color w:val="auto"/>
          <w:highlight w:val="none"/>
        </w:rPr>
        <w:t>作为货物、工程和服务采购</w:t>
      </w:r>
      <w:r>
        <w:rPr>
          <w:rFonts w:hint="eastAsia" w:ascii="宋体" w:hAnsi="宋体"/>
          <w:color w:val="auto"/>
          <w:highlight w:val="none"/>
        </w:rPr>
        <w:t>协议</w:t>
      </w:r>
      <w:r>
        <w:rPr>
          <w:rFonts w:ascii="宋体" w:hAnsi="宋体"/>
          <w:color w:val="auto"/>
          <w:highlight w:val="none"/>
        </w:rPr>
        <w:t>的附件，与采购</w:t>
      </w:r>
      <w:r>
        <w:rPr>
          <w:rFonts w:hint="eastAsia" w:ascii="宋体" w:hAnsi="宋体"/>
          <w:color w:val="auto"/>
          <w:highlight w:val="none"/>
        </w:rPr>
        <w:t>协议</w:t>
      </w:r>
      <w:r>
        <w:rPr>
          <w:rFonts w:ascii="宋体" w:hAnsi="宋体"/>
          <w:color w:val="auto"/>
          <w:highlight w:val="none"/>
        </w:rPr>
        <w:t>具有同等法律效力。经双方签署后立即生效。</w:t>
      </w:r>
    </w:p>
    <w:p w14:paraId="21346EC1">
      <w:pPr>
        <w:spacing w:line="360" w:lineRule="exact"/>
        <w:ind w:firstLine="630" w:firstLineChars="300"/>
        <w:rPr>
          <w:rFonts w:ascii="宋体" w:hAnsi="宋体"/>
          <w:color w:val="auto"/>
          <w:highlight w:val="none"/>
        </w:rPr>
      </w:pPr>
    </w:p>
    <w:p w14:paraId="0305BF15">
      <w:pPr>
        <w:spacing w:line="360" w:lineRule="exact"/>
        <w:ind w:firstLine="630" w:firstLineChars="300"/>
        <w:rPr>
          <w:rFonts w:ascii="宋体" w:hAnsi="宋体"/>
          <w:color w:val="auto"/>
          <w:highlight w:val="none"/>
        </w:rPr>
      </w:pPr>
    </w:p>
    <w:tbl>
      <w:tblPr>
        <w:tblStyle w:val="31"/>
        <w:tblW w:w="916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82"/>
        <w:gridCol w:w="4583"/>
      </w:tblGrid>
      <w:tr w14:paraId="3AAFC6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380" w:hRule="atLeast"/>
          <w:jc w:val="center"/>
        </w:trPr>
        <w:tc>
          <w:tcPr>
            <w:tcW w:w="4582" w:type="dxa"/>
            <w:tcBorders>
              <w:bottom w:val="single" w:color="000000" w:sz="4" w:space="0"/>
              <w:right w:val="single" w:color="000000" w:sz="4" w:space="0"/>
            </w:tcBorders>
            <w:tcMar>
              <w:top w:w="0" w:type="dxa"/>
              <w:left w:w="108" w:type="dxa"/>
              <w:bottom w:w="0" w:type="dxa"/>
              <w:right w:w="108" w:type="dxa"/>
            </w:tcMar>
            <w:vAlign w:val="center"/>
          </w:tcPr>
          <w:p w14:paraId="763DBA73">
            <w:pPr>
              <w:spacing w:line="360" w:lineRule="auto"/>
              <w:rPr>
                <w:color w:val="auto"/>
                <w:highlight w:val="none"/>
              </w:rPr>
            </w:pPr>
            <w:r>
              <w:rPr>
                <w:rFonts w:ascii="宋体" w:hAnsi="宋体" w:cs="宋体"/>
                <w:color w:val="auto"/>
                <w:highlight w:val="none"/>
              </w:rPr>
              <w:t>甲方（章）：广西壮族自治区合浦儒艮国家级自然保护区管理中心</w:t>
            </w:r>
          </w:p>
          <w:p w14:paraId="19295489">
            <w:pPr>
              <w:spacing w:line="360" w:lineRule="auto"/>
              <w:ind w:firstLine="945"/>
              <w:jc w:val="right"/>
              <w:rPr>
                <w:color w:val="auto"/>
                <w:highlight w:val="none"/>
              </w:rPr>
            </w:pPr>
            <w:r>
              <w:rPr>
                <w:rFonts w:ascii="宋体" w:hAnsi="宋体" w:cs="宋体"/>
                <w:color w:val="auto"/>
                <w:highlight w:val="none"/>
              </w:rPr>
              <w:t>年月日</w:t>
            </w:r>
          </w:p>
        </w:tc>
        <w:tc>
          <w:tcPr>
            <w:tcW w:w="4583" w:type="dxa"/>
            <w:tcBorders>
              <w:left w:val="single" w:color="000000" w:sz="4" w:space="0"/>
              <w:bottom w:val="single" w:color="000000" w:sz="4" w:space="0"/>
            </w:tcBorders>
            <w:tcMar>
              <w:top w:w="0" w:type="dxa"/>
              <w:left w:w="108" w:type="dxa"/>
              <w:bottom w:w="0" w:type="dxa"/>
              <w:right w:w="108" w:type="dxa"/>
            </w:tcMar>
            <w:vAlign w:val="center"/>
          </w:tcPr>
          <w:p w14:paraId="1F8B0381">
            <w:pPr>
              <w:spacing w:line="360" w:lineRule="auto"/>
              <w:rPr>
                <w:rFonts w:ascii="宋体" w:hAnsi="宋体" w:cs="宋体"/>
                <w:color w:val="auto"/>
                <w:highlight w:val="none"/>
                <w:u w:val="single"/>
              </w:rPr>
            </w:pPr>
            <w:r>
              <w:rPr>
                <w:rFonts w:ascii="宋体" w:hAnsi="宋体" w:cs="宋体"/>
                <w:color w:val="auto"/>
                <w:highlight w:val="none"/>
              </w:rPr>
              <w:t>乙方</w:t>
            </w:r>
            <w:r>
              <w:rPr>
                <w:rFonts w:hint="eastAsia" w:ascii="宋体" w:hAnsi="宋体" w:cs="宋体"/>
                <w:color w:val="auto"/>
                <w:highlight w:val="none"/>
              </w:rPr>
              <w:t>（章）</w:t>
            </w:r>
            <w:r>
              <w:rPr>
                <w:rFonts w:ascii="宋体" w:hAnsi="宋体" w:cs="宋体"/>
                <w:color w:val="auto"/>
                <w:highlight w:val="none"/>
              </w:rPr>
              <w:t>：</w:t>
            </w:r>
          </w:p>
          <w:p w14:paraId="593085DD">
            <w:pPr>
              <w:spacing w:line="360" w:lineRule="auto"/>
              <w:rPr>
                <w:rFonts w:ascii="宋体" w:hAnsi="宋体" w:cs="宋体"/>
                <w:color w:val="auto"/>
                <w:highlight w:val="none"/>
                <w:u w:val="single"/>
              </w:rPr>
            </w:pPr>
          </w:p>
          <w:p w14:paraId="7F55A6B4">
            <w:pPr>
              <w:spacing w:line="360" w:lineRule="auto"/>
              <w:jc w:val="right"/>
              <w:rPr>
                <w:color w:val="auto"/>
                <w:highlight w:val="none"/>
              </w:rPr>
            </w:pPr>
            <w:r>
              <w:rPr>
                <w:rFonts w:ascii="宋体" w:hAnsi="宋体" w:cs="宋体"/>
                <w:color w:val="auto"/>
                <w:highlight w:val="none"/>
              </w:rPr>
              <w:t xml:space="preserve"> 年月日</w:t>
            </w:r>
          </w:p>
        </w:tc>
      </w:tr>
      <w:tr w14:paraId="175098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3" w:hRule="atLeast"/>
          <w:jc w:val="center"/>
        </w:trPr>
        <w:tc>
          <w:tcPr>
            <w:tcW w:w="4582"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068D1EB2">
            <w:pPr>
              <w:spacing w:line="600" w:lineRule="exact"/>
              <w:rPr>
                <w:color w:val="auto"/>
                <w:highlight w:val="none"/>
              </w:rPr>
            </w:pPr>
            <w:r>
              <w:rPr>
                <w:rFonts w:ascii="宋体" w:hAnsi="宋体" w:cs="宋体"/>
                <w:color w:val="auto"/>
                <w:highlight w:val="none"/>
              </w:rPr>
              <w:t>通讯地址：广西北海市银海区云南路278号</w:t>
            </w:r>
          </w:p>
        </w:tc>
        <w:tc>
          <w:tcPr>
            <w:tcW w:w="4583"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1ACDB5AB">
            <w:pPr>
              <w:spacing w:line="600" w:lineRule="exact"/>
              <w:rPr>
                <w:color w:val="auto"/>
                <w:highlight w:val="none"/>
              </w:rPr>
            </w:pPr>
            <w:r>
              <w:rPr>
                <w:rFonts w:ascii="宋体" w:hAnsi="宋体" w:cs="宋体"/>
                <w:color w:val="auto"/>
                <w:highlight w:val="none"/>
              </w:rPr>
              <w:t>通讯地址：</w:t>
            </w:r>
          </w:p>
        </w:tc>
      </w:tr>
      <w:tr w14:paraId="39D3B7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3" w:hRule="atLeast"/>
          <w:jc w:val="center"/>
        </w:trPr>
        <w:tc>
          <w:tcPr>
            <w:tcW w:w="4582" w:type="dxa"/>
            <w:tcBorders>
              <w:top w:val="single" w:color="000000" w:sz="4" w:space="0"/>
              <w:bottom w:val="single" w:color="000000" w:sz="4" w:space="0"/>
              <w:right w:val="single" w:color="000000" w:sz="4" w:space="0"/>
            </w:tcBorders>
            <w:tcMar>
              <w:top w:w="0" w:type="dxa"/>
              <w:left w:w="108" w:type="dxa"/>
              <w:bottom w:w="0" w:type="dxa"/>
              <w:right w:w="108" w:type="dxa"/>
            </w:tcMar>
            <w:vAlign w:val="center"/>
          </w:tcPr>
          <w:p w14:paraId="56866BA5">
            <w:pPr>
              <w:spacing w:line="600" w:lineRule="exact"/>
              <w:rPr>
                <w:color w:val="auto"/>
                <w:highlight w:val="none"/>
              </w:rPr>
            </w:pPr>
            <w:r>
              <w:rPr>
                <w:rFonts w:ascii="宋体" w:hAnsi="宋体" w:cs="宋体"/>
                <w:color w:val="auto"/>
                <w:highlight w:val="none"/>
              </w:rPr>
              <w:t>法定代表人：</w:t>
            </w:r>
          </w:p>
        </w:tc>
        <w:tc>
          <w:tcPr>
            <w:tcW w:w="4583" w:type="dxa"/>
            <w:tcBorders>
              <w:top w:val="single" w:color="000000" w:sz="4" w:space="0"/>
              <w:left w:val="single" w:color="000000" w:sz="4" w:space="0"/>
              <w:bottom w:val="single" w:color="000000" w:sz="4" w:space="0"/>
            </w:tcBorders>
            <w:tcMar>
              <w:top w:w="0" w:type="dxa"/>
              <w:left w:w="108" w:type="dxa"/>
              <w:bottom w:w="0" w:type="dxa"/>
              <w:right w:w="108" w:type="dxa"/>
            </w:tcMar>
            <w:vAlign w:val="center"/>
          </w:tcPr>
          <w:p w14:paraId="5439D211">
            <w:pPr>
              <w:spacing w:line="600" w:lineRule="exact"/>
              <w:rPr>
                <w:color w:val="auto"/>
                <w:highlight w:val="none"/>
              </w:rPr>
            </w:pPr>
            <w:r>
              <w:rPr>
                <w:rFonts w:ascii="宋体" w:hAnsi="宋体" w:cs="宋体"/>
                <w:color w:val="auto"/>
                <w:highlight w:val="none"/>
              </w:rPr>
              <w:t>法定代表人：</w:t>
            </w:r>
          </w:p>
        </w:tc>
      </w:tr>
      <w:tr w14:paraId="52EAF1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93" w:hRule="atLeast"/>
          <w:jc w:val="center"/>
        </w:trPr>
        <w:tc>
          <w:tcPr>
            <w:tcW w:w="4582" w:type="dxa"/>
            <w:tcBorders>
              <w:top w:val="single" w:color="000000" w:sz="4" w:space="0"/>
              <w:right w:val="single" w:color="000000" w:sz="4" w:space="0"/>
            </w:tcBorders>
            <w:tcMar>
              <w:top w:w="0" w:type="dxa"/>
              <w:left w:w="108" w:type="dxa"/>
              <w:bottom w:w="0" w:type="dxa"/>
              <w:right w:w="108" w:type="dxa"/>
            </w:tcMar>
            <w:vAlign w:val="center"/>
          </w:tcPr>
          <w:p w14:paraId="5E763996">
            <w:pPr>
              <w:spacing w:line="600" w:lineRule="exact"/>
              <w:rPr>
                <w:color w:val="auto"/>
                <w:highlight w:val="none"/>
              </w:rPr>
            </w:pPr>
            <w:r>
              <w:rPr>
                <w:rFonts w:ascii="宋体" w:hAnsi="宋体" w:cs="宋体"/>
                <w:color w:val="auto"/>
                <w:highlight w:val="none"/>
              </w:rPr>
              <w:t>电话：0779-3060466</w:t>
            </w:r>
          </w:p>
        </w:tc>
        <w:tc>
          <w:tcPr>
            <w:tcW w:w="4583" w:type="dxa"/>
            <w:tcBorders>
              <w:top w:val="single" w:color="000000" w:sz="4" w:space="0"/>
              <w:left w:val="single" w:color="000000" w:sz="4" w:space="0"/>
            </w:tcBorders>
            <w:tcMar>
              <w:top w:w="0" w:type="dxa"/>
              <w:left w:w="108" w:type="dxa"/>
              <w:bottom w:w="0" w:type="dxa"/>
              <w:right w:w="108" w:type="dxa"/>
            </w:tcMar>
            <w:vAlign w:val="center"/>
          </w:tcPr>
          <w:p w14:paraId="4A0497F2">
            <w:pPr>
              <w:spacing w:line="600" w:lineRule="exact"/>
              <w:rPr>
                <w:color w:val="auto"/>
                <w:highlight w:val="none"/>
              </w:rPr>
            </w:pPr>
            <w:r>
              <w:rPr>
                <w:rFonts w:ascii="宋体" w:hAnsi="宋体" w:cs="宋体"/>
                <w:color w:val="auto"/>
                <w:highlight w:val="none"/>
              </w:rPr>
              <w:t>电话：</w:t>
            </w:r>
          </w:p>
        </w:tc>
      </w:tr>
    </w:tbl>
    <w:p w14:paraId="75052CB4">
      <w:pPr>
        <w:rPr>
          <w:color w:val="auto"/>
          <w:highlight w:val="none"/>
        </w:rPr>
      </w:pPr>
    </w:p>
    <w:p w14:paraId="3075BD00">
      <w:pPr>
        <w:rPr>
          <w:color w:val="auto"/>
          <w:highlight w:val="none"/>
        </w:rPr>
      </w:pPr>
    </w:p>
    <w:p w14:paraId="7F7F53BA">
      <w:pPr>
        <w:rPr>
          <w:color w:val="auto"/>
          <w:highlight w:val="none"/>
        </w:rPr>
      </w:pPr>
    </w:p>
    <w:p w14:paraId="31223D55">
      <w:pPr>
        <w:rPr>
          <w:color w:val="auto"/>
          <w:highlight w:val="none"/>
        </w:rPr>
      </w:pPr>
    </w:p>
    <w:p w14:paraId="4BD06E41">
      <w:pPr>
        <w:rPr>
          <w:color w:val="auto"/>
          <w:highlight w:val="none"/>
        </w:rPr>
      </w:pPr>
    </w:p>
    <w:p w14:paraId="0A30B313">
      <w:pPr>
        <w:rPr>
          <w:color w:val="auto"/>
          <w:highlight w:val="none"/>
        </w:rPr>
      </w:pPr>
    </w:p>
    <w:p w14:paraId="7317EE5F">
      <w:pPr>
        <w:rPr>
          <w:color w:val="auto"/>
          <w:highlight w:val="none"/>
        </w:rPr>
      </w:pPr>
    </w:p>
    <w:p w14:paraId="5CDF2430">
      <w:pPr>
        <w:rPr>
          <w:color w:val="auto"/>
          <w:highlight w:val="none"/>
        </w:rPr>
      </w:pPr>
    </w:p>
    <w:p w14:paraId="15A39586">
      <w:pPr>
        <w:rPr>
          <w:color w:val="auto"/>
          <w:highlight w:val="none"/>
        </w:rPr>
      </w:pPr>
    </w:p>
    <w:p w14:paraId="7D14839B">
      <w:pPr>
        <w:rPr>
          <w:color w:val="auto"/>
          <w:highlight w:val="none"/>
        </w:rPr>
      </w:pPr>
    </w:p>
    <w:p w14:paraId="71EA1809">
      <w:pPr>
        <w:rPr>
          <w:rFonts w:hint="eastAsia" w:ascii="宋体" w:hAnsi="宋体" w:cs="宋体"/>
          <w:b/>
          <w:bCs/>
          <w:color w:val="auto"/>
          <w:spacing w:val="-2"/>
          <w:szCs w:val="28"/>
          <w:highlight w:val="none"/>
        </w:rPr>
      </w:pPr>
      <w:r>
        <w:rPr>
          <w:rFonts w:hint="eastAsia" w:ascii="宋体" w:hAnsi="宋体" w:cs="宋体"/>
          <w:b/>
          <w:bCs/>
          <w:color w:val="auto"/>
          <w:spacing w:val="-2"/>
          <w:szCs w:val="28"/>
          <w:highlight w:val="none"/>
        </w:rPr>
        <w:br w:type="page"/>
      </w:r>
    </w:p>
    <w:p w14:paraId="013EAF49">
      <w:pPr>
        <w:outlineLvl w:val="2"/>
        <w:rPr>
          <w:rFonts w:ascii="宋体" w:hAnsi="宋体" w:cs="宋体"/>
          <w:b/>
          <w:bCs/>
          <w:color w:val="auto"/>
          <w:spacing w:val="-2"/>
          <w:szCs w:val="28"/>
          <w:highlight w:val="none"/>
        </w:rPr>
      </w:pPr>
      <w:r>
        <w:rPr>
          <w:rFonts w:hint="eastAsia" w:ascii="宋体" w:hAnsi="宋体" w:cs="宋体"/>
          <w:b/>
          <w:bCs/>
          <w:color w:val="auto"/>
          <w:spacing w:val="-2"/>
          <w:szCs w:val="28"/>
          <w:highlight w:val="none"/>
        </w:rPr>
        <w:t>附件2 安全文明服务协议</w:t>
      </w:r>
    </w:p>
    <w:p w14:paraId="5BDD2168">
      <w:pPr>
        <w:spacing w:line="480" w:lineRule="exact"/>
        <w:jc w:val="center"/>
        <w:rPr>
          <w:rFonts w:ascii="宋体" w:hAnsi="宋体" w:cs="宋体"/>
          <w:b/>
          <w:bCs/>
          <w:color w:val="auto"/>
          <w:spacing w:val="-6"/>
          <w:sz w:val="44"/>
          <w:szCs w:val="44"/>
          <w:highlight w:val="none"/>
        </w:rPr>
      </w:pPr>
    </w:p>
    <w:p w14:paraId="1A3F3886">
      <w:pPr>
        <w:spacing w:line="480" w:lineRule="exact"/>
        <w:jc w:val="center"/>
        <w:rPr>
          <w:rFonts w:ascii="宋体" w:hAnsi="宋体" w:cs="宋体"/>
          <w:b/>
          <w:bCs/>
          <w:color w:val="auto"/>
          <w:sz w:val="44"/>
          <w:szCs w:val="44"/>
          <w:highlight w:val="none"/>
        </w:rPr>
      </w:pPr>
      <w:r>
        <w:rPr>
          <w:rFonts w:hint="eastAsia" w:ascii="宋体" w:hAnsi="宋体" w:cs="宋体"/>
          <w:b/>
          <w:bCs/>
          <w:color w:val="auto"/>
          <w:spacing w:val="-6"/>
          <w:sz w:val="44"/>
          <w:szCs w:val="44"/>
          <w:highlight w:val="none"/>
        </w:rPr>
        <w:t>安全文明服务</w:t>
      </w:r>
      <w:r>
        <w:rPr>
          <w:rFonts w:hint="eastAsia" w:ascii="宋体" w:hAnsi="宋体" w:cs="宋体"/>
          <w:b/>
          <w:bCs/>
          <w:color w:val="auto"/>
          <w:sz w:val="44"/>
          <w:szCs w:val="44"/>
          <w:highlight w:val="none"/>
        </w:rPr>
        <w:t>协议书</w:t>
      </w:r>
    </w:p>
    <w:p w14:paraId="02665197">
      <w:pPr>
        <w:spacing w:line="480" w:lineRule="exact"/>
        <w:ind w:firstLine="480" w:firstLineChars="200"/>
        <w:rPr>
          <w:rFonts w:ascii="仿宋" w:hAnsi="仿宋" w:eastAsia="仿宋" w:cs="仿宋"/>
          <w:color w:val="auto"/>
          <w:sz w:val="24"/>
          <w:highlight w:val="none"/>
        </w:rPr>
      </w:pPr>
    </w:p>
    <w:p w14:paraId="3358956D">
      <w:pPr>
        <w:spacing w:line="480" w:lineRule="exact"/>
        <w:rPr>
          <w:rFonts w:ascii="宋体" w:hAnsi="宋体" w:cs="宋体"/>
          <w:color w:val="auto"/>
          <w:sz w:val="24"/>
          <w:highlight w:val="none"/>
        </w:rPr>
      </w:pPr>
      <w:r>
        <w:rPr>
          <w:rFonts w:hint="eastAsia" w:ascii="宋体" w:hAnsi="宋体" w:cs="宋体"/>
          <w:color w:val="auto"/>
          <w:sz w:val="24"/>
          <w:highlight w:val="none"/>
        </w:rPr>
        <w:t>甲方：广西壮族自治区合浦儒艮国家级自然保护区管理中心</w:t>
      </w:r>
    </w:p>
    <w:p w14:paraId="00BBFF88">
      <w:pPr>
        <w:spacing w:line="480" w:lineRule="exact"/>
        <w:rPr>
          <w:rFonts w:ascii="宋体" w:hAnsi="宋体" w:cs="宋体"/>
          <w:color w:val="auto"/>
          <w:sz w:val="24"/>
          <w:highlight w:val="none"/>
        </w:rPr>
      </w:pPr>
      <w:r>
        <w:rPr>
          <w:rFonts w:hint="eastAsia" w:ascii="宋体" w:hAnsi="宋体" w:cs="宋体"/>
          <w:color w:val="auto"/>
          <w:sz w:val="24"/>
          <w:highlight w:val="none"/>
        </w:rPr>
        <w:t>乙方：</w:t>
      </w:r>
    </w:p>
    <w:p w14:paraId="5975DBE3">
      <w:pPr>
        <w:spacing w:line="480" w:lineRule="exact"/>
        <w:ind w:firstLine="480" w:firstLineChars="200"/>
        <w:rPr>
          <w:rFonts w:ascii="宋体" w:hAnsi="宋体" w:cs="宋体"/>
          <w:color w:val="auto"/>
          <w:sz w:val="24"/>
          <w:highlight w:val="none"/>
        </w:rPr>
      </w:pPr>
    </w:p>
    <w:p w14:paraId="1EAC920F">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为进一步规范服务期间安全生产工作行为，便于各方进行安全管理，在执行主合同有关条款的基础上，经双方充分协商，签订本协议。</w:t>
      </w:r>
    </w:p>
    <w:p w14:paraId="4C29FFED">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一、安全管理责任</w:t>
      </w:r>
    </w:p>
    <w:p w14:paraId="08B95C0B">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1.乙方必须认真贯彻国家、地方的法律法规、规章、规范性文件及安全生产部门颁发的有关安全生产、消防工作的方针、政策，严格执行有关劳动保护法规、条例、规定、规范、标准，遵守甲方安全管理要求。</w:t>
      </w:r>
    </w:p>
    <w:p w14:paraId="5825CEB5">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2.乙方对主合同服务范围内安全生产负全部责任。</w:t>
      </w:r>
    </w:p>
    <w:p w14:paraId="0F076481">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3.乙方指定：</w:t>
      </w:r>
      <w:r>
        <w:rPr>
          <w:rFonts w:hint="eastAsia" w:ascii="宋体" w:hAnsi="宋体" w:cs="宋体"/>
          <w:color w:val="auto"/>
          <w:sz w:val="24"/>
          <w:highlight w:val="none"/>
          <w:u w:val="single"/>
        </w:rPr>
        <w:t xml:space="preserve">         （法人代表）</w:t>
      </w:r>
      <w:r>
        <w:rPr>
          <w:rFonts w:hint="eastAsia" w:ascii="宋体" w:hAnsi="宋体" w:cs="宋体"/>
          <w:color w:val="auto"/>
          <w:sz w:val="24"/>
          <w:highlight w:val="none"/>
        </w:rPr>
        <w:t>为乙方合同范围内安全生产第一责任人。</w:t>
      </w:r>
    </w:p>
    <w:p w14:paraId="5B68CE42">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4.乙方知悉并同意，安全生产工作费用已包含在主合同价款中，甲方不需向乙方另外支付任何安全生产相关费用。</w:t>
      </w:r>
    </w:p>
    <w:p w14:paraId="63C1AF36">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二、安全生产目标及标准</w:t>
      </w:r>
    </w:p>
    <w:p w14:paraId="5755069F">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1.安全生产目标</w:t>
      </w:r>
    </w:p>
    <w:p w14:paraId="4D23CC59">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乙方安全生产需满足现行国家、地方及行业规定和合同有关安全生产的要求，包括：</w:t>
      </w:r>
    </w:p>
    <w:p w14:paraId="67FE99C1">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1.1死亡、重伤、直接经济损失超过99.3万元的事故0起；</w:t>
      </w:r>
    </w:p>
    <w:p w14:paraId="415CC77C">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1.2火灾、中毒、环境污染事故0起；</w:t>
      </w:r>
    </w:p>
    <w:p w14:paraId="55B9EAE1">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1.3安全原因导致的政府处罚、媒体负面报道为0；</w:t>
      </w:r>
    </w:p>
    <w:p w14:paraId="3F5A5878">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1.4因安全原因导致的现场整体停止服务不得超过1天（含）；</w:t>
      </w:r>
    </w:p>
    <w:p w14:paraId="4A8AB3C2">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1.5甲方及甲方聘请的第三方、政府部门要求整改的安全隐患，限期整改完成率达到100%；</w:t>
      </w:r>
    </w:p>
    <w:p w14:paraId="6D795567">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1.6安全原因导致的群体性事件为0。</w:t>
      </w:r>
    </w:p>
    <w:p w14:paraId="04D31CAE">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2.安全生产标准</w:t>
      </w:r>
    </w:p>
    <w:p w14:paraId="56A8638C">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乙方的企业资质须符合国家和地方的法律法规、规章、规范性文件规定，行业规定的安全规范，及相关安全管理要求。</w:t>
      </w:r>
    </w:p>
    <w:p w14:paraId="593E46AA">
      <w:pPr>
        <w:spacing w:line="48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三、安全生产保证措施</w:t>
      </w:r>
    </w:p>
    <w:p w14:paraId="4A6FCA45">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1.安全管理制度及规定</w:t>
      </w:r>
    </w:p>
    <w:p w14:paraId="24A876BA">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1.1乙方应建立安全生产责任制度、教育培训等安全管理制度，并组织实施，且按安全生产法律规定及合同约定履行安全职责。</w:t>
      </w:r>
    </w:p>
    <w:p w14:paraId="582A3B6D">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1.2乙方应按照国家相关规范要求对人员实施安全培训；特种作业人员应做到100%持证上岗，并按要求完成培训、定期审证。</w:t>
      </w:r>
    </w:p>
    <w:p w14:paraId="10E2B705">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1.3乙方在每次开展施工前应组织召开安全生产教育会议，培训有关安全的规章制度及要求，乙方必须检查、督促人员执行情况，确保执行到位。</w:t>
      </w:r>
    </w:p>
    <w:p w14:paraId="358C5607">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1.4乙方服务期间必须严格执行和遵守安全生产管理的各项规定，接受甲方的督促、检查和指导。</w:t>
      </w:r>
    </w:p>
    <w:p w14:paraId="54DC9D98">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1.5乙方应督促工作人员穿戴好服务防护用品。</w:t>
      </w:r>
    </w:p>
    <w:p w14:paraId="0DCE720B">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乙方应按照法律规定保障为其履行合同所雇佣的人员的人身安全，并提供安全保护，按国家有关劳动保护的规定，采取有效的措施保障高温、高寒、高空等作业安全。乙方工作人员在服务期间受到伤害的，乙方应立即采取有效措施进行抢救和治疗，并承担由此产生的一切责任与损失。</w:t>
      </w:r>
    </w:p>
    <w:p w14:paraId="08CD86B0">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1.7乙方应依法为其履行合同所雇佣的人员办理必要的证件、许可、保险和注册等。乙方工作人员应购买包括但不限于工伤保险、医疗保险、意外伤害保险以及可能需要的任何其他相关保险。保险应覆盖乙方工作人员在工作期间以及因工作原因导致的所有意外伤害、疾病和死亡。乙方应确保购买的保险金额足够覆盖所有可能的风险，且保险期限应至少与项目合同期限相同。</w:t>
      </w:r>
    </w:p>
    <w:p w14:paraId="6B862669">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2.安全事件处理</w:t>
      </w:r>
    </w:p>
    <w:p w14:paraId="21D175D1">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2.1服务过程中发生安全事故、暴恐事件、食物中毒、群体性事件、停工等，乙方应立即通知甲方，并组织人员和设备启动应急预案，减少人员伤亡和财产损失，防止事故扩大，并保护事故现场。需要移动现场物品时，应作出标记和书面记录，妥善保管有关证据，及时如实地向甲方、有关主管部门报告事故发生的情况，以及正在采取的紧急措施等。应上报甲方的安全事件包括：</w:t>
      </w:r>
    </w:p>
    <w:p w14:paraId="741D7288">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（1）达到国家规定等级的安全事故；</w:t>
      </w:r>
    </w:p>
    <w:p w14:paraId="35AE92E2">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（2）发生人员伤亡、财产损失的暴恐事件；</w:t>
      </w:r>
    </w:p>
    <w:p w14:paraId="132DC561">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（3）人员在现场被困1小时以上；</w:t>
      </w:r>
    </w:p>
    <w:p w14:paraId="59AE1003">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（4）人员食物中毒；</w:t>
      </w:r>
    </w:p>
    <w:p w14:paraId="2D04689E">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（5）自然灾害受损；</w:t>
      </w:r>
    </w:p>
    <w:p w14:paraId="01EDCFCA">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（6）因安全事件造成项目整体停工；</w:t>
      </w:r>
    </w:p>
    <w:p w14:paraId="65D6511A">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（7）发生集体上访、静坐抗议、游行示威等人员聚集行为或发生自焚自残；</w:t>
      </w:r>
    </w:p>
    <w:p w14:paraId="1013CE4A">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（8）政府处罚通报或媒体负面报道。</w:t>
      </w:r>
    </w:p>
    <w:p w14:paraId="1A26D977">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2.2服务项目发生安全事故，乙方应无条件整改直至合格，不得以任何理由要求索赔费用或利润，并赔偿甲方因此遭受的一切损失，接受甲方依据合同进行追究违约责任，包括支付违约金和承担其他违约责任，受伤害人员的赔偿责任全部由乙方承担。</w:t>
      </w:r>
    </w:p>
    <w:p w14:paraId="22460BC5">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2.3凡合同约定服务区域内发生安全生产事故或重大人员伤亡，甲方可按其造成的后果及影响，对乙方以按违约责任给予经济处罚。责任违约的经济处理按合同约定扣除。事故造成的经济损失及因乙方责任给甲方造成的连带经济损失全部由乙方承担。</w:t>
      </w:r>
    </w:p>
    <w:p w14:paraId="156F4740">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2.4在项目服务期间内发生危及安全的事件，甲方通知乙方进行抢救，乙方声明无能力或不愿立即执行的，甲方有权雇佣其他人员进行抢救。此类抢救按合同约定属于乙方义务的，由此增加的费用由乙方承担。</w:t>
      </w:r>
    </w:p>
    <w:p w14:paraId="27FD8F2D">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3.安全生产责任</w:t>
      </w:r>
    </w:p>
    <w:p w14:paraId="6577E96A">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由于乙方原因在服务场地内及其毗邻地带，给甲方以及其他第三方造成人员伤亡和财产损失，由此引发的赔偿全部由乙方负责承担。</w:t>
      </w:r>
    </w:p>
    <w:p w14:paraId="10CCBE82">
      <w:pPr>
        <w:spacing w:line="480" w:lineRule="exact"/>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四、协议生效</w:t>
      </w:r>
    </w:p>
    <w:p w14:paraId="5DF43D7B">
      <w:pPr>
        <w:spacing w:line="480" w:lineRule="exact"/>
        <w:ind w:firstLine="480" w:firstLineChars="200"/>
        <w:rPr>
          <w:rFonts w:ascii="宋体" w:hAnsi="宋体" w:cs="宋体"/>
          <w:bCs/>
          <w:color w:val="auto"/>
          <w:kern w:val="0"/>
          <w:sz w:val="24"/>
          <w:highlight w:val="none"/>
        </w:rPr>
      </w:pPr>
      <w:r>
        <w:rPr>
          <w:rFonts w:hint="eastAsia" w:ascii="宋体" w:hAnsi="宋体" w:cs="宋体"/>
          <w:bCs/>
          <w:color w:val="auto"/>
          <w:kern w:val="0"/>
          <w:sz w:val="24"/>
          <w:highlight w:val="none"/>
        </w:rPr>
        <w:t>1.本协议生效后，即成为与原合同不可分割的组成部分，与原合同具有同等法律效力。除本协议中明确所作修改的条款之外，原合同的其余部分应完全继续有效。</w:t>
      </w:r>
    </w:p>
    <w:p w14:paraId="3D41F7E1">
      <w:pPr>
        <w:spacing w:line="480" w:lineRule="exact"/>
        <w:ind w:firstLine="480" w:firstLineChars="200"/>
        <w:rPr>
          <w:rFonts w:ascii="宋体" w:hAnsi="宋体" w:cs="宋体"/>
          <w:color w:val="auto"/>
          <w:sz w:val="24"/>
          <w:highlight w:val="none"/>
        </w:rPr>
      </w:pPr>
      <w:r>
        <w:rPr>
          <w:rFonts w:hint="eastAsia" w:ascii="宋体" w:hAnsi="宋体" w:cs="宋体"/>
          <w:bCs/>
          <w:color w:val="auto"/>
          <w:kern w:val="0"/>
          <w:sz w:val="24"/>
          <w:highlight w:val="none"/>
        </w:rPr>
        <w:t>2.本协议一式肆份，甲乙双方各执贰份（可根据需要另增加），具有同等法律效力，自双方签字盖章之日起生效。</w:t>
      </w:r>
    </w:p>
    <w:tbl>
      <w:tblPr>
        <w:tblStyle w:val="31"/>
        <w:tblW w:w="91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45"/>
        <w:gridCol w:w="4559"/>
      </w:tblGrid>
      <w:tr w14:paraId="0244D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4545" w:type="dxa"/>
            <w:vAlign w:val="center"/>
          </w:tcPr>
          <w:p w14:paraId="25CCC62D">
            <w:pPr>
              <w:pStyle w:val="111"/>
              <w:spacing w:before="0" w:after="0" w:line="480" w:lineRule="exact"/>
              <w:jc w:val="both"/>
              <w:rPr>
                <w:rFonts w:ascii="宋体" w:hAnsi="宋体" w:eastAsia="宋体" w:cs="宋体"/>
                <w:color w:val="auto"/>
                <w:szCs w:val="24"/>
                <w:highlight w:val="none"/>
              </w:rPr>
            </w:pPr>
            <w:r>
              <w:rPr>
                <w:rFonts w:hint="eastAsia" w:ascii="宋体" w:hAnsi="宋体" w:eastAsia="宋体" w:cs="宋体"/>
                <w:color w:val="auto"/>
                <w:szCs w:val="24"/>
                <w:highlight w:val="none"/>
              </w:rPr>
              <w:t xml:space="preserve">甲方（公章）：广西壮族自治区合浦儒艮国家级自然保护区管理中心  </w:t>
            </w:r>
          </w:p>
        </w:tc>
        <w:tc>
          <w:tcPr>
            <w:tcW w:w="4559" w:type="dxa"/>
          </w:tcPr>
          <w:p w14:paraId="03B3DFB9">
            <w:pPr>
              <w:pStyle w:val="111"/>
              <w:spacing w:before="0" w:after="0" w:line="480" w:lineRule="exact"/>
              <w:ind w:left="0" w:firstLine="0"/>
              <w:jc w:val="both"/>
              <w:rPr>
                <w:rFonts w:ascii="宋体" w:hAnsi="宋体" w:eastAsia="宋体" w:cs="宋体"/>
                <w:color w:val="auto"/>
                <w:szCs w:val="24"/>
                <w:highlight w:val="none"/>
              </w:rPr>
            </w:pPr>
            <w:r>
              <w:rPr>
                <w:rFonts w:hint="eastAsia" w:ascii="宋体" w:hAnsi="宋体" w:eastAsia="宋体" w:cs="宋体"/>
                <w:color w:val="auto"/>
                <w:szCs w:val="24"/>
                <w:highlight w:val="none"/>
              </w:rPr>
              <w:t>乙方（公章）：</w:t>
            </w:r>
          </w:p>
        </w:tc>
      </w:tr>
      <w:tr w14:paraId="2FA6A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4545" w:type="dxa"/>
          </w:tcPr>
          <w:p w14:paraId="4000D1F1">
            <w:pPr>
              <w:pStyle w:val="111"/>
              <w:spacing w:before="0" w:after="0" w:line="480" w:lineRule="exact"/>
              <w:jc w:val="both"/>
              <w:rPr>
                <w:rFonts w:ascii="宋体" w:hAnsi="宋体" w:eastAsia="宋体" w:cs="宋体"/>
                <w:color w:val="auto"/>
                <w:szCs w:val="24"/>
                <w:highlight w:val="none"/>
              </w:rPr>
            </w:pPr>
            <w:r>
              <w:rPr>
                <w:rFonts w:hint="eastAsia" w:ascii="宋体" w:hAnsi="宋体" w:eastAsia="宋体" w:cs="宋体"/>
                <w:color w:val="auto"/>
                <w:szCs w:val="24"/>
                <w:highlight w:val="none"/>
              </w:rPr>
              <w:t>法定代表人或其委托代理人：</w:t>
            </w:r>
          </w:p>
          <w:p w14:paraId="49D18CA7">
            <w:pPr>
              <w:pStyle w:val="111"/>
              <w:spacing w:before="0" w:after="0" w:line="480" w:lineRule="exact"/>
              <w:ind w:left="0" w:firstLine="369" w:firstLineChars="154"/>
              <w:jc w:val="both"/>
              <w:rPr>
                <w:rFonts w:ascii="宋体" w:hAnsi="宋体" w:eastAsia="宋体" w:cs="宋体"/>
                <w:color w:val="auto"/>
                <w:szCs w:val="24"/>
                <w:highlight w:val="none"/>
              </w:rPr>
            </w:pPr>
            <w:r>
              <w:rPr>
                <w:rFonts w:hint="eastAsia" w:ascii="宋体" w:hAnsi="宋体" w:eastAsia="宋体" w:cs="宋体"/>
                <w:color w:val="auto"/>
                <w:szCs w:val="24"/>
                <w:highlight w:val="none"/>
              </w:rPr>
              <w:t>（签字或印章）</w:t>
            </w:r>
          </w:p>
        </w:tc>
        <w:tc>
          <w:tcPr>
            <w:tcW w:w="4559" w:type="dxa"/>
          </w:tcPr>
          <w:p w14:paraId="0D056AC3">
            <w:pPr>
              <w:pStyle w:val="111"/>
              <w:spacing w:before="0" w:after="0" w:line="480" w:lineRule="exact"/>
              <w:jc w:val="both"/>
              <w:rPr>
                <w:rFonts w:ascii="宋体" w:hAnsi="宋体" w:eastAsia="宋体" w:cs="宋体"/>
                <w:color w:val="auto"/>
                <w:szCs w:val="24"/>
                <w:highlight w:val="none"/>
              </w:rPr>
            </w:pPr>
            <w:r>
              <w:rPr>
                <w:rFonts w:hint="eastAsia" w:ascii="宋体" w:hAnsi="宋体" w:eastAsia="宋体" w:cs="宋体"/>
                <w:color w:val="auto"/>
                <w:szCs w:val="24"/>
                <w:highlight w:val="none"/>
              </w:rPr>
              <w:t>法定代表人或其委托代理人：</w:t>
            </w:r>
          </w:p>
          <w:p w14:paraId="37BAA825">
            <w:pPr>
              <w:pStyle w:val="111"/>
              <w:spacing w:before="0" w:after="0" w:line="480" w:lineRule="exact"/>
              <w:ind w:left="0" w:firstLine="369" w:firstLineChars="154"/>
              <w:jc w:val="both"/>
              <w:rPr>
                <w:rFonts w:ascii="宋体" w:hAnsi="宋体" w:eastAsia="宋体" w:cs="宋体"/>
                <w:color w:val="auto"/>
                <w:szCs w:val="24"/>
                <w:highlight w:val="none"/>
              </w:rPr>
            </w:pPr>
            <w:r>
              <w:rPr>
                <w:rFonts w:hint="eastAsia" w:ascii="宋体" w:hAnsi="宋体" w:eastAsia="宋体" w:cs="宋体"/>
                <w:color w:val="auto"/>
                <w:szCs w:val="24"/>
                <w:highlight w:val="none"/>
              </w:rPr>
              <w:t>（签字或印章）</w:t>
            </w:r>
          </w:p>
        </w:tc>
      </w:tr>
      <w:tr w14:paraId="4E6A5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104" w:type="dxa"/>
            <w:gridSpan w:val="2"/>
          </w:tcPr>
          <w:p w14:paraId="7AD1C4D7">
            <w:pPr>
              <w:pStyle w:val="111"/>
              <w:spacing w:before="0" w:after="0" w:line="480" w:lineRule="exact"/>
              <w:rPr>
                <w:rFonts w:ascii="宋体" w:hAnsi="宋体" w:eastAsia="宋体" w:cs="宋体"/>
                <w:color w:val="auto"/>
                <w:szCs w:val="24"/>
                <w:highlight w:val="none"/>
              </w:rPr>
            </w:pPr>
            <w:r>
              <w:rPr>
                <w:rFonts w:hint="eastAsia" w:ascii="宋体" w:hAnsi="宋体" w:eastAsia="宋体" w:cs="宋体"/>
                <w:color w:val="auto"/>
                <w:szCs w:val="24"/>
                <w:highlight w:val="none"/>
              </w:rPr>
              <w:t>日期： 2026 年   月   日</w:t>
            </w:r>
          </w:p>
        </w:tc>
      </w:tr>
    </w:tbl>
    <w:p w14:paraId="055E3DDE">
      <w:pPr>
        <w:rPr>
          <w:color w:val="auto"/>
          <w:highlight w:val="none"/>
        </w:rPr>
      </w:pPr>
    </w:p>
    <w:p w14:paraId="1B006BFC">
      <w:pPr>
        <w:rPr>
          <w:color w:val="auto"/>
          <w:highlight w:val="none"/>
        </w:rPr>
      </w:pPr>
    </w:p>
    <w:p w14:paraId="1A7AF6AD">
      <w:pPr>
        <w:rPr>
          <w:rFonts w:hint="eastAsia" w:ascii="方正小标宋_GBK" w:hAnsi="方正小标宋_GBK" w:eastAsia="方正小标宋_GBK" w:cs="方正小标宋_GBK"/>
          <w:b w:val="0"/>
          <w:bCs w:val="0"/>
          <w:color w:val="auto"/>
          <w:sz w:val="21"/>
          <w:szCs w:val="21"/>
          <w:highlight w:val="none"/>
        </w:rPr>
      </w:pPr>
      <w:r>
        <w:rPr>
          <w:rFonts w:hint="eastAsia" w:ascii="方正小标宋_GBK" w:hAnsi="方正小标宋_GBK" w:eastAsia="方正小标宋_GBK" w:cs="方正小标宋_GBK"/>
          <w:b w:val="0"/>
          <w:bCs w:val="0"/>
          <w:color w:val="auto"/>
          <w:sz w:val="21"/>
          <w:szCs w:val="21"/>
          <w:highlight w:val="none"/>
        </w:rPr>
        <w:br w:type="page"/>
      </w:r>
    </w:p>
    <w:p w14:paraId="096907BF">
      <w:pPr>
        <w:pStyle w:val="3"/>
        <w:spacing w:line="400" w:lineRule="exact"/>
        <w:jc w:val="center"/>
        <w:rPr>
          <w:rFonts w:ascii="方正小标宋_GBK" w:hAnsi="方正小标宋_GBK" w:eastAsia="方正小标宋_GBK" w:cs="方正小标宋_GBK"/>
          <w:b w:val="0"/>
          <w:bCs w:val="0"/>
          <w:color w:val="auto"/>
          <w:sz w:val="21"/>
          <w:szCs w:val="21"/>
          <w:highlight w:val="none"/>
        </w:rPr>
      </w:pPr>
      <w:r>
        <w:rPr>
          <w:rFonts w:hint="eastAsia" w:ascii="方正小标宋_GBK" w:hAnsi="方正小标宋_GBK" w:eastAsia="方正小标宋_GBK" w:cs="方正小标宋_GBK"/>
          <w:b w:val="0"/>
          <w:bCs w:val="0"/>
          <w:color w:val="auto"/>
          <w:sz w:val="21"/>
          <w:szCs w:val="21"/>
          <w:highlight w:val="none"/>
        </w:rPr>
        <w:t>第七章 质疑、投诉材料格式</w:t>
      </w:r>
      <w:bookmarkEnd w:id="228"/>
    </w:p>
    <w:p w14:paraId="015093B3">
      <w:pPr>
        <w:spacing w:beforeLines="100" w:afterLines="100" w:line="400" w:lineRule="exact"/>
        <w:jc w:val="center"/>
        <w:rPr>
          <w:rFonts w:ascii="宋体" w:hAnsi="宋体" w:cs="宋体"/>
          <w:b/>
          <w:bCs/>
          <w:color w:val="auto"/>
          <w:szCs w:val="21"/>
          <w:highlight w:val="none"/>
        </w:rPr>
      </w:pPr>
      <w:r>
        <w:rPr>
          <w:rFonts w:hint="eastAsia" w:ascii="宋体" w:hAnsi="宋体" w:cs="宋体"/>
          <w:b/>
          <w:color w:val="auto"/>
          <w:szCs w:val="21"/>
          <w:highlight w:val="none"/>
        </w:rPr>
        <w:t>质疑函（格式）</w:t>
      </w:r>
    </w:p>
    <w:p w14:paraId="7DFE4D8D">
      <w:pPr>
        <w:pStyle w:val="16"/>
        <w:snapToGrid w:val="0"/>
        <w:spacing w:line="400" w:lineRule="exact"/>
        <w:ind w:firstLine="422" w:firstLineChars="200"/>
        <w:rPr>
          <w:rFonts w:hAnsi="宋体" w:cs="宋体"/>
          <w:b/>
          <w:bCs/>
          <w:color w:val="auto"/>
          <w:sz w:val="21"/>
          <w:highlight w:val="none"/>
        </w:rPr>
      </w:pPr>
      <w:r>
        <w:rPr>
          <w:rFonts w:hint="eastAsia" w:hAnsi="宋体" w:cs="宋体"/>
          <w:b/>
          <w:bCs/>
          <w:color w:val="auto"/>
          <w:sz w:val="21"/>
          <w:highlight w:val="none"/>
        </w:rPr>
        <w:t>一、质疑供应商基本信息：</w:t>
      </w:r>
    </w:p>
    <w:p w14:paraId="319DCE22">
      <w:pPr>
        <w:pStyle w:val="16"/>
        <w:snapToGrid w:val="0"/>
        <w:spacing w:line="400" w:lineRule="exact"/>
        <w:ind w:firstLine="420" w:firstLineChars="200"/>
        <w:rPr>
          <w:rFonts w:hAnsi="宋体" w:cs="宋体"/>
          <w:bCs/>
          <w:color w:val="auto"/>
          <w:sz w:val="21"/>
          <w:highlight w:val="none"/>
          <w:u w:val="single"/>
        </w:rPr>
      </w:pPr>
      <w:r>
        <w:rPr>
          <w:rFonts w:hint="eastAsia" w:hAnsi="宋体" w:cs="宋体"/>
          <w:bCs/>
          <w:color w:val="auto"/>
          <w:sz w:val="21"/>
          <w:highlight w:val="none"/>
        </w:rPr>
        <w:t>质疑供应商：</w:t>
      </w:r>
    </w:p>
    <w:p w14:paraId="43CACDF8">
      <w:pPr>
        <w:pStyle w:val="16"/>
        <w:snapToGrid w:val="0"/>
        <w:spacing w:line="400" w:lineRule="exact"/>
        <w:ind w:firstLine="420" w:firstLineChars="200"/>
        <w:rPr>
          <w:rFonts w:hAnsi="宋体" w:cs="宋体"/>
          <w:bCs/>
          <w:color w:val="auto"/>
          <w:sz w:val="21"/>
          <w:highlight w:val="none"/>
          <w:u w:val="single"/>
        </w:rPr>
      </w:pPr>
      <w:r>
        <w:rPr>
          <w:rFonts w:hint="eastAsia" w:hAnsi="宋体" w:cs="宋体"/>
          <w:bCs/>
          <w:color w:val="auto"/>
          <w:sz w:val="21"/>
          <w:highlight w:val="none"/>
        </w:rPr>
        <w:t>地址：邮编：</w:t>
      </w:r>
    </w:p>
    <w:p w14:paraId="498A9204">
      <w:pPr>
        <w:pStyle w:val="16"/>
        <w:snapToGrid w:val="0"/>
        <w:spacing w:line="400" w:lineRule="exact"/>
        <w:ind w:firstLine="420" w:firstLineChars="200"/>
        <w:rPr>
          <w:rFonts w:hAnsi="宋体" w:cs="宋体"/>
          <w:bCs/>
          <w:color w:val="auto"/>
          <w:sz w:val="21"/>
          <w:highlight w:val="none"/>
        </w:rPr>
      </w:pPr>
      <w:r>
        <w:rPr>
          <w:rFonts w:hint="eastAsia" w:hAnsi="宋体" w:cs="宋体"/>
          <w:bCs/>
          <w:color w:val="auto"/>
          <w:sz w:val="21"/>
          <w:highlight w:val="none"/>
        </w:rPr>
        <w:t>联系人：联系电话：</w:t>
      </w:r>
    </w:p>
    <w:p w14:paraId="11DE62B8">
      <w:pPr>
        <w:pStyle w:val="16"/>
        <w:snapToGrid w:val="0"/>
        <w:spacing w:line="400" w:lineRule="exact"/>
        <w:ind w:firstLine="420" w:firstLineChars="200"/>
        <w:rPr>
          <w:rFonts w:hAnsi="宋体" w:cs="宋体"/>
          <w:bCs/>
          <w:color w:val="auto"/>
          <w:sz w:val="21"/>
          <w:highlight w:val="none"/>
        </w:rPr>
      </w:pPr>
      <w:r>
        <w:rPr>
          <w:rFonts w:hint="eastAsia" w:hAnsi="宋体" w:cs="宋体"/>
          <w:bCs/>
          <w:color w:val="auto"/>
          <w:sz w:val="21"/>
          <w:highlight w:val="none"/>
        </w:rPr>
        <w:t>授权代表：</w:t>
      </w:r>
    </w:p>
    <w:p w14:paraId="65F82CD9">
      <w:pPr>
        <w:pStyle w:val="16"/>
        <w:snapToGrid w:val="0"/>
        <w:spacing w:line="400" w:lineRule="exact"/>
        <w:ind w:firstLine="420" w:firstLineChars="200"/>
        <w:rPr>
          <w:rFonts w:hAnsi="宋体" w:cs="宋体"/>
          <w:bCs/>
          <w:color w:val="auto"/>
          <w:sz w:val="21"/>
          <w:highlight w:val="none"/>
          <w:u w:val="single"/>
        </w:rPr>
      </w:pPr>
      <w:r>
        <w:rPr>
          <w:rFonts w:hint="eastAsia" w:hAnsi="宋体" w:cs="宋体"/>
          <w:bCs/>
          <w:color w:val="auto"/>
          <w:sz w:val="21"/>
          <w:highlight w:val="none"/>
        </w:rPr>
        <w:t>联系电话：</w:t>
      </w:r>
    </w:p>
    <w:p w14:paraId="7DACCC68">
      <w:pPr>
        <w:pStyle w:val="16"/>
        <w:snapToGrid w:val="0"/>
        <w:spacing w:line="400" w:lineRule="exact"/>
        <w:ind w:firstLine="420" w:firstLineChars="200"/>
        <w:rPr>
          <w:rFonts w:hAnsi="宋体" w:cs="宋体"/>
          <w:bCs/>
          <w:color w:val="auto"/>
          <w:sz w:val="21"/>
          <w:highlight w:val="none"/>
        </w:rPr>
      </w:pPr>
      <w:r>
        <w:rPr>
          <w:rFonts w:hint="eastAsia" w:hAnsi="宋体" w:cs="宋体"/>
          <w:bCs/>
          <w:color w:val="auto"/>
          <w:sz w:val="21"/>
          <w:highlight w:val="none"/>
        </w:rPr>
        <w:t>地址：邮编：</w:t>
      </w:r>
    </w:p>
    <w:p w14:paraId="2D185C0F">
      <w:pPr>
        <w:pStyle w:val="16"/>
        <w:snapToGrid w:val="0"/>
        <w:spacing w:line="400" w:lineRule="exact"/>
        <w:ind w:firstLine="422" w:firstLineChars="200"/>
        <w:rPr>
          <w:rFonts w:hAnsi="宋体" w:cs="宋体"/>
          <w:b/>
          <w:bCs/>
          <w:color w:val="auto"/>
          <w:sz w:val="21"/>
          <w:highlight w:val="none"/>
        </w:rPr>
      </w:pPr>
      <w:r>
        <w:rPr>
          <w:rFonts w:hint="eastAsia" w:hAnsi="宋体" w:cs="宋体"/>
          <w:b/>
          <w:bCs/>
          <w:color w:val="auto"/>
          <w:sz w:val="21"/>
          <w:highlight w:val="none"/>
        </w:rPr>
        <w:t>二、质疑项目基本情况：</w:t>
      </w:r>
    </w:p>
    <w:p w14:paraId="438717AB">
      <w:pPr>
        <w:pStyle w:val="16"/>
        <w:spacing w:line="400" w:lineRule="exact"/>
        <w:ind w:left="25" w:leftChars="12" w:firstLine="413" w:firstLineChars="197"/>
        <w:rPr>
          <w:rFonts w:hAnsi="宋体" w:cs="宋体"/>
          <w:color w:val="auto"/>
          <w:sz w:val="21"/>
          <w:highlight w:val="none"/>
        </w:rPr>
      </w:pPr>
      <w:r>
        <w:rPr>
          <w:rFonts w:hint="eastAsia" w:hAnsi="宋体" w:cs="宋体"/>
          <w:bCs/>
          <w:color w:val="auto"/>
          <w:sz w:val="21"/>
          <w:highlight w:val="none"/>
        </w:rPr>
        <w:t>质疑</w:t>
      </w:r>
      <w:r>
        <w:rPr>
          <w:rFonts w:hint="eastAsia" w:hAnsi="宋体" w:cs="宋体"/>
          <w:color w:val="auto"/>
          <w:sz w:val="21"/>
          <w:highlight w:val="none"/>
        </w:rPr>
        <w:t>项目的名称：</w:t>
      </w:r>
    </w:p>
    <w:p w14:paraId="55F8DE99">
      <w:pPr>
        <w:pStyle w:val="16"/>
        <w:spacing w:line="400" w:lineRule="exact"/>
        <w:ind w:left="25" w:leftChars="12" w:firstLine="413" w:firstLineChars="197"/>
        <w:rPr>
          <w:rFonts w:hAnsi="宋体" w:cs="宋体"/>
          <w:color w:val="auto"/>
          <w:sz w:val="21"/>
          <w:highlight w:val="none"/>
        </w:rPr>
      </w:pPr>
      <w:r>
        <w:rPr>
          <w:rFonts w:hint="eastAsia" w:hAnsi="宋体" w:cs="宋体"/>
          <w:bCs/>
          <w:color w:val="auto"/>
          <w:sz w:val="21"/>
          <w:highlight w:val="none"/>
        </w:rPr>
        <w:t>质疑</w:t>
      </w:r>
      <w:r>
        <w:rPr>
          <w:rFonts w:hint="eastAsia" w:hAnsi="宋体" w:cs="宋体"/>
          <w:color w:val="auto"/>
          <w:sz w:val="21"/>
          <w:highlight w:val="none"/>
        </w:rPr>
        <w:t>项目的编号：</w:t>
      </w:r>
    </w:p>
    <w:p w14:paraId="612A01B8">
      <w:pPr>
        <w:pStyle w:val="16"/>
        <w:spacing w:line="400" w:lineRule="exact"/>
        <w:ind w:left="25" w:leftChars="12" w:firstLine="413" w:firstLineChars="197"/>
        <w:rPr>
          <w:rFonts w:hAnsi="宋体" w:cs="宋体"/>
          <w:color w:val="auto"/>
          <w:sz w:val="21"/>
          <w:highlight w:val="none"/>
        </w:rPr>
      </w:pPr>
      <w:r>
        <w:rPr>
          <w:rFonts w:hint="eastAsia" w:hAnsi="宋体" w:cs="宋体"/>
          <w:color w:val="auto"/>
          <w:sz w:val="21"/>
          <w:highlight w:val="none"/>
        </w:rPr>
        <w:t>采购人名称：</w:t>
      </w:r>
    </w:p>
    <w:p w14:paraId="5CE3A6D8">
      <w:pPr>
        <w:pStyle w:val="16"/>
        <w:spacing w:line="400" w:lineRule="exact"/>
        <w:ind w:left="25" w:leftChars="12" w:firstLine="413" w:firstLineChars="197"/>
        <w:rPr>
          <w:rFonts w:hAnsi="宋体" w:cs="宋体"/>
          <w:color w:val="auto"/>
          <w:sz w:val="21"/>
          <w:highlight w:val="none"/>
        </w:rPr>
      </w:pPr>
      <w:r>
        <w:rPr>
          <w:rFonts w:hint="eastAsia" w:hAnsi="宋体" w:cs="宋体"/>
          <w:color w:val="auto"/>
          <w:sz w:val="21"/>
          <w:highlight w:val="none"/>
        </w:rPr>
        <w:t>质疑事项：</w:t>
      </w:r>
    </w:p>
    <w:p w14:paraId="31A694FB">
      <w:pPr>
        <w:pStyle w:val="16"/>
        <w:spacing w:line="400" w:lineRule="exact"/>
        <w:ind w:left="25" w:leftChars="12" w:firstLine="308" w:firstLineChars="147"/>
        <w:rPr>
          <w:rFonts w:hAnsi="宋体" w:cs="宋体"/>
          <w:color w:val="auto"/>
          <w:sz w:val="21"/>
          <w:highlight w:val="none"/>
        </w:rPr>
      </w:pPr>
      <w:r>
        <w:rPr>
          <w:rFonts w:hint="eastAsia" w:hAnsi="宋体" w:cs="宋体"/>
          <w:color w:val="auto"/>
          <w:sz w:val="21"/>
          <w:highlight w:val="none"/>
        </w:rPr>
        <w:t>□磋商文件   磋商文件获取日期：</w:t>
      </w:r>
    </w:p>
    <w:p w14:paraId="6FD5B719">
      <w:pPr>
        <w:pStyle w:val="16"/>
        <w:spacing w:line="400" w:lineRule="exact"/>
        <w:ind w:left="25" w:leftChars="12" w:firstLine="308" w:firstLineChars="147"/>
        <w:rPr>
          <w:rFonts w:hAnsi="宋体" w:cs="宋体"/>
          <w:color w:val="auto"/>
          <w:sz w:val="21"/>
          <w:highlight w:val="none"/>
        </w:rPr>
      </w:pPr>
      <w:r>
        <w:rPr>
          <w:rFonts w:hint="eastAsia" w:hAnsi="宋体" w:cs="宋体"/>
          <w:color w:val="auto"/>
          <w:sz w:val="21"/>
          <w:highlight w:val="none"/>
        </w:rPr>
        <w:t xml:space="preserve">□采购过程   </w:t>
      </w:r>
    </w:p>
    <w:p w14:paraId="0C3BE5DD">
      <w:pPr>
        <w:pStyle w:val="16"/>
        <w:spacing w:line="400" w:lineRule="exact"/>
        <w:ind w:left="25" w:leftChars="12" w:firstLine="308" w:firstLineChars="147"/>
        <w:rPr>
          <w:rFonts w:hAnsi="宋体" w:cs="宋体"/>
          <w:bCs/>
          <w:color w:val="auto"/>
          <w:sz w:val="21"/>
          <w:highlight w:val="none"/>
          <w:u w:val="single"/>
        </w:rPr>
      </w:pPr>
      <w:r>
        <w:rPr>
          <w:rFonts w:hint="eastAsia" w:hAnsi="宋体" w:cs="宋体"/>
          <w:color w:val="auto"/>
          <w:sz w:val="21"/>
          <w:highlight w:val="none"/>
        </w:rPr>
        <w:t xml:space="preserve">□成交结果   </w:t>
      </w:r>
    </w:p>
    <w:p w14:paraId="6775C487">
      <w:pPr>
        <w:pStyle w:val="16"/>
        <w:spacing w:line="400" w:lineRule="exact"/>
        <w:ind w:left="25" w:leftChars="12" w:firstLine="413" w:firstLineChars="196"/>
        <w:rPr>
          <w:rFonts w:hAnsi="宋体" w:cs="宋体"/>
          <w:b/>
          <w:color w:val="auto"/>
          <w:sz w:val="21"/>
          <w:highlight w:val="none"/>
        </w:rPr>
      </w:pPr>
      <w:r>
        <w:rPr>
          <w:rFonts w:hint="eastAsia" w:hAnsi="宋体" w:cs="宋体"/>
          <w:b/>
          <w:color w:val="auto"/>
          <w:sz w:val="21"/>
          <w:highlight w:val="none"/>
        </w:rPr>
        <w:t>三、质疑事项具体内容</w:t>
      </w:r>
    </w:p>
    <w:p w14:paraId="0BC56F3F">
      <w:pPr>
        <w:pStyle w:val="16"/>
        <w:spacing w:line="400" w:lineRule="exact"/>
        <w:ind w:left="25" w:leftChars="12" w:firstLine="413" w:firstLineChars="197"/>
        <w:rPr>
          <w:rFonts w:hAnsi="宋体" w:cs="宋体"/>
          <w:color w:val="auto"/>
          <w:sz w:val="21"/>
          <w:highlight w:val="none"/>
        </w:rPr>
      </w:pPr>
      <w:r>
        <w:rPr>
          <w:rFonts w:hint="eastAsia" w:hAnsi="宋体" w:cs="宋体"/>
          <w:color w:val="auto"/>
          <w:sz w:val="21"/>
          <w:highlight w:val="none"/>
        </w:rPr>
        <w:t>质疑事项1：</w:t>
      </w:r>
    </w:p>
    <w:p w14:paraId="77F910B1">
      <w:pPr>
        <w:pStyle w:val="16"/>
        <w:spacing w:line="400" w:lineRule="exact"/>
        <w:ind w:left="25" w:leftChars="12" w:firstLine="413" w:firstLineChars="197"/>
        <w:rPr>
          <w:rFonts w:hAnsi="宋体" w:cs="宋体"/>
          <w:color w:val="auto"/>
          <w:sz w:val="21"/>
          <w:highlight w:val="none"/>
        </w:rPr>
      </w:pPr>
      <w:r>
        <w:rPr>
          <w:rFonts w:hint="eastAsia" w:hAnsi="宋体" w:cs="宋体"/>
          <w:color w:val="auto"/>
          <w:sz w:val="21"/>
          <w:highlight w:val="none"/>
        </w:rPr>
        <w:t>事实依据：</w:t>
      </w:r>
    </w:p>
    <w:p w14:paraId="2927151F">
      <w:pPr>
        <w:pStyle w:val="16"/>
        <w:spacing w:line="400" w:lineRule="exact"/>
        <w:ind w:left="25" w:leftChars="12" w:firstLine="413" w:firstLineChars="197"/>
        <w:rPr>
          <w:rFonts w:hAnsi="宋体" w:cs="宋体"/>
          <w:color w:val="auto"/>
          <w:sz w:val="21"/>
          <w:highlight w:val="none"/>
        </w:rPr>
      </w:pPr>
      <w:r>
        <w:rPr>
          <w:rFonts w:hint="eastAsia" w:hAnsi="宋体" w:cs="宋体"/>
          <w:color w:val="auto"/>
          <w:sz w:val="21"/>
          <w:highlight w:val="none"/>
        </w:rPr>
        <w:t>法律依据：</w:t>
      </w:r>
    </w:p>
    <w:p w14:paraId="6D3D84E3">
      <w:pPr>
        <w:pStyle w:val="16"/>
        <w:spacing w:line="400" w:lineRule="exact"/>
        <w:ind w:left="25" w:leftChars="12" w:firstLine="413" w:firstLineChars="197"/>
        <w:rPr>
          <w:rFonts w:hAnsi="宋体" w:cs="宋体"/>
          <w:color w:val="auto"/>
          <w:sz w:val="21"/>
          <w:highlight w:val="none"/>
        </w:rPr>
      </w:pPr>
      <w:r>
        <w:rPr>
          <w:rFonts w:hint="eastAsia" w:hAnsi="宋体" w:cs="宋体"/>
          <w:color w:val="auto"/>
          <w:sz w:val="21"/>
          <w:highlight w:val="none"/>
        </w:rPr>
        <w:t>质疑事项2</w:t>
      </w:r>
    </w:p>
    <w:p w14:paraId="3C23810C">
      <w:pPr>
        <w:pStyle w:val="16"/>
        <w:spacing w:line="400" w:lineRule="exact"/>
        <w:ind w:left="25" w:leftChars="12" w:firstLine="413" w:firstLineChars="197"/>
        <w:rPr>
          <w:rFonts w:hAnsi="宋体" w:cs="宋体"/>
          <w:color w:val="auto"/>
          <w:sz w:val="21"/>
          <w:highlight w:val="none"/>
        </w:rPr>
      </w:pPr>
      <w:r>
        <w:rPr>
          <w:rFonts w:hint="eastAsia" w:hAnsi="宋体" w:cs="宋体"/>
          <w:color w:val="auto"/>
          <w:sz w:val="21"/>
          <w:highlight w:val="none"/>
        </w:rPr>
        <w:t>……</w:t>
      </w:r>
    </w:p>
    <w:p w14:paraId="6B35B479">
      <w:pPr>
        <w:pStyle w:val="16"/>
        <w:spacing w:line="400" w:lineRule="exact"/>
        <w:ind w:left="25" w:leftChars="12" w:firstLine="413" w:firstLineChars="197"/>
        <w:rPr>
          <w:rFonts w:hAnsi="宋体" w:cs="宋体"/>
          <w:color w:val="auto"/>
          <w:sz w:val="21"/>
          <w:highlight w:val="none"/>
        </w:rPr>
      </w:pPr>
      <w:r>
        <w:rPr>
          <w:rFonts w:hint="eastAsia" w:hAnsi="宋体" w:cs="宋体"/>
          <w:color w:val="auto"/>
          <w:sz w:val="21"/>
          <w:highlight w:val="none"/>
        </w:rPr>
        <w:t>四、与质疑事项相关的质疑请求：</w:t>
      </w:r>
    </w:p>
    <w:p w14:paraId="1BE7D164">
      <w:pPr>
        <w:pStyle w:val="16"/>
        <w:spacing w:line="400" w:lineRule="exact"/>
        <w:ind w:left="25" w:leftChars="12" w:firstLine="413" w:firstLineChars="197"/>
        <w:rPr>
          <w:rFonts w:hAnsi="宋体" w:cs="宋体"/>
          <w:color w:val="auto"/>
          <w:sz w:val="21"/>
          <w:highlight w:val="none"/>
        </w:rPr>
      </w:pPr>
      <w:r>
        <w:rPr>
          <w:rFonts w:hint="eastAsia" w:hAnsi="宋体" w:cs="宋体"/>
          <w:color w:val="auto"/>
          <w:sz w:val="21"/>
          <w:highlight w:val="none"/>
        </w:rPr>
        <w:t>请求：</w:t>
      </w:r>
    </w:p>
    <w:p w14:paraId="1BD66359">
      <w:pPr>
        <w:pStyle w:val="16"/>
        <w:spacing w:line="400" w:lineRule="exact"/>
        <w:ind w:left="25" w:leftChars="12" w:firstLine="413" w:firstLineChars="197"/>
        <w:rPr>
          <w:rFonts w:hAnsi="宋体" w:cs="宋体"/>
          <w:color w:val="auto"/>
          <w:sz w:val="21"/>
          <w:highlight w:val="none"/>
        </w:rPr>
      </w:pPr>
      <w:r>
        <w:rPr>
          <w:rFonts w:hint="eastAsia" w:hAnsi="宋体" w:cs="宋体"/>
          <w:color w:val="auto"/>
          <w:sz w:val="21"/>
          <w:highlight w:val="none"/>
        </w:rPr>
        <w:t>签字（签章）：                                       公章：</w:t>
      </w:r>
    </w:p>
    <w:p w14:paraId="61A0C5F2">
      <w:pPr>
        <w:pStyle w:val="16"/>
        <w:spacing w:line="400" w:lineRule="exact"/>
        <w:ind w:left="25" w:leftChars="12" w:firstLine="413" w:firstLineChars="197"/>
        <w:rPr>
          <w:rFonts w:hAnsi="宋体" w:cs="宋体"/>
          <w:color w:val="auto"/>
          <w:sz w:val="21"/>
          <w:highlight w:val="none"/>
        </w:rPr>
      </w:pPr>
      <w:r>
        <w:rPr>
          <w:rFonts w:hint="eastAsia" w:hAnsi="宋体" w:cs="宋体"/>
          <w:color w:val="auto"/>
          <w:sz w:val="21"/>
          <w:highlight w:val="none"/>
        </w:rPr>
        <w:t>日期：</w:t>
      </w:r>
    </w:p>
    <w:p w14:paraId="5B13BF93">
      <w:pPr>
        <w:pStyle w:val="16"/>
        <w:snapToGrid w:val="0"/>
        <w:spacing w:line="400" w:lineRule="exact"/>
        <w:rPr>
          <w:rFonts w:hAnsi="宋体" w:cs="宋体"/>
          <w:b/>
          <w:color w:val="auto"/>
          <w:sz w:val="21"/>
          <w:highlight w:val="none"/>
        </w:rPr>
      </w:pPr>
      <w:r>
        <w:rPr>
          <w:rFonts w:hint="eastAsia" w:hAnsi="宋体" w:cs="宋体"/>
          <w:b/>
          <w:color w:val="auto"/>
          <w:sz w:val="21"/>
          <w:highlight w:val="none"/>
        </w:rPr>
        <w:t>说明：</w:t>
      </w:r>
    </w:p>
    <w:p w14:paraId="47A14EF8">
      <w:pPr>
        <w:pStyle w:val="16"/>
        <w:spacing w:line="400" w:lineRule="exact"/>
        <w:ind w:left="25" w:leftChars="12" w:firstLine="310" w:firstLineChars="147"/>
        <w:rPr>
          <w:rFonts w:hAnsi="宋体" w:cs="宋体"/>
          <w:b/>
          <w:bCs/>
          <w:color w:val="auto"/>
          <w:sz w:val="21"/>
          <w:highlight w:val="none"/>
        </w:rPr>
      </w:pPr>
      <w:r>
        <w:rPr>
          <w:rFonts w:hint="eastAsia" w:hAnsi="宋体" w:cs="宋体"/>
          <w:b/>
          <w:color w:val="auto"/>
          <w:sz w:val="21"/>
          <w:highlight w:val="none"/>
        </w:rPr>
        <w:t>1.供应商提出质疑时，应提交质疑函和必要的证明材料</w:t>
      </w:r>
      <w:r>
        <w:rPr>
          <w:rFonts w:hint="eastAsia" w:hAnsi="宋体" w:cs="宋体"/>
          <w:b/>
          <w:bCs/>
          <w:color w:val="auto"/>
          <w:sz w:val="21"/>
          <w:highlight w:val="none"/>
        </w:rPr>
        <w:t>。</w:t>
      </w:r>
    </w:p>
    <w:p w14:paraId="461D5A41">
      <w:pPr>
        <w:pStyle w:val="16"/>
        <w:spacing w:line="400" w:lineRule="exact"/>
        <w:ind w:left="25" w:leftChars="12" w:firstLine="310" w:firstLineChars="147"/>
        <w:rPr>
          <w:rFonts w:hAnsi="宋体" w:cs="宋体"/>
          <w:b/>
          <w:color w:val="auto"/>
          <w:sz w:val="21"/>
          <w:highlight w:val="none"/>
        </w:rPr>
      </w:pPr>
      <w:r>
        <w:rPr>
          <w:rFonts w:hint="eastAsia" w:hAnsi="宋体" w:cs="宋体"/>
          <w:b/>
          <w:color w:val="auto"/>
          <w:sz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23B2762">
      <w:pPr>
        <w:pStyle w:val="16"/>
        <w:spacing w:line="400" w:lineRule="exact"/>
        <w:ind w:left="25" w:leftChars="12" w:firstLine="310" w:firstLineChars="147"/>
        <w:rPr>
          <w:rFonts w:hAnsi="宋体" w:cs="宋体"/>
          <w:b/>
          <w:color w:val="auto"/>
          <w:sz w:val="21"/>
          <w:highlight w:val="none"/>
        </w:rPr>
      </w:pPr>
      <w:r>
        <w:rPr>
          <w:rFonts w:hint="eastAsia" w:hAnsi="宋体" w:cs="宋体"/>
          <w:b/>
          <w:color w:val="auto"/>
          <w:sz w:val="21"/>
          <w:highlight w:val="none"/>
        </w:rPr>
        <w:t>3.质疑函的质疑事项应具体、明确，并有必要的事实依据和法律依据。</w:t>
      </w:r>
    </w:p>
    <w:p w14:paraId="5D3A21AF">
      <w:pPr>
        <w:pStyle w:val="16"/>
        <w:spacing w:line="400" w:lineRule="exact"/>
        <w:ind w:left="25" w:leftChars="12" w:firstLine="310" w:firstLineChars="147"/>
        <w:rPr>
          <w:rFonts w:hAnsi="宋体" w:cs="宋体"/>
          <w:b/>
          <w:color w:val="auto"/>
          <w:sz w:val="21"/>
          <w:highlight w:val="none"/>
        </w:rPr>
      </w:pPr>
      <w:r>
        <w:rPr>
          <w:rFonts w:hint="eastAsia" w:hAnsi="宋体" w:cs="宋体"/>
          <w:b/>
          <w:color w:val="auto"/>
          <w:sz w:val="21"/>
          <w:highlight w:val="none"/>
        </w:rPr>
        <w:t>4.质疑函的质疑请求应与质疑事项相关。</w:t>
      </w:r>
    </w:p>
    <w:p w14:paraId="2B4AA403">
      <w:pPr>
        <w:pStyle w:val="16"/>
        <w:spacing w:line="400" w:lineRule="exact"/>
        <w:ind w:left="25" w:leftChars="12" w:firstLine="310" w:firstLineChars="147"/>
        <w:rPr>
          <w:rFonts w:hAnsi="宋体" w:cs="宋体"/>
          <w:b/>
          <w:color w:val="auto"/>
          <w:sz w:val="21"/>
          <w:highlight w:val="none"/>
        </w:rPr>
      </w:pPr>
      <w:r>
        <w:rPr>
          <w:rFonts w:hint="eastAsia" w:hAnsi="宋体" w:cs="宋体"/>
          <w:b/>
          <w:color w:val="auto"/>
          <w:sz w:val="21"/>
          <w:highlight w:val="none"/>
        </w:rPr>
        <w:t>5.质疑供应商为法人或者其他组织的，质疑函应由法定代表人、主要负责人，或者其授权代表签字或者盖章，并加盖公章。</w:t>
      </w:r>
    </w:p>
    <w:p w14:paraId="54C3D0F0">
      <w:pPr>
        <w:spacing w:beforeLines="100" w:afterLines="100" w:line="400" w:lineRule="exact"/>
        <w:jc w:val="center"/>
        <w:rPr>
          <w:rFonts w:ascii="宋体" w:hAnsi="宋体" w:cs="宋体"/>
          <w:b/>
          <w:color w:val="auto"/>
          <w:szCs w:val="21"/>
          <w:highlight w:val="none"/>
        </w:rPr>
      </w:pPr>
      <w:r>
        <w:rPr>
          <w:rFonts w:hint="eastAsia" w:ascii="宋体" w:hAnsi="宋体" w:cs="宋体"/>
          <w:color w:val="auto"/>
          <w:szCs w:val="21"/>
          <w:highlight w:val="none"/>
        </w:rPr>
        <w:br w:type="page"/>
      </w:r>
      <w:r>
        <w:rPr>
          <w:rFonts w:hint="eastAsia" w:ascii="宋体" w:hAnsi="宋体" w:cs="宋体"/>
          <w:b/>
          <w:color w:val="auto"/>
          <w:szCs w:val="21"/>
          <w:highlight w:val="none"/>
        </w:rPr>
        <w:t>投诉书（格式）</w:t>
      </w:r>
    </w:p>
    <w:p w14:paraId="4DA3B27C">
      <w:pPr>
        <w:pStyle w:val="16"/>
        <w:snapToGrid w:val="0"/>
        <w:spacing w:line="400" w:lineRule="exact"/>
        <w:ind w:firstLine="422" w:firstLineChars="200"/>
        <w:rPr>
          <w:rFonts w:hAnsi="宋体" w:cs="宋体"/>
          <w:b/>
          <w:bCs/>
          <w:color w:val="auto"/>
          <w:sz w:val="21"/>
          <w:highlight w:val="none"/>
        </w:rPr>
      </w:pPr>
      <w:r>
        <w:rPr>
          <w:rFonts w:hint="eastAsia" w:hAnsi="宋体" w:cs="宋体"/>
          <w:b/>
          <w:bCs/>
          <w:color w:val="auto"/>
          <w:sz w:val="21"/>
          <w:highlight w:val="none"/>
        </w:rPr>
        <w:t>一、投诉相关主体基本情况：</w:t>
      </w:r>
    </w:p>
    <w:p w14:paraId="7A3CFCB2">
      <w:pPr>
        <w:pStyle w:val="16"/>
        <w:snapToGrid w:val="0"/>
        <w:spacing w:line="400" w:lineRule="exact"/>
        <w:ind w:firstLine="420" w:firstLineChars="200"/>
        <w:rPr>
          <w:rFonts w:hAnsi="宋体" w:cs="宋体"/>
          <w:bCs/>
          <w:color w:val="auto"/>
          <w:sz w:val="21"/>
          <w:highlight w:val="none"/>
          <w:u w:val="single"/>
        </w:rPr>
      </w:pPr>
      <w:r>
        <w:rPr>
          <w:rFonts w:hint="eastAsia" w:hAnsi="宋体" w:cs="宋体"/>
          <w:bCs/>
          <w:color w:val="auto"/>
          <w:sz w:val="21"/>
          <w:highlight w:val="none"/>
        </w:rPr>
        <w:t>供应商：</w:t>
      </w:r>
    </w:p>
    <w:p w14:paraId="7CD9D460">
      <w:pPr>
        <w:pStyle w:val="16"/>
        <w:snapToGrid w:val="0"/>
        <w:spacing w:line="400" w:lineRule="exact"/>
        <w:ind w:firstLine="420" w:firstLineChars="200"/>
        <w:rPr>
          <w:rFonts w:hAnsi="宋体" w:cs="宋体"/>
          <w:bCs/>
          <w:color w:val="auto"/>
          <w:sz w:val="21"/>
          <w:highlight w:val="none"/>
        </w:rPr>
      </w:pPr>
      <w:r>
        <w:rPr>
          <w:rFonts w:hint="eastAsia" w:hAnsi="宋体" w:cs="宋体"/>
          <w:bCs/>
          <w:color w:val="auto"/>
          <w:sz w:val="21"/>
          <w:highlight w:val="none"/>
        </w:rPr>
        <w:t>地址：邮编：</w:t>
      </w:r>
    </w:p>
    <w:p w14:paraId="5270AA2A">
      <w:pPr>
        <w:pStyle w:val="16"/>
        <w:snapToGrid w:val="0"/>
        <w:spacing w:line="400" w:lineRule="exact"/>
        <w:ind w:firstLine="420" w:firstLineChars="200"/>
        <w:rPr>
          <w:rFonts w:hAnsi="宋体" w:cs="宋体"/>
          <w:bCs/>
          <w:color w:val="auto"/>
          <w:sz w:val="21"/>
          <w:highlight w:val="none"/>
          <w:u w:val="single"/>
        </w:rPr>
      </w:pPr>
      <w:r>
        <w:rPr>
          <w:rFonts w:hint="eastAsia" w:hAnsi="宋体" w:cs="宋体"/>
          <w:bCs/>
          <w:color w:val="auto"/>
          <w:sz w:val="21"/>
          <w:highlight w:val="none"/>
        </w:rPr>
        <w:t>法定代表人/主要负责人：</w:t>
      </w:r>
    </w:p>
    <w:p w14:paraId="6D40A831">
      <w:pPr>
        <w:pStyle w:val="16"/>
        <w:snapToGrid w:val="0"/>
        <w:spacing w:line="400" w:lineRule="exact"/>
        <w:ind w:firstLine="420" w:firstLineChars="200"/>
        <w:rPr>
          <w:rFonts w:hAnsi="宋体" w:cs="宋体"/>
          <w:bCs/>
          <w:color w:val="auto"/>
          <w:sz w:val="21"/>
          <w:highlight w:val="none"/>
        </w:rPr>
      </w:pPr>
      <w:r>
        <w:rPr>
          <w:rFonts w:hint="eastAsia" w:hAnsi="宋体" w:cs="宋体"/>
          <w:bCs/>
          <w:color w:val="auto"/>
          <w:sz w:val="21"/>
          <w:highlight w:val="none"/>
        </w:rPr>
        <w:t>联系电话：</w:t>
      </w:r>
    </w:p>
    <w:p w14:paraId="605A4318">
      <w:pPr>
        <w:pStyle w:val="16"/>
        <w:snapToGrid w:val="0"/>
        <w:spacing w:line="400" w:lineRule="exact"/>
        <w:ind w:firstLine="420" w:firstLineChars="200"/>
        <w:rPr>
          <w:rFonts w:hAnsi="宋体" w:cs="宋体"/>
          <w:bCs/>
          <w:color w:val="auto"/>
          <w:sz w:val="21"/>
          <w:highlight w:val="none"/>
          <w:u w:val="single"/>
        </w:rPr>
      </w:pPr>
      <w:r>
        <w:rPr>
          <w:rFonts w:hint="eastAsia" w:hAnsi="宋体" w:cs="宋体"/>
          <w:bCs/>
          <w:color w:val="auto"/>
          <w:sz w:val="21"/>
          <w:highlight w:val="none"/>
        </w:rPr>
        <w:t>授权代表：联系电话：</w:t>
      </w:r>
    </w:p>
    <w:p w14:paraId="13A05078">
      <w:pPr>
        <w:pStyle w:val="16"/>
        <w:snapToGrid w:val="0"/>
        <w:spacing w:line="400" w:lineRule="exact"/>
        <w:ind w:firstLine="420" w:firstLineChars="200"/>
        <w:rPr>
          <w:rFonts w:hAnsi="宋体" w:cs="宋体"/>
          <w:bCs/>
          <w:color w:val="auto"/>
          <w:sz w:val="21"/>
          <w:highlight w:val="none"/>
        </w:rPr>
      </w:pPr>
      <w:r>
        <w:rPr>
          <w:rFonts w:hint="eastAsia" w:hAnsi="宋体" w:cs="宋体"/>
          <w:bCs/>
          <w:color w:val="auto"/>
          <w:sz w:val="21"/>
          <w:highlight w:val="none"/>
        </w:rPr>
        <w:t>地址：邮编：</w:t>
      </w:r>
    </w:p>
    <w:p w14:paraId="20968809">
      <w:pPr>
        <w:pStyle w:val="16"/>
        <w:snapToGrid w:val="0"/>
        <w:spacing w:line="400" w:lineRule="exact"/>
        <w:ind w:firstLine="420" w:firstLineChars="200"/>
        <w:rPr>
          <w:rFonts w:hAnsi="宋体" w:cs="宋体"/>
          <w:bCs/>
          <w:color w:val="auto"/>
          <w:sz w:val="21"/>
          <w:highlight w:val="none"/>
        </w:rPr>
      </w:pPr>
      <w:r>
        <w:rPr>
          <w:rFonts w:hint="eastAsia" w:hAnsi="宋体" w:cs="宋体"/>
          <w:bCs/>
          <w:color w:val="auto"/>
          <w:sz w:val="21"/>
          <w:highlight w:val="none"/>
        </w:rPr>
        <w:t>被投诉人1：</w:t>
      </w:r>
    </w:p>
    <w:p w14:paraId="5E8F0E3D">
      <w:pPr>
        <w:pStyle w:val="16"/>
        <w:snapToGrid w:val="0"/>
        <w:spacing w:line="400" w:lineRule="exact"/>
        <w:ind w:firstLine="420" w:firstLineChars="200"/>
        <w:rPr>
          <w:rFonts w:hAnsi="宋体" w:cs="宋体"/>
          <w:bCs/>
          <w:color w:val="auto"/>
          <w:sz w:val="21"/>
          <w:highlight w:val="none"/>
        </w:rPr>
      </w:pPr>
      <w:r>
        <w:rPr>
          <w:rFonts w:hint="eastAsia" w:hAnsi="宋体" w:cs="宋体"/>
          <w:bCs/>
          <w:color w:val="auto"/>
          <w:sz w:val="21"/>
          <w:highlight w:val="none"/>
        </w:rPr>
        <w:t>地址：邮编：</w:t>
      </w:r>
    </w:p>
    <w:p w14:paraId="5FBA2256">
      <w:pPr>
        <w:pStyle w:val="16"/>
        <w:snapToGrid w:val="0"/>
        <w:spacing w:line="400" w:lineRule="exact"/>
        <w:ind w:firstLine="420" w:firstLineChars="200"/>
        <w:rPr>
          <w:rFonts w:hAnsi="宋体" w:cs="宋体"/>
          <w:bCs/>
          <w:color w:val="auto"/>
          <w:sz w:val="21"/>
          <w:highlight w:val="none"/>
          <w:u w:val="single"/>
        </w:rPr>
      </w:pPr>
      <w:r>
        <w:rPr>
          <w:rFonts w:hint="eastAsia" w:hAnsi="宋体" w:cs="宋体"/>
          <w:bCs/>
          <w:color w:val="auto"/>
          <w:sz w:val="21"/>
          <w:highlight w:val="none"/>
        </w:rPr>
        <w:t>联系人：联系电话：</w:t>
      </w:r>
    </w:p>
    <w:p w14:paraId="5A5A8AAF">
      <w:pPr>
        <w:pStyle w:val="16"/>
        <w:snapToGrid w:val="0"/>
        <w:spacing w:line="400" w:lineRule="exact"/>
        <w:ind w:firstLine="420" w:firstLineChars="200"/>
        <w:rPr>
          <w:rFonts w:hAnsi="宋体" w:cs="宋体"/>
          <w:bCs/>
          <w:color w:val="auto"/>
          <w:sz w:val="21"/>
          <w:highlight w:val="none"/>
        </w:rPr>
      </w:pPr>
      <w:r>
        <w:rPr>
          <w:rFonts w:hint="eastAsia" w:hAnsi="宋体" w:cs="宋体"/>
          <w:bCs/>
          <w:color w:val="auto"/>
          <w:sz w:val="21"/>
          <w:highlight w:val="none"/>
        </w:rPr>
        <w:t>被投诉人2：</w:t>
      </w:r>
    </w:p>
    <w:p w14:paraId="7CD0888D">
      <w:pPr>
        <w:pStyle w:val="16"/>
        <w:snapToGrid w:val="0"/>
        <w:spacing w:line="400" w:lineRule="exact"/>
        <w:ind w:firstLine="420" w:firstLineChars="200"/>
        <w:rPr>
          <w:rFonts w:hAnsi="宋体" w:cs="宋体"/>
          <w:bCs/>
          <w:color w:val="auto"/>
          <w:sz w:val="21"/>
          <w:highlight w:val="none"/>
        </w:rPr>
      </w:pPr>
      <w:r>
        <w:rPr>
          <w:rFonts w:hint="eastAsia" w:hAnsi="宋体" w:cs="宋体"/>
          <w:bCs/>
          <w:color w:val="auto"/>
          <w:sz w:val="21"/>
          <w:highlight w:val="none"/>
        </w:rPr>
        <w:t>……</w:t>
      </w:r>
    </w:p>
    <w:p w14:paraId="3EE05E51">
      <w:pPr>
        <w:pStyle w:val="16"/>
        <w:snapToGrid w:val="0"/>
        <w:spacing w:line="400" w:lineRule="exact"/>
        <w:ind w:firstLine="420" w:firstLineChars="200"/>
        <w:rPr>
          <w:rFonts w:hAnsi="宋体" w:cs="宋体"/>
          <w:bCs/>
          <w:color w:val="auto"/>
          <w:sz w:val="21"/>
          <w:highlight w:val="none"/>
          <w:u w:val="single"/>
        </w:rPr>
      </w:pPr>
      <w:r>
        <w:rPr>
          <w:rFonts w:hint="eastAsia" w:hAnsi="宋体" w:cs="宋体"/>
          <w:bCs/>
          <w:color w:val="auto"/>
          <w:sz w:val="21"/>
          <w:highlight w:val="none"/>
        </w:rPr>
        <w:t>相关供应商：</w:t>
      </w:r>
    </w:p>
    <w:p w14:paraId="36C2472A">
      <w:pPr>
        <w:pStyle w:val="16"/>
        <w:snapToGrid w:val="0"/>
        <w:spacing w:line="400" w:lineRule="exact"/>
        <w:ind w:firstLine="420" w:firstLineChars="200"/>
        <w:rPr>
          <w:rFonts w:hAnsi="宋体" w:cs="宋体"/>
          <w:bCs/>
          <w:color w:val="auto"/>
          <w:sz w:val="21"/>
          <w:highlight w:val="none"/>
          <w:u w:val="single"/>
        </w:rPr>
      </w:pPr>
      <w:r>
        <w:rPr>
          <w:rFonts w:hint="eastAsia" w:hAnsi="宋体" w:cs="宋体"/>
          <w:bCs/>
          <w:color w:val="auto"/>
          <w:sz w:val="21"/>
          <w:highlight w:val="none"/>
        </w:rPr>
        <w:t>地址：邮编：</w:t>
      </w:r>
    </w:p>
    <w:p w14:paraId="4BD960FB">
      <w:pPr>
        <w:pStyle w:val="16"/>
        <w:snapToGrid w:val="0"/>
        <w:spacing w:line="400" w:lineRule="exact"/>
        <w:ind w:firstLine="420" w:firstLineChars="200"/>
        <w:rPr>
          <w:rFonts w:hAnsi="宋体" w:cs="宋体"/>
          <w:bCs/>
          <w:color w:val="auto"/>
          <w:sz w:val="21"/>
          <w:highlight w:val="none"/>
        </w:rPr>
      </w:pPr>
      <w:r>
        <w:rPr>
          <w:rFonts w:hint="eastAsia" w:hAnsi="宋体" w:cs="宋体"/>
          <w:bCs/>
          <w:color w:val="auto"/>
          <w:sz w:val="21"/>
          <w:highlight w:val="none"/>
        </w:rPr>
        <w:t>联系人：联系电话：</w:t>
      </w:r>
    </w:p>
    <w:p w14:paraId="3339A5D2">
      <w:pPr>
        <w:pStyle w:val="16"/>
        <w:snapToGrid w:val="0"/>
        <w:spacing w:line="400" w:lineRule="exact"/>
        <w:ind w:firstLine="422" w:firstLineChars="200"/>
        <w:rPr>
          <w:rFonts w:hAnsi="宋体" w:cs="宋体"/>
          <w:b/>
          <w:bCs/>
          <w:color w:val="auto"/>
          <w:sz w:val="21"/>
          <w:highlight w:val="none"/>
        </w:rPr>
      </w:pPr>
      <w:r>
        <w:rPr>
          <w:rFonts w:hint="eastAsia" w:hAnsi="宋体" w:cs="宋体"/>
          <w:b/>
          <w:bCs/>
          <w:color w:val="auto"/>
          <w:sz w:val="21"/>
          <w:highlight w:val="none"/>
        </w:rPr>
        <w:t>二、投诉项目基本情况：</w:t>
      </w:r>
    </w:p>
    <w:p w14:paraId="14677230">
      <w:pPr>
        <w:pStyle w:val="16"/>
        <w:spacing w:line="400" w:lineRule="exact"/>
        <w:ind w:left="25" w:leftChars="12" w:firstLine="413" w:firstLineChars="197"/>
        <w:rPr>
          <w:rFonts w:hAnsi="宋体" w:cs="宋体"/>
          <w:color w:val="auto"/>
          <w:sz w:val="21"/>
          <w:highlight w:val="none"/>
        </w:rPr>
      </w:pPr>
      <w:r>
        <w:rPr>
          <w:rFonts w:hint="eastAsia" w:hAnsi="宋体" w:cs="宋体"/>
          <w:bCs/>
          <w:color w:val="auto"/>
          <w:sz w:val="21"/>
          <w:highlight w:val="none"/>
        </w:rPr>
        <w:t>采购</w:t>
      </w:r>
      <w:r>
        <w:rPr>
          <w:rFonts w:hint="eastAsia" w:hAnsi="宋体" w:cs="宋体"/>
          <w:color w:val="auto"/>
          <w:sz w:val="21"/>
          <w:highlight w:val="none"/>
        </w:rPr>
        <w:t>项目的名称：</w:t>
      </w:r>
    </w:p>
    <w:p w14:paraId="4FFA7EE6">
      <w:pPr>
        <w:pStyle w:val="16"/>
        <w:spacing w:line="400" w:lineRule="exact"/>
        <w:ind w:left="25" w:leftChars="12" w:firstLine="413" w:firstLineChars="197"/>
        <w:rPr>
          <w:rFonts w:hAnsi="宋体" w:cs="宋体"/>
          <w:color w:val="auto"/>
          <w:sz w:val="21"/>
          <w:highlight w:val="none"/>
        </w:rPr>
      </w:pPr>
      <w:r>
        <w:rPr>
          <w:rFonts w:hint="eastAsia" w:hAnsi="宋体" w:cs="宋体"/>
          <w:bCs/>
          <w:color w:val="auto"/>
          <w:sz w:val="21"/>
          <w:highlight w:val="none"/>
        </w:rPr>
        <w:t>采购</w:t>
      </w:r>
      <w:r>
        <w:rPr>
          <w:rFonts w:hint="eastAsia" w:hAnsi="宋体" w:cs="宋体"/>
          <w:color w:val="auto"/>
          <w:sz w:val="21"/>
          <w:highlight w:val="none"/>
        </w:rPr>
        <w:t>项目的编号：</w:t>
      </w:r>
    </w:p>
    <w:p w14:paraId="6F55ED25">
      <w:pPr>
        <w:pStyle w:val="16"/>
        <w:spacing w:line="400" w:lineRule="exact"/>
        <w:ind w:left="25" w:leftChars="12" w:firstLine="413" w:firstLineChars="197"/>
        <w:rPr>
          <w:rFonts w:hAnsi="宋体" w:cs="宋体"/>
          <w:bCs/>
          <w:color w:val="auto"/>
          <w:sz w:val="21"/>
          <w:highlight w:val="none"/>
          <w:u w:val="single"/>
        </w:rPr>
      </w:pPr>
      <w:r>
        <w:rPr>
          <w:rFonts w:hint="eastAsia" w:hAnsi="宋体" w:cs="宋体"/>
          <w:color w:val="auto"/>
          <w:sz w:val="21"/>
          <w:highlight w:val="none"/>
        </w:rPr>
        <w:t>采购人名称：</w:t>
      </w:r>
    </w:p>
    <w:p w14:paraId="795ED1AE">
      <w:pPr>
        <w:pStyle w:val="16"/>
        <w:spacing w:line="400" w:lineRule="exact"/>
        <w:ind w:left="25" w:leftChars="12" w:firstLine="413" w:firstLineChars="197"/>
        <w:rPr>
          <w:rFonts w:hAnsi="宋体" w:cs="宋体"/>
          <w:bCs/>
          <w:color w:val="auto"/>
          <w:sz w:val="21"/>
          <w:highlight w:val="none"/>
          <w:u w:val="single"/>
        </w:rPr>
      </w:pPr>
      <w:r>
        <w:rPr>
          <w:rFonts w:hint="eastAsia" w:hAnsi="宋体" w:cs="宋体"/>
          <w:color w:val="auto"/>
          <w:sz w:val="21"/>
          <w:highlight w:val="none"/>
        </w:rPr>
        <w:t>代理机构名称：</w:t>
      </w:r>
    </w:p>
    <w:p w14:paraId="6DBDE688">
      <w:pPr>
        <w:pStyle w:val="16"/>
        <w:spacing w:line="400" w:lineRule="exact"/>
        <w:ind w:left="25" w:leftChars="12" w:firstLine="413" w:firstLineChars="197"/>
        <w:rPr>
          <w:rFonts w:hAnsi="宋体" w:cs="宋体"/>
          <w:bCs/>
          <w:color w:val="auto"/>
          <w:sz w:val="21"/>
          <w:highlight w:val="none"/>
          <w:u w:val="single"/>
        </w:rPr>
      </w:pPr>
      <w:r>
        <w:rPr>
          <w:rFonts w:hint="eastAsia" w:hAnsi="宋体" w:cs="宋体"/>
          <w:bCs/>
          <w:color w:val="auto"/>
          <w:sz w:val="21"/>
          <w:highlight w:val="none"/>
        </w:rPr>
        <w:t>磋商文件公告：</w:t>
      </w:r>
      <w:r>
        <w:rPr>
          <w:rFonts w:hint="eastAsia" w:hAnsi="宋体" w:cs="宋体"/>
          <w:bCs/>
          <w:color w:val="auto"/>
          <w:sz w:val="21"/>
          <w:highlight w:val="none"/>
          <w:u w:val="single"/>
        </w:rPr>
        <w:t>是/否</w:t>
      </w:r>
      <w:r>
        <w:rPr>
          <w:rFonts w:hint="eastAsia" w:hAnsi="宋体" w:cs="宋体"/>
          <w:bCs/>
          <w:color w:val="auto"/>
          <w:sz w:val="21"/>
          <w:highlight w:val="none"/>
        </w:rPr>
        <w:t>公告期限：</w:t>
      </w:r>
    </w:p>
    <w:p w14:paraId="4BE08B0A">
      <w:pPr>
        <w:pStyle w:val="16"/>
        <w:spacing w:line="400" w:lineRule="exact"/>
        <w:ind w:left="25" w:leftChars="12" w:firstLine="413" w:firstLineChars="197"/>
        <w:rPr>
          <w:rFonts w:hAnsi="宋体" w:cs="宋体"/>
          <w:b/>
          <w:color w:val="auto"/>
          <w:sz w:val="21"/>
          <w:highlight w:val="none"/>
        </w:rPr>
      </w:pPr>
      <w:r>
        <w:rPr>
          <w:rFonts w:hint="eastAsia" w:hAnsi="宋体" w:cs="宋体"/>
          <w:bCs/>
          <w:color w:val="auto"/>
          <w:sz w:val="21"/>
          <w:highlight w:val="none"/>
        </w:rPr>
        <w:t>采购结果公告：</w:t>
      </w:r>
      <w:r>
        <w:rPr>
          <w:rFonts w:hint="eastAsia" w:hAnsi="宋体" w:cs="宋体"/>
          <w:bCs/>
          <w:color w:val="auto"/>
          <w:sz w:val="21"/>
          <w:highlight w:val="none"/>
          <w:u w:val="single"/>
        </w:rPr>
        <w:t>是/否</w:t>
      </w:r>
      <w:r>
        <w:rPr>
          <w:rFonts w:hint="eastAsia" w:hAnsi="宋体" w:cs="宋体"/>
          <w:bCs/>
          <w:color w:val="auto"/>
          <w:sz w:val="21"/>
          <w:highlight w:val="none"/>
        </w:rPr>
        <w:t>公告期限：</w:t>
      </w:r>
    </w:p>
    <w:p w14:paraId="5C21AA66">
      <w:pPr>
        <w:pStyle w:val="16"/>
        <w:spacing w:line="400" w:lineRule="exact"/>
        <w:ind w:left="25" w:leftChars="12" w:firstLine="413" w:firstLineChars="196"/>
        <w:rPr>
          <w:rFonts w:hAnsi="宋体" w:cs="宋体"/>
          <w:b/>
          <w:color w:val="auto"/>
          <w:sz w:val="21"/>
          <w:highlight w:val="none"/>
        </w:rPr>
      </w:pPr>
      <w:r>
        <w:rPr>
          <w:rFonts w:hint="eastAsia" w:hAnsi="宋体" w:cs="宋体"/>
          <w:b/>
          <w:color w:val="auto"/>
          <w:sz w:val="21"/>
          <w:highlight w:val="none"/>
        </w:rPr>
        <w:t>三、质疑基本情况</w:t>
      </w:r>
    </w:p>
    <w:p w14:paraId="11B14704">
      <w:pPr>
        <w:pStyle w:val="16"/>
        <w:spacing w:line="400" w:lineRule="exact"/>
        <w:ind w:left="25" w:leftChars="12" w:firstLine="833" w:firstLineChars="397"/>
        <w:rPr>
          <w:rFonts w:hAnsi="宋体" w:cs="宋体"/>
          <w:color w:val="auto"/>
          <w:sz w:val="21"/>
          <w:highlight w:val="none"/>
        </w:rPr>
      </w:pPr>
      <w:r>
        <w:rPr>
          <w:rFonts w:hint="eastAsia" w:hAnsi="宋体" w:cs="宋体"/>
          <w:color w:val="auto"/>
          <w:sz w:val="21"/>
          <w:highlight w:val="none"/>
        </w:rPr>
        <w:t>投诉人于年月日，向提出质疑，质疑事项为：</w:t>
      </w:r>
    </w:p>
    <w:p w14:paraId="273DE1E4">
      <w:pPr>
        <w:pStyle w:val="16"/>
        <w:spacing w:line="400" w:lineRule="exact"/>
        <w:ind w:firstLine="241"/>
        <w:rPr>
          <w:rFonts w:hAnsi="宋体" w:cs="宋体"/>
          <w:bCs/>
          <w:color w:val="auto"/>
          <w:sz w:val="21"/>
          <w:highlight w:val="none"/>
          <w:u w:val="single"/>
        </w:rPr>
      </w:pPr>
    </w:p>
    <w:p w14:paraId="27067FBE">
      <w:pPr>
        <w:pStyle w:val="16"/>
        <w:spacing w:line="400" w:lineRule="exact"/>
        <w:ind w:firstLine="241"/>
        <w:rPr>
          <w:rFonts w:hAnsi="宋体" w:cs="宋体"/>
          <w:bCs/>
          <w:color w:val="auto"/>
          <w:sz w:val="21"/>
          <w:highlight w:val="none"/>
          <w:u w:val="single"/>
        </w:rPr>
      </w:pPr>
    </w:p>
    <w:p w14:paraId="3E6F21A3">
      <w:pPr>
        <w:pStyle w:val="16"/>
        <w:spacing w:line="400" w:lineRule="exact"/>
        <w:ind w:firstLine="241"/>
        <w:rPr>
          <w:rFonts w:hAnsi="宋体" w:cs="宋体"/>
          <w:color w:val="auto"/>
          <w:sz w:val="21"/>
          <w:highlight w:val="none"/>
        </w:rPr>
      </w:pPr>
      <w:r>
        <w:rPr>
          <w:rFonts w:hint="eastAsia" w:hAnsi="宋体" w:cs="宋体"/>
          <w:bCs/>
          <w:color w:val="auto"/>
          <w:sz w:val="21"/>
          <w:highlight w:val="none"/>
          <w:u w:val="single"/>
        </w:rPr>
        <w:t>采购人/代理机构</w:t>
      </w:r>
      <w:r>
        <w:rPr>
          <w:rFonts w:hint="eastAsia" w:hAnsi="宋体" w:cs="宋体"/>
          <w:bCs/>
          <w:color w:val="auto"/>
          <w:sz w:val="21"/>
          <w:highlight w:val="none"/>
        </w:rPr>
        <w:t>于</w:t>
      </w:r>
      <w:r>
        <w:rPr>
          <w:rFonts w:hint="eastAsia" w:hAnsi="宋体" w:cs="宋体"/>
          <w:color w:val="auto"/>
          <w:sz w:val="21"/>
          <w:highlight w:val="none"/>
        </w:rPr>
        <w:t>年月日，</w:t>
      </w:r>
      <w:r>
        <w:rPr>
          <w:rFonts w:hint="eastAsia" w:hAnsi="宋体" w:cs="宋体"/>
          <w:bCs/>
          <w:color w:val="auto"/>
          <w:sz w:val="21"/>
          <w:highlight w:val="none"/>
        </w:rPr>
        <w:t xml:space="preserve">就质疑事项作出了答复/没有在法定期限内作出答复。                                                                                             </w:t>
      </w:r>
    </w:p>
    <w:p w14:paraId="64A5F46B">
      <w:pPr>
        <w:pStyle w:val="16"/>
        <w:spacing w:line="400" w:lineRule="exact"/>
        <w:ind w:left="25" w:leftChars="12" w:firstLine="413" w:firstLineChars="196"/>
        <w:rPr>
          <w:rFonts w:hAnsi="宋体" w:cs="宋体"/>
          <w:b/>
          <w:color w:val="auto"/>
          <w:sz w:val="21"/>
          <w:highlight w:val="none"/>
        </w:rPr>
      </w:pPr>
      <w:r>
        <w:rPr>
          <w:rFonts w:hint="eastAsia" w:hAnsi="宋体" w:cs="宋体"/>
          <w:b/>
          <w:color w:val="auto"/>
          <w:sz w:val="21"/>
          <w:highlight w:val="none"/>
        </w:rPr>
        <w:t>四、投诉事项具体内容</w:t>
      </w:r>
    </w:p>
    <w:p w14:paraId="61EEB863">
      <w:pPr>
        <w:pStyle w:val="16"/>
        <w:spacing w:line="400" w:lineRule="exact"/>
        <w:ind w:left="25" w:leftChars="12" w:firstLine="413" w:firstLineChars="197"/>
        <w:rPr>
          <w:rFonts w:hAnsi="宋体" w:cs="宋体"/>
          <w:bCs/>
          <w:color w:val="auto"/>
          <w:sz w:val="21"/>
          <w:highlight w:val="none"/>
          <w:u w:val="single"/>
        </w:rPr>
      </w:pPr>
      <w:r>
        <w:rPr>
          <w:rFonts w:hint="eastAsia" w:hAnsi="宋体" w:cs="宋体"/>
          <w:color w:val="auto"/>
          <w:sz w:val="21"/>
          <w:highlight w:val="none"/>
        </w:rPr>
        <w:t>投诉事项1：</w:t>
      </w:r>
    </w:p>
    <w:p w14:paraId="1D76BBE4">
      <w:pPr>
        <w:pStyle w:val="16"/>
        <w:spacing w:line="400" w:lineRule="exact"/>
        <w:ind w:firstLine="420" w:firstLineChars="200"/>
        <w:rPr>
          <w:rFonts w:hAnsi="宋体" w:cs="宋体"/>
          <w:bCs/>
          <w:color w:val="auto"/>
          <w:sz w:val="21"/>
          <w:highlight w:val="none"/>
          <w:u w:val="single"/>
        </w:rPr>
      </w:pPr>
      <w:r>
        <w:rPr>
          <w:rFonts w:hint="eastAsia" w:hAnsi="宋体" w:cs="宋体"/>
          <w:bCs/>
          <w:color w:val="auto"/>
          <w:sz w:val="21"/>
          <w:highlight w:val="none"/>
        </w:rPr>
        <w:t>事实依据：</w:t>
      </w:r>
    </w:p>
    <w:p w14:paraId="4CB55BB9">
      <w:pPr>
        <w:pStyle w:val="16"/>
        <w:spacing w:line="400" w:lineRule="exact"/>
        <w:ind w:left="25" w:leftChars="12" w:firstLine="413" w:firstLineChars="197"/>
        <w:rPr>
          <w:rFonts w:hAnsi="宋体" w:cs="宋体"/>
          <w:color w:val="auto"/>
          <w:sz w:val="21"/>
          <w:highlight w:val="none"/>
        </w:rPr>
      </w:pPr>
    </w:p>
    <w:p w14:paraId="69626321">
      <w:pPr>
        <w:pStyle w:val="16"/>
        <w:spacing w:line="400" w:lineRule="exact"/>
        <w:ind w:firstLine="420" w:firstLineChars="200"/>
        <w:rPr>
          <w:rFonts w:hAnsi="宋体" w:cs="宋体"/>
          <w:bCs/>
          <w:color w:val="auto"/>
          <w:sz w:val="21"/>
          <w:highlight w:val="none"/>
          <w:u w:val="single"/>
        </w:rPr>
      </w:pPr>
      <w:r>
        <w:rPr>
          <w:rFonts w:hint="eastAsia" w:hAnsi="宋体" w:cs="宋体"/>
          <w:bCs/>
          <w:color w:val="auto"/>
          <w:sz w:val="21"/>
          <w:highlight w:val="none"/>
        </w:rPr>
        <w:t>法律依据：</w:t>
      </w:r>
    </w:p>
    <w:p w14:paraId="6167D5C8">
      <w:pPr>
        <w:pStyle w:val="16"/>
        <w:spacing w:line="400" w:lineRule="exact"/>
        <w:ind w:left="25" w:leftChars="12" w:firstLine="308" w:firstLineChars="147"/>
        <w:rPr>
          <w:rFonts w:hAnsi="宋体" w:cs="宋体"/>
          <w:bCs/>
          <w:color w:val="auto"/>
          <w:sz w:val="21"/>
          <w:highlight w:val="none"/>
          <w:u w:val="single"/>
        </w:rPr>
      </w:pPr>
    </w:p>
    <w:p w14:paraId="4562EE79">
      <w:pPr>
        <w:pStyle w:val="16"/>
        <w:spacing w:line="400" w:lineRule="exact"/>
        <w:ind w:left="25" w:leftChars="12" w:firstLine="413" w:firstLineChars="197"/>
        <w:rPr>
          <w:rFonts w:hAnsi="宋体" w:cs="宋体"/>
          <w:bCs/>
          <w:color w:val="auto"/>
          <w:sz w:val="21"/>
          <w:highlight w:val="none"/>
        </w:rPr>
      </w:pPr>
      <w:r>
        <w:rPr>
          <w:rFonts w:hint="eastAsia" w:hAnsi="宋体" w:cs="宋体"/>
          <w:color w:val="auto"/>
          <w:sz w:val="21"/>
          <w:highlight w:val="none"/>
        </w:rPr>
        <w:t>投诉事项2</w:t>
      </w:r>
    </w:p>
    <w:p w14:paraId="728FE125">
      <w:pPr>
        <w:pStyle w:val="16"/>
        <w:spacing w:line="400" w:lineRule="exact"/>
        <w:ind w:left="25" w:leftChars="12" w:firstLine="413" w:firstLineChars="197"/>
        <w:rPr>
          <w:rFonts w:hAnsi="宋体" w:cs="宋体"/>
          <w:bCs/>
          <w:color w:val="auto"/>
          <w:sz w:val="21"/>
          <w:highlight w:val="none"/>
        </w:rPr>
      </w:pPr>
      <w:r>
        <w:rPr>
          <w:rFonts w:hint="eastAsia" w:hAnsi="宋体" w:cs="宋体"/>
          <w:bCs/>
          <w:color w:val="auto"/>
          <w:sz w:val="21"/>
          <w:highlight w:val="none"/>
        </w:rPr>
        <w:t>……</w:t>
      </w:r>
    </w:p>
    <w:p w14:paraId="3CFB3E3C">
      <w:pPr>
        <w:pStyle w:val="16"/>
        <w:spacing w:line="400" w:lineRule="exact"/>
        <w:ind w:left="25" w:leftChars="12" w:firstLine="413" w:firstLineChars="196"/>
        <w:rPr>
          <w:rFonts w:hAnsi="宋体" w:cs="宋体"/>
          <w:b/>
          <w:color w:val="auto"/>
          <w:sz w:val="21"/>
          <w:highlight w:val="none"/>
        </w:rPr>
      </w:pPr>
      <w:r>
        <w:rPr>
          <w:rFonts w:hint="eastAsia" w:hAnsi="宋体" w:cs="宋体"/>
          <w:b/>
          <w:color w:val="auto"/>
          <w:sz w:val="21"/>
          <w:highlight w:val="none"/>
        </w:rPr>
        <w:t>五、与投诉事项相关的投诉请求：</w:t>
      </w:r>
    </w:p>
    <w:p w14:paraId="0782B461">
      <w:pPr>
        <w:pStyle w:val="16"/>
        <w:spacing w:line="400" w:lineRule="exact"/>
        <w:ind w:left="25" w:leftChars="12" w:firstLine="413" w:firstLineChars="197"/>
        <w:rPr>
          <w:rFonts w:hAnsi="宋体" w:cs="宋体"/>
          <w:color w:val="auto"/>
          <w:sz w:val="21"/>
          <w:highlight w:val="none"/>
        </w:rPr>
      </w:pPr>
      <w:r>
        <w:rPr>
          <w:rFonts w:hint="eastAsia" w:hAnsi="宋体" w:cs="宋体"/>
          <w:color w:val="auto"/>
          <w:sz w:val="21"/>
          <w:highlight w:val="none"/>
        </w:rPr>
        <w:t>请求：</w:t>
      </w:r>
    </w:p>
    <w:p w14:paraId="6DD3DF19">
      <w:pPr>
        <w:pStyle w:val="16"/>
        <w:spacing w:line="400" w:lineRule="exact"/>
        <w:ind w:left="25" w:leftChars="12" w:firstLine="413" w:firstLineChars="197"/>
        <w:rPr>
          <w:rFonts w:hAnsi="宋体" w:cs="宋体"/>
          <w:color w:val="auto"/>
          <w:sz w:val="21"/>
          <w:highlight w:val="none"/>
        </w:rPr>
      </w:pPr>
      <w:r>
        <w:rPr>
          <w:rFonts w:hint="eastAsia" w:hAnsi="宋体" w:cs="宋体"/>
          <w:color w:val="auto"/>
          <w:sz w:val="21"/>
          <w:highlight w:val="none"/>
        </w:rPr>
        <w:t>签字（签章）：                                       公章：</w:t>
      </w:r>
    </w:p>
    <w:p w14:paraId="278202C9">
      <w:pPr>
        <w:pStyle w:val="16"/>
        <w:spacing w:line="400" w:lineRule="exact"/>
        <w:ind w:left="25" w:leftChars="12" w:firstLine="413" w:firstLineChars="197"/>
        <w:rPr>
          <w:rFonts w:hAnsi="宋体" w:cs="宋体"/>
          <w:color w:val="auto"/>
          <w:sz w:val="21"/>
          <w:highlight w:val="none"/>
        </w:rPr>
      </w:pPr>
      <w:r>
        <w:rPr>
          <w:rFonts w:hint="eastAsia" w:hAnsi="宋体" w:cs="宋体"/>
          <w:color w:val="auto"/>
          <w:sz w:val="21"/>
          <w:highlight w:val="none"/>
        </w:rPr>
        <w:t>日期：</w:t>
      </w:r>
    </w:p>
    <w:p w14:paraId="3B9E15D5">
      <w:pPr>
        <w:pStyle w:val="16"/>
        <w:snapToGrid w:val="0"/>
        <w:spacing w:line="400" w:lineRule="exact"/>
        <w:rPr>
          <w:rFonts w:hAnsi="宋体" w:cs="宋体"/>
          <w:b/>
          <w:color w:val="auto"/>
          <w:sz w:val="21"/>
          <w:highlight w:val="none"/>
        </w:rPr>
      </w:pPr>
      <w:r>
        <w:rPr>
          <w:rFonts w:hint="eastAsia" w:hAnsi="宋体" w:cs="宋体"/>
          <w:b/>
          <w:color w:val="auto"/>
          <w:sz w:val="21"/>
          <w:highlight w:val="none"/>
        </w:rPr>
        <w:t>说明：</w:t>
      </w:r>
    </w:p>
    <w:p w14:paraId="35309EA7">
      <w:pPr>
        <w:pStyle w:val="16"/>
        <w:spacing w:line="400" w:lineRule="exact"/>
        <w:ind w:left="25" w:leftChars="12" w:firstLine="310" w:firstLineChars="147"/>
        <w:rPr>
          <w:rFonts w:hAnsi="宋体" w:cs="宋体"/>
          <w:b/>
          <w:bCs/>
          <w:color w:val="auto"/>
          <w:sz w:val="21"/>
          <w:highlight w:val="none"/>
        </w:rPr>
      </w:pPr>
      <w:r>
        <w:rPr>
          <w:rFonts w:hint="eastAsia" w:hAnsi="宋体" w:cs="宋体"/>
          <w:b/>
          <w:color w:val="auto"/>
          <w:sz w:val="21"/>
          <w:highlight w:val="none"/>
        </w:rPr>
        <w:t>1.投诉人提起投诉时，应当提交投诉书和必要的证明材料，并按照被投诉人和与投诉事项有关的供应商数量提供投诉书副本</w:t>
      </w:r>
      <w:r>
        <w:rPr>
          <w:rFonts w:hint="eastAsia" w:hAnsi="宋体" w:cs="宋体"/>
          <w:b/>
          <w:bCs/>
          <w:color w:val="auto"/>
          <w:sz w:val="21"/>
          <w:highlight w:val="none"/>
        </w:rPr>
        <w:t>。</w:t>
      </w:r>
    </w:p>
    <w:p w14:paraId="5FA986CE">
      <w:pPr>
        <w:pStyle w:val="16"/>
        <w:spacing w:line="400" w:lineRule="exact"/>
        <w:ind w:left="25" w:leftChars="12" w:firstLine="310" w:firstLineChars="147"/>
        <w:rPr>
          <w:rFonts w:hAnsi="宋体" w:cs="宋体"/>
          <w:b/>
          <w:color w:val="auto"/>
          <w:sz w:val="21"/>
          <w:highlight w:val="none"/>
        </w:rPr>
      </w:pPr>
      <w:r>
        <w:rPr>
          <w:rFonts w:hint="eastAsia" w:hAnsi="宋体" w:cs="宋体"/>
          <w:b/>
          <w:color w:val="auto"/>
          <w:sz w:val="21"/>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381B4258">
      <w:pPr>
        <w:pStyle w:val="16"/>
        <w:spacing w:line="400" w:lineRule="exact"/>
        <w:ind w:left="25" w:leftChars="12" w:firstLine="310" w:firstLineChars="147"/>
        <w:rPr>
          <w:rFonts w:hAnsi="宋体" w:cs="宋体"/>
          <w:b/>
          <w:color w:val="auto"/>
          <w:sz w:val="21"/>
          <w:highlight w:val="none"/>
        </w:rPr>
      </w:pPr>
      <w:r>
        <w:rPr>
          <w:rFonts w:hint="eastAsia" w:hAnsi="宋体" w:cs="宋体"/>
          <w:b/>
          <w:color w:val="auto"/>
          <w:sz w:val="21"/>
          <w:highlight w:val="none"/>
        </w:rPr>
        <w:t>3.投诉书应简要列明质疑事项，质疑函、质疑答复等作为附件材料提供。</w:t>
      </w:r>
    </w:p>
    <w:p w14:paraId="7B0C90C0">
      <w:pPr>
        <w:pStyle w:val="16"/>
        <w:spacing w:line="400" w:lineRule="exact"/>
        <w:ind w:left="25" w:leftChars="12" w:firstLine="310" w:firstLineChars="147"/>
        <w:rPr>
          <w:rFonts w:hAnsi="宋体" w:cs="宋体"/>
          <w:b/>
          <w:color w:val="auto"/>
          <w:sz w:val="21"/>
          <w:highlight w:val="none"/>
        </w:rPr>
      </w:pPr>
      <w:r>
        <w:rPr>
          <w:rFonts w:hint="eastAsia" w:hAnsi="宋体" w:cs="宋体"/>
          <w:b/>
          <w:color w:val="auto"/>
          <w:sz w:val="21"/>
          <w:highlight w:val="none"/>
        </w:rPr>
        <w:t>4.投诉书的投诉事项应具体、明确，并有必要的事实依据和法律依据。</w:t>
      </w:r>
    </w:p>
    <w:p w14:paraId="1B958767">
      <w:pPr>
        <w:pStyle w:val="16"/>
        <w:spacing w:line="400" w:lineRule="exact"/>
        <w:ind w:left="25" w:leftChars="12" w:firstLine="310" w:firstLineChars="147"/>
        <w:rPr>
          <w:rFonts w:hAnsi="宋体" w:cs="宋体"/>
          <w:b/>
          <w:color w:val="auto"/>
          <w:sz w:val="21"/>
          <w:highlight w:val="none"/>
        </w:rPr>
      </w:pPr>
      <w:r>
        <w:rPr>
          <w:rFonts w:hint="eastAsia" w:hAnsi="宋体" w:cs="宋体"/>
          <w:b/>
          <w:color w:val="auto"/>
          <w:sz w:val="21"/>
          <w:highlight w:val="none"/>
        </w:rPr>
        <w:t>5.投诉书的投诉请求应与投诉事项相关。</w:t>
      </w:r>
    </w:p>
    <w:p w14:paraId="49C67F3F">
      <w:pPr>
        <w:pStyle w:val="16"/>
        <w:spacing w:line="400" w:lineRule="exact"/>
        <w:ind w:left="25" w:leftChars="12" w:firstLine="310" w:firstLineChars="147"/>
        <w:rPr>
          <w:rFonts w:hAnsi="宋体" w:cs="宋体"/>
          <w:b/>
          <w:color w:val="auto"/>
          <w:sz w:val="21"/>
          <w:highlight w:val="none"/>
        </w:rPr>
      </w:pPr>
      <w:r>
        <w:rPr>
          <w:rFonts w:hint="eastAsia" w:hAnsi="宋体" w:cs="宋体"/>
          <w:b/>
          <w:color w:val="auto"/>
          <w:sz w:val="21"/>
          <w:highlight w:val="none"/>
        </w:rPr>
        <w:t>6.投诉人为法人或者其他组织的，投诉书应由法定代表人、主要负责人，或者其授权代表签字或者盖章，并加盖公章。</w:t>
      </w:r>
    </w:p>
    <w:p w14:paraId="581DD630">
      <w:pPr>
        <w:pStyle w:val="27"/>
        <w:spacing w:line="400" w:lineRule="exact"/>
        <w:rPr>
          <w:rFonts w:ascii="宋体" w:hAnsi="宋体" w:cs="宋体"/>
          <w:color w:val="auto"/>
          <w:sz w:val="21"/>
          <w:szCs w:val="21"/>
          <w:highlight w:val="none"/>
        </w:rPr>
      </w:pPr>
    </w:p>
    <w:sectPr>
      <w:footerReference r:id="rId7" w:type="default"/>
      <w:pgSz w:w="11906" w:h="16838"/>
      <w:pgMar w:top="1440" w:right="1803" w:bottom="1440" w:left="1803" w:header="851" w:footer="992" w:gutter="0"/>
      <w:pgNumType w:fmt="decimal"/>
      <w:cols w:space="0" w:num="1"/>
      <w:titlePg/>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iti SC Medium">
    <w:altName w:val="Noto Serif SC"/>
    <w:panose1 w:val="00000000000000000000"/>
    <w:charset w:val="80"/>
    <w:family w:val="auto"/>
    <w:pitch w:val="default"/>
    <w:sig w:usb0="00000000" w:usb1="00000000" w:usb2="00000010" w:usb3="00000000" w:csb0="003E0001" w:csb1="00000000"/>
  </w:font>
  <w:font w:name="Noto Serif SC">
    <w:panose1 w:val="02020200000000000000"/>
    <w:charset w:val="86"/>
    <w:family w:val="auto"/>
    <w:pitch w:val="default"/>
    <w:sig w:usb0="20000083" w:usb1="2ADF3C10" w:usb2="00000016" w:usb3="00000000" w:csb0="60060107"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7F" w:usb3="00000000" w:csb0="203F01FF" w:csb1="DFFF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仿宋体">
    <w:altName w:val="宋体"/>
    <w:panose1 w:val="00000000000000000000"/>
    <w:charset w:val="86"/>
    <w:family w:val="roman"/>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 w:name="KSOF8080F95D">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DC76A4">
    <w:pPr>
      <w:pStyle w:val="1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51C7B1">
                          <w:pPr>
                            <w:pStyle w:val="1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551C7B1">
                    <w:pPr>
                      <w:pStyle w:val="19"/>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D41F2A">
    <w:pPr>
      <w:pStyle w:val="1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89B676">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989B676">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53AD1">
    <w:pPr>
      <w:pStyle w:val="1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F573A5">
                          <w:pPr>
                            <w:pStyle w:val="19"/>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EF573A5">
                    <w:pPr>
                      <w:pStyle w:val="19"/>
                    </w:pPr>
                    <w:r>
                      <w:fldChar w:fldCharType="begin"/>
                    </w:r>
                    <w:r>
                      <w:instrText xml:space="preserve"> PAGE  \* MERGEFORMAT </w:instrText>
                    </w:r>
                    <w:r>
                      <w:fldChar w:fldCharType="separate"/>
                    </w:r>
                    <w:r>
                      <w:t>63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B4BA8">
    <w:pPr>
      <w:pStyle w:val="2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E8DF11">
    <w:pPr>
      <w:pStyle w:val="20"/>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9A3088"/>
    <w:multiLevelType w:val="singleLevel"/>
    <w:tmpl w:val="F89A3088"/>
    <w:lvl w:ilvl="0" w:tentative="0">
      <w:start w:val="1"/>
      <w:numFmt w:val="decimal"/>
      <w:lvlText w:val="%1."/>
      <w:lvlJc w:val="left"/>
      <w:pPr>
        <w:tabs>
          <w:tab w:val="left" w:pos="312"/>
        </w:tabs>
      </w:pPr>
    </w:lvl>
  </w:abstractNum>
  <w:abstractNum w:abstractNumId="1">
    <w:nsid w:val="618C084D"/>
    <w:multiLevelType w:val="multilevel"/>
    <w:tmpl w:val="618C084D"/>
    <w:lvl w:ilvl="0" w:tentative="0">
      <w:start w:val="1"/>
      <w:numFmt w:val="decimal"/>
      <w:pStyle w:val="2"/>
      <w:lvlText w:val="%1."/>
      <w:lvlJc w:val="left"/>
      <w:pPr>
        <w:ind w:left="432" w:hanging="432"/>
      </w:pPr>
      <w:rPr>
        <w:rFonts w:hint="default"/>
      </w:rPr>
    </w:lvl>
    <w:lvl w:ilvl="1" w:tentative="0">
      <w:start w:val="1"/>
      <w:numFmt w:val="decimal"/>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2">
    <w:nsid w:val="7E66D773"/>
    <w:multiLevelType w:val="singleLevel"/>
    <w:tmpl w:val="7E66D773"/>
    <w:lvl w:ilvl="0" w:tentative="0">
      <w:start w:val="1"/>
      <w:numFmt w:val="decimal"/>
      <w:lvlText w:val="%1."/>
      <w:lvlJc w:val="left"/>
      <w:pPr>
        <w:tabs>
          <w:tab w:val="left" w:pos="312"/>
        </w:tabs>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trackRevisions w:val="1"/>
  <w:documentProtection w:enforcement="0"/>
  <w:defaultTabStop w:val="420"/>
  <w:drawingGridHorizontalSpacing w:val="105"/>
  <w:drawingGridVerticalSpacing w:val="159"/>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mZWIzNDg2MmIzZjExOTIzMmViNTBmYTMwYTk0ZWYifQ=="/>
  </w:docVars>
  <w:rsids>
    <w:rsidRoot w:val="00F34B14"/>
    <w:rsid w:val="00000672"/>
    <w:rsid w:val="00001013"/>
    <w:rsid w:val="00001799"/>
    <w:rsid w:val="0000184B"/>
    <w:rsid w:val="00001AF2"/>
    <w:rsid w:val="00001ECA"/>
    <w:rsid w:val="000025F3"/>
    <w:rsid w:val="00002D29"/>
    <w:rsid w:val="00003B93"/>
    <w:rsid w:val="0000474D"/>
    <w:rsid w:val="00005B93"/>
    <w:rsid w:val="00005FDF"/>
    <w:rsid w:val="000070B3"/>
    <w:rsid w:val="000076B8"/>
    <w:rsid w:val="000109DC"/>
    <w:rsid w:val="00010D39"/>
    <w:rsid w:val="0001172C"/>
    <w:rsid w:val="00012854"/>
    <w:rsid w:val="00012EA6"/>
    <w:rsid w:val="000137C2"/>
    <w:rsid w:val="000139CF"/>
    <w:rsid w:val="00013AA4"/>
    <w:rsid w:val="00013DFE"/>
    <w:rsid w:val="000141EA"/>
    <w:rsid w:val="00016444"/>
    <w:rsid w:val="00016ABC"/>
    <w:rsid w:val="00016AE6"/>
    <w:rsid w:val="000177DB"/>
    <w:rsid w:val="000179C9"/>
    <w:rsid w:val="00017CCC"/>
    <w:rsid w:val="00020227"/>
    <w:rsid w:val="00020455"/>
    <w:rsid w:val="00020813"/>
    <w:rsid w:val="00020848"/>
    <w:rsid w:val="000212B1"/>
    <w:rsid w:val="000220B2"/>
    <w:rsid w:val="0002264C"/>
    <w:rsid w:val="00022731"/>
    <w:rsid w:val="00022792"/>
    <w:rsid w:val="000234B2"/>
    <w:rsid w:val="00024463"/>
    <w:rsid w:val="00024490"/>
    <w:rsid w:val="00025461"/>
    <w:rsid w:val="00025636"/>
    <w:rsid w:val="00025E36"/>
    <w:rsid w:val="00026886"/>
    <w:rsid w:val="00026AD8"/>
    <w:rsid w:val="0003094F"/>
    <w:rsid w:val="000329E0"/>
    <w:rsid w:val="00033F89"/>
    <w:rsid w:val="00034AA9"/>
    <w:rsid w:val="000352E9"/>
    <w:rsid w:val="00035369"/>
    <w:rsid w:val="00035494"/>
    <w:rsid w:val="00036125"/>
    <w:rsid w:val="00036310"/>
    <w:rsid w:val="00036A07"/>
    <w:rsid w:val="0003780B"/>
    <w:rsid w:val="00040571"/>
    <w:rsid w:val="00040973"/>
    <w:rsid w:val="0004156E"/>
    <w:rsid w:val="00041713"/>
    <w:rsid w:val="0004440C"/>
    <w:rsid w:val="00045648"/>
    <w:rsid w:val="00046B5E"/>
    <w:rsid w:val="000470CB"/>
    <w:rsid w:val="00047A2E"/>
    <w:rsid w:val="00050707"/>
    <w:rsid w:val="000509D9"/>
    <w:rsid w:val="00050E7A"/>
    <w:rsid w:val="00051ACB"/>
    <w:rsid w:val="00052DEE"/>
    <w:rsid w:val="000533E7"/>
    <w:rsid w:val="00055675"/>
    <w:rsid w:val="00055D41"/>
    <w:rsid w:val="00057CD6"/>
    <w:rsid w:val="00060DCE"/>
    <w:rsid w:val="000610E3"/>
    <w:rsid w:val="000614F3"/>
    <w:rsid w:val="000623B4"/>
    <w:rsid w:val="00062405"/>
    <w:rsid w:val="000634A7"/>
    <w:rsid w:val="00063B0B"/>
    <w:rsid w:val="00063F81"/>
    <w:rsid w:val="000645F9"/>
    <w:rsid w:val="00064847"/>
    <w:rsid w:val="00065E08"/>
    <w:rsid w:val="000673E2"/>
    <w:rsid w:val="00067E1F"/>
    <w:rsid w:val="0007063F"/>
    <w:rsid w:val="00070949"/>
    <w:rsid w:val="000711E4"/>
    <w:rsid w:val="00071DFA"/>
    <w:rsid w:val="00072AED"/>
    <w:rsid w:val="00073EB6"/>
    <w:rsid w:val="00073F47"/>
    <w:rsid w:val="0007492F"/>
    <w:rsid w:val="00074ED8"/>
    <w:rsid w:val="000751D3"/>
    <w:rsid w:val="00075B7E"/>
    <w:rsid w:val="00077C70"/>
    <w:rsid w:val="000806C2"/>
    <w:rsid w:val="000813B5"/>
    <w:rsid w:val="00081BA3"/>
    <w:rsid w:val="00081D2E"/>
    <w:rsid w:val="00081F89"/>
    <w:rsid w:val="00082619"/>
    <w:rsid w:val="00082D02"/>
    <w:rsid w:val="00083871"/>
    <w:rsid w:val="00083B91"/>
    <w:rsid w:val="00083C2A"/>
    <w:rsid w:val="000846B3"/>
    <w:rsid w:val="0008473C"/>
    <w:rsid w:val="0008520B"/>
    <w:rsid w:val="000860BD"/>
    <w:rsid w:val="00086F87"/>
    <w:rsid w:val="000871B8"/>
    <w:rsid w:val="00087A44"/>
    <w:rsid w:val="00090C05"/>
    <w:rsid w:val="000916DA"/>
    <w:rsid w:val="00092442"/>
    <w:rsid w:val="000929EF"/>
    <w:rsid w:val="00094E9F"/>
    <w:rsid w:val="0009543E"/>
    <w:rsid w:val="0009560F"/>
    <w:rsid w:val="0009588E"/>
    <w:rsid w:val="000959EE"/>
    <w:rsid w:val="00097183"/>
    <w:rsid w:val="000972CB"/>
    <w:rsid w:val="00097608"/>
    <w:rsid w:val="000A13F3"/>
    <w:rsid w:val="000A23B1"/>
    <w:rsid w:val="000A2B0E"/>
    <w:rsid w:val="000A33C4"/>
    <w:rsid w:val="000A398F"/>
    <w:rsid w:val="000A4976"/>
    <w:rsid w:val="000A509C"/>
    <w:rsid w:val="000A6007"/>
    <w:rsid w:val="000A65A6"/>
    <w:rsid w:val="000A6A4C"/>
    <w:rsid w:val="000A70E3"/>
    <w:rsid w:val="000A7275"/>
    <w:rsid w:val="000A7A12"/>
    <w:rsid w:val="000A7A72"/>
    <w:rsid w:val="000B1202"/>
    <w:rsid w:val="000B1801"/>
    <w:rsid w:val="000B1D0C"/>
    <w:rsid w:val="000B2273"/>
    <w:rsid w:val="000B2BC6"/>
    <w:rsid w:val="000B2D03"/>
    <w:rsid w:val="000B3815"/>
    <w:rsid w:val="000B3C7B"/>
    <w:rsid w:val="000B6A6B"/>
    <w:rsid w:val="000B6C95"/>
    <w:rsid w:val="000B79FC"/>
    <w:rsid w:val="000C1679"/>
    <w:rsid w:val="000C18E9"/>
    <w:rsid w:val="000C19FC"/>
    <w:rsid w:val="000C1EE3"/>
    <w:rsid w:val="000C3AE7"/>
    <w:rsid w:val="000C3BD3"/>
    <w:rsid w:val="000C3CC9"/>
    <w:rsid w:val="000C6DE4"/>
    <w:rsid w:val="000C7202"/>
    <w:rsid w:val="000C7AAD"/>
    <w:rsid w:val="000D0A89"/>
    <w:rsid w:val="000D1389"/>
    <w:rsid w:val="000D1798"/>
    <w:rsid w:val="000D2626"/>
    <w:rsid w:val="000D2786"/>
    <w:rsid w:val="000D2B42"/>
    <w:rsid w:val="000D2EA1"/>
    <w:rsid w:val="000D411D"/>
    <w:rsid w:val="000D4589"/>
    <w:rsid w:val="000D622E"/>
    <w:rsid w:val="000D73DD"/>
    <w:rsid w:val="000E181F"/>
    <w:rsid w:val="000E1C51"/>
    <w:rsid w:val="000E244D"/>
    <w:rsid w:val="000E28AB"/>
    <w:rsid w:val="000E2E3E"/>
    <w:rsid w:val="000E3583"/>
    <w:rsid w:val="000E3AF0"/>
    <w:rsid w:val="000E4E04"/>
    <w:rsid w:val="000E5915"/>
    <w:rsid w:val="000E6EC9"/>
    <w:rsid w:val="000E70B4"/>
    <w:rsid w:val="000E7B62"/>
    <w:rsid w:val="000F0E1E"/>
    <w:rsid w:val="000F0EE6"/>
    <w:rsid w:val="000F1919"/>
    <w:rsid w:val="000F1A1B"/>
    <w:rsid w:val="000F1C62"/>
    <w:rsid w:val="000F2A95"/>
    <w:rsid w:val="000F3281"/>
    <w:rsid w:val="000F32FD"/>
    <w:rsid w:val="000F3733"/>
    <w:rsid w:val="000F5882"/>
    <w:rsid w:val="000F5F8B"/>
    <w:rsid w:val="000F64AA"/>
    <w:rsid w:val="000F7322"/>
    <w:rsid w:val="000F7AF4"/>
    <w:rsid w:val="000F7C33"/>
    <w:rsid w:val="000F7F0C"/>
    <w:rsid w:val="001004D6"/>
    <w:rsid w:val="00100728"/>
    <w:rsid w:val="0010218A"/>
    <w:rsid w:val="00102676"/>
    <w:rsid w:val="00103646"/>
    <w:rsid w:val="00103918"/>
    <w:rsid w:val="00104897"/>
    <w:rsid w:val="00104EDE"/>
    <w:rsid w:val="00105CDA"/>
    <w:rsid w:val="00106BEE"/>
    <w:rsid w:val="00107C74"/>
    <w:rsid w:val="0011091C"/>
    <w:rsid w:val="001112EB"/>
    <w:rsid w:val="00113154"/>
    <w:rsid w:val="00113678"/>
    <w:rsid w:val="00113C3E"/>
    <w:rsid w:val="00115E11"/>
    <w:rsid w:val="00115EEE"/>
    <w:rsid w:val="00115F56"/>
    <w:rsid w:val="00116CA9"/>
    <w:rsid w:val="001170A4"/>
    <w:rsid w:val="00117AE7"/>
    <w:rsid w:val="00117CBD"/>
    <w:rsid w:val="0012006A"/>
    <w:rsid w:val="00120E0D"/>
    <w:rsid w:val="00121979"/>
    <w:rsid w:val="00122064"/>
    <w:rsid w:val="00123EFB"/>
    <w:rsid w:val="00124341"/>
    <w:rsid w:val="0012447C"/>
    <w:rsid w:val="00124492"/>
    <w:rsid w:val="0012466D"/>
    <w:rsid w:val="00124B12"/>
    <w:rsid w:val="00124C87"/>
    <w:rsid w:val="001250A0"/>
    <w:rsid w:val="001263B8"/>
    <w:rsid w:val="0012799E"/>
    <w:rsid w:val="00130217"/>
    <w:rsid w:val="00130783"/>
    <w:rsid w:val="00130A47"/>
    <w:rsid w:val="001311DB"/>
    <w:rsid w:val="0013166D"/>
    <w:rsid w:val="001329FD"/>
    <w:rsid w:val="00132A8F"/>
    <w:rsid w:val="00132B47"/>
    <w:rsid w:val="001337F8"/>
    <w:rsid w:val="00133F6C"/>
    <w:rsid w:val="001348B4"/>
    <w:rsid w:val="001351CB"/>
    <w:rsid w:val="00135947"/>
    <w:rsid w:val="001359A2"/>
    <w:rsid w:val="00136020"/>
    <w:rsid w:val="00136445"/>
    <w:rsid w:val="00136E95"/>
    <w:rsid w:val="00140132"/>
    <w:rsid w:val="00141C9C"/>
    <w:rsid w:val="0014277F"/>
    <w:rsid w:val="001434BE"/>
    <w:rsid w:val="00143E87"/>
    <w:rsid w:val="00144050"/>
    <w:rsid w:val="0014479F"/>
    <w:rsid w:val="001452B4"/>
    <w:rsid w:val="00145320"/>
    <w:rsid w:val="001476D3"/>
    <w:rsid w:val="001509CF"/>
    <w:rsid w:val="00150D1D"/>
    <w:rsid w:val="001525AA"/>
    <w:rsid w:val="00152A87"/>
    <w:rsid w:val="00153BB5"/>
    <w:rsid w:val="0015426A"/>
    <w:rsid w:val="00154518"/>
    <w:rsid w:val="00154C38"/>
    <w:rsid w:val="00156359"/>
    <w:rsid w:val="00156DD6"/>
    <w:rsid w:val="00156F43"/>
    <w:rsid w:val="0016086E"/>
    <w:rsid w:val="00160D0C"/>
    <w:rsid w:val="00161172"/>
    <w:rsid w:val="00161998"/>
    <w:rsid w:val="00161A4D"/>
    <w:rsid w:val="00161E65"/>
    <w:rsid w:val="00162597"/>
    <w:rsid w:val="001629AF"/>
    <w:rsid w:val="001629FD"/>
    <w:rsid w:val="0016428A"/>
    <w:rsid w:val="001647B2"/>
    <w:rsid w:val="001647C9"/>
    <w:rsid w:val="00165627"/>
    <w:rsid w:val="001661A3"/>
    <w:rsid w:val="00167226"/>
    <w:rsid w:val="001677F6"/>
    <w:rsid w:val="0016782B"/>
    <w:rsid w:val="0016784D"/>
    <w:rsid w:val="00170441"/>
    <w:rsid w:val="001710A6"/>
    <w:rsid w:val="00173256"/>
    <w:rsid w:val="00173B0E"/>
    <w:rsid w:val="00173E03"/>
    <w:rsid w:val="00174F92"/>
    <w:rsid w:val="0017512C"/>
    <w:rsid w:val="001756EA"/>
    <w:rsid w:val="0017586A"/>
    <w:rsid w:val="00175BA6"/>
    <w:rsid w:val="00176CA7"/>
    <w:rsid w:val="001778C5"/>
    <w:rsid w:val="00177E56"/>
    <w:rsid w:val="00177F0A"/>
    <w:rsid w:val="00180DA0"/>
    <w:rsid w:val="00181EAD"/>
    <w:rsid w:val="00182862"/>
    <w:rsid w:val="00184F57"/>
    <w:rsid w:val="00185544"/>
    <w:rsid w:val="00185617"/>
    <w:rsid w:val="00187171"/>
    <w:rsid w:val="001879D6"/>
    <w:rsid w:val="00187A14"/>
    <w:rsid w:val="00187C56"/>
    <w:rsid w:val="00190AEB"/>
    <w:rsid w:val="0019171E"/>
    <w:rsid w:val="00191F9C"/>
    <w:rsid w:val="00192368"/>
    <w:rsid w:val="001923A0"/>
    <w:rsid w:val="001928B1"/>
    <w:rsid w:val="00193537"/>
    <w:rsid w:val="00193846"/>
    <w:rsid w:val="00194621"/>
    <w:rsid w:val="00195424"/>
    <w:rsid w:val="001955FF"/>
    <w:rsid w:val="00197470"/>
    <w:rsid w:val="00197EDD"/>
    <w:rsid w:val="001A02B3"/>
    <w:rsid w:val="001A04BB"/>
    <w:rsid w:val="001A08D0"/>
    <w:rsid w:val="001A1B39"/>
    <w:rsid w:val="001A2120"/>
    <w:rsid w:val="001A28C6"/>
    <w:rsid w:val="001A2E69"/>
    <w:rsid w:val="001A35EF"/>
    <w:rsid w:val="001A3C34"/>
    <w:rsid w:val="001A3EDE"/>
    <w:rsid w:val="001A4222"/>
    <w:rsid w:val="001A50EA"/>
    <w:rsid w:val="001A5CE9"/>
    <w:rsid w:val="001A5E24"/>
    <w:rsid w:val="001A6D8B"/>
    <w:rsid w:val="001A6DAA"/>
    <w:rsid w:val="001A7717"/>
    <w:rsid w:val="001B125A"/>
    <w:rsid w:val="001B1614"/>
    <w:rsid w:val="001B1EBA"/>
    <w:rsid w:val="001B2142"/>
    <w:rsid w:val="001B216D"/>
    <w:rsid w:val="001B2F2B"/>
    <w:rsid w:val="001B3061"/>
    <w:rsid w:val="001B327A"/>
    <w:rsid w:val="001B35DE"/>
    <w:rsid w:val="001B3A13"/>
    <w:rsid w:val="001B3BB7"/>
    <w:rsid w:val="001B559F"/>
    <w:rsid w:val="001B59FF"/>
    <w:rsid w:val="001B61D2"/>
    <w:rsid w:val="001B6512"/>
    <w:rsid w:val="001B65D7"/>
    <w:rsid w:val="001B6752"/>
    <w:rsid w:val="001B6768"/>
    <w:rsid w:val="001B6F1F"/>
    <w:rsid w:val="001B7ECC"/>
    <w:rsid w:val="001C025B"/>
    <w:rsid w:val="001C115F"/>
    <w:rsid w:val="001C25A7"/>
    <w:rsid w:val="001C318C"/>
    <w:rsid w:val="001C35C4"/>
    <w:rsid w:val="001C3A73"/>
    <w:rsid w:val="001C4287"/>
    <w:rsid w:val="001C4479"/>
    <w:rsid w:val="001C49E5"/>
    <w:rsid w:val="001C5190"/>
    <w:rsid w:val="001C6013"/>
    <w:rsid w:val="001C6081"/>
    <w:rsid w:val="001C7B48"/>
    <w:rsid w:val="001D0CFB"/>
    <w:rsid w:val="001D18F5"/>
    <w:rsid w:val="001D1984"/>
    <w:rsid w:val="001D1A0D"/>
    <w:rsid w:val="001D1E64"/>
    <w:rsid w:val="001D343C"/>
    <w:rsid w:val="001D4073"/>
    <w:rsid w:val="001D58A1"/>
    <w:rsid w:val="001D58C2"/>
    <w:rsid w:val="001D5A8A"/>
    <w:rsid w:val="001D5E68"/>
    <w:rsid w:val="001D722F"/>
    <w:rsid w:val="001D7322"/>
    <w:rsid w:val="001D735E"/>
    <w:rsid w:val="001D73C8"/>
    <w:rsid w:val="001D7BC6"/>
    <w:rsid w:val="001E0649"/>
    <w:rsid w:val="001E129E"/>
    <w:rsid w:val="001E175C"/>
    <w:rsid w:val="001E1B0E"/>
    <w:rsid w:val="001E387A"/>
    <w:rsid w:val="001E3AA0"/>
    <w:rsid w:val="001E5A94"/>
    <w:rsid w:val="001E67A8"/>
    <w:rsid w:val="001F223A"/>
    <w:rsid w:val="001F2A2E"/>
    <w:rsid w:val="001F3356"/>
    <w:rsid w:val="001F3C63"/>
    <w:rsid w:val="001F4460"/>
    <w:rsid w:val="001F68F4"/>
    <w:rsid w:val="001F711A"/>
    <w:rsid w:val="001F75B0"/>
    <w:rsid w:val="001F7FCB"/>
    <w:rsid w:val="00200CE5"/>
    <w:rsid w:val="00200F7C"/>
    <w:rsid w:val="002014DB"/>
    <w:rsid w:val="00201E12"/>
    <w:rsid w:val="0020276F"/>
    <w:rsid w:val="00202D6F"/>
    <w:rsid w:val="00203301"/>
    <w:rsid w:val="002033B5"/>
    <w:rsid w:val="0020382C"/>
    <w:rsid w:val="0020437A"/>
    <w:rsid w:val="0020454C"/>
    <w:rsid w:val="00204E38"/>
    <w:rsid w:val="0020521F"/>
    <w:rsid w:val="0020532C"/>
    <w:rsid w:val="00205A09"/>
    <w:rsid w:val="002114C7"/>
    <w:rsid w:val="0021302C"/>
    <w:rsid w:val="00213B1C"/>
    <w:rsid w:val="00214202"/>
    <w:rsid w:val="002148E3"/>
    <w:rsid w:val="00214922"/>
    <w:rsid w:val="00214E8D"/>
    <w:rsid w:val="0021552D"/>
    <w:rsid w:val="002156AE"/>
    <w:rsid w:val="00215AC3"/>
    <w:rsid w:val="00215E99"/>
    <w:rsid w:val="00217097"/>
    <w:rsid w:val="0022054D"/>
    <w:rsid w:val="00223DDB"/>
    <w:rsid w:val="00223FA4"/>
    <w:rsid w:val="00224067"/>
    <w:rsid w:val="0022421C"/>
    <w:rsid w:val="00224E83"/>
    <w:rsid w:val="00225664"/>
    <w:rsid w:val="00225C81"/>
    <w:rsid w:val="0022663D"/>
    <w:rsid w:val="00227F2D"/>
    <w:rsid w:val="002308F2"/>
    <w:rsid w:val="00231851"/>
    <w:rsid w:val="002319FB"/>
    <w:rsid w:val="00231B89"/>
    <w:rsid w:val="00231F11"/>
    <w:rsid w:val="00231F5E"/>
    <w:rsid w:val="00232FE6"/>
    <w:rsid w:val="0023319E"/>
    <w:rsid w:val="002346B4"/>
    <w:rsid w:val="00234F6E"/>
    <w:rsid w:val="002355BE"/>
    <w:rsid w:val="002358EA"/>
    <w:rsid w:val="00236578"/>
    <w:rsid w:val="00236DE9"/>
    <w:rsid w:val="00237342"/>
    <w:rsid w:val="00237D5A"/>
    <w:rsid w:val="002415AE"/>
    <w:rsid w:val="00241D3C"/>
    <w:rsid w:val="00242109"/>
    <w:rsid w:val="00242C6E"/>
    <w:rsid w:val="0024314E"/>
    <w:rsid w:val="00243189"/>
    <w:rsid w:val="00243341"/>
    <w:rsid w:val="002439AB"/>
    <w:rsid w:val="00243C19"/>
    <w:rsid w:val="0024418D"/>
    <w:rsid w:val="00244AE8"/>
    <w:rsid w:val="00245587"/>
    <w:rsid w:val="00245F2B"/>
    <w:rsid w:val="00247F3A"/>
    <w:rsid w:val="00250122"/>
    <w:rsid w:val="00250755"/>
    <w:rsid w:val="00250939"/>
    <w:rsid w:val="00251043"/>
    <w:rsid w:val="00251C4A"/>
    <w:rsid w:val="0025271C"/>
    <w:rsid w:val="002533CD"/>
    <w:rsid w:val="00253421"/>
    <w:rsid w:val="0025463D"/>
    <w:rsid w:val="00254EAB"/>
    <w:rsid w:val="002557AF"/>
    <w:rsid w:val="0025589C"/>
    <w:rsid w:val="00255B62"/>
    <w:rsid w:val="00256401"/>
    <w:rsid w:val="002566B1"/>
    <w:rsid w:val="002575E3"/>
    <w:rsid w:val="00257A74"/>
    <w:rsid w:val="002603C1"/>
    <w:rsid w:val="002609A1"/>
    <w:rsid w:val="002612B1"/>
    <w:rsid w:val="00261B7D"/>
    <w:rsid w:val="002646D5"/>
    <w:rsid w:val="00264DC9"/>
    <w:rsid w:val="0026570A"/>
    <w:rsid w:val="00266165"/>
    <w:rsid w:val="00266F2C"/>
    <w:rsid w:val="0027054F"/>
    <w:rsid w:val="0027125E"/>
    <w:rsid w:val="00271767"/>
    <w:rsid w:val="00272293"/>
    <w:rsid w:val="002723C8"/>
    <w:rsid w:val="00273C2A"/>
    <w:rsid w:val="00273CBE"/>
    <w:rsid w:val="002742DE"/>
    <w:rsid w:val="002746B1"/>
    <w:rsid w:val="00275205"/>
    <w:rsid w:val="00282D56"/>
    <w:rsid w:val="002835B0"/>
    <w:rsid w:val="00283C74"/>
    <w:rsid w:val="0028407E"/>
    <w:rsid w:val="0028410F"/>
    <w:rsid w:val="00284572"/>
    <w:rsid w:val="00285221"/>
    <w:rsid w:val="002855A6"/>
    <w:rsid w:val="00286FB5"/>
    <w:rsid w:val="00287763"/>
    <w:rsid w:val="00290606"/>
    <w:rsid w:val="002909B2"/>
    <w:rsid w:val="00291D6D"/>
    <w:rsid w:val="00291FF1"/>
    <w:rsid w:val="00292AA2"/>
    <w:rsid w:val="00293361"/>
    <w:rsid w:val="002952B1"/>
    <w:rsid w:val="00295D11"/>
    <w:rsid w:val="00296CA1"/>
    <w:rsid w:val="00296FB6"/>
    <w:rsid w:val="002974EF"/>
    <w:rsid w:val="002A0BD9"/>
    <w:rsid w:val="002A0C3A"/>
    <w:rsid w:val="002A1130"/>
    <w:rsid w:val="002A139F"/>
    <w:rsid w:val="002A1880"/>
    <w:rsid w:val="002A23B7"/>
    <w:rsid w:val="002A3A57"/>
    <w:rsid w:val="002A4B4F"/>
    <w:rsid w:val="002A57A8"/>
    <w:rsid w:val="002A5AA5"/>
    <w:rsid w:val="002A6DEF"/>
    <w:rsid w:val="002A770B"/>
    <w:rsid w:val="002B013E"/>
    <w:rsid w:val="002B058D"/>
    <w:rsid w:val="002B0C16"/>
    <w:rsid w:val="002B2AC5"/>
    <w:rsid w:val="002B3528"/>
    <w:rsid w:val="002B3539"/>
    <w:rsid w:val="002B5042"/>
    <w:rsid w:val="002B69CC"/>
    <w:rsid w:val="002B6D71"/>
    <w:rsid w:val="002B7A0D"/>
    <w:rsid w:val="002C0C1C"/>
    <w:rsid w:val="002C3C72"/>
    <w:rsid w:val="002C54C2"/>
    <w:rsid w:val="002C5D34"/>
    <w:rsid w:val="002C60BB"/>
    <w:rsid w:val="002C661A"/>
    <w:rsid w:val="002C7B86"/>
    <w:rsid w:val="002D0D6F"/>
    <w:rsid w:val="002D25FC"/>
    <w:rsid w:val="002D2E10"/>
    <w:rsid w:val="002D4AC6"/>
    <w:rsid w:val="002D5BF5"/>
    <w:rsid w:val="002D5EE8"/>
    <w:rsid w:val="002D7178"/>
    <w:rsid w:val="002D7360"/>
    <w:rsid w:val="002D7648"/>
    <w:rsid w:val="002E109C"/>
    <w:rsid w:val="002E193E"/>
    <w:rsid w:val="002E1A94"/>
    <w:rsid w:val="002E1D55"/>
    <w:rsid w:val="002E2143"/>
    <w:rsid w:val="002E26C4"/>
    <w:rsid w:val="002E30A5"/>
    <w:rsid w:val="002E3EBE"/>
    <w:rsid w:val="002E47E4"/>
    <w:rsid w:val="002E4BF9"/>
    <w:rsid w:val="002E4D61"/>
    <w:rsid w:val="002E5E0D"/>
    <w:rsid w:val="002E6E6C"/>
    <w:rsid w:val="002E78A4"/>
    <w:rsid w:val="002F0522"/>
    <w:rsid w:val="002F0F1F"/>
    <w:rsid w:val="002F0F5D"/>
    <w:rsid w:val="002F16DD"/>
    <w:rsid w:val="002F199D"/>
    <w:rsid w:val="002F213C"/>
    <w:rsid w:val="002F2586"/>
    <w:rsid w:val="002F30E4"/>
    <w:rsid w:val="002F352D"/>
    <w:rsid w:val="002F3AC6"/>
    <w:rsid w:val="002F4084"/>
    <w:rsid w:val="002F4A08"/>
    <w:rsid w:val="002F4ADB"/>
    <w:rsid w:val="002F531E"/>
    <w:rsid w:val="002F548D"/>
    <w:rsid w:val="002F5A59"/>
    <w:rsid w:val="002F5ACC"/>
    <w:rsid w:val="002F704B"/>
    <w:rsid w:val="002F72C3"/>
    <w:rsid w:val="002F768C"/>
    <w:rsid w:val="002F7D1E"/>
    <w:rsid w:val="00300201"/>
    <w:rsid w:val="0030025A"/>
    <w:rsid w:val="0030156B"/>
    <w:rsid w:val="00301820"/>
    <w:rsid w:val="0030241F"/>
    <w:rsid w:val="00302EFC"/>
    <w:rsid w:val="00303243"/>
    <w:rsid w:val="003033E6"/>
    <w:rsid w:val="00303BCC"/>
    <w:rsid w:val="00303F2B"/>
    <w:rsid w:val="00303F8D"/>
    <w:rsid w:val="0030572D"/>
    <w:rsid w:val="0030586A"/>
    <w:rsid w:val="0030622D"/>
    <w:rsid w:val="00306811"/>
    <w:rsid w:val="00306F32"/>
    <w:rsid w:val="0030739E"/>
    <w:rsid w:val="003074C5"/>
    <w:rsid w:val="00307A3C"/>
    <w:rsid w:val="00307FA4"/>
    <w:rsid w:val="00310290"/>
    <w:rsid w:val="00310579"/>
    <w:rsid w:val="003109AB"/>
    <w:rsid w:val="00310CC1"/>
    <w:rsid w:val="00312504"/>
    <w:rsid w:val="00313026"/>
    <w:rsid w:val="00313913"/>
    <w:rsid w:val="0031421F"/>
    <w:rsid w:val="00314B31"/>
    <w:rsid w:val="00315A65"/>
    <w:rsid w:val="003176E9"/>
    <w:rsid w:val="00317ACE"/>
    <w:rsid w:val="00317BA7"/>
    <w:rsid w:val="00317D67"/>
    <w:rsid w:val="00320BE2"/>
    <w:rsid w:val="0032173C"/>
    <w:rsid w:val="00321886"/>
    <w:rsid w:val="00322216"/>
    <w:rsid w:val="00323694"/>
    <w:rsid w:val="003237DA"/>
    <w:rsid w:val="00323BE7"/>
    <w:rsid w:val="00324C3A"/>
    <w:rsid w:val="00324D63"/>
    <w:rsid w:val="003255AF"/>
    <w:rsid w:val="003256EB"/>
    <w:rsid w:val="003259DB"/>
    <w:rsid w:val="00330F78"/>
    <w:rsid w:val="0033122D"/>
    <w:rsid w:val="003314D9"/>
    <w:rsid w:val="00331653"/>
    <w:rsid w:val="00331A48"/>
    <w:rsid w:val="00331A85"/>
    <w:rsid w:val="00331BCC"/>
    <w:rsid w:val="00331E71"/>
    <w:rsid w:val="003330C9"/>
    <w:rsid w:val="0033364C"/>
    <w:rsid w:val="00334415"/>
    <w:rsid w:val="00335851"/>
    <w:rsid w:val="00335EA1"/>
    <w:rsid w:val="0033691E"/>
    <w:rsid w:val="00336A6A"/>
    <w:rsid w:val="00336CCB"/>
    <w:rsid w:val="003411D1"/>
    <w:rsid w:val="003416BA"/>
    <w:rsid w:val="00341F48"/>
    <w:rsid w:val="00342148"/>
    <w:rsid w:val="003421C6"/>
    <w:rsid w:val="00342F99"/>
    <w:rsid w:val="00344BCB"/>
    <w:rsid w:val="00345D2C"/>
    <w:rsid w:val="00345F57"/>
    <w:rsid w:val="00350862"/>
    <w:rsid w:val="00350C0A"/>
    <w:rsid w:val="00350E6C"/>
    <w:rsid w:val="003518A6"/>
    <w:rsid w:val="00351E7F"/>
    <w:rsid w:val="00352953"/>
    <w:rsid w:val="00354062"/>
    <w:rsid w:val="00355C0D"/>
    <w:rsid w:val="003566A9"/>
    <w:rsid w:val="00356988"/>
    <w:rsid w:val="00356CE9"/>
    <w:rsid w:val="003570BB"/>
    <w:rsid w:val="00357128"/>
    <w:rsid w:val="0035755E"/>
    <w:rsid w:val="00357A80"/>
    <w:rsid w:val="00360933"/>
    <w:rsid w:val="00360A8B"/>
    <w:rsid w:val="00361441"/>
    <w:rsid w:val="00361B8B"/>
    <w:rsid w:val="003626F5"/>
    <w:rsid w:val="00362AE6"/>
    <w:rsid w:val="0036335B"/>
    <w:rsid w:val="00363F39"/>
    <w:rsid w:val="0036445C"/>
    <w:rsid w:val="00364627"/>
    <w:rsid w:val="00364AB0"/>
    <w:rsid w:val="003667B0"/>
    <w:rsid w:val="003667DD"/>
    <w:rsid w:val="00366B48"/>
    <w:rsid w:val="00367067"/>
    <w:rsid w:val="00367764"/>
    <w:rsid w:val="00370316"/>
    <w:rsid w:val="00370DC7"/>
    <w:rsid w:val="00371CBD"/>
    <w:rsid w:val="00371F20"/>
    <w:rsid w:val="00372B98"/>
    <w:rsid w:val="003737B7"/>
    <w:rsid w:val="003740CC"/>
    <w:rsid w:val="003745F4"/>
    <w:rsid w:val="00374E79"/>
    <w:rsid w:val="0037529A"/>
    <w:rsid w:val="00375388"/>
    <w:rsid w:val="00375FB9"/>
    <w:rsid w:val="00376851"/>
    <w:rsid w:val="00376FA2"/>
    <w:rsid w:val="00377A3B"/>
    <w:rsid w:val="00377E3C"/>
    <w:rsid w:val="00380BBE"/>
    <w:rsid w:val="00381D70"/>
    <w:rsid w:val="0038235E"/>
    <w:rsid w:val="003829D0"/>
    <w:rsid w:val="0038444F"/>
    <w:rsid w:val="0038550C"/>
    <w:rsid w:val="003861F0"/>
    <w:rsid w:val="00387051"/>
    <w:rsid w:val="00387BDC"/>
    <w:rsid w:val="00387ECF"/>
    <w:rsid w:val="0039021B"/>
    <w:rsid w:val="00390429"/>
    <w:rsid w:val="0039366C"/>
    <w:rsid w:val="0039374F"/>
    <w:rsid w:val="00393EC8"/>
    <w:rsid w:val="00394C60"/>
    <w:rsid w:val="00395D3F"/>
    <w:rsid w:val="00395E42"/>
    <w:rsid w:val="00396409"/>
    <w:rsid w:val="00396A2D"/>
    <w:rsid w:val="00396FC3"/>
    <w:rsid w:val="003A15B5"/>
    <w:rsid w:val="003A1A94"/>
    <w:rsid w:val="003A204E"/>
    <w:rsid w:val="003A2D25"/>
    <w:rsid w:val="003A595C"/>
    <w:rsid w:val="003A60E7"/>
    <w:rsid w:val="003A7092"/>
    <w:rsid w:val="003A72A1"/>
    <w:rsid w:val="003A7611"/>
    <w:rsid w:val="003A7876"/>
    <w:rsid w:val="003A7D1F"/>
    <w:rsid w:val="003A7D23"/>
    <w:rsid w:val="003B0B6A"/>
    <w:rsid w:val="003B22F7"/>
    <w:rsid w:val="003B29CF"/>
    <w:rsid w:val="003B3865"/>
    <w:rsid w:val="003B3A90"/>
    <w:rsid w:val="003B534F"/>
    <w:rsid w:val="003B788F"/>
    <w:rsid w:val="003B7A79"/>
    <w:rsid w:val="003B7D6C"/>
    <w:rsid w:val="003C151A"/>
    <w:rsid w:val="003C2896"/>
    <w:rsid w:val="003C350C"/>
    <w:rsid w:val="003C3903"/>
    <w:rsid w:val="003C3BA0"/>
    <w:rsid w:val="003C4580"/>
    <w:rsid w:val="003C5C5E"/>
    <w:rsid w:val="003C6746"/>
    <w:rsid w:val="003C7555"/>
    <w:rsid w:val="003C7898"/>
    <w:rsid w:val="003D0200"/>
    <w:rsid w:val="003D05AC"/>
    <w:rsid w:val="003D0FF5"/>
    <w:rsid w:val="003D11A3"/>
    <w:rsid w:val="003D14EC"/>
    <w:rsid w:val="003D1537"/>
    <w:rsid w:val="003D183C"/>
    <w:rsid w:val="003D1F90"/>
    <w:rsid w:val="003D2D1B"/>
    <w:rsid w:val="003D335B"/>
    <w:rsid w:val="003D48C7"/>
    <w:rsid w:val="003D4C27"/>
    <w:rsid w:val="003D5336"/>
    <w:rsid w:val="003D5E55"/>
    <w:rsid w:val="003D60CD"/>
    <w:rsid w:val="003D7109"/>
    <w:rsid w:val="003D7CE8"/>
    <w:rsid w:val="003E02FC"/>
    <w:rsid w:val="003E0514"/>
    <w:rsid w:val="003E1032"/>
    <w:rsid w:val="003E1904"/>
    <w:rsid w:val="003E285E"/>
    <w:rsid w:val="003E3124"/>
    <w:rsid w:val="003E3300"/>
    <w:rsid w:val="003E43D3"/>
    <w:rsid w:val="003E48E1"/>
    <w:rsid w:val="003E4CCD"/>
    <w:rsid w:val="003E59BB"/>
    <w:rsid w:val="003E5B4A"/>
    <w:rsid w:val="003E6225"/>
    <w:rsid w:val="003E632E"/>
    <w:rsid w:val="003E65AC"/>
    <w:rsid w:val="003E66AE"/>
    <w:rsid w:val="003E66D4"/>
    <w:rsid w:val="003E673B"/>
    <w:rsid w:val="003E67DF"/>
    <w:rsid w:val="003E68E2"/>
    <w:rsid w:val="003E6BCC"/>
    <w:rsid w:val="003E72B9"/>
    <w:rsid w:val="003E7ED4"/>
    <w:rsid w:val="003F0690"/>
    <w:rsid w:val="003F0E52"/>
    <w:rsid w:val="003F0F6B"/>
    <w:rsid w:val="003F1FC6"/>
    <w:rsid w:val="003F1FE3"/>
    <w:rsid w:val="003F2359"/>
    <w:rsid w:val="003F3865"/>
    <w:rsid w:val="003F3D55"/>
    <w:rsid w:val="003F44E2"/>
    <w:rsid w:val="003F4632"/>
    <w:rsid w:val="003F47BA"/>
    <w:rsid w:val="003F4FE6"/>
    <w:rsid w:val="003F6617"/>
    <w:rsid w:val="0040177E"/>
    <w:rsid w:val="00402332"/>
    <w:rsid w:val="004025C2"/>
    <w:rsid w:val="00403195"/>
    <w:rsid w:val="004033A9"/>
    <w:rsid w:val="00403CF9"/>
    <w:rsid w:val="00403E55"/>
    <w:rsid w:val="0040407C"/>
    <w:rsid w:val="0040416C"/>
    <w:rsid w:val="00404681"/>
    <w:rsid w:val="004056E6"/>
    <w:rsid w:val="00405AC1"/>
    <w:rsid w:val="00405AE9"/>
    <w:rsid w:val="00406923"/>
    <w:rsid w:val="0040763D"/>
    <w:rsid w:val="00410D17"/>
    <w:rsid w:val="00412D56"/>
    <w:rsid w:val="00412DFF"/>
    <w:rsid w:val="004131A3"/>
    <w:rsid w:val="00413442"/>
    <w:rsid w:val="00413821"/>
    <w:rsid w:val="00413BA5"/>
    <w:rsid w:val="004141A3"/>
    <w:rsid w:val="00414909"/>
    <w:rsid w:val="0041582F"/>
    <w:rsid w:val="00416112"/>
    <w:rsid w:val="00417AE0"/>
    <w:rsid w:val="00417BAA"/>
    <w:rsid w:val="0042042B"/>
    <w:rsid w:val="00420B45"/>
    <w:rsid w:val="00420D7A"/>
    <w:rsid w:val="00420DEF"/>
    <w:rsid w:val="004211BD"/>
    <w:rsid w:val="00421257"/>
    <w:rsid w:val="00422193"/>
    <w:rsid w:val="004223DE"/>
    <w:rsid w:val="00422A10"/>
    <w:rsid w:val="00423CCE"/>
    <w:rsid w:val="00424BF0"/>
    <w:rsid w:val="00424D17"/>
    <w:rsid w:val="00425DFD"/>
    <w:rsid w:val="004263A3"/>
    <w:rsid w:val="00427463"/>
    <w:rsid w:val="00427713"/>
    <w:rsid w:val="00427CCC"/>
    <w:rsid w:val="0043013A"/>
    <w:rsid w:val="00430421"/>
    <w:rsid w:val="00430B4F"/>
    <w:rsid w:val="00430DD7"/>
    <w:rsid w:val="00431084"/>
    <w:rsid w:val="004310D7"/>
    <w:rsid w:val="00431EE6"/>
    <w:rsid w:val="004322D6"/>
    <w:rsid w:val="00432589"/>
    <w:rsid w:val="004325B9"/>
    <w:rsid w:val="00432A94"/>
    <w:rsid w:val="00432C95"/>
    <w:rsid w:val="00433827"/>
    <w:rsid w:val="00433A40"/>
    <w:rsid w:val="00434B70"/>
    <w:rsid w:val="004360C8"/>
    <w:rsid w:val="0043715C"/>
    <w:rsid w:val="004371D5"/>
    <w:rsid w:val="0044006B"/>
    <w:rsid w:val="0044033F"/>
    <w:rsid w:val="00440630"/>
    <w:rsid w:val="00441F0F"/>
    <w:rsid w:val="00442965"/>
    <w:rsid w:val="00444157"/>
    <w:rsid w:val="0044417C"/>
    <w:rsid w:val="00444566"/>
    <w:rsid w:val="00444DB3"/>
    <w:rsid w:val="00445A2F"/>
    <w:rsid w:val="004466FF"/>
    <w:rsid w:val="0044684E"/>
    <w:rsid w:val="00446F22"/>
    <w:rsid w:val="00447A71"/>
    <w:rsid w:val="00447B30"/>
    <w:rsid w:val="0045019F"/>
    <w:rsid w:val="004503A4"/>
    <w:rsid w:val="00450555"/>
    <w:rsid w:val="004506FA"/>
    <w:rsid w:val="00450DC6"/>
    <w:rsid w:val="004516A5"/>
    <w:rsid w:val="00451E9C"/>
    <w:rsid w:val="0045280F"/>
    <w:rsid w:val="004535AE"/>
    <w:rsid w:val="00453717"/>
    <w:rsid w:val="0045444D"/>
    <w:rsid w:val="0045463A"/>
    <w:rsid w:val="0045468A"/>
    <w:rsid w:val="00454AC9"/>
    <w:rsid w:val="00455050"/>
    <w:rsid w:val="004550C9"/>
    <w:rsid w:val="0045541C"/>
    <w:rsid w:val="004554A3"/>
    <w:rsid w:val="00455A6E"/>
    <w:rsid w:val="00455EAD"/>
    <w:rsid w:val="00456BA5"/>
    <w:rsid w:val="004578EB"/>
    <w:rsid w:val="004604D5"/>
    <w:rsid w:val="00460697"/>
    <w:rsid w:val="004608BB"/>
    <w:rsid w:val="0046117B"/>
    <w:rsid w:val="0046164A"/>
    <w:rsid w:val="004629AF"/>
    <w:rsid w:val="004632B0"/>
    <w:rsid w:val="00464AB7"/>
    <w:rsid w:val="00464C2F"/>
    <w:rsid w:val="00467EF8"/>
    <w:rsid w:val="00472300"/>
    <w:rsid w:val="00472429"/>
    <w:rsid w:val="004725E5"/>
    <w:rsid w:val="00472751"/>
    <w:rsid w:val="00472C71"/>
    <w:rsid w:val="00473128"/>
    <w:rsid w:val="004740A9"/>
    <w:rsid w:val="00475078"/>
    <w:rsid w:val="00475767"/>
    <w:rsid w:val="00476440"/>
    <w:rsid w:val="0047694F"/>
    <w:rsid w:val="004779A0"/>
    <w:rsid w:val="00477A01"/>
    <w:rsid w:val="00477A52"/>
    <w:rsid w:val="004808E3"/>
    <w:rsid w:val="00480C00"/>
    <w:rsid w:val="00481016"/>
    <w:rsid w:val="0048204C"/>
    <w:rsid w:val="004821BB"/>
    <w:rsid w:val="004826FE"/>
    <w:rsid w:val="004827D5"/>
    <w:rsid w:val="00482AF2"/>
    <w:rsid w:val="004830C9"/>
    <w:rsid w:val="00483347"/>
    <w:rsid w:val="00483E2E"/>
    <w:rsid w:val="0048494A"/>
    <w:rsid w:val="00484B69"/>
    <w:rsid w:val="00485406"/>
    <w:rsid w:val="0048590F"/>
    <w:rsid w:val="00485E5F"/>
    <w:rsid w:val="004866A8"/>
    <w:rsid w:val="00486D60"/>
    <w:rsid w:val="00490D6F"/>
    <w:rsid w:val="00491FA1"/>
    <w:rsid w:val="004928B5"/>
    <w:rsid w:val="00492A25"/>
    <w:rsid w:val="004938A3"/>
    <w:rsid w:val="00496350"/>
    <w:rsid w:val="0049797C"/>
    <w:rsid w:val="004A0380"/>
    <w:rsid w:val="004A1405"/>
    <w:rsid w:val="004A1FC6"/>
    <w:rsid w:val="004A2E5F"/>
    <w:rsid w:val="004A38C2"/>
    <w:rsid w:val="004A3C03"/>
    <w:rsid w:val="004A3DB7"/>
    <w:rsid w:val="004A5088"/>
    <w:rsid w:val="004A5255"/>
    <w:rsid w:val="004A6CB0"/>
    <w:rsid w:val="004A70FF"/>
    <w:rsid w:val="004A7EDE"/>
    <w:rsid w:val="004B021F"/>
    <w:rsid w:val="004B0D93"/>
    <w:rsid w:val="004B1FA4"/>
    <w:rsid w:val="004B29AC"/>
    <w:rsid w:val="004B35DF"/>
    <w:rsid w:val="004B3627"/>
    <w:rsid w:val="004B3B82"/>
    <w:rsid w:val="004B4922"/>
    <w:rsid w:val="004B4FB0"/>
    <w:rsid w:val="004B576A"/>
    <w:rsid w:val="004B57DF"/>
    <w:rsid w:val="004B5976"/>
    <w:rsid w:val="004B5BA3"/>
    <w:rsid w:val="004B6D85"/>
    <w:rsid w:val="004B722E"/>
    <w:rsid w:val="004B72E8"/>
    <w:rsid w:val="004B7371"/>
    <w:rsid w:val="004C01A5"/>
    <w:rsid w:val="004C0412"/>
    <w:rsid w:val="004C2138"/>
    <w:rsid w:val="004C2E44"/>
    <w:rsid w:val="004C3940"/>
    <w:rsid w:val="004C3F46"/>
    <w:rsid w:val="004C51FD"/>
    <w:rsid w:val="004C65A8"/>
    <w:rsid w:val="004C6689"/>
    <w:rsid w:val="004C679C"/>
    <w:rsid w:val="004C6DA6"/>
    <w:rsid w:val="004D139A"/>
    <w:rsid w:val="004D14DC"/>
    <w:rsid w:val="004D17C6"/>
    <w:rsid w:val="004D2858"/>
    <w:rsid w:val="004D35BA"/>
    <w:rsid w:val="004D38E5"/>
    <w:rsid w:val="004D3C5A"/>
    <w:rsid w:val="004D3EE6"/>
    <w:rsid w:val="004D449A"/>
    <w:rsid w:val="004D4701"/>
    <w:rsid w:val="004D47C7"/>
    <w:rsid w:val="004D4F35"/>
    <w:rsid w:val="004D5D45"/>
    <w:rsid w:val="004D618D"/>
    <w:rsid w:val="004D62A9"/>
    <w:rsid w:val="004D6FC3"/>
    <w:rsid w:val="004D7476"/>
    <w:rsid w:val="004D7716"/>
    <w:rsid w:val="004E02F2"/>
    <w:rsid w:val="004E0306"/>
    <w:rsid w:val="004E04B8"/>
    <w:rsid w:val="004E0572"/>
    <w:rsid w:val="004E1641"/>
    <w:rsid w:val="004E1818"/>
    <w:rsid w:val="004E1990"/>
    <w:rsid w:val="004E25A8"/>
    <w:rsid w:val="004E2EF8"/>
    <w:rsid w:val="004E3930"/>
    <w:rsid w:val="004E3ED9"/>
    <w:rsid w:val="004E5582"/>
    <w:rsid w:val="004E5866"/>
    <w:rsid w:val="004E6097"/>
    <w:rsid w:val="004E61EF"/>
    <w:rsid w:val="004E63C6"/>
    <w:rsid w:val="004E7472"/>
    <w:rsid w:val="004E76A7"/>
    <w:rsid w:val="004E7B03"/>
    <w:rsid w:val="004F0064"/>
    <w:rsid w:val="004F06AC"/>
    <w:rsid w:val="004F09EB"/>
    <w:rsid w:val="004F1522"/>
    <w:rsid w:val="004F1D2A"/>
    <w:rsid w:val="004F243F"/>
    <w:rsid w:val="004F252C"/>
    <w:rsid w:val="004F2FF5"/>
    <w:rsid w:val="004F36A3"/>
    <w:rsid w:val="004F3E0C"/>
    <w:rsid w:val="004F69AE"/>
    <w:rsid w:val="004F7160"/>
    <w:rsid w:val="00500096"/>
    <w:rsid w:val="00500258"/>
    <w:rsid w:val="00500B2D"/>
    <w:rsid w:val="0050103B"/>
    <w:rsid w:val="00501A99"/>
    <w:rsid w:val="00501AB0"/>
    <w:rsid w:val="00502E82"/>
    <w:rsid w:val="00503180"/>
    <w:rsid w:val="005038A4"/>
    <w:rsid w:val="00504DDD"/>
    <w:rsid w:val="00505450"/>
    <w:rsid w:val="005100B7"/>
    <w:rsid w:val="005113C9"/>
    <w:rsid w:val="00512050"/>
    <w:rsid w:val="00512055"/>
    <w:rsid w:val="0051280C"/>
    <w:rsid w:val="00512842"/>
    <w:rsid w:val="005128BE"/>
    <w:rsid w:val="0051356F"/>
    <w:rsid w:val="00513E7C"/>
    <w:rsid w:val="00513FC6"/>
    <w:rsid w:val="005140BB"/>
    <w:rsid w:val="00514FD9"/>
    <w:rsid w:val="0051520C"/>
    <w:rsid w:val="00515441"/>
    <w:rsid w:val="0051550A"/>
    <w:rsid w:val="00515B11"/>
    <w:rsid w:val="0051608F"/>
    <w:rsid w:val="00516E61"/>
    <w:rsid w:val="005177AD"/>
    <w:rsid w:val="00520EF8"/>
    <w:rsid w:val="005210F7"/>
    <w:rsid w:val="00521753"/>
    <w:rsid w:val="005224EE"/>
    <w:rsid w:val="00522879"/>
    <w:rsid w:val="00523BB1"/>
    <w:rsid w:val="005260CD"/>
    <w:rsid w:val="00526265"/>
    <w:rsid w:val="0052655D"/>
    <w:rsid w:val="005265E0"/>
    <w:rsid w:val="00526BC3"/>
    <w:rsid w:val="00530F34"/>
    <w:rsid w:val="00531761"/>
    <w:rsid w:val="0053248F"/>
    <w:rsid w:val="0053332A"/>
    <w:rsid w:val="0053358A"/>
    <w:rsid w:val="00534668"/>
    <w:rsid w:val="00534B36"/>
    <w:rsid w:val="00534DDD"/>
    <w:rsid w:val="00535291"/>
    <w:rsid w:val="00535A94"/>
    <w:rsid w:val="00537874"/>
    <w:rsid w:val="0053795F"/>
    <w:rsid w:val="00537F03"/>
    <w:rsid w:val="00540511"/>
    <w:rsid w:val="00540578"/>
    <w:rsid w:val="00540808"/>
    <w:rsid w:val="0054080E"/>
    <w:rsid w:val="00540EA1"/>
    <w:rsid w:val="00542BCE"/>
    <w:rsid w:val="0054358E"/>
    <w:rsid w:val="00543AF4"/>
    <w:rsid w:val="00544191"/>
    <w:rsid w:val="005448EC"/>
    <w:rsid w:val="00544F39"/>
    <w:rsid w:val="005451CA"/>
    <w:rsid w:val="00546F90"/>
    <w:rsid w:val="00547EFB"/>
    <w:rsid w:val="00552154"/>
    <w:rsid w:val="00552158"/>
    <w:rsid w:val="005522F2"/>
    <w:rsid w:val="00552C57"/>
    <w:rsid w:val="005531DF"/>
    <w:rsid w:val="00553874"/>
    <w:rsid w:val="00554AD8"/>
    <w:rsid w:val="00554F78"/>
    <w:rsid w:val="00555565"/>
    <w:rsid w:val="00555DA1"/>
    <w:rsid w:val="00556BF7"/>
    <w:rsid w:val="00557F60"/>
    <w:rsid w:val="005612CA"/>
    <w:rsid w:val="00561607"/>
    <w:rsid w:val="00561730"/>
    <w:rsid w:val="00561B97"/>
    <w:rsid w:val="00562149"/>
    <w:rsid w:val="00567868"/>
    <w:rsid w:val="00567B5D"/>
    <w:rsid w:val="00567C3F"/>
    <w:rsid w:val="00570757"/>
    <w:rsid w:val="00570D3C"/>
    <w:rsid w:val="0057148D"/>
    <w:rsid w:val="00573733"/>
    <w:rsid w:val="00573F8B"/>
    <w:rsid w:val="0057403A"/>
    <w:rsid w:val="00574554"/>
    <w:rsid w:val="00574E06"/>
    <w:rsid w:val="00574FCE"/>
    <w:rsid w:val="005751BB"/>
    <w:rsid w:val="00575CF1"/>
    <w:rsid w:val="00576089"/>
    <w:rsid w:val="005764B1"/>
    <w:rsid w:val="00576852"/>
    <w:rsid w:val="005769DA"/>
    <w:rsid w:val="00576D06"/>
    <w:rsid w:val="005779E4"/>
    <w:rsid w:val="00577AA5"/>
    <w:rsid w:val="005810ED"/>
    <w:rsid w:val="0058289C"/>
    <w:rsid w:val="005836C7"/>
    <w:rsid w:val="0058408E"/>
    <w:rsid w:val="00585374"/>
    <w:rsid w:val="005854CA"/>
    <w:rsid w:val="00585FAB"/>
    <w:rsid w:val="005865DC"/>
    <w:rsid w:val="005877AB"/>
    <w:rsid w:val="00590B77"/>
    <w:rsid w:val="00590D9A"/>
    <w:rsid w:val="005913A3"/>
    <w:rsid w:val="005940D4"/>
    <w:rsid w:val="00594747"/>
    <w:rsid w:val="00594A7B"/>
    <w:rsid w:val="005951AD"/>
    <w:rsid w:val="0059580E"/>
    <w:rsid w:val="00595D90"/>
    <w:rsid w:val="00596A6F"/>
    <w:rsid w:val="00596FCE"/>
    <w:rsid w:val="005A08BE"/>
    <w:rsid w:val="005A0F60"/>
    <w:rsid w:val="005A11BC"/>
    <w:rsid w:val="005A1525"/>
    <w:rsid w:val="005A1E17"/>
    <w:rsid w:val="005A223D"/>
    <w:rsid w:val="005A252B"/>
    <w:rsid w:val="005A2618"/>
    <w:rsid w:val="005A3204"/>
    <w:rsid w:val="005A3341"/>
    <w:rsid w:val="005A3C3D"/>
    <w:rsid w:val="005A46EC"/>
    <w:rsid w:val="005A55C8"/>
    <w:rsid w:val="005A5EAE"/>
    <w:rsid w:val="005A6407"/>
    <w:rsid w:val="005A67A5"/>
    <w:rsid w:val="005B07EC"/>
    <w:rsid w:val="005B0B27"/>
    <w:rsid w:val="005B2B11"/>
    <w:rsid w:val="005B32A4"/>
    <w:rsid w:val="005B3BAF"/>
    <w:rsid w:val="005B4DA3"/>
    <w:rsid w:val="005B5BEE"/>
    <w:rsid w:val="005B6D43"/>
    <w:rsid w:val="005B71F5"/>
    <w:rsid w:val="005B77D2"/>
    <w:rsid w:val="005C019B"/>
    <w:rsid w:val="005C057F"/>
    <w:rsid w:val="005C162D"/>
    <w:rsid w:val="005C1AED"/>
    <w:rsid w:val="005C264C"/>
    <w:rsid w:val="005C30F5"/>
    <w:rsid w:val="005C3600"/>
    <w:rsid w:val="005C51A5"/>
    <w:rsid w:val="005C557A"/>
    <w:rsid w:val="005C5C47"/>
    <w:rsid w:val="005C61DD"/>
    <w:rsid w:val="005C6438"/>
    <w:rsid w:val="005C6B8B"/>
    <w:rsid w:val="005C727F"/>
    <w:rsid w:val="005C73B0"/>
    <w:rsid w:val="005D0069"/>
    <w:rsid w:val="005D02E3"/>
    <w:rsid w:val="005D0FBF"/>
    <w:rsid w:val="005D1F34"/>
    <w:rsid w:val="005D2C1F"/>
    <w:rsid w:val="005D34B2"/>
    <w:rsid w:val="005D3B54"/>
    <w:rsid w:val="005D40CD"/>
    <w:rsid w:val="005D63BA"/>
    <w:rsid w:val="005D6B59"/>
    <w:rsid w:val="005D75DE"/>
    <w:rsid w:val="005D76E9"/>
    <w:rsid w:val="005D784B"/>
    <w:rsid w:val="005E03E4"/>
    <w:rsid w:val="005E0454"/>
    <w:rsid w:val="005E05F6"/>
    <w:rsid w:val="005E0E30"/>
    <w:rsid w:val="005E2442"/>
    <w:rsid w:val="005E3111"/>
    <w:rsid w:val="005E37A6"/>
    <w:rsid w:val="005E3F85"/>
    <w:rsid w:val="005E57B0"/>
    <w:rsid w:val="005E5B01"/>
    <w:rsid w:val="005E6D3B"/>
    <w:rsid w:val="005F009E"/>
    <w:rsid w:val="005F0DF1"/>
    <w:rsid w:val="005F1516"/>
    <w:rsid w:val="005F229E"/>
    <w:rsid w:val="005F2564"/>
    <w:rsid w:val="005F3822"/>
    <w:rsid w:val="005F4635"/>
    <w:rsid w:val="005F4900"/>
    <w:rsid w:val="005F4E52"/>
    <w:rsid w:val="005F5B2B"/>
    <w:rsid w:val="005F7383"/>
    <w:rsid w:val="005F74F8"/>
    <w:rsid w:val="005F7C78"/>
    <w:rsid w:val="005F7E5E"/>
    <w:rsid w:val="0060058E"/>
    <w:rsid w:val="006010A8"/>
    <w:rsid w:val="00602A3C"/>
    <w:rsid w:val="00603EFD"/>
    <w:rsid w:val="0060475B"/>
    <w:rsid w:val="00604FB6"/>
    <w:rsid w:val="00605387"/>
    <w:rsid w:val="00606302"/>
    <w:rsid w:val="006076FD"/>
    <w:rsid w:val="00607E60"/>
    <w:rsid w:val="0061143F"/>
    <w:rsid w:val="006114D8"/>
    <w:rsid w:val="00613300"/>
    <w:rsid w:val="00613553"/>
    <w:rsid w:val="00613601"/>
    <w:rsid w:val="00613791"/>
    <w:rsid w:val="00613D63"/>
    <w:rsid w:val="006150D6"/>
    <w:rsid w:val="00615245"/>
    <w:rsid w:val="0061590D"/>
    <w:rsid w:val="006169EF"/>
    <w:rsid w:val="00617EEE"/>
    <w:rsid w:val="00620169"/>
    <w:rsid w:val="0062088A"/>
    <w:rsid w:val="006208E8"/>
    <w:rsid w:val="00620936"/>
    <w:rsid w:val="00620A1F"/>
    <w:rsid w:val="0062169D"/>
    <w:rsid w:val="0062181E"/>
    <w:rsid w:val="00621B05"/>
    <w:rsid w:val="00622BB7"/>
    <w:rsid w:val="00622C1E"/>
    <w:rsid w:val="00623389"/>
    <w:rsid w:val="00623DAA"/>
    <w:rsid w:val="00623F25"/>
    <w:rsid w:val="00623FAF"/>
    <w:rsid w:val="00626192"/>
    <w:rsid w:val="006265C4"/>
    <w:rsid w:val="0062673C"/>
    <w:rsid w:val="0062678A"/>
    <w:rsid w:val="00626890"/>
    <w:rsid w:val="006270AF"/>
    <w:rsid w:val="00627354"/>
    <w:rsid w:val="00633292"/>
    <w:rsid w:val="00634367"/>
    <w:rsid w:val="00634554"/>
    <w:rsid w:val="006363E7"/>
    <w:rsid w:val="00636ABB"/>
    <w:rsid w:val="00640082"/>
    <w:rsid w:val="00640291"/>
    <w:rsid w:val="00640EFE"/>
    <w:rsid w:val="00641D6D"/>
    <w:rsid w:val="00641FAC"/>
    <w:rsid w:val="00643664"/>
    <w:rsid w:val="00643CAA"/>
    <w:rsid w:val="00644F16"/>
    <w:rsid w:val="006455EB"/>
    <w:rsid w:val="006456C2"/>
    <w:rsid w:val="00645AD8"/>
    <w:rsid w:val="00645D4E"/>
    <w:rsid w:val="006477F0"/>
    <w:rsid w:val="006478E4"/>
    <w:rsid w:val="00647B2E"/>
    <w:rsid w:val="00650F4F"/>
    <w:rsid w:val="0065171A"/>
    <w:rsid w:val="00651F73"/>
    <w:rsid w:val="00652680"/>
    <w:rsid w:val="00653CDE"/>
    <w:rsid w:val="00654155"/>
    <w:rsid w:val="00654585"/>
    <w:rsid w:val="00655109"/>
    <w:rsid w:val="00655AB6"/>
    <w:rsid w:val="0065636A"/>
    <w:rsid w:val="00657003"/>
    <w:rsid w:val="00660238"/>
    <w:rsid w:val="006602EF"/>
    <w:rsid w:val="00661277"/>
    <w:rsid w:val="006619E0"/>
    <w:rsid w:val="00661C58"/>
    <w:rsid w:val="00663ABA"/>
    <w:rsid w:val="00663FEA"/>
    <w:rsid w:val="00664803"/>
    <w:rsid w:val="006657C5"/>
    <w:rsid w:val="006661A4"/>
    <w:rsid w:val="00666AC0"/>
    <w:rsid w:val="006670E0"/>
    <w:rsid w:val="006671B8"/>
    <w:rsid w:val="00667275"/>
    <w:rsid w:val="00667532"/>
    <w:rsid w:val="0066783E"/>
    <w:rsid w:val="00667E53"/>
    <w:rsid w:val="0067065D"/>
    <w:rsid w:val="006713AB"/>
    <w:rsid w:val="006723C6"/>
    <w:rsid w:val="00672882"/>
    <w:rsid w:val="00672CA5"/>
    <w:rsid w:val="00673711"/>
    <w:rsid w:val="00673F82"/>
    <w:rsid w:val="00674A23"/>
    <w:rsid w:val="00674F74"/>
    <w:rsid w:val="0067508F"/>
    <w:rsid w:val="00676E0E"/>
    <w:rsid w:val="00677576"/>
    <w:rsid w:val="006802D2"/>
    <w:rsid w:val="0068051E"/>
    <w:rsid w:val="00680B9D"/>
    <w:rsid w:val="00681F13"/>
    <w:rsid w:val="0068231C"/>
    <w:rsid w:val="00682344"/>
    <w:rsid w:val="00682F28"/>
    <w:rsid w:val="00684842"/>
    <w:rsid w:val="006859AA"/>
    <w:rsid w:val="00685BD6"/>
    <w:rsid w:val="00687116"/>
    <w:rsid w:val="006878A6"/>
    <w:rsid w:val="00687D5F"/>
    <w:rsid w:val="00690437"/>
    <w:rsid w:val="00690DC3"/>
    <w:rsid w:val="00690E65"/>
    <w:rsid w:val="006911B7"/>
    <w:rsid w:val="00691387"/>
    <w:rsid w:val="0069188E"/>
    <w:rsid w:val="00691974"/>
    <w:rsid w:val="006928DE"/>
    <w:rsid w:val="00692BF6"/>
    <w:rsid w:val="00692CE6"/>
    <w:rsid w:val="00693186"/>
    <w:rsid w:val="00693B6C"/>
    <w:rsid w:val="006942AE"/>
    <w:rsid w:val="00695421"/>
    <w:rsid w:val="00695C40"/>
    <w:rsid w:val="00697BD3"/>
    <w:rsid w:val="00697DFA"/>
    <w:rsid w:val="006A0954"/>
    <w:rsid w:val="006A0A9F"/>
    <w:rsid w:val="006A16D5"/>
    <w:rsid w:val="006A1772"/>
    <w:rsid w:val="006A1780"/>
    <w:rsid w:val="006A21DD"/>
    <w:rsid w:val="006A26C6"/>
    <w:rsid w:val="006A3B28"/>
    <w:rsid w:val="006A4BA8"/>
    <w:rsid w:val="006A4DA7"/>
    <w:rsid w:val="006A4FEE"/>
    <w:rsid w:val="006A6A7D"/>
    <w:rsid w:val="006A703E"/>
    <w:rsid w:val="006A746E"/>
    <w:rsid w:val="006A7BE3"/>
    <w:rsid w:val="006A7D32"/>
    <w:rsid w:val="006B01D1"/>
    <w:rsid w:val="006B0CFF"/>
    <w:rsid w:val="006B16EA"/>
    <w:rsid w:val="006B1780"/>
    <w:rsid w:val="006B1FF4"/>
    <w:rsid w:val="006B224E"/>
    <w:rsid w:val="006B309C"/>
    <w:rsid w:val="006B376E"/>
    <w:rsid w:val="006B4589"/>
    <w:rsid w:val="006B4D94"/>
    <w:rsid w:val="006B610E"/>
    <w:rsid w:val="006B6805"/>
    <w:rsid w:val="006B6DE0"/>
    <w:rsid w:val="006C16C3"/>
    <w:rsid w:val="006C1CA4"/>
    <w:rsid w:val="006C2187"/>
    <w:rsid w:val="006C2F31"/>
    <w:rsid w:val="006C32F4"/>
    <w:rsid w:val="006C366F"/>
    <w:rsid w:val="006C3C54"/>
    <w:rsid w:val="006C4709"/>
    <w:rsid w:val="006C4F9F"/>
    <w:rsid w:val="006C71A2"/>
    <w:rsid w:val="006C73EC"/>
    <w:rsid w:val="006D0C1D"/>
    <w:rsid w:val="006D2E9D"/>
    <w:rsid w:val="006D3068"/>
    <w:rsid w:val="006D34B2"/>
    <w:rsid w:val="006D4A4E"/>
    <w:rsid w:val="006D4C42"/>
    <w:rsid w:val="006D50FA"/>
    <w:rsid w:val="006D5713"/>
    <w:rsid w:val="006D5809"/>
    <w:rsid w:val="006D607E"/>
    <w:rsid w:val="006D6E12"/>
    <w:rsid w:val="006D70CB"/>
    <w:rsid w:val="006D715C"/>
    <w:rsid w:val="006D7363"/>
    <w:rsid w:val="006D774E"/>
    <w:rsid w:val="006E0227"/>
    <w:rsid w:val="006E0754"/>
    <w:rsid w:val="006E2668"/>
    <w:rsid w:val="006E2D39"/>
    <w:rsid w:val="006E32B0"/>
    <w:rsid w:val="006E348E"/>
    <w:rsid w:val="006E396A"/>
    <w:rsid w:val="006E3D63"/>
    <w:rsid w:val="006E58BF"/>
    <w:rsid w:val="006E5DD8"/>
    <w:rsid w:val="006E5EA1"/>
    <w:rsid w:val="006E62F2"/>
    <w:rsid w:val="006E6DEE"/>
    <w:rsid w:val="006E7506"/>
    <w:rsid w:val="006E7C68"/>
    <w:rsid w:val="006E7D4B"/>
    <w:rsid w:val="006F0760"/>
    <w:rsid w:val="006F11E2"/>
    <w:rsid w:val="006F2574"/>
    <w:rsid w:val="006F3231"/>
    <w:rsid w:val="006F3DE3"/>
    <w:rsid w:val="006F4787"/>
    <w:rsid w:val="006F4D14"/>
    <w:rsid w:val="006F52C9"/>
    <w:rsid w:val="006F61D8"/>
    <w:rsid w:val="006F62B7"/>
    <w:rsid w:val="006F6596"/>
    <w:rsid w:val="006F70BC"/>
    <w:rsid w:val="006F7E7C"/>
    <w:rsid w:val="0070174E"/>
    <w:rsid w:val="007018DB"/>
    <w:rsid w:val="00701DE6"/>
    <w:rsid w:val="0070381B"/>
    <w:rsid w:val="0070524E"/>
    <w:rsid w:val="007071F5"/>
    <w:rsid w:val="0070796C"/>
    <w:rsid w:val="00710945"/>
    <w:rsid w:val="00710EBF"/>
    <w:rsid w:val="0071101D"/>
    <w:rsid w:val="007110B8"/>
    <w:rsid w:val="007117F7"/>
    <w:rsid w:val="0071209F"/>
    <w:rsid w:val="007125A2"/>
    <w:rsid w:val="00713F79"/>
    <w:rsid w:val="007148A8"/>
    <w:rsid w:val="00715F12"/>
    <w:rsid w:val="00716AC8"/>
    <w:rsid w:val="00716E54"/>
    <w:rsid w:val="0072018C"/>
    <w:rsid w:val="0072033C"/>
    <w:rsid w:val="00720B1B"/>
    <w:rsid w:val="00721062"/>
    <w:rsid w:val="00721E5D"/>
    <w:rsid w:val="007229D4"/>
    <w:rsid w:val="007230F8"/>
    <w:rsid w:val="007233F4"/>
    <w:rsid w:val="00724044"/>
    <w:rsid w:val="007248D3"/>
    <w:rsid w:val="00724D7D"/>
    <w:rsid w:val="00725137"/>
    <w:rsid w:val="00725378"/>
    <w:rsid w:val="007277E4"/>
    <w:rsid w:val="00727A43"/>
    <w:rsid w:val="00727A46"/>
    <w:rsid w:val="00727CF7"/>
    <w:rsid w:val="00727FF2"/>
    <w:rsid w:val="00730550"/>
    <w:rsid w:val="0073117C"/>
    <w:rsid w:val="00731434"/>
    <w:rsid w:val="007323E0"/>
    <w:rsid w:val="00732911"/>
    <w:rsid w:val="00732B97"/>
    <w:rsid w:val="00733721"/>
    <w:rsid w:val="00733883"/>
    <w:rsid w:val="00733DE2"/>
    <w:rsid w:val="007352EA"/>
    <w:rsid w:val="00735EBD"/>
    <w:rsid w:val="007369C1"/>
    <w:rsid w:val="0073792F"/>
    <w:rsid w:val="00740B08"/>
    <w:rsid w:val="00740C81"/>
    <w:rsid w:val="00740DA6"/>
    <w:rsid w:val="0074186E"/>
    <w:rsid w:val="00741B4B"/>
    <w:rsid w:val="00741D1E"/>
    <w:rsid w:val="00741DD6"/>
    <w:rsid w:val="00741EE2"/>
    <w:rsid w:val="0074207F"/>
    <w:rsid w:val="00742367"/>
    <w:rsid w:val="00742BDF"/>
    <w:rsid w:val="00742EAA"/>
    <w:rsid w:val="00743360"/>
    <w:rsid w:val="00743818"/>
    <w:rsid w:val="00743857"/>
    <w:rsid w:val="007441FB"/>
    <w:rsid w:val="00744517"/>
    <w:rsid w:val="0074522A"/>
    <w:rsid w:val="00746E2D"/>
    <w:rsid w:val="00747295"/>
    <w:rsid w:val="00747829"/>
    <w:rsid w:val="00747DE2"/>
    <w:rsid w:val="007504BF"/>
    <w:rsid w:val="007506CD"/>
    <w:rsid w:val="0075267F"/>
    <w:rsid w:val="007526EC"/>
    <w:rsid w:val="00753BA5"/>
    <w:rsid w:val="00753C48"/>
    <w:rsid w:val="00754250"/>
    <w:rsid w:val="00754FE4"/>
    <w:rsid w:val="00755216"/>
    <w:rsid w:val="00756236"/>
    <w:rsid w:val="00756271"/>
    <w:rsid w:val="00756348"/>
    <w:rsid w:val="00756521"/>
    <w:rsid w:val="00756AB7"/>
    <w:rsid w:val="00756D07"/>
    <w:rsid w:val="0076106D"/>
    <w:rsid w:val="0076113A"/>
    <w:rsid w:val="0076156E"/>
    <w:rsid w:val="0076166D"/>
    <w:rsid w:val="007623FB"/>
    <w:rsid w:val="00762517"/>
    <w:rsid w:val="00763240"/>
    <w:rsid w:val="0076376A"/>
    <w:rsid w:val="00763C36"/>
    <w:rsid w:val="007648AD"/>
    <w:rsid w:val="0076504E"/>
    <w:rsid w:val="0076662A"/>
    <w:rsid w:val="00767BFD"/>
    <w:rsid w:val="00767EA0"/>
    <w:rsid w:val="0077068F"/>
    <w:rsid w:val="00771029"/>
    <w:rsid w:val="00771349"/>
    <w:rsid w:val="00771EDF"/>
    <w:rsid w:val="00772F8D"/>
    <w:rsid w:val="007738E7"/>
    <w:rsid w:val="0077408D"/>
    <w:rsid w:val="00774270"/>
    <w:rsid w:val="007743F6"/>
    <w:rsid w:val="00775679"/>
    <w:rsid w:val="0077574F"/>
    <w:rsid w:val="00775823"/>
    <w:rsid w:val="0077638D"/>
    <w:rsid w:val="00777B32"/>
    <w:rsid w:val="0078051E"/>
    <w:rsid w:val="00781089"/>
    <w:rsid w:val="00782F6A"/>
    <w:rsid w:val="007838F3"/>
    <w:rsid w:val="007856FE"/>
    <w:rsid w:val="00785F46"/>
    <w:rsid w:val="007865F4"/>
    <w:rsid w:val="00786AF9"/>
    <w:rsid w:val="00786D5C"/>
    <w:rsid w:val="00786E96"/>
    <w:rsid w:val="00787546"/>
    <w:rsid w:val="00787DFF"/>
    <w:rsid w:val="00787F93"/>
    <w:rsid w:val="007903EB"/>
    <w:rsid w:val="00791E6D"/>
    <w:rsid w:val="00791EB5"/>
    <w:rsid w:val="0079287A"/>
    <w:rsid w:val="007932F9"/>
    <w:rsid w:val="00793696"/>
    <w:rsid w:val="0079556E"/>
    <w:rsid w:val="00795602"/>
    <w:rsid w:val="00796F65"/>
    <w:rsid w:val="007A0DEE"/>
    <w:rsid w:val="007A11C2"/>
    <w:rsid w:val="007A18BB"/>
    <w:rsid w:val="007A27DD"/>
    <w:rsid w:val="007A3773"/>
    <w:rsid w:val="007A41BF"/>
    <w:rsid w:val="007A490A"/>
    <w:rsid w:val="007A7B95"/>
    <w:rsid w:val="007B0297"/>
    <w:rsid w:val="007B02FA"/>
    <w:rsid w:val="007B06C8"/>
    <w:rsid w:val="007B0F53"/>
    <w:rsid w:val="007B21AE"/>
    <w:rsid w:val="007B2570"/>
    <w:rsid w:val="007B2D7F"/>
    <w:rsid w:val="007B3113"/>
    <w:rsid w:val="007B3304"/>
    <w:rsid w:val="007B7490"/>
    <w:rsid w:val="007C0525"/>
    <w:rsid w:val="007C0E3D"/>
    <w:rsid w:val="007C1102"/>
    <w:rsid w:val="007C13F7"/>
    <w:rsid w:val="007C218D"/>
    <w:rsid w:val="007C2D28"/>
    <w:rsid w:val="007C3E22"/>
    <w:rsid w:val="007C6093"/>
    <w:rsid w:val="007C6218"/>
    <w:rsid w:val="007C6237"/>
    <w:rsid w:val="007C6484"/>
    <w:rsid w:val="007C67C6"/>
    <w:rsid w:val="007C74F6"/>
    <w:rsid w:val="007C78BE"/>
    <w:rsid w:val="007C7E59"/>
    <w:rsid w:val="007D0476"/>
    <w:rsid w:val="007D0B91"/>
    <w:rsid w:val="007D1452"/>
    <w:rsid w:val="007D460C"/>
    <w:rsid w:val="007D4996"/>
    <w:rsid w:val="007D4AD3"/>
    <w:rsid w:val="007D528C"/>
    <w:rsid w:val="007D5777"/>
    <w:rsid w:val="007D5D19"/>
    <w:rsid w:val="007D5FDC"/>
    <w:rsid w:val="007D6176"/>
    <w:rsid w:val="007D6D68"/>
    <w:rsid w:val="007D6F06"/>
    <w:rsid w:val="007E090B"/>
    <w:rsid w:val="007E32DA"/>
    <w:rsid w:val="007E4998"/>
    <w:rsid w:val="007E4A9C"/>
    <w:rsid w:val="007E578F"/>
    <w:rsid w:val="007E6914"/>
    <w:rsid w:val="007E70D1"/>
    <w:rsid w:val="007E7F78"/>
    <w:rsid w:val="007F0179"/>
    <w:rsid w:val="007F2C13"/>
    <w:rsid w:val="007F2CEC"/>
    <w:rsid w:val="007F3435"/>
    <w:rsid w:val="007F55DE"/>
    <w:rsid w:val="007F5B9E"/>
    <w:rsid w:val="007F60A8"/>
    <w:rsid w:val="007F7466"/>
    <w:rsid w:val="007F762D"/>
    <w:rsid w:val="007F78F0"/>
    <w:rsid w:val="007F78FF"/>
    <w:rsid w:val="008001C5"/>
    <w:rsid w:val="00800C7A"/>
    <w:rsid w:val="00800F6C"/>
    <w:rsid w:val="00801065"/>
    <w:rsid w:val="00802C0B"/>
    <w:rsid w:val="0080367C"/>
    <w:rsid w:val="008051FC"/>
    <w:rsid w:val="008055A9"/>
    <w:rsid w:val="008056C4"/>
    <w:rsid w:val="00805D8B"/>
    <w:rsid w:val="00807B8A"/>
    <w:rsid w:val="00810E8E"/>
    <w:rsid w:val="008118B2"/>
    <w:rsid w:val="00812C44"/>
    <w:rsid w:val="00813307"/>
    <w:rsid w:val="0081344A"/>
    <w:rsid w:val="008135E1"/>
    <w:rsid w:val="00813779"/>
    <w:rsid w:val="00813E26"/>
    <w:rsid w:val="0081481D"/>
    <w:rsid w:val="00814BE8"/>
    <w:rsid w:val="00814F6E"/>
    <w:rsid w:val="00815B84"/>
    <w:rsid w:val="0081639D"/>
    <w:rsid w:val="00816BE9"/>
    <w:rsid w:val="00820589"/>
    <w:rsid w:val="0082131E"/>
    <w:rsid w:val="00822518"/>
    <w:rsid w:val="00822641"/>
    <w:rsid w:val="00822667"/>
    <w:rsid w:val="008226F5"/>
    <w:rsid w:val="00822FA3"/>
    <w:rsid w:val="00823FC6"/>
    <w:rsid w:val="00824306"/>
    <w:rsid w:val="00825C74"/>
    <w:rsid w:val="00825CFA"/>
    <w:rsid w:val="00826AB9"/>
    <w:rsid w:val="00826D94"/>
    <w:rsid w:val="00826E0E"/>
    <w:rsid w:val="008270E3"/>
    <w:rsid w:val="00827433"/>
    <w:rsid w:val="00827B5E"/>
    <w:rsid w:val="00827D11"/>
    <w:rsid w:val="00827E0F"/>
    <w:rsid w:val="00827F6E"/>
    <w:rsid w:val="00831758"/>
    <w:rsid w:val="008317D9"/>
    <w:rsid w:val="0083279F"/>
    <w:rsid w:val="008334DB"/>
    <w:rsid w:val="008335F2"/>
    <w:rsid w:val="00833B7F"/>
    <w:rsid w:val="00834906"/>
    <w:rsid w:val="00834E2B"/>
    <w:rsid w:val="00836075"/>
    <w:rsid w:val="00836417"/>
    <w:rsid w:val="00837526"/>
    <w:rsid w:val="008407A7"/>
    <w:rsid w:val="0084322B"/>
    <w:rsid w:val="00843F81"/>
    <w:rsid w:val="00844087"/>
    <w:rsid w:val="00844215"/>
    <w:rsid w:val="008448F1"/>
    <w:rsid w:val="0084519E"/>
    <w:rsid w:val="00845CAE"/>
    <w:rsid w:val="00846370"/>
    <w:rsid w:val="00846F87"/>
    <w:rsid w:val="008477E7"/>
    <w:rsid w:val="00847AB4"/>
    <w:rsid w:val="00847C2B"/>
    <w:rsid w:val="00850033"/>
    <w:rsid w:val="008506B9"/>
    <w:rsid w:val="00851822"/>
    <w:rsid w:val="008532BF"/>
    <w:rsid w:val="00853641"/>
    <w:rsid w:val="008539B2"/>
    <w:rsid w:val="00853BF4"/>
    <w:rsid w:val="00854294"/>
    <w:rsid w:val="00854D77"/>
    <w:rsid w:val="0085572E"/>
    <w:rsid w:val="00855F46"/>
    <w:rsid w:val="0085649E"/>
    <w:rsid w:val="0085788B"/>
    <w:rsid w:val="00857A9E"/>
    <w:rsid w:val="00857DE2"/>
    <w:rsid w:val="00860008"/>
    <w:rsid w:val="008616E9"/>
    <w:rsid w:val="00861ACA"/>
    <w:rsid w:val="00862F84"/>
    <w:rsid w:val="00863A8E"/>
    <w:rsid w:val="0086407F"/>
    <w:rsid w:val="008645E3"/>
    <w:rsid w:val="00864E79"/>
    <w:rsid w:val="0086661F"/>
    <w:rsid w:val="00866A0D"/>
    <w:rsid w:val="00866DB5"/>
    <w:rsid w:val="0086701D"/>
    <w:rsid w:val="0086702B"/>
    <w:rsid w:val="00867166"/>
    <w:rsid w:val="008672E2"/>
    <w:rsid w:val="00867424"/>
    <w:rsid w:val="0086784E"/>
    <w:rsid w:val="0087059D"/>
    <w:rsid w:val="0087121C"/>
    <w:rsid w:val="00872084"/>
    <w:rsid w:val="00872827"/>
    <w:rsid w:val="00872A32"/>
    <w:rsid w:val="00874911"/>
    <w:rsid w:val="008754E4"/>
    <w:rsid w:val="0087613B"/>
    <w:rsid w:val="00876EAE"/>
    <w:rsid w:val="00880106"/>
    <w:rsid w:val="00880F95"/>
    <w:rsid w:val="008821DB"/>
    <w:rsid w:val="00882B44"/>
    <w:rsid w:val="008838AD"/>
    <w:rsid w:val="00884A1B"/>
    <w:rsid w:val="00885A9F"/>
    <w:rsid w:val="008864B3"/>
    <w:rsid w:val="008865E5"/>
    <w:rsid w:val="008871B0"/>
    <w:rsid w:val="00890B57"/>
    <w:rsid w:val="00890B73"/>
    <w:rsid w:val="00891441"/>
    <w:rsid w:val="008916BA"/>
    <w:rsid w:val="0089217C"/>
    <w:rsid w:val="00892790"/>
    <w:rsid w:val="00893671"/>
    <w:rsid w:val="008937CA"/>
    <w:rsid w:val="00895838"/>
    <w:rsid w:val="00895A1E"/>
    <w:rsid w:val="00895A72"/>
    <w:rsid w:val="00895CDF"/>
    <w:rsid w:val="00896679"/>
    <w:rsid w:val="00896D1E"/>
    <w:rsid w:val="00896D8C"/>
    <w:rsid w:val="008A0FC9"/>
    <w:rsid w:val="008A1956"/>
    <w:rsid w:val="008A1A7C"/>
    <w:rsid w:val="008A2CE2"/>
    <w:rsid w:val="008A3095"/>
    <w:rsid w:val="008A3D30"/>
    <w:rsid w:val="008A40D3"/>
    <w:rsid w:val="008A469C"/>
    <w:rsid w:val="008A4A96"/>
    <w:rsid w:val="008A51D1"/>
    <w:rsid w:val="008A5DCE"/>
    <w:rsid w:val="008A729E"/>
    <w:rsid w:val="008A75D3"/>
    <w:rsid w:val="008A763D"/>
    <w:rsid w:val="008B05DD"/>
    <w:rsid w:val="008B0DF2"/>
    <w:rsid w:val="008B17E8"/>
    <w:rsid w:val="008B2E7C"/>
    <w:rsid w:val="008B45F0"/>
    <w:rsid w:val="008B4A70"/>
    <w:rsid w:val="008B502F"/>
    <w:rsid w:val="008B5857"/>
    <w:rsid w:val="008B5A30"/>
    <w:rsid w:val="008B6DFC"/>
    <w:rsid w:val="008B7227"/>
    <w:rsid w:val="008B78A1"/>
    <w:rsid w:val="008C04A7"/>
    <w:rsid w:val="008C04E0"/>
    <w:rsid w:val="008C191C"/>
    <w:rsid w:val="008C1DA4"/>
    <w:rsid w:val="008C22A1"/>
    <w:rsid w:val="008C29B0"/>
    <w:rsid w:val="008C2CD5"/>
    <w:rsid w:val="008C3618"/>
    <w:rsid w:val="008C40FA"/>
    <w:rsid w:val="008C43AD"/>
    <w:rsid w:val="008C6118"/>
    <w:rsid w:val="008C6341"/>
    <w:rsid w:val="008C6EE0"/>
    <w:rsid w:val="008C72E3"/>
    <w:rsid w:val="008C731F"/>
    <w:rsid w:val="008C74D9"/>
    <w:rsid w:val="008C762D"/>
    <w:rsid w:val="008C7E69"/>
    <w:rsid w:val="008D0A46"/>
    <w:rsid w:val="008D21EA"/>
    <w:rsid w:val="008D3B2D"/>
    <w:rsid w:val="008D58D9"/>
    <w:rsid w:val="008D5AD4"/>
    <w:rsid w:val="008D6DD5"/>
    <w:rsid w:val="008D6E59"/>
    <w:rsid w:val="008D7155"/>
    <w:rsid w:val="008D72CE"/>
    <w:rsid w:val="008E0B29"/>
    <w:rsid w:val="008E141A"/>
    <w:rsid w:val="008E1A44"/>
    <w:rsid w:val="008E28E6"/>
    <w:rsid w:val="008E3232"/>
    <w:rsid w:val="008E3674"/>
    <w:rsid w:val="008E3B6C"/>
    <w:rsid w:val="008E4107"/>
    <w:rsid w:val="008E4282"/>
    <w:rsid w:val="008E562C"/>
    <w:rsid w:val="008E5929"/>
    <w:rsid w:val="008E5A3B"/>
    <w:rsid w:val="008E5B6B"/>
    <w:rsid w:val="008E6217"/>
    <w:rsid w:val="008E6B79"/>
    <w:rsid w:val="008E77D4"/>
    <w:rsid w:val="008E7ADD"/>
    <w:rsid w:val="008F091F"/>
    <w:rsid w:val="008F17B2"/>
    <w:rsid w:val="008F22B3"/>
    <w:rsid w:val="008F22E4"/>
    <w:rsid w:val="008F357B"/>
    <w:rsid w:val="008F4100"/>
    <w:rsid w:val="008F44CA"/>
    <w:rsid w:val="008F49D3"/>
    <w:rsid w:val="008F4D7B"/>
    <w:rsid w:val="008F5FC0"/>
    <w:rsid w:val="008F6519"/>
    <w:rsid w:val="008F7012"/>
    <w:rsid w:val="008F707A"/>
    <w:rsid w:val="008F7ADA"/>
    <w:rsid w:val="008F7B17"/>
    <w:rsid w:val="00900042"/>
    <w:rsid w:val="0090034B"/>
    <w:rsid w:val="00901806"/>
    <w:rsid w:val="00902623"/>
    <w:rsid w:val="00902A67"/>
    <w:rsid w:val="009041FC"/>
    <w:rsid w:val="00904BE4"/>
    <w:rsid w:val="0090504A"/>
    <w:rsid w:val="009051F5"/>
    <w:rsid w:val="00905221"/>
    <w:rsid w:val="00905A7C"/>
    <w:rsid w:val="00905D7E"/>
    <w:rsid w:val="00907037"/>
    <w:rsid w:val="00910A87"/>
    <w:rsid w:val="0091112C"/>
    <w:rsid w:val="0091160A"/>
    <w:rsid w:val="00912BEA"/>
    <w:rsid w:val="00912E04"/>
    <w:rsid w:val="00913258"/>
    <w:rsid w:val="00913461"/>
    <w:rsid w:val="0091380C"/>
    <w:rsid w:val="009139D4"/>
    <w:rsid w:val="00913BB0"/>
    <w:rsid w:val="0091456C"/>
    <w:rsid w:val="00914B8F"/>
    <w:rsid w:val="00914C58"/>
    <w:rsid w:val="009151F3"/>
    <w:rsid w:val="0091564D"/>
    <w:rsid w:val="009156DA"/>
    <w:rsid w:val="00915774"/>
    <w:rsid w:val="00916BC5"/>
    <w:rsid w:val="0091726A"/>
    <w:rsid w:val="00917C01"/>
    <w:rsid w:val="00920184"/>
    <w:rsid w:val="00920EA4"/>
    <w:rsid w:val="00921792"/>
    <w:rsid w:val="00921BEA"/>
    <w:rsid w:val="00922120"/>
    <w:rsid w:val="00922BA2"/>
    <w:rsid w:val="009238FD"/>
    <w:rsid w:val="00923998"/>
    <w:rsid w:val="00923DB4"/>
    <w:rsid w:val="0092405F"/>
    <w:rsid w:val="0092420B"/>
    <w:rsid w:val="0092430E"/>
    <w:rsid w:val="00924AC5"/>
    <w:rsid w:val="00926112"/>
    <w:rsid w:val="0092625F"/>
    <w:rsid w:val="009268B9"/>
    <w:rsid w:val="00926B28"/>
    <w:rsid w:val="00926D9C"/>
    <w:rsid w:val="00927028"/>
    <w:rsid w:val="00927763"/>
    <w:rsid w:val="00927A2D"/>
    <w:rsid w:val="00927B37"/>
    <w:rsid w:val="00927BF8"/>
    <w:rsid w:val="009321B1"/>
    <w:rsid w:val="00932ED7"/>
    <w:rsid w:val="009339A3"/>
    <w:rsid w:val="0093422D"/>
    <w:rsid w:val="0093483B"/>
    <w:rsid w:val="00934B1F"/>
    <w:rsid w:val="00934CF9"/>
    <w:rsid w:val="00934DD7"/>
    <w:rsid w:val="009363BC"/>
    <w:rsid w:val="009369A9"/>
    <w:rsid w:val="00936CF7"/>
    <w:rsid w:val="00937783"/>
    <w:rsid w:val="00937EAD"/>
    <w:rsid w:val="00937F28"/>
    <w:rsid w:val="00940FE1"/>
    <w:rsid w:val="00941095"/>
    <w:rsid w:val="00942306"/>
    <w:rsid w:val="009424B8"/>
    <w:rsid w:val="00944668"/>
    <w:rsid w:val="00944DC6"/>
    <w:rsid w:val="009458B0"/>
    <w:rsid w:val="00945B52"/>
    <w:rsid w:val="00945B7A"/>
    <w:rsid w:val="00945F05"/>
    <w:rsid w:val="00946348"/>
    <w:rsid w:val="00947797"/>
    <w:rsid w:val="009478A2"/>
    <w:rsid w:val="009501D2"/>
    <w:rsid w:val="00951CBD"/>
    <w:rsid w:val="00951E49"/>
    <w:rsid w:val="009539A6"/>
    <w:rsid w:val="00954032"/>
    <w:rsid w:val="00954C45"/>
    <w:rsid w:val="00955FBB"/>
    <w:rsid w:val="0095694B"/>
    <w:rsid w:val="00956BD5"/>
    <w:rsid w:val="00956D84"/>
    <w:rsid w:val="009577B5"/>
    <w:rsid w:val="009608E6"/>
    <w:rsid w:val="00960F13"/>
    <w:rsid w:val="00960F57"/>
    <w:rsid w:val="00961C90"/>
    <w:rsid w:val="00962CB9"/>
    <w:rsid w:val="00963590"/>
    <w:rsid w:val="00964D38"/>
    <w:rsid w:val="00965443"/>
    <w:rsid w:val="00965954"/>
    <w:rsid w:val="00965E55"/>
    <w:rsid w:val="0096608E"/>
    <w:rsid w:val="00966522"/>
    <w:rsid w:val="009665FE"/>
    <w:rsid w:val="00966C33"/>
    <w:rsid w:val="00966E09"/>
    <w:rsid w:val="0097057F"/>
    <w:rsid w:val="00970F18"/>
    <w:rsid w:val="009716C0"/>
    <w:rsid w:val="00971CF1"/>
    <w:rsid w:val="00971F5D"/>
    <w:rsid w:val="009721E9"/>
    <w:rsid w:val="00973772"/>
    <w:rsid w:val="00975972"/>
    <w:rsid w:val="00975E1E"/>
    <w:rsid w:val="00975E70"/>
    <w:rsid w:val="009761DE"/>
    <w:rsid w:val="009766FA"/>
    <w:rsid w:val="00977CD6"/>
    <w:rsid w:val="009806E2"/>
    <w:rsid w:val="00980731"/>
    <w:rsid w:val="00980DF9"/>
    <w:rsid w:val="009819BB"/>
    <w:rsid w:val="0098243D"/>
    <w:rsid w:val="00982D26"/>
    <w:rsid w:val="00983B6E"/>
    <w:rsid w:val="00983CC4"/>
    <w:rsid w:val="00983FE5"/>
    <w:rsid w:val="009849E9"/>
    <w:rsid w:val="009859E4"/>
    <w:rsid w:val="00987812"/>
    <w:rsid w:val="00990225"/>
    <w:rsid w:val="009920BB"/>
    <w:rsid w:val="00992A13"/>
    <w:rsid w:val="00994AAD"/>
    <w:rsid w:val="00994C86"/>
    <w:rsid w:val="00995150"/>
    <w:rsid w:val="00995181"/>
    <w:rsid w:val="009958D5"/>
    <w:rsid w:val="00995D67"/>
    <w:rsid w:val="009A013B"/>
    <w:rsid w:val="009A02F4"/>
    <w:rsid w:val="009A06BF"/>
    <w:rsid w:val="009A0D17"/>
    <w:rsid w:val="009A195E"/>
    <w:rsid w:val="009A2494"/>
    <w:rsid w:val="009A2496"/>
    <w:rsid w:val="009A266E"/>
    <w:rsid w:val="009A31EC"/>
    <w:rsid w:val="009A32B1"/>
    <w:rsid w:val="009A36F2"/>
    <w:rsid w:val="009A40C3"/>
    <w:rsid w:val="009A40D5"/>
    <w:rsid w:val="009A57D0"/>
    <w:rsid w:val="009A6559"/>
    <w:rsid w:val="009A68FC"/>
    <w:rsid w:val="009A6CE4"/>
    <w:rsid w:val="009A6F0D"/>
    <w:rsid w:val="009A7514"/>
    <w:rsid w:val="009A7E7A"/>
    <w:rsid w:val="009B1584"/>
    <w:rsid w:val="009B18F0"/>
    <w:rsid w:val="009B1D50"/>
    <w:rsid w:val="009B2471"/>
    <w:rsid w:val="009B314F"/>
    <w:rsid w:val="009B439C"/>
    <w:rsid w:val="009B4A6C"/>
    <w:rsid w:val="009B4DA8"/>
    <w:rsid w:val="009B620C"/>
    <w:rsid w:val="009B6753"/>
    <w:rsid w:val="009B676C"/>
    <w:rsid w:val="009B6A26"/>
    <w:rsid w:val="009B7928"/>
    <w:rsid w:val="009C079D"/>
    <w:rsid w:val="009C0D70"/>
    <w:rsid w:val="009C13D1"/>
    <w:rsid w:val="009C2913"/>
    <w:rsid w:val="009C2BD4"/>
    <w:rsid w:val="009C45D2"/>
    <w:rsid w:val="009C5AFE"/>
    <w:rsid w:val="009C6606"/>
    <w:rsid w:val="009C6CE5"/>
    <w:rsid w:val="009C6D50"/>
    <w:rsid w:val="009C7177"/>
    <w:rsid w:val="009C7547"/>
    <w:rsid w:val="009C7EBF"/>
    <w:rsid w:val="009D024A"/>
    <w:rsid w:val="009D05EC"/>
    <w:rsid w:val="009D0CB1"/>
    <w:rsid w:val="009D18D4"/>
    <w:rsid w:val="009D28F0"/>
    <w:rsid w:val="009D2F60"/>
    <w:rsid w:val="009D3A2E"/>
    <w:rsid w:val="009D5180"/>
    <w:rsid w:val="009D5ADE"/>
    <w:rsid w:val="009D5BAC"/>
    <w:rsid w:val="009D5C56"/>
    <w:rsid w:val="009D5E58"/>
    <w:rsid w:val="009D6265"/>
    <w:rsid w:val="009D64BD"/>
    <w:rsid w:val="009D6CB1"/>
    <w:rsid w:val="009D7359"/>
    <w:rsid w:val="009E0286"/>
    <w:rsid w:val="009E153F"/>
    <w:rsid w:val="009E282B"/>
    <w:rsid w:val="009E322A"/>
    <w:rsid w:val="009E393E"/>
    <w:rsid w:val="009E3BF7"/>
    <w:rsid w:val="009E444E"/>
    <w:rsid w:val="009E4968"/>
    <w:rsid w:val="009E5EFB"/>
    <w:rsid w:val="009E63E5"/>
    <w:rsid w:val="009E663C"/>
    <w:rsid w:val="009E684A"/>
    <w:rsid w:val="009E6BB1"/>
    <w:rsid w:val="009E6E14"/>
    <w:rsid w:val="009E797B"/>
    <w:rsid w:val="009E7EE7"/>
    <w:rsid w:val="009F0494"/>
    <w:rsid w:val="009F0A74"/>
    <w:rsid w:val="009F0CD9"/>
    <w:rsid w:val="009F1A79"/>
    <w:rsid w:val="009F1F57"/>
    <w:rsid w:val="009F2DB3"/>
    <w:rsid w:val="009F2DDD"/>
    <w:rsid w:val="009F2EDF"/>
    <w:rsid w:val="009F3447"/>
    <w:rsid w:val="009F65F4"/>
    <w:rsid w:val="009F676B"/>
    <w:rsid w:val="009F6D2D"/>
    <w:rsid w:val="009F6D54"/>
    <w:rsid w:val="00A00471"/>
    <w:rsid w:val="00A004DF"/>
    <w:rsid w:val="00A00FD5"/>
    <w:rsid w:val="00A019A8"/>
    <w:rsid w:val="00A01B03"/>
    <w:rsid w:val="00A01B89"/>
    <w:rsid w:val="00A02A29"/>
    <w:rsid w:val="00A02C66"/>
    <w:rsid w:val="00A02C84"/>
    <w:rsid w:val="00A04407"/>
    <w:rsid w:val="00A0464C"/>
    <w:rsid w:val="00A050BB"/>
    <w:rsid w:val="00A05496"/>
    <w:rsid w:val="00A054E0"/>
    <w:rsid w:val="00A05D91"/>
    <w:rsid w:val="00A0740B"/>
    <w:rsid w:val="00A074A6"/>
    <w:rsid w:val="00A07AC3"/>
    <w:rsid w:val="00A07AD1"/>
    <w:rsid w:val="00A07ED3"/>
    <w:rsid w:val="00A10CA8"/>
    <w:rsid w:val="00A11042"/>
    <w:rsid w:val="00A12579"/>
    <w:rsid w:val="00A133D8"/>
    <w:rsid w:val="00A147F6"/>
    <w:rsid w:val="00A14B73"/>
    <w:rsid w:val="00A15655"/>
    <w:rsid w:val="00A17139"/>
    <w:rsid w:val="00A1740C"/>
    <w:rsid w:val="00A20069"/>
    <w:rsid w:val="00A21247"/>
    <w:rsid w:val="00A2244D"/>
    <w:rsid w:val="00A2253D"/>
    <w:rsid w:val="00A23602"/>
    <w:rsid w:val="00A247B8"/>
    <w:rsid w:val="00A2495A"/>
    <w:rsid w:val="00A24ADA"/>
    <w:rsid w:val="00A24C7A"/>
    <w:rsid w:val="00A24D8F"/>
    <w:rsid w:val="00A24EBD"/>
    <w:rsid w:val="00A25AE3"/>
    <w:rsid w:val="00A25B8B"/>
    <w:rsid w:val="00A2689F"/>
    <w:rsid w:val="00A26ECA"/>
    <w:rsid w:val="00A27461"/>
    <w:rsid w:val="00A30A1D"/>
    <w:rsid w:val="00A30ABC"/>
    <w:rsid w:val="00A33DB7"/>
    <w:rsid w:val="00A34555"/>
    <w:rsid w:val="00A3467F"/>
    <w:rsid w:val="00A34B4C"/>
    <w:rsid w:val="00A35030"/>
    <w:rsid w:val="00A3551A"/>
    <w:rsid w:val="00A37209"/>
    <w:rsid w:val="00A37584"/>
    <w:rsid w:val="00A376E8"/>
    <w:rsid w:val="00A37732"/>
    <w:rsid w:val="00A37C90"/>
    <w:rsid w:val="00A37F8E"/>
    <w:rsid w:val="00A4060E"/>
    <w:rsid w:val="00A41537"/>
    <w:rsid w:val="00A41737"/>
    <w:rsid w:val="00A429BB"/>
    <w:rsid w:val="00A42B8F"/>
    <w:rsid w:val="00A42D8E"/>
    <w:rsid w:val="00A43241"/>
    <w:rsid w:val="00A43254"/>
    <w:rsid w:val="00A43896"/>
    <w:rsid w:val="00A43A26"/>
    <w:rsid w:val="00A4416D"/>
    <w:rsid w:val="00A44739"/>
    <w:rsid w:val="00A447A0"/>
    <w:rsid w:val="00A459F5"/>
    <w:rsid w:val="00A45FC0"/>
    <w:rsid w:val="00A47ECC"/>
    <w:rsid w:val="00A50171"/>
    <w:rsid w:val="00A504FA"/>
    <w:rsid w:val="00A50E4A"/>
    <w:rsid w:val="00A5102E"/>
    <w:rsid w:val="00A5132E"/>
    <w:rsid w:val="00A51375"/>
    <w:rsid w:val="00A51533"/>
    <w:rsid w:val="00A51A44"/>
    <w:rsid w:val="00A531D4"/>
    <w:rsid w:val="00A54572"/>
    <w:rsid w:val="00A57371"/>
    <w:rsid w:val="00A575B8"/>
    <w:rsid w:val="00A61C60"/>
    <w:rsid w:val="00A61ECB"/>
    <w:rsid w:val="00A62E93"/>
    <w:rsid w:val="00A6410C"/>
    <w:rsid w:val="00A6434C"/>
    <w:rsid w:val="00A647B1"/>
    <w:rsid w:val="00A64DEF"/>
    <w:rsid w:val="00A654D2"/>
    <w:rsid w:val="00A660C1"/>
    <w:rsid w:val="00A665DF"/>
    <w:rsid w:val="00A6686F"/>
    <w:rsid w:val="00A67FCC"/>
    <w:rsid w:val="00A70523"/>
    <w:rsid w:val="00A70AA5"/>
    <w:rsid w:val="00A70C03"/>
    <w:rsid w:val="00A71256"/>
    <w:rsid w:val="00A71773"/>
    <w:rsid w:val="00A71B72"/>
    <w:rsid w:val="00A7217B"/>
    <w:rsid w:val="00A727FE"/>
    <w:rsid w:val="00A73861"/>
    <w:rsid w:val="00A739A6"/>
    <w:rsid w:val="00A740ED"/>
    <w:rsid w:val="00A74C62"/>
    <w:rsid w:val="00A75EF9"/>
    <w:rsid w:val="00A813A3"/>
    <w:rsid w:val="00A81C8D"/>
    <w:rsid w:val="00A8311C"/>
    <w:rsid w:val="00A835D0"/>
    <w:rsid w:val="00A84C5F"/>
    <w:rsid w:val="00A85298"/>
    <w:rsid w:val="00A85930"/>
    <w:rsid w:val="00A863F7"/>
    <w:rsid w:val="00A86604"/>
    <w:rsid w:val="00A87519"/>
    <w:rsid w:val="00A875F7"/>
    <w:rsid w:val="00A90953"/>
    <w:rsid w:val="00A92273"/>
    <w:rsid w:val="00A9246D"/>
    <w:rsid w:val="00A93445"/>
    <w:rsid w:val="00A93BD0"/>
    <w:rsid w:val="00A93CB0"/>
    <w:rsid w:val="00A93CC2"/>
    <w:rsid w:val="00A97036"/>
    <w:rsid w:val="00A974CC"/>
    <w:rsid w:val="00AA048C"/>
    <w:rsid w:val="00AA2001"/>
    <w:rsid w:val="00AA21B9"/>
    <w:rsid w:val="00AA2B5C"/>
    <w:rsid w:val="00AA32D2"/>
    <w:rsid w:val="00AA4016"/>
    <w:rsid w:val="00AA4C1F"/>
    <w:rsid w:val="00AA4E98"/>
    <w:rsid w:val="00AA5328"/>
    <w:rsid w:val="00AA5393"/>
    <w:rsid w:val="00AA63D4"/>
    <w:rsid w:val="00AB03FD"/>
    <w:rsid w:val="00AB13F6"/>
    <w:rsid w:val="00AB2000"/>
    <w:rsid w:val="00AB3050"/>
    <w:rsid w:val="00AB37CB"/>
    <w:rsid w:val="00AB38CB"/>
    <w:rsid w:val="00AB3BEC"/>
    <w:rsid w:val="00AB44E4"/>
    <w:rsid w:val="00AB47E2"/>
    <w:rsid w:val="00AB4AEB"/>
    <w:rsid w:val="00AB4E5F"/>
    <w:rsid w:val="00AB5352"/>
    <w:rsid w:val="00AB56AE"/>
    <w:rsid w:val="00AB62D5"/>
    <w:rsid w:val="00AB65B5"/>
    <w:rsid w:val="00AB6A1C"/>
    <w:rsid w:val="00AB6B8F"/>
    <w:rsid w:val="00AB6DCD"/>
    <w:rsid w:val="00AB6EE0"/>
    <w:rsid w:val="00AC0149"/>
    <w:rsid w:val="00AC17A2"/>
    <w:rsid w:val="00AC40B7"/>
    <w:rsid w:val="00AC531F"/>
    <w:rsid w:val="00AC5B36"/>
    <w:rsid w:val="00AC6377"/>
    <w:rsid w:val="00AC66A4"/>
    <w:rsid w:val="00AC6CB1"/>
    <w:rsid w:val="00AC7AFB"/>
    <w:rsid w:val="00AC7D6D"/>
    <w:rsid w:val="00AD0091"/>
    <w:rsid w:val="00AD1A18"/>
    <w:rsid w:val="00AD23EF"/>
    <w:rsid w:val="00AD2662"/>
    <w:rsid w:val="00AD307B"/>
    <w:rsid w:val="00AD326F"/>
    <w:rsid w:val="00AD3A55"/>
    <w:rsid w:val="00AD3A5F"/>
    <w:rsid w:val="00AD4014"/>
    <w:rsid w:val="00AD41B3"/>
    <w:rsid w:val="00AD4201"/>
    <w:rsid w:val="00AD489A"/>
    <w:rsid w:val="00AD5808"/>
    <w:rsid w:val="00AD69F0"/>
    <w:rsid w:val="00AD7127"/>
    <w:rsid w:val="00AD730C"/>
    <w:rsid w:val="00AE0F59"/>
    <w:rsid w:val="00AE123A"/>
    <w:rsid w:val="00AE1539"/>
    <w:rsid w:val="00AE1D4C"/>
    <w:rsid w:val="00AE28A7"/>
    <w:rsid w:val="00AE2A98"/>
    <w:rsid w:val="00AE2CF2"/>
    <w:rsid w:val="00AE3012"/>
    <w:rsid w:val="00AE33A6"/>
    <w:rsid w:val="00AE3729"/>
    <w:rsid w:val="00AE4CCE"/>
    <w:rsid w:val="00AE5C6A"/>
    <w:rsid w:val="00AE63C0"/>
    <w:rsid w:val="00AE7280"/>
    <w:rsid w:val="00AF033A"/>
    <w:rsid w:val="00AF09EF"/>
    <w:rsid w:val="00AF1699"/>
    <w:rsid w:val="00AF1FD3"/>
    <w:rsid w:val="00AF2910"/>
    <w:rsid w:val="00AF2AB5"/>
    <w:rsid w:val="00AF2E52"/>
    <w:rsid w:val="00AF34B8"/>
    <w:rsid w:val="00AF3896"/>
    <w:rsid w:val="00AF3FC2"/>
    <w:rsid w:val="00AF507B"/>
    <w:rsid w:val="00AF6D3C"/>
    <w:rsid w:val="00AF777B"/>
    <w:rsid w:val="00B0098A"/>
    <w:rsid w:val="00B00A5F"/>
    <w:rsid w:val="00B029B8"/>
    <w:rsid w:val="00B02F60"/>
    <w:rsid w:val="00B032B8"/>
    <w:rsid w:val="00B04B15"/>
    <w:rsid w:val="00B04B46"/>
    <w:rsid w:val="00B0515E"/>
    <w:rsid w:val="00B0534D"/>
    <w:rsid w:val="00B05685"/>
    <w:rsid w:val="00B05F9F"/>
    <w:rsid w:val="00B06368"/>
    <w:rsid w:val="00B064E0"/>
    <w:rsid w:val="00B068DA"/>
    <w:rsid w:val="00B06FC6"/>
    <w:rsid w:val="00B074C9"/>
    <w:rsid w:val="00B07CDE"/>
    <w:rsid w:val="00B07D9D"/>
    <w:rsid w:val="00B1091A"/>
    <w:rsid w:val="00B11AE5"/>
    <w:rsid w:val="00B12FE6"/>
    <w:rsid w:val="00B1303F"/>
    <w:rsid w:val="00B1364A"/>
    <w:rsid w:val="00B13859"/>
    <w:rsid w:val="00B14319"/>
    <w:rsid w:val="00B14A06"/>
    <w:rsid w:val="00B158E1"/>
    <w:rsid w:val="00B15C3B"/>
    <w:rsid w:val="00B16715"/>
    <w:rsid w:val="00B1768E"/>
    <w:rsid w:val="00B17910"/>
    <w:rsid w:val="00B20F18"/>
    <w:rsid w:val="00B21516"/>
    <w:rsid w:val="00B21A37"/>
    <w:rsid w:val="00B21F62"/>
    <w:rsid w:val="00B22892"/>
    <w:rsid w:val="00B22CE0"/>
    <w:rsid w:val="00B23738"/>
    <w:rsid w:val="00B23BEF"/>
    <w:rsid w:val="00B247BB"/>
    <w:rsid w:val="00B2504A"/>
    <w:rsid w:val="00B25EE6"/>
    <w:rsid w:val="00B3115A"/>
    <w:rsid w:val="00B31825"/>
    <w:rsid w:val="00B31A5C"/>
    <w:rsid w:val="00B33B06"/>
    <w:rsid w:val="00B33C19"/>
    <w:rsid w:val="00B35A15"/>
    <w:rsid w:val="00B366CA"/>
    <w:rsid w:val="00B36A99"/>
    <w:rsid w:val="00B42264"/>
    <w:rsid w:val="00B434B2"/>
    <w:rsid w:val="00B43D45"/>
    <w:rsid w:val="00B443C4"/>
    <w:rsid w:val="00B45A2B"/>
    <w:rsid w:val="00B468F2"/>
    <w:rsid w:val="00B469DE"/>
    <w:rsid w:val="00B47286"/>
    <w:rsid w:val="00B50234"/>
    <w:rsid w:val="00B50D19"/>
    <w:rsid w:val="00B50EEC"/>
    <w:rsid w:val="00B51BF4"/>
    <w:rsid w:val="00B52C68"/>
    <w:rsid w:val="00B542FE"/>
    <w:rsid w:val="00B55A1B"/>
    <w:rsid w:val="00B55E6A"/>
    <w:rsid w:val="00B561DB"/>
    <w:rsid w:val="00B56DF9"/>
    <w:rsid w:val="00B600BD"/>
    <w:rsid w:val="00B61274"/>
    <w:rsid w:val="00B61DCE"/>
    <w:rsid w:val="00B62188"/>
    <w:rsid w:val="00B62F79"/>
    <w:rsid w:val="00B62F82"/>
    <w:rsid w:val="00B6306A"/>
    <w:rsid w:val="00B635E3"/>
    <w:rsid w:val="00B64FF1"/>
    <w:rsid w:val="00B661E4"/>
    <w:rsid w:val="00B6625E"/>
    <w:rsid w:val="00B662FF"/>
    <w:rsid w:val="00B66679"/>
    <w:rsid w:val="00B66BC6"/>
    <w:rsid w:val="00B67094"/>
    <w:rsid w:val="00B70012"/>
    <w:rsid w:val="00B70145"/>
    <w:rsid w:val="00B70E29"/>
    <w:rsid w:val="00B71A92"/>
    <w:rsid w:val="00B721D8"/>
    <w:rsid w:val="00B730CA"/>
    <w:rsid w:val="00B73D04"/>
    <w:rsid w:val="00B74731"/>
    <w:rsid w:val="00B747C5"/>
    <w:rsid w:val="00B74F2F"/>
    <w:rsid w:val="00B753ED"/>
    <w:rsid w:val="00B769BC"/>
    <w:rsid w:val="00B77349"/>
    <w:rsid w:val="00B7761E"/>
    <w:rsid w:val="00B77DD5"/>
    <w:rsid w:val="00B80A3D"/>
    <w:rsid w:val="00B80B04"/>
    <w:rsid w:val="00B821E4"/>
    <w:rsid w:val="00B823E0"/>
    <w:rsid w:val="00B8260D"/>
    <w:rsid w:val="00B82B78"/>
    <w:rsid w:val="00B83B64"/>
    <w:rsid w:val="00B845B4"/>
    <w:rsid w:val="00B84662"/>
    <w:rsid w:val="00B84C74"/>
    <w:rsid w:val="00B85191"/>
    <w:rsid w:val="00B858A1"/>
    <w:rsid w:val="00B85FEC"/>
    <w:rsid w:val="00B864A3"/>
    <w:rsid w:val="00B86C2A"/>
    <w:rsid w:val="00B87909"/>
    <w:rsid w:val="00B902A5"/>
    <w:rsid w:val="00B90420"/>
    <w:rsid w:val="00B90848"/>
    <w:rsid w:val="00B90D77"/>
    <w:rsid w:val="00B91146"/>
    <w:rsid w:val="00B913E4"/>
    <w:rsid w:val="00B91DB9"/>
    <w:rsid w:val="00B928E6"/>
    <w:rsid w:val="00B934D7"/>
    <w:rsid w:val="00B93EFE"/>
    <w:rsid w:val="00B944B9"/>
    <w:rsid w:val="00B94956"/>
    <w:rsid w:val="00B94C7F"/>
    <w:rsid w:val="00B94E93"/>
    <w:rsid w:val="00B95671"/>
    <w:rsid w:val="00B956B5"/>
    <w:rsid w:val="00B95A16"/>
    <w:rsid w:val="00B96DF2"/>
    <w:rsid w:val="00B96E18"/>
    <w:rsid w:val="00B96F5A"/>
    <w:rsid w:val="00B97EA4"/>
    <w:rsid w:val="00BA0616"/>
    <w:rsid w:val="00BA0B39"/>
    <w:rsid w:val="00BA0CB2"/>
    <w:rsid w:val="00BA0E26"/>
    <w:rsid w:val="00BA103F"/>
    <w:rsid w:val="00BA138B"/>
    <w:rsid w:val="00BA305B"/>
    <w:rsid w:val="00BA31BF"/>
    <w:rsid w:val="00BA3FC7"/>
    <w:rsid w:val="00BA478B"/>
    <w:rsid w:val="00BA5224"/>
    <w:rsid w:val="00BA575E"/>
    <w:rsid w:val="00BA6CF9"/>
    <w:rsid w:val="00BA6DF5"/>
    <w:rsid w:val="00BA73EF"/>
    <w:rsid w:val="00BA74F7"/>
    <w:rsid w:val="00BA76B7"/>
    <w:rsid w:val="00BA7E3B"/>
    <w:rsid w:val="00BB078D"/>
    <w:rsid w:val="00BB079C"/>
    <w:rsid w:val="00BB0D7A"/>
    <w:rsid w:val="00BB10E1"/>
    <w:rsid w:val="00BB2471"/>
    <w:rsid w:val="00BB2C33"/>
    <w:rsid w:val="00BB3035"/>
    <w:rsid w:val="00BB39C1"/>
    <w:rsid w:val="00BB3DF5"/>
    <w:rsid w:val="00BB5D16"/>
    <w:rsid w:val="00BB6180"/>
    <w:rsid w:val="00BB645C"/>
    <w:rsid w:val="00BB66E8"/>
    <w:rsid w:val="00BB69E6"/>
    <w:rsid w:val="00BB7BE5"/>
    <w:rsid w:val="00BC07AE"/>
    <w:rsid w:val="00BC08BD"/>
    <w:rsid w:val="00BC11E8"/>
    <w:rsid w:val="00BC1B7A"/>
    <w:rsid w:val="00BC2C17"/>
    <w:rsid w:val="00BC3ACD"/>
    <w:rsid w:val="00BC3B20"/>
    <w:rsid w:val="00BC3B58"/>
    <w:rsid w:val="00BC3EE4"/>
    <w:rsid w:val="00BC4249"/>
    <w:rsid w:val="00BC588C"/>
    <w:rsid w:val="00BC6E73"/>
    <w:rsid w:val="00BC7454"/>
    <w:rsid w:val="00BC74D3"/>
    <w:rsid w:val="00BD0014"/>
    <w:rsid w:val="00BD01D8"/>
    <w:rsid w:val="00BD032A"/>
    <w:rsid w:val="00BD098B"/>
    <w:rsid w:val="00BD1F34"/>
    <w:rsid w:val="00BD255F"/>
    <w:rsid w:val="00BD2895"/>
    <w:rsid w:val="00BD4236"/>
    <w:rsid w:val="00BD483B"/>
    <w:rsid w:val="00BD5CD4"/>
    <w:rsid w:val="00BD65D9"/>
    <w:rsid w:val="00BD678E"/>
    <w:rsid w:val="00BD6DF3"/>
    <w:rsid w:val="00BD6E09"/>
    <w:rsid w:val="00BD6EF9"/>
    <w:rsid w:val="00BD7B64"/>
    <w:rsid w:val="00BE0ACB"/>
    <w:rsid w:val="00BE2260"/>
    <w:rsid w:val="00BE3024"/>
    <w:rsid w:val="00BE3917"/>
    <w:rsid w:val="00BE50FD"/>
    <w:rsid w:val="00BE51CA"/>
    <w:rsid w:val="00BE537F"/>
    <w:rsid w:val="00BE5D77"/>
    <w:rsid w:val="00BE6464"/>
    <w:rsid w:val="00BE6D47"/>
    <w:rsid w:val="00BE7032"/>
    <w:rsid w:val="00BE7330"/>
    <w:rsid w:val="00BE7384"/>
    <w:rsid w:val="00BF01C5"/>
    <w:rsid w:val="00BF061A"/>
    <w:rsid w:val="00BF066A"/>
    <w:rsid w:val="00BF14CC"/>
    <w:rsid w:val="00BF1821"/>
    <w:rsid w:val="00BF4342"/>
    <w:rsid w:val="00BF4704"/>
    <w:rsid w:val="00BF4FFC"/>
    <w:rsid w:val="00BF5050"/>
    <w:rsid w:val="00BF50D1"/>
    <w:rsid w:val="00BF5422"/>
    <w:rsid w:val="00BF59B1"/>
    <w:rsid w:val="00BF6A78"/>
    <w:rsid w:val="00BF7695"/>
    <w:rsid w:val="00BF79B4"/>
    <w:rsid w:val="00BF7C61"/>
    <w:rsid w:val="00C000D1"/>
    <w:rsid w:val="00C01427"/>
    <w:rsid w:val="00C014C7"/>
    <w:rsid w:val="00C01D30"/>
    <w:rsid w:val="00C0249F"/>
    <w:rsid w:val="00C02560"/>
    <w:rsid w:val="00C02FAF"/>
    <w:rsid w:val="00C043FF"/>
    <w:rsid w:val="00C047AB"/>
    <w:rsid w:val="00C047DD"/>
    <w:rsid w:val="00C058AF"/>
    <w:rsid w:val="00C07AAE"/>
    <w:rsid w:val="00C1179B"/>
    <w:rsid w:val="00C124C1"/>
    <w:rsid w:val="00C128AE"/>
    <w:rsid w:val="00C12BA8"/>
    <w:rsid w:val="00C136D6"/>
    <w:rsid w:val="00C13D5B"/>
    <w:rsid w:val="00C141D7"/>
    <w:rsid w:val="00C16101"/>
    <w:rsid w:val="00C1711B"/>
    <w:rsid w:val="00C173FF"/>
    <w:rsid w:val="00C17AE2"/>
    <w:rsid w:val="00C20140"/>
    <w:rsid w:val="00C20F27"/>
    <w:rsid w:val="00C215CF"/>
    <w:rsid w:val="00C2244B"/>
    <w:rsid w:val="00C22711"/>
    <w:rsid w:val="00C2280A"/>
    <w:rsid w:val="00C22B0D"/>
    <w:rsid w:val="00C231B4"/>
    <w:rsid w:val="00C23522"/>
    <w:rsid w:val="00C240C1"/>
    <w:rsid w:val="00C24AED"/>
    <w:rsid w:val="00C250D0"/>
    <w:rsid w:val="00C2522D"/>
    <w:rsid w:val="00C252AC"/>
    <w:rsid w:val="00C25B80"/>
    <w:rsid w:val="00C25C0F"/>
    <w:rsid w:val="00C26567"/>
    <w:rsid w:val="00C26923"/>
    <w:rsid w:val="00C27214"/>
    <w:rsid w:val="00C27597"/>
    <w:rsid w:val="00C27E5E"/>
    <w:rsid w:val="00C30382"/>
    <w:rsid w:val="00C30772"/>
    <w:rsid w:val="00C30D6F"/>
    <w:rsid w:val="00C31063"/>
    <w:rsid w:val="00C31B7E"/>
    <w:rsid w:val="00C322D1"/>
    <w:rsid w:val="00C3242A"/>
    <w:rsid w:val="00C33201"/>
    <w:rsid w:val="00C33A39"/>
    <w:rsid w:val="00C360B3"/>
    <w:rsid w:val="00C37027"/>
    <w:rsid w:val="00C37B19"/>
    <w:rsid w:val="00C37D2E"/>
    <w:rsid w:val="00C40C28"/>
    <w:rsid w:val="00C413CB"/>
    <w:rsid w:val="00C41783"/>
    <w:rsid w:val="00C42752"/>
    <w:rsid w:val="00C42865"/>
    <w:rsid w:val="00C42973"/>
    <w:rsid w:val="00C4693B"/>
    <w:rsid w:val="00C50191"/>
    <w:rsid w:val="00C5034F"/>
    <w:rsid w:val="00C50830"/>
    <w:rsid w:val="00C52479"/>
    <w:rsid w:val="00C5266E"/>
    <w:rsid w:val="00C52C59"/>
    <w:rsid w:val="00C5349E"/>
    <w:rsid w:val="00C539FF"/>
    <w:rsid w:val="00C544BD"/>
    <w:rsid w:val="00C54D3D"/>
    <w:rsid w:val="00C555E2"/>
    <w:rsid w:val="00C55A30"/>
    <w:rsid w:val="00C56384"/>
    <w:rsid w:val="00C5724A"/>
    <w:rsid w:val="00C578FC"/>
    <w:rsid w:val="00C60D4D"/>
    <w:rsid w:val="00C60F8C"/>
    <w:rsid w:val="00C61959"/>
    <w:rsid w:val="00C61ABD"/>
    <w:rsid w:val="00C62A48"/>
    <w:rsid w:val="00C62AC4"/>
    <w:rsid w:val="00C62B59"/>
    <w:rsid w:val="00C62ED9"/>
    <w:rsid w:val="00C62F96"/>
    <w:rsid w:val="00C631E1"/>
    <w:rsid w:val="00C6383D"/>
    <w:rsid w:val="00C638D8"/>
    <w:rsid w:val="00C63D26"/>
    <w:rsid w:val="00C6540A"/>
    <w:rsid w:val="00C668A1"/>
    <w:rsid w:val="00C67223"/>
    <w:rsid w:val="00C679EE"/>
    <w:rsid w:val="00C707B8"/>
    <w:rsid w:val="00C712AC"/>
    <w:rsid w:val="00C71C15"/>
    <w:rsid w:val="00C71F3D"/>
    <w:rsid w:val="00C720AF"/>
    <w:rsid w:val="00C723E3"/>
    <w:rsid w:val="00C72F53"/>
    <w:rsid w:val="00C731AF"/>
    <w:rsid w:val="00C73873"/>
    <w:rsid w:val="00C74035"/>
    <w:rsid w:val="00C748EA"/>
    <w:rsid w:val="00C74CAB"/>
    <w:rsid w:val="00C7584A"/>
    <w:rsid w:val="00C77349"/>
    <w:rsid w:val="00C77818"/>
    <w:rsid w:val="00C77DBC"/>
    <w:rsid w:val="00C8063F"/>
    <w:rsid w:val="00C80DF7"/>
    <w:rsid w:val="00C81000"/>
    <w:rsid w:val="00C81282"/>
    <w:rsid w:val="00C83214"/>
    <w:rsid w:val="00C8329F"/>
    <w:rsid w:val="00C84731"/>
    <w:rsid w:val="00C84F8A"/>
    <w:rsid w:val="00C85BA4"/>
    <w:rsid w:val="00C8618F"/>
    <w:rsid w:val="00C8625D"/>
    <w:rsid w:val="00C90372"/>
    <w:rsid w:val="00C9041F"/>
    <w:rsid w:val="00C9166B"/>
    <w:rsid w:val="00C91A45"/>
    <w:rsid w:val="00C91BC3"/>
    <w:rsid w:val="00C91FB4"/>
    <w:rsid w:val="00C9200F"/>
    <w:rsid w:val="00C92150"/>
    <w:rsid w:val="00C922C4"/>
    <w:rsid w:val="00C92328"/>
    <w:rsid w:val="00C92D42"/>
    <w:rsid w:val="00C938C2"/>
    <w:rsid w:val="00C93F8A"/>
    <w:rsid w:val="00C94EA1"/>
    <w:rsid w:val="00C9539F"/>
    <w:rsid w:val="00C95745"/>
    <w:rsid w:val="00C95902"/>
    <w:rsid w:val="00C962E3"/>
    <w:rsid w:val="00C97699"/>
    <w:rsid w:val="00C978E2"/>
    <w:rsid w:val="00C97997"/>
    <w:rsid w:val="00CA0A0A"/>
    <w:rsid w:val="00CA0D56"/>
    <w:rsid w:val="00CA10A2"/>
    <w:rsid w:val="00CA15E5"/>
    <w:rsid w:val="00CA1D83"/>
    <w:rsid w:val="00CA25C0"/>
    <w:rsid w:val="00CA3451"/>
    <w:rsid w:val="00CA40A9"/>
    <w:rsid w:val="00CA46D2"/>
    <w:rsid w:val="00CA4948"/>
    <w:rsid w:val="00CA52F9"/>
    <w:rsid w:val="00CA5368"/>
    <w:rsid w:val="00CA568B"/>
    <w:rsid w:val="00CA573A"/>
    <w:rsid w:val="00CB1221"/>
    <w:rsid w:val="00CB19FE"/>
    <w:rsid w:val="00CB2364"/>
    <w:rsid w:val="00CB304C"/>
    <w:rsid w:val="00CB3933"/>
    <w:rsid w:val="00CB3B3E"/>
    <w:rsid w:val="00CB51A1"/>
    <w:rsid w:val="00CB53E8"/>
    <w:rsid w:val="00CB594A"/>
    <w:rsid w:val="00CB5CB2"/>
    <w:rsid w:val="00CB6979"/>
    <w:rsid w:val="00CB7C06"/>
    <w:rsid w:val="00CB7DDE"/>
    <w:rsid w:val="00CC0A3D"/>
    <w:rsid w:val="00CC2C82"/>
    <w:rsid w:val="00CC3C53"/>
    <w:rsid w:val="00CC3D24"/>
    <w:rsid w:val="00CC3F91"/>
    <w:rsid w:val="00CC40FD"/>
    <w:rsid w:val="00CC4ACD"/>
    <w:rsid w:val="00CC4B0A"/>
    <w:rsid w:val="00CC544A"/>
    <w:rsid w:val="00CC57EA"/>
    <w:rsid w:val="00CC5954"/>
    <w:rsid w:val="00CC629B"/>
    <w:rsid w:val="00CC6C4E"/>
    <w:rsid w:val="00CC6E7B"/>
    <w:rsid w:val="00CC7729"/>
    <w:rsid w:val="00CD009D"/>
    <w:rsid w:val="00CD05A2"/>
    <w:rsid w:val="00CD0661"/>
    <w:rsid w:val="00CD0AE4"/>
    <w:rsid w:val="00CD1138"/>
    <w:rsid w:val="00CD29D4"/>
    <w:rsid w:val="00CD2B5C"/>
    <w:rsid w:val="00CD2FF3"/>
    <w:rsid w:val="00CD3323"/>
    <w:rsid w:val="00CD38F5"/>
    <w:rsid w:val="00CD4028"/>
    <w:rsid w:val="00CD41BD"/>
    <w:rsid w:val="00CD437E"/>
    <w:rsid w:val="00CD5785"/>
    <w:rsid w:val="00CD5DAD"/>
    <w:rsid w:val="00CD72C5"/>
    <w:rsid w:val="00CD79A7"/>
    <w:rsid w:val="00CE0789"/>
    <w:rsid w:val="00CE0E8D"/>
    <w:rsid w:val="00CE15A3"/>
    <w:rsid w:val="00CE1A03"/>
    <w:rsid w:val="00CE2346"/>
    <w:rsid w:val="00CE25B2"/>
    <w:rsid w:val="00CE2BBA"/>
    <w:rsid w:val="00CE3070"/>
    <w:rsid w:val="00CE3529"/>
    <w:rsid w:val="00CE35C8"/>
    <w:rsid w:val="00CE3962"/>
    <w:rsid w:val="00CE4D1A"/>
    <w:rsid w:val="00CE4E8A"/>
    <w:rsid w:val="00CE5105"/>
    <w:rsid w:val="00CE56BD"/>
    <w:rsid w:val="00CE5EC0"/>
    <w:rsid w:val="00CE6F9F"/>
    <w:rsid w:val="00CE781A"/>
    <w:rsid w:val="00CE7954"/>
    <w:rsid w:val="00CE79CA"/>
    <w:rsid w:val="00CE7A37"/>
    <w:rsid w:val="00CE7B08"/>
    <w:rsid w:val="00CE7D52"/>
    <w:rsid w:val="00CF0EC4"/>
    <w:rsid w:val="00CF1D74"/>
    <w:rsid w:val="00CF2BE2"/>
    <w:rsid w:val="00CF3301"/>
    <w:rsid w:val="00CF3DEB"/>
    <w:rsid w:val="00CF4189"/>
    <w:rsid w:val="00CF55F9"/>
    <w:rsid w:val="00CF5BB5"/>
    <w:rsid w:val="00CF7074"/>
    <w:rsid w:val="00CF7495"/>
    <w:rsid w:val="00D01CF9"/>
    <w:rsid w:val="00D0334D"/>
    <w:rsid w:val="00D0374D"/>
    <w:rsid w:val="00D04E88"/>
    <w:rsid w:val="00D06D7B"/>
    <w:rsid w:val="00D06DA5"/>
    <w:rsid w:val="00D07191"/>
    <w:rsid w:val="00D07F1D"/>
    <w:rsid w:val="00D10558"/>
    <w:rsid w:val="00D11CD2"/>
    <w:rsid w:val="00D11D4D"/>
    <w:rsid w:val="00D126DC"/>
    <w:rsid w:val="00D12B03"/>
    <w:rsid w:val="00D13E70"/>
    <w:rsid w:val="00D16C58"/>
    <w:rsid w:val="00D17019"/>
    <w:rsid w:val="00D17FC8"/>
    <w:rsid w:val="00D203E7"/>
    <w:rsid w:val="00D20442"/>
    <w:rsid w:val="00D20B44"/>
    <w:rsid w:val="00D21168"/>
    <w:rsid w:val="00D22864"/>
    <w:rsid w:val="00D2438C"/>
    <w:rsid w:val="00D255A6"/>
    <w:rsid w:val="00D26C3F"/>
    <w:rsid w:val="00D27185"/>
    <w:rsid w:val="00D305A0"/>
    <w:rsid w:val="00D30710"/>
    <w:rsid w:val="00D30A7A"/>
    <w:rsid w:val="00D30B5E"/>
    <w:rsid w:val="00D3289F"/>
    <w:rsid w:val="00D33AB3"/>
    <w:rsid w:val="00D33F24"/>
    <w:rsid w:val="00D34160"/>
    <w:rsid w:val="00D346B8"/>
    <w:rsid w:val="00D34DCA"/>
    <w:rsid w:val="00D35AC8"/>
    <w:rsid w:val="00D36C7C"/>
    <w:rsid w:val="00D36F87"/>
    <w:rsid w:val="00D376BA"/>
    <w:rsid w:val="00D37E4E"/>
    <w:rsid w:val="00D417D8"/>
    <w:rsid w:val="00D41F78"/>
    <w:rsid w:val="00D42E6C"/>
    <w:rsid w:val="00D4351C"/>
    <w:rsid w:val="00D43B80"/>
    <w:rsid w:val="00D44988"/>
    <w:rsid w:val="00D45B4C"/>
    <w:rsid w:val="00D45BA4"/>
    <w:rsid w:val="00D470B3"/>
    <w:rsid w:val="00D471AF"/>
    <w:rsid w:val="00D4724F"/>
    <w:rsid w:val="00D50519"/>
    <w:rsid w:val="00D506D7"/>
    <w:rsid w:val="00D511D0"/>
    <w:rsid w:val="00D51300"/>
    <w:rsid w:val="00D51601"/>
    <w:rsid w:val="00D5180C"/>
    <w:rsid w:val="00D51ECB"/>
    <w:rsid w:val="00D5264C"/>
    <w:rsid w:val="00D52BBC"/>
    <w:rsid w:val="00D537FE"/>
    <w:rsid w:val="00D53CC9"/>
    <w:rsid w:val="00D54A6A"/>
    <w:rsid w:val="00D54B8F"/>
    <w:rsid w:val="00D54C8D"/>
    <w:rsid w:val="00D55951"/>
    <w:rsid w:val="00D57EB6"/>
    <w:rsid w:val="00D57EF6"/>
    <w:rsid w:val="00D6079C"/>
    <w:rsid w:val="00D608C0"/>
    <w:rsid w:val="00D60D6D"/>
    <w:rsid w:val="00D65589"/>
    <w:rsid w:val="00D66D8B"/>
    <w:rsid w:val="00D70849"/>
    <w:rsid w:val="00D72297"/>
    <w:rsid w:val="00D72A1C"/>
    <w:rsid w:val="00D7308F"/>
    <w:rsid w:val="00D733CC"/>
    <w:rsid w:val="00D73580"/>
    <w:rsid w:val="00D73802"/>
    <w:rsid w:val="00D73C2C"/>
    <w:rsid w:val="00D73D52"/>
    <w:rsid w:val="00D745E7"/>
    <w:rsid w:val="00D7578F"/>
    <w:rsid w:val="00D774ED"/>
    <w:rsid w:val="00D777C3"/>
    <w:rsid w:val="00D77C44"/>
    <w:rsid w:val="00D77F88"/>
    <w:rsid w:val="00D80A56"/>
    <w:rsid w:val="00D80B47"/>
    <w:rsid w:val="00D81AFA"/>
    <w:rsid w:val="00D81EAA"/>
    <w:rsid w:val="00D81FE2"/>
    <w:rsid w:val="00D8241F"/>
    <w:rsid w:val="00D8259F"/>
    <w:rsid w:val="00D825F2"/>
    <w:rsid w:val="00D8285C"/>
    <w:rsid w:val="00D828B1"/>
    <w:rsid w:val="00D83470"/>
    <w:rsid w:val="00D84181"/>
    <w:rsid w:val="00D84754"/>
    <w:rsid w:val="00D84F27"/>
    <w:rsid w:val="00D853F0"/>
    <w:rsid w:val="00D86D47"/>
    <w:rsid w:val="00D8710C"/>
    <w:rsid w:val="00D873C6"/>
    <w:rsid w:val="00D9074A"/>
    <w:rsid w:val="00D9099E"/>
    <w:rsid w:val="00D9193A"/>
    <w:rsid w:val="00D91D99"/>
    <w:rsid w:val="00D9206B"/>
    <w:rsid w:val="00D923B2"/>
    <w:rsid w:val="00D93E64"/>
    <w:rsid w:val="00D93F64"/>
    <w:rsid w:val="00D94CA4"/>
    <w:rsid w:val="00D95889"/>
    <w:rsid w:val="00D95E99"/>
    <w:rsid w:val="00D965D5"/>
    <w:rsid w:val="00D97AE5"/>
    <w:rsid w:val="00D97DA2"/>
    <w:rsid w:val="00DA0C88"/>
    <w:rsid w:val="00DA1A3A"/>
    <w:rsid w:val="00DA1D32"/>
    <w:rsid w:val="00DA2351"/>
    <w:rsid w:val="00DA249E"/>
    <w:rsid w:val="00DA2D3D"/>
    <w:rsid w:val="00DA4C30"/>
    <w:rsid w:val="00DA5F39"/>
    <w:rsid w:val="00DB0D49"/>
    <w:rsid w:val="00DB145E"/>
    <w:rsid w:val="00DB1A94"/>
    <w:rsid w:val="00DB1D52"/>
    <w:rsid w:val="00DB1F62"/>
    <w:rsid w:val="00DB21E7"/>
    <w:rsid w:val="00DB2E03"/>
    <w:rsid w:val="00DB320B"/>
    <w:rsid w:val="00DB3742"/>
    <w:rsid w:val="00DB3E9B"/>
    <w:rsid w:val="00DB3F4B"/>
    <w:rsid w:val="00DB452C"/>
    <w:rsid w:val="00DB5375"/>
    <w:rsid w:val="00DB6567"/>
    <w:rsid w:val="00DB67C1"/>
    <w:rsid w:val="00DB6C0B"/>
    <w:rsid w:val="00DB70F4"/>
    <w:rsid w:val="00DB7B60"/>
    <w:rsid w:val="00DC0705"/>
    <w:rsid w:val="00DC1056"/>
    <w:rsid w:val="00DC1442"/>
    <w:rsid w:val="00DC21D8"/>
    <w:rsid w:val="00DC282A"/>
    <w:rsid w:val="00DC34DC"/>
    <w:rsid w:val="00DC3780"/>
    <w:rsid w:val="00DC3ADA"/>
    <w:rsid w:val="00DC3CC6"/>
    <w:rsid w:val="00DC3F55"/>
    <w:rsid w:val="00DC46A5"/>
    <w:rsid w:val="00DC4782"/>
    <w:rsid w:val="00DC514A"/>
    <w:rsid w:val="00DC539B"/>
    <w:rsid w:val="00DC6294"/>
    <w:rsid w:val="00DC67B1"/>
    <w:rsid w:val="00DC7FBC"/>
    <w:rsid w:val="00DD0019"/>
    <w:rsid w:val="00DD132B"/>
    <w:rsid w:val="00DD1725"/>
    <w:rsid w:val="00DD2159"/>
    <w:rsid w:val="00DD2A18"/>
    <w:rsid w:val="00DD3044"/>
    <w:rsid w:val="00DD3985"/>
    <w:rsid w:val="00DD61E8"/>
    <w:rsid w:val="00DD62C0"/>
    <w:rsid w:val="00DD64DE"/>
    <w:rsid w:val="00DD7859"/>
    <w:rsid w:val="00DD7B41"/>
    <w:rsid w:val="00DE0784"/>
    <w:rsid w:val="00DE0A1D"/>
    <w:rsid w:val="00DE15B2"/>
    <w:rsid w:val="00DE17A1"/>
    <w:rsid w:val="00DE1A9A"/>
    <w:rsid w:val="00DE2973"/>
    <w:rsid w:val="00DE3D2C"/>
    <w:rsid w:val="00DE5E82"/>
    <w:rsid w:val="00DE5FA6"/>
    <w:rsid w:val="00DE5FA9"/>
    <w:rsid w:val="00DE6792"/>
    <w:rsid w:val="00DE6AA1"/>
    <w:rsid w:val="00DE7EF7"/>
    <w:rsid w:val="00DF015B"/>
    <w:rsid w:val="00DF02EC"/>
    <w:rsid w:val="00DF10FC"/>
    <w:rsid w:val="00DF1185"/>
    <w:rsid w:val="00DF1299"/>
    <w:rsid w:val="00DF1A70"/>
    <w:rsid w:val="00DF1E5F"/>
    <w:rsid w:val="00DF23A8"/>
    <w:rsid w:val="00DF2F27"/>
    <w:rsid w:val="00DF36B6"/>
    <w:rsid w:val="00DF4296"/>
    <w:rsid w:val="00DF5F38"/>
    <w:rsid w:val="00DF6608"/>
    <w:rsid w:val="00DF6CCC"/>
    <w:rsid w:val="00DF6D0C"/>
    <w:rsid w:val="00DF6F64"/>
    <w:rsid w:val="00DF721E"/>
    <w:rsid w:val="00DF7B2E"/>
    <w:rsid w:val="00DF7B8A"/>
    <w:rsid w:val="00DF7C87"/>
    <w:rsid w:val="00E009B0"/>
    <w:rsid w:val="00E00A12"/>
    <w:rsid w:val="00E00C49"/>
    <w:rsid w:val="00E0219D"/>
    <w:rsid w:val="00E04623"/>
    <w:rsid w:val="00E04C0F"/>
    <w:rsid w:val="00E0570B"/>
    <w:rsid w:val="00E06A2B"/>
    <w:rsid w:val="00E10913"/>
    <w:rsid w:val="00E10B87"/>
    <w:rsid w:val="00E121CE"/>
    <w:rsid w:val="00E12C71"/>
    <w:rsid w:val="00E12DFF"/>
    <w:rsid w:val="00E1478B"/>
    <w:rsid w:val="00E14AB3"/>
    <w:rsid w:val="00E14FAC"/>
    <w:rsid w:val="00E15007"/>
    <w:rsid w:val="00E16165"/>
    <w:rsid w:val="00E16277"/>
    <w:rsid w:val="00E16EC7"/>
    <w:rsid w:val="00E16F3D"/>
    <w:rsid w:val="00E219CE"/>
    <w:rsid w:val="00E24071"/>
    <w:rsid w:val="00E24EBC"/>
    <w:rsid w:val="00E25017"/>
    <w:rsid w:val="00E2522C"/>
    <w:rsid w:val="00E2552F"/>
    <w:rsid w:val="00E2599B"/>
    <w:rsid w:val="00E26EB4"/>
    <w:rsid w:val="00E2710C"/>
    <w:rsid w:val="00E271D6"/>
    <w:rsid w:val="00E27428"/>
    <w:rsid w:val="00E305B4"/>
    <w:rsid w:val="00E31AFA"/>
    <w:rsid w:val="00E31CB7"/>
    <w:rsid w:val="00E324EE"/>
    <w:rsid w:val="00E33D4A"/>
    <w:rsid w:val="00E34DB1"/>
    <w:rsid w:val="00E359FF"/>
    <w:rsid w:val="00E402C5"/>
    <w:rsid w:val="00E402F4"/>
    <w:rsid w:val="00E405F1"/>
    <w:rsid w:val="00E40A52"/>
    <w:rsid w:val="00E41C8A"/>
    <w:rsid w:val="00E427DA"/>
    <w:rsid w:val="00E42D9A"/>
    <w:rsid w:val="00E43054"/>
    <w:rsid w:val="00E44440"/>
    <w:rsid w:val="00E46013"/>
    <w:rsid w:val="00E47099"/>
    <w:rsid w:val="00E47284"/>
    <w:rsid w:val="00E473A5"/>
    <w:rsid w:val="00E477C3"/>
    <w:rsid w:val="00E51A7D"/>
    <w:rsid w:val="00E51C30"/>
    <w:rsid w:val="00E51E16"/>
    <w:rsid w:val="00E53730"/>
    <w:rsid w:val="00E5438D"/>
    <w:rsid w:val="00E54511"/>
    <w:rsid w:val="00E54E50"/>
    <w:rsid w:val="00E55288"/>
    <w:rsid w:val="00E57577"/>
    <w:rsid w:val="00E62043"/>
    <w:rsid w:val="00E626B9"/>
    <w:rsid w:val="00E627C9"/>
    <w:rsid w:val="00E62D84"/>
    <w:rsid w:val="00E630F3"/>
    <w:rsid w:val="00E6332F"/>
    <w:rsid w:val="00E637C9"/>
    <w:rsid w:val="00E6428E"/>
    <w:rsid w:val="00E6680A"/>
    <w:rsid w:val="00E66D4C"/>
    <w:rsid w:val="00E66F0D"/>
    <w:rsid w:val="00E67141"/>
    <w:rsid w:val="00E70615"/>
    <w:rsid w:val="00E7161E"/>
    <w:rsid w:val="00E7207B"/>
    <w:rsid w:val="00E7347A"/>
    <w:rsid w:val="00E75A47"/>
    <w:rsid w:val="00E75BB6"/>
    <w:rsid w:val="00E75D8C"/>
    <w:rsid w:val="00E777F2"/>
    <w:rsid w:val="00E802C9"/>
    <w:rsid w:val="00E803E1"/>
    <w:rsid w:val="00E80F0A"/>
    <w:rsid w:val="00E815D4"/>
    <w:rsid w:val="00E81EA8"/>
    <w:rsid w:val="00E8291B"/>
    <w:rsid w:val="00E82E70"/>
    <w:rsid w:val="00E82F92"/>
    <w:rsid w:val="00E8395F"/>
    <w:rsid w:val="00E8410F"/>
    <w:rsid w:val="00E85BBE"/>
    <w:rsid w:val="00E85DA0"/>
    <w:rsid w:val="00E85E41"/>
    <w:rsid w:val="00E85EA1"/>
    <w:rsid w:val="00E86703"/>
    <w:rsid w:val="00E87587"/>
    <w:rsid w:val="00E90ABC"/>
    <w:rsid w:val="00E91044"/>
    <w:rsid w:val="00E910D3"/>
    <w:rsid w:val="00E92154"/>
    <w:rsid w:val="00E923CF"/>
    <w:rsid w:val="00E924FA"/>
    <w:rsid w:val="00E93685"/>
    <w:rsid w:val="00E93C8C"/>
    <w:rsid w:val="00E9440F"/>
    <w:rsid w:val="00E95111"/>
    <w:rsid w:val="00E95FDF"/>
    <w:rsid w:val="00EA14C8"/>
    <w:rsid w:val="00EA2110"/>
    <w:rsid w:val="00EA283A"/>
    <w:rsid w:val="00EA2C90"/>
    <w:rsid w:val="00EA2E07"/>
    <w:rsid w:val="00EA48F3"/>
    <w:rsid w:val="00EA60BF"/>
    <w:rsid w:val="00EA6BCA"/>
    <w:rsid w:val="00EA7365"/>
    <w:rsid w:val="00EA763F"/>
    <w:rsid w:val="00EA77E9"/>
    <w:rsid w:val="00EB05D0"/>
    <w:rsid w:val="00EB08E2"/>
    <w:rsid w:val="00EB0CA2"/>
    <w:rsid w:val="00EB1151"/>
    <w:rsid w:val="00EB1D49"/>
    <w:rsid w:val="00EB23D9"/>
    <w:rsid w:val="00EB248C"/>
    <w:rsid w:val="00EB39A0"/>
    <w:rsid w:val="00EB559F"/>
    <w:rsid w:val="00EB5F3D"/>
    <w:rsid w:val="00EC0321"/>
    <w:rsid w:val="00EC1CEB"/>
    <w:rsid w:val="00EC1DC0"/>
    <w:rsid w:val="00EC21EC"/>
    <w:rsid w:val="00EC24B8"/>
    <w:rsid w:val="00EC268C"/>
    <w:rsid w:val="00EC2950"/>
    <w:rsid w:val="00EC3753"/>
    <w:rsid w:val="00EC4E71"/>
    <w:rsid w:val="00EC4E89"/>
    <w:rsid w:val="00EC541B"/>
    <w:rsid w:val="00EC56F6"/>
    <w:rsid w:val="00EC5F1C"/>
    <w:rsid w:val="00EC7064"/>
    <w:rsid w:val="00ED0365"/>
    <w:rsid w:val="00ED0865"/>
    <w:rsid w:val="00ED1988"/>
    <w:rsid w:val="00ED1C60"/>
    <w:rsid w:val="00ED2EB9"/>
    <w:rsid w:val="00ED3A31"/>
    <w:rsid w:val="00ED4469"/>
    <w:rsid w:val="00ED4C07"/>
    <w:rsid w:val="00ED5289"/>
    <w:rsid w:val="00ED5F23"/>
    <w:rsid w:val="00ED6459"/>
    <w:rsid w:val="00ED6DC0"/>
    <w:rsid w:val="00ED7A7A"/>
    <w:rsid w:val="00EE0327"/>
    <w:rsid w:val="00EE038C"/>
    <w:rsid w:val="00EE03E7"/>
    <w:rsid w:val="00EE28C5"/>
    <w:rsid w:val="00EE2F09"/>
    <w:rsid w:val="00EE35F2"/>
    <w:rsid w:val="00EE47C5"/>
    <w:rsid w:val="00EE490C"/>
    <w:rsid w:val="00EE4E57"/>
    <w:rsid w:val="00EE4F21"/>
    <w:rsid w:val="00EE5738"/>
    <w:rsid w:val="00EE58BD"/>
    <w:rsid w:val="00EE5B39"/>
    <w:rsid w:val="00EE5E59"/>
    <w:rsid w:val="00EE73D0"/>
    <w:rsid w:val="00EE7CB0"/>
    <w:rsid w:val="00EE7CE1"/>
    <w:rsid w:val="00EF08A8"/>
    <w:rsid w:val="00EF167B"/>
    <w:rsid w:val="00EF41A8"/>
    <w:rsid w:val="00EF44FB"/>
    <w:rsid w:val="00EF5122"/>
    <w:rsid w:val="00EF5554"/>
    <w:rsid w:val="00EF56D8"/>
    <w:rsid w:val="00EF5AD8"/>
    <w:rsid w:val="00EF6B90"/>
    <w:rsid w:val="00EF7807"/>
    <w:rsid w:val="00EF79F7"/>
    <w:rsid w:val="00F006C0"/>
    <w:rsid w:val="00F0125F"/>
    <w:rsid w:val="00F019AA"/>
    <w:rsid w:val="00F0267E"/>
    <w:rsid w:val="00F02686"/>
    <w:rsid w:val="00F030C0"/>
    <w:rsid w:val="00F03291"/>
    <w:rsid w:val="00F0459B"/>
    <w:rsid w:val="00F04E15"/>
    <w:rsid w:val="00F05DF3"/>
    <w:rsid w:val="00F069EA"/>
    <w:rsid w:val="00F070E5"/>
    <w:rsid w:val="00F07DDE"/>
    <w:rsid w:val="00F10963"/>
    <w:rsid w:val="00F10B52"/>
    <w:rsid w:val="00F11675"/>
    <w:rsid w:val="00F116FC"/>
    <w:rsid w:val="00F11B0C"/>
    <w:rsid w:val="00F12507"/>
    <w:rsid w:val="00F12557"/>
    <w:rsid w:val="00F13406"/>
    <w:rsid w:val="00F13599"/>
    <w:rsid w:val="00F13B28"/>
    <w:rsid w:val="00F13EFC"/>
    <w:rsid w:val="00F1459B"/>
    <w:rsid w:val="00F156A0"/>
    <w:rsid w:val="00F15730"/>
    <w:rsid w:val="00F17DF2"/>
    <w:rsid w:val="00F202C2"/>
    <w:rsid w:val="00F212F6"/>
    <w:rsid w:val="00F21764"/>
    <w:rsid w:val="00F22756"/>
    <w:rsid w:val="00F23890"/>
    <w:rsid w:val="00F2504D"/>
    <w:rsid w:val="00F250DB"/>
    <w:rsid w:val="00F2637F"/>
    <w:rsid w:val="00F268F7"/>
    <w:rsid w:val="00F30B83"/>
    <w:rsid w:val="00F30BDB"/>
    <w:rsid w:val="00F30CF8"/>
    <w:rsid w:val="00F3101A"/>
    <w:rsid w:val="00F31EDF"/>
    <w:rsid w:val="00F32CDE"/>
    <w:rsid w:val="00F32D4C"/>
    <w:rsid w:val="00F3327E"/>
    <w:rsid w:val="00F338C3"/>
    <w:rsid w:val="00F343D9"/>
    <w:rsid w:val="00F34B14"/>
    <w:rsid w:val="00F34F58"/>
    <w:rsid w:val="00F35DA7"/>
    <w:rsid w:val="00F36A6A"/>
    <w:rsid w:val="00F40101"/>
    <w:rsid w:val="00F404F7"/>
    <w:rsid w:val="00F40CCA"/>
    <w:rsid w:val="00F416A9"/>
    <w:rsid w:val="00F4241C"/>
    <w:rsid w:val="00F42D97"/>
    <w:rsid w:val="00F436B2"/>
    <w:rsid w:val="00F43813"/>
    <w:rsid w:val="00F43FEE"/>
    <w:rsid w:val="00F45621"/>
    <w:rsid w:val="00F45687"/>
    <w:rsid w:val="00F45A72"/>
    <w:rsid w:val="00F46723"/>
    <w:rsid w:val="00F4706D"/>
    <w:rsid w:val="00F470E8"/>
    <w:rsid w:val="00F47D1D"/>
    <w:rsid w:val="00F47F29"/>
    <w:rsid w:val="00F50016"/>
    <w:rsid w:val="00F5118A"/>
    <w:rsid w:val="00F51572"/>
    <w:rsid w:val="00F51A21"/>
    <w:rsid w:val="00F52163"/>
    <w:rsid w:val="00F52614"/>
    <w:rsid w:val="00F5276E"/>
    <w:rsid w:val="00F52E9F"/>
    <w:rsid w:val="00F53304"/>
    <w:rsid w:val="00F53B81"/>
    <w:rsid w:val="00F540FE"/>
    <w:rsid w:val="00F54F21"/>
    <w:rsid w:val="00F5519D"/>
    <w:rsid w:val="00F556FF"/>
    <w:rsid w:val="00F55D12"/>
    <w:rsid w:val="00F5687F"/>
    <w:rsid w:val="00F57433"/>
    <w:rsid w:val="00F575C7"/>
    <w:rsid w:val="00F57FD0"/>
    <w:rsid w:val="00F60305"/>
    <w:rsid w:val="00F61B12"/>
    <w:rsid w:val="00F63264"/>
    <w:rsid w:val="00F634E4"/>
    <w:rsid w:val="00F6379E"/>
    <w:rsid w:val="00F65171"/>
    <w:rsid w:val="00F66C0F"/>
    <w:rsid w:val="00F66E32"/>
    <w:rsid w:val="00F67844"/>
    <w:rsid w:val="00F70799"/>
    <w:rsid w:val="00F70A8B"/>
    <w:rsid w:val="00F70B8D"/>
    <w:rsid w:val="00F70F50"/>
    <w:rsid w:val="00F7118B"/>
    <w:rsid w:val="00F71CBC"/>
    <w:rsid w:val="00F71E1D"/>
    <w:rsid w:val="00F724FB"/>
    <w:rsid w:val="00F726B8"/>
    <w:rsid w:val="00F72A26"/>
    <w:rsid w:val="00F733C3"/>
    <w:rsid w:val="00F746A1"/>
    <w:rsid w:val="00F756DD"/>
    <w:rsid w:val="00F76925"/>
    <w:rsid w:val="00F77F4E"/>
    <w:rsid w:val="00F80047"/>
    <w:rsid w:val="00F800C7"/>
    <w:rsid w:val="00F802B0"/>
    <w:rsid w:val="00F8104D"/>
    <w:rsid w:val="00F81587"/>
    <w:rsid w:val="00F81BDB"/>
    <w:rsid w:val="00F8288F"/>
    <w:rsid w:val="00F843C7"/>
    <w:rsid w:val="00F84802"/>
    <w:rsid w:val="00F85B72"/>
    <w:rsid w:val="00F8766F"/>
    <w:rsid w:val="00F91082"/>
    <w:rsid w:val="00F9116D"/>
    <w:rsid w:val="00F91A9A"/>
    <w:rsid w:val="00F93354"/>
    <w:rsid w:val="00F9395D"/>
    <w:rsid w:val="00F93ABB"/>
    <w:rsid w:val="00F94D79"/>
    <w:rsid w:val="00F97A7F"/>
    <w:rsid w:val="00FA0889"/>
    <w:rsid w:val="00FA0E98"/>
    <w:rsid w:val="00FA15A8"/>
    <w:rsid w:val="00FA16E7"/>
    <w:rsid w:val="00FA31C7"/>
    <w:rsid w:val="00FA472D"/>
    <w:rsid w:val="00FA4BD0"/>
    <w:rsid w:val="00FA6B50"/>
    <w:rsid w:val="00FB0203"/>
    <w:rsid w:val="00FB0CBF"/>
    <w:rsid w:val="00FB18F6"/>
    <w:rsid w:val="00FB2A52"/>
    <w:rsid w:val="00FB2A5A"/>
    <w:rsid w:val="00FB2BED"/>
    <w:rsid w:val="00FB2CD6"/>
    <w:rsid w:val="00FB40AB"/>
    <w:rsid w:val="00FB4F60"/>
    <w:rsid w:val="00FB4FF9"/>
    <w:rsid w:val="00FB52C7"/>
    <w:rsid w:val="00FB555C"/>
    <w:rsid w:val="00FB57DC"/>
    <w:rsid w:val="00FB6E19"/>
    <w:rsid w:val="00FB71F6"/>
    <w:rsid w:val="00FB750E"/>
    <w:rsid w:val="00FC0AF8"/>
    <w:rsid w:val="00FC1483"/>
    <w:rsid w:val="00FC1C47"/>
    <w:rsid w:val="00FC2A92"/>
    <w:rsid w:val="00FC3102"/>
    <w:rsid w:val="00FC39ED"/>
    <w:rsid w:val="00FC4419"/>
    <w:rsid w:val="00FC47E2"/>
    <w:rsid w:val="00FC4AA5"/>
    <w:rsid w:val="00FC4B88"/>
    <w:rsid w:val="00FC4BB8"/>
    <w:rsid w:val="00FC5148"/>
    <w:rsid w:val="00FC75AC"/>
    <w:rsid w:val="00FD01BF"/>
    <w:rsid w:val="00FD0525"/>
    <w:rsid w:val="00FD0AB7"/>
    <w:rsid w:val="00FD0E78"/>
    <w:rsid w:val="00FD297D"/>
    <w:rsid w:val="00FD2D13"/>
    <w:rsid w:val="00FD4233"/>
    <w:rsid w:val="00FD6071"/>
    <w:rsid w:val="00FD633B"/>
    <w:rsid w:val="00FD65DB"/>
    <w:rsid w:val="00FE0794"/>
    <w:rsid w:val="00FE0825"/>
    <w:rsid w:val="00FE1041"/>
    <w:rsid w:val="00FE1DDF"/>
    <w:rsid w:val="00FE24CB"/>
    <w:rsid w:val="00FE2515"/>
    <w:rsid w:val="00FE3154"/>
    <w:rsid w:val="00FE323F"/>
    <w:rsid w:val="00FE3473"/>
    <w:rsid w:val="00FE4049"/>
    <w:rsid w:val="00FE4794"/>
    <w:rsid w:val="00FE480F"/>
    <w:rsid w:val="00FE4998"/>
    <w:rsid w:val="00FE57DE"/>
    <w:rsid w:val="00FE7A68"/>
    <w:rsid w:val="00FE7E2C"/>
    <w:rsid w:val="00FF0231"/>
    <w:rsid w:val="00FF1462"/>
    <w:rsid w:val="00FF1C9B"/>
    <w:rsid w:val="00FF1D49"/>
    <w:rsid w:val="00FF203B"/>
    <w:rsid w:val="00FF2562"/>
    <w:rsid w:val="00FF3A41"/>
    <w:rsid w:val="00FF3E5B"/>
    <w:rsid w:val="00FF57E4"/>
    <w:rsid w:val="00FF78E5"/>
    <w:rsid w:val="00FF7B6D"/>
    <w:rsid w:val="01A7022B"/>
    <w:rsid w:val="01AF3D99"/>
    <w:rsid w:val="01F80A87"/>
    <w:rsid w:val="01FA47FF"/>
    <w:rsid w:val="02261C62"/>
    <w:rsid w:val="024261A6"/>
    <w:rsid w:val="0246488E"/>
    <w:rsid w:val="02511F9D"/>
    <w:rsid w:val="027626DE"/>
    <w:rsid w:val="02B240F8"/>
    <w:rsid w:val="02BA3F8E"/>
    <w:rsid w:val="02D07464"/>
    <w:rsid w:val="02DA66D9"/>
    <w:rsid w:val="032233CF"/>
    <w:rsid w:val="0328539C"/>
    <w:rsid w:val="039119BF"/>
    <w:rsid w:val="039203FC"/>
    <w:rsid w:val="039A3370"/>
    <w:rsid w:val="03A314B8"/>
    <w:rsid w:val="03D82B98"/>
    <w:rsid w:val="03E33071"/>
    <w:rsid w:val="03F359AA"/>
    <w:rsid w:val="03F83E8B"/>
    <w:rsid w:val="04671EF4"/>
    <w:rsid w:val="049036F7"/>
    <w:rsid w:val="04A71B2E"/>
    <w:rsid w:val="04CD5C84"/>
    <w:rsid w:val="050E411D"/>
    <w:rsid w:val="053C06C8"/>
    <w:rsid w:val="05850883"/>
    <w:rsid w:val="058C6077"/>
    <w:rsid w:val="05BE3D95"/>
    <w:rsid w:val="05C56868"/>
    <w:rsid w:val="05ED6429"/>
    <w:rsid w:val="06110369"/>
    <w:rsid w:val="062A343F"/>
    <w:rsid w:val="06417756"/>
    <w:rsid w:val="066C559F"/>
    <w:rsid w:val="06856661"/>
    <w:rsid w:val="069F0814"/>
    <w:rsid w:val="06D118A6"/>
    <w:rsid w:val="06DB2D9B"/>
    <w:rsid w:val="06EB2968"/>
    <w:rsid w:val="06F63E93"/>
    <w:rsid w:val="072027E6"/>
    <w:rsid w:val="0744651C"/>
    <w:rsid w:val="077A1F3E"/>
    <w:rsid w:val="07B72767"/>
    <w:rsid w:val="07D31A1A"/>
    <w:rsid w:val="08077E72"/>
    <w:rsid w:val="08250195"/>
    <w:rsid w:val="08400A92"/>
    <w:rsid w:val="08691581"/>
    <w:rsid w:val="087E49FE"/>
    <w:rsid w:val="08882DD0"/>
    <w:rsid w:val="08D256B3"/>
    <w:rsid w:val="08E96A5C"/>
    <w:rsid w:val="09306D58"/>
    <w:rsid w:val="09475E50"/>
    <w:rsid w:val="094B5940"/>
    <w:rsid w:val="09CC2AAC"/>
    <w:rsid w:val="09EB0ED1"/>
    <w:rsid w:val="09FB0FEB"/>
    <w:rsid w:val="0A0A1357"/>
    <w:rsid w:val="0A430D0D"/>
    <w:rsid w:val="0A652D3E"/>
    <w:rsid w:val="0ABA1ADB"/>
    <w:rsid w:val="0ADD7C07"/>
    <w:rsid w:val="0AEC3153"/>
    <w:rsid w:val="0B065762"/>
    <w:rsid w:val="0B326F2A"/>
    <w:rsid w:val="0B36617C"/>
    <w:rsid w:val="0B674587"/>
    <w:rsid w:val="0B6B4077"/>
    <w:rsid w:val="0B8213C1"/>
    <w:rsid w:val="0B82550B"/>
    <w:rsid w:val="0B90397D"/>
    <w:rsid w:val="0B9B71F2"/>
    <w:rsid w:val="0BA954FE"/>
    <w:rsid w:val="0C1E2888"/>
    <w:rsid w:val="0C28640C"/>
    <w:rsid w:val="0C59039B"/>
    <w:rsid w:val="0C6576FF"/>
    <w:rsid w:val="0C857FD9"/>
    <w:rsid w:val="0C92213C"/>
    <w:rsid w:val="0CAC2B9A"/>
    <w:rsid w:val="0CD419FB"/>
    <w:rsid w:val="0D5C45C0"/>
    <w:rsid w:val="0D7A7B8E"/>
    <w:rsid w:val="0D84032B"/>
    <w:rsid w:val="0DB51DAB"/>
    <w:rsid w:val="0DEA0C19"/>
    <w:rsid w:val="0E197DBB"/>
    <w:rsid w:val="0E736B11"/>
    <w:rsid w:val="0E8C403E"/>
    <w:rsid w:val="0EB21367"/>
    <w:rsid w:val="0EBC44CA"/>
    <w:rsid w:val="0EBC4980"/>
    <w:rsid w:val="0ED4462A"/>
    <w:rsid w:val="0EFA6AA1"/>
    <w:rsid w:val="0F20174D"/>
    <w:rsid w:val="0F20414D"/>
    <w:rsid w:val="0F2A74C4"/>
    <w:rsid w:val="0F501F02"/>
    <w:rsid w:val="0FF7412C"/>
    <w:rsid w:val="100F603B"/>
    <w:rsid w:val="10125409"/>
    <w:rsid w:val="102B2027"/>
    <w:rsid w:val="102C3500"/>
    <w:rsid w:val="10433815"/>
    <w:rsid w:val="10483303"/>
    <w:rsid w:val="10515172"/>
    <w:rsid w:val="106D1168"/>
    <w:rsid w:val="10A27F31"/>
    <w:rsid w:val="110571D5"/>
    <w:rsid w:val="110A7E8F"/>
    <w:rsid w:val="11131439"/>
    <w:rsid w:val="112E0E28"/>
    <w:rsid w:val="116E2B13"/>
    <w:rsid w:val="11927058"/>
    <w:rsid w:val="119F2250"/>
    <w:rsid w:val="11C10E95"/>
    <w:rsid w:val="11D50E3C"/>
    <w:rsid w:val="11F56D91"/>
    <w:rsid w:val="128670BA"/>
    <w:rsid w:val="1289075F"/>
    <w:rsid w:val="128E7CAC"/>
    <w:rsid w:val="12940B5C"/>
    <w:rsid w:val="12B02CB8"/>
    <w:rsid w:val="12B14686"/>
    <w:rsid w:val="12B91B6C"/>
    <w:rsid w:val="12C4449F"/>
    <w:rsid w:val="12F10274"/>
    <w:rsid w:val="1311486C"/>
    <w:rsid w:val="13154432"/>
    <w:rsid w:val="1329079F"/>
    <w:rsid w:val="132A707B"/>
    <w:rsid w:val="1356560D"/>
    <w:rsid w:val="1360023A"/>
    <w:rsid w:val="136A2E67"/>
    <w:rsid w:val="139E0753"/>
    <w:rsid w:val="13AE369B"/>
    <w:rsid w:val="13AF4F03"/>
    <w:rsid w:val="141A663B"/>
    <w:rsid w:val="14234CC8"/>
    <w:rsid w:val="142B0848"/>
    <w:rsid w:val="144255A5"/>
    <w:rsid w:val="14736E66"/>
    <w:rsid w:val="147F458F"/>
    <w:rsid w:val="14907965"/>
    <w:rsid w:val="14946024"/>
    <w:rsid w:val="14AE3227"/>
    <w:rsid w:val="15155054"/>
    <w:rsid w:val="15205A99"/>
    <w:rsid w:val="1534169A"/>
    <w:rsid w:val="15496191"/>
    <w:rsid w:val="158225A3"/>
    <w:rsid w:val="15C03E03"/>
    <w:rsid w:val="15CD601C"/>
    <w:rsid w:val="15D553E2"/>
    <w:rsid w:val="162A25EB"/>
    <w:rsid w:val="162A343C"/>
    <w:rsid w:val="164476E2"/>
    <w:rsid w:val="16532F48"/>
    <w:rsid w:val="165A5297"/>
    <w:rsid w:val="168349A9"/>
    <w:rsid w:val="16B70AB9"/>
    <w:rsid w:val="16BC24E7"/>
    <w:rsid w:val="16C36F14"/>
    <w:rsid w:val="16FD2A55"/>
    <w:rsid w:val="16FEB42F"/>
    <w:rsid w:val="17067C1A"/>
    <w:rsid w:val="172A128B"/>
    <w:rsid w:val="17366761"/>
    <w:rsid w:val="174006DF"/>
    <w:rsid w:val="175E7186"/>
    <w:rsid w:val="17657D68"/>
    <w:rsid w:val="177C01F0"/>
    <w:rsid w:val="178A3129"/>
    <w:rsid w:val="179139D5"/>
    <w:rsid w:val="17931B43"/>
    <w:rsid w:val="17B5074B"/>
    <w:rsid w:val="17BF5E77"/>
    <w:rsid w:val="17C2210A"/>
    <w:rsid w:val="17CE6630"/>
    <w:rsid w:val="17E0430D"/>
    <w:rsid w:val="17F64EB0"/>
    <w:rsid w:val="1804388A"/>
    <w:rsid w:val="18131D1F"/>
    <w:rsid w:val="18145D37"/>
    <w:rsid w:val="189E3CDE"/>
    <w:rsid w:val="18AA29A6"/>
    <w:rsid w:val="18BD7C30"/>
    <w:rsid w:val="18C461FA"/>
    <w:rsid w:val="18DF1DBE"/>
    <w:rsid w:val="18F002B2"/>
    <w:rsid w:val="191915B7"/>
    <w:rsid w:val="19597C05"/>
    <w:rsid w:val="196D36B1"/>
    <w:rsid w:val="19866520"/>
    <w:rsid w:val="199C4CAF"/>
    <w:rsid w:val="19CD23B6"/>
    <w:rsid w:val="19EA6CD0"/>
    <w:rsid w:val="19EB76AA"/>
    <w:rsid w:val="19F16090"/>
    <w:rsid w:val="1A0645FD"/>
    <w:rsid w:val="1A07140F"/>
    <w:rsid w:val="1A3D7527"/>
    <w:rsid w:val="1A5A6A66"/>
    <w:rsid w:val="1AB92B8D"/>
    <w:rsid w:val="1AF5570C"/>
    <w:rsid w:val="1AFF0AFE"/>
    <w:rsid w:val="1B032323"/>
    <w:rsid w:val="1B2E6E70"/>
    <w:rsid w:val="1B4F19F8"/>
    <w:rsid w:val="1B6075DC"/>
    <w:rsid w:val="1B8B16C6"/>
    <w:rsid w:val="1B99253B"/>
    <w:rsid w:val="1B9A68C7"/>
    <w:rsid w:val="1BA809D0"/>
    <w:rsid w:val="1BD45C69"/>
    <w:rsid w:val="1BEE6D2B"/>
    <w:rsid w:val="1C3813A3"/>
    <w:rsid w:val="1C6012AB"/>
    <w:rsid w:val="1C8C6544"/>
    <w:rsid w:val="1C93342E"/>
    <w:rsid w:val="1C9B53CA"/>
    <w:rsid w:val="1CB54E52"/>
    <w:rsid w:val="1CCC6940"/>
    <w:rsid w:val="1CDD1D30"/>
    <w:rsid w:val="1D9236E6"/>
    <w:rsid w:val="1D9522EC"/>
    <w:rsid w:val="1DA376A1"/>
    <w:rsid w:val="1DE57CB9"/>
    <w:rsid w:val="1DFE0D7B"/>
    <w:rsid w:val="1E5D2262"/>
    <w:rsid w:val="1EC51899"/>
    <w:rsid w:val="1ECC44FA"/>
    <w:rsid w:val="1EF47B1B"/>
    <w:rsid w:val="1F063325"/>
    <w:rsid w:val="1F093E7B"/>
    <w:rsid w:val="1F2B3DF2"/>
    <w:rsid w:val="1F4633F5"/>
    <w:rsid w:val="1F6317DE"/>
    <w:rsid w:val="1F7A6B27"/>
    <w:rsid w:val="1FBC5DF5"/>
    <w:rsid w:val="1FED10A7"/>
    <w:rsid w:val="1FF24E15"/>
    <w:rsid w:val="20104D96"/>
    <w:rsid w:val="20474C5B"/>
    <w:rsid w:val="20476A09"/>
    <w:rsid w:val="204D1B46"/>
    <w:rsid w:val="205B0508"/>
    <w:rsid w:val="20757F47"/>
    <w:rsid w:val="20933C2B"/>
    <w:rsid w:val="20A43E5C"/>
    <w:rsid w:val="20BA5A7A"/>
    <w:rsid w:val="20C3623F"/>
    <w:rsid w:val="20EB1A8B"/>
    <w:rsid w:val="214100E4"/>
    <w:rsid w:val="21597AC8"/>
    <w:rsid w:val="215F4227"/>
    <w:rsid w:val="21781212"/>
    <w:rsid w:val="2188552B"/>
    <w:rsid w:val="21A47E8B"/>
    <w:rsid w:val="21A67B84"/>
    <w:rsid w:val="21A8172A"/>
    <w:rsid w:val="21B83F86"/>
    <w:rsid w:val="21D06ED2"/>
    <w:rsid w:val="220628F4"/>
    <w:rsid w:val="2209080D"/>
    <w:rsid w:val="221178A8"/>
    <w:rsid w:val="221213CF"/>
    <w:rsid w:val="221B640F"/>
    <w:rsid w:val="22327A92"/>
    <w:rsid w:val="224A0FC8"/>
    <w:rsid w:val="22916662"/>
    <w:rsid w:val="22C04851"/>
    <w:rsid w:val="22E36792"/>
    <w:rsid w:val="230916B5"/>
    <w:rsid w:val="231D28C9"/>
    <w:rsid w:val="231D53A2"/>
    <w:rsid w:val="2322375E"/>
    <w:rsid w:val="236D5383"/>
    <w:rsid w:val="237A0EA4"/>
    <w:rsid w:val="239C0C8D"/>
    <w:rsid w:val="23B7504C"/>
    <w:rsid w:val="23DA5DE6"/>
    <w:rsid w:val="23E722D9"/>
    <w:rsid w:val="245367E7"/>
    <w:rsid w:val="24571307"/>
    <w:rsid w:val="24701A48"/>
    <w:rsid w:val="247B3126"/>
    <w:rsid w:val="24863878"/>
    <w:rsid w:val="24D40A88"/>
    <w:rsid w:val="24D66237"/>
    <w:rsid w:val="24F73620"/>
    <w:rsid w:val="25110A2A"/>
    <w:rsid w:val="25495698"/>
    <w:rsid w:val="255C212C"/>
    <w:rsid w:val="255F2A47"/>
    <w:rsid w:val="256C0944"/>
    <w:rsid w:val="25755470"/>
    <w:rsid w:val="25916979"/>
    <w:rsid w:val="25B12B77"/>
    <w:rsid w:val="26063061"/>
    <w:rsid w:val="26077134"/>
    <w:rsid w:val="26446DE3"/>
    <w:rsid w:val="26487037"/>
    <w:rsid w:val="26745E7B"/>
    <w:rsid w:val="26885559"/>
    <w:rsid w:val="269669E7"/>
    <w:rsid w:val="26991B1E"/>
    <w:rsid w:val="26A5092E"/>
    <w:rsid w:val="26D7699F"/>
    <w:rsid w:val="26EA4592"/>
    <w:rsid w:val="270C0EC9"/>
    <w:rsid w:val="272922EB"/>
    <w:rsid w:val="272A6578"/>
    <w:rsid w:val="27384166"/>
    <w:rsid w:val="2762237B"/>
    <w:rsid w:val="27914A0E"/>
    <w:rsid w:val="27A7088E"/>
    <w:rsid w:val="28910AEA"/>
    <w:rsid w:val="28963054"/>
    <w:rsid w:val="28B058C3"/>
    <w:rsid w:val="28D23530"/>
    <w:rsid w:val="28E94DA7"/>
    <w:rsid w:val="29226266"/>
    <w:rsid w:val="29982084"/>
    <w:rsid w:val="2A0B1AB7"/>
    <w:rsid w:val="2A0B4F4C"/>
    <w:rsid w:val="2A4064ED"/>
    <w:rsid w:val="2A6E1037"/>
    <w:rsid w:val="2A950CB9"/>
    <w:rsid w:val="2A9E3E55"/>
    <w:rsid w:val="2AAD309E"/>
    <w:rsid w:val="2ABC4498"/>
    <w:rsid w:val="2AFE060C"/>
    <w:rsid w:val="2B17347C"/>
    <w:rsid w:val="2B2F4C6A"/>
    <w:rsid w:val="2B391645"/>
    <w:rsid w:val="2B512E32"/>
    <w:rsid w:val="2B774624"/>
    <w:rsid w:val="2B8747FF"/>
    <w:rsid w:val="2BA438D7"/>
    <w:rsid w:val="2BA63487"/>
    <w:rsid w:val="2C057779"/>
    <w:rsid w:val="2C113B8A"/>
    <w:rsid w:val="2C2140C0"/>
    <w:rsid w:val="2C2916B9"/>
    <w:rsid w:val="2C7A72BE"/>
    <w:rsid w:val="2C956D4E"/>
    <w:rsid w:val="2C9A7D75"/>
    <w:rsid w:val="2CDA29B3"/>
    <w:rsid w:val="2CDD07AF"/>
    <w:rsid w:val="2D0D7389"/>
    <w:rsid w:val="2D2B320F"/>
    <w:rsid w:val="2D3D22E5"/>
    <w:rsid w:val="2D4A0B33"/>
    <w:rsid w:val="2D59557C"/>
    <w:rsid w:val="2D914D3F"/>
    <w:rsid w:val="2D9B4C73"/>
    <w:rsid w:val="2DA52FC1"/>
    <w:rsid w:val="2DA76282"/>
    <w:rsid w:val="2DB70319"/>
    <w:rsid w:val="2DD969C7"/>
    <w:rsid w:val="2DF31F7F"/>
    <w:rsid w:val="2E270E26"/>
    <w:rsid w:val="2E422F06"/>
    <w:rsid w:val="2E424CB4"/>
    <w:rsid w:val="2E692241"/>
    <w:rsid w:val="2E6D7F83"/>
    <w:rsid w:val="2E9976CE"/>
    <w:rsid w:val="2E9B6172"/>
    <w:rsid w:val="2EAE2349"/>
    <w:rsid w:val="2EB14324"/>
    <w:rsid w:val="2EC15BD9"/>
    <w:rsid w:val="2ECB6A58"/>
    <w:rsid w:val="2EE13C69"/>
    <w:rsid w:val="2EF866AC"/>
    <w:rsid w:val="2EF9719E"/>
    <w:rsid w:val="2EFE6E10"/>
    <w:rsid w:val="2F3A4412"/>
    <w:rsid w:val="2F401D3C"/>
    <w:rsid w:val="2F4A02C4"/>
    <w:rsid w:val="2F4A3E20"/>
    <w:rsid w:val="2F5A7DDB"/>
    <w:rsid w:val="2F5B24E1"/>
    <w:rsid w:val="2F6D77A2"/>
    <w:rsid w:val="2F77273B"/>
    <w:rsid w:val="2F787D2A"/>
    <w:rsid w:val="2FA95C88"/>
    <w:rsid w:val="2FB219C5"/>
    <w:rsid w:val="2FD97510"/>
    <w:rsid w:val="2FDD55BD"/>
    <w:rsid w:val="2FDE7CC9"/>
    <w:rsid w:val="2FF21E67"/>
    <w:rsid w:val="3041370F"/>
    <w:rsid w:val="304F6FFA"/>
    <w:rsid w:val="30E16A06"/>
    <w:rsid w:val="30E94B41"/>
    <w:rsid w:val="30FA6E42"/>
    <w:rsid w:val="30FA7AC8"/>
    <w:rsid w:val="31274283"/>
    <w:rsid w:val="312B50A3"/>
    <w:rsid w:val="31321010"/>
    <w:rsid w:val="31370A86"/>
    <w:rsid w:val="31383FA4"/>
    <w:rsid w:val="31813D45"/>
    <w:rsid w:val="318334B4"/>
    <w:rsid w:val="318A0E4C"/>
    <w:rsid w:val="320A3D3B"/>
    <w:rsid w:val="32453A27"/>
    <w:rsid w:val="3263064A"/>
    <w:rsid w:val="327ED4F4"/>
    <w:rsid w:val="32A13DA2"/>
    <w:rsid w:val="32A43132"/>
    <w:rsid w:val="32AC0C06"/>
    <w:rsid w:val="32E97DF4"/>
    <w:rsid w:val="33192502"/>
    <w:rsid w:val="33E52369"/>
    <w:rsid w:val="34034EE6"/>
    <w:rsid w:val="34290C80"/>
    <w:rsid w:val="3468501E"/>
    <w:rsid w:val="3481537F"/>
    <w:rsid w:val="348710E7"/>
    <w:rsid w:val="349B511E"/>
    <w:rsid w:val="34CD3C2D"/>
    <w:rsid w:val="34F82570"/>
    <w:rsid w:val="350B22A4"/>
    <w:rsid w:val="352A2A22"/>
    <w:rsid w:val="3537750C"/>
    <w:rsid w:val="3537798C"/>
    <w:rsid w:val="35A61F15"/>
    <w:rsid w:val="35C13FC9"/>
    <w:rsid w:val="36054D5D"/>
    <w:rsid w:val="360A60B7"/>
    <w:rsid w:val="360C62D3"/>
    <w:rsid w:val="364257B6"/>
    <w:rsid w:val="36546371"/>
    <w:rsid w:val="366D6646"/>
    <w:rsid w:val="367B4245"/>
    <w:rsid w:val="369F4F85"/>
    <w:rsid w:val="36BB0808"/>
    <w:rsid w:val="36D77E83"/>
    <w:rsid w:val="36EC1C61"/>
    <w:rsid w:val="36F31241"/>
    <w:rsid w:val="36F961D1"/>
    <w:rsid w:val="37023232"/>
    <w:rsid w:val="37180CA8"/>
    <w:rsid w:val="37465815"/>
    <w:rsid w:val="37A83DDA"/>
    <w:rsid w:val="37EA5922"/>
    <w:rsid w:val="37EB1F18"/>
    <w:rsid w:val="37FA215C"/>
    <w:rsid w:val="38084878"/>
    <w:rsid w:val="38276B93"/>
    <w:rsid w:val="383D5C19"/>
    <w:rsid w:val="38547A46"/>
    <w:rsid w:val="385E6B8E"/>
    <w:rsid w:val="3872263A"/>
    <w:rsid w:val="388C7258"/>
    <w:rsid w:val="389D60E4"/>
    <w:rsid w:val="38A755BF"/>
    <w:rsid w:val="38AC3431"/>
    <w:rsid w:val="38B870EE"/>
    <w:rsid w:val="38CA5FD2"/>
    <w:rsid w:val="38D53146"/>
    <w:rsid w:val="38E173A8"/>
    <w:rsid w:val="39692965"/>
    <w:rsid w:val="397F0B6A"/>
    <w:rsid w:val="3982065B"/>
    <w:rsid w:val="39BA1BA2"/>
    <w:rsid w:val="39E00529"/>
    <w:rsid w:val="39E210F9"/>
    <w:rsid w:val="3A0057AE"/>
    <w:rsid w:val="3A06303A"/>
    <w:rsid w:val="3A0B64A7"/>
    <w:rsid w:val="3A157721"/>
    <w:rsid w:val="3A304F3B"/>
    <w:rsid w:val="3A3E78CD"/>
    <w:rsid w:val="3A4769A6"/>
    <w:rsid w:val="3A574DDA"/>
    <w:rsid w:val="3A5D0B4A"/>
    <w:rsid w:val="3A654204"/>
    <w:rsid w:val="3A8A02A9"/>
    <w:rsid w:val="3A8D12B6"/>
    <w:rsid w:val="3AB72586"/>
    <w:rsid w:val="3AD3075A"/>
    <w:rsid w:val="3AD35612"/>
    <w:rsid w:val="3AE07D2F"/>
    <w:rsid w:val="3AF74C02"/>
    <w:rsid w:val="3AFE0C57"/>
    <w:rsid w:val="3B0E39A4"/>
    <w:rsid w:val="3B1B038C"/>
    <w:rsid w:val="3B5655A6"/>
    <w:rsid w:val="3B5D137F"/>
    <w:rsid w:val="3B846C1D"/>
    <w:rsid w:val="3B912D0C"/>
    <w:rsid w:val="3BA60203"/>
    <w:rsid w:val="3BCE7B87"/>
    <w:rsid w:val="3C0059A5"/>
    <w:rsid w:val="3C134E78"/>
    <w:rsid w:val="3C17152E"/>
    <w:rsid w:val="3C7E77FF"/>
    <w:rsid w:val="3CAA23EC"/>
    <w:rsid w:val="3CDE3DFA"/>
    <w:rsid w:val="3CDE5DA7"/>
    <w:rsid w:val="3D103F2F"/>
    <w:rsid w:val="3D275786"/>
    <w:rsid w:val="3D5567B2"/>
    <w:rsid w:val="3D714C6E"/>
    <w:rsid w:val="3D9A2C23"/>
    <w:rsid w:val="3DB01C3A"/>
    <w:rsid w:val="3DE12692"/>
    <w:rsid w:val="3DF6345D"/>
    <w:rsid w:val="3E012496"/>
    <w:rsid w:val="3E265A58"/>
    <w:rsid w:val="3E2748F8"/>
    <w:rsid w:val="3E375EB7"/>
    <w:rsid w:val="3E4D4F28"/>
    <w:rsid w:val="3E510229"/>
    <w:rsid w:val="3EA42E21"/>
    <w:rsid w:val="3EC12B48"/>
    <w:rsid w:val="3EE13701"/>
    <w:rsid w:val="3EF06066"/>
    <w:rsid w:val="3EFB0C93"/>
    <w:rsid w:val="3F051B12"/>
    <w:rsid w:val="3F06061B"/>
    <w:rsid w:val="3F0A35CC"/>
    <w:rsid w:val="3F0F473E"/>
    <w:rsid w:val="3F1A4BB3"/>
    <w:rsid w:val="40004981"/>
    <w:rsid w:val="40192BA6"/>
    <w:rsid w:val="403D244D"/>
    <w:rsid w:val="405E18A9"/>
    <w:rsid w:val="406D5BC1"/>
    <w:rsid w:val="407F1A1C"/>
    <w:rsid w:val="40896772"/>
    <w:rsid w:val="408F4F2D"/>
    <w:rsid w:val="40CB28E7"/>
    <w:rsid w:val="40E9308C"/>
    <w:rsid w:val="41250249"/>
    <w:rsid w:val="412C782A"/>
    <w:rsid w:val="41325F04"/>
    <w:rsid w:val="41403330"/>
    <w:rsid w:val="418B3AD6"/>
    <w:rsid w:val="41C2018E"/>
    <w:rsid w:val="41C55588"/>
    <w:rsid w:val="41DD4BAA"/>
    <w:rsid w:val="41F52311"/>
    <w:rsid w:val="421E123E"/>
    <w:rsid w:val="424566C9"/>
    <w:rsid w:val="42550A18"/>
    <w:rsid w:val="42845443"/>
    <w:rsid w:val="429D496A"/>
    <w:rsid w:val="42CD6DEA"/>
    <w:rsid w:val="42CE6EF8"/>
    <w:rsid w:val="42F425C9"/>
    <w:rsid w:val="42F473A1"/>
    <w:rsid w:val="43105F3B"/>
    <w:rsid w:val="432B281E"/>
    <w:rsid w:val="437159C8"/>
    <w:rsid w:val="438B0671"/>
    <w:rsid w:val="43A86F10"/>
    <w:rsid w:val="43BD1647"/>
    <w:rsid w:val="43D23F8D"/>
    <w:rsid w:val="43D9356D"/>
    <w:rsid w:val="43EF0FE2"/>
    <w:rsid w:val="441E62C0"/>
    <w:rsid w:val="442A5B77"/>
    <w:rsid w:val="44360376"/>
    <w:rsid w:val="44B32884"/>
    <w:rsid w:val="44E81228"/>
    <w:rsid w:val="450F618C"/>
    <w:rsid w:val="45237196"/>
    <w:rsid w:val="45324E35"/>
    <w:rsid w:val="45325D14"/>
    <w:rsid w:val="453678A3"/>
    <w:rsid w:val="45505AB1"/>
    <w:rsid w:val="45576E3F"/>
    <w:rsid w:val="45797D9B"/>
    <w:rsid w:val="45811C7C"/>
    <w:rsid w:val="45976A65"/>
    <w:rsid w:val="459C6F7F"/>
    <w:rsid w:val="46132D66"/>
    <w:rsid w:val="46470C62"/>
    <w:rsid w:val="4648427E"/>
    <w:rsid w:val="465810C1"/>
    <w:rsid w:val="465F5FAB"/>
    <w:rsid w:val="46647A66"/>
    <w:rsid w:val="46656679"/>
    <w:rsid w:val="46843C64"/>
    <w:rsid w:val="468B3EFB"/>
    <w:rsid w:val="46963997"/>
    <w:rsid w:val="46B75DE7"/>
    <w:rsid w:val="46BA1434"/>
    <w:rsid w:val="470A6193"/>
    <w:rsid w:val="471A6804"/>
    <w:rsid w:val="472F3D77"/>
    <w:rsid w:val="47385210"/>
    <w:rsid w:val="476F39FD"/>
    <w:rsid w:val="47AD0F98"/>
    <w:rsid w:val="47C50090"/>
    <w:rsid w:val="47DC4F5C"/>
    <w:rsid w:val="48B40671"/>
    <w:rsid w:val="48BA52E7"/>
    <w:rsid w:val="48D43BCE"/>
    <w:rsid w:val="49521DF7"/>
    <w:rsid w:val="495B1176"/>
    <w:rsid w:val="4968161B"/>
    <w:rsid w:val="49777AB0"/>
    <w:rsid w:val="49794E63"/>
    <w:rsid w:val="4981342E"/>
    <w:rsid w:val="49943155"/>
    <w:rsid w:val="49971591"/>
    <w:rsid w:val="499B5738"/>
    <w:rsid w:val="499F244D"/>
    <w:rsid w:val="49C64593"/>
    <w:rsid w:val="4A135B9E"/>
    <w:rsid w:val="4A371DE6"/>
    <w:rsid w:val="4A3B526E"/>
    <w:rsid w:val="4A3C3BA1"/>
    <w:rsid w:val="4A58162B"/>
    <w:rsid w:val="4A5D4FF6"/>
    <w:rsid w:val="4A637C9A"/>
    <w:rsid w:val="4A897F4C"/>
    <w:rsid w:val="4A973F3F"/>
    <w:rsid w:val="4AD52CE0"/>
    <w:rsid w:val="4AE922E8"/>
    <w:rsid w:val="4AF96BC7"/>
    <w:rsid w:val="4B1530DD"/>
    <w:rsid w:val="4B1732F9"/>
    <w:rsid w:val="4B3043BA"/>
    <w:rsid w:val="4B5F335A"/>
    <w:rsid w:val="4B862A85"/>
    <w:rsid w:val="4B8A1D1C"/>
    <w:rsid w:val="4BE45E29"/>
    <w:rsid w:val="4BEC7610"/>
    <w:rsid w:val="4C121D12"/>
    <w:rsid w:val="4C162E9B"/>
    <w:rsid w:val="4CBD3A2C"/>
    <w:rsid w:val="4CEF36E2"/>
    <w:rsid w:val="4CEF4DC5"/>
    <w:rsid w:val="4CF57C60"/>
    <w:rsid w:val="4D3857A8"/>
    <w:rsid w:val="4DA06C21"/>
    <w:rsid w:val="4DAE5A6A"/>
    <w:rsid w:val="4DDD664C"/>
    <w:rsid w:val="4DEA4CF4"/>
    <w:rsid w:val="4DF80A94"/>
    <w:rsid w:val="4DFE42FC"/>
    <w:rsid w:val="4E257655"/>
    <w:rsid w:val="4E5B174E"/>
    <w:rsid w:val="4E652D95"/>
    <w:rsid w:val="4E68271A"/>
    <w:rsid w:val="4EEC05F8"/>
    <w:rsid w:val="4F372380"/>
    <w:rsid w:val="4F372FFB"/>
    <w:rsid w:val="4F6178F6"/>
    <w:rsid w:val="4FC464B6"/>
    <w:rsid w:val="4FD7787B"/>
    <w:rsid w:val="4FF736F9"/>
    <w:rsid w:val="500E361F"/>
    <w:rsid w:val="503A57CF"/>
    <w:rsid w:val="504F2DD9"/>
    <w:rsid w:val="505049DC"/>
    <w:rsid w:val="50504BB7"/>
    <w:rsid w:val="50615BB0"/>
    <w:rsid w:val="50C4762A"/>
    <w:rsid w:val="50FB0FC7"/>
    <w:rsid w:val="51385D77"/>
    <w:rsid w:val="513A18F3"/>
    <w:rsid w:val="513E0EB3"/>
    <w:rsid w:val="515813FE"/>
    <w:rsid w:val="5201260D"/>
    <w:rsid w:val="52395ECD"/>
    <w:rsid w:val="524D2B0C"/>
    <w:rsid w:val="528537F7"/>
    <w:rsid w:val="528B637A"/>
    <w:rsid w:val="5290573F"/>
    <w:rsid w:val="52AA6800"/>
    <w:rsid w:val="52C10D75"/>
    <w:rsid w:val="52E951AC"/>
    <w:rsid w:val="52F83A10"/>
    <w:rsid w:val="5371731E"/>
    <w:rsid w:val="53986FA1"/>
    <w:rsid w:val="539B25ED"/>
    <w:rsid w:val="539E3679"/>
    <w:rsid w:val="53B55872"/>
    <w:rsid w:val="53BC2C8F"/>
    <w:rsid w:val="53C27FF8"/>
    <w:rsid w:val="543F566E"/>
    <w:rsid w:val="54741E21"/>
    <w:rsid w:val="5493193A"/>
    <w:rsid w:val="549E1A80"/>
    <w:rsid w:val="54BB4F14"/>
    <w:rsid w:val="54C658F4"/>
    <w:rsid w:val="54F621D1"/>
    <w:rsid w:val="55027C80"/>
    <w:rsid w:val="550C4BD7"/>
    <w:rsid w:val="55347222"/>
    <w:rsid w:val="554C1D56"/>
    <w:rsid w:val="55572986"/>
    <w:rsid w:val="555F7761"/>
    <w:rsid w:val="557E5D22"/>
    <w:rsid w:val="55822DAE"/>
    <w:rsid w:val="559612BE"/>
    <w:rsid w:val="55A20309"/>
    <w:rsid w:val="55B300C2"/>
    <w:rsid w:val="56150435"/>
    <w:rsid w:val="564B02FA"/>
    <w:rsid w:val="564B7FC2"/>
    <w:rsid w:val="565340FA"/>
    <w:rsid w:val="565A22EB"/>
    <w:rsid w:val="567267D9"/>
    <w:rsid w:val="56941CA1"/>
    <w:rsid w:val="57037958"/>
    <w:rsid w:val="57071993"/>
    <w:rsid w:val="570F757A"/>
    <w:rsid w:val="575F1533"/>
    <w:rsid w:val="5778511F"/>
    <w:rsid w:val="577D3E0F"/>
    <w:rsid w:val="57813503"/>
    <w:rsid w:val="57B65C47"/>
    <w:rsid w:val="57C2283E"/>
    <w:rsid w:val="57CB544E"/>
    <w:rsid w:val="57F14ED1"/>
    <w:rsid w:val="57F81DBC"/>
    <w:rsid w:val="580146DB"/>
    <w:rsid w:val="5840717C"/>
    <w:rsid w:val="58445001"/>
    <w:rsid w:val="58550FBC"/>
    <w:rsid w:val="585D2B19"/>
    <w:rsid w:val="5866141B"/>
    <w:rsid w:val="58735F27"/>
    <w:rsid w:val="58CE3E44"/>
    <w:rsid w:val="58E3369B"/>
    <w:rsid w:val="59012EF2"/>
    <w:rsid w:val="59050C34"/>
    <w:rsid w:val="595B0854"/>
    <w:rsid w:val="595E6596"/>
    <w:rsid w:val="59644FEB"/>
    <w:rsid w:val="59945B14"/>
    <w:rsid w:val="59B85EB7"/>
    <w:rsid w:val="59DE2886"/>
    <w:rsid w:val="59DF76D7"/>
    <w:rsid w:val="59FE51CE"/>
    <w:rsid w:val="5A2F2CC8"/>
    <w:rsid w:val="5A407A4A"/>
    <w:rsid w:val="5A5D23AA"/>
    <w:rsid w:val="5A733899"/>
    <w:rsid w:val="5A8E4DCB"/>
    <w:rsid w:val="5AA30C31"/>
    <w:rsid w:val="5AE20B01"/>
    <w:rsid w:val="5AEB447E"/>
    <w:rsid w:val="5AEC372E"/>
    <w:rsid w:val="5AFF1D09"/>
    <w:rsid w:val="5B046CCA"/>
    <w:rsid w:val="5B072F34"/>
    <w:rsid w:val="5B084A0C"/>
    <w:rsid w:val="5B3C19CA"/>
    <w:rsid w:val="5B750086"/>
    <w:rsid w:val="5B7E0434"/>
    <w:rsid w:val="5BAC17CF"/>
    <w:rsid w:val="5BBB322E"/>
    <w:rsid w:val="5BC31AC7"/>
    <w:rsid w:val="5BD91F04"/>
    <w:rsid w:val="5C10702D"/>
    <w:rsid w:val="5C186ED1"/>
    <w:rsid w:val="5C381242"/>
    <w:rsid w:val="5C7D4229"/>
    <w:rsid w:val="5C8148B7"/>
    <w:rsid w:val="5C8A1B2F"/>
    <w:rsid w:val="5CE86DD9"/>
    <w:rsid w:val="5D0D455B"/>
    <w:rsid w:val="5D370064"/>
    <w:rsid w:val="5D4E7A2B"/>
    <w:rsid w:val="5D681792"/>
    <w:rsid w:val="5D6D2AF3"/>
    <w:rsid w:val="5D847211"/>
    <w:rsid w:val="5DE314A1"/>
    <w:rsid w:val="5DED613B"/>
    <w:rsid w:val="5E16137A"/>
    <w:rsid w:val="5E3B2A02"/>
    <w:rsid w:val="5E5463B1"/>
    <w:rsid w:val="5E580B4C"/>
    <w:rsid w:val="5EAB402C"/>
    <w:rsid w:val="5EB427B5"/>
    <w:rsid w:val="5EBB1C1C"/>
    <w:rsid w:val="5EE523C5"/>
    <w:rsid w:val="5F12750C"/>
    <w:rsid w:val="5F3E57D1"/>
    <w:rsid w:val="5F615BB1"/>
    <w:rsid w:val="5F6C3CB1"/>
    <w:rsid w:val="5F752409"/>
    <w:rsid w:val="5F866AF6"/>
    <w:rsid w:val="5FB4655F"/>
    <w:rsid w:val="5FDD2827"/>
    <w:rsid w:val="5FF26ACB"/>
    <w:rsid w:val="60363DC9"/>
    <w:rsid w:val="60544A97"/>
    <w:rsid w:val="605F299C"/>
    <w:rsid w:val="606007BB"/>
    <w:rsid w:val="607778D5"/>
    <w:rsid w:val="60795A64"/>
    <w:rsid w:val="60AB6843"/>
    <w:rsid w:val="60AC7F66"/>
    <w:rsid w:val="60CC6B71"/>
    <w:rsid w:val="61204131"/>
    <w:rsid w:val="61377DF9"/>
    <w:rsid w:val="614225BA"/>
    <w:rsid w:val="61500EBB"/>
    <w:rsid w:val="61BF10D9"/>
    <w:rsid w:val="61C82B3E"/>
    <w:rsid w:val="62001036"/>
    <w:rsid w:val="62234D25"/>
    <w:rsid w:val="62346892"/>
    <w:rsid w:val="62507CF9"/>
    <w:rsid w:val="62612C54"/>
    <w:rsid w:val="626F711E"/>
    <w:rsid w:val="62857C68"/>
    <w:rsid w:val="629D05E5"/>
    <w:rsid w:val="62AC22DC"/>
    <w:rsid w:val="62BD2580"/>
    <w:rsid w:val="62DB47B4"/>
    <w:rsid w:val="62E84DF1"/>
    <w:rsid w:val="62EF025F"/>
    <w:rsid w:val="63217013"/>
    <w:rsid w:val="63443525"/>
    <w:rsid w:val="637248EB"/>
    <w:rsid w:val="63C4349A"/>
    <w:rsid w:val="63D2420A"/>
    <w:rsid w:val="63FE4BFE"/>
    <w:rsid w:val="6410048D"/>
    <w:rsid w:val="641125B3"/>
    <w:rsid w:val="64346474"/>
    <w:rsid w:val="644625C2"/>
    <w:rsid w:val="648A46E4"/>
    <w:rsid w:val="648F5856"/>
    <w:rsid w:val="649B173A"/>
    <w:rsid w:val="64AA6B34"/>
    <w:rsid w:val="64C077D1"/>
    <w:rsid w:val="64E45EF7"/>
    <w:rsid w:val="64E54AAC"/>
    <w:rsid w:val="65411F74"/>
    <w:rsid w:val="657B4052"/>
    <w:rsid w:val="65926D3D"/>
    <w:rsid w:val="65A610A9"/>
    <w:rsid w:val="65FE0EE5"/>
    <w:rsid w:val="667C0995"/>
    <w:rsid w:val="668645CF"/>
    <w:rsid w:val="6691014E"/>
    <w:rsid w:val="66B03EA0"/>
    <w:rsid w:val="66B45A48"/>
    <w:rsid w:val="66CE0A06"/>
    <w:rsid w:val="66D41C46"/>
    <w:rsid w:val="671309C0"/>
    <w:rsid w:val="673037B4"/>
    <w:rsid w:val="67344B68"/>
    <w:rsid w:val="676141CE"/>
    <w:rsid w:val="67642FCA"/>
    <w:rsid w:val="677435B2"/>
    <w:rsid w:val="6784366C"/>
    <w:rsid w:val="679542C8"/>
    <w:rsid w:val="67DE6642"/>
    <w:rsid w:val="67EF75F1"/>
    <w:rsid w:val="68324E76"/>
    <w:rsid w:val="68356310"/>
    <w:rsid w:val="68773BBF"/>
    <w:rsid w:val="68AF296B"/>
    <w:rsid w:val="69050A3F"/>
    <w:rsid w:val="690C1B6B"/>
    <w:rsid w:val="69124F16"/>
    <w:rsid w:val="694035C3"/>
    <w:rsid w:val="69670B4F"/>
    <w:rsid w:val="699E3448"/>
    <w:rsid w:val="69B72833"/>
    <w:rsid w:val="69CD5C14"/>
    <w:rsid w:val="69CF0D33"/>
    <w:rsid w:val="69D450F9"/>
    <w:rsid w:val="69DB153D"/>
    <w:rsid w:val="69DF2DDC"/>
    <w:rsid w:val="69FE5550"/>
    <w:rsid w:val="6A0C16F7"/>
    <w:rsid w:val="6A325E3A"/>
    <w:rsid w:val="6A3A1C0B"/>
    <w:rsid w:val="6A3E3519"/>
    <w:rsid w:val="6A410BA0"/>
    <w:rsid w:val="6A51419A"/>
    <w:rsid w:val="6AE2528B"/>
    <w:rsid w:val="6AEC2E18"/>
    <w:rsid w:val="6B2B3F7E"/>
    <w:rsid w:val="6B393CD9"/>
    <w:rsid w:val="6B8974A3"/>
    <w:rsid w:val="6B9946B3"/>
    <w:rsid w:val="6BAB6BFA"/>
    <w:rsid w:val="6BC03847"/>
    <w:rsid w:val="6BC34587"/>
    <w:rsid w:val="6BC34F61"/>
    <w:rsid w:val="6BE20961"/>
    <w:rsid w:val="6C4447F3"/>
    <w:rsid w:val="6C661592"/>
    <w:rsid w:val="6C7007C7"/>
    <w:rsid w:val="6CB60ABC"/>
    <w:rsid w:val="6CB920F0"/>
    <w:rsid w:val="6CF73F89"/>
    <w:rsid w:val="6D06477D"/>
    <w:rsid w:val="6D17288C"/>
    <w:rsid w:val="6D537CBC"/>
    <w:rsid w:val="6D6F4477"/>
    <w:rsid w:val="6D723F67"/>
    <w:rsid w:val="6D7306CF"/>
    <w:rsid w:val="6D8A05CE"/>
    <w:rsid w:val="6DBE4DBA"/>
    <w:rsid w:val="6DE05374"/>
    <w:rsid w:val="6DE76850"/>
    <w:rsid w:val="6E05302D"/>
    <w:rsid w:val="6E0F17B6"/>
    <w:rsid w:val="6E1318C1"/>
    <w:rsid w:val="6E7726B9"/>
    <w:rsid w:val="6E957F0D"/>
    <w:rsid w:val="6E970129"/>
    <w:rsid w:val="6EE2041A"/>
    <w:rsid w:val="6F375468"/>
    <w:rsid w:val="6F4858D0"/>
    <w:rsid w:val="6F4F0424"/>
    <w:rsid w:val="6F5A2F04"/>
    <w:rsid w:val="6F730322"/>
    <w:rsid w:val="6FA3261F"/>
    <w:rsid w:val="6FB20BD4"/>
    <w:rsid w:val="6FBA59BE"/>
    <w:rsid w:val="6FF9271D"/>
    <w:rsid w:val="70154FBC"/>
    <w:rsid w:val="70254AB1"/>
    <w:rsid w:val="70282DFC"/>
    <w:rsid w:val="70296B3E"/>
    <w:rsid w:val="704D7FE5"/>
    <w:rsid w:val="705B67DF"/>
    <w:rsid w:val="70611204"/>
    <w:rsid w:val="70980188"/>
    <w:rsid w:val="70DC62C7"/>
    <w:rsid w:val="70F80C27"/>
    <w:rsid w:val="71951A5C"/>
    <w:rsid w:val="71C17AAB"/>
    <w:rsid w:val="71F80EC2"/>
    <w:rsid w:val="724D0AFE"/>
    <w:rsid w:val="725620A9"/>
    <w:rsid w:val="72A81E16"/>
    <w:rsid w:val="72C54847"/>
    <w:rsid w:val="72DC365F"/>
    <w:rsid w:val="73125FD0"/>
    <w:rsid w:val="734E13A4"/>
    <w:rsid w:val="73610D05"/>
    <w:rsid w:val="738C04BF"/>
    <w:rsid w:val="73BE1EBD"/>
    <w:rsid w:val="73C21408"/>
    <w:rsid w:val="73CC7326"/>
    <w:rsid w:val="73EC5EF4"/>
    <w:rsid w:val="740F250F"/>
    <w:rsid w:val="747405C4"/>
    <w:rsid w:val="74810E3D"/>
    <w:rsid w:val="74E0436E"/>
    <w:rsid w:val="74E90FB2"/>
    <w:rsid w:val="74FA2C30"/>
    <w:rsid w:val="754D5C4B"/>
    <w:rsid w:val="755E374E"/>
    <w:rsid w:val="75A31161"/>
    <w:rsid w:val="75AD6958"/>
    <w:rsid w:val="75BE625B"/>
    <w:rsid w:val="75DA47EA"/>
    <w:rsid w:val="75E6265A"/>
    <w:rsid w:val="75F37F7B"/>
    <w:rsid w:val="75FE0A8D"/>
    <w:rsid w:val="7601657D"/>
    <w:rsid w:val="76223BE0"/>
    <w:rsid w:val="769F401E"/>
    <w:rsid w:val="769F4F59"/>
    <w:rsid w:val="76C240A7"/>
    <w:rsid w:val="76D37824"/>
    <w:rsid w:val="76E77774"/>
    <w:rsid w:val="76FA74A7"/>
    <w:rsid w:val="774249AA"/>
    <w:rsid w:val="775246B7"/>
    <w:rsid w:val="77A44108"/>
    <w:rsid w:val="77B67ACA"/>
    <w:rsid w:val="77BC650A"/>
    <w:rsid w:val="77D87800"/>
    <w:rsid w:val="7802176B"/>
    <w:rsid w:val="780A3358"/>
    <w:rsid w:val="781E69D1"/>
    <w:rsid w:val="78327197"/>
    <w:rsid w:val="78372663"/>
    <w:rsid w:val="783C72C1"/>
    <w:rsid w:val="78866B18"/>
    <w:rsid w:val="78992CEF"/>
    <w:rsid w:val="78C20A4C"/>
    <w:rsid w:val="78CD26BE"/>
    <w:rsid w:val="78E71583"/>
    <w:rsid w:val="79095FC9"/>
    <w:rsid w:val="79200D1B"/>
    <w:rsid w:val="792C3B64"/>
    <w:rsid w:val="79314CD6"/>
    <w:rsid w:val="79586707"/>
    <w:rsid w:val="79894B12"/>
    <w:rsid w:val="79992CC7"/>
    <w:rsid w:val="7A0917AF"/>
    <w:rsid w:val="7A102DAC"/>
    <w:rsid w:val="7A263B6B"/>
    <w:rsid w:val="7A645B58"/>
    <w:rsid w:val="7A6563BC"/>
    <w:rsid w:val="7A791595"/>
    <w:rsid w:val="7A835A05"/>
    <w:rsid w:val="7A9A2795"/>
    <w:rsid w:val="7AD40197"/>
    <w:rsid w:val="7AF26CCA"/>
    <w:rsid w:val="7AF46346"/>
    <w:rsid w:val="7B0F5EBF"/>
    <w:rsid w:val="7B130FB9"/>
    <w:rsid w:val="7B3867F0"/>
    <w:rsid w:val="7B74583D"/>
    <w:rsid w:val="7BB87930"/>
    <w:rsid w:val="7BBF481B"/>
    <w:rsid w:val="7BC76F32"/>
    <w:rsid w:val="7BDA3F07"/>
    <w:rsid w:val="7BF379A7"/>
    <w:rsid w:val="7BF64EDE"/>
    <w:rsid w:val="7BFF2E69"/>
    <w:rsid w:val="7C400C1E"/>
    <w:rsid w:val="7C512B06"/>
    <w:rsid w:val="7C705B15"/>
    <w:rsid w:val="7C941E39"/>
    <w:rsid w:val="7CD619D9"/>
    <w:rsid w:val="7CEA2CFB"/>
    <w:rsid w:val="7D1F7C67"/>
    <w:rsid w:val="7DD11708"/>
    <w:rsid w:val="7DDD71DA"/>
    <w:rsid w:val="7DFF19FE"/>
    <w:rsid w:val="7E153995"/>
    <w:rsid w:val="7E733A4D"/>
    <w:rsid w:val="7E82611B"/>
    <w:rsid w:val="7E843AFA"/>
    <w:rsid w:val="7EC167BD"/>
    <w:rsid w:val="7EF26CB5"/>
    <w:rsid w:val="7F272D9E"/>
    <w:rsid w:val="7F3F1B66"/>
    <w:rsid w:val="7F631B2A"/>
    <w:rsid w:val="7F732443"/>
    <w:rsid w:val="7FBA5A25"/>
    <w:rsid w:val="7FCA19E0"/>
    <w:rsid w:val="7FCD552F"/>
    <w:rsid w:val="D9FE0328"/>
    <w:rsid w:val="FA8F0EFE"/>
    <w:rsid w:val="FBFB32D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iPriority="9" w:name="heading 6"/>
    <w:lsdException w:qFormat="1" w:uiPriority="9" w:name="heading 7"/>
    <w:lsdException w:qFormat="1" w:unhideWhenUsed="0" w:uiPriority="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qFormat="1" w:unhideWhenUsed="0" w:uiPriority="0" w:semiHidden="0"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qFormat="1" w:uiPriority="99" w:semiHidden="0"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99" w:semiHidden="0" w:name="Body Text 2"/>
    <w:lsdException w:qFormat="1" w:uiPriority="99" w:semiHidden="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numPr>
        <w:ilvl w:val="0"/>
        <w:numId w:val="1"/>
      </w:numPr>
      <w:spacing w:before="120" w:after="60" w:line="360" w:lineRule="auto"/>
      <w:outlineLvl w:val="0"/>
    </w:pPr>
    <w:rPr>
      <w:rFonts w:eastAsia="Heiti SC Medium"/>
      <w:b/>
      <w:kern w:val="44"/>
      <w:sz w:val="28"/>
    </w:rPr>
  </w:style>
  <w:style w:type="paragraph" w:styleId="3">
    <w:name w:val="heading 2"/>
    <w:basedOn w:val="1"/>
    <w:next w:val="1"/>
    <w:link w:val="42"/>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43"/>
    <w:qFormat/>
    <w:uiPriority w:val="0"/>
    <w:pPr>
      <w:keepNext/>
      <w:keepLines/>
      <w:spacing w:before="260" w:after="260" w:line="416" w:lineRule="auto"/>
      <w:outlineLvl w:val="2"/>
    </w:pPr>
    <w:rPr>
      <w:b/>
      <w:bCs/>
      <w:kern w:val="0"/>
      <w:sz w:val="32"/>
      <w:szCs w:val="32"/>
    </w:rPr>
  </w:style>
  <w:style w:type="paragraph" w:styleId="5">
    <w:name w:val="heading 4"/>
    <w:basedOn w:val="1"/>
    <w:next w:val="1"/>
    <w:qFormat/>
    <w:uiPriority w:val="0"/>
    <w:pPr>
      <w:adjustRightInd w:val="0"/>
      <w:spacing w:before="120" w:line="360" w:lineRule="auto"/>
      <w:ind w:left="2155" w:hanging="1078"/>
      <w:textAlignment w:val="baseline"/>
      <w:outlineLvl w:val="3"/>
    </w:pPr>
    <w:rPr>
      <w:rFonts w:ascii="Arial" w:eastAsia="黑体"/>
      <w:kern w:val="0"/>
      <w:sz w:val="28"/>
      <w:szCs w:val="20"/>
    </w:rPr>
  </w:style>
  <w:style w:type="paragraph" w:styleId="6">
    <w:name w:val="heading 5"/>
    <w:basedOn w:val="1"/>
    <w:next w:val="7"/>
    <w:link w:val="44"/>
    <w:qFormat/>
    <w:uiPriority w:val="9"/>
    <w:pPr>
      <w:keepNext/>
      <w:keepLines/>
      <w:spacing w:before="280" w:after="290" w:line="376" w:lineRule="auto"/>
      <w:outlineLvl w:val="4"/>
    </w:pPr>
    <w:rPr>
      <w:b/>
      <w:bCs/>
      <w:sz w:val="28"/>
      <w:szCs w:val="28"/>
    </w:rPr>
  </w:style>
  <w:style w:type="paragraph" w:styleId="8">
    <w:name w:val="heading 8"/>
    <w:basedOn w:val="1"/>
    <w:next w:val="1"/>
    <w:link w:val="45"/>
    <w:qFormat/>
    <w:uiPriority w:val="9"/>
    <w:pPr>
      <w:keepNext/>
      <w:keepLines/>
      <w:spacing w:before="240" w:after="64" w:line="320" w:lineRule="auto"/>
      <w:outlineLvl w:val="7"/>
    </w:pPr>
    <w:rPr>
      <w:rFonts w:ascii="等线 Light" w:hAnsi="等线 Light" w:eastAsia="等线 Light"/>
      <w:sz w:val="24"/>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72"/>
    <w:qFormat/>
    <w:uiPriority w:val="0"/>
    <w:pPr>
      <w:ind w:firstLine="420"/>
    </w:pPr>
    <w:rPr>
      <w:szCs w:val="20"/>
    </w:rPr>
  </w:style>
  <w:style w:type="paragraph" w:styleId="9">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0">
    <w:name w:val="annotation text"/>
    <w:basedOn w:val="1"/>
    <w:link w:val="46"/>
    <w:qFormat/>
    <w:uiPriority w:val="0"/>
    <w:pPr>
      <w:jc w:val="left"/>
    </w:pPr>
  </w:style>
  <w:style w:type="paragraph" w:styleId="11">
    <w:name w:val="Body Text 3"/>
    <w:basedOn w:val="1"/>
    <w:link w:val="47"/>
    <w:unhideWhenUsed/>
    <w:qFormat/>
    <w:uiPriority w:val="99"/>
    <w:pPr>
      <w:spacing w:after="120"/>
    </w:pPr>
    <w:rPr>
      <w:sz w:val="16"/>
      <w:szCs w:val="16"/>
    </w:rPr>
  </w:style>
  <w:style w:type="paragraph" w:styleId="12">
    <w:name w:val="Body Text"/>
    <w:basedOn w:val="1"/>
    <w:link w:val="48"/>
    <w:unhideWhenUsed/>
    <w:qFormat/>
    <w:uiPriority w:val="0"/>
    <w:pPr>
      <w:spacing w:after="120"/>
    </w:pPr>
  </w:style>
  <w:style w:type="paragraph" w:styleId="13">
    <w:name w:val="Body Text Indent"/>
    <w:basedOn w:val="1"/>
    <w:link w:val="49"/>
    <w:qFormat/>
    <w:uiPriority w:val="0"/>
    <w:pPr>
      <w:ind w:firstLine="830" w:firstLineChars="352"/>
    </w:pPr>
    <w:rPr>
      <w:rFonts w:ascii="仿宋_GB2312" w:eastAsia="仿宋_GB2312"/>
      <w:kern w:val="0"/>
      <w:sz w:val="32"/>
      <w:szCs w:val="20"/>
    </w:rPr>
  </w:style>
  <w:style w:type="paragraph" w:styleId="14">
    <w:name w:val="List 2"/>
    <w:basedOn w:val="1"/>
    <w:unhideWhenUsed/>
    <w:qFormat/>
    <w:uiPriority w:val="99"/>
    <w:pPr>
      <w:ind w:left="100" w:leftChars="200" w:hanging="200" w:hangingChars="200"/>
      <w:contextualSpacing/>
    </w:pPr>
  </w:style>
  <w:style w:type="paragraph" w:styleId="15">
    <w:name w:val="toc 3"/>
    <w:basedOn w:val="1"/>
    <w:next w:val="1"/>
    <w:unhideWhenUsed/>
    <w:qFormat/>
    <w:uiPriority w:val="39"/>
    <w:pPr>
      <w:ind w:left="840" w:leftChars="400"/>
    </w:pPr>
  </w:style>
  <w:style w:type="paragraph" w:styleId="16">
    <w:name w:val="Plain Text"/>
    <w:basedOn w:val="1"/>
    <w:link w:val="50"/>
    <w:qFormat/>
    <w:uiPriority w:val="0"/>
    <w:rPr>
      <w:rFonts w:ascii="宋体" w:hAnsi="Courier New"/>
      <w:kern w:val="0"/>
      <w:sz w:val="20"/>
      <w:szCs w:val="21"/>
    </w:rPr>
  </w:style>
  <w:style w:type="paragraph" w:styleId="17">
    <w:name w:val="Date"/>
    <w:basedOn w:val="1"/>
    <w:next w:val="1"/>
    <w:link w:val="51"/>
    <w:unhideWhenUsed/>
    <w:qFormat/>
    <w:uiPriority w:val="99"/>
    <w:pPr>
      <w:ind w:left="100" w:leftChars="2500"/>
    </w:pPr>
  </w:style>
  <w:style w:type="paragraph" w:styleId="18">
    <w:name w:val="Balloon Text"/>
    <w:basedOn w:val="1"/>
    <w:semiHidden/>
    <w:qFormat/>
    <w:uiPriority w:val="0"/>
    <w:rPr>
      <w:sz w:val="18"/>
      <w:szCs w:val="18"/>
    </w:rPr>
  </w:style>
  <w:style w:type="paragraph" w:styleId="19">
    <w:name w:val="footer"/>
    <w:basedOn w:val="1"/>
    <w:link w:val="52"/>
    <w:unhideWhenUsed/>
    <w:qFormat/>
    <w:uiPriority w:val="99"/>
    <w:pPr>
      <w:tabs>
        <w:tab w:val="center" w:pos="4153"/>
        <w:tab w:val="right" w:pos="8306"/>
      </w:tabs>
      <w:snapToGrid w:val="0"/>
      <w:jc w:val="left"/>
    </w:pPr>
    <w:rPr>
      <w:kern w:val="0"/>
      <w:sz w:val="18"/>
      <w:szCs w:val="18"/>
    </w:rPr>
  </w:style>
  <w:style w:type="paragraph" w:styleId="20">
    <w:name w:val="header"/>
    <w:basedOn w:val="1"/>
    <w:link w:val="53"/>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1">
    <w:name w:val="toc 1"/>
    <w:basedOn w:val="1"/>
    <w:next w:val="1"/>
    <w:unhideWhenUsed/>
    <w:qFormat/>
    <w:uiPriority w:val="39"/>
  </w:style>
  <w:style w:type="paragraph" w:styleId="22">
    <w:name w:val="footnote text"/>
    <w:basedOn w:val="1"/>
    <w:next w:val="23"/>
    <w:qFormat/>
    <w:uiPriority w:val="0"/>
    <w:pPr>
      <w:widowControl/>
      <w:snapToGrid w:val="0"/>
      <w:jc w:val="left"/>
    </w:pPr>
    <w:rPr>
      <w:rFonts w:hint="eastAsia" w:ascii="Calibri" w:hAnsi="Calibri"/>
      <w:kern w:val="0"/>
      <w:sz w:val="18"/>
      <w:szCs w:val="18"/>
    </w:rPr>
  </w:style>
  <w:style w:type="paragraph" w:styleId="23">
    <w:name w:val="Body Text First Indent 2"/>
    <w:basedOn w:val="13"/>
    <w:next w:val="24"/>
    <w:unhideWhenUsed/>
    <w:qFormat/>
    <w:uiPriority w:val="99"/>
    <w:pPr>
      <w:ind w:firstLine="420" w:firstLineChars="200"/>
    </w:pPr>
  </w:style>
  <w:style w:type="paragraph" w:styleId="24">
    <w:name w:val="Body Text First Indent"/>
    <w:basedOn w:val="12"/>
    <w:qFormat/>
    <w:uiPriority w:val="0"/>
    <w:pPr>
      <w:ind w:firstLine="420" w:firstLineChars="100"/>
    </w:pPr>
  </w:style>
  <w:style w:type="paragraph" w:styleId="25">
    <w:name w:val="index 9"/>
    <w:basedOn w:val="1"/>
    <w:next w:val="1"/>
    <w:qFormat/>
    <w:uiPriority w:val="0"/>
    <w:pPr>
      <w:ind w:left="1600" w:leftChars="1600"/>
    </w:pPr>
    <w:rPr>
      <w:rFonts w:eastAsia="仿宋_GB2312" w:cs="Calibri"/>
      <w:sz w:val="32"/>
      <w:szCs w:val="22"/>
    </w:rPr>
  </w:style>
  <w:style w:type="paragraph" w:styleId="26">
    <w:name w:val="toc 2"/>
    <w:basedOn w:val="1"/>
    <w:next w:val="1"/>
    <w:unhideWhenUsed/>
    <w:qFormat/>
    <w:uiPriority w:val="39"/>
    <w:pPr>
      <w:tabs>
        <w:tab w:val="right" w:leader="dot" w:pos="8296"/>
      </w:tabs>
      <w:ind w:left="420" w:leftChars="200"/>
    </w:pPr>
  </w:style>
  <w:style w:type="paragraph" w:styleId="27">
    <w:name w:val="Body Text 2"/>
    <w:basedOn w:val="1"/>
    <w:qFormat/>
    <w:uiPriority w:val="99"/>
    <w:pPr>
      <w:jc w:val="center"/>
    </w:pPr>
    <w:rPr>
      <w:b/>
      <w:bCs/>
      <w:kern w:val="0"/>
      <w:sz w:val="20"/>
      <w:szCs w:val="20"/>
    </w:rPr>
  </w:style>
  <w:style w:type="paragraph" w:styleId="28">
    <w:name w:val="Normal (Web)"/>
    <w:basedOn w:val="1"/>
    <w:unhideWhenUsed/>
    <w:qFormat/>
    <w:uiPriority w:val="99"/>
    <w:rPr>
      <w:rFonts w:ascii="Calibri" w:hAnsi="Calibri"/>
      <w:kern w:val="0"/>
      <w:sz w:val="24"/>
    </w:rPr>
  </w:style>
  <w:style w:type="paragraph" w:styleId="29">
    <w:name w:val="Title"/>
    <w:basedOn w:val="1"/>
    <w:next w:val="1"/>
    <w:qFormat/>
    <w:uiPriority w:val="10"/>
    <w:pPr>
      <w:spacing w:before="240" w:after="60"/>
      <w:jc w:val="center"/>
      <w:outlineLvl w:val="0"/>
    </w:pPr>
    <w:rPr>
      <w:rFonts w:ascii="Cambria" w:hAnsi="Cambria"/>
      <w:b/>
      <w:bCs/>
      <w:sz w:val="32"/>
      <w:szCs w:val="32"/>
    </w:rPr>
  </w:style>
  <w:style w:type="paragraph" w:styleId="30">
    <w:name w:val="annotation subject"/>
    <w:basedOn w:val="10"/>
    <w:next w:val="10"/>
    <w:link w:val="54"/>
    <w:qFormat/>
    <w:uiPriority w:val="99"/>
    <w:rPr>
      <w:b/>
      <w:bCs/>
    </w:rPr>
  </w:style>
  <w:style w:type="table" w:styleId="32">
    <w:name w:val="Table Grid"/>
    <w:basedOn w:val="31"/>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4">
    <w:name w:val="Strong"/>
    <w:basedOn w:val="33"/>
    <w:qFormat/>
    <w:uiPriority w:val="22"/>
    <w:rPr>
      <w:b/>
    </w:rPr>
  </w:style>
  <w:style w:type="character" w:styleId="35">
    <w:name w:val="endnote reference"/>
    <w:unhideWhenUsed/>
    <w:qFormat/>
    <w:uiPriority w:val="99"/>
    <w:rPr>
      <w:vertAlign w:val="superscript"/>
    </w:rPr>
  </w:style>
  <w:style w:type="character" w:styleId="36">
    <w:name w:val="Hyperlink"/>
    <w:unhideWhenUsed/>
    <w:qFormat/>
    <w:uiPriority w:val="99"/>
    <w:rPr>
      <w:color w:val="0000FF"/>
      <w:u w:val="single"/>
    </w:rPr>
  </w:style>
  <w:style w:type="character" w:styleId="37">
    <w:name w:val="annotation reference"/>
    <w:basedOn w:val="33"/>
    <w:qFormat/>
    <w:uiPriority w:val="0"/>
    <w:rPr>
      <w:sz w:val="21"/>
      <w:szCs w:val="21"/>
    </w:rPr>
  </w:style>
  <w:style w:type="paragraph" w:customStyle="1" w:styleId="38">
    <w:name w:val="Title1"/>
    <w:basedOn w:val="1"/>
    <w:next w:val="1"/>
    <w:qFormat/>
    <w:uiPriority w:val="0"/>
    <w:pPr>
      <w:jc w:val="center"/>
      <w:outlineLvl w:val="0"/>
    </w:pPr>
    <w:rPr>
      <w:rFonts w:ascii="Calibri Light" w:hAnsi="Calibri Light" w:eastAsia="Arial Unicode MS"/>
      <w:b/>
    </w:rPr>
  </w:style>
  <w:style w:type="paragraph" w:customStyle="1" w:styleId="39">
    <w:name w:val="正文内容"/>
    <w:basedOn w:val="1"/>
    <w:qFormat/>
    <w:uiPriority w:val="0"/>
    <w:pPr>
      <w:widowControl/>
      <w:spacing w:line="590" w:lineRule="exact"/>
      <w:ind w:firstLine="880" w:firstLineChars="200"/>
    </w:pPr>
    <w:rPr>
      <w:rFonts w:hint="eastAsia" w:eastAsia="仿宋_GB2312"/>
      <w:sz w:val="32"/>
      <w:szCs w:val="32"/>
    </w:rPr>
  </w:style>
  <w:style w:type="paragraph" w:customStyle="1" w:styleId="40">
    <w:name w:val="文标题1"/>
    <w:basedOn w:val="2"/>
    <w:next w:val="39"/>
    <w:qFormat/>
    <w:uiPriority w:val="0"/>
    <w:pPr>
      <w:ind w:firstLine="640"/>
    </w:pPr>
    <w:rPr>
      <w:rFonts w:hint="eastAsia"/>
    </w:rPr>
  </w:style>
  <w:style w:type="paragraph" w:customStyle="1" w:styleId="41">
    <w:name w:val="文标题2"/>
    <w:basedOn w:val="3"/>
    <w:next w:val="1"/>
    <w:link w:val="79"/>
    <w:qFormat/>
    <w:uiPriority w:val="0"/>
    <w:pPr>
      <w:ind w:firstLine="640"/>
    </w:pPr>
    <w:rPr>
      <w:rFonts w:ascii="Times New Roman" w:hAnsi="Times New Roman"/>
    </w:rPr>
  </w:style>
  <w:style w:type="character" w:customStyle="1" w:styleId="42">
    <w:name w:val="标题 2 Char1"/>
    <w:link w:val="3"/>
    <w:qFormat/>
    <w:uiPriority w:val="9"/>
    <w:rPr>
      <w:rFonts w:ascii="Cambria" w:hAnsi="Cambria" w:eastAsia="宋体" w:cs="Times New Roman"/>
      <w:b/>
      <w:bCs/>
      <w:kern w:val="2"/>
      <w:sz w:val="32"/>
      <w:szCs w:val="32"/>
    </w:rPr>
  </w:style>
  <w:style w:type="character" w:customStyle="1" w:styleId="43">
    <w:name w:val="标题 3 Char"/>
    <w:link w:val="4"/>
    <w:qFormat/>
    <w:uiPriority w:val="0"/>
    <w:rPr>
      <w:b/>
      <w:bCs/>
      <w:sz w:val="32"/>
      <w:szCs w:val="32"/>
    </w:rPr>
  </w:style>
  <w:style w:type="character" w:customStyle="1" w:styleId="44">
    <w:name w:val="标题 5 Char"/>
    <w:link w:val="6"/>
    <w:semiHidden/>
    <w:qFormat/>
    <w:uiPriority w:val="9"/>
    <w:rPr>
      <w:rFonts w:ascii="Times New Roman" w:hAnsi="Times New Roman"/>
      <w:b/>
      <w:bCs/>
      <w:kern w:val="2"/>
      <w:sz w:val="28"/>
      <w:szCs w:val="28"/>
    </w:rPr>
  </w:style>
  <w:style w:type="character" w:customStyle="1" w:styleId="45">
    <w:name w:val="标题 8 Char1"/>
    <w:link w:val="8"/>
    <w:semiHidden/>
    <w:qFormat/>
    <w:uiPriority w:val="9"/>
    <w:rPr>
      <w:rFonts w:ascii="等线 Light" w:hAnsi="等线 Light" w:eastAsia="等线 Light" w:cs="Times New Roman"/>
      <w:kern w:val="2"/>
      <w:sz w:val="24"/>
      <w:szCs w:val="24"/>
    </w:rPr>
  </w:style>
  <w:style w:type="character" w:customStyle="1" w:styleId="46">
    <w:name w:val="批注文字 Char1"/>
    <w:link w:val="10"/>
    <w:qFormat/>
    <w:uiPriority w:val="0"/>
    <w:rPr>
      <w:rFonts w:ascii="Times New Roman" w:hAnsi="Times New Roman"/>
      <w:kern w:val="2"/>
      <w:sz w:val="21"/>
      <w:szCs w:val="24"/>
    </w:rPr>
  </w:style>
  <w:style w:type="character" w:customStyle="1" w:styleId="47">
    <w:name w:val="正文文本 3 Char"/>
    <w:link w:val="11"/>
    <w:semiHidden/>
    <w:qFormat/>
    <w:uiPriority w:val="99"/>
    <w:rPr>
      <w:kern w:val="2"/>
      <w:sz w:val="16"/>
      <w:szCs w:val="16"/>
    </w:rPr>
  </w:style>
  <w:style w:type="character" w:customStyle="1" w:styleId="48">
    <w:name w:val="正文文本 Char1"/>
    <w:link w:val="12"/>
    <w:qFormat/>
    <w:uiPriority w:val="0"/>
    <w:rPr>
      <w:rFonts w:ascii="Times New Roman" w:hAnsi="Times New Roman"/>
      <w:kern w:val="2"/>
      <w:sz w:val="21"/>
      <w:szCs w:val="24"/>
    </w:rPr>
  </w:style>
  <w:style w:type="character" w:customStyle="1" w:styleId="49">
    <w:name w:val="正文文本缩进 Char"/>
    <w:link w:val="13"/>
    <w:qFormat/>
    <w:uiPriority w:val="0"/>
    <w:rPr>
      <w:rFonts w:ascii="仿宋_GB2312" w:hAnsi="Times New Roman" w:eastAsia="仿宋_GB2312" w:cs="Times New Roman"/>
      <w:sz w:val="32"/>
      <w:szCs w:val="20"/>
    </w:rPr>
  </w:style>
  <w:style w:type="character" w:customStyle="1" w:styleId="50">
    <w:name w:val="纯文本 Char1"/>
    <w:link w:val="16"/>
    <w:qFormat/>
    <w:uiPriority w:val="0"/>
    <w:rPr>
      <w:rFonts w:ascii="宋体" w:hAnsi="Courier New" w:eastAsia="宋体" w:cs="Courier New"/>
      <w:szCs w:val="21"/>
    </w:rPr>
  </w:style>
  <w:style w:type="character" w:customStyle="1" w:styleId="51">
    <w:name w:val="日期 Char"/>
    <w:link w:val="17"/>
    <w:semiHidden/>
    <w:qFormat/>
    <w:uiPriority w:val="99"/>
    <w:rPr>
      <w:rFonts w:ascii="Times New Roman" w:hAnsi="Times New Roman"/>
      <w:kern w:val="2"/>
      <w:sz w:val="21"/>
      <w:szCs w:val="24"/>
    </w:rPr>
  </w:style>
  <w:style w:type="character" w:customStyle="1" w:styleId="52">
    <w:name w:val="页脚 Char"/>
    <w:link w:val="19"/>
    <w:qFormat/>
    <w:uiPriority w:val="99"/>
    <w:rPr>
      <w:sz w:val="18"/>
      <w:szCs w:val="18"/>
    </w:rPr>
  </w:style>
  <w:style w:type="character" w:customStyle="1" w:styleId="53">
    <w:name w:val="页眉 Char"/>
    <w:link w:val="20"/>
    <w:qFormat/>
    <w:uiPriority w:val="99"/>
    <w:rPr>
      <w:sz w:val="18"/>
      <w:szCs w:val="18"/>
    </w:rPr>
  </w:style>
  <w:style w:type="character" w:customStyle="1" w:styleId="54">
    <w:name w:val="批注主题 Char"/>
    <w:link w:val="30"/>
    <w:qFormat/>
    <w:uiPriority w:val="99"/>
    <w:rPr>
      <w:rFonts w:ascii="Times New Roman" w:hAnsi="Times New Roman"/>
      <w:b/>
      <w:bCs/>
      <w:kern w:val="2"/>
      <w:sz w:val="21"/>
      <w:szCs w:val="24"/>
    </w:rPr>
  </w:style>
  <w:style w:type="character" w:customStyle="1" w:styleId="55">
    <w:name w:val="纯文本 字符2"/>
    <w:qFormat/>
    <w:uiPriority w:val="0"/>
    <w:rPr>
      <w:rFonts w:ascii="宋体" w:hAnsi="Courier New" w:eastAsia="宋体" w:cs="Courier New"/>
      <w:szCs w:val="21"/>
    </w:rPr>
  </w:style>
  <w:style w:type="character" w:customStyle="1" w:styleId="56">
    <w:name w:val="纯文本 Char"/>
    <w:qFormat/>
    <w:uiPriority w:val="0"/>
    <w:rPr>
      <w:rFonts w:ascii="宋体" w:hAnsi="Courier New" w:eastAsia="宋体" w:cs="Courier New"/>
      <w:szCs w:val="21"/>
    </w:rPr>
  </w:style>
  <w:style w:type="character" w:customStyle="1" w:styleId="57">
    <w:name w:val="apple-style-span"/>
    <w:qFormat/>
    <w:uiPriority w:val="0"/>
  </w:style>
  <w:style w:type="character" w:customStyle="1" w:styleId="58">
    <w:name w:val="正文文本 Char"/>
    <w:qFormat/>
    <w:uiPriority w:val="0"/>
    <w:rPr>
      <w:rFonts w:ascii="Times New Roman" w:hAnsi="Times New Roman"/>
      <w:kern w:val="2"/>
      <w:sz w:val="21"/>
      <w:szCs w:val="24"/>
    </w:rPr>
  </w:style>
  <w:style w:type="character" w:customStyle="1" w:styleId="59">
    <w:name w:val="批注文字 Char"/>
    <w:qFormat/>
    <w:uiPriority w:val="0"/>
    <w:rPr>
      <w:rFonts w:ascii="Times New Roman" w:hAnsi="Times New Roman"/>
      <w:kern w:val="2"/>
      <w:sz w:val="21"/>
      <w:szCs w:val="24"/>
    </w:rPr>
  </w:style>
  <w:style w:type="character" w:customStyle="1" w:styleId="60">
    <w:name w:val="纯文本 字符1"/>
    <w:qFormat/>
    <w:uiPriority w:val="0"/>
    <w:rPr>
      <w:rFonts w:ascii="宋体" w:hAnsi="Courier New"/>
    </w:rPr>
  </w:style>
  <w:style w:type="character" w:customStyle="1" w:styleId="61">
    <w:name w:val="批注文字 字符1"/>
    <w:qFormat/>
    <w:uiPriority w:val="0"/>
    <w:rPr>
      <w:rFonts w:ascii="Times New Roman" w:hAnsi="Times New Roman"/>
      <w:kern w:val="2"/>
      <w:sz w:val="21"/>
      <w:szCs w:val="24"/>
    </w:rPr>
  </w:style>
  <w:style w:type="character" w:customStyle="1" w:styleId="62">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63">
    <w:name w:val="textcontents"/>
    <w:qFormat/>
    <w:uiPriority w:val="0"/>
  </w:style>
  <w:style w:type="character" w:customStyle="1" w:styleId="64">
    <w:name w:val="标题 2 Char"/>
    <w:qFormat/>
    <w:uiPriority w:val="9"/>
    <w:rPr>
      <w:rFonts w:ascii="Cambria" w:hAnsi="Cambria" w:eastAsia="宋体" w:cs="Times New Roman"/>
      <w:b/>
      <w:bCs/>
      <w:kern w:val="2"/>
      <w:sz w:val="32"/>
      <w:szCs w:val="32"/>
    </w:rPr>
  </w:style>
  <w:style w:type="character" w:customStyle="1" w:styleId="65">
    <w:name w:val="标题 8 Char"/>
    <w:qFormat/>
    <w:uiPriority w:val="0"/>
    <w:rPr>
      <w:rFonts w:ascii="Arial" w:hAnsi="Arial" w:eastAsia="黑体"/>
      <w:kern w:val="2"/>
      <w:sz w:val="24"/>
      <w:szCs w:val="24"/>
    </w:rPr>
  </w:style>
  <w:style w:type="paragraph" w:customStyle="1" w:styleId="66">
    <w:name w:val="默认段落字体 Para Char Char Char Char Char Char Char Char Char1 Char Char Char Char"/>
    <w:basedOn w:val="1"/>
    <w:qFormat/>
    <w:uiPriority w:val="0"/>
    <w:rPr>
      <w:rFonts w:ascii="Tahoma" w:hAnsi="Tahoma"/>
      <w:sz w:val="24"/>
      <w:szCs w:val="20"/>
    </w:rPr>
  </w:style>
  <w:style w:type="paragraph" w:styleId="67">
    <w:name w:val="List Paragraph"/>
    <w:basedOn w:val="1"/>
    <w:qFormat/>
    <w:uiPriority w:val="34"/>
    <w:pPr>
      <w:ind w:firstLine="420" w:firstLineChars="200"/>
    </w:pPr>
  </w:style>
  <w:style w:type="paragraph" w:customStyle="1" w:styleId="68">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69">
    <w:name w:val="正文2"/>
    <w:basedOn w:val="1"/>
    <w:qFormat/>
    <w:uiPriority w:val="0"/>
    <w:pPr>
      <w:adjustRightInd w:val="0"/>
      <w:spacing w:before="156" w:line="360" w:lineRule="auto"/>
      <w:ind w:firstLine="510" w:firstLineChars="200"/>
    </w:pPr>
    <w:rPr>
      <w:kern w:val="0"/>
      <w:sz w:val="24"/>
      <w:szCs w:val="20"/>
    </w:rPr>
  </w:style>
  <w:style w:type="character" w:customStyle="1" w:styleId="70">
    <w:name w:val="未处理的提及1"/>
    <w:semiHidden/>
    <w:unhideWhenUsed/>
    <w:qFormat/>
    <w:uiPriority w:val="99"/>
    <w:rPr>
      <w:color w:val="605E5C"/>
      <w:shd w:val="clear" w:color="auto" w:fill="E1DFDD"/>
    </w:rPr>
  </w:style>
  <w:style w:type="character" w:customStyle="1" w:styleId="71">
    <w:name w:val="纯文本 字符3"/>
    <w:qFormat/>
    <w:uiPriority w:val="0"/>
    <w:rPr>
      <w:rFonts w:ascii="宋体" w:hAnsi="Courier New" w:eastAsia="宋体" w:cs="Courier New"/>
      <w:szCs w:val="21"/>
    </w:rPr>
  </w:style>
  <w:style w:type="character" w:customStyle="1" w:styleId="72">
    <w:name w:val="正文缩进 Char"/>
    <w:link w:val="7"/>
    <w:qFormat/>
    <w:uiPriority w:val="0"/>
    <w:rPr>
      <w:kern w:val="2"/>
      <w:sz w:val="21"/>
    </w:rPr>
  </w:style>
  <w:style w:type="character" w:customStyle="1" w:styleId="73">
    <w:name w:val="正文文本 字符1"/>
    <w:qFormat/>
    <w:uiPriority w:val="0"/>
    <w:rPr>
      <w:kern w:val="2"/>
      <w:sz w:val="21"/>
      <w:szCs w:val="24"/>
    </w:rPr>
  </w:style>
  <w:style w:type="character" w:customStyle="1" w:styleId="74">
    <w:name w:val="bookmark-item uuid-1589194982864 code-31006 addword multi-line-text-input-box-cls"/>
    <w:basedOn w:val="33"/>
    <w:qFormat/>
    <w:uiPriority w:val="0"/>
  </w:style>
  <w:style w:type="character" w:customStyle="1" w:styleId="75">
    <w:name w:val="未处理的提及2"/>
    <w:basedOn w:val="33"/>
    <w:semiHidden/>
    <w:unhideWhenUsed/>
    <w:qFormat/>
    <w:uiPriority w:val="99"/>
    <w:rPr>
      <w:color w:val="605E5C"/>
      <w:shd w:val="clear" w:color="auto" w:fill="E1DFDD"/>
    </w:rPr>
  </w:style>
  <w:style w:type="paragraph" w:customStyle="1" w:styleId="76">
    <w:name w:val="pf0"/>
    <w:basedOn w:val="1"/>
    <w:qFormat/>
    <w:uiPriority w:val="0"/>
    <w:pPr>
      <w:widowControl/>
      <w:spacing w:before="100" w:beforeAutospacing="1" w:after="100" w:afterAutospacing="1"/>
      <w:jc w:val="left"/>
    </w:pPr>
    <w:rPr>
      <w:rFonts w:ascii="宋体" w:hAnsi="宋体" w:cs="宋体"/>
      <w:kern w:val="0"/>
      <w:sz w:val="24"/>
    </w:rPr>
  </w:style>
  <w:style w:type="character" w:customStyle="1" w:styleId="77">
    <w:name w:val="cf01"/>
    <w:basedOn w:val="33"/>
    <w:qFormat/>
    <w:uiPriority w:val="0"/>
    <w:rPr>
      <w:rFonts w:hint="eastAsia" w:ascii="Microsoft YaHei UI" w:hAnsi="Microsoft YaHei UI" w:eastAsia="Microsoft YaHei UI"/>
      <w:sz w:val="18"/>
      <w:szCs w:val="18"/>
    </w:rPr>
  </w:style>
  <w:style w:type="character" w:customStyle="1" w:styleId="78">
    <w:name w:val="页脚 字符1"/>
    <w:qFormat/>
    <w:uiPriority w:val="99"/>
    <w:rPr>
      <w:sz w:val="18"/>
      <w:szCs w:val="18"/>
    </w:rPr>
  </w:style>
  <w:style w:type="character" w:customStyle="1" w:styleId="79">
    <w:name w:val="文标题2 Char"/>
    <w:link w:val="41"/>
    <w:qFormat/>
    <w:uiPriority w:val="0"/>
    <w:rPr>
      <w:rFonts w:ascii="Times New Roman" w:hAnsi="Times New Roman" w:cs="Times New Roman"/>
    </w:rPr>
  </w:style>
  <w:style w:type="paragraph" w:customStyle="1" w:styleId="80">
    <w:name w:val="*正文"/>
    <w:basedOn w:val="1"/>
    <w:qFormat/>
    <w:uiPriority w:val="0"/>
    <w:pPr>
      <w:spacing w:line="560" w:lineRule="exact"/>
      <w:ind w:firstLine="560" w:firstLineChars="200"/>
    </w:pPr>
    <w:rPr>
      <w:rFonts w:hAnsi="仿宋_GB2312"/>
      <w:sz w:val="32"/>
      <w:szCs w:val="32"/>
    </w:rPr>
  </w:style>
  <w:style w:type="paragraph" w:customStyle="1" w:styleId="81">
    <w:name w:val="Default"/>
    <w:basedOn w:val="29"/>
    <w:next w:val="1"/>
    <w:qFormat/>
    <w:uiPriority w:val="0"/>
    <w:pPr>
      <w:autoSpaceDE w:val="0"/>
      <w:autoSpaceDN w:val="0"/>
      <w:adjustRightInd w:val="0"/>
    </w:pPr>
    <w:rPr>
      <w:rFonts w:ascii="黑体" w:hAnsi="Times New Roman" w:eastAsia="黑体"/>
    </w:rPr>
  </w:style>
  <w:style w:type="paragraph" w:customStyle="1" w:styleId="82">
    <w:name w:val="Legal_L2"/>
    <w:basedOn w:val="1"/>
    <w:qFormat/>
    <w:uiPriority w:val="0"/>
    <w:pPr>
      <w:widowControl/>
      <w:spacing w:after="240" w:line="259" w:lineRule="auto"/>
      <w:jc w:val="left"/>
      <w:outlineLvl w:val="1"/>
    </w:pPr>
    <w:rPr>
      <w:kern w:val="0"/>
      <w:sz w:val="24"/>
      <w:lang w:eastAsia="en-US"/>
    </w:rPr>
  </w:style>
  <w:style w:type="paragraph" w:customStyle="1" w:styleId="83">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84">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85">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86">
    <w:name w:val="表格文字"/>
    <w:basedOn w:val="13"/>
    <w:next w:val="12"/>
    <w:qFormat/>
    <w:uiPriority w:val="0"/>
    <w:pPr>
      <w:widowControl/>
      <w:adjustRightInd w:val="0"/>
      <w:spacing w:afterLines="50" w:line="360" w:lineRule="auto"/>
      <w:ind w:firstLine="200" w:firstLineChars="200"/>
      <w:jc w:val="left"/>
      <w:textAlignment w:val="baseline"/>
    </w:pPr>
    <w:rPr>
      <w:rFonts w:ascii="Arial" w:hAnsi="Arial"/>
      <w:sz w:val="24"/>
    </w:rPr>
  </w:style>
  <w:style w:type="paragraph" w:customStyle="1" w:styleId="87">
    <w:name w:val="修订4"/>
    <w:hidden/>
    <w:unhideWhenUsed/>
    <w:qFormat/>
    <w:uiPriority w:val="99"/>
    <w:rPr>
      <w:rFonts w:ascii="Times New Roman" w:hAnsi="Times New Roman" w:eastAsia="宋体" w:cs="Times New Roman"/>
      <w:kern w:val="2"/>
      <w:sz w:val="21"/>
      <w:szCs w:val="24"/>
      <w:lang w:val="en-US" w:eastAsia="zh-CN" w:bidi="ar-SA"/>
    </w:rPr>
  </w:style>
  <w:style w:type="character" w:customStyle="1" w:styleId="88">
    <w:name w:val="未处理的提及3"/>
    <w:basedOn w:val="33"/>
    <w:semiHidden/>
    <w:unhideWhenUsed/>
    <w:qFormat/>
    <w:uiPriority w:val="99"/>
    <w:rPr>
      <w:color w:val="605E5C"/>
      <w:shd w:val="clear" w:color="auto" w:fill="E1DFDD"/>
    </w:rPr>
  </w:style>
  <w:style w:type="character" w:customStyle="1" w:styleId="89">
    <w:name w:val="font11"/>
    <w:basedOn w:val="33"/>
    <w:qFormat/>
    <w:uiPriority w:val="0"/>
    <w:rPr>
      <w:rFonts w:hint="eastAsia" w:ascii="仿宋" w:hAnsi="仿宋" w:eastAsia="仿宋" w:cs="仿宋"/>
      <w:color w:val="000000"/>
      <w:sz w:val="22"/>
      <w:szCs w:val="22"/>
      <w:u w:val="none"/>
    </w:rPr>
  </w:style>
  <w:style w:type="character" w:customStyle="1" w:styleId="90">
    <w:name w:val="font61"/>
    <w:basedOn w:val="33"/>
    <w:qFormat/>
    <w:uiPriority w:val="0"/>
    <w:rPr>
      <w:rFonts w:hint="eastAsia" w:ascii="仿宋" w:hAnsi="仿宋" w:eastAsia="仿宋" w:cs="仿宋"/>
      <w:b/>
      <w:bCs/>
      <w:color w:val="002060"/>
      <w:sz w:val="22"/>
      <w:szCs w:val="22"/>
      <w:u w:val="none"/>
    </w:rPr>
  </w:style>
  <w:style w:type="table" w:customStyle="1" w:styleId="91">
    <w:name w:val="Table Normal"/>
    <w:semiHidden/>
    <w:unhideWhenUsed/>
    <w:qFormat/>
    <w:uiPriority w:val="0"/>
    <w:tblPr>
      <w:tblCellMar>
        <w:top w:w="0" w:type="dxa"/>
        <w:left w:w="0" w:type="dxa"/>
        <w:bottom w:w="0" w:type="dxa"/>
        <w:right w:w="0" w:type="dxa"/>
      </w:tblCellMar>
    </w:tblPr>
  </w:style>
  <w:style w:type="character" w:customStyle="1" w:styleId="92">
    <w:name w:val="alpha_contract_review_append_comment_b1cddc166e2a4488be2823d3e73fa4f0"/>
    <w:basedOn w:val="33"/>
    <w:qFormat/>
    <w:uiPriority w:val="0"/>
  </w:style>
  <w:style w:type="character" w:customStyle="1" w:styleId="93">
    <w:name w:val="alpha_contract_review_append_comment_8b6f0b5ceb684a628c8582f83ef9917e"/>
    <w:basedOn w:val="33"/>
    <w:qFormat/>
    <w:uiPriority w:val="0"/>
  </w:style>
  <w:style w:type="character" w:customStyle="1" w:styleId="94">
    <w:name w:val="alpha_contract_review_append_comment_c812b6594360419b96e5e8b0271759dd"/>
    <w:basedOn w:val="33"/>
    <w:qFormat/>
    <w:uiPriority w:val="0"/>
  </w:style>
  <w:style w:type="character" w:customStyle="1" w:styleId="95">
    <w:name w:val="alpha_contract_review_append_comment_dd47807d87ce4fcfa17c9271d1def75b"/>
    <w:basedOn w:val="33"/>
    <w:qFormat/>
    <w:uiPriority w:val="0"/>
  </w:style>
  <w:style w:type="character" w:customStyle="1" w:styleId="96">
    <w:name w:val="contractReviewCommentRevision_dd47807d87ce4fcfa17c9271d1def75b"/>
    <w:basedOn w:val="33"/>
    <w:qFormat/>
    <w:uiPriority w:val="0"/>
  </w:style>
  <w:style w:type="character" w:customStyle="1" w:styleId="97">
    <w:name w:val="alpha_contract_review_append_comment_e893c70930284522a415c016e958cd49"/>
    <w:basedOn w:val="33"/>
    <w:qFormat/>
    <w:uiPriority w:val="0"/>
  </w:style>
  <w:style w:type="character" w:customStyle="1" w:styleId="98">
    <w:name w:val="alpha_contract_review_append_comment_112f49f5ca644d15b32a6301d3e202fc"/>
    <w:basedOn w:val="33"/>
    <w:qFormat/>
    <w:uiPriority w:val="0"/>
  </w:style>
  <w:style w:type="character" w:customStyle="1" w:styleId="99">
    <w:name w:val="alpha_contract_review_append_comment_406aa8a13e414691a593e64ea931d4a8"/>
    <w:basedOn w:val="33"/>
    <w:qFormat/>
    <w:uiPriority w:val="0"/>
  </w:style>
  <w:style w:type="character" w:customStyle="1" w:styleId="100">
    <w:name w:val="contractReviewCommentRevision_406aa8a13e414691a593e64ea931d4a8"/>
    <w:basedOn w:val="33"/>
    <w:qFormat/>
    <w:uiPriority w:val="0"/>
  </w:style>
  <w:style w:type="character" w:customStyle="1" w:styleId="101">
    <w:name w:val="alpha_contract_review_append_comment_55fa0dd009e64116be789f117c928fa5"/>
    <w:basedOn w:val="33"/>
    <w:qFormat/>
    <w:uiPriority w:val="0"/>
  </w:style>
  <w:style w:type="character" w:customStyle="1" w:styleId="102">
    <w:name w:val="alpha_contract_review_append_comment_499d309c4d934f81abc0163dac0b1f78"/>
    <w:basedOn w:val="33"/>
    <w:qFormat/>
    <w:uiPriority w:val="0"/>
  </w:style>
  <w:style w:type="character" w:customStyle="1" w:styleId="103">
    <w:name w:val="alpha_contract_review_append_comment_13aaa61c843f4273a80c48c406c6619c"/>
    <w:basedOn w:val="33"/>
    <w:qFormat/>
    <w:uiPriority w:val="0"/>
  </w:style>
  <w:style w:type="character" w:customStyle="1" w:styleId="104">
    <w:name w:val="alpha_contract_review_append_comment_dee21154313946ff941707835b8c4e11"/>
    <w:basedOn w:val="33"/>
    <w:qFormat/>
    <w:uiPriority w:val="0"/>
  </w:style>
  <w:style w:type="character" w:customStyle="1" w:styleId="105">
    <w:name w:val="alpha_contract_review_append_comment_7ac4a296072748a5a3535bbf5a13fce2"/>
    <w:basedOn w:val="33"/>
    <w:qFormat/>
    <w:uiPriority w:val="0"/>
  </w:style>
  <w:style w:type="character" w:customStyle="1" w:styleId="106">
    <w:name w:val="alpha_contract_review_append_comment_04a3118a3d51467687c7257c997362b0"/>
    <w:basedOn w:val="33"/>
    <w:qFormat/>
    <w:uiPriority w:val="0"/>
  </w:style>
  <w:style w:type="character" w:customStyle="1" w:styleId="107">
    <w:name w:val="alpha_contract_review_append_comment_bf50aca3776e47b69e1eb699b3791b13"/>
    <w:basedOn w:val="33"/>
    <w:qFormat/>
    <w:uiPriority w:val="0"/>
  </w:style>
  <w:style w:type="character" w:customStyle="1" w:styleId="108">
    <w:name w:val="alpha_contract_review_append_comment_dcac53cf3f2d458b9a481db047a3a4ba"/>
    <w:basedOn w:val="33"/>
    <w:qFormat/>
    <w:uiPriority w:val="0"/>
  </w:style>
  <w:style w:type="paragraph" w:customStyle="1" w:styleId="109">
    <w:name w:val="修订5"/>
    <w:hidden/>
    <w:unhideWhenUsed/>
    <w:qFormat/>
    <w:uiPriority w:val="99"/>
    <w:rPr>
      <w:rFonts w:ascii="Times New Roman" w:hAnsi="Times New Roman" w:eastAsia="宋体" w:cs="Times New Roman"/>
      <w:kern w:val="2"/>
      <w:sz w:val="21"/>
      <w:szCs w:val="24"/>
      <w:lang w:val="en-US" w:eastAsia="zh-CN" w:bidi="ar-SA"/>
    </w:rPr>
  </w:style>
  <w:style w:type="paragraph" w:customStyle="1" w:styleId="110">
    <w:name w:val="修订6"/>
    <w:hidden/>
    <w:unhideWhenUsed/>
    <w:qFormat/>
    <w:uiPriority w:val="99"/>
    <w:rPr>
      <w:rFonts w:ascii="Times New Roman" w:hAnsi="Times New Roman" w:eastAsia="宋体" w:cs="Times New Roman"/>
      <w:kern w:val="2"/>
      <w:sz w:val="21"/>
      <w:szCs w:val="24"/>
      <w:lang w:val="en-US" w:eastAsia="zh-CN" w:bidi="ar-SA"/>
    </w:rPr>
  </w:style>
  <w:style w:type="paragraph" w:customStyle="1" w:styleId="111">
    <w:name w:val="table"/>
    <w:basedOn w:val="1"/>
    <w:qFormat/>
    <w:uiPriority w:val="0"/>
    <w:pPr>
      <w:widowControl/>
      <w:overflowPunct w:val="0"/>
      <w:autoSpaceDE w:val="0"/>
      <w:autoSpaceDN w:val="0"/>
      <w:adjustRightInd w:val="0"/>
      <w:spacing w:before="60" w:after="60"/>
      <w:ind w:left="-115" w:firstLine="115"/>
      <w:jc w:val="center"/>
      <w:textAlignment w:val="baseline"/>
    </w:pPr>
    <w:rPr>
      <w:rFonts w:ascii="仿宋体" w:eastAsia="仿宋体"/>
      <w:kern w:val="0"/>
      <w:sz w:val="24"/>
      <w:szCs w:val="20"/>
    </w:rPr>
  </w:style>
  <w:style w:type="character" w:customStyle="1" w:styleId="112">
    <w:name w:val="contractReviewCommentRevision_eb2e116d474749cfbb6b64c270005926"/>
    <w:basedOn w:val="33"/>
    <w:qFormat/>
    <w:uiPriority w:val="0"/>
  </w:style>
  <w:style w:type="character" w:customStyle="1" w:styleId="113">
    <w:name w:val="alpha_contract_review_append_comment_eb2e116d474749cfbb6b64c270005926"/>
    <w:basedOn w:val="33"/>
    <w:qFormat/>
    <w:uiPriority w:val="0"/>
  </w:style>
  <w:style w:type="character" w:customStyle="1" w:styleId="114">
    <w:name w:val="contractReviewCommentRevision_9b4ea74cab4c4143a732fe1c33c2880e"/>
    <w:basedOn w:val="33"/>
    <w:qFormat/>
    <w:uiPriority w:val="0"/>
  </w:style>
  <w:style w:type="character" w:customStyle="1" w:styleId="115">
    <w:name w:val="alpha_contract_review_append_comment_9b4ea74cab4c4143a732fe1c33c2880e"/>
    <w:basedOn w:val="33"/>
    <w:qFormat/>
    <w:uiPriority w:val="0"/>
  </w:style>
  <w:style w:type="character" w:customStyle="1" w:styleId="116">
    <w:name w:val="contractReviewCommentRevision_02b4e9cdbf6a43d3b319c0d481ff7266"/>
    <w:basedOn w:val="33"/>
    <w:qFormat/>
    <w:uiPriority w:val="0"/>
  </w:style>
  <w:style w:type="character" w:customStyle="1" w:styleId="117">
    <w:name w:val="contractReviewCommentRevision_e044ddb4ae6f4792ae171b0e642bf66b"/>
    <w:basedOn w:val="33"/>
    <w:qFormat/>
    <w:uiPriority w:val="0"/>
  </w:style>
  <w:style w:type="character" w:customStyle="1" w:styleId="118">
    <w:name w:val="alpha_contract_review_append_comment_b693f3868ab24b9db8f94b23950834aa"/>
    <w:basedOn w:val="33"/>
    <w:qFormat/>
    <w:uiPriority w:val="0"/>
  </w:style>
  <w:style w:type="character" w:customStyle="1" w:styleId="119">
    <w:name w:val="contractReviewCommentRevision_bd2eeaeda6ee4e2a913f41413fcc65b5"/>
    <w:basedOn w:val="33"/>
    <w:qFormat/>
    <w:uiPriority w:val="0"/>
  </w:style>
  <w:style w:type="character" w:customStyle="1" w:styleId="120">
    <w:name w:val="alpha_contract_review_append_comment_bd2eeaeda6ee4e2a913f41413fcc65b5"/>
    <w:basedOn w:val="33"/>
    <w:qFormat/>
    <w:uiPriority w:val="0"/>
  </w:style>
  <w:style w:type="character" w:customStyle="1" w:styleId="121">
    <w:name w:val="contractReviewCommentRevision_c1cb8aa5efa24bb5be4eba1100088c3a"/>
    <w:basedOn w:val="33"/>
    <w:qFormat/>
    <w:uiPriority w:val="0"/>
  </w:style>
  <w:style w:type="character" w:customStyle="1" w:styleId="122">
    <w:name w:val="alpha_contract_review_append_comment_c1cb8aa5efa24bb5be4eba1100088c3a"/>
    <w:basedOn w:val="33"/>
    <w:qFormat/>
    <w:uiPriority w:val="0"/>
  </w:style>
  <w:style w:type="character" w:customStyle="1" w:styleId="123">
    <w:name w:val="contractReviewCommentRevision_86fa4ab42e83422d8f9449f1ed499168"/>
    <w:basedOn w:val="33"/>
    <w:qFormat/>
    <w:uiPriority w:val="0"/>
  </w:style>
  <w:style w:type="character" w:customStyle="1" w:styleId="124">
    <w:name w:val="alpha_contract_review_append_comment_86fa4ab42e83422d8f9449f1ed499168"/>
    <w:basedOn w:val="33"/>
    <w:qFormat/>
    <w:uiPriority w:val="0"/>
  </w:style>
  <w:style w:type="character" w:customStyle="1" w:styleId="125">
    <w:name w:val="contractReviewCommentRevision_c47d723579d043dda6aa61478db01036"/>
    <w:basedOn w:val="33"/>
    <w:qFormat/>
    <w:uiPriority w:val="0"/>
  </w:style>
  <w:style w:type="character" w:customStyle="1" w:styleId="126">
    <w:name w:val="alpha_contract_review_append_comment_c47d723579d043dda6aa61478db01036"/>
    <w:basedOn w:val="33"/>
    <w:qFormat/>
    <w:uiPriority w:val="0"/>
  </w:style>
  <w:style w:type="character" w:customStyle="1" w:styleId="127">
    <w:name w:val="contractReviewCommentRevision_a6b8b8c6c0144232bc71074d298ec70f"/>
    <w:basedOn w:val="33"/>
    <w:qFormat/>
    <w:uiPriority w:val="0"/>
  </w:style>
  <w:style w:type="character" w:customStyle="1" w:styleId="128">
    <w:name w:val="contractReviewCommentRevision_e1d23064dc044ee78af8c2e6759839b5"/>
    <w:basedOn w:val="33"/>
    <w:qFormat/>
    <w:uiPriority w:val="0"/>
  </w:style>
  <w:style w:type="character" w:customStyle="1" w:styleId="129">
    <w:name w:val="contractReviewCommentRevision_19164bdb42cb4d52a8775833d7b18248"/>
    <w:basedOn w:val="33"/>
    <w:qFormat/>
    <w:uiPriority w:val="0"/>
  </w:style>
  <w:style w:type="character" w:customStyle="1" w:styleId="130">
    <w:name w:val="alpha_contract_review_append_comment_19164bdb42cb4d52a8775833d7b18248"/>
    <w:basedOn w:val="33"/>
    <w:qFormat/>
    <w:uiPriority w:val="0"/>
  </w:style>
  <w:style w:type="character" w:customStyle="1" w:styleId="131">
    <w:name w:val="contractReviewCommentRevision_6f6fed6e5f7b469c9976caf212efb467"/>
    <w:basedOn w:val="33"/>
    <w:qFormat/>
    <w:uiPriority w:val="0"/>
  </w:style>
  <w:style w:type="character" w:customStyle="1" w:styleId="132">
    <w:name w:val="alpha_contract_review_append_comment_6f6fed6e5f7b469c9976caf212efb467"/>
    <w:basedOn w:val="33"/>
    <w:qFormat/>
    <w:uiPriority w:val="0"/>
  </w:style>
  <w:style w:type="character" w:customStyle="1" w:styleId="133">
    <w:name w:val="contractReviewCommentRevision_c5ed663578df4a92b0716bd56f3c8b71"/>
    <w:basedOn w:val="33"/>
    <w:qFormat/>
    <w:uiPriority w:val="0"/>
  </w:style>
  <w:style w:type="character" w:customStyle="1" w:styleId="134">
    <w:name w:val="contractReviewCommentRevision_a1761073b37341e0b9881b685efea4cc"/>
    <w:basedOn w:val="33"/>
    <w:qFormat/>
    <w:uiPriority w:val="0"/>
  </w:style>
  <w:style w:type="character" w:customStyle="1" w:styleId="135">
    <w:name w:val="alpha_contract_review_append_comment_a1761073b37341e0b9881b685efea4cc"/>
    <w:basedOn w:val="33"/>
    <w:qFormat/>
    <w:uiPriority w:val="0"/>
  </w:style>
  <w:style w:type="character" w:customStyle="1" w:styleId="136">
    <w:name w:val="contractReviewCommentRevision_cb95af945fcc4601855b195c257a3960"/>
    <w:basedOn w:val="33"/>
    <w:qFormat/>
    <w:uiPriority w:val="0"/>
  </w:style>
  <w:style w:type="character" w:customStyle="1" w:styleId="137">
    <w:name w:val="alpha_contract_review_append_comment_cb95af945fcc4601855b195c257a3960"/>
    <w:basedOn w:val="33"/>
    <w:qFormat/>
    <w:uiPriority w:val="0"/>
  </w:style>
  <w:style w:type="character" w:customStyle="1" w:styleId="138">
    <w:name w:val="contractReviewCommentRevision_6290bd624882491d9a3b031ececc4758"/>
    <w:basedOn w:val="33"/>
    <w:qFormat/>
    <w:uiPriority w:val="0"/>
  </w:style>
  <w:style w:type="character" w:customStyle="1" w:styleId="139">
    <w:name w:val="alpha_contract_review_append_comment_6290bd624882491d9a3b031ececc4758"/>
    <w:basedOn w:val="33"/>
    <w:qFormat/>
    <w:uiPriority w:val="0"/>
  </w:style>
  <w:style w:type="character" w:customStyle="1" w:styleId="140">
    <w:name w:val="contractReviewCommentRevision_cc0f68dc451c42ee8d4a644a081b0e70"/>
    <w:basedOn w:val="33"/>
    <w:qFormat/>
    <w:uiPriority w:val="0"/>
  </w:style>
  <w:style w:type="character" w:customStyle="1" w:styleId="141">
    <w:name w:val="alpha_contract_review_append_comment_cc0f68dc451c42ee8d4a644a081b0e70"/>
    <w:basedOn w:val="33"/>
    <w:qFormat/>
    <w:uiPriority w:val="0"/>
  </w:style>
  <w:style w:type="character" w:customStyle="1" w:styleId="142">
    <w:name w:val="contractReviewCommentRevision_9c844ee042a641da88c6ca0751f13230"/>
    <w:basedOn w:val="33"/>
    <w:qFormat/>
    <w:uiPriority w:val="0"/>
  </w:style>
  <w:style w:type="character" w:customStyle="1" w:styleId="143">
    <w:name w:val="alpha_contract_review_append_comment_9c844ee042a641da88c6ca0751f13230"/>
    <w:basedOn w:val="33"/>
    <w:qFormat/>
    <w:uiPriority w:val="0"/>
  </w:style>
  <w:style w:type="character" w:customStyle="1" w:styleId="144">
    <w:name w:val="contractReviewCommentRevision_839c1bf1a4eb48edb8f41c31905c289f"/>
    <w:basedOn w:val="33"/>
    <w:qFormat/>
    <w:uiPriority w:val="0"/>
  </w:style>
  <w:style w:type="character" w:customStyle="1" w:styleId="145">
    <w:name w:val="alpha_contract_review_append_comment_839c1bf1a4eb48edb8f41c31905c289f"/>
    <w:basedOn w:val="33"/>
    <w:qFormat/>
    <w:uiPriority w:val="0"/>
  </w:style>
  <w:style w:type="character" w:customStyle="1" w:styleId="146">
    <w:name w:val="contractReviewCommentRevision_a0a7eb976b744dfcada8b886ad94a3b4"/>
    <w:basedOn w:val="33"/>
    <w:qFormat/>
    <w:uiPriority w:val="0"/>
  </w:style>
  <w:style w:type="character" w:customStyle="1" w:styleId="147">
    <w:name w:val="alpha_contract_review_append_comment_a0a7eb976b744dfcada8b886ad94a3b4"/>
    <w:basedOn w:val="33"/>
    <w:qFormat/>
    <w:uiPriority w:val="0"/>
  </w:style>
  <w:style w:type="character" w:customStyle="1" w:styleId="148">
    <w:name w:val="contractReviewCommentRevision_2ddef3e217b64becbd0810491ada1fdd"/>
    <w:basedOn w:val="33"/>
    <w:qFormat/>
    <w:uiPriority w:val="0"/>
  </w:style>
  <w:style w:type="character" w:customStyle="1" w:styleId="149">
    <w:name w:val="alpha_contract_review_append_comment_2ddef3e217b64becbd0810491ada1fdd"/>
    <w:basedOn w:val="33"/>
    <w:qFormat/>
    <w:uiPriority w:val="0"/>
  </w:style>
  <w:style w:type="character" w:customStyle="1" w:styleId="150">
    <w:name w:val="contractReviewCommentRevision_cef274817c0b45b5b53a685b75ed0eaa"/>
    <w:basedOn w:val="33"/>
    <w:qFormat/>
    <w:uiPriority w:val="0"/>
  </w:style>
  <w:style w:type="character" w:customStyle="1" w:styleId="151">
    <w:name w:val="contractReviewCommentRevision_5f760d23a2e445c09e516142dd553719"/>
    <w:basedOn w:val="33"/>
    <w:qFormat/>
    <w:uiPriority w:val="0"/>
  </w:style>
  <w:style w:type="character" w:customStyle="1" w:styleId="152">
    <w:name w:val="contractReviewCommentRevision_6793d521a0154021a08c579e6af50bce"/>
    <w:basedOn w:val="33"/>
    <w:qFormat/>
    <w:uiPriority w:val="0"/>
  </w:style>
  <w:style w:type="character" w:customStyle="1" w:styleId="153">
    <w:name w:val="contractReviewCommentRevision_7848689f763a42509ed410078bf058d6"/>
    <w:basedOn w:val="33"/>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广西云龙招标有限公司</Company>
  <Pages>86</Pages>
  <Words>16597</Words>
  <Characters>17716</Characters>
  <Lines>356</Lines>
  <Paragraphs>100</Paragraphs>
  <TotalTime>2</TotalTime>
  <ScaleCrop>false</ScaleCrop>
  <LinksUpToDate>false</LinksUpToDate>
  <CharactersWithSpaces>17833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2026-07-19T15:49:00Z</dcterms:created>
  <dc:creator>唐冰</dc:creator>
  <cp:lastModifiedBy>WPS_1618307932</cp:lastModifiedBy>
  <cp:lastPrinted>2023-09-16T12:21:00Z</cp:lastPrinted>
  <dcterms:modified xsi:type="dcterms:W3CDTF">2026-08-12T08:27:32Z</dcterms:modified>
  <dc:title>竞争性谈判文件规范</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FC2295626A564DB4B831D543238F70D8_13</vt:lpwstr>
  </property>
  <property fmtid="{D5CDD505-2E9C-101B-9397-08002B2CF9AE}" pid="4" name="KSOTemplateDocerSaveRecord">
    <vt:lpwstr>eyJoZGlkIjoiMTg2NjQ0Y2IyYTZhYWRjODY4N2QxODQ5ZDRlYjc3NDAiLCJ1c2VySWQiOiIxMTk3NjE2MzUwIn0=</vt:lpwstr>
  </property>
</Properties>
</file>