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BCA8B">
      <w:pPr>
        <w:pStyle w:val="16"/>
        <w:shd w:val="clear" w:color="auto" w:fill="FFFFFF"/>
        <w:spacing w:before="0" w:beforeAutospacing="0" w:after="0" w:afterAutospacing="0" w:line="360" w:lineRule="auto"/>
        <w:jc w:val="center"/>
        <w:rPr>
          <w:rFonts w:hint="eastAsia" w:ascii="仿宋" w:hAnsi="仿宋" w:eastAsia="仿宋" w:cs="仿宋"/>
          <w:b/>
          <w:bCs/>
          <w:sz w:val="44"/>
          <w:szCs w:val="44"/>
        </w:rPr>
      </w:pPr>
      <w:r>
        <w:rPr>
          <w:rFonts w:hint="eastAsia" w:ascii="仿宋" w:hAnsi="仿宋" w:eastAsia="仿宋" w:cs="仿宋"/>
          <w:b/>
          <w:sz w:val="44"/>
          <w:szCs w:val="44"/>
        </w:rPr>
        <w:drawing>
          <wp:inline distT="0" distB="0" distL="114300" distR="114300">
            <wp:extent cx="488315" cy="488315"/>
            <wp:effectExtent l="0" t="0" r="14605" b="14605"/>
            <wp:docPr id="7" name="图片 1" descr="8dc398a9-b84f-48b4-b641-18b8eedbf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8dc398a9-b84f-48b4-b641-18b8eedbf416"/>
                    <pic:cNvPicPr>
                      <a:picLocks noChangeAspect="1"/>
                    </pic:cNvPicPr>
                  </pic:nvPicPr>
                  <pic:blipFill>
                    <a:blip r:embed="rId23"/>
                    <a:stretch>
                      <a:fillRect/>
                    </a:stretch>
                  </pic:blipFill>
                  <pic:spPr>
                    <a:xfrm>
                      <a:off x="0" y="0"/>
                      <a:ext cx="488315" cy="488315"/>
                    </a:xfrm>
                    <a:prstGeom prst="rect">
                      <a:avLst/>
                    </a:prstGeom>
                    <a:noFill/>
                    <a:ln>
                      <a:noFill/>
                    </a:ln>
                  </pic:spPr>
                </pic:pic>
              </a:graphicData>
            </a:graphic>
          </wp:inline>
        </w:drawing>
      </w:r>
    </w:p>
    <w:p w14:paraId="1352004D">
      <w:pPr>
        <w:widowControl/>
        <w:adjustRightInd w:val="0"/>
        <w:spacing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公诚管理咨询有限公司</w:t>
      </w:r>
    </w:p>
    <w:p w14:paraId="6BBE5836">
      <w:pPr>
        <w:jc w:val="center"/>
        <w:rPr>
          <w:rFonts w:hint="eastAsia" w:ascii="等线" w:hAnsi="等线" w:eastAsia="等线" w:cs="等线"/>
          <w:b/>
          <w:bCs/>
          <w:sz w:val="36"/>
          <w:szCs w:val="36"/>
        </w:rPr>
      </w:pPr>
      <w:r>
        <w:rPr>
          <w:rFonts w:hint="eastAsia" w:ascii="等线" w:hAnsi="等线" w:eastAsia="等线" w:cs="等线"/>
          <w:b/>
          <w:bCs/>
          <w:sz w:val="36"/>
          <w:szCs w:val="36"/>
        </w:rPr>
        <w:t>Gongcheng Management Consulting Co. , Ltd.</w:t>
      </w:r>
    </w:p>
    <w:p w14:paraId="1D2C6367">
      <w:pPr>
        <w:spacing w:after="120"/>
        <w:ind w:firstLine="404"/>
        <w:rPr>
          <w:rFonts w:hint="eastAsia" w:ascii="仿宋" w:hAnsi="仿宋" w:eastAsia="仿宋" w:cs="仿宋"/>
          <w:b/>
          <w:bCs/>
          <w:sz w:val="10"/>
        </w:rPr>
      </w:pPr>
      <w:r>
        <w:rPr>
          <w:rFonts w:hint="eastAsia" w:ascii="仿宋" w:hAnsi="仿宋" w:eastAsia="仿宋" w:cs="仿宋"/>
          <w:sz w:val="20"/>
          <w:u w:val="single"/>
        </w:rPr>
        <mc:AlternateContent>
          <mc:Choice Requires="wps">
            <w:drawing>
              <wp:anchor distT="0" distB="0" distL="114300" distR="114300" simplePos="0" relativeHeight="251663360" behindDoc="0" locked="0" layoutInCell="1" allowOverlap="1">
                <wp:simplePos x="0" y="0"/>
                <wp:positionH relativeFrom="column">
                  <wp:posOffset>-289560</wp:posOffset>
                </wp:positionH>
                <wp:positionV relativeFrom="paragraph">
                  <wp:posOffset>49530</wp:posOffset>
                </wp:positionV>
                <wp:extent cx="5595620" cy="8890"/>
                <wp:effectExtent l="0" t="13970" r="12700" b="22860"/>
                <wp:wrapNone/>
                <wp:docPr id="8" name="直接连接符 8"/>
                <wp:cNvGraphicFramePr/>
                <a:graphic xmlns:a="http://schemas.openxmlformats.org/drawingml/2006/main">
                  <a:graphicData uri="http://schemas.microsoft.com/office/word/2010/wordprocessingShape">
                    <wps:wsp>
                      <wps:cNvCnPr/>
                      <wps:spPr>
                        <a:xfrm flipV="1">
                          <a:off x="0" y="0"/>
                          <a:ext cx="5595620" cy="8890"/>
                        </a:xfrm>
                        <a:prstGeom prst="line">
                          <a:avLst/>
                        </a:prstGeom>
                        <a:ln w="285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22.8pt;margin-top:3.9pt;height:0.7pt;width:440.6pt;z-index:251663360;mso-width-relative:page;mso-height-relative:page;" filled="f" stroked="t" coordsize="21600,21600" o:gfxdata="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NoOX9UAAAAHAQAADwAAAAAAAAABACAAAAAiAAAAZHJzL2Rvd25yZXYu&#10;eG1sUEsBAhQAFAAAAAgAh07iQBqc7sb+AQAA9AMAAA4AAAAAAAAAAQAgAAAAJAEAAGRycy9lMm9E&#10;b2MueG1sUEsFBgAAAAAGAAYAWQEAAJQFAAAAAA==&#10;">
                <v:fill on="f" focussize="0,0"/>
                <v:stroke weight="2.25pt" color="#000000" joinstyle="round"/>
                <v:imagedata o:title=""/>
                <o:lock v:ext="edit" aspectratio="f"/>
              </v:line>
            </w:pict>
          </mc:Fallback>
        </mc:AlternateContent>
      </w:r>
      <w:r>
        <w:rPr>
          <w:rFonts w:hint="eastAsia" w:ascii="仿宋" w:hAnsi="仿宋" w:eastAsia="仿宋" w:cs="仿宋"/>
          <w:b/>
          <w:bCs/>
          <w:sz w:val="10"/>
        </w:rPr>
        <w:t xml:space="preserve">                                                                                                                                                                                       </w:t>
      </w:r>
    </w:p>
    <w:p w14:paraId="731BEB5C">
      <w:pPr>
        <w:spacing w:before="156" w:beforeLines="50" w:line="360" w:lineRule="auto"/>
        <w:jc w:val="center"/>
        <w:rPr>
          <w:rFonts w:hint="eastAsia" w:ascii="仿宋" w:hAnsi="仿宋" w:eastAsia="仿宋" w:cs="仿宋"/>
          <w:sz w:val="52"/>
          <w:szCs w:val="52"/>
        </w:rPr>
      </w:pPr>
    </w:p>
    <w:p w14:paraId="4D403711">
      <w:pPr>
        <w:spacing w:before="156" w:beforeLines="50" w:line="360" w:lineRule="auto"/>
        <w:jc w:val="center"/>
        <w:rPr>
          <w:rFonts w:hint="eastAsia" w:ascii="仿宋" w:hAnsi="仿宋" w:eastAsia="仿宋" w:cs="仿宋"/>
          <w:b/>
          <w:sz w:val="48"/>
          <w:szCs w:val="48"/>
        </w:rPr>
      </w:pPr>
    </w:p>
    <w:p w14:paraId="013E0F20">
      <w:pPr>
        <w:jc w:val="center"/>
        <w:rPr>
          <w:rFonts w:hint="eastAsia" w:asciiTheme="minorEastAsia" w:hAnsiTheme="minorEastAsia" w:eastAsiaTheme="minorEastAsia" w:cstheme="minorEastAsia"/>
          <w:b/>
          <w:bCs/>
          <w:sz w:val="72"/>
          <w:szCs w:val="72"/>
        </w:rPr>
      </w:pPr>
      <w:r>
        <w:rPr>
          <w:rFonts w:hint="eastAsia" w:asciiTheme="minorEastAsia" w:hAnsiTheme="minorEastAsia" w:eastAsiaTheme="minorEastAsia" w:cstheme="minorEastAsia"/>
          <w:b/>
          <w:bCs/>
          <w:sz w:val="72"/>
          <w:szCs w:val="72"/>
        </w:rPr>
        <w:t>招 标 文 件</w:t>
      </w:r>
    </w:p>
    <w:p w14:paraId="5A5FD936">
      <w:pPr>
        <w:snapToGrid w:val="0"/>
        <w:spacing w:before="156" w:beforeLines="50" w:line="360" w:lineRule="auto"/>
        <w:jc w:val="center"/>
        <w:rPr>
          <w:rFonts w:hint="eastAsia" w:ascii="仿宋" w:hAnsi="仿宋" w:eastAsia="仿宋" w:cs="仿宋"/>
          <w:sz w:val="72"/>
          <w:szCs w:val="72"/>
        </w:rPr>
      </w:pPr>
    </w:p>
    <w:p w14:paraId="477D4956">
      <w:pPr>
        <w:widowControl/>
        <w:adjustRightInd w:val="0"/>
        <w:spacing w:line="540" w:lineRule="exact"/>
        <w:ind w:firstLine="960" w:firstLineChars="300"/>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 xml:space="preserve">项目名称：广西生态环境信息化建设项目 </w:t>
      </w:r>
    </w:p>
    <w:p w14:paraId="53BDCBDD">
      <w:pPr>
        <w:widowControl/>
        <w:adjustRightInd w:val="0"/>
        <w:spacing w:line="540" w:lineRule="exact"/>
        <w:ind w:firstLine="960" w:firstLineChars="300"/>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rPr>
        <w:t>项目编号：</w:t>
      </w:r>
      <w:r>
        <w:rPr>
          <w:rFonts w:hint="eastAsia" w:ascii="方正小标宋_GBK" w:hAnsi="方正小标宋_GBK" w:eastAsia="方正小标宋_GBK" w:cs="方正小标宋_GBK"/>
          <w:sz w:val="32"/>
          <w:szCs w:val="32"/>
          <w:lang w:eastAsia="zh-CN"/>
        </w:rPr>
        <w:t>GXZC2026-G3-002867-GCZX</w:t>
      </w:r>
    </w:p>
    <w:p w14:paraId="0FAE2382">
      <w:pPr>
        <w:widowControl/>
        <w:adjustRightInd w:val="0"/>
        <w:spacing w:line="540" w:lineRule="exact"/>
        <w:ind w:firstLine="960" w:firstLineChars="300"/>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采 购 人：广西壮族自治区环境信息中心</w:t>
      </w:r>
    </w:p>
    <w:p w14:paraId="78E22505">
      <w:pPr>
        <w:widowControl/>
        <w:adjustRightInd w:val="0"/>
        <w:spacing w:line="540" w:lineRule="exact"/>
        <w:ind w:firstLine="960" w:firstLineChars="300"/>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 xml:space="preserve">采购代理机构：公诚管理咨询有限公司 </w:t>
      </w:r>
    </w:p>
    <w:p w14:paraId="7AC73D00">
      <w:pPr>
        <w:pStyle w:val="15"/>
        <w:rPr>
          <w:rFonts w:hint="eastAsia" w:ascii="宋体" w:hAnsi="宋体" w:cs="宋体"/>
        </w:rPr>
      </w:pPr>
    </w:p>
    <w:p w14:paraId="5C18E482">
      <w:pPr>
        <w:pStyle w:val="11"/>
        <w:spacing w:before="120" w:after="120" w:line="400" w:lineRule="exact"/>
        <w:jc w:val="center"/>
        <w:rPr>
          <w:rFonts w:hint="eastAsia" w:hAnsi="宋体" w:cs="宋体"/>
          <w:sz w:val="21"/>
        </w:rPr>
      </w:pPr>
      <w:r>
        <w:rPr>
          <w:rFonts w:hint="eastAsia" w:ascii="方正小标宋_GBK" w:hAnsi="方正小标宋_GBK" w:eastAsia="方正小标宋_GBK" w:cs="方正小标宋_GBK"/>
          <w:sz w:val="32"/>
          <w:szCs w:val="32"/>
        </w:rPr>
        <w:t>2026年</w:t>
      </w:r>
      <w:r>
        <w:rPr>
          <w:rFonts w:hint="eastAsia" w:ascii="方正小标宋_GBK" w:hAnsi="方正小标宋_GBK" w:eastAsia="方正小标宋_GBK" w:cs="方正小标宋_GBK"/>
          <w:sz w:val="32"/>
          <w:szCs w:val="32"/>
          <w:lang w:val="en-US" w:eastAsia="zh-CN"/>
        </w:rPr>
        <w:t>9</w:t>
      </w:r>
      <w:r>
        <w:rPr>
          <w:rFonts w:hint="eastAsia" w:ascii="方正小标宋_GBK" w:hAnsi="方正小标宋_GBK" w:eastAsia="方正小标宋_GBK" w:cs="方正小标宋_GBK"/>
          <w:sz w:val="32"/>
          <w:szCs w:val="32"/>
        </w:rPr>
        <w:t>月</w:t>
      </w:r>
      <w:r>
        <w:rPr>
          <w:rFonts w:hint="eastAsia" w:ascii="方正小标宋_GBK" w:hAnsi="方正小标宋_GBK" w:eastAsia="方正小标宋_GBK" w:cs="方正小标宋_GBK"/>
          <w:sz w:val="32"/>
          <w:szCs w:val="32"/>
          <w:lang w:val="en-US" w:eastAsia="zh-CN"/>
        </w:rPr>
        <w:t>1</w:t>
      </w:r>
      <w:r>
        <w:rPr>
          <w:rFonts w:hint="eastAsia" w:ascii="方正小标宋_GBK" w:hAnsi="方正小标宋_GBK" w:eastAsia="方正小标宋_GBK" w:cs="方正小标宋_GBK"/>
          <w:sz w:val="32"/>
          <w:szCs w:val="32"/>
        </w:rPr>
        <w:t>日</w:t>
      </w:r>
    </w:p>
    <w:p w14:paraId="18C7E9B0">
      <w:pPr>
        <w:rPr>
          <w:rFonts w:hint="eastAsia" w:ascii="宋体" w:hAnsi="宋体" w:cs="宋体"/>
          <w:b/>
          <w:szCs w:val="21"/>
        </w:rPr>
      </w:pPr>
      <w:r>
        <w:rPr>
          <w:rFonts w:hint="eastAsia" w:ascii="宋体" w:hAnsi="宋体" w:cs="宋体"/>
          <w:b/>
          <w:szCs w:val="21"/>
        </w:rPr>
        <w:br w:type="page"/>
      </w:r>
    </w:p>
    <w:p w14:paraId="2CC30C94">
      <w:pPr>
        <w:spacing w:line="400" w:lineRule="exact"/>
        <w:jc w:val="center"/>
        <w:rPr>
          <w:rFonts w:hint="eastAsia" w:ascii="宋体" w:hAnsi="宋体" w:cs="宋体"/>
          <w:b/>
          <w:szCs w:val="21"/>
        </w:rPr>
      </w:pPr>
      <w:r>
        <w:rPr>
          <w:rFonts w:hint="eastAsia" w:ascii="宋体" w:hAnsi="宋体" w:cs="宋体"/>
          <w:b/>
          <w:szCs w:val="21"/>
        </w:rPr>
        <w:t>目  录</w:t>
      </w:r>
    </w:p>
    <w:p w14:paraId="09CCFB50">
      <w:pPr>
        <w:pStyle w:val="14"/>
        <w:spacing w:line="400" w:lineRule="exact"/>
        <w:ind w:firstLine="210"/>
        <w:rPr>
          <w:rFonts w:hint="eastAsia" w:cs="宋体"/>
          <w:b w:val="0"/>
          <w:bCs w:val="0"/>
          <w:caps w:val="0"/>
          <w:sz w:val="21"/>
          <w:szCs w:val="21"/>
        </w:rPr>
      </w:pPr>
      <w:r>
        <w:rPr>
          <w:rFonts w:hint="eastAsia" w:cs="宋体"/>
          <w:b w:val="0"/>
          <w:sz w:val="21"/>
          <w:szCs w:val="21"/>
        </w:rPr>
        <w:fldChar w:fldCharType="begin"/>
      </w:r>
      <w:r>
        <w:rPr>
          <w:rFonts w:hint="eastAsia" w:cs="宋体"/>
          <w:b w:val="0"/>
          <w:sz w:val="21"/>
          <w:szCs w:val="21"/>
        </w:rPr>
        <w:instrText xml:space="preserve"> TOC \o "1-2" \h \z \u </w:instrText>
      </w:r>
      <w:r>
        <w:rPr>
          <w:rFonts w:hint="eastAsia" w:cs="宋体"/>
          <w:b w:val="0"/>
          <w:sz w:val="21"/>
          <w:szCs w:val="21"/>
        </w:rPr>
        <w:fldChar w:fldCharType="separate"/>
      </w:r>
      <w:r>
        <w:fldChar w:fldCharType="begin"/>
      </w:r>
      <w:r>
        <w:instrText xml:space="preserve"> HYPERLINK \l "_Toc74320800" </w:instrText>
      </w:r>
      <w:r>
        <w:fldChar w:fldCharType="separate"/>
      </w:r>
      <w:r>
        <w:rPr>
          <w:rStyle w:val="21"/>
          <w:rFonts w:hint="eastAsia" w:cs="宋体"/>
          <w:color w:val="auto"/>
          <w:sz w:val="21"/>
          <w:szCs w:val="21"/>
        </w:rPr>
        <w:t>第一章 招标公告</w:t>
      </w:r>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_Toc74320800 \h </w:instrText>
      </w:r>
      <w:r>
        <w:rPr>
          <w:rFonts w:hint="eastAsia" w:cs="宋体"/>
          <w:sz w:val="21"/>
          <w:szCs w:val="21"/>
        </w:rPr>
        <w:fldChar w:fldCharType="separate"/>
      </w:r>
      <w:r>
        <w:rPr>
          <w:rFonts w:hint="eastAsia" w:cs="宋体"/>
          <w:sz w:val="21"/>
          <w:szCs w:val="21"/>
        </w:rPr>
        <w:t>3</w:t>
      </w:r>
      <w:r>
        <w:rPr>
          <w:rFonts w:hint="eastAsia" w:cs="宋体"/>
          <w:sz w:val="21"/>
          <w:szCs w:val="21"/>
        </w:rPr>
        <w:fldChar w:fldCharType="end"/>
      </w:r>
      <w:r>
        <w:rPr>
          <w:rFonts w:hint="eastAsia" w:cs="宋体"/>
          <w:sz w:val="21"/>
          <w:szCs w:val="21"/>
        </w:rPr>
        <w:fldChar w:fldCharType="end"/>
      </w:r>
    </w:p>
    <w:p w14:paraId="7AE7CB45">
      <w:pPr>
        <w:pStyle w:val="14"/>
        <w:spacing w:line="400" w:lineRule="exact"/>
        <w:ind w:firstLine="241"/>
        <w:rPr>
          <w:rFonts w:hint="eastAsia" w:cs="宋体"/>
          <w:b w:val="0"/>
          <w:bCs w:val="0"/>
          <w:caps w:val="0"/>
          <w:sz w:val="21"/>
          <w:szCs w:val="21"/>
        </w:rPr>
      </w:pPr>
      <w:r>
        <w:fldChar w:fldCharType="begin"/>
      </w:r>
      <w:r>
        <w:instrText xml:space="preserve"> HYPERLINK \l "_Toc74320801" </w:instrText>
      </w:r>
      <w:r>
        <w:fldChar w:fldCharType="separate"/>
      </w:r>
      <w:r>
        <w:rPr>
          <w:rStyle w:val="21"/>
          <w:rFonts w:hint="eastAsia" w:cs="宋体"/>
          <w:color w:val="auto"/>
          <w:sz w:val="21"/>
          <w:szCs w:val="21"/>
        </w:rPr>
        <w:t>第二章  采购需求</w:t>
      </w:r>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_Toc74320801 \h </w:instrText>
      </w:r>
      <w:r>
        <w:rPr>
          <w:rFonts w:hint="eastAsia" w:cs="宋体"/>
          <w:sz w:val="21"/>
          <w:szCs w:val="21"/>
        </w:rPr>
        <w:fldChar w:fldCharType="separate"/>
      </w:r>
      <w:r>
        <w:rPr>
          <w:rFonts w:hint="eastAsia" w:cs="宋体"/>
          <w:sz w:val="21"/>
          <w:szCs w:val="21"/>
        </w:rPr>
        <w:t>3</w:t>
      </w:r>
      <w:r>
        <w:rPr>
          <w:rFonts w:hint="eastAsia" w:cs="宋体"/>
          <w:sz w:val="21"/>
          <w:szCs w:val="21"/>
        </w:rPr>
        <w:fldChar w:fldCharType="end"/>
      </w:r>
      <w:r>
        <w:rPr>
          <w:rFonts w:hint="eastAsia" w:cs="宋体"/>
          <w:sz w:val="21"/>
          <w:szCs w:val="21"/>
        </w:rPr>
        <w:fldChar w:fldCharType="end"/>
      </w:r>
    </w:p>
    <w:p w14:paraId="313F4B01">
      <w:pPr>
        <w:pStyle w:val="14"/>
        <w:spacing w:line="400" w:lineRule="exact"/>
        <w:ind w:firstLine="241"/>
        <w:rPr>
          <w:rFonts w:hint="eastAsia" w:cs="宋体"/>
          <w:b w:val="0"/>
          <w:bCs w:val="0"/>
          <w:caps w:val="0"/>
          <w:sz w:val="21"/>
          <w:szCs w:val="21"/>
        </w:rPr>
      </w:pPr>
      <w:r>
        <w:fldChar w:fldCharType="begin"/>
      </w:r>
      <w:r>
        <w:instrText xml:space="preserve"> HYPERLINK \l "_Toc74320802" </w:instrText>
      </w:r>
      <w:r>
        <w:fldChar w:fldCharType="separate"/>
      </w:r>
      <w:r>
        <w:rPr>
          <w:rStyle w:val="21"/>
          <w:rFonts w:hint="eastAsia" w:cs="宋体"/>
          <w:color w:val="auto"/>
          <w:sz w:val="21"/>
          <w:szCs w:val="21"/>
        </w:rPr>
        <w:t>第三章  投标人须</w:t>
      </w:r>
      <w:bookmarkStart w:id="0" w:name="_Hlt79572745"/>
      <w:bookmarkStart w:id="1" w:name="_Hlt79572744"/>
      <w:r>
        <w:rPr>
          <w:rStyle w:val="21"/>
          <w:rFonts w:hint="eastAsia" w:cs="宋体"/>
          <w:color w:val="auto"/>
          <w:sz w:val="21"/>
          <w:szCs w:val="21"/>
        </w:rPr>
        <w:t>知</w:t>
      </w:r>
      <w:bookmarkEnd w:id="0"/>
      <w:bookmarkEnd w:id="1"/>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_Toc74320802 \h </w:instrText>
      </w:r>
      <w:r>
        <w:rPr>
          <w:rFonts w:hint="eastAsia" w:cs="宋体"/>
          <w:sz w:val="21"/>
          <w:szCs w:val="21"/>
        </w:rPr>
        <w:fldChar w:fldCharType="separate"/>
      </w:r>
      <w:r>
        <w:rPr>
          <w:rFonts w:hint="eastAsia" w:cs="宋体"/>
          <w:sz w:val="21"/>
          <w:szCs w:val="21"/>
        </w:rPr>
        <w:t>9</w:t>
      </w:r>
      <w:r>
        <w:rPr>
          <w:rFonts w:hint="eastAsia" w:cs="宋体"/>
          <w:sz w:val="21"/>
          <w:szCs w:val="21"/>
        </w:rPr>
        <w:fldChar w:fldCharType="end"/>
      </w:r>
      <w:r>
        <w:rPr>
          <w:rFonts w:hint="eastAsia" w:cs="宋体"/>
          <w:sz w:val="21"/>
          <w:szCs w:val="21"/>
        </w:rPr>
        <w:fldChar w:fldCharType="end"/>
      </w:r>
    </w:p>
    <w:p w14:paraId="38E12E7A">
      <w:pPr>
        <w:pStyle w:val="14"/>
        <w:spacing w:line="400" w:lineRule="exact"/>
        <w:ind w:firstLine="241"/>
        <w:rPr>
          <w:rFonts w:hint="eastAsia" w:cs="宋体"/>
          <w:b w:val="0"/>
          <w:bCs w:val="0"/>
          <w:caps w:val="0"/>
          <w:sz w:val="21"/>
          <w:szCs w:val="21"/>
        </w:rPr>
      </w:pPr>
      <w:r>
        <w:fldChar w:fldCharType="begin"/>
      </w:r>
      <w:r>
        <w:instrText xml:space="preserve"> HYPERLINK \l "_Toc74320803" </w:instrText>
      </w:r>
      <w:r>
        <w:fldChar w:fldCharType="separate"/>
      </w:r>
      <w:r>
        <w:rPr>
          <w:rStyle w:val="21"/>
          <w:rFonts w:hint="eastAsia" w:cs="宋体"/>
          <w:color w:val="auto"/>
          <w:sz w:val="21"/>
          <w:szCs w:val="21"/>
        </w:rPr>
        <w:t>第四章  评标方</w:t>
      </w:r>
      <w:bookmarkStart w:id="2" w:name="_Hlt82186274"/>
      <w:bookmarkStart w:id="3" w:name="_Hlt82186273"/>
      <w:r>
        <w:rPr>
          <w:rStyle w:val="21"/>
          <w:rFonts w:hint="eastAsia" w:cs="宋体"/>
          <w:color w:val="auto"/>
          <w:sz w:val="21"/>
          <w:szCs w:val="21"/>
        </w:rPr>
        <w:t>法</w:t>
      </w:r>
      <w:bookmarkEnd w:id="2"/>
      <w:bookmarkEnd w:id="3"/>
      <w:r>
        <w:rPr>
          <w:rStyle w:val="21"/>
          <w:rFonts w:hint="eastAsia" w:cs="宋体"/>
          <w:color w:val="auto"/>
          <w:sz w:val="21"/>
          <w:szCs w:val="21"/>
        </w:rPr>
        <w:t>及评标</w:t>
      </w:r>
      <w:bookmarkStart w:id="4" w:name="_Hlt195556137"/>
      <w:bookmarkStart w:id="5" w:name="_Hlt195556136"/>
      <w:r>
        <w:rPr>
          <w:rStyle w:val="21"/>
          <w:rFonts w:hint="eastAsia" w:cs="宋体"/>
          <w:color w:val="auto"/>
          <w:sz w:val="21"/>
          <w:szCs w:val="21"/>
        </w:rPr>
        <w:t>标</w:t>
      </w:r>
      <w:bookmarkEnd w:id="4"/>
      <w:bookmarkEnd w:id="5"/>
      <w:r>
        <w:rPr>
          <w:rStyle w:val="21"/>
          <w:rFonts w:hint="eastAsia" w:cs="宋体"/>
          <w:color w:val="auto"/>
          <w:sz w:val="21"/>
          <w:szCs w:val="21"/>
        </w:rPr>
        <w:t>准</w:t>
      </w:r>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_Toc74320803 \h </w:instrText>
      </w:r>
      <w:r>
        <w:rPr>
          <w:rFonts w:hint="eastAsia" w:cs="宋体"/>
          <w:sz w:val="21"/>
          <w:szCs w:val="21"/>
        </w:rPr>
        <w:fldChar w:fldCharType="separate"/>
      </w:r>
      <w:r>
        <w:rPr>
          <w:rFonts w:hint="eastAsia" w:cs="宋体"/>
          <w:sz w:val="21"/>
          <w:szCs w:val="21"/>
        </w:rPr>
        <w:t>169</w:t>
      </w:r>
      <w:r>
        <w:rPr>
          <w:rFonts w:hint="eastAsia" w:cs="宋体"/>
          <w:sz w:val="21"/>
          <w:szCs w:val="21"/>
        </w:rPr>
        <w:fldChar w:fldCharType="end"/>
      </w:r>
      <w:r>
        <w:rPr>
          <w:rFonts w:hint="eastAsia" w:cs="宋体"/>
          <w:sz w:val="21"/>
          <w:szCs w:val="21"/>
        </w:rPr>
        <w:fldChar w:fldCharType="end"/>
      </w:r>
    </w:p>
    <w:p w14:paraId="6DD300A9">
      <w:pPr>
        <w:pStyle w:val="14"/>
        <w:spacing w:line="400" w:lineRule="exact"/>
        <w:ind w:firstLine="241"/>
        <w:rPr>
          <w:rFonts w:hint="eastAsia" w:cs="宋体"/>
          <w:b w:val="0"/>
          <w:bCs w:val="0"/>
          <w:caps w:val="0"/>
          <w:sz w:val="21"/>
          <w:szCs w:val="21"/>
        </w:rPr>
      </w:pPr>
      <w:r>
        <w:fldChar w:fldCharType="begin"/>
      </w:r>
      <w:r>
        <w:instrText xml:space="preserve"> HYPERLINK \l "_Toc74320804" </w:instrText>
      </w:r>
      <w:r>
        <w:fldChar w:fldCharType="separate"/>
      </w:r>
      <w:r>
        <w:rPr>
          <w:rStyle w:val="21"/>
          <w:rFonts w:hint="eastAsia" w:cs="宋体"/>
          <w:color w:val="auto"/>
          <w:sz w:val="21"/>
          <w:szCs w:val="21"/>
        </w:rPr>
        <w:t>第五章  拟签订的合同文本</w:t>
      </w:r>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_Toc74320804 \h </w:instrText>
      </w:r>
      <w:r>
        <w:rPr>
          <w:rFonts w:hint="eastAsia" w:cs="宋体"/>
          <w:sz w:val="21"/>
          <w:szCs w:val="21"/>
        </w:rPr>
        <w:fldChar w:fldCharType="separate"/>
      </w:r>
      <w:r>
        <w:rPr>
          <w:rFonts w:hint="eastAsia" w:cs="宋体"/>
          <w:sz w:val="21"/>
          <w:szCs w:val="21"/>
        </w:rPr>
        <w:t>209</w:t>
      </w:r>
      <w:r>
        <w:rPr>
          <w:rFonts w:hint="eastAsia" w:cs="宋体"/>
          <w:sz w:val="21"/>
          <w:szCs w:val="21"/>
        </w:rPr>
        <w:fldChar w:fldCharType="end"/>
      </w:r>
      <w:r>
        <w:rPr>
          <w:rFonts w:hint="eastAsia" w:cs="宋体"/>
          <w:sz w:val="21"/>
          <w:szCs w:val="21"/>
        </w:rPr>
        <w:fldChar w:fldCharType="end"/>
      </w:r>
    </w:p>
    <w:p w14:paraId="46E97568">
      <w:pPr>
        <w:pStyle w:val="14"/>
        <w:spacing w:line="400" w:lineRule="exact"/>
        <w:ind w:firstLine="241"/>
        <w:rPr>
          <w:rFonts w:hint="eastAsia" w:cs="宋体"/>
          <w:b w:val="0"/>
          <w:bCs w:val="0"/>
          <w:caps w:val="0"/>
          <w:sz w:val="21"/>
          <w:szCs w:val="21"/>
        </w:rPr>
      </w:pPr>
      <w:r>
        <w:fldChar w:fldCharType="begin"/>
      </w:r>
      <w:r>
        <w:instrText xml:space="preserve"> HYPERLINK \l "_Toc74320805" </w:instrText>
      </w:r>
      <w:r>
        <w:fldChar w:fldCharType="separate"/>
      </w:r>
      <w:r>
        <w:rPr>
          <w:rStyle w:val="21"/>
          <w:rFonts w:hint="eastAsia" w:cs="宋体"/>
          <w:color w:val="auto"/>
          <w:sz w:val="21"/>
          <w:szCs w:val="21"/>
        </w:rPr>
        <w:t>第六章　投标文件格式</w:t>
      </w:r>
      <w:r>
        <w:rPr>
          <w:rFonts w:hint="eastAsia" w:cs="宋体"/>
          <w:sz w:val="21"/>
          <w:szCs w:val="21"/>
        </w:rPr>
        <w:tab/>
      </w:r>
      <w:r>
        <w:rPr>
          <w:rFonts w:hint="eastAsia" w:cs="宋体"/>
          <w:sz w:val="21"/>
          <w:szCs w:val="21"/>
        </w:rPr>
        <w:fldChar w:fldCharType="begin"/>
      </w:r>
      <w:r>
        <w:rPr>
          <w:rFonts w:hint="eastAsia" w:cs="宋体"/>
          <w:sz w:val="21"/>
          <w:szCs w:val="21"/>
        </w:rPr>
        <w:instrText xml:space="preserve"> PAGEREF _Toc74320805 \h </w:instrText>
      </w:r>
      <w:r>
        <w:rPr>
          <w:rFonts w:hint="eastAsia" w:cs="宋体"/>
          <w:sz w:val="21"/>
          <w:szCs w:val="21"/>
        </w:rPr>
        <w:fldChar w:fldCharType="separate"/>
      </w:r>
      <w:r>
        <w:rPr>
          <w:rFonts w:hint="eastAsia" w:cs="宋体"/>
          <w:sz w:val="21"/>
          <w:szCs w:val="21"/>
        </w:rPr>
        <w:t>237</w:t>
      </w:r>
      <w:r>
        <w:rPr>
          <w:rFonts w:hint="eastAsia" w:cs="宋体"/>
          <w:sz w:val="21"/>
          <w:szCs w:val="21"/>
        </w:rPr>
        <w:fldChar w:fldCharType="end"/>
      </w:r>
      <w:r>
        <w:rPr>
          <w:rFonts w:hint="eastAsia" w:cs="宋体"/>
          <w:sz w:val="21"/>
          <w:szCs w:val="21"/>
        </w:rPr>
        <w:fldChar w:fldCharType="end"/>
      </w:r>
    </w:p>
    <w:p w14:paraId="0BCAF062">
      <w:pPr>
        <w:spacing w:before="120" w:line="400" w:lineRule="exact"/>
        <w:rPr>
          <w:rFonts w:hint="eastAsia" w:ascii="宋体" w:hAnsi="宋体" w:cs="宋体"/>
          <w:szCs w:val="21"/>
        </w:rPr>
      </w:pPr>
      <w:r>
        <w:rPr>
          <w:rFonts w:hint="eastAsia" w:ascii="宋体" w:hAnsi="宋体" w:cs="宋体"/>
          <w:b/>
          <w:szCs w:val="21"/>
        </w:rPr>
        <w:fldChar w:fldCharType="end"/>
      </w:r>
    </w:p>
    <w:p w14:paraId="5FD0611D">
      <w:pPr>
        <w:spacing w:before="120" w:line="400" w:lineRule="exact"/>
        <w:rPr>
          <w:rFonts w:hint="eastAsia" w:ascii="宋体" w:hAnsi="宋体" w:cs="宋体"/>
          <w:szCs w:val="21"/>
        </w:rPr>
      </w:pPr>
    </w:p>
    <w:p w14:paraId="70408D76">
      <w:pPr>
        <w:spacing w:line="400" w:lineRule="exact"/>
        <w:rPr>
          <w:rFonts w:hint="eastAsia" w:ascii="宋体" w:hAnsi="宋体" w:cs="宋体"/>
          <w:szCs w:val="21"/>
        </w:rPr>
      </w:pPr>
    </w:p>
    <w:p w14:paraId="0AA62D77">
      <w:pPr>
        <w:spacing w:before="156" w:beforeLines="50" w:line="400" w:lineRule="exact"/>
        <w:rPr>
          <w:rFonts w:hint="eastAsia" w:ascii="宋体" w:hAnsi="宋体" w:cs="宋体"/>
          <w:szCs w:val="21"/>
        </w:rPr>
      </w:pPr>
    </w:p>
    <w:p w14:paraId="4DA96902">
      <w:pPr>
        <w:spacing w:before="156" w:beforeLines="50" w:line="400" w:lineRule="exact"/>
        <w:rPr>
          <w:rFonts w:hint="eastAsia" w:ascii="宋体" w:hAnsi="宋体" w:cs="宋体"/>
          <w:szCs w:val="21"/>
        </w:rPr>
      </w:pPr>
    </w:p>
    <w:p w14:paraId="128CBA96">
      <w:pPr>
        <w:pStyle w:val="9"/>
        <w:spacing w:line="400" w:lineRule="exact"/>
        <w:rPr>
          <w:rFonts w:hint="eastAsia" w:ascii="宋体" w:hAnsi="宋体" w:cs="宋体"/>
          <w:b/>
          <w:bCs/>
          <w:szCs w:val="21"/>
        </w:rPr>
      </w:pPr>
      <w:bookmarkStart w:id="6" w:name="_Toc254970489"/>
      <w:bookmarkStart w:id="7" w:name="_Toc254970630"/>
    </w:p>
    <w:p w14:paraId="480F699B">
      <w:pPr>
        <w:pStyle w:val="4"/>
        <w:tabs>
          <w:tab w:val="left" w:pos="0"/>
          <w:tab w:val="left" w:pos="3165"/>
          <w:tab w:val="center" w:pos="4153"/>
        </w:tabs>
        <w:autoSpaceDE w:val="0"/>
        <w:autoSpaceDN w:val="0"/>
        <w:adjustRightInd w:val="0"/>
        <w:spacing w:before="0" w:after="0" w:line="400" w:lineRule="exact"/>
        <w:jc w:val="center"/>
        <w:rPr>
          <w:rFonts w:hint="eastAsia" w:ascii="宋体" w:hAnsi="宋体" w:cs="宋体"/>
          <w:bCs w:val="0"/>
          <w:kern w:val="2"/>
          <w:sz w:val="21"/>
          <w:szCs w:val="21"/>
        </w:rPr>
      </w:pPr>
      <w:r>
        <w:rPr>
          <w:rFonts w:hint="eastAsia" w:ascii="宋体" w:hAnsi="宋体" w:cs="宋体"/>
          <w:b w:val="0"/>
          <w:bCs w:val="0"/>
          <w:sz w:val="21"/>
          <w:szCs w:val="21"/>
        </w:rPr>
        <w:br w:type="page"/>
      </w:r>
      <w:bookmarkStart w:id="8" w:name="_Toc74320800"/>
      <w:r>
        <w:rPr>
          <w:rFonts w:hint="eastAsia" w:ascii="方正小标宋_GBK" w:hAnsi="方正小标宋_GBK" w:eastAsia="方正小标宋_GBK" w:cs="方正小标宋_GBK"/>
          <w:bCs w:val="0"/>
          <w:kern w:val="2"/>
          <w:sz w:val="21"/>
          <w:szCs w:val="21"/>
        </w:rPr>
        <w:t>第一章</w:t>
      </w:r>
      <w:bookmarkEnd w:id="6"/>
      <w:bookmarkEnd w:id="7"/>
      <w:bookmarkStart w:id="9" w:name="_Toc35393789"/>
      <w:bookmarkStart w:id="10" w:name="_Toc28359001"/>
      <w:r>
        <w:rPr>
          <w:rFonts w:hint="eastAsia" w:ascii="方正小标宋_GBK" w:hAnsi="方正小标宋_GBK" w:eastAsia="方正小标宋_GBK" w:cs="方正小标宋_GBK"/>
          <w:bCs w:val="0"/>
          <w:kern w:val="2"/>
          <w:sz w:val="21"/>
          <w:szCs w:val="21"/>
        </w:rPr>
        <w:t xml:space="preserve"> 招标公告</w:t>
      </w:r>
      <w:bookmarkEnd w:id="8"/>
      <w:bookmarkEnd w:id="9"/>
      <w:bookmarkEnd w:id="10"/>
    </w:p>
    <w:p w14:paraId="666FA395">
      <w:pPr>
        <w:pStyle w:val="23"/>
        <w:spacing w:before="156" w:after="156" w:line="400" w:lineRule="exact"/>
        <w:ind w:firstLine="422"/>
        <w:jc w:val="center"/>
        <w:rPr>
          <w:b/>
          <w:color w:val="auto"/>
          <w:sz w:val="21"/>
          <w:szCs w:val="21"/>
        </w:rPr>
      </w:pPr>
      <w:bookmarkStart w:id="11" w:name="OLE_LINK22"/>
      <w:bookmarkStart w:id="12" w:name="_Toc74320801"/>
      <w:r>
        <w:rPr>
          <w:rFonts w:hint="eastAsia"/>
          <w:b/>
          <w:color w:val="auto"/>
          <w:sz w:val="21"/>
          <w:szCs w:val="21"/>
        </w:rPr>
        <w:t>广西生态环境信息化建设项目的公开招标公告</w:t>
      </w:r>
    </w:p>
    <w:p w14:paraId="30EC6BD3">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cs="宋体"/>
          <w:szCs w:val="21"/>
        </w:rPr>
      </w:pPr>
      <w:r>
        <w:rPr>
          <w:rFonts w:hint="eastAsia" w:ascii="宋体" w:hAnsi="宋体" w:cs="宋体"/>
          <w:szCs w:val="21"/>
        </w:rPr>
        <w:t>项目概况</w:t>
      </w:r>
    </w:p>
    <w:p w14:paraId="707C1918">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cs="宋体"/>
          <w:szCs w:val="21"/>
        </w:rPr>
      </w:pPr>
      <w:r>
        <w:rPr>
          <w:rFonts w:hint="eastAsia" w:ascii="宋体" w:hAnsi="宋体" w:cs="宋体"/>
          <w:bCs/>
          <w:szCs w:val="21"/>
        </w:rPr>
        <w:t>广西生态环境信息化建设项目</w:t>
      </w:r>
      <w:r>
        <w:rPr>
          <w:rFonts w:hint="eastAsia" w:ascii="宋体" w:hAnsi="宋体" w:cs="宋体"/>
          <w:szCs w:val="21"/>
        </w:rPr>
        <w:t>的潜在投标人应在“广西政府采购云”平台（https://www.gcy.zfcg.gxzf.gov.cn/）获取（下载）招标文件，并于</w:t>
      </w:r>
      <w:r>
        <w:rPr>
          <w:rFonts w:hint="eastAsia" w:ascii="宋体" w:hAnsi="宋体" w:cs="宋体"/>
          <w:bCs/>
          <w:szCs w:val="21"/>
          <w:u w:val="single"/>
        </w:rPr>
        <w:t>2026年</w:t>
      </w:r>
      <w:r>
        <w:rPr>
          <w:rFonts w:hint="eastAsia" w:ascii="宋体" w:hAnsi="宋体" w:cs="宋体"/>
          <w:bCs/>
          <w:szCs w:val="21"/>
          <w:u w:val="single"/>
          <w:lang w:val="en-US" w:eastAsia="zh-CN"/>
        </w:rPr>
        <w:t>9</w:t>
      </w:r>
      <w:r>
        <w:rPr>
          <w:rFonts w:hint="eastAsia" w:ascii="宋体" w:hAnsi="宋体" w:cs="宋体"/>
          <w:bCs/>
          <w:szCs w:val="21"/>
          <w:u w:val="single"/>
        </w:rPr>
        <w:t>月</w:t>
      </w:r>
      <w:r>
        <w:rPr>
          <w:rFonts w:hint="eastAsia" w:ascii="宋体" w:hAnsi="宋体" w:cs="宋体"/>
          <w:bCs/>
          <w:szCs w:val="21"/>
          <w:u w:val="single"/>
          <w:lang w:val="en-US" w:eastAsia="zh-CN"/>
        </w:rPr>
        <w:t>28</w:t>
      </w:r>
      <w:r>
        <w:rPr>
          <w:rFonts w:hint="eastAsia" w:ascii="宋体" w:hAnsi="宋体" w:cs="宋体"/>
          <w:bCs/>
          <w:szCs w:val="21"/>
          <w:u w:val="single"/>
        </w:rPr>
        <w:t>日09时30分</w:t>
      </w:r>
      <w:r>
        <w:rPr>
          <w:rFonts w:hint="eastAsia" w:ascii="宋体" w:hAnsi="宋体" w:cs="宋体"/>
          <w:bCs/>
          <w:szCs w:val="21"/>
        </w:rPr>
        <w:t>（北京时间）前递交投标文件</w:t>
      </w:r>
      <w:r>
        <w:rPr>
          <w:rFonts w:hint="eastAsia" w:ascii="宋体" w:hAnsi="宋体" w:cs="宋体"/>
          <w:szCs w:val="21"/>
        </w:rPr>
        <w:t>。</w:t>
      </w:r>
    </w:p>
    <w:bookmarkEnd w:id="11"/>
    <w:p w14:paraId="62674EC7">
      <w:pPr>
        <w:snapToGrid w:val="0"/>
        <w:spacing w:line="400" w:lineRule="exact"/>
        <w:ind w:firstLine="422" w:firstLineChars="200"/>
        <w:rPr>
          <w:rFonts w:hint="eastAsia" w:ascii="宋体" w:hAnsi="宋体" w:cs="宋体"/>
          <w:b/>
          <w:bCs/>
          <w:szCs w:val="21"/>
        </w:rPr>
      </w:pPr>
      <w:bookmarkStart w:id="13" w:name="_Toc35393790"/>
      <w:bookmarkStart w:id="14" w:name="_Toc28359002"/>
      <w:bookmarkStart w:id="15" w:name="_Toc35393621"/>
      <w:bookmarkStart w:id="16" w:name="_Toc28359079"/>
      <w:bookmarkStart w:id="17" w:name="_Hlk24379207"/>
      <w:r>
        <w:rPr>
          <w:rFonts w:hint="eastAsia" w:ascii="宋体" w:hAnsi="宋体" w:cs="宋体"/>
          <w:b/>
          <w:bCs/>
          <w:szCs w:val="21"/>
        </w:rPr>
        <w:t>一、项目基本情况</w:t>
      </w:r>
      <w:bookmarkEnd w:id="13"/>
      <w:bookmarkEnd w:id="14"/>
      <w:bookmarkEnd w:id="15"/>
      <w:bookmarkEnd w:id="16"/>
    </w:p>
    <w:p w14:paraId="2DE206C7">
      <w:pPr>
        <w:snapToGrid w:val="0"/>
        <w:spacing w:line="400" w:lineRule="exact"/>
        <w:ind w:firstLine="420" w:firstLineChars="200"/>
        <w:rPr>
          <w:rFonts w:hint="eastAsia" w:ascii="宋体" w:hAnsi="宋体" w:cs="宋体"/>
          <w:szCs w:val="21"/>
        </w:rPr>
      </w:pPr>
      <w:r>
        <w:rPr>
          <w:rFonts w:hint="eastAsia" w:ascii="宋体" w:hAnsi="宋体" w:cs="宋体"/>
          <w:szCs w:val="21"/>
        </w:rPr>
        <w:t>项目编号：GXZC2026-G3-002867-GCZX</w:t>
      </w:r>
    </w:p>
    <w:bookmarkEnd w:id="17"/>
    <w:p w14:paraId="45DFD285">
      <w:pPr>
        <w:snapToGrid w:val="0"/>
        <w:spacing w:line="400" w:lineRule="exact"/>
        <w:ind w:firstLine="420" w:firstLineChars="200"/>
        <w:rPr>
          <w:rFonts w:hint="eastAsia" w:ascii="宋体" w:hAnsi="宋体" w:cs="宋体"/>
          <w:szCs w:val="21"/>
        </w:rPr>
      </w:pPr>
      <w:bookmarkStart w:id="18" w:name="_Toc35393622"/>
      <w:bookmarkStart w:id="19" w:name="_Toc28359080"/>
      <w:bookmarkStart w:id="20" w:name="_Toc35393791"/>
      <w:bookmarkStart w:id="21" w:name="_Toc28359003"/>
      <w:r>
        <w:rPr>
          <w:rFonts w:hint="eastAsia" w:ascii="宋体" w:hAnsi="宋体" w:cs="宋体"/>
          <w:szCs w:val="21"/>
        </w:rPr>
        <w:t>项目名称：广西生态环境信息化建设项目</w:t>
      </w:r>
    </w:p>
    <w:p w14:paraId="705EACB7">
      <w:pPr>
        <w:snapToGrid w:val="0"/>
        <w:spacing w:line="400" w:lineRule="exact"/>
        <w:ind w:firstLine="420" w:firstLineChars="200"/>
        <w:rPr>
          <w:rFonts w:hint="eastAsia" w:ascii="宋体" w:hAnsi="宋体" w:cs="宋体"/>
          <w:szCs w:val="21"/>
        </w:rPr>
      </w:pPr>
      <w:r>
        <w:rPr>
          <w:rFonts w:hint="eastAsia" w:ascii="宋体" w:hAnsi="宋体" w:cs="宋体"/>
          <w:szCs w:val="21"/>
        </w:rPr>
        <w:t>预算总金额（元）：人民币壹仟叁佰零肆万叁仟陆佰元整（¥13043600.00）</w:t>
      </w:r>
    </w:p>
    <w:p w14:paraId="0823B537">
      <w:pPr>
        <w:snapToGrid w:val="0"/>
        <w:spacing w:line="400" w:lineRule="exact"/>
        <w:ind w:firstLine="420" w:firstLineChars="200"/>
        <w:rPr>
          <w:rFonts w:hint="eastAsia" w:ascii="宋体" w:hAnsi="宋体" w:cs="宋体"/>
          <w:szCs w:val="21"/>
        </w:rPr>
      </w:pPr>
      <w:r>
        <w:rPr>
          <w:rFonts w:hint="eastAsia" w:ascii="宋体" w:hAnsi="宋体" w:cs="宋体"/>
          <w:szCs w:val="21"/>
        </w:rPr>
        <w:t>采购需求：</w:t>
      </w:r>
    </w:p>
    <w:p w14:paraId="2222DDBE">
      <w:pPr>
        <w:snapToGrid w:val="0"/>
        <w:spacing w:line="400" w:lineRule="exact"/>
        <w:ind w:firstLine="422" w:firstLineChars="200"/>
        <w:rPr>
          <w:rFonts w:hint="eastAsia" w:ascii="宋体" w:hAnsi="宋体"/>
          <w:b/>
          <w:bCs/>
          <w:szCs w:val="21"/>
        </w:rPr>
      </w:pPr>
      <w:r>
        <w:rPr>
          <w:rFonts w:hint="eastAsia" w:ascii="宋体" w:hAnsi="宋体"/>
          <w:b/>
          <w:bCs/>
          <w:szCs w:val="21"/>
        </w:rPr>
        <w:t>分标1</w:t>
      </w:r>
    </w:p>
    <w:p w14:paraId="255F0FB7">
      <w:pPr>
        <w:snapToGrid w:val="0"/>
        <w:spacing w:line="400" w:lineRule="exact"/>
        <w:ind w:firstLine="420" w:firstLineChars="200"/>
        <w:rPr>
          <w:rFonts w:hint="eastAsia" w:ascii="宋体" w:hAnsi="宋体" w:cs="宋体"/>
          <w:szCs w:val="21"/>
        </w:rPr>
      </w:pPr>
      <w:r>
        <w:rPr>
          <w:rFonts w:hint="eastAsia" w:ascii="宋体" w:hAnsi="宋体" w:cs="宋体"/>
          <w:szCs w:val="21"/>
        </w:rPr>
        <w:t>标项名称：广西生态环境信息化建设项目（A分标）</w:t>
      </w:r>
    </w:p>
    <w:p w14:paraId="4A1902BF">
      <w:pPr>
        <w:snapToGrid w:val="0"/>
        <w:spacing w:line="400" w:lineRule="exact"/>
        <w:ind w:firstLine="420" w:firstLineChars="200"/>
        <w:rPr>
          <w:rFonts w:hint="eastAsia" w:ascii="宋体" w:hAnsi="宋体" w:cs="宋体"/>
          <w:szCs w:val="21"/>
        </w:rPr>
      </w:pPr>
      <w:r>
        <w:rPr>
          <w:rFonts w:hint="eastAsia" w:ascii="宋体" w:hAnsi="宋体" w:cs="宋体"/>
          <w:szCs w:val="21"/>
        </w:rPr>
        <w:t>数量：1项</w:t>
      </w:r>
    </w:p>
    <w:p w14:paraId="5ABD6F81">
      <w:pPr>
        <w:snapToGrid w:val="0"/>
        <w:spacing w:line="400" w:lineRule="exact"/>
        <w:ind w:firstLine="420" w:firstLineChars="200"/>
        <w:rPr>
          <w:rFonts w:hint="eastAsia" w:ascii="宋体" w:hAnsi="宋体" w:cs="宋体"/>
          <w:szCs w:val="21"/>
        </w:rPr>
      </w:pPr>
      <w:r>
        <w:rPr>
          <w:rFonts w:hint="eastAsia" w:ascii="宋体" w:hAnsi="宋体" w:cs="宋体"/>
          <w:szCs w:val="21"/>
        </w:rPr>
        <w:t>预算金额（元）：人民币叁佰柒拾捌万肆仟伍佰元整（¥</w:t>
      </w:r>
      <w:r>
        <w:rPr>
          <w:rFonts w:ascii="宋体" w:hAnsi="宋体" w:cs="宋体"/>
          <w:szCs w:val="21"/>
        </w:rPr>
        <w:t>3784500.00</w:t>
      </w:r>
      <w:r>
        <w:rPr>
          <w:rFonts w:hint="eastAsia" w:ascii="宋体" w:hAnsi="宋体" w:cs="宋体"/>
          <w:szCs w:val="21"/>
        </w:rPr>
        <w:t>）</w:t>
      </w:r>
    </w:p>
    <w:p w14:paraId="51B8835C">
      <w:pPr>
        <w:snapToGrid w:val="0"/>
        <w:spacing w:line="400" w:lineRule="exact"/>
        <w:ind w:firstLine="420" w:firstLineChars="200"/>
        <w:rPr>
          <w:rFonts w:hint="eastAsia" w:ascii="宋体" w:hAnsi="宋体" w:cs="宋体"/>
          <w:szCs w:val="21"/>
        </w:rPr>
      </w:pPr>
      <w:r>
        <w:rPr>
          <w:rFonts w:hint="eastAsia" w:ascii="宋体" w:hAnsi="宋体" w:cs="宋体"/>
          <w:szCs w:val="21"/>
        </w:rPr>
        <w:t>简要规格描述或项目基本概况介绍、用途：广西核与辐射监管应急指挥应用(广西核应急指挥应用、广西辐射安全监管应用），如需进一步了解详细内容，详见采购文件。</w:t>
      </w:r>
    </w:p>
    <w:p w14:paraId="40DB1828">
      <w:pPr>
        <w:snapToGrid w:val="0"/>
        <w:spacing w:line="400" w:lineRule="exact"/>
        <w:ind w:firstLine="420" w:firstLineChars="200"/>
        <w:rPr>
          <w:rFonts w:hint="eastAsia" w:ascii="宋体" w:hAnsi="宋体" w:cs="宋体"/>
          <w:szCs w:val="21"/>
        </w:rPr>
      </w:pPr>
      <w:r>
        <w:rPr>
          <w:rFonts w:hint="eastAsia" w:ascii="宋体" w:hAnsi="宋体" w:cs="宋体"/>
          <w:szCs w:val="21"/>
        </w:rPr>
        <w:t>最高限价（如有）：人民币叁佰柒拾捌万肆仟伍佰元整（¥</w:t>
      </w:r>
      <w:r>
        <w:rPr>
          <w:rFonts w:ascii="宋体" w:hAnsi="宋体" w:cs="宋体"/>
          <w:szCs w:val="21"/>
        </w:rPr>
        <w:t>3784500.00</w:t>
      </w:r>
      <w:r>
        <w:rPr>
          <w:rFonts w:hint="eastAsia" w:ascii="宋体" w:hAnsi="宋体" w:cs="宋体"/>
          <w:szCs w:val="21"/>
        </w:rPr>
        <w:t>）</w:t>
      </w:r>
    </w:p>
    <w:p w14:paraId="3E6C04D1">
      <w:pPr>
        <w:snapToGrid w:val="0"/>
        <w:spacing w:line="400" w:lineRule="exact"/>
        <w:ind w:firstLine="420" w:firstLineChars="200"/>
        <w:rPr>
          <w:rFonts w:hint="eastAsia" w:ascii="宋体" w:hAnsi="宋体" w:cs="宋体"/>
          <w:szCs w:val="21"/>
        </w:rPr>
      </w:pPr>
      <w:r>
        <w:rPr>
          <w:rFonts w:hint="eastAsia" w:ascii="宋体" w:hAnsi="宋体" w:cs="宋体"/>
          <w:szCs w:val="21"/>
        </w:rPr>
        <w:t>合同履约期限：从合同签订之日起，至服务成果通过项目竣工验收之日止。</w:t>
      </w:r>
    </w:p>
    <w:p w14:paraId="5194520A">
      <w:pPr>
        <w:snapToGrid w:val="0"/>
        <w:spacing w:line="400" w:lineRule="exact"/>
        <w:ind w:firstLine="420" w:firstLineChars="200"/>
        <w:rPr>
          <w:rFonts w:hint="eastAsia" w:ascii="宋体" w:hAnsi="宋体" w:cs="宋体"/>
          <w:szCs w:val="21"/>
        </w:rPr>
      </w:pPr>
      <w:r>
        <w:rPr>
          <w:rFonts w:hint="eastAsia" w:ascii="宋体" w:hAnsi="宋体" w:cs="宋体"/>
          <w:szCs w:val="21"/>
        </w:rPr>
        <w:t>本标项（是）接受联合体投标</w:t>
      </w:r>
    </w:p>
    <w:p w14:paraId="2D4CE24D">
      <w:pPr>
        <w:snapToGrid w:val="0"/>
        <w:spacing w:line="400" w:lineRule="exact"/>
        <w:ind w:firstLine="420" w:firstLineChars="200"/>
        <w:rPr>
          <w:rFonts w:hint="eastAsia" w:ascii="宋体" w:hAnsi="宋体" w:eastAsia="宋体" w:cs="宋体"/>
          <w:szCs w:val="21"/>
          <w:lang w:eastAsia="zh-CN"/>
        </w:rPr>
      </w:pPr>
      <w:r>
        <w:rPr>
          <w:rFonts w:hint="eastAsia" w:ascii="宋体" w:hAnsi="宋体" w:cs="宋体"/>
          <w:szCs w:val="21"/>
        </w:rPr>
        <w:t>备注：本标项接受联合体投标，接受最多三个投标人（含牵头人数量）组成一个投标联合体参与投标</w:t>
      </w:r>
      <w:r>
        <w:rPr>
          <w:rFonts w:hint="eastAsia" w:ascii="宋体" w:hAnsi="宋体" w:cs="宋体"/>
          <w:szCs w:val="21"/>
          <w:lang w:eastAsia="zh-CN"/>
        </w:rPr>
        <w:t>。</w:t>
      </w:r>
    </w:p>
    <w:p w14:paraId="3075A9C6">
      <w:pPr>
        <w:snapToGrid w:val="0"/>
        <w:spacing w:line="400" w:lineRule="exact"/>
        <w:ind w:firstLine="422" w:firstLineChars="200"/>
        <w:rPr>
          <w:rFonts w:hint="eastAsia" w:ascii="宋体" w:hAnsi="宋体"/>
          <w:b/>
          <w:bCs/>
          <w:szCs w:val="21"/>
        </w:rPr>
      </w:pPr>
      <w:r>
        <w:rPr>
          <w:rFonts w:hint="eastAsia" w:ascii="宋体" w:hAnsi="宋体"/>
          <w:b/>
          <w:bCs/>
          <w:szCs w:val="21"/>
        </w:rPr>
        <w:t>分标2</w:t>
      </w:r>
    </w:p>
    <w:p w14:paraId="349D484F">
      <w:pPr>
        <w:snapToGrid w:val="0"/>
        <w:spacing w:line="400" w:lineRule="exact"/>
        <w:ind w:firstLine="420" w:firstLineChars="200"/>
        <w:rPr>
          <w:rFonts w:hint="eastAsia" w:ascii="宋体" w:hAnsi="宋体" w:cs="宋体"/>
          <w:szCs w:val="21"/>
        </w:rPr>
      </w:pPr>
      <w:r>
        <w:rPr>
          <w:rFonts w:hint="eastAsia" w:ascii="宋体" w:hAnsi="宋体" w:cs="宋体"/>
          <w:szCs w:val="21"/>
        </w:rPr>
        <w:t>标项名称：广西生态环境信息化建设项目（B分标）</w:t>
      </w:r>
    </w:p>
    <w:p w14:paraId="5BBDEBB5">
      <w:pPr>
        <w:snapToGrid w:val="0"/>
        <w:spacing w:line="400" w:lineRule="exact"/>
        <w:ind w:firstLine="420" w:firstLineChars="200"/>
        <w:rPr>
          <w:rFonts w:hint="eastAsia" w:ascii="宋体" w:hAnsi="宋体" w:cs="宋体"/>
          <w:szCs w:val="21"/>
        </w:rPr>
      </w:pPr>
      <w:r>
        <w:rPr>
          <w:rFonts w:hint="eastAsia" w:ascii="宋体" w:hAnsi="宋体" w:cs="宋体"/>
          <w:szCs w:val="21"/>
        </w:rPr>
        <w:t>数量：1项</w:t>
      </w:r>
    </w:p>
    <w:p w14:paraId="3B14678B">
      <w:pPr>
        <w:snapToGrid w:val="0"/>
        <w:spacing w:line="400" w:lineRule="exact"/>
        <w:ind w:firstLine="420" w:firstLineChars="200"/>
        <w:rPr>
          <w:rFonts w:hint="eastAsia" w:ascii="宋体" w:hAnsi="宋体" w:cs="宋体"/>
          <w:szCs w:val="21"/>
        </w:rPr>
      </w:pPr>
      <w:r>
        <w:rPr>
          <w:rFonts w:hint="eastAsia" w:ascii="宋体" w:hAnsi="宋体" w:cs="宋体"/>
          <w:szCs w:val="21"/>
        </w:rPr>
        <w:t>预算金额（元）：人民币伍佰零伍万肆仟伍佰元整（¥</w:t>
      </w:r>
      <w:r>
        <w:rPr>
          <w:rFonts w:ascii="宋体" w:hAnsi="宋体" w:cs="宋体"/>
          <w:szCs w:val="21"/>
        </w:rPr>
        <w:t>50545</w:t>
      </w:r>
      <w:r>
        <w:rPr>
          <w:rFonts w:hint="eastAsia" w:ascii="宋体" w:hAnsi="宋体" w:cs="宋体"/>
          <w:szCs w:val="21"/>
        </w:rPr>
        <w:t>00.00）</w:t>
      </w:r>
    </w:p>
    <w:p w14:paraId="5D0B2379">
      <w:pPr>
        <w:snapToGrid w:val="0"/>
        <w:spacing w:line="400" w:lineRule="exact"/>
        <w:ind w:firstLine="420" w:firstLineChars="200"/>
        <w:rPr>
          <w:rFonts w:hint="eastAsia" w:ascii="宋体" w:hAnsi="宋体" w:cs="宋体"/>
          <w:szCs w:val="21"/>
        </w:rPr>
      </w:pPr>
      <w:r>
        <w:rPr>
          <w:rFonts w:hint="eastAsia" w:ascii="宋体" w:hAnsi="宋体" w:cs="宋体"/>
          <w:szCs w:val="21"/>
        </w:rPr>
        <w:t>简要规格描述或项目基本概况介绍、用途：广西生态环境监管应用（广西生态环境智慧执法应用、“帮企减污”应用、广西环保项目库管理应用、政务服务事项标准化接口、项目准入研判应用、广西生态环境实验室管理应用、大气监测数据快速统计及分析应用），如需进一步了解详细内容，详见采购文件。</w:t>
      </w:r>
    </w:p>
    <w:p w14:paraId="771382CF">
      <w:pPr>
        <w:snapToGrid w:val="0"/>
        <w:spacing w:line="400" w:lineRule="exact"/>
        <w:ind w:firstLine="420" w:firstLineChars="200"/>
        <w:rPr>
          <w:rFonts w:hint="eastAsia" w:ascii="宋体" w:hAnsi="宋体" w:cs="宋体"/>
          <w:szCs w:val="21"/>
        </w:rPr>
      </w:pPr>
      <w:r>
        <w:rPr>
          <w:rFonts w:hint="eastAsia" w:ascii="宋体" w:hAnsi="宋体" w:cs="宋体"/>
          <w:szCs w:val="21"/>
        </w:rPr>
        <w:t>最高限价（如有）：人民币伍佰零伍万肆仟伍佰元整（¥</w:t>
      </w:r>
      <w:r>
        <w:rPr>
          <w:rFonts w:ascii="宋体" w:hAnsi="宋体" w:cs="宋体"/>
          <w:szCs w:val="21"/>
        </w:rPr>
        <w:t>50545</w:t>
      </w:r>
      <w:r>
        <w:rPr>
          <w:rFonts w:hint="eastAsia" w:ascii="宋体" w:hAnsi="宋体" w:cs="宋体"/>
          <w:szCs w:val="21"/>
        </w:rPr>
        <w:t>00.00）</w:t>
      </w:r>
    </w:p>
    <w:p w14:paraId="321D14DC">
      <w:pPr>
        <w:snapToGrid w:val="0"/>
        <w:spacing w:line="400" w:lineRule="exact"/>
        <w:ind w:firstLine="420" w:firstLineChars="200"/>
        <w:rPr>
          <w:rFonts w:hint="eastAsia" w:ascii="宋体" w:hAnsi="宋体" w:cs="宋体"/>
          <w:szCs w:val="21"/>
        </w:rPr>
      </w:pPr>
      <w:r>
        <w:rPr>
          <w:rFonts w:hint="eastAsia" w:ascii="宋体" w:hAnsi="宋体" w:cs="宋体"/>
          <w:szCs w:val="21"/>
        </w:rPr>
        <w:t>合同履约期限：从合同签订之日起，至服务成果通过项目竣工验收之日止。</w:t>
      </w:r>
    </w:p>
    <w:p w14:paraId="2BC6A523">
      <w:pPr>
        <w:snapToGrid w:val="0"/>
        <w:spacing w:line="400" w:lineRule="exact"/>
        <w:ind w:firstLine="420" w:firstLineChars="200"/>
        <w:rPr>
          <w:rFonts w:hint="eastAsia" w:ascii="宋体" w:hAnsi="宋体" w:cs="宋体"/>
          <w:szCs w:val="21"/>
        </w:rPr>
      </w:pPr>
      <w:r>
        <w:rPr>
          <w:rFonts w:hint="eastAsia" w:ascii="宋体" w:hAnsi="宋体" w:cs="宋体"/>
          <w:szCs w:val="21"/>
        </w:rPr>
        <w:t>本标项（否）接受联合体投标</w:t>
      </w:r>
    </w:p>
    <w:p w14:paraId="012BCD75">
      <w:pPr>
        <w:snapToGrid w:val="0"/>
        <w:spacing w:line="400" w:lineRule="exact"/>
        <w:ind w:firstLine="420" w:firstLineChars="200"/>
        <w:rPr>
          <w:rFonts w:hint="eastAsia" w:ascii="宋体" w:hAnsi="宋体" w:cs="宋体"/>
          <w:szCs w:val="21"/>
        </w:rPr>
      </w:pPr>
      <w:r>
        <w:rPr>
          <w:rFonts w:hint="eastAsia" w:ascii="宋体" w:hAnsi="宋体" w:cs="宋体"/>
          <w:szCs w:val="21"/>
        </w:rPr>
        <w:t>备注：</w:t>
      </w:r>
    </w:p>
    <w:p w14:paraId="628E2A96">
      <w:pPr>
        <w:snapToGrid w:val="0"/>
        <w:spacing w:line="400" w:lineRule="exact"/>
        <w:ind w:firstLine="422" w:firstLineChars="200"/>
        <w:rPr>
          <w:rFonts w:hint="eastAsia" w:ascii="宋体" w:hAnsi="宋体"/>
          <w:b/>
          <w:bCs/>
          <w:szCs w:val="21"/>
        </w:rPr>
      </w:pPr>
      <w:bookmarkStart w:id="22" w:name="OLE_LINK21"/>
      <w:r>
        <w:rPr>
          <w:rFonts w:hint="eastAsia" w:ascii="宋体" w:hAnsi="宋体"/>
          <w:b/>
          <w:bCs/>
          <w:szCs w:val="21"/>
        </w:rPr>
        <w:t>分标3</w:t>
      </w:r>
    </w:p>
    <w:p w14:paraId="50D220BE">
      <w:pPr>
        <w:snapToGrid w:val="0"/>
        <w:spacing w:line="400" w:lineRule="exact"/>
        <w:ind w:firstLine="420" w:firstLineChars="200"/>
        <w:rPr>
          <w:rFonts w:hint="eastAsia" w:ascii="宋体" w:hAnsi="宋体" w:cs="宋体"/>
          <w:szCs w:val="21"/>
        </w:rPr>
      </w:pPr>
      <w:r>
        <w:rPr>
          <w:rFonts w:hint="eastAsia" w:ascii="宋体" w:hAnsi="宋体" w:cs="宋体"/>
          <w:szCs w:val="21"/>
        </w:rPr>
        <w:t>标项名称：广西生态环境信息化建设项目（C分标）</w:t>
      </w:r>
    </w:p>
    <w:p w14:paraId="43952DAF">
      <w:pPr>
        <w:snapToGrid w:val="0"/>
        <w:spacing w:line="400" w:lineRule="exact"/>
        <w:ind w:firstLine="420" w:firstLineChars="200"/>
        <w:rPr>
          <w:rFonts w:hint="eastAsia" w:ascii="宋体" w:hAnsi="宋体" w:cs="宋体"/>
          <w:szCs w:val="21"/>
        </w:rPr>
      </w:pPr>
      <w:r>
        <w:rPr>
          <w:rFonts w:hint="eastAsia" w:ascii="宋体" w:hAnsi="宋体" w:cs="宋体"/>
          <w:szCs w:val="21"/>
        </w:rPr>
        <w:t>数量：1项</w:t>
      </w:r>
    </w:p>
    <w:p w14:paraId="490D28A5">
      <w:pPr>
        <w:snapToGrid w:val="0"/>
        <w:spacing w:line="400" w:lineRule="exact"/>
        <w:ind w:firstLine="420" w:firstLineChars="200"/>
        <w:rPr>
          <w:rFonts w:hint="eastAsia" w:ascii="宋体" w:hAnsi="宋体" w:cs="宋体"/>
          <w:szCs w:val="21"/>
        </w:rPr>
      </w:pPr>
      <w:r>
        <w:rPr>
          <w:rFonts w:hint="eastAsia" w:ascii="宋体" w:hAnsi="宋体" w:cs="宋体"/>
          <w:szCs w:val="21"/>
        </w:rPr>
        <w:t>预算金额（元）：人民币壹佰捌拾伍万叁仟陆佰元整（¥</w:t>
      </w:r>
      <w:r>
        <w:rPr>
          <w:rFonts w:ascii="宋体" w:hAnsi="宋体" w:cs="宋体"/>
          <w:szCs w:val="21"/>
        </w:rPr>
        <w:t>18536</w:t>
      </w:r>
      <w:r>
        <w:rPr>
          <w:rFonts w:hint="eastAsia" w:ascii="宋体" w:hAnsi="宋体" w:cs="宋体"/>
          <w:szCs w:val="21"/>
        </w:rPr>
        <w:t>00.00）</w:t>
      </w:r>
    </w:p>
    <w:p w14:paraId="05CD51F9">
      <w:pPr>
        <w:snapToGrid w:val="0"/>
        <w:spacing w:line="400" w:lineRule="exact"/>
        <w:ind w:firstLine="420" w:firstLineChars="200"/>
        <w:rPr>
          <w:rFonts w:hint="eastAsia" w:ascii="宋体" w:hAnsi="宋体" w:cs="宋体"/>
          <w:szCs w:val="21"/>
        </w:rPr>
      </w:pPr>
      <w:r>
        <w:rPr>
          <w:rFonts w:hint="eastAsia" w:ascii="宋体" w:hAnsi="宋体" w:cs="宋体"/>
          <w:szCs w:val="21"/>
        </w:rPr>
        <w:t>简要规格描述或项目基本概况介绍、用途：综合业务管理应用（广西生态环境厅内部管理应用重构适配、自治区生态环境厅直属单位内部管理应用、广西壮族自治区生态环境厅电子档案管理应用、内控管理应用、广西壮族自治区环境保护科学研究院网站、广西“生态云”统一支撑平台升级），如需进一步了解详细内容，详见采购文件。</w:t>
      </w:r>
    </w:p>
    <w:p w14:paraId="6D1CC135">
      <w:pPr>
        <w:snapToGrid w:val="0"/>
        <w:spacing w:line="400" w:lineRule="exact"/>
        <w:ind w:firstLine="420" w:firstLineChars="200"/>
        <w:rPr>
          <w:rFonts w:hint="eastAsia" w:ascii="宋体" w:hAnsi="宋体" w:cs="宋体"/>
          <w:szCs w:val="21"/>
        </w:rPr>
      </w:pPr>
      <w:r>
        <w:rPr>
          <w:rFonts w:hint="eastAsia" w:ascii="宋体" w:hAnsi="宋体" w:cs="宋体"/>
          <w:szCs w:val="21"/>
        </w:rPr>
        <w:t>最高限价（如有）：人民币壹佰捌拾伍万叁仟陆佰元整（¥</w:t>
      </w:r>
      <w:r>
        <w:rPr>
          <w:rFonts w:ascii="宋体" w:hAnsi="宋体" w:cs="宋体"/>
          <w:szCs w:val="21"/>
        </w:rPr>
        <w:t>18536</w:t>
      </w:r>
      <w:r>
        <w:rPr>
          <w:rFonts w:hint="eastAsia" w:ascii="宋体" w:hAnsi="宋体" w:cs="宋体"/>
          <w:szCs w:val="21"/>
        </w:rPr>
        <w:t>00.00）</w:t>
      </w:r>
    </w:p>
    <w:p w14:paraId="15397082">
      <w:pPr>
        <w:snapToGrid w:val="0"/>
        <w:spacing w:line="400" w:lineRule="exact"/>
        <w:ind w:firstLine="420" w:firstLineChars="200"/>
        <w:rPr>
          <w:rFonts w:hint="eastAsia" w:ascii="宋体" w:hAnsi="宋体" w:cs="宋体"/>
          <w:szCs w:val="21"/>
        </w:rPr>
      </w:pPr>
      <w:r>
        <w:rPr>
          <w:rFonts w:hint="eastAsia" w:ascii="宋体" w:hAnsi="宋体" w:cs="宋体"/>
          <w:szCs w:val="21"/>
        </w:rPr>
        <w:t>合同履约期限：从合同签订之日起，至服务成果通过项目竣工验收之日止。</w:t>
      </w:r>
    </w:p>
    <w:bookmarkEnd w:id="22"/>
    <w:p w14:paraId="1CC10EC1">
      <w:pPr>
        <w:snapToGrid w:val="0"/>
        <w:spacing w:line="400" w:lineRule="exact"/>
        <w:ind w:firstLine="420" w:firstLineChars="200"/>
        <w:rPr>
          <w:rFonts w:hint="eastAsia" w:ascii="宋体" w:hAnsi="宋体" w:cs="宋体"/>
          <w:szCs w:val="21"/>
        </w:rPr>
      </w:pPr>
      <w:r>
        <w:rPr>
          <w:rFonts w:hint="eastAsia" w:ascii="宋体" w:hAnsi="宋体" w:cs="宋体"/>
          <w:szCs w:val="21"/>
        </w:rPr>
        <w:t>本标项（否）接受联合体投标</w:t>
      </w:r>
    </w:p>
    <w:p w14:paraId="2F7FD6A1">
      <w:pPr>
        <w:snapToGrid w:val="0"/>
        <w:spacing w:line="400" w:lineRule="exact"/>
        <w:ind w:firstLine="420" w:firstLineChars="200"/>
        <w:rPr>
          <w:rFonts w:hint="eastAsia" w:ascii="宋体" w:hAnsi="宋体" w:cs="宋体"/>
          <w:szCs w:val="21"/>
        </w:rPr>
      </w:pPr>
      <w:r>
        <w:rPr>
          <w:rFonts w:hint="eastAsia" w:ascii="宋体" w:hAnsi="宋体" w:cs="宋体"/>
          <w:szCs w:val="21"/>
        </w:rPr>
        <w:t>备注：</w:t>
      </w:r>
    </w:p>
    <w:p w14:paraId="0F7AB722">
      <w:pPr>
        <w:snapToGrid w:val="0"/>
        <w:spacing w:line="400" w:lineRule="exact"/>
        <w:ind w:firstLine="422" w:firstLineChars="200"/>
        <w:rPr>
          <w:rFonts w:hint="eastAsia" w:ascii="宋体" w:hAnsi="宋体"/>
          <w:b/>
          <w:bCs/>
          <w:szCs w:val="21"/>
        </w:rPr>
      </w:pPr>
      <w:bookmarkStart w:id="23" w:name="OLE_LINK27"/>
      <w:r>
        <w:rPr>
          <w:rFonts w:hint="eastAsia" w:ascii="宋体" w:hAnsi="宋体"/>
          <w:b/>
          <w:bCs/>
          <w:szCs w:val="21"/>
        </w:rPr>
        <w:t>分标4</w:t>
      </w:r>
    </w:p>
    <w:p w14:paraId="668E2169">
      <w:pPr>
        <w:snapToGrid w:val="0"/>
        <w:spacing w:line="400" w:lineRule="exact"/>
        <w:ind w:firstLine="420" w:firstLineChars="200"/>
        <w:rPr>
          <w:rFonts w:hint="eastAsia" w:ascii="宋体" w:hAnsi="宋体" w:cs="宋体"/>
          <w:szCs w:val="21"/>
        </w:rPr>
      </w:pPr>
      <w:r>
        <w:rPr>
          <w:rFonts w:hint="eastAsia" w:ascii="宋体" w:hAnsi="宋体" w:cs="宋体"/>
          <w:szCs w:val="21"/>
        </w:rPr>
        <w:t>标项名称：广西生态环境信息化建设项目（D分标）</w:t>
      </w:r>
    </w:p>
    <w:p w14:paraId="6D5ED396">
      <w:pPr>
        <w:snapToGrid w:val="0"/>
        <w:spacing w:line="400" w:lineRule="exact"/>
        <w:ind w:firstLine="420" w:firstLineChars="200"/>
        <w:rPr>
          <w:rFonts w:hint="eastAsia" w:ascii="宋体" w:hAnsi="宋体" w:cs="宋体"/>
          <w:szCs w:val="21"/>
        </w:rPr>
      </w:pPr>
      <w:r>
        <w:rPr>
          <w:rFonts w:hint="eastAsia" w:ascii="宋体" w:hAnsi="宋体" w:cs="宋体"/>
          <w:szCs w:val="21"/>
        </w:rPr>
        <w:t>数量：1项</w:t>
      </w:r>
    </w:p>
    <w:p w14:paraId="534A8EFC">
      <w:pPr>
        <w:snapToGrid w:val="0"/>
        <w:spacing w:line="400" w:lineRule="exact"/>
        <w:ind w:firstLine="420" w:firstLineChars="200"/>
        <w:rPr>
          <w:rFonts w:hint="eastAsia" w:ascii="宋体" w:hAnsi="宋体" w:cs="宋体"/>
          <w:szCs w:val="21"/>
        </w:rPr>
      </w:pPr>
      <w:r>
        <w:rPr>
          <w:rFonts w:hint="eastAsia" w:ascii="宋体" w:hAnsi="宋体" w:cs="宋体"/>
          <w:szCs w:val="21"/>
        </w:rPr>
        <w:t>预算金额（元）：</w:t>
      </w:r>
      <w:bookmarkStart w:id="24" w:name="OLE_LINK23"/>
      <w:bookmarkStart w:id="25" w:name="OLE_LINK24"/>
      <w:r>
        <w:rPr>
          <w:rFonts w:hint="eastAsia" w:ascii="宋体" w:hAnsi="宋体" w:cs="宋体"/>
          <w:szCs w:val="21"/>
        </w:rPr>
        <w:t>人民币贰佰壹拾万零叁佰元整（¥</w:t>
      </w:r>
      <w:r>
        <w:rPr>
          <w:rFonts w:ascii="宋体" w:hAnsi="宋体" w:cs="宋体"/>
          <w:szCs w:val="21"/>
        </w:rPr>
        <w:t>21003</w:t>
      </w:r>
      <w:r>
        <w:rPr>
          <w:rFonts w:hint="eastAsia" w:ascii="宋体" w:hAnsi="宋体" w:cs="宋体"/>
          <w:szCs w:val="21"/>
        </w:rPr>
        <w:t>00.00</w:t>
      </w:r>
      <w:bookmarkEnd w:id="24"/>
      <w:bookmarkEnd w:id="25"/>
      <w:r>
        <w:rPr>
          <w:rFonts w:hint="eastAsia" w:ascii="宋体" w:hAnsi="宋体" w:cs="宋体"/>
          <w:szCs w:val="21"/>
        </w:rPr>
        <w:t>）</w:t>
      </w:r>
    </w:p>
    <w:p w14:paraId="648A53BB">
      <w:pPr>
        <w:snapToGrid w:val="0"/>
        <w:spacing w:line="400" w:lineRule="exact"/>
        <w:ind w:firstLine="420" w:firstLineChars="200"/>
        <w:rPr>
          <w:rFonts w:hint="eastAsia" w:ascii="宋体" w:hAnsi="宋体" w:cs="宋体"/>
          <w:szCs w:val="21"/>
        </w:rPr>
      </w:pPr>
      <w:r>
        <w:rPr>
          <w:rFonts w:hint="eastAsia" w:ascii="宋体" w:hAnsi="宋体" w:cs="宋体"/>
          <w:szCs w:val="21"/>
        </w:rPr>
        <w:t>简要规格描述或项目基本概况介绍、用途：生态环境质量分析应用（广西移动源综合管控应用、梧州市环境质量分析应用、北海生态环境监测中心综合信息应用、海洋监测综合分析应用），如需进一步了解详细内容，详见采购文件。</w:t>
      </w:r>
    </w:p>
    <w:p w14:paraId="331A0D2A">
      <w:pPr>
        <w:snapToGrid w:val="0"/>
        <w:spacing w:line="400" w:lineRule="exact"/>
        <w:ind w:firstLine="420" w:firstLineChars="200"/>
        <w:rPr>
          <w:rFonts w:hint="eastAsia" w:ascii="宋体" w:hAnsi="宋体" w:cs="宋体"/>
          <w:szCs w:val="21"/>
        </w:rPr>
      </w:pPr>
      <w:r>
        <w:rPr>
          <w:rFonts w:hint="eastAsia" w:ascii="宋体" w:hAnsi="宋体" w:cs="宋体"/>
          <w:szCs w:val="21"/>
        </w:rPr>
        <w:t>最高限价（如有）：人民币贰佰壹拾万零叁佰元整（¥</w:t>
      </w:r>
      <w:r>
        <w:rPr>
          <w:rFonts w:ascii="宋体" w:hAnsi="宋体" w:cs="宋体"/>
          <w:szCs w:val="21"/>
        </w:rPr>
        <w:t>21003</w:t>
      </w:r>
      <w:r>
        <w:rPr>
          <w:rFonts w:hint="eastAsia" w:ascii="宋体" w:hAnsi="宋体" w:cs="宋体"/>
          <w:szCs w:val="21"/>
        </w:rPr>
        <w:t>00.00）</w:t>
      </w:r>
    </w:p>
    <w:p w14:paraId="38B2D248">
      <w:pPr>
        <w:snapToGrid w:val="0"/>
        <w:spacing w:line="400" w:lineRule="exact"/>
        <w:ind w:firstLine="420" w:firstLineChars="200"/>
        <w:rPr>
          <w:rFonts w:hint="eastAsia" w:ascii="宋体" w:hAnsi="宋体" w:cs="宋体"/>
          <w:szCs w:val="21"/>
        </w:rPr>
      </w:pPr>
      <w:r>
        <w:rPr>
          <w:rFonts w:hint="eastAsia" w:ascii="宋体" w:hAnsi="宋体" w:cs="宋体"/>
          <w:szCs w:val="21"/>
        </w:rPr>
        <w:t>合同履约期限：从合同签订之日起，至服务成果通过项目竣工验收之日止。</w:t>
      </w:r>
    </w:p>
    <w:p w14:paraId="00DCAA8A">
      <w:pPr>
        <w:pStyle w:val="2"/>
        <w:spacing w:line="400" w:lineRule="exact"/>
        <w:ind w:firstLine="420" w:firstLineChars="200"/>
        <w:rPr>
          <w:rFonts w:hint="eastAsia" w:ascii="宋体" w:hAnsi="宋体" w:cs="宋体"/>
          <w:kern w:val="2"/>
          <w:sz w:val="21"/>
          <w:szCs w:val="21"/>
        </w:rPr>
      </w:pPr>
      <w:r>
        <w:rPr>
          <w:rFonts w:hint="eastAsia" w:ascii="宋体" w:hAnsi="宋体" w:cs="宋体"/>
          <w:kern w:val="2"/>
          <w:sz w:val="21"/>
          <w:szCs w:val="21"/>
        </w:rPr>
        <w:t>本标项（是）接受联合体投标</w:t>
      </w:r>
    </w:p>
    <w:p w14:paraId="11995D7E">
      <w:pPr>
        <w:pStyle w:val="2"/>
        <w:spacing w:line="400" w:lineRule="exact"/>
        <w:ind w:firstLine="420" w:firstLineChars="200"/>
        <w:rPr>
          <w:rFonts w:hint="eastAsia" w:ascii="宋体" w:hAnsi="宋体" w:cs="宋体"/>
          <w:szCs w:val="21"/>
        </w:rPr>
      </w:pPr>
      <w:r>
        <w:rPr>
          <w:rFonts w:hint="eastAsia" w:ascii="宋体" w:hAnsi="宋体" w:cs="宋体"/>
          <w:kern w:val="2"/>
          <w:sz w:val="21"/>
          <w:szCs w:val="21"/>
        </w:rPr>
        <w:t>备注：本标项接受联合体投标，接受最多三个投标人（含牵头人数量）组成一个投标联合体参与投标。</w:t>
      </w:r>
      <w:bookmarkEnd w:id="23"/>
    </w:p>
    <w:p w14:paraId="0CBE2041">
      <w:pPr>
        <w:snapToGrid w:val="0"/>
        <w:spacing w:line="400" w:lineRule="exact"/>
        <w:ind w:firstLine="422" w:firstLineChars="200"/>
        <w:rPr>
          <w:rFonts w:hint="eastAsia" w:ascii="宋体" w:hAnsi="宋体"/>
          <w:b/>
          <w:bCs/>
          <w:szCs w:val="21"/>
        </w:rPr>
      </w:pPr>
      <w:r>
        <w:rPr>
          <w:rFonts w:hint="eastAsia" w:ascii="宋体" w:hAnsi="宋体"/>
          <w:b/>
          <w:bCs/>
          <w:szCs w:val="21"/>
        </w:rPr>
        <w:t>分标5</w:t>
      </w:r>
    </w:p>
    <w:p w14:paraId="2EE632CF">
      <w:pPr>
        <w:snapToGrid w:val="0"/>
        <w:spacing w:line="400" w:lineRule="exact"/>
        <w:ind w:firstLine="420" w:firstLineChars="200"/>
        <w:rPr>
          <w:rFonts w:hint="eastAsia" w:ascii="宋体" w:hAnsi="宋体" w:cs="宋体"/>
          <w:szCs w:val="21"/>
        </w:rPr>
      </w:pPr>
      <w:r>
        <w:rPr>
          <w:rFonts w:hint="eastAsia" w:ascii="宋体" w:hAnsi="宋体" w:cs="宋体"/>
          <w:szCs w:val="21"/>
        </w:rPr>
        <w:t>标项名称：广西生态环境信息化建设项目（E分标）</w:t>
      </w:r>
    </w:p>
    <w:p w14:paraId="2C4D4D1B">
      <w:pPr>
        <w:snapToGrid w:val="0"/>
        <w:spacing w:line="400" w:lineRule="exact"/>
        <w:ind w:firstLine="420" w:firstLineChars="200"/>
        <w:rPr>
          <w:rFonts w:hint="eastAsia" w:ascii="宋体" w:hAnsi="宋体" w:cs="宋体"/>
          <w:szCs w:val="21"/>
        </w:rPr>
      </w:pPr>
      <w:r>
        <w:rPr>
          <w:rFonts w:hint="eastAsia" w:ascii="宋体" w:hAnsi="宋体" w:cs="宋体"/>
          <w:szCs w:val="21"/>
        </w:rPr>
        <w:t>数量：1项</w:t>
      </w:r>
    </w:p>
    <w:p w14:paraId="34809EF8">
      <w:pPr>
        <w:snapToGrid w:val="0"/>
        <w:spacing w:line="400" w:lineRule="exact"/>
        <w:ind w:firstLine="420" w:firstLineChars="200"/>
        <w:rPr>
          <w:rFonts w:hint="eastAsia" w:ascii="宋体" w:hAnsi="宋体" w:cs="宋体"/>
          <w:szCs w:val="21"/>
        </w:rPr>
      </w:pPr>
      <w:r>
        <w:rPr>
          <w:rFonts w:hint="eastAsia" w:ascii="宋体" w:hAnsi="宋体" w:cs="宋体"/>
          <w:szCs w:val="21"/>
        </w:rPr>
        <w:t>预算金额（元）：</w:t>
      </w:r>
      <w:bookmarkStart w:id="26" w:name="OLE_LINK30"/>
      <w:bookmarkStart w:id="27" w:name="OLE_LINK31"/>
      <w:r>
        <w:rPr>
          <w:rFonts w:hint="eastAsia" w:ascii="宋体" w:hAnsi="宋体" w:cs="宋体"/>
          <w:szCs w:val="21"/>
        </w:rPr>
        <w:t>人民币贰拾伍万零柒佰元整（¥</w:t>
      </w:r>
      <w:r>
        <w:rPr>
          <w:rFonts w:ascii="宋体" w:hAnsi="宋体" w:cs="宋体"/>
          <w:szCs w:val="21"/>
        </w:rPr>
        <w:t>2507</w:t>
      </w:r>
      <w:r>
        <w:rPr>
          <w:rFonts w:hint="eastAsia" w:ascii="宋体" w:hAnsi="宋体" w:cs="宋体"/>
          <w:szCs w:val="21"/>
        </w:rPr>
        <w:t>00.00</w:t>
      </w:r>
      <w:bookmarkEnd w:id="26"/>
      <w:bookmarkEnd w:id="27"/>
      <w:r>
        <w:rPr>
          <w:rFonts w:hint="eastAsia" w:ascii="宋体" w:hAnsi="宋体" w:cs="宋体"/>
          <w:szCs w:val="21"/>
        </w:rPr>
        <w:t>）</w:t>
      </w:r>
    </w:p>
    <w:p w14:paraId="021D3F13">
      <w:pPr>
        <w:snapToGrid w:val="0"/>
        <w:spacing w:line="400" w:lineRule="exact"/>
        <w:ind w:firstLine="420" w:firstLineChars="200"/>
        <w:rPr>
          <w:rFonts w:hint="eastAsia" w:ascii="宋体" w:hAnsi="宋体" w:cs="宋体"/>
          <w:szCs w:val="21"/>
        </w:rPr>
      </w:pPr>
      <w:r>
        <w:rPr>
          <w:rFonts w:hint="eastAsia" w:ascii="宋体" w:hAnsi="宋体" w:cs="宋体"/>
          <w:szCs w:val="21"/>
        </w:rPr>
        <w:t>简要规格描述或项目基本概况介绍、用途：专项监理服务，如需进一步了解详细内容，详见采购文件。</w:t>
      </w:r>
    </w:p>
    <w:p w14:paraId="44F0DCB3">
      <w:pPr>
        <w:snapToGrid w:val="0"/>
        <w:spacing w:line="400" w:lineRule="exact"/>
        <w:ind w:firstLine="420" w:firstLineChars="200"/>
        <w:rPr>
          <w:rFonts w:hint="eastAsia" w:ascii="宋体" w:hAnsi="宋体" w:cs="宋体"/>
          <w:szCs w:val="21"/>
        </w:rPr>
      </w:pPr>
      <w:r>
        <w:rPr>
          <w:rFonts w:hint="eastAsia" w:ascii="宋体" w:hAnsi="宋体" w:cs="宋体"/>
          <w:szCs w:val="21"/>
        </w:rPr>
        <w:t>最高限价（如有）：人民币贰拾伍万零柒佰元整（¥</w:t>
      </w:r>
      <w:r>
        <w:rPr>
          <w:rFonts w:ascii="宋体" w:hAnsi="宋体" w:cs="宋体"/>
          <w:szCs w:val="21"/>
        </w:rPr>
        <w:t>2507</w:t>
      </w:r>
      <w:r>
        <w:rPr>
          <w:rFonts w:hint="eastAsia" w:ascii="宋体" w:hAnsi="宋体" w:cs="宋体"/>
          <w:szCs w:val="21"/>
        </w:rPr>
        <w:t>00.00）</w:t>
      </w:r>
    </w:p>
    <w:p w14:paraId="319D0BA0">
      <w:pPr>
        <w:snapToGrid w:val="0"/>
        <w:spacing w:line="400" w:lineRule="exact"/>
        <w:ind w:firstLine="420" w:firstLineChars="200"/>
        <w:rPr>
          <w:rFonts w:hint="eastAsia" w:ascii="宋体" w:hAnsi="宋体" w:cs="宋体"/>
          <w:szCs w:val="21"/>
        </w:rPr>
      </w:pPr>
      <w:r>
        <w:rPr>
          <w:rFonts w:hint="eastAsia" w:ascii="宋体" w:hAnsi="宋体" w:cs="宋体"/>
          <w:szCs w:val="21"/>
        </w:rPr>
        <w:t>合同履约期限：自合同签订之日起至所监理全部项目完成监理服务并通过完成国家或自治区审批部门立项项目竣工验收结束止。</w:t>
      </w:r>
    </w:p>
    <w:p w14:paraId="26EFA8D9">
      <w:pPr>
        <w:snapToGrid w:val="0"/>
        <w:spacing w:line="400" w:lineRule="exact"/>
        <w:ind w:firstLine="420" w:firstLineChars="200"/>
        <w:rPr>
          <w:rFonts w:hint="eastAsia" w:ascii="宋体" w:hAnsi="宋体" w:cs="宋体"/>
          <w:szCs w:val="21"/>
        </w:rPr>
      </w:pPr>
      <w:r>
        <w:rPr>
          <w:rFonts w:hint="eastAsia" w:ascii="宋体" w:hAnsi="宋体" w:cs="宋体"/>
          <w:szCs w:val="21"/>
        </w:rPr>
        <w:t>本标项（否）接受联合体投标</w:t>
      </w:r>
    </w:p>
    <w:p w14:paraId="73FE76E4">
      <w:pPr>
        <w:snapToGrid w:val="0"/>
        <w:spacing w:line="400" w:lineRule="exact"/>
        <w:ind w:firstLine="420" w:firstLineChars="200"/>
        <w:rPr>
          <w:rFonts w:hint="eastAsia" w:ascii="宋体" w:hAnsi="宋体" w:cs="宋体"/>
          <w:szCs w:val="21"/>
        </w:rPr>
      </w:pPr>
      <w:r>
        <w:rPr>
          <w:rFonts w:hint="eastAsia" w:ascii="宋体" w:hAnsi="宋体" w:cs="宋体"/>
          <w:szCs w:val="21"/>
        </w:rPr>
        <w:t>备注：</w:t>
      </w:r>
    </w:p>
    <w:p w14:paraId="121CC451">
      <w:pPr>
        <w:numPr>
          <w:ilvl w:val="0"/>
          <w:numId w:val="2"/>
        </w:numPr>
        <w:snapToGrid w:val="0"/>
        <w:spacing w:line="400" w:lineRule="exact"/>
        <w:ind w:firstLine="422" w:firstLineChars="200"/>
        <w:rPr>
          <w:rFonts w:hint="eastAsia" w:ascii="宋体" w:hAnsi="宋体" w:cs="宋体"/>
          <w:b/>
          <w:bCs/>
          <w:szCs w:val="21"/>
        </w:rPr>
      </w:pPr>
      <w:r>
        <w:rPr>
          <w:rFonts w:hint="eastAsia" w:ascii="宋体" w:hAnsi="宋体" w:cs="宋体"/>
          <w:b/>
          <w:bCs/>
          <w:szCs w:val="21"/>
        </w:rPr>
        <w:t>投标人的资格要求：</w:t>
      </w:r>
      <w:bookmarkEnd w:id="18"/>
      <w:bookmarkEnd w:id="19"/>
      <w:bookmarkEnd w:id="20"/>
      <w:bookmarkEnd w:id="21"/>
    </w:p>
    <w:p w14:paraId="44407798">
      <w:pPr>
        <w:spacing w:line="400" w:lineRule="exact"/>
        <w:ind w:firstLine="422" w:firstLineChars="200"/>
      </w:pPr>
      <w:r>
        <w:rPr>
          <w:rFonts w:hint="eastAsia" w:ascii="宋体" w:hAnsi="宋体"/>
          <w:b/>
          <w:bCs/>
          <w:szCs w:val="21"/>
        </w:rPr>
        <w:t>1.分标1（A分标）、分标2（B分标）、分标3（C分标）、分标4（D分标）、分标5（E分标）</w:t>
      </w:r>
    </w:p>
    <w:p w14:paraId="5AF06A61">
      <w:pPr>
        <w:snapToGrid w:val="0"/>
        <w:spacing w:line="400" w:lineRule="exact"/>
        <w:ind w:firstLine="420" w:firstLineChars="200"/>
        <w:rPr>
          <w:rFonts w:hint="eastAsia" w:ascii="宋体" w:hAnsi="宋体"/>
          <w:szCs w:val="21"/>
        </w:rPr>
      </w:pPr>
      <w:bookmarkStart w:id="28" w:name="_Toc28359004"/>
      <w:bookmarkStart w:id="29" w:name="_Toc28359081"/>
      <w:r>
        <w:rPr>
          <w:rFonts w:hint="eastAsia" w:ascii="宋体" w:hAnsi="宋体"/>
          <w:szCs w:val="21"/>
        </w:rPr>
        <w:t>1.满足《中华人民共和国政府采购法》第二十二条规定；</w:t>
      </w:r>
    </w:p>
    <w:p w14:paraId="0D14DA36">
      <w:pPr>
        <w:snapToGrid w:val="0"/>
        <w:spacing w:line="400" w:lineRule="exact"/>
        <w:ind w:firstLine="420" w:firstLineChars="200"/>
        <w:rPr>
          <w:rFonts w:hint="eastAsia" w:ascii="宋体" w:hAnsi="宋体"/>
          <w:szCs w:val="21"/>
        </w:rPr>
      </w:pPr>
      <w:r>
        <w:rPr>
          <w:rFonts w:ascii="宋体" w:hAnsi="宋体"/>
          <w:szCs w:val="21"/>
        </w:rPr>
        <w:t>2</w:t>
      </w:r>
      <w:r>
        <w:rPr>
          <w:rFonts w:hint="eastAsia" w:ascii="宋体" w:hAnsi="宋体"/>
          <w:szCs w:val="21"/>
        </w:rPr>
        <w:t>.落实政府采购政策需满足的资格要求：</w:t>
      </w:r>
    </w:p>
    <w:p w14:paraId="56DD5BD6">
      <w:pPr>
        <w:snapToGrid w:val="0"/>
        <w:spacing w:line="400" w:lineRule="exact"/>
        <w:ind w:firstLine="420" w:firstLineChars="200"/>
        <w:rPr>
          <w:rFonts w:hint="eastAsia" w:ascii="宋体" w:hAnsi="宋体"/>
          <w:szCs w:val="21"/>
        </w:rPr>
      </w:pPr>
      <w:r>
        <w:rPr>
          <w:rFonts w:hint="eastAsia" w:ascii="宋体" w:hAnsi="宋体"/>
          <w:szCs w:val="21"/>
        </w:rPr>
        <w:t>分标1、分标2、分标3、分标4非专门面向中小企业采购的项目；分标5专门面向中小企业采购的项目（服务全部由符合政策要求的中小企业承接，供应商须符合本分标采购标的对应行业（其他未列明行业）的政策划分标准，须提供《中小企业声明函》；监狱企业、残疾人福利性单位视同小型、微型企业，须提供《残疾人福利性单位声明函》或监狱企业证明（由省级以上监狱管理局、戒毒管理局（含新疆生产建设兵团）出具的属于监狱企业的证明文件）</w:t>
      </w:r>
      <w:r>
        <w:rPr>
          <w:rFonts w:hint="eastAsia" w:ascii="宋体" w:hAnsi="宋体"/>
          <w:szCs w:val="21"/>
          <w:lang w:eastAsia="zh-CN"/>
        </w:rPr>
        <w:t>）</w:t>
      </w:r>
      <w:r>
        <w:rPr>
          <w:rFonts w:hint="eastAsia" w:ascii="宋体" w:hAnsi="宋体"/>
          <w:szCs w:val="21"/>
        </w:rPr>
        <w:t>。)</w:t>
      </w:r>
    </w:p>
    <w:p w14:paraId="2E9DC657">
      <w:pPr>
        <w:snapToGrid w:val="0"/>
        <w:spacing w:line="400" w:lineRule="exact"/>
        <w:ind w:firstLine="420" w:firstLineChars="200"/>
        <w:rPr>
          <w:rFonts w:hint="eastAsia" w:ascii="宋体" w:hAnsi="宋体"/>
          <w:szCs w:val="21"/>
        </w:rPr>
      </w:pPr>
      <w:r>
        <w:rPr>
          <w:rFonts w:hint="eastAsia" w:ascii="宋体" w:hAnsi="宋体"/>
          <w:szCs w:val="21"/>
        </w:rPr>
        <w:t>3.本项目的特定资格要求：</w:t>
      </w:r>
    </w:p>
    <w:p w14:paraId="344E51F8">
      <w:pPr>
        <w:pStyle w:val="2"/>
        <w:spacing w:line="400" w:lineRule="exact"/>
        <w:ind w:firstLine="420" w:firstLineChars="200"/>
        <w:rPr>
          <w:rFonts w:hint="eastAsia" w:ascii="宋体" w:hAnsi="宋体" w:cs="宋体"/>
          <w:kern w:val="2"/>
          <w:sz w:val="21"/>
          <w:szCs w:val="21"/>
        </w:rPr>
      </w:pPr>
      <w:r>
        <w:rPr>
          <w:rFonts w:hint="eastAsia" w:ascii="宋体" w:hAnsi="宋体" w:cs="宋体"/>
          <w:kern w:val="2"/>
          <w:sz w:val="21"/>
          <w:szCs w:val="21"/>
        </w:rPr>
        <w:t>（1）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14:paraId="320B1617">
      <w:pPr>
        <w:pStyle w:val="2"/>
        <w:spacing w:line="400" w:lineRule="exact"/>
        <w:ind w:firstLine="420" w:firstLineChars="200"/>
      </w:pPr>
      <w:r>
        <w:rPr>
          <w:rFonts w:hint="eastAsia" w:ascii="宋体" w:hAnsi="宋体" w:cs="宋体"/>
          <w:kern w:val="2"/>
          <w:sz w:val="21"/>
          <w:szCs w:val="21"/>
        </w:rPr>
        <w:t>（2）根据财政部《关于在政府采购活动中查询及使用信用记录有关问题的通知》（财库〔2016〕125号）的规定，对在“信用中国”网站(www.creditchina.gov.cn) 、中国政府采购网(www.ccgp.gov.cn)被列入失信被执行人、</w:t>
      </w:r>
      <w:r>
        <w:rPr>
          <w:rFonts w:hint="eastAsia" w:ascii="宋体" w:hAnsi="宋体" w:cs="宋体"/>
          <w:kern w:val="2"/>
          <w:sz w:val="21"/>
          <w:szCs w:val="21"/>
        </w:rPr>
        <w:fldChar w:fldCharType="begin"/>
      </w:r>
      <w:r>
        <w:rPr>
          <w:rFonts w:hint="eastAsia" w:ascii="宋体" w:hAnsi="宋体" w:cs="宋体"/>
          <w:kern w:val="2"/>
          <w:sz w:val="21"/>
          <w:szCs w:val="21"/>
        </w:rPr>
        <w:instrText xml:space="preserve"> HYPERLINK "https://www.creditchina.gov.cn/zhuanxiangchaxun/zhongdashuishouweifaanjian/" </w:instrText>
      </w:r>
      <w:r>
        <w:rPr>
          <w:rFonts w:hint="eastAsia" w:ascii="宋体" w:hAnsi="宋体" w:cs="宋体"/>
          <w:kern w:val="2"/>
          <w:sz w:val="21"/>
          <w:szCs w:val="21"/>
        </w:rPr>
        <w:fldChar w:fldCharType="separate"/>
      </w:r>
      <w:r>
        <w:rPr>
          <w:rFonts w:hint="eastAsia" w:ascii="宋体" w:hAnsi="宋体" w:cs="宋体"/>
          <w:kern w:val="2"/>
          <w:sz w:val="21"/>
          <w:szCs w:val="21"/>
        </w:rPr>
        <w:t>重大税收违法失信主体名单</w:t>
      </w:r>
      <w:r>
        <w:rPr>
          <w:rFonts w:hint="eastAsia" w:ascii="宋体" w:hAnsi="宋体" w:cs="宋体"/>
          <w:kern w:val="2"/>
          <w:sz w:val="21"/>
          <w:szCs w:val="21"/>
        </w:rPr>
        <w:fldChar w:fldCharType="end"/>
      </w:r>
      <w:r>
        <w:rPr>
          <w:rFonts w:hint="eastAsia" w:ascii="宋体" w:hAnsi="宋体" w:cs="宋体"/>
          <w:kern w:val="2"/>
          <w:sz w:val="21"/>
          <w:szCs w:val="21"/>
        </w:rPr>
        <w:t>、政府采购严重违法失信行为记录名单及其他不符合《中华人民共和国政府采购法》第二十二条规定条件的投标人，不得参与政府采购活动。</w:t>
      </w:r>
    </w:p>
    <w:p w14:paraId="77608695">
      <w:pPr>
        <w:snapToGrid w:val="0"/>
        <w:spacing w:line="400" w:lineRule="exact"/>
        <w:ind w:firstLine="422" w:firstLineChars="200"/>
        <w:rPr>
          <w:rFonts w:hint="eastAsia" w:ascii="宋体" w:hAnsi="宋体" w:cs="宋体"/>
          <w:b/>
          <w:bCs/>
          <w:szCs w:val="21"/>
        </w:rPr>
      </w:pPr>
      <w:bookmarkStart w:id="30" w:name="_Toc35393623"/>
      <w:bookmarkStart w:id="31" w:name="_Toc35393792"/>
      <w:r>
        <w:rPr>
          <w:rFonts w:hint="eastAsia" w:ascii="宋体" w:hAnsi="宋体" w:cs="宋体"/>
          <w:b/>
          <w:bCs/>
          <w:szCs w:val="21"/>
        </w:rPr>
        <w:t>三、获取招标文件</w:t>
      </w:r>
      <w:bookmarkEnd w:id="28"/>
      <w:bookmarkEnd w:id="29"/>
      <w:bookmarkEnd w:id="30"/>
      <w:bookmarkEnd w:id="31"/>
    </w:p>
    <w:p w14:paraId="60A477CF">
      <w:pPr>
        <w:snapToGrid w:val="0"/>
        <w:spacing w:line="400" w:lineRule="exact"/>
        <w:ind w:firstLine="472" w:firstLineChars="225"/>
        <w:rPr>
          <w:rFonts w:hint="eastAsia" w:ascii="宋体" w:hAnsi="宋体" w:cs="宋体"/>
          <w:szCs w:val="21"/>
        </w:rPr>
      </w:pPr>
      <w:bookmarkStart w:id="32" w:name="_Toc28359005"/>
      <w:bookmarkStart w:id="33" w:name="_Toc28359082"/>
      <w:bookmarkStart w:id="34" w:name="_Toc35393793"/>
      <w:bookmarkStart w:id="35" w:name="_Toc35393624"/>
      <w:r>
        <w:rPr>
          <w:rFonts w:hint="eastAsia" w:ascii="宋体" w:hAnsi="宋体" w:cs="宋体"/>
          <w:szCs w:val="21"/>
        </w:rPr>
        <w:t>时间：</w:t>
      </w:r>
      <w:r>
        <w:rPr>
          <w:rFonts w:hint="eastAsia" w:ascii="宋体" w:hAnsi="宋体"/>
          <w:szCs w:val="21"/>
        </w:rPr>
        <w:t>2026年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1</w:t>
      </w:r>
      <w:r>
        <w:rPr>
          <w:rFonts w:hint="eastAsia" w:ascii="宋体" w:hAnsi="宋体"/>
          <w:szCs w:val="21"/>
        </w:rPr>
        <w:t>日至2026年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8</w:t>
      </w:r>
      <w:r>
        <w:rPr>
          <w:rFonts w:hint="eastAsia" w:ascii="宋体" w:hAnsi="宋体"/>
          <w:szCs w:val="21"/>
        </w:rPr>
        <w:t>日，</w:t>
      </w:r>
      <w:r>
        <w:rPr>
          <w:rFonts w:hint="eastAsia" w:ascii="宋体" w:hAnsi="宋体" w:cs="宋体"/>
        </w:rPr>
        <w:t>每天上午00：00至11：59，下午12：00至23：59</w:t>
      </w:r>
      <w:r>
        <w:rPr>
          <w:rFonts w:hint="eastAsia" w:ascii="宋体" w:hAnsi="宋体"/>
          <w:szCs w:val="21"/>
        </w:rPr>
        <w:t>（北京时间，法定节假日除外）</w:t>
      </w:r>
      <w:r>
        <w:rPr>
          <w:rFonts w:hint="eastAsia" w:ascii="宋体" w:hAnsi="宋体" w:cs="宋体"/>
          <w:szCs w:val="21"/>
        </w:rPr>
        <w:t>。</w:t>
      </w:r>
    </w:p>
    <w:p w14:paraId="0521D21C">
      <w:pPr>
        <w:snapToGrid w:val="0"/>
        <w:spacing w:line="400" w:lineRule="exact"/>
        <w:ind w:firstLine="420" w:firstLineChars="200"/>
        <w:rPr>
          <w:rFonts w:hint="eastAsia" w:ascii="宋体" w:hAnsi="宋体" w:cs="宋体"/>
          <w:szCs w:val="21"/>
        </w:rPr>
      </w:pPr>
      <w:r>
        <w:rPr>
          <w:rFonts w:hint="eastAsia" w:ascii="宋体" w:hAnsi="宋体" w:cs="宋体"/>
          <w:szCs w:val="21"/>
        </w:rPr>
        <w:t>地点：广西政府采购云平台（网址：www.gcy.zfcg.gxzf.gov.cn）</w:t>
      </w:r>
    </w:p>
    <w:p w14:paraId="4465A4C1">
      <w:pPr>
        <w:snapToGrid w:val="0"/>
        <w:spacing w:line="400" w:lineRule="exact"/>
        <w:ind w:firstLine="420" w:firstLineChars="200"/>
        <w:rPr>
          <w:rFonts w:hint="eastAsia" w:ascii="宋体" w:hAnsi="宋体" w:cs="宋体"/>
          <w:szCs w:val="21"/>
        </w:rPr>
      </w:pPr>
      <w:r>
        <w:rPr>
          <w:rFonts w:hint="eastAsia" w:ascii="宋体" w:hAnsi="宋体" w:cs="宋体"/>
          <w:szCs w:val="21"/>
        </w:rPr>
        <w:t>方式：网上下载。本项目不发放纸质文件，投标人可自行在广西政府采购云平台（https://www.gcy.zfcg.gxzf.gov.cn/）下载招标文件（操作路径：登录广西政府采购云平台-项目采购-获取采购文件-找到本项目-点击“申请获取采购文件”），电子投标文件制作需要基于广西政府采购云平台（https://www.gcy.zfcg.gxzf.gov.cn/）获取的招标文件编制。</w:t>
      </w:r>
    </w:p>
    <w:p w14:paraId="0C626E8A">
      <w:pPr>
        <w:snapToGrid w:val="0"/>
        <w:spacing w:line="400" w:lineRule="exact"/>
        <w:ind w:firstLine="420" w:firstLineChars="200"/>
        <w:rPr>
          <w:rFonts w:hint="eastAsia" w:ascii="宋体" w:hAnsi="宋体" w:cs="宋体"/>
          <w:szCs w:val="21"/>
        </w:rPr>
      </w:pPr>
      <w:r>
        <w:rPr>
          <w:rFonts w:hint="eastAsia" w:ascii="宋体" w:hAnsi="宋体" w:cs="宋体"/>
          <w:szCs w:val="21"/>
        </w:rPr>
        <w:t>售价：0元。</w:t>
      </w:r>
    </w:p>
    <w:p w14:paraId="416A8CE1">
      <w:pPr>
        <w:snapToGrid w:val="0"/>
        <w:spacing w:line="400" w:lineRule="exact"/>
        <w:ind w:firstLine="422" w:firstLineChars="200"/>
        <w:rPr>
          <w:rFonts w:hint="eastAsia" w:ascii="宋体" w:hAnsi="宋体" w:cs="宋体"/>
          <w:b/>
          <w:bCs/>
          <w:szCs w:val="21"/>
        </w:rPr>
      </w:pPr>
      <w:r>
        <w:rPr>
          <w:rFonts w:hint="eastAsia" w:ascii="宋体" w:hAnsi="宋体" w:cs="宋体"/>
          <w:b/>
          <w:bCs/>
          <w:szCs w:val="21"/>
        </w:rPr>
        <w:t>四、提交投标文件</w:t>
      </w:r>
      <w:bookmarkEnd w:id="32"/>
      <w:bookmarkEnd w:id="33"/>
      <w:r>
        <w:rPr>
          <w:rFonts w:hint="eastAsia" w:ascii="宋体" w:hAnsi="宋体" w:cs="宋体"/>
          <w:b/>
          <w:bCs/>
          <w:szCs w:val="21"/>
        </w:rPr>
        <w:t>截止时间、开标时间和地点</w:t>
      </w:r>
      <w:bookmarkEnd w:id="34"/>
      <w:bookmarkEnd w:id="35"/>
    </w:p>
    <w:p w14:paraId="76FD3BDF">
      <w:pPr>
        <w:snapToGrid w:val="0"/>
        <w:spacing w:line="400" w:lineRule="exact"/>
        <w:ind w:firstLine="420" w:firstLineChars="200"/>
        <w:rPr>
          <w:rFonts w:hint="eastAsia" w:ascii="宋体" w:hAnsi="宋体" w:cs="宋体"/>
          <w:szCs w:val="21"/>
          <w:u w:val="single"/>
        </w:rPr>
      </w:pPr>
      <w:bookmarkStart w:id="36" w:name="_Toc28359007"/>
      <w:bookmarkStart w:id="37" w:name="_Toc35393625"/>
      <w:bookmarkStart w:id="38" w:name="_Toc35393794"/>
      <w:bookmarkStart w:id="39" w:name="_Toc28359084"/>
      <w:r>
        <w:rPr>
          <w:rFonts w:hint="eastAsia" w:ascii="宋体" w:hAnsi="宋体"/>
          <w:bCs/>
          <w:szCs w:val="21"/>
        </w:rPr>
        <w:t>提交投标文件截止时间：2026年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28</w:t>
      </w:r>
      <w:r>
        <w:rPr>
          <w:rFonts w:hint="eastAsia" w:ascii="宋体" w:hAnsi="宋体"/>
          <w:szCs w:val="21"/>
        </w:rPr>
        <w:t>日</w:t>
      </w:r>
      <w:r>
        <w:rPr>
          <w:rFonts w:hint="eastAsia" w:ascii="宋体" w:hAnsi="宋体"/>
          <w:bCs/>
          <w:szCs w:val="21"/>
        </w:rPr>
        <w:t>09时30分（北京时间）</w:t>
      </w:r>
    </w:p>
    <w:p w14:paraId="4135B0B5">
      <w:pPr>
        <w:snapToGrid w:val="0"/>
        <w:spacing w:line="400" w:lineRule="exact"/>
        <w:ind w:firstLine="420" w:firstLineChars="200"/>
        <w:rPr>
          <w:rFonts w:hint="eastAsia" w:ascii="宋体" w:hAnsi="宋体"/>
          <w:szCs w:val="21"/>
        </w:rPr>
      </w:pPr>
      <w:r>
        <w:rPr>
          <w:rFonts w:ascii="宋体" w:hAnsi="宋体"/>
          <w:szCs w:val="21"/>
        </w:rPr>
        <w:t>投标地点（网址）：</w:t>
      </w:r>
      <w:r>
        <w:rPr>
          <w:rFonts w:hint="eastAsia" w:ascii="宋体" w:hAnsi="宋体" w:cs="宋体"/>
          <w:szCs w:val="21"/>
        </w:rPr>
        <w:t>本项目为全流程电子化政府采购项目，没有现场递交投标文件及现场开标环节，通过广西政府采购云平台（https://www.gcy.zfcg.gxzf.gov.cn/）实行在线电子投标，供应商应先安装广西政府采购云平台新版客户端（新版客户端下载路径：广西政府采购网（访问地址http://zfcg.gxzf.gov.cn/）—办事服务—下载专区），并按照本项目招标文件和广西政府采购云平台的要求编制、加密后在投标截止时间前通过网络上传至广西政府采购云平台，投标人在广西政府采购云平台提交电子版投标文件时，请填写参加远程开标活动经办人联系方式。</w:t>
      </w:r>
    </w:p>
    <w:p w14:paraId="6F1ADDFD">
      <w:pPr>
        <w:snapToGrid w:val="0"/>
        <w:spacing w:line="400" w:lineRule="exact"/>
        <w:ind w:firstLine="420" w:firstLineChars="200"/>
        <w:rPr>
          <w:rFonts w:hint="eastAsia" w:ascii="宋体" w:hAnsi="宋体"/>
          <w:szCs w:val="21"/>
        </w:rPr>
      </w:pPr>
      <w:r>
        <w:rPr>
          <w:rFonts w:ascii="宋体" w:hAnsi="宋体"/>
          <w:szCs w:val="21"/>
        </w:rPr>
        <w:t>开标时间：</w:t>
      </w:r>
      <w:r>
        <w:rPr>
          <w:rFonts w:hint="eastAsia" w:ascii="宋体" w:hAnsi="宋体"/>
          <w:szCs w:val="21"/>
        </w:rPr>
        <w:t>2026年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28</w:t>
      </w:r>
      <w:r>
        <w:rPr>
          <w:rFonts w:hint="eastAsia" w:ascii="宋体" w:hAnsi="宋体"/>
          <w:szCs w:val="21"/>
        </w:rPr>
        <w:t>日09时30分</w:t>
      </w:r>
    </w:p>
    <w:p w14:paraId="335B8D3A">
      <w:pPr>
        <w:snapToGrid w:val="0"/>
        <w:spacing w:line="400" w:lineRule="exact"/>
        <w:ind w:firstLine="420" w:firstLineChars="200"/>
        <w:rPr>
          <w:rFonts w:hint="eastAsia" w:ascii="宋体" w:hAnsi="宋体" w:cs="宋体"/>
          <w:bCs/>
          <w:kern w:val="0"/>
          <w:szCs w:val="21"/>
        </w:rPr>
      </w:pPr>
      <w:r>
        <w:rPr>
          <w:rFonts w:ascii="宋体" w:hAnsi="宋体"/>
          <w:szCs w:val="21"/>
        </w:rPr>
        <w:t>开标地点：</w:t>
      </w:r>
      <w:r>
        <w:rPr>
          <w:rFonts w:hint="eastAsia" w:ascii="宋体" w:hAnsi="宋体" w:cs="宋体"/>
          <w:bCs/>
          <w:kern w:val="0"/>
          <w:szCs w:val="21"/>
        </w:rPr>
        <w:t>本项目将在广西政府采购云平台电子开标大厅解密、开标。</w:t>
      </w:r>
    </w:p>
    <w:p w14:paraId="0B454F24">
      <w:pPr>
        <w:snapToGrid w:val="0"/>
        <w:spacing w:line="400" w:lineRule="exact"/>
        <w:ind w:firstLine="422" w:firstLineChars="200"/>
        <w:rPr>
          <w:rFonts w:hint="eastAsia" w:ascii="宋体" w:hAnsi="宋体" w:cs="宋体"/>
          <w:b/>
          <w:bCs/>
          <w:szCs w:val="21"/>
        </w:rPr>
      </w:pPr>
      <w:r>
        <w:rPr>
          <w:rFonts w:hint="eastAsia" w:ascii="宋体" w:hAnsi="宋体" w:cs="宋体"/>
          <w:b/>
          <w:bCs/>
          <w:szCs w:val="21"/>
        </w:rPr>
        <w:t>五、公告期限</w:t>
      </w:r>
      <w:bookmarkEnd w:id="36"/>
      <w:bookmarkEnd w:id="37"/>
      <w:bookmarkEnd w:id="38"/>
      <w:bookmarkEnd w:id="39"/>
    </w:p>
    <w:p w14:paraId="703A028B">
      <w:pPr>
        <w:snapToGrid w:val="0"/>
        <w:spacing w:line="400" w:lineRule="exact"/>
        <w:ind w:firstLine="420" w:firstLineChars="200"/>
        <w:rPr>
          <w:rFonts w:hint="eastAsia" w:ascii="宋体" w:hAnsi="宋体" w:cs="宋体"/>
          <w:kern w:val="0"/>
          <w:szCs w:val="21"/>
        </w:rPr>
      </w:pPr>
      <w:r>
        <w:rPr>
          <w:rFonts w:hint="eastAsia" w:ascii="宋体" w:hAnsi="宋体" w:cs="宋体"/>
          <w:kern w:val="0"/>
          <w:szCs w:val="21"/>
        </w:rPr>
        <w:t>自本公告发布之日起5个工作日。</w:t>
      </w:r>
    </w:p>
    <w:p w14:paraId="1F17B185">
      <w:pPr>
        <w:snapToGrid w:val="0"/>
        <w:spacing w:line="400" w:lineRule="exact"/>
        <w:ind w:firstLine="422" w:firstLineChars="200"/>
        <w:rPr>
          <w:rFonts w:hint="eastAsia" w:ascii="宋体" w:hAnsi="宋体" w:cs="宋体"/>
          <w:b/>
          <w:bCs/>
          <w:szCs w:val="21"/>
        </w:rPr>
      </w:pPr>
      <w:bookmarkStart w:id="40" w:name="_Toc35393795"/>
      <w:bookmarkStart w:id="41" w:name="_Toc35393626"/>
      <w:r>
        <w:rPr>
          <w:rFonts w:hint="eastAsia" w:ascii="宋体" w:hAnsi="宋体" w:cs="宋体"/>
          <w:b/>
          <w:bCs/>
          <w:szCs w:val="21"/>
        </w:rPr>
        <w:t>六、其他补充事宜</w:t>
      </w:r>
      <w:bookmarkEnd w:id="40"/>
      <w:bookmarkEnd w:id="41"/>
    </w:p>
    <w:p w14:paraId="260ED9CE">
      <w:pPr>
        <w:snapToGrid w:val="0"/>
        <w:spacing w:line="400" w:lineRule="exact"/>
        <w:ind w:firstLine="420" w:firstLineChars="200"/>
        <w:rPr>
          <w:rFonts w:hint="eastAsia" w:ascii="宋体" w:hAnsi="宋体" w:cs="宋体"/>
          <w:kern w:val="0"/>
          <w:szCs w:val="21"/>
        </w:rPr>
      </w:pPr>
      <w:r>
        <w:rPr>
          <w:rFonts w:hint="eastAsia" w:ascii="宋体" w:hAnsi="宋体" w:cs="宋体"/>
          <w:kern w:val="0"/>
          <w:szCs w:val="21"/>
        </w:rPr>
        <w:t>1.投标保证金（人民币）：</w:t>
      </w:r>
      <w:bookmarkStart w:id="42" w:name="OLE_LINK41"/>
      <w:bookmarkStart w:id="43" w:name="OLE_LINK42"/>
      <w:r>
        <w:rPr>
          <w:rFonts w:hint="eastAsia" w:ascii="宋体" w:hAnsi="宋体" w:cs="宋体"/>
          <w:kern w:val="0"/>
          <w:szCs w:val="21"/>
        </w:rPr>
        <w:t>A分标</w:t>
      </w:r>
      <w:bookmarkEnd w:id="42"/>
      <w:bookmarkEnd w:id="43"/>
      <w:bookmarkStart w:id="44" w:name="OLE_LINK43"/>
      <w:r>
        <w:rPr>
          <w:rFonts w:hint="eastAsia" w:ascii="宋体" w:hAnsi="宋体" w:cs="宋体"/>
          <w:kern w:val="0"/>
          <w:szCs w:val="21"/>
        </w:rPr>
        <w:t>：叁万柒仟元整（¥37000.00）</w:t>
      </w:r>
      <w:bookmarkEnd w:id="44"/>
      <w:r>
        <w:rPr>
          <w:rFonts w:hint="eastAsia" w:ascii="宋体" w:hAnsi="宋体" w:cs="宋体"/>
          <w:kern w:val="0"/>
          <w:szCs w:val="21"/>
        </w:rPr>
        <w:t>；B分标：伍万元整（¥50000.00）；C分标：壹万捌仟元整（¥18000.00）；</w:t>
      </w:r>
      <w:bookmarkStart w:id="45" w:name="OLE_LINK45"/>
      <w:bookmarkStart w:id="46" w:name="OLE_LINK44"/>
      <w:r>
        <w:rPr>
          <w:rFonts w:hint="eastAsia" w:ascii="宋体" w:hAnsi="宋体" w:cs="宋体"/>
          <w:kern w:val="0"/>
          <w:szCs w:val="21"/>
        </w:rPr>
        <w:t>D分标：贰万壹仟元整（¥21000.00）</w:t>
      </w:r>
      <w:bookmarkEnd w:id="45"/>
      <w:bookmarkEnd w:id="46"/>
      <w:r>
        <w:rPr>
          <w:rFonts w:hint="eastAsia" w:ascii="宋体" w:hAnsi="宋体" w:cs="宋体"/>
          <w:kern w:val="0"/>
          <w:szCs w:val="21"/>
        </w:rPr>
        <w:t xml:space="preserve">；E分标：贰仟伍佰元整（¥2500.00）。(必须足额交纳，交纳注意事项详见投标人须知前附表) </w:t>
      </w:r>
    </w:p>
    <w:p w14:paraId="0AED3104">
      <w:pPr>
        <w:snapToGrid w:val="0"/>
        <w:spacing w:line="400" w:lineRule="exact"/>
        <w:ind w:firstLine="420" w:firstLineChars="200"/>
        <w:rPr>
          <w:rFonts w:hint="eastAsia" w:ascii="宋体" w:hAnsi="宋体" w:cs="宋体"/>
          <w:kern w:val="0"/>
          <w:szCs w:val="21"/>
        </w:rPr>
      </w:pPr>
      <w:r>
        <w:rPr>
          <w:rFonts w:hint="eastAsia" w:ascii="宋体" w:hAnsi="宋体" w:cs="宋体"/>
          <w:kern w:val="0"/>
          <w:szCs w:val="21"/>
        </w:rPr>
        <w:t>2.采购意向公开链接：</w:t>
      </w:r>
    </w:p>
    <w:p w14:paraId="0F8815DF">
      <w:pPr>
        <w:snapToGrid w:val="0"/>
        <w:spacing w:line="400" w:lineRule="exact"/>
        <w:ind w:firstLine="420" w:firstLineChars="200"/>
        <w:rPr>
          <w:rFonts w:hint="eastAsia" w:ascii="宋体" w:hAnsi="宋体" w:cs="宋体"/>
          <w:kern w:val="0"/>
          <w:szCs w:val="21"/>
        </w:rPr>
      </w:pPr>
      <w:bookmarkStart w:id="47" w:name="_Hlk37429585"/>
      <w:r>
        <w:rPr>
          <w:rFonts w:hint="eastAsia" w:ascii="宋体" w:hAnsi="宋体" w:cs="宋体"/>
          <w:kern w:val="0"/>
          <w:szCs w:val="21"/>
        </w:rPr>
        <w:t>http://zfcg.gxzf.gov.cn/luban/detail?parentId=66485&amp;articleId=ann_fn/qr8NNO7v6I/LrROjvatD5ndTMr3NGt5TILBJnhQo=&amp;utm=app-announcement-front.189f5f89.0.0.6e99052083d911f1bf3585d16e5af5ac</w:t>
      </w:r>
    </w:p>
    <w:p w14:paraId="2CDDCDBD">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w:t>
      </w:r>
      <w:bookmarkStart w:id="48" w:name="_Hlk37429595"/>
      <w:r>
        <w:rPr>
          <w:rFonts w:hint="eastAsia" w:ascii="宋体" w:hAnsi="宋体" w:cs="宋体"/>
          <w:kern w:val="0"/>
          <w:szCs w:val="21"/>
        </w:rPr>
        <w:t>网上查询地址</w:t>
      </w:r>
    </w:p>
    <w:bookmarkEnd w:id="47"/>
    <w:bookmarkEnd w:id="48"/>
    <w:p w14:paraId="12149A03">
      <w:pPr>
        <w:snapToGrid w:val="0"/>
        <w:spacing w:line="400" w:lineRule="exact"/>
        <w:ind w:firstLine="420" w:firstLineChars="200"/>
        <w:rPr>
          <w:rFonts w:hint="eastAsia" w:ascii="宋体" w:hAnsi="宋体"/>
          <w:szCs w:val="21"/>
        </w:rPr>
      </w:pPr>
      <w:bookmarkStart w:id="49" w:name="_Hlk37429674"/>
      <w:r>
        <w:rPr>
          <w:rFonts w:hint="eastAsia" w:ascii="宋体" w:hAnsi="宋体" w:cs="宋体"/>
          <w:kern w:val="0"/>
          <w:szCs w:val="21"/>
        </w:rPr>
        <w:t>中国政府采购网（www.ccgp.gov.cn）、广西政府采购网（zfcg.gxzf.gov.cn）、广西壮族自治区公共资源交易中心（gxggzy.gxzf.gov.cn）、广西壮族自治区生态环境厅网（http://sthjt.gxzf.gov.cn/）</w:t>
      </w:r>
    </w:p>
    <w:p w14:paraId="018DCCD2">
      <w:pPr>
        <w:snapToGrid w:val="0"/>
        <w:spacing w:line="400" w:lineRule="exact"/>
        <w:ind w:firstLine="315" w:firstLineChars="150"/>
        <w:rPr>
          <w:rFonts w:hint="eastAsia" w:ascii="宋体" w:hAnsi="宋体" w:cs="宋体"/>
          <w:kern w:val="0"/>
          <w:szCs w:val="21"/>
        </w:rPr>
      </w:pPr>
      <w:r>
        <w:rPr>
          <w:rFonts w:hint="eastAsia" w:ascii="宋体" w:hAnsi="宋体"/>
          <w:szCs w:val="21"/>
        </w:rPr>
        <w:t>4</w:t>
      </w:r>
      <w:r>
        <w:rPr>
          <w:rFonts w:ascii="宋体" w:hAnsi="宋体"/>
          <w:szCs w:val="21"/>
        </w:rPr>
        <w:t>.</w:t>
      </w:r>
      <w:r>
        <w:rPr>
          <w:rFonts w:hint="eastAsia" w:ascii="宋体" w:hAnsi="宋体" w:cs="宋体"/>
          <w:kern w:val="0"/>
          <w:szCs w:val="21"/>
        </w:rPr>
        <w:t>本项目需要落实的政府采购政策</w:t>
      </w:r>
    </w:p>
    <w:p w14:paraId="7FAE2365">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（1）政府采购促进中小企业发展。</w:t>
      </w:r>
    </w:p>
    <w:p w14:paraId="0A266162">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（2）政府采购支持采用本国产品的政策。</w:t>
      </w:r>
    </w:p>
    <w:p w14:paraId="089E7845">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（3）强制采购节能产品；优先采购节能产品、环境标志产品。</w:t>
      </w:r>
    </w:p>
    <w:p w14:paraId="141DBCD7">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（4）政府采购促进残疾人就业政策。</w:t>
      </w:r>
    </w:p>
    <w:p w14:paraId="1E990184">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（5）政府采购支持监狱企业发展。</w:t>
      </w:r>
      <w:bookmarkEnd w:id="49"/>
    </w:p>
    <w:p w14:paraId="67F6426F">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（6）</w:t>
      </w:r>
      <w:r>
        <w:rPr>
          <w:rFonts w:hint="eastAsia"/>
        </w:rPr>
        <w:t>扶持不发达地区和少数民族地区政策</w:t>
      </w:r>
    </w:p>
    <w:p w14:paraId="1A20BCC9">
      <w:pPr>
        <w:snapToGrid w:val="0"/>
        <w:spacing w:line="400" w:lineRule="exact"/>
        <w:ind w:firstLine="525" w:firstLineChars="250"/>
        <w:rPr>
          <w:rFonts w:hint="eastAsia" w:ascii="宋体" w:hAnsi="宋体" w:cs="宋体"/>
          <w:kern w:val="0"/>
          <w:szCs w:val="21"/>
        </w:rPr>
      </w:pPr>
      <w:r>
        <w:rPr>
          <w:rFonts w:hint="eastAsia" w:ascii="宋体" w:hAnsi="宋体" w:cs="宋体"/>
          <w:kern w:val="0"/>
          <w:szCs w:val="21"/>
        </w:rPr>
        <w:t>5.</w:t>
      </w:r>
      <w:r>
        <w:rPr>
          <w:rFonts w:hint="eastAsia" w:ascii="宋体" w:hAnsi="宋体" w:cs="宋体"/>
          <w:bCs/>
          <w:szCs w:val="21"/>
        </w:rPr>
        <w:t>申请人的资格要求的补充说明：</w:t>
      </w:r>
    </w:p>
    <w:p w14:paraId="6C45D690">
      <w:pPr>
        <w:snapToGrid w:val="0"/>
        <w:spacing w:line="400" w:lineRule="exact"/>
        <w:ind w:firstLine="420" w:firstLineChars="200"/>
        <w:jc w:val="left"/>
        <w:rPr>
          <w:rFonts w:hint="eastAsia" w:ascii="宋体" w:hAnsi="宋体"/>
          <w:szCs w:val="21"/>
        </w:rPr>
      </w:pPr>
      <w:r>
        <w:rPr>
          <w:rFonts w:hint="eastAsia" w:ascii="宋体" w:hAnsi="宋体"/>
          <w:szCs w:val="21"/>
        </w:rPr>
        <w:t>投标人</w:t>
      </w:r>
      <w:r>
        <w:rPr>
          <w:rFonts w:hint="eastAsia"/>
        </w:rPr>
        <w:t>必须是具有独立承担民事责任能力的单位，</w:t>
      </w:r>
      <w:r>
        <w:rPr>
          <w:rFonts w:hint="eastAsia" w:ascii="宋体" w:hAnsi="宋体"/>
          <w:szCs w:val="21"/>
        </w:rPr>
        <w:t>或者是经总公司出具愿为其参与本项目投标以及履约行为承担民事责任承诺书的分支机构，并且同一家总公司只能授权一家分支机构参与投标，且总公司不能与下属的分支机构同时参与投标。</w:t>
      </w:r>
    </w:p>
    <w:p w14:paraId="3EA4CF76">
      <w:pPr>
        <w:snapToGrid w:val="0"/>
        <w:spacing w:line="400" w:lineRule="exact"/>
        <w:ind w:firstLine="420" w:firstLineChars="200"/>
        <w:jc w:val="left"/>
        <w:rPr>
          <w:rFonts w:hint="eastAsia" w:ascii="宋体" w:hAnsi="宋体"/>
          <w:szCs w:val="21"/>
        </w:rPr>
      </w:pPr>
      <w:r>
        <w:rPr>
          <w:rFonts w:hint="eastAsia" w:ascii="宋体" w:hAnsi="宋体"/>
          <w:szCs w:val="21"/>
        </w:rPr>
        <w:t>6.在线投标响应（电子投标）说明</w:t>
      </w:r>
    </w:p>
    <w:p w14:paraId="471537DA">
      <w:pPr>
        <w:widowControl/>
        <w:snapToGrid w:val="0"/>
        <w:spacing w:line="400" w:lineRule="exact"/>
        <w:ind w:firstLine="420" w:firstLineChars="200"/>
        <w:jc w:val="left"/>
        <w:rPr>
          <w:rFonts w:hint="eastAsia" w:ascii="宋体" w:hAnsi="宋体"/>
          <w:szCs w:val="21"/>
        </w:rPr>
      </w:pPr>
      <w:r>
        <w:rPr>
          <w:rFonts w:hint="eastAsia" w:ascii="宋体" w:hAnsi="宋体"/>
          <w:szCs w:val="21"/>
        </w:rPr>
        <w:t>（1）本项目为全流程电子化项目，通过广西政府采购云平台（https://www.gcy.zfcg.gxzf.gov.cn/）实行在线电子投标，投标人应先安装“广西政府采购云平台新版客户端软件</w:t>
      </w:r>
      <w:r>
        <w:rPr>
          <w:rFonts w:hint="eastAsia" w:ascii="宋体" w:hAnsi="宋体" w:cs="宋体"/>
          <w:szCs w:val="21"/>
        </w:rPr>
        <w:t>”</w:t>
      </w:r>
      <w:r>
        <w:rPr>
          <w:rFonts w:hint="eastAsia" w:ascii="宋体" w:hAnsi="宋体" w:cs="宋体"/>
          <w:b/>
          <w:bCs/>
          <w:szCs w:val="21"/>
        </w:rPr>
        <w:t>（</w:t>
      </w:r>
      <w:r>
        <w:rPr>
          <w:rFonts w:hint="eastAsia" w:ascii="宋体" w:hAnsi="宋体" w:cs="宋体"/>
          <w:szCs w:val="21"/>
        </w:rPr>
        <w:t>广西政府采购云平台新版客户端软件请供应商自行前往下载并安装（见广西壮族自治区政府采购网（访问地址http://zfcg.gxzf.gov.cn/）—办事服务—下载专区-广西政府采购云平台新版客户端）</w:t>
      </w:r>
      <w:r>
        <w:rPr>
          <w:rFonts w:hint="eastAsia" w:ascii="宋体" w:hAnsi="宋体" w:cs="宋体"/>
          <w:b/>
          <w:bCs/>
          <w:szCs w:val="21"/>
        </w:rPr>
        <w:t>）</w:t>
      </w:r>
      <w:r>
        <w:rPr>
          <w:rFonts w:hint="eastAsia" w:ascii="宋体" w:hAnsi="宋体" w:cs="宋体"/>
          <w:szCs w:val="21"/>
        </w:rPr>
        <w:t>，并按照本项目招标文件和广西政府采购云平台的要求编制、加密后在投标截止时间前通过网络上传至广西政府采购云平台，</w:t>
      </w:r>
      <w:r>
        <w:rPr>
          <w:rFonts w:hint="eastAsia" w:ascii="宋体" w:hAnsi="宋体" w:cs="宋体"/>
          <w:bCs/>
          <w:szCs w:val="21"/>
        </w:rPr>
        <w:t>投标人在广西政府采购云平台提交电子版投标文件时，请填写参加远程开标活动经办人联系方式</w:t>
      </w:r>
      <w:r>
        <w:rPr>
          <w:rFonts w:hint="eastAsia" w:ascii="宋体" w:hAnsi="宋体" w:cs="宋体"/>
          <w:szCs w:val="21"/>
        </w:rPr>
        <w:t>。电子投标具体操作流程参考广西政府采购云平台提供的《政府采购项目电子交易管理操作指南-供应商》,投标人如在操作过程中遇到问题或需要技术支持，请致电广西政府采购云平台客服热线：95763。</w:t>
      </w:r>
    </w:p>
    <w:p w14:paraId="18A3730E">
      <w:pPr>
        <w:widowControl/>
        <w:snapToGrid w:val="0"/>
        <w:spacing w:line="400" w:lineRule="exact"/>
        <w:ind w:firstLine="420" w:firstLineChars="200"/>
        <w:jc w:val="left"/>
        <w:rPr>
          <w:rFonts w:hint="eastAsia" w:ascii="宋体" w:hAnsi="宋体"/>
          <w:szCs w:val="21"/>
        </w:rPr>
      </w:pPr>
      <w:r>
        <w:rPr>
          <w:rFonts w:hint="eastAsia" w:ascii="宋体" w:hAnsi="宋体"/>
          <w:szCs w:val="21"/>
        </w:rPr>
        <w:t>（2）</w:t>
      </w:r>
      <w:r>
        <w:rPr>
          <w:rFonts w:hint="eastAsia" w:ascii="宋体" w:hAnsi="宋体" w:cs="宋体"/>
          <w:szCs w:val="21"/>
        </w:rPr>
        <w:t>未进行网上注册并办理数字证书（CA认证）的投标人将无法参与本项目政府采购活动，潜在投标人应当在投标截止时间前，完成电子交易平台上的CA数字证书办理及投标文件的提交。完成CA数字证书办理预计7日左右，投标人只需办理其中一家CA数字证书及签章，建议各投标人抓紧时间办理。</w:t>
      </w:r>
    </w:p>
    <w:p w14:paraId="2FBA9A78">
      <w:pPr>
        <w:widowControl/>
        <w:snapToGrid w:val="0"/>
        <w:spacing w:line="400" w:lineRule="exact"/>
        <w:ind w:firstLine="420" w:firstLineChars="200"/>
        <w:jc w:val="left"/>
        <w:rPr>
          <w:rFonts w:hint="eastAsia" w:ascii="宋体" w:hAnsi="宋体"/>
          <w:szCs w:val="21"/>
        </w:rPr>
      </w:pPr>
      <w:r>
        <w:rPr>
          <w:rFonts w:hint="eastAsia" w:ascii="宋体" w:hAnsi="宋体"/>
          <w:szCs w:val="21"/>
        </w:rPr>
        <w:t>（3）</w:t>
      </w:r>
      <w:r>
        <w:rPr>
          <w:rFonts w:hint="eastAsia" w:ascii="宋体" w:hAnsi="宋体" w:cs="宋体"/>
          <w:szCs w:val="21"/>
        </w:rPr>
        <w:t>为确保网上操作合法、有效和安全，请投标人确保在电子投标过程中能够对相关数据电文进行加密和使用电子签章，妥善保管CA数字证书并使用有效的CA数字证书参与整个招标活动。</w:t>
      </w:r>
    </w:p>
    <w:p w14:paraId="37DABC13">
      <w:pPr>
        <w:snapToGrid w:val="0"/>
        <w:spacing w:line="400" w:lineRule="exact"/>
        <w:ind w:firstLine="420" w:firstLineChars="200"/>
        <w:rPr>
          <w:rFonts w:hint="eastAsia" w:ascii="宋体" w:hAnsi="宋体" w:cs="宋体"/>
          <w:bCs/>
          <w:szCs w:val="21"/>
          <w:u w:val="single"/>
        </w:rPr>
      </w:pPr>
      <w:r>
        <w:rPr>
          <w:rFonts w:hint="eastAsia" w:ascii="宋体" w:hAnsi="宋体" w:cs="宋体"/>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在投标截止时间后，采购人及采购代理机构对已提交的投标文件概不退回。</w:t>
      </w:r>
    </w:p>
    <w:p w14:paraId="7C0FB434">
      <w:pPr>
        <w:snapToGrid w:val="0"/>
        <w:spacing w:line="400" w:lineRule="exact"/>
        <w:ind w:firstLine="420" w:firstLineChars="200"/>
        <w:rPr>
          <w:rFonts w:hint="eastAsia" w:ascii="宋体" w:hAnsi="宋体" w:cs="宋体"/>
          <w:kern w:val="0"/>
          <w:szCs w:val="21"/>
        </w:rPr>
      </w:pPr>
      <w:r>
        <w:rPr>
          <w:rFonts w:hint="eastAsia" w:ascii="宋体" w:hAnsi="宋体" w:cs="宋体"/>
          <w:kern w:val="0"/>
          <w:szCs w:val="21"/>
        </w:rPr>
        <w:t>（4）CA证书在线解密：</w:t>
      </w:r>
      <w:r>
        <w:rPr>
          <w:rFonts w:hint="eastAsia" w:ascii="宋体" w:hAnsi="宋体" w:cs="宋体"/>
          <w:szCs w:val="21"/>
        </w:rPr>
        <w:t>投标人</w:t>
      </w:r>
      <w:r>
        <w:rPr>
          <w:rFonts w:hint="eastAsia" w:ascii="宋体" w:hAnsi="宋体" w:cs="宋体"/>
          <w:kern w:val="0"/>
          <w:szCs w:val="21"/>
        </w:rPr>
        <w:t>投标时，需携带制作投标文件时用来加密的有效数字证书（CA认证）登录“广西政府采购云平台”电子开标大厅现场按规定时间对加密的投标文件进行解密，否则后果自负。</w:t>
      </w:r>
    </w:p>
    <w:p w14:paraId="72712FC8">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5）若对项目采购电子交易系统操作有疑问，可登录广西政府采购云平台（https://www.gcy.zfcg.gxzf.gov.cn/），点击右侧咨询小采，获取采小蜜智能服务管家帮助，或拨打广西政府采购云平台服务热线95763获取热线服务帮助。</w:t>
      </w:r>
    </w:p>
    <w:p w14:paraId="6C410F0F">
      <w:pPr>
        <w:snapToGrid w:val="0"/>
        <w:spacing w:line="400" w:lineRule="exact"/>
        <w:ind w:firstLine="315" w:firstLineChars="150"/>
        <w:rPr>
          <w:rFonts w:hint="eastAsia" w:ascii="宋体" w:hAnsi="宋体" w:cs="宋体"/>
          <w:kern w:val="0"/>
          <w:szCs w:val="21"/>
        </w:rPr>
      </w:pPr>
      <w:r>
        <w:rPr>
          <w:rFonts w:hint="eastAsia" w:ascii="宋体" w:hAnsi="宋体" w:cs="宋体"/>
          <w:kern w:val="0"/>
          <w:szCs w:val="21"/>
        </w:rPr>
        <w:t>7</w:t>
      </w:r>
      <w:r>
        <w:rPr>
          <w:rFonts w:ascii="宋体" w:hAnsi="宋体" w:cs="宋体"/>
          <w:kern w:val="0"/>
          <w:szCs w:val="21"/>
        </w:rPr>
        <w:t>.</w:t>
      </w:r>
      <w:r>
        <w:rPr>
          <w:rFonts w:hint="eastAsia" w:ascii="宋体" w:hAnsi="宋体" w:cs="宋体"/>
          <w:szCs w:val="21"/>
        </w:rPr>
        <w:t>投标人</w:t>
      </w:r>
      <w:r>
        <w:rPr>
          <w:rFonts w:hint="eastAsia" w:ascii="宋体" w:hAnsi="宋体" w:cs="宋体"/>
          <w:kern w:val="0"/>
          <w:szCs w:val="21"/>
        </w:rPr>
        <w:t>认为采购文件使自己的权益受到损害的，可以在知道或者应知其权益受到损害之日起7个工作日内，以书面形式向采购人、采购代理机构提出质疑。质疑</w:t>
      </w:r>
      <w:r>
        <w:rPr>
          <w:rFonts w:hint="eastAsia" w:ascii="宋体" w:hAnsi="宋体" w:cs="宋体"/>
          <w:szCs w:val="21"/>
        </w:rPr>
        <w:t>投标人</w:t>
      </w:r>
      <w:r>
        <w:rPr>
          <w:rFonts w:hint="eastAsia" w:ascii="宋体" w:hAnsi="宋体" w:cs="宋体"/>
          <w:kern w:val="0"/>
          <w:szCs w:val="21"/>
        </w:rPr>
        <w:t>对采购人、采购代理机构的答复不满意或者采购人、采购代理机构未在规定的时间内作出答复的，可以在答复期满后十五个工作日内向同级政府采购监督管理部门投诉。</w:t>
      </w:r>
    </w:p>
    <w:p w14:paraId="76CD5FBC">
      <w:pPr>
        <w:pStyle w:val="2"/>
        <w:spacing w:line="400" w:lineRule="exact"/>
        <w:ind w:firstLine="310" w:firstLineChars="147"/>
        <w:rPr>
          <w:rFonts w:hint="eastAsia" w:ascii="宋体" w:hAnsi="宋体" w:cs="宋体"/>
          <w:b/>
          <w:sz w:val="21"/>
          <w:szCs w:val="21"/>
        </w:rPr>
      </w:pPr>
      <w:r>
        <w:rPr>
          <w:rFonts w:hint="eastAsia" w:ascii="宋体" w:hAnsi="宋体" w:cs="宋体"/>
          <w:b/>
          <w:sz w:val="21"/>
          <w:szCs w:val="21"/>
        </w:rPr>
        <w:t>8.特别说明：为保证项目服务的进度和质量，投标人可选择一个或多个分标参与竞标，但一个投标人最多只能成为其中一个分标的第一中标候选人，在其它分标可以继续评审及排名，其它分标评审若成为第一中标候选人的则由第二中标候选人替代，以此类推。评标顺序：</w:t>
      </w:r>
      <w:bookmarkStart w:id="50" w:name="OLE_LINK2"/>
      <w:bookmarkStart w:id="51" w:name="OLE_LINK7"/>
      <w:r>
        <w:rPr>
          <w:rFonts w:hint="eastAsia" w:ascii="宋体" w:hAnsi="宋体" w:cs="宋体"/>
          <w:b/>
          <w:sz w:val="21"/>
          <w:szCs w:val="21"/>
        </w:rPr>
        <w:t>分标1（A分标）→分标2（B分标）→分标3（C分标）→分标4（D分标）→分标5（E分标）</w:t>
      </w:r>
      <w:bookmarkEnd w:id="50"/>
      <w:bookmarkEnd w:id="51"/>
      <w:r>
        <w:rPr>
          <w:rFonts w:hint="eastAsia" w:ascii="宋体" w:hAnsi="宋体" w:cs="宋体"/>
          <w:b/>
          <w:sz w:val="21"/>
          <w:szCs w:val="21"/>
        </w:rPr>
        <w:t>。</w:t>
      </w:r>
    </w:p>
    <w:p w14:paraId="0ACA0D43">
      <w:pPr>
        <w:snapToGrid w:val="0"/>
        <w:spacing w:line="400" w:lineRule="exact"/>
        <w:ind w:firstLine="422" w:firstLineChars="200"/>
        <w:rPr>
          <w:rFonts w:hint="eastAsia" w:ascii="宋体" w:hAnsi="宋体" w:cs="宋体"/>
          <w:b/>
          <w:bCs/>
          <w:szCs w:val="21"/>
        </w:rPr>
      </w:pPr>
      <w:bookmarkStart w:id="52" w:name="_Toc35393796"/>
      <w:bookmarkStart w:id="53" w:name="_Toc35393627"/>
      <w:bookmarkStart w:id="54" w:name="_Toc28359008"/>
      <w:bookmarkStart w:id="55" w:name="_Toc28359085"/>
      <w:r>
        <w:rPr>
          <w:rFonts w:hint="eastAsia" w:ascii="宋体" w:hAnsi="宋体" w:cs="宋体"/>
          <w:b/>
          <w:bCs/>
          <w:szCs w:val="21"/>
        </w:rPr>
        <w:t>七、对本次招标提出询问，请按以下方式联系。</w:t>
      </w:r>
      <w:bookmarkEnd w:id="52"/>
      <w:bookmarkEnd w:id="53"/>
      <w:bookmarkEnd w:id="54"/>
      <w:bookmarkEnd w:id="55"/>
    </w:p>
    <w:p w14:paraId="5334FB1D">
      <w:pPr>
        <w:snapToGrid w:val="0"/>
        <w:spacing w:line="400" w:lineRule="exact"/>
        <w:ind w:firstLine="424" w:firstLineChars="202"/>
        <w:rPr>
          <w:rFonts w:hint="eastAsia" w:ascii="宋体" w:hAnsi="宋体" w:cs="宋体"/>
          <w:szCs w:val="21"/>
        </w:rPr>
      </w:pPr>
      <w:r>
        <w:rPr>
          <w:rFonts w:hint="eastAsia" w:ascii="宋体" w:hAnsi="宋体" w:cs="宋体"/>
          <w:szCs w:val="21"/>
        </w:rPr>
        <w:t>1.采购人信息</w:t>
      </w:r>
    </w:p>
    <w:p w14:paraId="4EC6F0CD">
      <w:pPr>
        <w:snapToGrid w:val="0"/>
        <w:spacing w:line="400" w:lineRule="exact"/>
        <w:ind w:firstLine="424" w:firstLineChars="202"/>
        <w:rPr>
          <w:rFonts w:hint="eastAsia" w:ascii="宋体" w:hAnsi="宋体" w:cs="宋体"/>
          <w:szCs w:val="21"/>
        </w:rPr>
      </w:pPr>
      <w:r>
        <w:rPr>
          <w:rFonts w:hint="eastAsia" w:ascii="宋体" w:hAnsi="宋体" w:cs="宋体"/>
          <w:szCs w:val="21"/>
        </w:rPr>
        <w:t>名 称：广西壮族自治区环境信息中心</w:t>
      </w:r>
    </w:p>
    <w:p w14:paraId="573E010B">
      <w:pPr>
        <w:snapToGrid w:val="0"/>
        <w:spacing w:line="400" w:lineRule="exact"/>
        <w:ind w:firstLine="424" w:firstLineChars="202"/>
        <w:rPr>
          <w:rFonts w:hint="eastAsia" w:ascii="宋体" w:hAnsi="宋体" w:cs="宋体"/>
          <w:szCs w:val="21"/>
        </w:rPr>
      </w:pPr>
      <w:r>
        <w:rPr>
          <w:rFonts w:hint="eastAsia" w:ascii="宋体" w:hAnsi="宋体" w:cs="宋体"/>
          <w:szCs w:val="21"/>
        </w:rPr>
        <w:t>地 址：广西南宁市青秀区佛子岭路16号</w:t>
      </w:r>
    </w:p>
    <w:p w14:paraId="6D31E344">
      <w:pPr>
        <w:snapToGrid w:val="0"/>
        <w:spacing w:line="400" w:lineRule="exact"/>
        <w:ind w:firstLine="424" w:firstLineChars="202"/>
        <w:rPr>
          <w:rFonts w:hint="eastAsia" w:ascii="宋体" w:hAnsi="宋体" w:cs="宋体"/>
          <w:szCs w:val="21"/>
        </w:rPr>
      </w:pPr>
      <w:r>
        <w:rPr>
          <w:rFonts w:hint="eastAsia" w:ascii="宋体" w:hAnsi="宋体" w:cs="宋体"/>
          <w:szCs w:val="21"/>
        </w:rPr>
        <w:t>项目联系人：黄 工</w:t>
      </w:r>
    </w:p>
    <w:p w14:paraId="03B3F68F">
      <w:pPr>
        <w:snapToGrid w:val="0"/>
        <w:spacing w:line="400" w:lineRule="exact"/>
        <w:ind w:firstLine="424" w:firstLineChars="202"/>
        <w:rPr>
          <w:rFonts w:hint="eastAsia" w:ascii="宋体" w:hAnsi="宋体" w:cs="宋体"/>
          <w:szCs w:val="21"/>
        </w:rPr>
      </w:pPr>
      <w:r>
        <w:rPr>
          <w:rFonts w:hint="eastAsia" w:ascii="宋体" w:hAnsi="宋体" w:cs="宋体"/>
          <w:szCs w:val="21"/>
        </w:rPr>
        <w:t>项目联系方式：0771-5313068</w:t>
      </w:r>
    </w:p>
    <w:p w14:paraId="1892B7DA">
      <w:pPr>
        <w:snapToGrid w:val="0"/>
        <w:spacing w:line="400" w:lineRule="exact"/>
        <w:ind w:firstLine="424" w:firstLineChars="202"/>
        <w:rPr>
          <w:rFonts w:hint="eastAsia" w:ascii="宋体" w:hAnsi="宋体" w:cs="宋体"/>
          <w:szCs w:val="21"/>
        </w:rPr>
      </w:pPr>
      <w:r>
        <w:rPr>
          <w:rFonts w:hint="eastAsia" w:ascii="宋体" w:hAnsi="宋体" w:cs="宋体"/>
          <w:szCs w:val="21"/>
        </w:rPr>
        <w:t>2.采购代理机构信息</w:t>
      </w:r>
    </w:p>
    <w:p w14:paraId="0631796A">
      <w:pPr>
        <w:snapToGrid w:val="0"/>
        <w:spacing w:line="400" w:lineRule="exact"/>
        <w:ind w:firstLine="424" w:firstLineChars="202"/>
        <w:rPr>
          <w:rFonts w:hint="eastAsia" w:ascii="宋体" w:hAnsi="宋体" w:cs="宋体"/>
          <w:szCs w:val="21"/>
        </w:rPr>
      </w:pPr>
      <w:r>
        <w:rPr>
          <w:rFonts w:hint="eastAsia" w:ascii="宋体" w:hAnsi="宋体" w:cs="宋体"/>
          <w:szCs w:val="21"/>
        </w:rPr>
        <w:t>名 称：公诚管理咨询有限公司</w:t>
      </w:r>
    </w:p>
    <w:p w14:paraId="3FB27545">
      <w:pPr>
        <w:snapToGrid w:val="0"/>
        <w:spacing w:line="400" w:lineRule="exact"/>
        <w:ind w:firstLine="424" w:firstLineChars="202"/>
        <w:rPr>
          <w:rFonts w:hint="eastAsia" w:ascii="宋体" w:hAnsi="宋体" w:cs="宋体"/>
          <w:szCs w:val="21"/>
        </w:rPr>
      </w:pPr>
      <w:r>
        <w:rPr>
          <w:rFonts w:hint="eastAsia" w:ascii="宋体" w:hAnsi="宋体" w:cs="宋体"/>
          <w:szCs w:val="21"/>
        </w:rPr>
        <w:t>地 址：广西南宁市青秀区金湖北路52-1号东方曼哈顿25楼</w:t>
      </w:r>
    </w:p>
    <w:p w14:paraId="281632DC">
      <w:pPr>
        <w:snapToGrid w:val="0"/>
        <w:spacing w:line="400" w:lineRule="exact"/>
        <w:ind w:firstLine="424" w:firstLineChars="202"/>
        <w:rPr>
          <w:rFonts w:hint="eastAsia" w:ascii="宋体" w:hAnsi="宋体" w:cs="宋体"/>
          <w:szCs w:val="21"/>
        </w:rPr>
      </w:pPr>
      <w:r>
        <w:rPr>
          <w:rFonts w:hint="eastAsia" w:ascii="宋体" w:hAnsi="宋体" w:cs="宋体"/>
          <w:szCs w:val="21"/>
        </w:rPr>
        <w:t>项目联系人：劳德、陈雅冰、王鹏程、盛菲、李涛</w:t>
      </w:r>
    </w:p>
    <w:p w14:paraId="5BDE62B8">
      <w:pPr>
        <w:snapToGrid w:val="0"/>
        <w:spacing w:line="400" w:lineRule="exact"/>
        <w:ind w:firstLine="424" w:firstLineChars="202"/>
        <w:rPr>
          <w:rFonts w:hint="eastAsia" w:ascii="宋体" w:hAnsi="宋体" w:cs="宋体"/>
          <w:szCs w:val="21"/>
        </w:rPr>
      </w:pPr>
      <w:r>
        <w:rPr>
          <w:rFonts w:hint="eastAsia" w:ascii="宋体" w:hAnsi="宋体" w:cs="宋体"/>
          <w:szCs w:val="21"/>
        </w:rPr>
        <w:t>项目联系方式：0771-5583003</w:t>
      </w:r>
    </w:p>
    <w:p w14:paraId="12F1684F">
      <w:pPr>
        <w:snapToGrid w:val="0"/>
        <w:spacing w:line="400" w:lineRule="exact"/>
        <w:ind w:firstLine="210" w:firstLineChars="100"/>
        <w:jc w:val="right"/>
        <w:rPr>
          <w:rFonts w:hint="eastAsia" w:ascii="宋体" w:hAnsi="宋体" w:cs="宋体"/>
          <w:szCs w:val="21"/>
        </w:rPr>
      </w:pPr>
    </w:p>
    <w:p w14:paraId="3F4E0D78">
      <w:pPr>
        <w:pStyle w:val="2"/>
        <w:spacing w:line="400" w:lineRule="exact"/>
      </w:pPr>
      <w:bookmarkStart w:id="197" w:name="_GoBack"/>
      <w:bookmarkEnd w:id="197"/>
    </w:p>
    <w:p w14:paraId="72FB6375">
      <w:pPr>
        <w:snapToGrid w:val="0"/>
        <w:spacing w:line="400" w:lineRule="exact"/>
        <w:ind w:firstLine="6090" w:firstLineChars="2900"/>
        <w:rPr>
          <w:rFonts w:hint="eastAsia" w:ascii="宋体" w:hAnsi="宋体" w:cs="宋体"/>
          <w:szCs w:val="21"/>
        </w:rPr>
      </w:pPr>
      <w:r>
        <w:rPr>
          <w:rFonts w:hint="eastAsia" w:ascii="宋体" w:hAnsi="宋体" w:cs="宋体"/>
          <w:szCs w:val="21"/>
        </w:rPr>
        <w:t>公诚管理咨询有限公司</w:t>
      </w:r>
    </w:p>
    <w:p w14:paraId="0000A04F">
      <w:pPr>
        <w:pStyle w:val="12"/>
        <w:spacing w:line="400" w:lineRule="exact"/>
        <w:ind w:firstLine="6300" w:firstLineChars="3000"/>
        <w:rPr>
          <w:rFonts w:hint="eastAsia" w:ascii="宋体" w:hAnsi="宋体" w:cs="宋体"/>
          <w:sz w:val="21"/>
          <w:szCs w:val="21"/>
        </w:rPr>
      </w:pPr>
      <w:r>
        <w:rPr>
          <w:rFonts w:hint="eastAsia" w:ascii="宋体" w:hAnsi="宋体" w:cs="宋体"/>
          <w:sz w:val="21"/>
          <w:szCs w:val="21"/>
        </w:rPr>
        <w:t>2026年</w:t>
      </w:r>
      <w:r>
        <w:rPr>
          <w:rFonts w:hint="eastAsia" w:ascii="宋体" w:hAnsi="宋体" w:cs="宋体"/>
          <w:sz w:val="21"/>
          <w:szCs w:val="21"/>
          <w:lang w:val="en-US" w:eastAsia="zh-CN"/>
        </w:rPr>
        <w:t>9</w:t>
      </w:r>
      <w:r>
        <w:rPr>
          <w:rFonts w:hint="eastAsia" w:ascii="宋体" w:hAnsi="宋体" w:cs="宋体"/>
          <w:sz w:val="21"/>
          <w:szCs w:val="21"/>
        </w:rPr>
        <w:t>月</w:t>
      </w:r>
      <w:r>
        <w:rPr>
          <w:rFonts w:hint="eastAsia" w:ascii="宋体" w:hAnsi="宋体" w:cs="宋体"/>
          <w:sz w:val="21"/>
          <w:szCs w:val="21"/>
          <w:lang w:val="en-US" w:eastAsia="zh-CN"/>
        </w:rPr>
        <w:t>1</w:t>
      </w:r>
      <w:r>
        <w:rPr>
          <w:rFonts w:hint="eastAsia" w:ascii="宋体" w:hAnsi="宋体" w:cs="宋体"/>
          <w:sz w:val="21"/>
          <w:szCs w:val="21"/>
        </w:rPr>
        <w:t>日</w:t>
      </w:r>
    </w:p>
    <w:p w14:paraId="1254F590">
      <w:pPr>
        <w:pStyle w:val="12"/>
        <w:spacing w:line="400" w:lineRule="exact"/>
        <w:rPr>
          <w:rFonts w:hint="eastAsia" w:ascii="宋体" w:hAnsi="宋体" w:cs="宋体"/>
          <w:sz w:val="21"/>
          <w:szCs w:val="21"/>
        </w:rPr>
      </w:pPr>
    </w:p>
    <w:p w14:paraId="26AA4505">
      <w:pPr>
        <w:pStyle w:val="12"/>
        <w:spacing w:line="400" w:lineRule="exact"/>
        <w:rPr>
          <w:rFonts w:hint="eastAsia" w:ascii="宋体" w:hAnsi="宋体" w:cs="宋体"/>
          <w:sz w:val="21"/>
          <w:szCs w:val="21"/>
        </w:rPr>
      </w:pPr>
    </w:p>
    <w:p w14:paraId="50EC92A0">
      <w:pPr>
        <w:pStyle w:val="4"/>
        <w:spacing w:line="400" w:lineRule="exact"/>
        <w:jc w:val="center"/>
        <w:rPr>
          <w:rFonts w:hint="eastAsia" w:ascii="宋体" w:hAnsi="宋体" w:cs="宋体"/>
          <w:sz w:val="21"/>
          <w:szCs w:val="21"/>
        </w:rPr>
        <w:sectPr>
          <w:headerReference r:id="rId3" w:type="default"/>
          <w:footerReference r:id="rId4" w:type="default"/>
          <w:footnotePr>
            <w:numFmt w:val="decimalEnclosedCircleChinese"/>
          </w:footnotePr>
          <w:pgSz w:w="11906" w:h="16838"/>
          <w:pgMar w:top="1440" w:right="1803" w:bottom="1440" w:left="1803" w:header="851" w:footer="567" w:gutter="0"/>
          <w:pgNumType w:start="1"/>
          <w:cols w:space="720" w:num="1"/>
          <w:docGrid w:type="lines" w:linePitch="312" w:charSpace="0"/>
        </w:sectPr>
      </w:pPr>
    </w:p>
    <w:p w14:paraId="4147BF42">
      <w:pPr>
        <w:pStyle w:val="4"/>
        <w:tabs>
          <w:tab w:val="left" w:pos="0"/>
          <w:tab w:val="left" w:pos="3165"/>
          <w:tab w:val="center" w:pos="4153"/>
        </w:tabs>
        <w:autoSpaceDE w:val="0"/>
        <w:autoSpaceDN w:val="0"/>
        <w:adjustRightInd w:val="0"/>
        <w:spacing w:before="0" w:after="0" w:line="400" w:lineRule="exact"/>
        <w:jc w:val="center"/>
        <w:rPr>
          <w:rFonts w:hint="eastAsia" w:ascii="方正小标宋_GBK" w:hAnsi="方正小标宋_GBK" w:eastAsia="方正小标宋_GBK" w:cs="方正小标宋_GBK"/>
          <w:bCs w:val="0"/>
          <w:kern w:val="2"/>
          <w:sz w:val="21"/>
          <w:szCs w:val="21"/>
        </w:rPr>
      </w:pPr>
      <w:r>
        <w:rPr>
          <w:rFonts w:hint="eastAsia" w:ascii="方正小标宋_GBK" w:hAnsi="方正小标宋_GBK" w:eastAsia="方正小标宋_GBK" w:cs="方正小标宋_GBK"/>
          <w:bCs w:val="0"/>
          <w:kern w:val="2"/>
          <w:sz w:val="21"/>
          <w:szCs w:val="21"/>
        </w:rPr>
        <w:t>第二章  采购需求</w:t>
      </w:r>
      <w:bookmarkEnd w:id="12"/>
    </w:p>
    <w:p w14:paraId="1DA64008">
      <w:pPr>
        <w:adjustRightInd w:val="0"/>
        <w:spacing w:line="400" w:lineRule="exact"/>
        <w:ind w:firstLine="422" w:firstLineChars="200"/>
        <w:rPr>
          <w:rFonts w:hint="eastAsia" w:hAnsi="宋体"/>
          <w:b/>
          <w:szCs w:val="21"/>
        </w:rPr>
      </w:pPr>
      <w:bookmarkStart w:id="56" w:name="_Toc74320802"/>
      <w:r>
        <w:rPr>
          <w:rFonts w:hint="eastAsia" w:hAnsi="宋体"/>
          <w:b/>
          <w:szCs w:val="21"/>
        </w:rPr>
        <w:t>说明：</w:t>
      </w:r>
    </w:p>
    <w:p w14:paraId="33650E29">
      <w:pPr>
        <w:spacing w:line="40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1.为落实政府采购政策需满足的要求</w:t>
      </w:r>
    </w:p>
    <w:p w14:paraId="2F1D26D2">
      <w:pPr>
        <w:spacing w:line="40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（1）本招标文件所称中小企业必须符合《政府采购促进中小企业发展管理办法》（财库〔2020〕46号）的规定。</w:t>
      </w:r>
    </w:p>
    <w:p w14:paraId="28AB697C">
      <w:pPr>
        <w:spacing w:line="400" w:lineRule="exact"/>
        <w:ind w:firstLine="424" w:firstLineChars="20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中提供所投标产品的节能产品认证证书复印件（加盖投标人公章），</w:t>
      </w:r>
      <w:r>
        <w:rPr>
          <w:rFonts w:hint="eastAsia" w:asciiTheme="minorEastAsia" w:hAnsiTheme="minorEastAsia" w:eastAsiaTheme="minorEastAsia" w:cstheme="minorEastAsia"/>
          <w:b/>
          <w:bCs/>
          <w:szCs w:val="21"/>
        </w:rPr>
        <w:t>否则投标文件作无效处理</w:t>
      </w:r>
      <w:r>
        <w:rPr>
          <w:rFonts w:hint="eastAsia" w:asciiTheme="minorEastAsia" w:hAnsiTheme="minorEastAsia" w:eastAsiaTheme="minorEastAsia" w:cstheme="minorEastAsia"/>
          <w:szCs w:val="21"/>
        </w:rPr>
        <w:t>。如本项目包含的货物属于品目清单内非标注“★”的产品时，应优先采购，具体详见“第四章 评标方法及评标标准”（如有）。</w:t>
      </w:r>
    </w:p>
    <w:p w14:paraId="3310D82D">
      <w:pPr>
        <w:spacing w:line="400" w:lineRule="exact"/>
        <w:ind w:firstLine="424" w:firstLineChars="20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bCs/>
          <w:szCs w:val="21"/>
        </w:rPr>
        <w:t>根据国家互联网信息办公室、工业和信息化部、公安部、财政部、国家认证认可监督管理委员会《关于调整网络安全专用产品安全管理有关事项的公告》（2023 年1 号）、国家互联网信息办公室、工业和信息化部、公安部、国家认证认可监督管理委员会《关于调整《网络关键设备和网络安全专用产品目录》的公告》（2023年第2号）规定，本项目采购需求中的产品如果包括《网络关键设备和网络安全专用产品目录》的网络安全专用产品，产品须满足相关规定要求，否则投标无效</w:t>
      </w:r>
      <w:r>
        <w:rPr>
          <w:rFonts w:hint="eastAsia" w:asciiTheme="minorEastAsia" w:hAnsiTheme="minorEastAsia" w:eastAsiaTheme="minorEastAsia" w:cstheme="minorEastAsia"/>
          <w:szCs w:val="21"/>
        </w:rPr>
        <w:t>。</w:t>
      </w:r>
    </w:p>
    <w:p w14:paraId="45D34B25">
      <w:pPr>
        <w:spacing w:line="400" w:lineRule="exact"/>
        <w:ind w:firstLine="424" w:firstLineChars="20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2.“实质性要求”是指招标文件中已经指明不满足则投标无效的条款，或者不能负偏离的条款，或者采购需求中带“▲”的条款。</w:t>
      </w:r>
    </w:p>
    <w:p w14:paraId="325AE94C">
      <w:pPr>
        <w:spacing w:line="400" w:lineRule="exact"/>
        <w:ind w:firstLine="424" w:firstLineChars="20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服务项目中伴随货物的，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4C241B98">
      <w:pPr>
        <w:spacing w:line="400" w:lineRule="exact"/>
        <w:ind w:firstLine="424" w:firstLineChars="20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r>
        <w:rPr>
          <w:rFonts w:hint="eastAsia" w:asciiTheme="minorEastAsia" w:hAnsiTheme="minorEastAsia" w:eastAsiaTheme="minorEastAsia" w:cstheme="minorEastAsia"/>
        </w:rPr>
        <w:t>投标人必须自行为其投标产品侵犯他人的知识产权或者专利成果的行为承担相应法律责任。</w:t>
      </w:r>
    </w:p>
    <w:p w14:paraId="4CE58B1E">
      <w:pPr>
        <w:spacing w:line="400" w:lineRule="exact"/>
        <w:ind w:firstLine="422" w:firstLineChars="200"/>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5.本项目分标1、分标2、分标3、分标4的中小企业划分标准所属行业名称：软件和信息技术服务业；分标5中小企业划分标准所属行业名称：其他未列明行业。</w:t>
      </w:r>
    </w:p>
    <w:p w14:paraId="69C5078C">
      <w:pPr>
        <w:spacing w:line="400" w:lineRule="exact"/>
        <w:ind w:firstLine="422" w:firstLineChars="200"/>
        <w:jc w:val="left"/>
        <w:rPr>
          <w:rFonts w:hint="eastAsia" w:asciiTheme="minorEastAsia" w:hAnsiTheme="minorEastAsia" w:eastAsiaTheme="minorEastAsia" w:cstheme="minorEastAsia"/>
          <w:b/>
          <w:szCs w:val="21"/>
        </w:rPr>
        <w:sectPr>
          <w:footnotePr>
            <w:numFmt w:val="decimalEnclosedCircleChinese"/>
          </w:footnotePr>
          <w:pgSz w:w="11906" w:h="16838"/>
          <w:pgMar w:top="1440" w:right="1803" w:bottom="1440" w:left="1803" w:header="851" w:footer="992" w:gutter="0"/>
          <w:cols w:space="720" w:num="1"/>
          <w:docGrid w:type="lines" w:linePitch="312" w:charSpace="0"/>
        </w:sectPr>
      </w:pPr>
      <w:bookmarkStart w:id="57" w:name="OLE_LINK46"/>
      <w:r>
        <w:rPr>
          <w:rFonts w:hint="eastAsia" w:asciiTheme="minorEastAsia" w:hAnsiTheme="minorEastAsia" w:eastAsiaTheme="minorEastAsia" w:cstheme="minorEastAsia"/>
          <w:b/>
          <w:szCs w:val="21"/>
        </w:rPr>
        <w:t>特别说明：为保证项目服务的进度和质量，投标人可选择一个或多个分标参与竞标，但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bookmarkEnd w:id="57"/>
    </w:p>
    <w:p w14:paraId="4D0CD9AC">
      <w:pPr>
        <w:pStyle w:val="4"/>
        <w:rPr>
          <w:sz w:val="21"/>
          <w:szCs w:val="21"/>
        </w:rPr>
      </w:pPr>
      <w:r>
        <w:rPr>
          <w:rFonts w:hint="eastAsia"/>
          <w:sz w:val="21"/>
          <w:szCs w:val="21"/>
        </w:rPr>
        <w:t>1.分标1（A分标）：采购预算：378.45万元</w:t>
      </w:r>
    </w:p>
    <w:tbl>
      <w:tblPr>
        <w:tblStyle w:val="18"/>
        <w:tblW w:w="92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6"/>
        <w:gridCol w:w="992"/>
        <w:gridCol w:w="497"/>
        <w:gridCol w:w="495"/>
        <w:gridCol w:w="992"/>
        <w:gridCol w:w="5748"/>
      </w:tblGrid>
      <w:tr w14:paraId="1731D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230" w:type="dxa"/>
            <w:gridSpan w:val="6"/>
            <w:tcBorders>
              <w:top w:val="single" w:color="auto" w:sz="4" w:space="0"/>
              <w:left w:val="single" w:color="auto" w:sz="4" w:space="0"/>
              <w:bottom w:val="nil"/>
              <w:right w:val="single" w:color="auto" w:sz="4" w:space="0"/>
            </w:tcBorders>
            <w:vAlign w:val="center"/>
          </w:tcPr>
          <w:p w14:paraId="5DA69C86">
            <w:pPr>
              <w:spacing w:line="400" w:lineRule="exact"/>
              <w:jc w:val="center"/>
              <w:rPr>
                <w:rFonts w:hint="eastAsia" w:ascii="宋体" w:hAnsi="宋体" w:cs="宋体"/>
                <w:b/>
                <w:szCs w:val="21"/>
              </w:rPr>
            </w:pPr>
            <w:r>
              <w:rPr>
                <w:rFonts w:hint="eastAsia" w:ascii="宋体" w:hAnsi="宋体" w:cs="宋体"/>
                <w:b/>
                <w:szCs w:val="21"/>
              </w:rPr>
              <w:t>服务需求一览表</w:t>
            </w:r>
          </w:p>
        </w:tc>
      </w:tr>
      <w:tr w14:paraId="5667B1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06" w:type="dxa"/>
            <w:tcBorders>
              <w:top w:val="single" w:color="auto" w:sz="4" w:space="0"/>
              <w:left w:val="single" w:color="auto" w:sz="4" w:space="0"/>
              <w:bottom w:val="single" w:color="auto" w:sz="4" w:space="0"/>
              <w:right w:val="single" w:color="auto" w:sz="4" w:space="0"/>
            </w:tcBorders>
            <w:vAlign w:val="center"/>
          </w:tcPr>
          <w:p w14:paraId="31CB7D69">
            <w:pPr>
              <w:spacing w:line="400" w:lineRule="exact"/>
              <w:jc w:val="center"/>
              <w:rPr>
                <w:rFonts w:hint="eastAsia" w:ascii="宋体" w:hAnsi="宋体" w:cs="宋体"/>
                <w:szCs w:val="21"/>
              </w:rPr>
            </w:pPr>
            <w:r>
              <w:rPr>
                <w:rFonts w:hint="eastAsia" w:ascii="宋体" w:hAnsi="宋体" w:cs="宋体"/>
                <w:szCs w:val="21"/>
              </w:rPr>
              <w:t>序号</w:t>
            </w:r>
          </w:p>
        </w:tc>
        <w:tc>
          <w:tcPr>
            <w:tcW w:w="992" w:type="dxa"/>
            <w:tcBorders>
              <w:top w:val="single" w:color="auto" w:sz="4" w:space="0"/>
              <w:left w:val="single" w:color="auto" w:sz="4" w:space="0"/>
              <w:bottom w:val="single" w:color="auto" w:sz="4" w:space="0"/>
              <w:right w:val="single" w:color="auto" w:sz="4" w:space="0"/>
            </w:tcBorders>
            <w:vAlign w:val="center"/>
          </w:tcPr>
          <w:p w14:paraId="22899BF6">
            <w:pPr>
              <w:spacing w:line="400" w:lineRule="exact"/>
              <w:jc w:val="center"/>
              <w:rPr>
                <w:rFonts w:hint="eastAsia" w:ascii="宋体" w:hAnsi="宋体" w:cs="宋体"/>
                <w:szCs w:val="21"/>
              </w:rPr>
            </w:pPr>
            <w:r>
              <w:rPr>
                <w:rFonts w:hint="eastAsia" w:ascii="宋体" w:hAnsi="宋体" w:cs="宋体"/>
                <w:szCs w:val="21"/>
              </w:rPr>
              <w:t>标的名称</w:t>
            </w: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2D3872E0">
            <w:pPr>
              <w:spacing w:line="400" w:lineRule="exact"/>
              <w:jc w:val="center"/>
              <w:rPr>
                <w:rFonts w:hint="eastAsia" w:ascii="宋体" w:hAnsi="宋体" w:cs="宋体"/>
                <w:szCs w:val="21"/>
              </w:rPr>
            </w:pPr>
            <w:r>
              <w:rPr>
                <w:rFonts w:hint="eastAsia" w:ascii="宋体" w:hAnsi="宋体" w:cs="宋体"/>
                <w:szCs w:val="21"/>
              </w:rPr>
              <w:t>建设</w:t>
            </w:r>
          </w:p>
          <w:p w14:paraId="49BEC292">
            <w:pPr>
              <w:spacing w:line="400" w:lineRule="exact"/>
              <w:jc w:val="center"/>
              <w:rPr>
                <w:rFonts w:hint="eastAsia" w:ascii="宋体" w:hAnsi="宋体" w:cs="宋体"/>
                <w:szCs w:val="21"/>
              </w:rPr>
            </w:pPr>
            <w:r>
              <w:rPr>
                <w:rFonts w:hint="eastAsia" w:ascii="宋体" w:hAnsi="宋体" w:cs="宋体"/>
                <w:szCs w:val="21"/>
              </w:rPr>
              <w:t>内容</w:t>
            </w:r>
          </w:p>
        </w:tc>
        <w:tc>
          <w:tcPr>
            <w:tcW w:w="992" w:type="dxa"/>
            <w:tcBorders>
              <w:top w:val="single" w:color="auto" w:sz="4" w:space="0"/>
              <w:left w:val="single" w:color="auto" w:sz="4" w:space="0"/>
              <w:bottom w:val="single" w:color="auto" w:sz="4" w:space="0"/>
              <w:right w:val="single" w:color="auto" w:sz="4" w:space="0"/>
            </w:tcBorders>
            <w:vAlign w:val="center"/>
          </w:tcPr>
          <w:p w14:paraId="35F7DD08">
            <w:pPr>
              <w:spacing w:line="400" w:lineRule="exact"/>
              <w:jc w:val="center"/>
              <w:rPr>
                <w:rFonts w:hint="eastAsia" w:ascii="宋体" w:hAnsi="宋体" w:cs="宋体"/>
                <w:szCs w:val="21"/>
              </w:rPr>
            </w:pPr>
            <w:r>
              <w:rPr>
                <w:rFonts w:hint="eastAsia" w:ascii="宋体" w:hAnsi="宋体" w:cs="宋体"/>
                <w:szCs w:val="21"/>
              </w:rPr>
              <w:t>数量及</w:t>
            </w:r>
          </w:p>
          <w:p w14:paraId="3DB33952">
            <w:pPr>
              <w:spacing w:line="400" w:lineRule="exact"/>
              <w:jc w:val="center"/>
              <w:rPr>
                <w:rFonts w:hint="eastAsia" w:ascii="宋体" w:hAnsi="宋体" w:cs="宋体"/>
                <w:szCs w:val="21"/>
              </w:rPr>
            </w:pPr>
            <w:r>
              <w:rPr>
                <w:rFonts w:hint="eastAsia" w:ascii="宋体" w:hAnsi="宋体" w:cs="宋体"/>
                <w:szCs w:val="21"/>
              </w:rPr>
              <w:t>单位</w:t>
            </w:r>
          </w:p>
        </w:tc>
        <w:tc>
          <w:tcPr>
            <w:tcW w:w="5748" w:type="dxa"/>
            <w:tcBorders>
              <w:top w:val="single" w:color="auto" w:sz="4" w:space="0"/>
              <w:left w:val="single" w:color="auto" w:sz="4" w:space="0"/>
              <w:bottom w:val="single" w:color="auto" w:sz="4" w:space="0"/>
              <w:right w:val="single" w:color="auto" w:sz="4" w:space="0"/>
            </w:tcBorders>
            <w:vAlign w:val="center"/>
          </w:tcPr>
          <w:p w14:paraId="216D80FA">
            <w:pPr>
              <w:spacing w:line="400" w:lineRule="exact"/>
              <w:jc w:val="center"/>
              <w:rPr>
                <w:rFonts w:hint="eastAsia" w:ascii="宋体" w:hAnsi="宋体" w:cs="宋体"/>
                <w:szCs w:val="21"/>
              </w:rPr>
            </w:pPr>
            <w:r>
              <w:rPr>
                <w:rFonts w:hint="eastAsia" w:ascii="宋体" w:hAnsi="宋体" w:cs="宋体"/>
                <w:szCs w:val="21"/>
              </w:rPr>
              <w:t>服务需求</w:t>
            </w:r>
          </w:p>
        </w:tc>
      </w:tr>
      <w:tr w14:paraId="13B4C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506" w:type="dxa"/>
            <w:tcBorders>
              <w:top w:val="single" w:color="auto" w:sz="4" w:space="0"/>
              <w:left w:val="single" w:color="auto" w:sz="4" w:space="0"/>
              <w:bottom w:val="single" w:color="auto" w:sz="4" w:space="0"/>
              <w:right w:val="single" w:color="auto" w:sz="4" w:space="0"/>
            </w:tcBorders>
            <w:vAlign w:val="center"/>
          </w:tcPr>
          <w:p w14:paraId="7101828B">
            <w:pPr>
              <w:spacing w:line="400" w:lineRule="exact"/>
              <w:jc w:val="center"/>
              <w:rPr>
                <w:rFonts w:hint="eastAsia" w:ascii="宋体" w:hAnsi="宋体" w:cs="宋体"/>
                <w:szCs w:val="21"/>
              </w:rPr>
            </w:pPr>
            <w:r>
              <w:rPr>
                <w:rFonts w:hint="eastAsia" w:ascii="宋体" w:hAnsi="宋体" w:cs="宋体"/>
                <w:szCs w:val="21"/>
              </w:rPr>
              <w:t>1</w:t>
            </w:r>
          </w:p>
        </w:tc>
        <w:tc>
          <w:tcPr>
            <w:tcW w:w="992" w:type="dxa"/>
            <w:tcBorders>
              <w:top w:val="single" w:color="auto" w:sz="4" w:space="0"/>
              <w:left w:val="single" w:color="auto" w:sz="4" w:space="0"/>
              <w:bottom w:val="single" w:color="auto" w:sz="4" w:space="0"/>
              <w:right w:val="single" w:color="auto" w:sz="4" w:space="0"/>
            </w:tcBorders>
            <w:vAlign w:val="center"/>
          </w:tcPr>
          <w:p w14:paraId="6ED1C9D9">
            <w:pPr>
              <w:spacing w:line="400" w:lineRule="exact"/>
              <w:jc w:val="center"/>
              <w:rPr>
                <w:rFonts w:hint="eastAsia" w:ascii="宋体" w:hAnsi="宋体" w:cs="宋体"/>
                <w:szCs w:val="21"/>
              </w:rPr>
            </w:pPr>
            <w:r>
              <w:rPr>
                <w:rFonts w:hint="eastAsia" w:ascii="宋体" w:hAnsi="宋体" w:cs="宋体"/>
                <w:szCs w:val="21"/>
              </w:rPr>
              <w:t>广西生态环境信息化建设项目（</w:t>
            </w:r>
            <w:r>
              <w:rPr>
                <w:rFonts w:ascii="宋体" w:hAnsi="宋体" w:cs="宋体"/>
                <w:szCs w:val="21"/>
              </w:rPr>
              <w:t>A分标</w:t>
            </w:r>
            <w:r>
              <w:rPr>
                <w:rFonts w:hint="eastAsia" w:ascii="宋体" w:hAnsi="宋体" w:cs="宋体"/>
                <w:szCs w:val="21"/>
              </w:rPr>
              <w:t>）</w:t>
            </w: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4F17A2C8">
            <w:pPr>
              <w:spacing w:line="400" w:lineRule="exact"/>
              <w:jc w:val="center"/>
              <w:rPr>
                <w:rFonts w:hint="eastAsia" w:ascii="宋体" w:hAnsi="宋体" w:cs="宋体"/>
                <w:szCs w:val="21"/>
              </w:rPr>
            </w:pPr>
            <w:r>
              <w:rPr>
                <w:rFonts w:ascii="宋体" w:hAnsi="宋体" w:cs="宋体"/>
                <w:szCs w:val="21"/>
              </w:rPr>
              <w:t>广西核与辐射监管应急指挥应用(广西核应急指挥应用、广西辐射安全监管应用</w:t>
            </w:r>
            <w:r>
              <w:rPr>
                <w:rFonts w:hint="eastAsia" w:ascii="宋体" w:hAnsi="宋体" w:cs="宋体"/>
                <w:szCs w:val="21"/>
              </w:rPr>
              <w:t>）</w:t>
            </w:r>
          </w:p>
        </w:tc>
        <w:tc>
          <w:tcPr>
            <w:tcW w:w="992" w:type="dxa"/>
            <w:tcBorders>
              <w:top w:val="single" w:color="auto" w:sz="4" w:space="0"/>
              <w:left w:val="single" w:color="auto" w:sz="4" w:space="0"/>
              <w:bottom w:val="single" w:color="auto" w:sz="4" w:space="0"/>
              <w:right w:val="single" w:color="auto" w:sz="4" w:space="0"/>
            </w:tcBorders>
            <w:vAlign w:val="center"/>
          </w:tcPr>
          <w:p w14:paraId="01C5D008">
            <w:pPr>
              <w:spacing w:line="400" w:lineRule="exact"/>
              <w:jc w:val="center"/>
              <w:rPr>
                <w:rFonts w:hint="eastAsia" w:ascii="宋体" w:hAnsi="宋体" w:cs="宋体"/>
                <w:szCs w:val="21"/>
              </w:rPr>
            </w:pPr>
            <w:r>
              <w:rPr>
                <w:rFonts w:hint="eastAsia" w:ascii="宋体" w:hAnsi="宋体" w:cs="宋体"/>
                <w:szCs w:val="21"/>
              </w:rPr>
              <w:t>1项</w:t>
            </w:r>
          </w:p>
        </w:tc>
        <w:tc>
          <w:tcPr>
            <w:tcW w:w="5748" w:type="dxa"/>
            <w:tcBorders>
              <w:top w:val="single" w:color="auto" w:sz="4" w:space="0"/>
              <w:left w:val="single" w:color="auto" w:sz="4" w:space="0"/>
              <w:bottom w:val="single" w:color="auto" w:sz="4" w:space="0"/>
              <w:right w:val="single" w:color="auto" w:sz="4" w:space="0"/>
            </w:tcBorders>
            <w:vAlign w:val="center"/>
          </w:tcPr>
          <w:p w14:paraId="4BDC057E">
            <w:pPr>
              <w:spacing w:line="400" w:lineRule="exact"/>
              <w:rPr>
                <w:rFonts w:hint="eastAsia" w:ascii="宋体" w:hAnsi="宋体" w:cs="宋体"/>
                <w:szCs w:val="21"/>
              </w:rPr>
            </w:pPr>
            <w:r>
              <w:rPr>
                <w:rFonts w:ascii="宋体" w:hAnsi="宋体" w:cs="宋体"/>
                <w:szCs w:val="21"/>
              </w:rPr>
              <w:t>一、广西核应急指挥应用升级改造</w:t>
            </w:r>
          </w:p>
          <w:p w14:paraId="3469378A">
            <w:pPr>
              <w:spacing w:line="400" w:lineRule="exact"/>
              <w:rPr>
                <w:rFonts w:hint="eastAsia" w:ascii="宋体" w:hAnsi="宋体" w:cs="宋体"/>
                <w:szCs w:val="21"/>
              </w:rPr>
            </w:pPr>
            <w:r>
              <w:rPr>
                <w:rFonts w:ascii="宋体" w:hAnsi="宋体" w:cs="宋体"/>
                <w:szCs w:val="21"/>
              </w:rPr>
              <w:t>▲（一）总体要求</w:t>
            </w:r>
          </w:p>
          <w:p w14:paraId="61BDD633">
            <w:pPr>
              <w:spacing w:line="400" w:lineRule="exact"/>
              <w:rPr>
                <w:rFonts w:hint="eastAsia" w:ascii="宋体" w:hAnsi="宋体" w:cs="宋体"/>
                <w:szCs w:val="21"/>
              </w:rPr>
            </w:pPr>
            <w:bookmarkStart w:id="58" w:name="OLE_LINK5"/>
            <w:r>
              <w:rPr>
                <w:rFonts w:hint="eastAsia" w:ascii="宋体" w:hAnsi="宋体" w:cs="宋体"/>
                <w:szCs w:val="21"/>
              </w:rPr>
              <w:t>应用需</w:t>
            </w:r>
            <w:r>
              <w:rPr>
                <w:rFonts w:ascii="宋体" w:hAnsi="宋体" w:cs="宋体"/>
                <w:szCs w:val="21"/>
              </w:rPr>
              <w:t>按照广西生态环境业务应用系统的总体架构要求</w:t>
            </w:r>
            <w:r>
              <w:rPr>
                <w:rFonts w:hint="eastAsia" w:ascii="宋体" w:hAnsi="宋体" w:cs="宋体"/>
                <w:szCs w:val="21"/>
              </w:rPr>
              <w:t>进行国产技术栈</w:t>
            </w:r>
            <w:r>
              <w:rPr>
                <w:rFonts w:ascii="宋体" w:hAnsi="宋体" w:cs="宋体"/>
                <w:szCs w:val="21"/>
              </w:rPr>
              <w:t>改造，利用</w:t>
            </w:r>
            <w:r>
              <w:rPr>
                <w:rFonts w:hint="eastAsia" w:ascii="宋体" w:hAnsi="宋体" w:cs="宋体"/>
                <w:szCs w:val="21"/>
              </w:rPr>
              <w:t>广西“生态云”统一支撑平台</w:t>
            </w:r>
            <w:r>
              <w:rPr>
                <w:rFonts w:ascii="宋体" w:hAnsi="宋体" w:cs="宋体"/>
                <w:szCs w:val="21"/>
              </w:rPr>
              <w:t>的云原生框架能力和工具，以微服务模块的方式将应用功能集成到广西生态环境业务应用系统中</w:t>
            </w:r>
            <w:bookmarkEnd w:id="58"/>
            <w:r>
              <w:rPr>
                <w:rFonts w:ascii="宋体" w:hAnsi="宋体" w:cs="宋体"/>
                <w:szCs w:val="21"/>
              </w:rPr>
              <w:t>，支持将系统的分析数据、展示内容推送到广西生态云应用中，视频监控摄像头应支持接入统一技术平台。</w:t>
            </w:r>
          </w:p>
          <w:p w14:paraId="5D0268DC">
            <w:pPr>
              <w:spacing w:line="400" w:lineRule="exact"/>
              <w:rPr>
                <w:rFonts w:hint="eastAsia" w:ascii="宋体" w:hAnsi="宋体" w:cs="宋体"/>
                <w:szCs w:val="21"/>
              </w:rPr>
            </w:pPr>
            <w:r>
              <w:rPr>
                <w:rFonts w:ascii="宋体" w:hAnsi="宋体" w:cs="宋体"/>
                <w:szCs w:val="21"/>
              </w:rPr>
              <w:t>▲（二）系统功能重构</w:t>
            </w:r>
          </w:p>
          <w:p w14:paraId="42E6E8D9">
            <w:pPr>
              <w:spacing w:line="400" w:lineRule="exact"/>
              <w:rPr>
                <w:rFonts w:hint="eastAsia" w:ascii="宋体" w:hAnsi="宋体" w:cs="宋体"/>
                <w:szCs w:val="21"/>
              </w:rPr>
            </w:pPr>
            <w:r>
              <w:rPr>
                <w:rFonts w:ascii="宋体" w:hAnsi="宋体" w:cs="宋体"/>
                <w:szCs w:val="21"/>
              </w:rPr>
              <w:t>主要包含但不限于下列各项功能：</w:t>
            </w:r>
          </w:p>
          <w:p w14:paraId="3A22BDE9">
            <w:pPr>
              <w:spacing w:line="400" w:lineRule="exact"/>
              <w:rPr>
                <w:rFonts w:hint="eastAsia" w:ascii="宋体" w:hAnsi="宋体" w:cs="宋体"/>
                <w:szCs w:val="21"/>
              </w:rPr>
            </w:pPr>
            <w:r>
              <w:rPr>
                <w:rFonts w:ascii="宋体" w:hAnsi="宋体" w:cs="宋体"/>
                <w:szCs w:val="21"/>
              </w:rPr>
              <w:t>1.日常数据管理</w:t>
            </w:r>
          </w:p>
          <w:p w14:paraId="40E3A14D">
            <w:pPr>
              <w:spacing w:line="400" w:lineRule="exact"/>
              <w:rPr>
                <w:rFonts w:hint="eastAsia" w:ascii="宋体" w:hAnsi="宋体" w:cs="宋体"/>
                <w:szCs w:val="21"/>
              </w:rPr>
            </w:pPr>
            <w:r>
              <w:rPr>
                <w:rFonts w:ascii="宋体" w:hAnsi="宋体" w:cs="宋体"/>
                <w:szCs w:val="21"/>
              </w:rPr>
              <w:t>实现对核设施数据、应急组织数据、应急岗位数据、应急人员数据、应急预案数据、岗位卡数据、应急资源数据、辐射监测数据、气象观测历史数据、系统日志数据等数据的管理。</w:t>
            </w:r>
          </w:p>
          <w:p w14:paraId="57F8873E">
            <w:pPr>
              <w:spacing w:line="400" w:lineRule="exact"/>
              <w:rPr>
                <w:rFonts w:hint="eastAsia" w:ascii="宋体" w:hAnsi="宋体" w:cs="宋体"/>
                <w:szCs w:val="21"/>
              </w:rPr>
            </w:pPr>
            <w:r>
              <w:rPr>
                <w:rFonts w:ascii="宋体" w:hAnsi="宋体" w:cs="宋体"/>
                <w:szCs w:val="21"/>
              </w:rPr>
              <w:t>2.应急值班值守</w:t>
            </w:r>
          </w:p>
          <w:p w14:paraId="385BEF12">
            <w:pPr>
              <w:spacing w:line="400" w:lineRule="exact"/>
              <w:rPr>
                <w:rFonts w:hint="eastAsia" w:ascii="宋体" w:hAnsi="宋体" w:cs="宋体"/>
                <w:szCs w:val="21"/>
              </w:rPr>
            </w:pPr>
            <w:r>
              <w:rPr>
                <w:rFonts w:ascii="宋体" w:hAnsi="宋体" w:cs="宋体"/>
                <w:szCs w:val="21"/>
              </w:rPr>
              <w:t>包含应急组织架构管理、岗位管理、组织关系管理、应急人员管理、应急值班排班管理（值班表管理、排班表管理）、异常事件记录管理、电子签到（电子签到设置、签到开启/关闭、电子签到、签到分析）等。</w:t>
            </w:r>
          </w:p>
          <w:p w14:paraId="0385B34D">
            <w:pPr>
              <w:spacing w:line="400" w:lineRule="exact"/>
              <w:rPr>
                <w:rFonts w:hint="eastAsia" w:ascii="宋体" w:hAnsi="宋体" w:cs="宋体"/>
                <w:szCs w:val="21"/>
              </w:rPr>
            </w:pPr>
            <w:r>
              <w:rPr>
                <w:rFonts w:ascii="宋体" w:hAnsi="宋体" w:cs="宋体"/>
                <w:szCs w:val="21"/>
              </w:rPr>
              <w:t>3.应急资源管理</w:t>
            </w:r>
          </w:p>
          <w:p w14:paraId="758577CF">
            <w:pPr>
              <w:spacing w:line="400" w:lineRule="exact"/>
              <w:rPr>
                <w:rFonts w:hint="eastAsia" w:ascii="宋体" w:hAnsi="宋体" w:cs="宋体"/>
                <w:szCs w:val="21"/>
              </w:rPr>
            </w:pPr>
            <w:r>
              <w:rPr>
                <w:rFonts w:ascii="宋体" w:hAnsi="宋体" w:cs="宋体"/>
                <w:szCs w:val="21"/>
              </w:rPr>
              <w:t>（1）核应急资源类别管理：资源类别新增、资源类别编辑、资源列表删除等。</w:t>
            </w:r>
          </w:p>
          <w:p w14:paraId="04E32539">
            <w:pPr>
              <w:spacing w:line="400" w:lineRule="exact"/>
              <w:rPr>
                <w:rFonts w:hint="eastAsia" w:ascii="宋体" w:hAnsi="宋体" w:cs="宋体"/>
                <w:szCs w:val="21"/>
              </w:rPr>
            </w:pPr>
            <w:r>
              <w:rPr>
                <w:rFonts w:ascii="宋体" w:hAnsi="宋体" w:cs="宋体"/>
                <w:szCs w:val="21"/>
              </w:rPr>
              <w:t>（2）核应急资源全流程管理：资源需求规划、资源需求方案、资源配置、资源调度、资源使用监控、资源处置、资源记录等。</w:t>
            </w:r>
          </w:p>
          <w:p w14:paraId="218667DB">
            <w:pPr>
              <w:spacing w:line="400" w:lineRule="exact"/>
              <w:rPr>
                <w:rFonts w:hint="eastAsia" w:ascii="宋体" w:hAnsi="宋体" w:cs="宋体"/>
                <w:szCs w:val="21"/>
              </w:rPr>
            </w:pPr>
            <w:r>
              <w:rPr>
                <w:rFonts w:ascii="宋体" w:hAnsi="宋体" w:cs="宋体"/>
                <w:szCs w:val="21"/>
              </w:rPr>
              <w:t>（3）核应急专家库管理</w:t>
            </w:r>
          </w:p>
          <w:p w14:paraId="447E50A2">
            <w:pPr>
              <w:spacing w:line="400" w:lineRule="exact"/>
              <w:rPr>
                <w:rFonts w:hint="eastAsia" w:ascii="宋体" w:hAnsi="宋体" w:cs="宋体"/>
                <w:szCs w:val="21"/>
              </w:rPr>
            </w:pPr>
            <w:r>
              <w:rPr>
                <w:rFonts w:ascii="宋体" w:hAnsi="宋体" w:cs="宋体"/>
                <w:szCs w:val="21"/>
              </w:rPr>
              <w:t>（4）核应急电子文档库</w:t>
            </w:r>
          </w:p>
          <w:p w14:paraId="18E6DF53">
            <w:pPr>
              <w:spacing w:line="400" w:lineRule="exact"/>
              <w:rPr>
                <w:rFonts w:hint="eastAsia" w:ascii="宋体" w:hAnsi="宋体" w:cs="宋体"/>
                <w:szCs w:val="21"/>
              </w:rPr>
            </w:pPr>
            <w:r>
              <w:rPr>
                <w:rFonts w:ascii="宋体" w:hAnsi="宋体" w:cs="宋体"/>
                <w:szCs w:val="21"/>
              </w:rPr>
              <w:t>（5）核应急知识库管理</w:t>
            </w:r>
          </w:p>
          <w:p w14:paraId="19F669BB">
            <w:pPr>
              <w:spacing w:line="400" w:lineRule="exact"/>
              <w:rPr>
                <w:rFonts w:hint="eastAsia" w:ascii="宋体" w:hAnsi="宋体" w:cs="宋体"/>
                <w:szCs w:val="21"/>
              </w:rPr>
            </w:pPr>
            <w:r>
              <w:rPr>
                <w:rFonts w:ascii="宋体" w:hAnsi="宋体" w:cs="宋体"/>
                <w:szCs w:val="21"/>
              </w:rPr>
              <w:t>4.数据监测、监控和异常报警。</w:t>
            </w:r>
          </w:p>
          <w:p w14:paraId="232A6604">
            <w:pPr>
              <w:spacing w:line="400" w:lineRule="exact"/>
              <w:rPr>
                <w:rFonts w:hint="eastAsia" w:ascii="宋体" w:hAnsi="宋体" w:cs="宋体"/>
                <w:szCs w:val="21"/>
              </w:rPr>
            </w:pPr>
            <w:r>
              <w:rPr>
                <w:rFonts w:ascii="宋体" w:hAnsi="宋体" w:cs="宋体"/>
                <w:szCs w:val="21"/>
              </w:rPr>
              <w:t>（1）核电厂工况监控及报警：实时数据采集、阈值管理、异常报警、报警统计分析等。</w:t>
            </w:r>
          </w:p>
          <w:p w14:paraId="26324EC1">
            <w:pPr>
              <w:spacing w:line="400" w:lineRule="exact"/>
              <w:rPr>
                <w:rFonts w:hint="eastAsia" w:ascii="宋体" w:hAnsi="宋体" w:cs="宋体"/>
                <w:szCs w:val="21"/>
              </w:rPr>
            </w:pPr>
            <w:r>
              <w:rPr>
                <w:rFonts w:ascii="宋体" w:hAnsi="宋体" w:cs="宋体"/>
                <w:szCs w:val="21"/>
              </w:rPr>
              <w:t>（2）环境辐射监测数据监控及报警：实时数据采集、统计与分析、阈值管理、报警提示与通知、报警处理与记录等。</w:t>
            </w:r>
          </w:p>
          <w:p w14:paraId="04BE5C8F">
            <w:pPr>
              <w:spacing w:line="400" w:lineRule="exact"/>
              <w:rPr>
                <w:rFonts w:hint="eastAsia" w:ascii="宋体" w:hAnsi="宋体" w:cs="宋体"/>
                <w:szCs w:val="21"/>
              </w:rPr>
            </w:pPr>
            <w:r>
              <w:rPr>
                <w:rFonts w:ascii="宋体" w:hAnsi="宋体" w:cs="宋体"/>
                <w:szCs w:val="21"/>
              </w:rPr>
              <w:t>（3）现场视频监控：实时显示、历史回放、网格显示、全屏显示、退出全屏等。</w:t>
            </w:r>
          </w:p>
          <w:p w14:paraId="6BBE1BB8">
            <w:pPr>
              <w:spacing w:line="400" w:lineRule="exact"/>
              <w:rPr>
                <w:rFonts w:hint="eastAsia" w:ascii="宋体" w:hAnsi="宋体" w:cs="宋体"/>
                <w:szCs w:val="21"/>
              </w:rPr>
            </w:pPr>
            <w:r>
              <w:rPr>
                <w:rFonts w:ascii="宋体" w:hAnsi="宋体" w:cs="宋体"/>
                <w:szCs w:val="21"/>
              </w:rPr>
              <w:t>（4）现场态势信息接收及报警：态势信息接收、智能统计与分析、异常预警等。</w:t>
            </w:r>
          </w:p>
          <w:p w14:paraId="2DEFEBAB">
            <w:pPr>
              <w:spacing w:line="400" w:lineRule="exact"/>
              <w:rPr>
                <w:rFonts w:hint="eastAsia" w:ascii="宋体" w:hAnsi="宋体" w:cs="宋体"/>
                <w:szCs w:val="21"/>
              </w:rPr>
            </w:pPr>
            <w:r>
              <w:rPr>
                <w:rFonts w:ascii="宋体" w:hAnsi="宋体" w:cs="宋体"/>
                <w:szCs w:val="21"/>
              </w:rPr>
              <w:t>5.地理信息</w:t>
            </w:r>
          </w:p>
          <w:p w14:paraId="799CCA7D">
            <w:pPr>
              <w:spacing w:line="400" w:lineRule="exact"/>
              <w:rPr>
                <w:rFonts w:hint="eastAsia" w:ascii="宋体" w:hAnsi="宋体" w:cs="宋体"/>
                <w:szCs w:val="21"/>
              </w:rPr>
            </w:pPr>
            <w:r>
              <w:rPr>
                <w:rFonts w:ascii="宋体" w:hAnsi="宋体" w:cs="宋体"/>
                <w:szCs w:val="21"/>
              </w:rPr>
              <w:t>（1）地理信息系统通用功能：图层管理、图层切换、图例显示、地图输出及打印等。</w:t>
            </w:r>
          </w:p>
          <w:p w14:paraId="25F2B9F2">
            <w:pPr>
              <w:spacing w:line="400" w:lineRule="exact"/>
              <w:rPr>
                <w:rFonts w:hint="eastAsia" w:ascii="宋体" w:hAnsi="宋体" w:cs="宋体"/>
                <w:szCs w:val="21"/>
              </w:rPr>
            </w:pPr>
            <w:r>
              <w:rPr>
                <w:rFonts w:ascii="宋体" w:hAnsi="宋体" w:cs="宋体"/>
                <w:szCs w:val="21"/>
              </w:rPr>
              <w:t>（2）专题地理信息及其可视化方式：核电厂工况数据、环境辐射监测数据、气象观测数据、视频监控图像、现场态势、应急资源、评价决策数据、事故后果评价结果渲染等。</w:t>
            </w:r>
          </w:p>
          <w:p w14:paraId="17BAC8A6">
            <w:pPr>
              <w:spacing w:line="400" w:lineRule="exact"/>
              <w:rPr>
                <w:rFonts w:hint="eastAsia" w:ascii="宋体" w:hAnsi="宋体" w:cs="宋体"/>
                <w:szCs w:val="21"/>
              </w:rPr>
            </w:pPr>
            <w:r>
              <w:rPr>
                <w:rFonts w:ascii="宋体" w:hAnsi="宋体" w:cs="宋体"/>
                <w:szCs w:val="21"/>
              </w:rPr>
              <w:t>6.应急指挥协同</w:t>
            </w:r>
          </w:p>
          <w:p w14:paraId="35C33254">
            <w:pPr>
              <w:spacing w:line="400" w:lineRule="exact"/>
              <w:rPr>
                <w:rFonts w:hint="eastAsia" w:ascii="宋体" w:hAnsi="宋体" w:cs="宋体"/>
                <w:szCs w:val="21"/>
              </w:rPr>
            </w:pPr>
            <w:r>
              <w:rPr>
                <w:rFonts w:ascii="宋体" w:hAnsi="宋体" w:cs="宋体"/>
                <w:szCs w:val="21"/>
              </w:rPr>
              <w:t>（1）应急预案管理及行动指引:预案分解及指引卡生成、资源入口绑定、通信入口绑定、文书模板绑定、流程记录等。</w:t>
            </w:r>
          </w:p>
          <w:p w14:paraId="0D044F91">
            <w:pPr>
              <w:spacing w:line="400" w:lineRule="exact"/>
              <w:rPr>
                <w:rFonts w:hint="eastAsia" w:ascii="宋体" w:hAnsi="宋体" w:cs="宋体"/>
                <w:szCs w:val="21"/>
              </w:rPr>
            </w:pPr>
            <w:r>
              <w:rPr>
                <w:rFonts w:ascii="宋体" w:hAnsi="宋体" w:cs="宋体"/>
                <w:szCs w:val="21"/>
              </w:rPr>
              <w:t>（2）通信交换融合：通信终端、通信方式等。</w:t>
            </w:r>
          </w:p>
          <w:p w14:paraId="1CD4F2B4">
            <w:pPr>
              <w:spacing w:line="400" w:lineRule="exact"/>
              <w:rPr>
                <w:rFonts w:hint="eastAsia" w:ascii="宋体" w:hAnsi="宋体" w:cs="宋体"/>
                <w:szCs w:val="21"/>
              </w:rPr>
            </w:pPr>
            <w:r>
              <w:rPr>
                <w:rFonts w:ascii="宋体" w:hAnsi="宋体" w:cs="宋体"/>
                <w:szCs w:val="21"/>
              </w:rPr>
              <w:t>（3）任务制定分发：任务制定、任务编辑、任务分发、任务执行跟踪、任务执行反馈、任务统计等。</w:t>
            </w:r>
          </w:p>
          <w:p w14:paraId="5933389B">
            <w:pPr>
              <w:spacing w:line="400" w:lineRule="exact"/>
              <w:rPr>
                <w:rFonts w:hint="eastAsia" w:ascii="宋体" w:hAnsi="宋体" w:cs="宋体"/>
                <w:szCs w:val="21"/>
              </w:rPr>
            </w:pPr>
            <w:r>
              <w:rPr>
                <w:rFonts w:ascii="宋体" w:hAnsi="宋体" w:cs="宋体"/>
                <w:szCs w:val="21"/>
              </w:rPr>
              <w:t>（4）现场行动汇总监控：数据接收汇总、数据分类、数据查询、数据记录与导出等。</w:t>
            </w:r>
          </w:p>
          <w:p w14:paraId="772A921B">
            <w:pPr>
              <w:spacing w:line="400" w:lineRule="exact"/>
              <w:rPr>
                <w:rFonts w:hint="eastAsia" w:ascii="宋体" w:hAnsi="宋体" w:cs="宋体"/>
                <w:szCs w:val="21"/>
              </w:rPr>
            </w:pPr>
            <w:r>
              <w:rPr>
                <w:rFonts w:ascii="宋体" w:hAnsi="宋体" w:cs="宋体"/>
                <w:szCs w:val="21"/>
              </w:rPr>
              <w:t>（5）文书传递：自动传真收发、文书流转、信息发布等。</w:t>
            </w:r>
          </w:p>
          <w:p w14:paraId="5144C053">
            <w:pPr>
              <w:spacing w:line="400" w:lineRule="exact"/>
              <w:rPr>
                <w:rFonts w:hint="eastAsia" w:ascii="宋体" w:hAnsi="宋体" w:cs="宋体"/>
                <w:szCs w:val="21"/>
              </w:rPr>
            </w:pPr>
            <w:r>
              <w:rPr>
                <w:rFonts w:ascii="宋体" w:hAnsi="宋体" w:cs="宋体"/>
                <w:szCs w:val="21"/>
              </w:rPr>
              <w:t>7.响应行动支撑</w:t>
            </w:r>
          </w:p>
          <w:p w14:paraId="3085A962">
            <w:pPr>
              <w:spacing w:line="400" w:lineRule="exact"/>
              <w:rPr>
                <w:rFonts w:hint="eastAsia" w:ascii="宋体" w:hAnsi="宋体" w:cs="宋体"/>
                <w:szCs w:val="21"/>
              </w:rPr>
            </w:pPr>
            <w:r>
              <w:rPr>
                <w:rFonts w:ascii="宋体" w:hAnsi="宋体" w:cs="宋体"/>
                <w:szCs w:val="21"/>
              </w:rPr>
              <w:t>（1）岗位行动指引：操作步骤分解、时间要求、风险提示、责任分工、紧急联系方式、紧急联系人设置等。</w:t>
            </w:r>
          </w:p>
          <w:p w14:paraId="42138C60">
            <w:pPr>
              <w:spacing w:line="400" w:lineRule="exact"/>
              <w:rPr>
                <w:rFonts w:hint="eastAsia" w:ascii="宋体" w:hAnsi="宋体" w:cs="宋体"/>
                <w:szCs w:val="21"/>
              </w:rPr>
            </w:pPr>
            <w:r>
              <w:rPr>
                <w:rFonts w:ascii="宋体" w:hAnsi="宋体" w:cs="宋体"/>
                <w:szCs w:val="21"/>
              </w:rPr>
              <w:t>（2）现场态势采集上报:态势信息上报、态势信息审批、态势信息编辑、态势信息删除等。</w:t>
            </w:r>
          </w:p>
          <w:p w14:paraId="1846AA48">
            <w:pPr>
              <w:spacing w:line="400" w:lineRule="exact"/>
              <w:rPr>
                <w:rFonts w:hint="eastAsia" w:ascii="宋体" w:hAnsi="宋体" w:cs="宋体"/>
                <w:szCs w:val="21"/>
              </w:rPr>
            </w:pPr>
            <w:r>
              <w:rPr>
                <w:rFonts w:ascii="宋体" w:hAnsi="宋体" w:cs="宋体"/>
                <w:szCs w:val="21"/>
              </w:rPr>
              <w:t>（3）响应行动上报、汇总：响应行动上报、行动上报审核、响应行动汇总、数据导出等。</w:t>
            </w:r>
          </w:p>
          <w:p w14:paraId="5F8FEBC6">
            <w:pPr>
              <w:spacing w:line="400" w:lineRule="exact"/>
              <w:rPr>
                <w:rFonts w:hint="eastAsia" w:ascii="宋体" w:hAnsi="宋体" w:cs="宋体"/>
                <w:szCs w:val="21"/>
              </w:rPr>
            </w:pPr>
            <w:r>
              <w:rPr>
                <w:rFonts w:ascii="宋体" w:hAnsi="宋体" w:cs="宋体"/>
                <w:szCs w:val="21"/>
              </w:rPr>
              <w:t>8.演习推演支持</w:t>
            </w:r>
          </w:p>
          <w:p w14:paraId="0C940E54">
            <w:pPr>
              <w:spacing w:line="400" w:lineRule="exact"/>
              <w:rPr>
                <w:rFonts w:hint="eastAsia" w:ascii="宋体" w:hAnsi="宋体" w:cs="宋体"/>
                <w:szCs w:val="21"/>
              </w:rPr>
            </w:pPr>
            <w:r>
              <w:rPr>
                <w:rFonts w:ascii="宋体" w:hAnsi="宋体" w:cs="宋体"/>
                <w:szCs w:val="21"/>
              </w:rPr>
              <w:t>（1）事故情景库：情景创建、情景分类、情景调整、情景删除、情景查询、事件序列配置、时间线设定等。</w:t>
            </w:r>
          </w:p>
          <w:p w14:paraId="50CDB3A4">
            <w:pPr>
              <w:spacing w:line="400" w:lineRule="exact"/>
              <w:rPr>
                <w:rFonts w:hint="eastAsia" w:ascii="宋体" w:hAnsi="宋体" w:cs="宋体"/>
                <w:szCs w:val="21"/>
              </w:rPr>
            </w:pPr>
            <w:r>
              <w:rPr>
                <w:rFonts w:ascii="宋体" w:hAnsi="宋体" w:cs="宋体"/>
                <w:szCs w:val="21"/>
              </w:rPr>
              <w:t>（2）数据模拟：快速进入、数据实时更新、数据可视化展示等。</w:t>
            </w:r>
          </w:p>
          <w:p w14:paraId="262A44A0">
            <w:pPr>
              <w:spacing w:line="400" w:lineRule="exact"/>
              <w:rPr>
                <w:rFonts w:hint="eastAsia" w:ascii="宋体" w:hAnsi="宋体" w:cs="宋体"/>
                <w:szCs w:val="21"/>
              </w:rPr>
            </w:pPr>
            <w:r>
              <w:rPr>
                <w:rFonts w:ascii="宋体" w:hAnsi="宋体" w:cs="宋体"/>
                <w:szCs w:val="21"/>
              </w:rPr>
              <w:t>（3）自动推演：情景载入、状态模拟、数据展示等。</w:t>
            </w:r>
          </w:p>
          <w:p w14:paraId="1BE69155">
            <w:pPr>
              <w:spacing w:line="400" w:lineRule="exact"/>
              <w:rPr>
                <w:rFonts w:hint="eastAsia" w:ascii="宋体" w:hAnsi="宋体" w:cs="宋体"/>
                <w:szCs w:val="21"/>
              </w:rPr>
            </w:pPr>
            <w:r>
              <w:rPr>
                <w:rFonts w:ascii="宋体" w:hAnsi="宋体" w:cs="宋体"/>
                <w:szCs w:val="21"/>
              </w:rPr>
              <w:t>（4）应急推演执行：手动触发应急行动、手动插入非计划事件、调整应急状态等级、调整推演进度和序列、历史记录等。</w:t>
            </w:r>
          </w:p>
          <w:p w14:paraId="52B1437F">
            <w:pPr>
              <w:spacing w:line="400" w:lineRule="exact"/>
              <w:rPr>
                <w:rFonts w:hint="eastAsia" w:ascii="宋体" w:hAnsi="宋体" w:cs="宋体"/>
                <w:szCs w:val="21"/>
              </w:rPr>
            </w:pPr>
            <w:r>
              <w:rPr>
                <w:rFonts w:ascii="宋体" w:hAnsi="宋体" w:cs="宋体"/>
                <w:szCs w:val="21"/>
              </w:rPr>
              <w:t>9.</w:t>
            </w:r>
            <w:r>
              <w:rPr>
                <w:rFonts w:hint="eastAsia" w:ascii="宋体" w:hAnsi="宋体" w:cs="宋体"/>
                <w:szCs w:val="21"/>
                <w:lang w:eastAsia="zh-CN"/>
              </w:rPr>
              <w:t>网情</w:t>
            </w:r>
            <w:r>
              <w:rPr>
                <w:rFonts w:ascii="宋体" w:hAnsi="宋体" w:cs="宋体"/>
                <w:szCs w:val="21"/>
              </w:rPr>
              <w:t>监控</w:t>
            </w:r>
          </w:p>
          <w:p w14:paraId="0A759506">
            <w:pPr>
              <w:spacing w:line="400" w:lineRule="exact"/>
              <w:rPr>
                <w:rFonts w:hint="eastAsia" w:ascii="宋体" w:hAnsi="宋体" w:cs="宋体"/>
                <w:szCs w:val="21"/>
              </w:rPr>
            </w:pPr>
            <w:r>
              <w:rPr>
                <w:rFonts w:ascii="宋体" w:hAnsi="宋体" w:cs="宋体"/>
                <w:szCs w:val="21"/>
              </w:rPr>
              <w:t>（1）自主监测：自主监控网络上相关媒体关于关键词事件。</w:t>
            </w:r>
          </w:p>
          <w:p w14:paraId="3E6EAC70">
            <w:pPr>
              <w:spacing w:line="400" w:lineRule="exact"/>
              <w:rPr>
                <w:rFonts w:hint="eastAsia" w:ascii="宋体" w:hAnsi="宋体" w:cs="宋体"/>
                <w:szCs w:val="21"/>
              </w:rPr>
            </w:pPr>
            <w:r>
              <w:rPr>
                <w:rFonts w:ascii="宋体" w:hAnsi="宋体" w:cs="宋体"/>
                <w:szCs w:val="21"/>
              </w:rPr>
              <w:t>（2）实时抓取：能够通过关键词从网络媒体上实时抓取信息。</w:t>
            </w:r>
          </w:p>
          <w:p w14:paraId="16E9E5E3">
            <w:pPr>
              <w:spacing w:line="400" w:lineRule="exact"/>
              <w:rPr>
                <w:rFonts w:hint="eastAsia" w:ascii="宋体" w:hAnsi="宋体" w:cs="宋体"/>
                <w:szCs w:val="21"/>
              </w:rPr>
            </w:pPr>
            <w:r>
              <w:rPr>
                <w:rFonts w:ascii="宋体" w:hAnsi="宋体" w:cs="宋体"/>
                <w:szCs w:val="21"/>
              </w:rPr>
              <w:t>（3）危机预警：预警阈值管理、数据可视化展示、预警记录等。</w:t>
            </w:r>
          </w:p>
          <w:p w14:paraId="18C02CA6">
            <w:pPr>
              <w:spacing w:line="400" w:lineRule="exact"/>
              <w:rPr>
                <w:rFonts w:hint="eastAsia" w:ascii="宋体" w:hAnsi="宋体" w:cs="宋体"/>
                <w:szCs w:val="21"/>
              </w:rPr>
            </w:pPr>
            <w:r>
              <w:rPr>
                <w:rFonts w:ascii="宋体" w:hAnsi="宋体" w:cs="宋体"/>
                <w:szCs w:val="21"/>
              </w:rPr>
              <w:t>（4）</w:t>
            </w:r>
            <w:r>
              <w:rPr>
                <w:rFonts w:hint="eastAsia" w:ascii="宋体" w:hAnsi="宋体" w:cs="宋体"/>
                <w:szCs w:val="21"/>
                <w:lang w:eastAsia="zh-CN"/>
              </w:rPr>
              <w:t>网情</w:t>
            </w:r>
            <w:r>
              <w:rPr>
                <w:rFonts w:ascii="宋体" w:hAnsi="宋体" w:cs="宋体"/>
                <w:szCs w:val="21"/>
              </w:rPr>
              <w:t>分析：对事件进行分类、统计。</w:t>
            </w:r>
          </w:p>
          <w:p w14:paraId="226367DF">
            <w:pPr>
              <w:spacing w:line="400" w:lineRule="exact"/>
              <w:rPr>
                <w:rFonts w:hint="eastAsia" w:ascii="宋体" w:hAnsi="宋体" w:cs="宋体"/>
                <w:szCs w:val="21"/>
              </w:rPr>
            </w:pPr>
            <w:r>
              <w:rPr>
                <w:rFonts w:ascii="宋体" w:hAnsi="宋体" w:cs="宋体"/>
                <w:szCs w:val="21"/>
              </w:rPr>
              <w:t>（5）</w:t>
            </w:r>
            <w:r>
              <w:rPr>
                <w:rFonts w:hint="eastAsia" w:ascii="宋体" w:hAnsi="宋体" w:cs="宋体"/>
                <w:szCs w:val="21"/>
                <w:lang w:eastAsia="zh-CN"/>
              </w:rPr>
              <w:t>网情</w:t>
            </w:r>
            <w:r>
              <w:rPr>
                <w:rFonts w:ascii="宋体" w:hAnsi="宋体" w:cs="宋体"/>
                <w:szCs w:val="21"/>
              </w:rPr>
              <w:t>报告：形成具备事件分类的图文并茂的报告。</w:t>
            </w:r>
          </w:p>
          <w:p w14:paraId="7D776E17">
            <w:pPr>
              <w:spacing w:line="400" w:lineRule="exact"/>
              <w:rPr>
                <w:rFonts w:hint="eastAsia" w:ascii="宋体" w:hAnsi="宋体" w:cs="宋体"/>
                <w:szCs w:val="21"/>
              </w:rPr>
            </w:pPr>
            <w:r>
              <w:rPr>
                <w:rFonts w:ascii="宋体" w:hAnsi="宋体" w:cs="宋体"/>
                <w:szCs w:val="21"/>
              </w:rPr>
              <w:t>10.实验室数据综合管理</w:t>
            </w:r>
          </w:p>
          <w:p w14:paraId="15157CA5">
            <w:pPr>
              <w:spacing w:line="400" w:lineRule="exact"/>
              <w:rPr>
                <w:rFonts w:hint="eastAsia" w:ascii="宋体" w:hAnsi="宋体" w:cs="宋体"/>
                <w:szCs w:val="21"/>
              </w:rPr>
            </w:pPr>
            <w:r>
              <w:rPr>
                <w:rFonts w:ascii="宋体" w:hAnsi="宋体" w:cs="宋体"/>
                <w:szCs w:val="21"/>
              </w:rPr>
              <w:t>（1）数据采集：实验室管理系统对接、数据汇总、实时数据监控等。</w:t>
            </w:r>
          </w:p>
          <w:p w14:paraId="44359943">
            <w:pPr>
              <w:spacing w:line="400" w:lineRule="exact"/>
              <w:rPr>
                <w:rFonts w:hint="eastAsia" w:ascii="宋体" w:hAnsi="宋体" w:cs="宋体"/>
                <w:szCs w:val="21"/>
              </w:rPr>
            </w:pPr>
            <w:r>
              <w:rPr>
                <w:rFonts w:ascii="宋体" w:hAnsi="宋体" w:cs="宋体"/>
                <w:szCs w:val="21"/>
              </w:rPr>
              <w:t>（2）数据可视化展示：使用曲线图展示数据。</w:t>
            </w:r>
          </w:p>
          <w:p w14:paraId="30F0416E">
            <w:pPr>
              <w:spacing w:line="400" w:lineRule="exact"/>
              <w:rPr>
                <w:rFonts w:hint="eastAsia" w:ascii="宋体" w:hAnsi="宋体" w:cs="宋体"/>
                <w:szCs w:val="21"/>
              </w:rPr>
            </w:pPr>
            <w:r>
              <w:rPr>
                <w:rFonts w:ascii="宋体" w:hAnsi="宋体" w:cs="宋体"/>
                <w:szCs w:val="21"/>
              </w:rPr>
              <w:t>（3）数据查询与检索：通过关键词、核素名称等实现查询功能。</w:t>
            </w:r>
          </w:p>
          <w:p w14:paraId="75F448B3">
            <w:pPr>
              <w:spacing w:line="400" w:lineRule="exact"/>
              <w:rPr>
                <w:rFonts w:hint="eastAsia" w:ascii="宋体" w:hAnsi="宋体" w:cs="宋体"/>
                <w:szCs w:val="21"/>
              </w:rPr>
            </w:pPr>
            <w:r>
              <w:rPr>
                <w:rFonts w:ascii="宋体" w:hAnsi="宋体" w:cs="宋体"/>
                <w:szCs w:val="21"/>
              </w:rPr>
              <w:t>（4）物料管理：物料信息采集、物料信息录入、物料维护（维护计划制定、维护计划审批、维护计划下发、维护计划跟踪、维护计划分类、维护计划编辑、维护计划删除、维护计划查询、物料维护记录）、物料销毁管理（销毁名单制定、销毁名单审批、销毁名单分类、销毁名单编辑、销毁名单下发、销毁名单执行跟踪、物料销毁记录）等。（5）设备管理：设备信息采集、设备信息录入、设备信息管理、设备维护、设备销毁管理等。</w:t>
            </w:r>
          </w:p>
          <w:p w14:paraId="4715F005">
            <w:pPr>
              <w:spacing w:line="400" w:lineRule="exact"/>
              <w:rPr>
                <w:rFonts w:hint="eastAsia" w:ascii="宋体" w:hAnsi="宋体" w:cs="宋体"/>
                <w:szCs w:val="21"/>
              </w:rPr>
            </w:pPr>
            <w:r>
              <w:rPr>
                <w:rFonts w:ascii="宋体" w:hAnsi="宋体" w:cs="宋体"/>
                <w:szCs w:val="21"/>
              </w:rPr>
              <w:t>（6）数据质量管理：数据采集记录、质量管理体系、数据分析、数据查询等。</w:t>
            </w:r>
          </w:p>
          <w:p w14:paraId="19A1FB92">
            <w:pPr>
              <w:spacing w:line="400" w:lineRule="exact"/>
              <w:rPr>
                <w:rFonts w:hint="eastAsia" w:ascii="宋体" w:hAnsi="宋体" w:cs="宋体"/>
                <w:szCs w:val="21"/>
              </w:rPr>
            </w:pPr>
            <w:r>
              <w:rPr>
                <w:rFonts w:ascii="宋体" w:hAnsi="宋体" w:cs="宋体"/>
                <w:szCs w:val="21"/>
              </w:rPr>
              <w:t>11.系统管理</w:t>
            </w:r>
          </w:p>
          <w:p w14:paraId="3C2863BC">
            <w:pPr>
              <w:spacing w:line="400" w:lineRule="exact"/>
              <w:rPr>
                <w:rFonts w:hint="eastAsia" w:ascii="宋体" w:hAnsi="宋体" w:cs="宋体"/>
                <w:szCs w:val="21"/>
              </w:rPr>
            </w:pPr>
            <w:r>
              <w:rPr>
                <w:rFonts w:ascii="宋体" w:hAnsi="宋体" w:cs="宋体"/>
                <w:szCs w:val="21"/>
              </w:rPr>
              <w:t>（1）用户管理：自治区、市两级用户注册、用户登录、用户维护、用户删除等。</w:t>
            </w:r>
          </w:p>
          <w:p w14:paraId="0143AA94">
            <w:pPr>
              <w:spacing w:line="400" w:lineRule="exact"/>
              <w:rPr>
                <w:rFonts w:hint="eastAsia" w:ascii="宋体" w:hAnsi="宋体" w:cs="宋体"/>
                <w:szCs w:val="21"/>
              </w:rPr>
            </w:pPr>
            <w:r>
              <w:rPr>
                <w:rFonts w:ascii="宋体" w:hAnsi="宋体" w:cs="宋体"/>
                <w:szCs w:val="21"/>
              </w:rPr>
              <w:t>（2）角色及权限管理：自治区、市两级角色管理、权限管理等。</w:t>
            </w:r>
          </w:p>
          <w:p w14:paraId="3FB16395">
            <w:pPr>
              <w:spacing w:line="400" w:lineRule="exact"/>
              <w:rPr>
                <w:rFonts w:hint="eastAsia" w:ascii="宋体" w:hAnsi="宋体" w:cs="宋体"/>
                <w:szCs w:val="21"/>
              </w:rPr>
            </w:pPr>
            <w:r>
              <w:rPr>
                <w:rFonts w:ascii="宋体" w:hAnsi="宋体" w:cs="宋体"/>
                <w:szCs w:val="21"/>
              </w:rPr>
              <w:t>（3）系统日志：日志查询、登录日志、运行日志等。</w:t>
            </w:r>
          </w:p>
          <w:p w14:paraId="53BBE98B">
            <w:pPr>
              <w:spacing w:line="400" w:lineRule="exact"/>
              <w:rPr>
                <w:rFonts w:hint="eastAsia" w:ascii="宋体" w:hAnsi="宋体" w:cs="宋体"/>
                <w:szCs w:val="21"/>
              </w:rPr>
            </w:pPr>
            <w:r>
              <w:rPr>
                <w:rFonts w:ascii="宋体" w:hAnsi="宋体" w:cs="宋体"/>
                <w:szCs w:val="21"/>
              </w:rPr>
              <w:t>（4）系统备份：备份及恢复等。</w:t>
            </w:r>
          </w:p>
          <w:p w14:paraId="145B7FD4">
            <w:pPr>
              <w:spacing w:line="400" w:lineRule="exact"/>
              <w:rPr>
                <w:rFonts w:hint="eastAsia" w:ascii="宋体" w:hAnsi="宋体" w:cs="宋体"/>
                <w:szCs w:val="21"/>
              </w:rPr>
            </w:pPr>
            <w:r>
              <w:rPr>
                <w:rFonts w:ascii="宋体" w:hAnsi="宋体" w:cs="宋体"/>
                <w:szCs w:val="21"/>
              </w:rPr>
              <w:t>▲（三）应用功能新增</w:t>
            </w:r>
          </w:p>
          <w:p w14:paraId="5B89DF6D">
            <w:pPr>
              <w:spacing w:line="400" w:lineRule="exact"/>
              <w:rPr>
                <w:rFonts w:hint="eastAsia" w:ascii="宋体" w:hAnsi="宋体" w:cs="宋体"/>
                <w:szCs w:val="21"/>
              </w:rPr>
            </w:pPr>
            <w:r>
              <w:rPr>
                <w:rFonts w:ascii="宋体" w:hAnsi="宋体" w:cs="宋体"/>
                <w:szCs w:val="21"/>
              </w:rPr>
              <w:t>主要包括但不限于下列各项功能：</w:t>
            </w:r>
          </w:p>
          <w:p w14:paraId="301102B9">
            <w:pPr>
              <w:spacing w:line="400" w:lineRule="exact"/>
              <w:rPr>
                <w:rFonts w:hint="eastAsia" w:ascii="宋体" w:hAnsi="宋体" w:cs="宋体"/>
                <w:szCs w:val="21"/>
              </w:rPr>
            </w:pPr>
            <w:r>
              <w:rPr>
                <w:rFonts w:ascii="宋体" w:hAnsi="宋体" w:cs="宋体"/>
                <w:szCs w:val="21"/>
              </w:rPr>
              <w:t>1.核应急监测数据管理</w:t>
            </w:r>
          </w:p>
          <w:p w14:paraId="4F5EE254">
            <w:pPr>
              <w:spacing w:line="400" w:lineRule="exact"/>
              <w:rPr>
                <w:rFonts w:hint="eastAsia" w:ascii="宋体" w:hAnsi="宋体" w:cs="宋体"/>
                <w:szCs w:val="21"/>
              </w:rPr>
            </w:pPr>
            <w:r>
              <w:rPr>
                <w:rFonts w:ascii="宋体" w:hAnsi="宋体" w:cs="宋体"/>
                <w:szCs w:val="21"/>
              </w:rPr>
              <w:t>（1）监测数据抓取：数据审批管理、数据交换管理、监测数据扩展与存储管理等。</w:t>
            </w:r>
          </w:p>
          <w:p w14:paraId="6B3E1E93">
            <w:pPr>
              <w:spacing w:line="400" w:lineRule="exact"/>
              <w:rPr>
                <w:rFonts w:hint="eastAsia" w:ascii="宋体" w:hAnsi="宋体" w:cs="宋体"/>
                <w:szCs w:val="21"/>
              </w:rPr>
            </w:pPr>
            <w:r>
              <w:rPr>
                <w:rFonts w:ascii="宋体" w:hAnsi="宋体" w:cs="宋体"/>
                <w:szCs w:val="21"/>
              </w:rPr>
              <w:t>（2）移动监测管理升级：监测数据实时获取、监测车辆管理、GIS轨迹位置获取、GIS轨迹展示等。</w:t>
            </w:r>
          </w:p>
          <w:p w14:paraId="0983E489">
            <w:pPr>
              <w:spacing w:line="400" w:lineRule="exact"/>
              <w:rPr>
                <w:rFonts w:hint="eastAsia" w:ascii="宋体" w:hAnsi="宋体" w:cs="宋体"/>
                <w:szCs w:val="21"/>
              </w:rPr>
            </w:pPr>
            <w:r>
              <w:rPr>
                <w:rFonts w:ascii="宋体" w:hAnsi="宋体" w:cs="宋体"/>
                <w:szCs w:val="21"/>
              </w:rPr>
              <w:t>（3）数据的可视化展示：能够通过曲线图、柱状图等方式展示各类数据统计分析结果。</w:t>
            </w:r>
          </w:p>
          <w:p w14:paraId="09E7465E">
            <w:pPr>
              <w:spacing w:line="400" w:lineRule="exact"/>
              <w:rPr>
                <w:rFonts w:hint="eastAsia" w:ascii="宋体" w:hAnsi="宋体" w:cs="宋体"/>
                <w:szCs w:val="21"/>
              </w:rPr>
            </w:pPr>
            <w:r>
              <w:rPr>
                <w:rFonts w:ascii="宋体" w:hAnsi="宋体" w:cs="宋体"/>
                <w:szCs w:val="21"/>
              </w:rPr>
              <w:t>（4）辐射环境态势分析：根据辐射环境监测数据生成历史/实时/未来GIS区域辐射热力图或态势图。</w:t>
            </w:r>
          </w:p>
          <w:p w14:paraId="04905723">
            <w:pPr>
              <w:spacing w:line="400" w:lineRule="exact"/>
              <w:rPr>
                <w:rFonts w:hint="eastAsia" w:ascii="宋体" w:hAnsi="宋体" w:cs="宋体"/>
                <w:szCs w:val="21"/>
              </w:rPr>
            </w:pPr>
            <w:r>
              <w:rPr>
                <w:rFonts w:ascii="宋体" w:hAnsi="宋体" w:cs="宋体"/>
                <w:szCs w:val="21"/>
              </w:rPr>
              <w:t>（5）无人机辐射监测系统、连续辐射监测系统等辐射监测设备数据的接入。</w:t>
            </w:r>
          </w:p>
          <w:p w14:paraId="72D3C425">
            <w:pPr>
              <w:spacing w:line="400" w:lineRule="exact"/>
              <w:rPr>
                <w:rFonts w:hint="eastAsia" w:ascii="宋体" w:hAnsi="宋体" w:cs="宋体"/>
                <w:szCs w:val="21"/>
              </w:rPr>
            </w:pPr>
            <w:r>
              <w:rPr>
                <w:rFonts w:ascii="宋体" w:hAnsi="宋体" w:cs="宋体"/>
                <w:szCs w:val="21"/>
              </w:rPr>
              <w:t>2.监测调度管理</w:t>
            </w:r>
          </w:p>
          <w:p w14:paraId="236ACFD1">
            <w:pPr>
              <w:spacing w:line="400" w:lineRule="exact"/>
              <w:rPr>
                <w:rFonts w:hint="eastAsia" w:ascii="宋体" w:hAnsi="宋体" w:cs="宋体"/>
                <w:szCs w:val="21"/>
              </w:rPr>
            </w:pPr>
            <w:r>
              <w:rPr>
                <w:rFonts w:ascii="宋体" w:hAnsi="宋体" w:cs="宋体"/>
                <w:szCs w:val="21"/>
              </w:rPr>
              <w:t>（1）监测任务管理：任务创建、优先级设置、任务变更、任务跟踪等。</w:t>
            </w:r>
          </w:p>
          <w:p w14:paraId="07AE1B18">
            <w:pPr>
              <w:spacing w:line="400" w:lineRule="exact"/>
              <w:rPr>
                <w:rFonts w:hint="eastAsia" w:ascii="宋体" w:hAnsi="宋体" w:cs="宋体"/>
                <w:szCs w:val="21"/>
              </w:rPr>
            </w:pPr>
            <w:r>
              <w:rPr>
                <w:rFonts w:ascii="宋体" w:hAnsi="宋体" w:cs="宋体"/>
                <w:szCs w:val="21"/>
              </w:rPr>
              <w:t>（2）任务下发管理：任务下发、任务通知、任务反馈等。</w:t>
            </w:r>
          </w:p>
          <w:p w14:paraId="6C1A6144">
            <w:pPr>
              <w:spacing w:line="400" w:lineRule="exact"/>
              <w:rPr>
                <w:rFonts w:hint="eastAsia" w:ascii="宋体" w:hAnsi="宋体" w:cs="宋体"/>
                <w:szCs w:val="21"/>
              </w:rPr>
            </w:pPr>
            <w:r>
              <w:rPr>
                <w:rFonts w:ascii="宋体" w:hAnsi="宋体" w:cs="宋体"/>
                <w:szCs w:val="21"/>
              </w:rPr>
              <w:t>（3）监测数据审批管理：审批发起、审批流程设置、审批记录等。</w:t>
            </w:r>
          </w:p>
          <w:p w14:paraId="1FF7BA04">
            <w:pPr>
              <w:spacing w:line="400" w:lineRule="exact"/>
              <w:rPr>
                <w:rFonts w:hint="eastAsia" w:ascii="宋体" w:hAnsi="宋体" w:cs="宋体"/>
                <w:szCs w:val="21"/>
              </w:rPr>
            </w:pPr>
            <w:r>
              <w:rPr>
                <w:rFonts w:ascii="宋体" w:hAnsi="宋体" w:cs="宋体"/>
                <w:szCs w:val="21"/>
              </w:rPr>
              <w:t>（4）监测报告生成管理：报告样式设定、自动生成报告、报告预览、报告编辑、报告导出等。</w:t>
            </w:r>
          </w:p>
          <w:p w14:paraId="07000FEF">
            <w:pPr>
              <w:spacing w:line="400" w:lineRule="exact"/>
              <w:rPr>
                <w:rFonts w:hint="eastAsia" w:ascii="宋体" w:hAnsi="宋体" w:cs="宋体"/>
                <w:szCs w:val="21"/>
              </w:rPr>
            </w:pPr>
            <w:r>
              <w:rPr>
                <w:rFonts w:ascii="宋体" w:hAnsi="宋体" w:cs="宋体"/>
                <w:szCs w:val="21"/>
              </w:rPr>
              <w:t>（5）监测任务管理：监测任务制定、监测任务分类、监测任务编辑、监测任务分配、监测任务跟踪、监测任务删除、监测任务查询等。</w:t>
            </w:r>
          </w:p>
          <w:p w14:paraId="094DDFF9">
            <w:pPr>
              <w:spacing w:line="400" w:lineRule="exact"/>
              <w:rPr>
                <w:rFonts w:hint="eastAsia" w:ascii="宋体" w:hAnsi="宋体" w:cs="宋体"/>
                <w:szCs w:val="21"/>
              </w:rPr>
            </w:pPr>
            <w:r>
              <w:rPr>
                <w:rFonts w:ascii="宋体" w:hAnsi="宋体" w:cs="宋体"/>
                <w:szCs w:val="21"/>
              </w:rPr>
              <w:t>（6）监测人员调度管理：排班计划制定、排班计划编辑、排班计划删除、排班计划查询等。</w:t>
            </w:r>
          </w:p>
          <w:p w14:paraId="3BD8A91D">
            <w:pPr>
              <w:spacing w:line="400" w:lineRule="exact"/>
              <w:rPr>
                <w:rFonts w:hint="eastAsia" w:ascii="宋体" w:hAnsi="宋体" w:cs="宋体"/>
                <w:szCs w:val="21"/>
              </w:rPr>
            </w:pPr>
            <w:r>
              <w:rPr>
                <w:rFonts w:ascii="宋体" w:hAnsi="宋体" w:cs="宋体"/>
                <w:szCs w:val="21"/>
              </w:rPr>
              <w:t>（7）监测车辆调度管理：车辆调度管理、车辆排班计划等。</w:t>
            </w:r>
          </w:p>
          <w:p w14:paraId="2EC40BE0">
            <w:pPr>
              <w:spacing w:line="400" w:lineRule="exact"/>
              <w:rPr>
                <w:rFonts w:hint="eastAsia" w:ascii="宋体" w:hAnsi="宋体" w:cs="宋体"/>
                <w:szCs w:val="21"/>
              </w:rPr>
            </w:pPr>
            <w:r>
              <w:rPr>
                <w:rFonts w:ascii="宋体" w:hAnsi="宋体" w:cs="宋体"/>
                <w:szCs w:val="21"/>
              </w:rPr>
              <w:t>3.在线会商</w:t>
            </w:r>
          </w:p>
          <w:p w14:paraId="05C07929">
            <w:pPr>
              <w:spacing w:line="400" w:lineRule="exact"/>
              <w:rPr>
                <w:rFonts w:hint="eastAsia" w:ascii="宋体" w:hAnsi="宋体" w:cs="宋体"/>
                <w:szCs w:val="21"/>
              </w:rPr>
            </w:pPr>
            <w:r>
              <w:rPr>
                <w:rFonts w:ascii="宋体" w:hAnsi="宋体" w:cs="宋体"/>
                <w:szCs w:val="21"/>
              </w:rPr>
              <w:t>（1）同步标绘：实时标绘同步、标绘工具、标绘撤销、标绘记录等。</w:t>
            </w:r>
          </w:p>
          <w:p w14:paraId="05639DC6">
            <w:pPr>
              <w:spacing w:line="400" w:lineRule="exact"/>
              <w:rPr>
                <w:rFonts w:hint="eastAsia" w:ascii="宋体" w:hAnsi="宋体" w:cs="宋体"/>
                <w:szCs w:val="21"/>
              </w:rPr>
            </w:pPr>
            <w:r>
              <w:rPr>
                <w:rFonts w:ascii="宋体" w:hAnsi="宋体" w:cs="宋体"/>
                <w:szCs w:val="21"/>
              </w:rPr>
              <w:t>（2）实时音视频会议：音视频会议、文字交流、会议记录、会议回放等。</w:t>
            </w:r>
          </w:p>
          <w:p w14:paraId="69808B0B">
            <w:pPr>
              <w:spacing w:line="400" w:lineRule="exact"/>
              <w:rPr>
                <w:rFonts w:hint="eastAsia" w:ascii="宋体" w:hAnsi="宋体" w:cs="宋体"/>
                <w:szCs w:val="21"/>
              </w:rPr>
            </w:pPr>
            <w:r>
              <w:rPr>
                <w:rFonts w:ascii="宋体" w:hAnsi="宋体" w:cs="宋体"/>
                <w:szCs w:val="21"/>
              </w:rPr>
              <w:t>（3）数据</w:t>
            </w:r>
            <w:r>
              <w:rPr>
                <w:rFonts w:hint="eastAsia" w:ascii="宋体" w:hAnsi="宋体" w:cs="宋体"/>
                <w:szCs w:val="21"/>
              </w:rPr>
              <w:t>上报</w:t>
            </w:r>
            <w:r>
              <w:rPr>
                <w:rFonts w:ascii="宋体" w:hAnsi="宋体" w:cs="宋体"/>
                <w:szCs w:val="21"/>
              </w:rPr>
              <w:t>：文字上报、图片上传、文件附件等。</w:t>
            </w:r>
          </w:p>
          <w:p w14:paraId="7D34A42D">
            <w:pPr>
              <w:spacing w:line="400" w:lineRule="exact"/>
              <w:rPr>
                <w:rFonts w:hint="eastAsia" w:ascii="宋体" w:hAnsi="宋体" w:cs="宋体"/>
                <w:szCs w:val="21"/>
              </w:rPr>
            </w:pPr>
            <w:r>
              <w:rPr>
                <w:rFonts w:ascii="宋体" w:hAnsi="宋体" w:cs="宋体"/>
                <w:szCs w:val="21"/>
              </w:rPr>
              <w:t>（4）应急态势管理：文字描述上报、图片上传、表格填写等；态势信息统计与分析等。</w:t>
            </w:r>
          </w:p>
          <w:p w14:paraId="70895F91">
            <w:pPr>
              <w:spacing w:line="400" w:lineRule="exact"/>
              <w:rPr>
                <w:rFonts w:hint="eastAsia" w:ascii="宋体" w:hAnsi="宋体" w:cs="宋体"/>
                <w:szCs w:val="21"/>
              </w:rPr>
            </w:pPr>
            <w:r>
              <w:rPr>
                <w:rFonts w:ascii="宋体" w:hAnsi="宋体" w:cs="宋体"/>
                <w:szCs w:val="21"/>
              </w:rPr>
              <w:t>（5）响应级别推送：响应级别定义、响应级别推送、接收者设置、推送记录等。</w:t>
            </w:r>
          </w:p>
          <w:p w14:paraId="3DF8980B">
            <w:pPr>
              <w:spacing w:line="400" w:lineRule="exact"/>
              <w:rPr>
                <w:rFonts w:hint="eastAsia" w:ascii="宋体" w:hAnsi="宋体" w:cs="宋体"/>
                <w:szCs w:val="21"/>
              </w:rPr>
            </w:pPr>
            <w:r>
              <w:rPr>
                <w:rFonts w:ascii="宋体" w:hAnsi="宋体" w:cs="宋体"/>
                <w:szCs w:val="21"/>
              </w:rPr>
              <w:t>（6）信息报送：信息接收与存储、信息加密、日常数据时间设置、日常数据清理、信息展示、信息上报等。</w:t>
            </w:r>
          </w:p>
          <w:p w14:paraId="353F0ACA">
            <w:pPr>
              <w:spacing w:line="400" w:lineRule="exact"/>
              <w:rPr>
                <w:rFonts w:hint="eastAsia" w:ascii="宋体" w:hAnsi="宋体" w:cs="宋体"/>
                <w:szCs w:val="21"/>
              </w:rPr>
            </w:pPr>
            <w:r>
              <w:rPr>
                <w:rFonts w:ascii="宋体" w:hAnsi="宋体" w:cs="宋体"/>
                <w:szCs w:val="21"/>
              </w:rPr>
              <w:t>（7）信息下达：下达对象选择、下达方式等。</w:t>
            </w:r>
          </w:p>
          <w:p w14:paraId="5103057A">
            <w:pPr>
              <w:spacing w:line="400" w:lineRule="exact"/>
              <w:rPr>
                <w:rFonts w:hint="eastAsia" w:ascii="宋体" w:hAnsi="宋体" w:cs="宋体"/>
                <w:szCs w:val="21"/>
              </w:rPr>
            </w:pPr>
            <w:r>
              <w:rPr>
                <w:rFonts w:ascii="宋体" w:hAnsi="宋体" w:cs="宋体"/>
                <w:szCs w:val="21"/>
              </w:rPr>
              <w:t>（8）信息抄送：抄送对象选择、抄送方式等。</w:t>
            </w:r>
          </w:p>
          <w:p w14:paraId="0EDCACD6">
            <w:pPr>
              <w:spacing w:line="400" w:lineRule="exact"/>
              <w:rPr>
                <w:rFonts w:hint="eastAsia" w:ascii="宋体" w:hAnsi="宋体" w:cs="宋体"/>
                <w:szCs w:val="21"/>
              </w:rPr>
            </w:pPr>
            <w:r>
              <w:rPr>
                <w:rFonts w:ascii="宋体" w:hAnsi="宋体" w:cs="宋体"/>
                <w:szCs w:val="21"/>
              </w:rPr>
              <w:t>（9）信息汇总：信息整理、信息分类、信息统计等。</w:t>
            </w:r>
          </w:p>
          <w:p w14:paraId="3C092CF1">
            <w:pPr>
              <w:spacing w:line="400" w:lineRule="exact"/>
              <w:rPr>
                <w:rFonts w:hint="eastAsia" w:ascii="宋体" w:hAnsi="宋体" w:cs="宋体"/>
                <w:szCs w:val="21"/>
              </w:rPr>
            </w:pPr>
            <w:r>
              <w:rPr>
                <w:rFonts w:ascii="宋体" w:hAnsi="宋体" w:cs="宋体"/>
                <w:szCs w:val="21"/>
              </w:rPr>
              <w:t>4.模拟演练</w:t>
            </w:r>
          </w:p>
          <w:p w14:paraId="621574EB">
            <w:pPr>
              <w:spacing w:line="400" w:lineRule="exact"/>
              <w:rPr>
                <w:rFonts w:hint="eastAsia" w:ascii="宋体" w:hAnsi="宋体" w:cs="宋体"/>
                <w:szCs w:val="21"/>
              </w:rPr>
            </w:pPr>
            <w:r>
              <w:rPr>
                <w:rFonts w:ascii="宋体" w:hAnsi="宋体" w:cs="宋体"/>
                <w:szCs w:val="21"/>
              </w:rPr>
              <w:t>(1</w:t>
            </w:r>
            <w:r>
              <w:rPr>
                <w:rFonts w:hint="eastAsia" w:ascii="宋体" w:hAnsi="宋体" w:cs="宋体"/>
                <w:szCs w:val="21"/>
              </w:rPr>
              <w:t>）</w:t>
            </w:r>
            <w:r>
              <w:rPr>
                <w:rFonts w:ascii="宋体" w:hAnsi="宋体" w:cs="宋体"/>
                <w:szCs w:val="21"/>
              </w:rPr>
              <w:t>应急执行程序电子化管理：应急预案加载、应急预案资源分类、应急预案资源预览、应急预案资源下载、应急预案资源删除、应急预案资源查询、执行程序分解等。</w:t>
            </w:r>
          </w:p>
          <w:p w14:paraId="7970873F">
            <w:pPr>
              <w:spacing w:line="400" w:lineRule="exact"/>
              <w:rPr>
                <w:rFonts w:hint="eastAsia" w:ascii="宋体" w:hAnsi="宋体" w:cs="宋体"/>
                <w:szCs w:val="21"/>
              </w:rPr>
            </w:pPr>
            <w:r>
              <w:rPr>
                <w:rFonts w:ascii="宋体" w:hAnsi="宋体" w:cs="宋体"/>
                <w:szCs w:val="21"/>
              </w:rPr>
              <w:t>(2</w:t>
            </w:r>
            <w:r>
              <w:rPr>
                <w:rFonts w:hint="eastAsia" w:ascii="宋体" w:hAnsi="宋体" w:cs="宋体"/>
                <w:szCs w:val="21"/>
              </w:rPr>
              <w:t>）</w:t>
            </w:r>
            <w:r>
              <w:rPr>
                <w:rFonts w:ascii="宋体" w:hAnsi="宋体" w:cs="宋体"/>
                <w:szCs w:val="21"/>
              </w:rPr>
              <w:t>应急脚本管理：脚本录入</w:t>
            </w:r>
            <w:r>
              <w:rPr>
                <w:rFonts w:hint="eastAsia" w:ascii="宋体" w:hAnsi="宋体" w:cs="宋体"/>
                <w:szCs w:val="21"/>
              </w:rPr>
              <w:t>（导入）</w:t>
            </w:r>
            <w:r>
              <w:rPr>
                <w:rFonts w:ascii="宋体" w:hAnsi="宋体" w:cs="宋体"/>
                <w:szCs w:val="21"/>
              </w:rPr>
              <w:t>、脚本编辑、脚本分类、脚本删除、脚本查询、应急模拟设置等。</w:t>
            </w:r>
          </w:p>
          <w:p w14:paraId="78C8E574">
            <w:pPr>
              <w:spacing w:line="400" w:lineRule="exact"/>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演练评估管理：演习目标设定、执行信息记录、执行效果评估、问题识别等。</w:t>
            </w:r>
          </w:p>
          <w:p w14:paraId="75C5326A">
            <w:pPr>
              <w:spacing w:line="400" w:lineRule="exact"/>
              <w:rPr>
                <w:rFonts w:hint="eastAsia" w:ascii="宋体" w:hAnsi="宋体" w:cs="宋体"/>
                <w:szCs w:val="21"/>
              </w:rPr>
            </w:pPr>
            <w:r>
              <w:rPr>
                <w:rFonts w:ascii="宋体" w:hAnsi="宋体" w:cs="宋体"/>
                <w:szCs w:val="21"/>
              </w:rPr>
              <w:t>(4</w:t>
            </w:r>
            <w:r>
              <w:rPr>
                <w:rFonts w:hint="eastAsia" w:ascii="宋体" w:hAnsi="宋体" w:cs="宋体"/>
                <w:szCs w:val="21"/>
              </w:rPr>
              <w:t>）</w:t>
            </w:r>
            <w:r>
              <w:rPr>
                <w:rFonts w:ascii="宋体" w:hAnsi="宋体" w:cs="宋体"/>
                <w:szCs w:val="21"/>
              </w:rPr>
              <w:t>决策建议分析：防护措施设置、剂量估算、效果评估与比较、动态调整和优化等。</w:t>
            </w:r>
          </w:p>
          <w:p w14:paraId="775D4ABF">
            <w:pPr>
              <w:spacing w:line="400" w:lineRule="exact"/>
              <w:rPr>
                <w:rFonts w:hint="eastAsia" w:ascii="宋体" w:hAnsi="宋体" w:cs="宋体"/>
                <w:szCs w:val="21"/>
              </w:rPr>
            </w:pPr>
            <w:r>
              <w:rPr>
                <w:rFonts w:ascii="宋体" w:hAnsi="宋体" w:cs="宋体"/>
                <w:szCs w:val="21"/>
              </w:rPr>
              <w:t>(5</w:t>
            </w:r>
            <w:r>
              <w:rPr>
                <w:rFonts w:hint="eastAsia" w:ascii="宋体" w:hAnsi="宋体" w:cs="宋体"/>
                <w:szCs w:val="21"/>
              </w:rPr>
              <w:t>）</w:t>
            </w:r>
            <w:r>
              <w:rPr>
                <w:rFonts w:ascii="宋体" w:hAnsi="宋体" w:cs="宋体"/>
                <w:szCs w:val="21"/>
              </w:rPr>
              <w:t>一张图展示：地理数据展示、应急规划展示、地图交互操作、交互式查询、图层</w:t>
            </w:r>
            <w:r>
              <w:rPr>
                <w:rFonts w:hint="eastAsia" w:ascii="宋体" w:hAnsi="宋体" w:cs="宋体"/>
                <w:szCs w:val="21"/>
              </w:rPr>
              <w:t>自由</w:t>
            </w:r>
            <w:r>
              <w:rPr>
                <w:rFonts w:ascii="宋体" w:hAnsi="宋体" w:cs="宋体"/>
                <w:szCs w:val="21"/>
              </w:rPr>
              <w:t>叠加、图层透明度等。</w:t>
            </w:r>
          </w:p>
          <w:p w14:paraId="7AEC5387">
            <w:pPr>
              <w:spacing w:line="400" w:lineRule="exact"/>
              <w:rPr>
                <w:rFonts w:hint="eastAsia" w:ascii="宋体" w:hAnsi="宋体" w:cs="宋体"/>
                <w:szCs w:val="21"/>
              </w:rPr>
            </w:pPr>
            <w:r>
              <w:rPr>
                <w:rFonts w:ascii="宋体" w:hAnsi="宋体" w:cs="宋体"/>
                <w:szCs w:val="21"/>
              </w:rPr>
              <w:t>(6</w:t>
            </w:r>
            <w:r>
              <w:rPr>
                <w:rFonts w:hint="eastAsia" w:ascii="宋体" w:hAnsi="宋体" w:cs="宋体"/>
                <w:szCs w:val="21"/>
              </w:rPr>
              <w:t>）</w:t>
            </w:r>
            <w:r>
              <w:rPr>
                <w:rFonts w:ascii="宋体" w:hAnsi="宋体" w:cs="宋体"/>
                <w:szCs w:val="21"/>
              </w:rPr>
              <w:t>地理数据更新：地理数据添加、地理数据编辑、地理数据删除、通知提醒等。</w:t>
            </w:r>
          </w:p>
          <w:p w14:paraId="183493EF">
            <w:pPr>
              <w:spacing w:line="400" w:lineRule="exact"/>
              <w:rPr>
                <w:rFonts w:hint="eastAsia" w:ascii="宋体" w:hAnsi="宋体" w:cs="宋体"/>
                <w:szCs w:val="21"/>
              </w:rPr>
            </w:pPr>
            <w:r>
              <w:rPr>
                <w:rFonts w:ascii="宋体" w:hAnsi="宋体" w:cs="宋体"/>
                <w:szCs w:val="21"/>
              </w:rPr>
              <w:t>(7</w:t>
            </w:r>
            <w:r>
              <w:rPr>
                <w:rFonts w:hint="eastAsia" w:ascii="宋体" w:hAnsi="宋体" w:cs="宋体"/>
                <w:szCs w:val="21"/>
              </w:rPr>
              <w:t>）</w:t>
            </w:r>
            <w:r>
              <w:rPr>
                <w:rFonts w:ascii="宋体" w:hAnsi="宋体" w:cs="宋体"/>
                <w:szCs w:val="21"/>
              </w:rPr>
              <w:t>全局定位管理：标识符分配、位置信息展示、区域划分等。</w:t>
            </w:r>
          </w:p>
          <w:p w14:paraId="57040072">
            <w:pPr>
              <w:spacing w:line="400" w:lineRule="exact"/>
              <w:rPr>
                <w:rFonts w:hint="eastAsia" w:ascii="宋体" w:hAnsi="宋体" w:cs="宋体"/>
                <w:szCs w:val="21"/>
              </w:rPr>
            </w:pPr>
            <w:r>
              <w:rPr>
                <w:rFonts w:ascii="宋体" w:hAnsi="宋体" w:cs="宋体"/>
                <w:szCs w:val="21"/>
              </w:rPr>
              <w:t>(8</w:t>
            </w:r>
            <w:r>
              <w:rPr>
                <w:rFonts w:hint="eastAsia" w:ascii="宋体" w:hAnsi="宋体" w:cs="宋体"/>
                <w:szCs w:val="21"/>
              </w:rPr>
              <w:t>）</w:t>
            </w:r>
            <w:r>
              <w:rPr>
                <w:rFonts w:ascii="宋体" w:hAnsi="宋体" w:cs="宋体"/>
                <w:szCs w:val="21"/>
              </w:rPr>
              <w:t>机组状态接入展示：机组设备对接、可视化展示、数据导出等。</w:t>
            </w:r>
          </w:p>
          <w:p w14:paraId="2A6CB1FE">
            <w:pPr>
              <w:spacing w:line="400" w:lineRule="exact"/>
              <w:rPr>
                <w:rFonts w:hint="eastAsia" w:ascii="宋体" w:hAnsi="宋体" w:cs="宋体"/>
                <w:szCs w:val="21"/>
              </w:rPr>
            </w:pPr>
            <w:r>
              <w:rPr>
                <w:rFonts w:ascii="宋体" w:hAnsi="宋体" w:cs="宋体"/>
                <w:szCs w:val="21"/>
              </w:rPr>
              <w:t>(9</w:t>
            </w:r>
            <w:r>
              <w:rPr>
                <w:rFonts w:hint="eastAsia" w:ascii="宋体" w:hAnsi="宋体" w:cs="宋体"/>
                <w:szCs w:val="21"/>
              </w:rPr>
              <w:t>）</w:t>
            </w:r>
            <w:r>
              <w:rPr>
                <w:rFonts w:ascii="宋体" w:hAnsi="宋体" w:cs="宋体"/>
                <w:szCs w:val="21"/>
              </w:rPr>
              <w:t>环境监测接入展示：环境监测设备对接、可视化展示等。</w:t>
            </w:r>
          </w:p>
          <w:p w14:paraId="2BBBDC37">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10</w:t>
            </w:r>
            <w:r>
              <w:rPr>
                <w:rFonts w:hint="eastAsia" w:ascii="宋体" w:hAnsi="宋体" w:cs="宋体"/>
                <w:szCs w:val="21"/>
              </w:rPr>
              <w:t>）</w:t>
            </w:r>
            <w:r>
              <w:rPr>
                <w:rFonts w:ascii="宋体" w:hAnsi="宋体" w:cs="宋体"/>
                <w:szCs w:val="21"/>
              </w:rPr>
              <w:t>安全防护接入展示：安防设备对接、可视化展示等。</w:t>
            </w:r>
          </w:p>
          <w:p w14:paraId="42224839">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11</w:t>
            </w:r>
            <w:r>
              <w:rPr>
                <w:rFonts w:hint="eastAsia" w:ascii="宋体" w:hAnsi="宋体" w:cs="宋体"/>
                <w:szCs w:val="21"/>
              </w:rPr>
              <w:t>）</w:t>
            </w:r>
            <w:r>
              <w:rPr>
                <w:rFonts w:ascii="宋体" w:hAnsi="宋体" w:cs="宋体"/>
                <w:szCs w:val="21"/>
              </w:rPr>
              <w:t>流出物监测接入展示：监测设备对接、可视化展示等。</w:t>
            </w:r>
          </w:p>
          <w:p w14:paraId="5385967D">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12</w:t>
            </w:r>
            <w:r>
              <w:rPr>
                <w:rFonts w:hint="eastAsia" w:ascii="宋体" w:hAnsi="宋体" w:cs="宋体"/>
                <w:szCs w:val="21"/>
              </w:rPr>
              <w:t>）</w:t>
            </w:r>
            <w:r>
              <w:rPr>
                <w:rFonts w:ascii="宋体" w:hAnsi="宋体" w:cs="宋体"/>
                <w:szCs w:val="21"/>
              </w:rPr>
              <w:t>资源动态管理：资源信息登记、资源信息分类、资源信息维护、资源需求申报、资源调度、资源状态监测、资源利用统计等。</w:t>
            </w:r>
          </w:p>
          <w:p w14:paraId="51EB129B">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13</w:t>
            </w:r>
            <w:r>
              <w:rPr>
                <w:rFonts w:hint="eastAsia" w:ascii="宋体" w:hAnsi="宋体" w:cs="宋体"/>
                <w:szCs w:val="21"/>
              </w:rPr>
              <w:t>）</w:t>
            </w:r>
            <w:r>
              <w:rPr>
                <w:rFonts w:ascii="宋体" w:hAnsi="宋体" w:cs="宋体"/>
                <w:szCs w:val="21"/>
              </w:rPr>
              <w:t>图形化检索：控件查询、组合查询等。</w:t>
            </w:r>
          </w:p>
          <w:p w14:paraId="57E4B1F0">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14</w:t>
            </w:r>
            <w:r>
              <w:rPr>
                <w:rFonts w:hint="eastAsia" w:ascii="宋体" w:hAnsi="宋体" w:cs="宋体"/>
                <w:szCs w:val="21"/>
              </w:rPr>
              <w:t>）</w:t>
            </w:r>
            <w:r>
              <w:rPr>
                <w:rFonts w:ascii="宋体" w:hAnsi="宋体" w:cs="宋体"/>
                <w:szCs w:val="21"/>
              </w:rPr>
              <w:t>资源智能匹配：资源匹配、生成匹配方案等。</w:t>
            </w:r>
          </w:p>
          <w:p w14:paraId="0C828A16">
            <w:pPr>
              <w:spacing w:line="400" w:lineRule="exact"/>
              <w:rPr>
                <w:rFonts w:hint="eastAsia" w:ascii="宋体" w:hAnsi="宋体" w:cs="宋体"/>
                <w:szCs w:val="21"/>
              </w:rPr>
            </w:pPr>
            <w:r>
              <w:rPr>
                <w:rFonts w:ascii="宋体" w:hAnsi="宋体" w:cs="宋体"/>
                <w:szCs w:val="21"/>
              </w:rPr>
              <w:t>5.</w:t>
            </w:r>
            <w:r>
              <w:rPr>
                <w:rFonts w:hint="eastAsia" w:ascii="宋体" w:hAnsi="宋体" w:cs="宋体"/>
                <w:szCs w:val="21"/>
              </w:rPr>
              <w:t>应急组织管理升级</w:t>
            </w:r>
          </w:p>
          <w:p w14:paraId="072DF99F">
            <w:pPr>
              <w:spacing w:line="400" w:lineRule="exact"/>
              <w:rPr>
                <w:rFonts w:hint="eastAsia" w:ascii="宋体" w:hAnsi="宋体" w:cs="宋体"/>
                <w:szCs w:val="21"/>
              </w:rPr>
            </w:pPr>
            <w:r>
              <w:rPr>
                <w:rFonts w:ascii="宋体" w:hAnsi="宋体" w:cs="宋体"/>
                <w:szCs w:val="21"/>
              </w:rPr>
              <w:t>（1）应急组织架构：自治区、市两级组织结构管理、成员信息管理、图形化展示、权限设置等。</w:t>
            </w:r>
          </w:p>
          <w:p w14:paraId="076221D4">
            <w:pPr>
              <w:spacing w:line="400" w:lineRule="exact"/>
              <w:rPr>
                <w:rFonts w:hint="eastAsia" w:ascii="宋体" w:hAnsi="宋体" w:cs="宋体"/>
                <w:szCs w:val="21"/>
              </w:rPr>
            </w:pPr>
            <w:r>
              <w:rPr>
                <w:rFonts w:ascii="宋体" w:hAnsi="宋体" w:cs="宋体"/>
                <w:szCs w:val="21"/>
              </w:rPr>
              <w:t>（2）应急人员管理：人员信息录入、人员信息分类、人员信息编辑、人员信息删除、应急人员调度、人员信息查询等。</w:t>
            </w:r>
          </w:p>
          <w:p w14:paraId="244B6116">
            <w:pPr>
              <w:spacing w:line="400" w:lineRule="exact"/>
              <w:rPr>
                <w:rFonts w:hint="eastAsia" w:ascii="宋体" w:hAnsi="宋体" w:cs="宋体"/>
                <w:szCs w:val="21"/>
              </w:rPr>
            </w:pPr>
            <w:r>
              <w:rPr>
                <w:rFonts w:ascii="宋体" w:hAnsi="宋体" w:cs="宋体"/>
                <w:szCs w:val="21"/>
              </w:rPr>
              <w:t>（3）监测队伍：监测队伍信息新增、监测队伍信息分类、监测队伍信息编辑、监测队伍信息删除、监测队伍信息查询、监测队伍信息导入、监测队伍信息导出等。</w:t>
            </w:r>
          </w:p>
          <w:p w14:paraId="363495A7">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w:t>
            </w:r>
            <w:r>
              <w:rPr>
                <w:rFonts w:ascii="宋体" w:hAnsi="宋体" w:cs="宋体"/>
                <w:szCs w:val="21"/>
              </w:rPr>
              <w:t>专家信息：专家信息录入、专家信息分类、专家信息编辑、专家信息删除、专家信息查询、专家信息导入、专家信息导出等。</w:t>
            </w:r>
          </w:p>
          <w:p w14:paraId="0F3C632F">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w:t>
            </w:r>
            <w:r>
              <w:rPr>
                <w:rFonts w:ascii="宋体" w:hAnsi="宋体" w:cs="宋体"/>
                <w:szCs w:val="21"/>
              </w:rPr>
              <w:t>电子预案维护管理：电子预案编辑、电子预案审批、电子预案发布、电子预案分类、电子预案查询、电子预案备份、电子预案导入、电子预案导出等。</w:t>
            </w:r>
          </w:p>
          <w:p w14:paraId="753FA6E5">
            <w:pPr>
              <w:spacing w:line="400" w:lineRule="exact"/>
              <w:rPr>
                <w:rFonts w:hint="eastAsia" w:ascii="宋体" w:hAnsi="宋体" w:cs="宋体"/>
                <w:szCs w:val="21"/>
              </w:rPr>
            </w:pPr>
            <w:r>
              <w:rPr>
                <w:rFonts w:ascii="宋体" w:hAnsi="宋体" w:cs="宋体"/>
                <w:szCs w:val="21"/>
              </w:rPr>
              <w:t>6.应急资源管理</w:t>
            </w:r>
          </w:p>
          <w:p w14:paraId="2AC31448">
            <w:pPr>
              <w:spacing w:line="400" w:lineRule="exact"/>
              <w:rPr>
                <w:rFonts w:hint="eastAsia" w:ascii="宋体" w:hAnsi="宋体" w:cs="宋体"/>
                <w:szCs w:val="21"/>
              </w:rPr>
            </w:pPr>
            <w:r>
              <w:rPr>
                <w:rFonts w:ascii="宋体" w:hAnsi="宋体" w:cs="宋体"/>
                <w:szCs w:val="21"/>
              </w:rPr>
              <w:t>（1）应急设备：设备信息录入、设备信息分类、设备信息维护、设备状态监测、设备数据统计等。</w:t>
            </w:r>
          </w:p>
          <w:p w14:paraId="6C4B35F4">
            <w:pPr>
              <w:spacing w:line="400" w:lineRule="exact"/>
              <w:rPr>
                <w:rFonts w:hint="eastAsia" w:ascii="宋体" w:hAnsi="宋体" w:cs="宋体"/>
                <w:szCs w:val="21"/>
              </w:rPr>
            </w:pPr>
            <w:r>
              <w:rPr>
                <w:rFonts w:ascii="宋体" w:hAnsi="宋体" w:cs="宋体"/>
                <w:szCs w:val="21"/>
              </w:rPr>
              <w:t>（2）区域人口信息：人口数量、村庄名称、位置等信息的自由编辑。</w:t>
            </w:r>
          </w:p>
          <w:p w14:paraId="04D6C593">
            <w:pPr>
              <w:spacing w:line="400" w:lineRule="exact"/>
              <w:rPr>
                <w:rFonts w:hint="eastAsia" w:ascii="宋体" w:hAnsi="宋体" w:cs="宋体"/>
                <w:szCs w:val="21"/>
              </w:rPr>
            </w:pPr>
            <w:r>
              <w:rPr>
                <w:rFonts w:ascii="宋体" w:hAnsi="宋体" w:cs="宋体"/>
                <w:szCs w:val="21"/>
              </w:rPr>
              <w:t>（3）重点防护目标：重点目标类型、位置、人员数量等信息的自由编辑。</w:t>
            </w:r>
          </w:p>
          <w:p w14:paraId="7F728733">
            <w:pPr>
              <w:spacing w:line="400" w:lineRule="exact"/>
              <w:rPr>
                <w:rFonts w:hint="eastAsia" w:ascii="宋体" w:hAnsi="宋体" w:cs="宋体"/>
                <w:szCs w:val="21"/>
              </w:rPr>
            </w:pPr>
            <w:r>
              <w:rPr>
                <w:rFonts w:ascii="宋体" w:hAnsi="宋体" w:cs="宋体"/>
                <w:szCs w:val="21"/>
              </w:rPr>
              <w:t>（4）案例数据：核事故案例的导入、分类、查询、删除等功能。</w:t>
            </w:r>
          </w:p>
          <w:p w14:paraId="3F7C3872">
            <w:pPr>
              <w:spacing w:line="400" w:lineRule="exact"/>
              <w:rPr>
                <w:rFonts w:hint="eastAsia" w:ascii="宋体" w:hAnsi="宋体" w:cs="宋体"/>
                <w:szCs w:val="21"/>
              </w:rPr>
            </w:pPr>
            <w:r>
              <w:rPr>
                <w:rFonts w:ascii="宋体" w:hAnsi="宋体" w:cs="宋体"/>
                <w:szCs w:val="21"/>
              </w:rPr>
              <w:t>（5）文档数据：对系统中的手册、规程、标准、教材等文档进行管理，并支持对文档数据的录入、查询、预览、导出等功能。</w:t>
            </w:r>
          </w:p>
          <w:p w14:paraId="38328ADD">
            <w:pPr>
              <w:spacing w:line="400" w:lineRule="exact"/>
              <w:rPr>
                <w:rFonts w:hint="eastAsia" w:ascii="宋体" w:hAnsi="宋体" w:cs="宋体"/>
                <w:szCs w:val="21"/>
              </w:rPr>
            </w:pPr>
            <w:r>
              <w:rPr>
                <w:rFonts w:ascii="宋体" w:hAnsi="宋体" w:cs="宋体"/>
                <w:szCs w:val="21"/>
              </w:rPr>
              <w:t>7.GIS专题平台</w:t>
            </w:r>
          </w:p>
          <w:p w14:paraId="28D53AA4">
            <w:pPr>
              <w:spacing w:line="400" w:lineRule="exact"/>
              <w:rPr>
                <w:rFonts w:hint="eastAsia" w:ascii="宋体" w:hAnsi="宋体" w:cs="宋体"/>
                <w:szCs w:val="21"/>
              </w:rPr>
            </w:pPr>
            <w:r>
              <w:rPr>
                <w:rFonts w:ascii="宋体" w:hAnsi="宋体" w:cs="宋体"/>
                <w:szCs w:val="21"/>
              </w:rPr>
              <w:t>包含辖区数据集成、辖区监测数据、辐射监测数据展示、工况数据展示、自动站数据展示、现场测量数据展示、实验室数据展示、车载监测数据展示、辐射环境热力图等。</w:t>
            </w:r>
          </w:p>
          <w:p w14:paraId="4CA482D3">
            <w:pPr>
              <w:spacing w:line="400" w:lineRule="exact"/>
              <w:rPr>
                <w:rFonts w:hint="eastAsia" w:ascii="宋体" w:hAnsi="宋体" w:cs="宋体"/>
                <w:szCs w:val="21"/>
              </w:rPr>
            </w:pPr>
            <w:r>
              <w:rPr>
                <w:rFonts w:ascii="宋体" w:hAnsi="宋体" w:cs="宋体"/>
                <w:szCs w:val="21"/>
              </w:rPr>
              <w:t>8.核应急平台</w:t>
            </w:r>
          </w:p>
          <w:p w14:paraId="438273F2">
            <w:pPr>
              <w:spacing w:line="400" w:lineRule="exact"/>
              <w:rPr>
                <w:rFonts w:hint="eastAsia" w:ascii="宋体" w:hAnsi="宋体" w:cs="宋体"/>
                <w:szCs w:val="21"/>
              </w:rPr>
            </w:pPr>
            <w:r>
              <w:rPr>
                <w:rFonts w:ascii="宋体" w:hAnsi="宋体" w:cs="宋体"/>
                <w:szCs w:val="21"/>
              </w:rPr>
              <w:t>包含实验室数据采集、现场测量数据上报采集、省自动站数据采集、自动站接入终端告警、事件监测报告生成、监测方案管理及导入、放射源单位管理、放射源管理、非密闭放射性物质管理等。</w:t>
            </w:r>
          </w:p>
          <w:p w14:paraId="14BFF858">
            <w:pPr>
              <w:spacing w:line="400" w:lineRule="exact"/>
              <w:rPr>
                <w:rFonts w:hint="eastAsia" w:ascii="宋体" w:hAnsi="宋体" w:cs="宋体"/>
                <w:szCs w:val="21"/>
              </w:rPr>
            </w:pPr>
            <w:r>
              <w:rPr>
                <w:rFonts w:ascii="宋体" w:hAnsi="宋体" w:cs="宋体"/>
                <w:szCs w:val="21"/>
              </w:rPr>
              <w:t>9.车载数据通讯及系统</w:t>
            </w:r>
          </w:p>
          <w:p w14:paraId="2CD0515B">
            <w:pPr>
              <w:spacing w:line="400" w:lineRule="exact"/>
              <w:rPr>
                <w:rFonts w:hint="eastAsia" w:ascii="宋体" w:hAnsi="宋体" w:cs="宋体"/>
                <w:szCs w:val="21"/>
              </w:rPr>
            </w:pPr>
            <w:r>
              <w:rPr>
                <w:rFonts w:ascii="宋体" w:hAnsi="宋体" w:cs="宋体"/>
                <w:szCs w:val="21"/>
              </w:rPr>
              <w:t>包含碘化钠谱仪精度优化、监测任务执行反馈、</w:t>
            </w:r>
            <w:r>
              <w:rPr>
                <w:rFonts w:hint="eastAsia" w:ascii="宋体" w:hAnsi="宋体" w:cs="宋体"/>
                <w:szCs w:val="21"/>
              </w:rPr>
              <w:t>卫星</w:t>
            </w:r>
            <w:r>
              <w:rPr>
                <w:rFonts w:ascii="宋体" w:hAnsi="宋体" w:cs="宋体"/>
                <w:szCs w:val="21"/>
              </w:rPr>
              <w:t>定位升级、车载会商管理、位置上报管理、监测数据缓存处理、车载视频接入管理、数据离线上报功能、车载GIS平台升级等。</w:t>
            </w:r>
          </w:p>
          <w:p w14:paraId="6DCE77C0">
            <w:pPr>
              <w:spacing w:line="400" w:lineRule="exact"/>
              <w:rPr>
                <w:rFonts w:hint="eastAsia" w:ascii="宋体" w:hAnsi="宋体" w:cs="宋体"/>
                <w:szCs w:val="21"/>
              </w:rPr>
            </w:pPr>
            <w:r>
              <w:rPr>
                <w:rFonts w:ascii="宋体" w:hAnsi="宋体" w:cs="宋体"/>
                <w:szCs w:val="21"/>
              </w:rPr>
              <w:t>10.辐射事故后果评价</w:t>
            </w:r>
          </w:p>
          <w:p w14:paraId="2A728359">
            <w:pPr>
              <w:spacing w:line="400" w:lineRule="exact"/>
              <w:rPr>
                <w:rFonts w:hint="eastAsia" w:ascii="宋体" w:hAnsi="宋体" w:cs="宋体"/>
                <w:szCs w:val="21"/>
              </w:rPr>
            </w:pPr>
            <w:r>
              <w:rPr>
                <w:rFonts w:ascii="宋体" w:hAnsi="宋体" w:cs="宋体"/>
                <w:szCs w:val="21"/>
              </w:rPr>
              <w:t>包含核素数据管理、评价报告管理、事故初判管理、剂量评价管理等。</w:t>
            </w:r>
          </w:p>
          <w:p w14:paraId="6A7AAB97">
            <w:pPr>
              <w:spacing w:line="400" w:lineRule="exact"/>
              <w:rPr>
                <w:rFonts w:hint="eastAsia" w:ascii="宋体" w:hAnsi="宋体" w:cs="宋体"/>
                <w:szCs w:val="21"/>
              </w:rPr>
            </w:pPr>
            <w:r>
              <w:rPr>
                <w:rFonts w:ascii="宋体" w:hAnsi="宋体" w:cs="宋体"/>
                <w:szCs w:val="21"/>
              </w:rPr>
              <w:t>11.移动APP平台</w:t>
            </w:r>
          </w:p>
          <w:p w14:paraId="007EA1BB">
            <w:pPr>
              <w:spacing w:line="400" w:lineRule="exact"/>
              <w:rPr>
                <w:rFonts w:hint="eastAsia" w:ascii="宋体" w:hAnsi="宋体" w:cs="宋体"/>
                <w:szCs w:val="21"/>
              </w:rPr>
            </w:pPr>
            <w:r>
              <w:rPr>
                <w:rFonts w:ascii="宋体" w:hAnsi="宋体" w:cs="宋体"/>
                <w:szCs w:val="21"/>
              </w:rPr>
              <w:t>移动APP平台应基于“广西生态环境”APP进行建设，在“广西生态环境”APP新增相关功能模块。</w:t>
            </w:r>
          </w:p>
          <w:p w14:paraId="5D69F443">
            <w:pPr>
              <w:spacing w:line="400" w:lineRule="exact"/>
              <w:rPr>
                <w:rFonts w:hint="eastAsia" w:ascii="宋体" w:hAnsi="宋体" w:cs="宋体"/>
                <w:szCs w:val="21"/>
              </w:rPr>
            </w:pPr>
            <w:r>
              <w:rPr>
                <w:rFonts w:ascii="宋体" w:hAnsi="宋体" w:cs="宋体"/>
                <w:szCs w:val="21"/>
              </w:rPr>
              <w:t>（1）值班管理：值班人员信息管理、值班日志、通讯录、报警信息等。</w:t>
            </w:r>
          </w:p>
          <w:p w14:paraId="2162B5C1">
            <w:pPr>
              <w:spacing w:line="400" w:lineRule="exact"/>
              <w:rPr>
                <w:rFonts w:hint="eastAsia" w:ascii="宋体" w:hAnsi="宋体" w:cs="宋体"/>
                <w:szCs w:val="21"/>
              </w:rPr>
            </w:pPr>
            <w:r>
              <w:rPr>
                <w:rFonts w:ascii="宋体" w:hAnsi="宋体" w:cs="宋体"/>
                <w:szCs w:val="21"/>
              </w:rPr>
              <w:t>（2）应急响应启动</w:t>
            </w:r>
          </w:p>
          <w:p w14:paraId="462D6CD6">
            <w:pPr>
              <w:spacing w:line="400" w:lineRule="exact"/>
              <w:rPr>
                <w:rFonts w:hint="eastAsia" w:ascii="宋体" w:hAnsi="宋体" w:cs="宋体"/>
                <w:szCs w:val="21"/>
              </w:rPr>
            </w:pPr>
            <w:r>
              <w:rPr>
                <w:rFonts w:ascii="宋体" w:hAnsi="宋体" w:cs="宋体"/>
                <w:szCs w:val="21"/>
              </w:rPr>
              <w:t>（3）应急通报：应急通报通知、文电传输、电子传真、短信集成等。</w:t>
            </w:r>
          </w:p>
          <w:p w14:paraId="76F7FED7">
            <w:pPr>
              <w:spacing w:line="400" w:lineRule="exact"/>
              <w:rPr>
                <w:rFonts w:hint="eastAsia" w:ascii="宋体" w:hAnsi="宋体" w:cs="宋体"/>
                <w:szCs w:val="21"/>
              </w:rPr>
            </w:pPr>
            <w:r>
              <w:rPr>
                <w:rFonts w:ascii="宋体" w:hAnsi="宋体" w:cs="宋体"/>
                <w:szCs w:val="21"/>
              </w:rPr>
              <w:t>（4）监测数据管理：监测数据上报、监测查询管理、监测数据统计分析、监测告警管理、数据导出管理等。</w:t>
            </w:r>
          </w:p>
          <w:p w14:paraId="1768EE70">
            <w:pPr>
              <w:spacing w:line="400" w:lineRule="exact"/>
              <w:rPr>
                <w:rFonts w:hint="eastAsia" w:ascii="宋体" w:hAnsi="宋体" w:cs="宋体"/>
                <w:szCs w:val="21"/>
              </w:rPr>
            </w:pPr>
            <w:r>
              <w:rPr>
                <w:rFonts w:ascii="宋体" w:hAnsi="宋体" w:cs="宋体"/>
                <w:szCs w:val="21"/>
              </w:rPr>
              <w:t>（5）信息报送：信息接收、信息上报、信息下达、信息抄送、信息汇总等。</w:t>
            </w:r>
          </w:p>
          <w:p w14:paraId="7E007B42">
            <w:pPr>
              <w:spacing w:line="400" w:lineRule="exact"/>
              <w:rPr>
                <w:rFonts w:hint="eastAsia" w:ascii="宋体" w:hAnsi="宋体" w:cs="宋体"/>
                <w:szCs w:val="21"/>
              </w:rPr>
            </w:pPr>
            <w:r>
              <w:rPr>
                <w:rFonts w:ascii="宋体" w:hAnsi="宋体" w:cs="宋体"/>
                <w:szCs w:val="21"/>
              </w:rPr>
              <w:t>（6）应急组织资源管理：组织架构查询统计、应急人力统计、监测队伍查询统计、专家信息统计、预案信息查询统计、应急监测设备统计、区域人口信息统计、重点防护目标统计等。</w:t>
            </w:r>
          </w:p>
          <w:p w14:paraId="3FA6BF49">
            <w:pPr>
              <w:spacing w:line="400" w:lineRule="exact"/>
              <w:rPr>
                <w:rFonts w:hint="eastAsia" w:ascii="宋体" w:hAnsi="宋体" w:cs="宋体"/>
                <w:szCs w:val="21"/>
              </w:rPr>
            </w:pPr>
            <w:r>
              <w:rPr>
                <w:rFonts w:ascii="宋体" w:hAnsi="宋体" w:cs="宋体"/>
                <w:szCs w:val="21"/>
              </w:rPr>
              <w:t>二、新建广西辐射安全监管应用</w:t>
            </w:r>
          </w:p>
          <w:p w14:paraId="0683782A">
            <w:pPr>
              <w:spacing w:line="400" w:lineRule="exact"/>
              <w:rPr>
                <w:rFonts w:hint="eastAsia" w:ascii="宋体" w:hAnsi="宋体" w:cs="宋体"/>
                <w:szCs w:val="21"/>
              </w:rPr>
            </w:pPr>
            <w:r>
              <w:rPr>
                <w:rFonts w:ascii="宋体" w:hAnsi="宋体" w:cs="宋体"/>
                <w:szCs w:val="21"/>
              </w:rPr>
              <w:t>▲（一）总体要求</w:t>
            </w:r>
          </w:p>
          <w:p w14:paraId="3426DFF0">
            <w:pPr>
              <w:spacing w:line="400" w:lineRule="exact"/>
              <w:rPr>
                <w:rFonts w:hint="eastAsia" w:ascii="宋体" w:hAnsi="宋体" w:cs="宋体"/>
                <w:szCs w:val="21"/>
              </w:rPr>
            </w:pPr>
            <w:r>
              <w:rPr>
                <w:rFonts w:ascii="宋体" w:hAnsi="宋体" w:cs="宋体"/>
                <w:szCs w:val="21"/>
              </w:rPr>
              <w:t>系统配置PC端及移动端，设置监管组织及人员管理、监管及评估规则管理、监管对象管理、监管计划和任务管理、检查评估管理、可视化及分析、数据监控等功能模块，为辐射安全监管人员、系统管理人员等提供辐射领域安全监管手段，完善核与辐射安全监管体系，提升广西核与辐射安全管理信息化水平，推动核与辐射安全治理体系和治理能力现代化。</w:t>
            </w:r>
          </w:p>
          <w:p w14:paraId="1599140F">
            <w:pPr>
              <w:spacing w:line="400" w:lineRule="exact"/>
              <w:rPr>
                <w:rFonts w:hint="eastAsia" w:ascii="宋体" w:hAnsi="宋体" w:cs="宋体"/>
                <w:szCs w:val="21"/>
              </w:rPr>
            </w:pPr>
            <w:r>
              <w:rPr>
                <w:rFonts w:ascii="宋体" w:hAnsi="宋体" w:cs="宋体"/>
                <w:szCs w:val="21"/>
              </w:rPr>
              <w:t>辐射安全系统实现对辐射组织和人员管理，辐射监管任务的管理，主要的数据来源为广西壮族自治区生态环境厅的相关业务管理数据，包括辐射单位、组织和辐射监管任务，现有核技术利用项目数据来自于国家核技术利用辐射安全监管系统，通过API接口，实现自动的数据采集，最终把组织、人员、核技术利用项目、监管任务通过可视化的方式输送到系统展示画面和相关应用平台。</w:t>
            </w:r>
            <w:bookmarkStart w:id="59" w:name="OLE_LINK6"/>
          </w:p>
          <w:p w14:paraId="79A7AF39">
            <w:pPr>
              <w:spacing w:line="400" w:lineRule="exact"/>
              <w:rPr>
                <w:rFonts w:hint="eastAsia" w:ascii="宋体" w:hAnsi="宋体" w:cs="宋体"/>
                <w:szCs w:val="21"/>
              </w:rPr>
            </w:pPr>
            <w:r>
              <w:rPr>
                <w:rFonts w:ascii="宋体" w:hAnsi="宋体" w:cs="宋体"/>
                <w:szCs w:val="21"/>
              </w:rPr>
              <w:t>应用需按照广西生态环境业务应用系统的总体架构要求完成</w:t>
            </w:r>
            <w:r>
              <w:rPr>
                <w:rFonts w:hint="eastAsia" w:ascii="宋体" w:hAnsi="宋体" w:cs="宋体"/>
                <w:szCs w:val="21"/>
              </w:rPr>
              <w:t>国产技术栈</w:t>
            </w:r>
            <w:r>
              <w:rPr>
                <w:rFonts w:ascii="宋体" w:hAnsi="宋体" w:cs="宋体"/>
                <w:szCs w:val="21"/>
              </w:rPr>
              <w:t>改造，利用</w:t>
            </w:r>
            <w:r>
              <w:rPr>
                <w:rFonts w:hint="eastAsia" w:ascii="宋体" w:hAnsi="宋体" w:cs="宋体"/>
                <w:szCs w:val="21"/>
              </w:rPr>
              <w:t>广西“生态云”统一支撑平台</w:t>
            </w:r>
            <w:r>
              <w:rPr>
                <w:rFonts w:ascii="宋体" w:hAnsi="宋体" w:cs="宋体"/>
                <w:szCs w:val="21"/>
              </w:rPr>
              <w:t>的云原生框架能力和工具，以微服务模块的方式将应用功能集成到广西生态环境业务应用系统中，支持将系统的分析数据、展示内容推送到广西生态云应用中。</w:t>
            </w:r>
            <w:bookmarkEnd w:id="59"/>
          </w:p>
          <w:p w14:paraId="0E10CC2F">
            <w:pPr>
              <w:spacing w:line="400" w:lineRule="exact"/>
              <w:rPr>
                <w:rFonts w:hint="eastAsia" w:ascii="宋体" w:hAnsi="宋体" w:cs="宋体"/>
                <w:szCs w:val="21"/>
              </w:rPr>
            </w:pPr>
            <w:r>
              <w:rPr>
                <w:rFonts w:ascii="宋体" w:hAnsi="宋体" w:cs="宋体"/>
                <w:szCs w:val="21"/>
              </w:rPr>
              <w:t>▲（二）系统功能</w:t>
            </w:r>
          </w:p>
          <w:p w14:paraId="7D18C377">
            <w:pPr>
              <w:spacing w:line="400" w:lineRule="exact"/>
              <w:rPr>
                <w:rFonts w:hint="eastAsia" w:ascii="宋体" w:hAnsi="宋体" w:cs="宋体"/>
                <w:szCs w:val="21"/>
              </w:rPr>
            </w:pPr>
            <w:r>
              <w:rPr>
                <w:rFonts w:ascii="宋体" w:hAnsi="宋体" w:cs="宋体"/>
                <w:szCs w:val="21"/>
              </w:rPr>
              <w:t>1.监管组织及人员管理</w:t>
            </w:r>
          </w:p>
          <w:p w14:paraId="0CEB9F4F">
            <w:pPr>
              <w:spacing w:line="400" w:lineRule="exact"/>
              <w:rPr>
                <w:rFonts w:hint="eastAsia" w:ascii="宋体" w:hAns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w:t>
            </w:r>
            <w:r>
              <w:rPr>
                <w:rFonts w:ascii="宋体" w:hAnsi="宋体" w:cs="宋体"/>
                <w:szCs w:val="21"/>
              </w:rPr>
              <w:t>组织结构管理:组织结构节点新增、组织结构节点编辑、组织结构节点删除、组织结构节点查询、节点提醒和通知等。</w:t>
            </w:r>
          </w:p>
          <w:p w14:paraId="15BB0055">
            <w:pPr>
              <w:spacing w:line="400" w:lineRule="exact"/>
              <w:rPr>
                <w:rFonts w:hint="eastAsia" w:ascii="宋体" w:hAnsi="宋体" w:cs="宋体"/>
                <w:szCs w:val="21"/>
              </w:rPr>
            </w:pPr>
            <w:r>
              <w:rPr>
                <w:rFonts w:ascii="宋体" w:hAnsi="宋体" w:cs="宋体"/>
                <w:szCs w:val="21"/>
              </w:rPr>
              <w:t>（2）人员信息管理：人员信息新增、人员信息编辑、人员信息分类、人员信息删除、人员信息查询、人员信息导入、人员信息导出等。</w:t>
            </w:r>
          </w:p>
          <w:p w14:paraId="2C4BAC8F">
            <w:pPr>
              <w:spacing w:line="400" w:lineRule="exact"/>
              <w:rPr>
                <w:rFonts w:hint="eastAsia" w:ascii="宋体" w:hAnsi="宋体" w:cs="宋体"/>
                <w:szCs w:val="21"/>
              </w:rPr>
            </w:pPr>
            <w:r>
              <w:rPr>
                <w:rFonts w:ascii="宋体" w:hAnsi="宋体" w:cs="宋体"/>
                <w:szCs w:val="21"/>
              </w:rPr>
              <w:t>（3）组织人员关系管理：组织人员关系新增、组织人员关系编辑、组织人员关系删除、组织人员关系查询等。</w:t>
            </w:r>
          </w:p>
          <w:p w14:paraId="0FBE6557">
            <w:pPr>
              <w:spacing w:line="400" w:lineRule="exact"/>
              <w:rPr>
                <w:rFonts w:hint="eastAsia" w:ascii="宋体" w:hAnsi="宋体" w:cs="宋体"/>
                <w:szCs w:val="21"/>
              </w:rPr>
            </w:pPr>
            <w:r>
              <w:rPr>
                <w:rFonts w:ascii="宋体" w:hAnsi="宋体" w:cs="宋体"/>
                <w:szCs w:val="21"/>
              </w:rPr>
              <w:t>2.监管及评估规则管理</w:t>
            </w:r>
          </w:p>
          <w:p w14:paraId="04D3E332">
            <w:pPr>
              <w:spacing w:line="400" w:lineRule="exact"/>
              <w:rPr>
                <w:rFonts w:hint="eastAsia" w:ascii="宋体" w:hAnsi="宋体" w:cs="宋体"/>
                <w:szCs w:val="21"/>
              </w:rPr>
            </w:pPr>
            <w:r>
              <w:rPr>
                <w:rFonts w:ascii="宋体" w:hAnsi="宋体" w:cs="宋体"/>
                <w:szCs w:val="21"/>
              </w:rPr>
              <w:t>（1）监管周期管理：核技术利用项目信息管理、核技术利用项目监管周期管理等。</w:t>
            </w:r>
          </w:p>
          <w:p w14:paraId="42C1701D">
            <w:pPr>
              <w:spacing w:line="400" w:lineRule="exact"/>
              <w:rPr>
                <w:rFonts w:hint="eastAsia" w:ascii="宋体" w:hAnsi="宋体" w:cs="宋体"/>
                <w:szCs w:val="21"/>
              </w:rPr>
            </w:pPr>
            <w:r>
              <w:rPr>
                <w:rFonts w:ascii="宋体" w:hAnsi="宋体" w:cs="宋体"/>
                <w:szCs w:val="21"/>
              </w:rPr>
              <w:t>（2）评估指标管理：监管对象分类管理、分项指标管理等。</w:t>
            </w:r>
          </w:p>
          <w:p w14:paraId="04C0EF42">
            <w:pPr>
              <w:spacing w:line="400" w:lineRule="exact"/>
              <w:rPr>
                <w:rFonts w:hint="eastAsia" w:ascii="宋体" w:hAnsi="宋体" w:cs="宋体"/>
                <w:szCs w:val="21"/>
              </w:rPr>
            </w:pPr>
            <w:r>
              <w:rPr>
                <w:rFonts w:ascii="宋体" w:hAnsi="宋体" w:cs="宋体"/>
                <w:szCs w:val="21"/>
              </w:rPr>
              <w:t>（3）分级规则管理：风险分级管理、分级规则管理等。</w:t>
            </w:r>
          </w:p>
          <w:p w14:paraId="66F64F13">
            <w:pPr>
              <w:spacing w:line="400" w:lineRule="exact"/>
              <w:rPr>
                <w:rFonts w:hint="eastAsia" w:ascii="宋体" w:hAnsi="宋体" w:cs="宋体"/>
                <w:szCs w:val="21"/>
              </w:rPr>
            </w:pPr>
            <w:r>
              <w:rPr>
                <w:rFonts w:ascii="宋体" w:hAnsi="宋体" w:cs="宋体"/>
                <w:szCs w:val="21"/>
              </w:rPr>
              <w:t>3.监管计划和任务管理</w:t>
            </w:r>
          </w:p>
          <w:p w14:paraId="6C282969">
            <w:pPr>
              <w:spacing w:line="400" w:lineRule="exact"/>
              <w:rPr>
                <w:rFonts w:hint="eastAsia" w:ascii="宋体" w:hAnsi="宋体" w:cs="宋体"/>
                <w:szCs w:val="21"/>
              </w:rPr>
            </w:pPr>
            <w:r>
              <w:rPr>
                <w:rFonts w:ascii="宋体" w:hAnsi="宋体" w:cs="宋体"/>
                <w:szCs w:val="21"/>
              </w:rPr>
              <w:t>（1）监管计划管理：监管计划自动生成、监管计划新增、监管计划分类、监管计划编辑、监管计划推送、监管计划跟踪、监管计划删除、监管计划查询等。</w:t>
            </w:r>
          </w:p>
          <w:p w14:paraId="14ED59E3">
            <w:pPr>
              <w:spacing w:line="400" w:lineRule="exact"/>
              <w:rPr>
                <w:rFonts w:hint="eastAsia" w:ascii="宋体" w:hAnsi="宋体" w:cs="宋体"/>
                <w:szCs w:val="21"/>
              </w:rPr>
            </w:pPr>
            <w:r>
              <w:rPr>
                <w:rFonts w:ascii="宋体" w:hAnsi="宋体" w:cs="宋体"/>
                <w:szCs w:val="21"/>
              </w:rPr>
              <w:t>（2）任务自动提醒：自动提醒设置、提醒规则设置、提醒对象设置、提醒内容设置、提醒方式设置、历史提醒记录等。</w:t>
            </w:r>
          </w:p>
          <w:p w14:paraId="1BF3AAF5">
            <w:pPr>
              <w:spacing w:line="400" w:lineRule="exact"/>
              <w:rPr>
                <w:rFonts w:hint="eastAsia" w:ascii="宋体" w:hAnsi="宋体" w:cs="宋体"/>
                <w:szCs w:val="21"/>
              </w:rPr>
            </w:pPr>
            <w:r>
              <w:rPr>
                <w:rFonts w:ascii="宋体" w:hAnsi="宋体" w:cs="宋体"/>
                <w:szCs w:val="21"/>
              </w:rPr>
              <w:t>（3）监管任务管理：监管任务自动生成、监管任务新增、监管任务编辑、监管任务分类、监管任务推送、监管任务跟踪、监管任务删除、监管任务查询等。</w:t>
            </w:r>
          </w:p>
          <w:p w14:paraId="5A6F2B0B">
            <w:pPr>
              <w:spacing w:line="400" w:lineRule="exact"/>
              <w:rPr>
                <w:rFonts w:hint="eastAsia" w:ascii="宋体" w:hAnsi="宋体" w:cs="宋体"/>
                <w:szCs w:val="21"/>
              </w:rPr>
            </w:pPr>
            <w:r>
              <w:rPr>
                <w:rFonts w:ascii="宋体" w:hAnsi="宋体" w:cs="宋体"/>
                <w:szCs w:val="21"/>
              </w:rPr>
              <w:t>4.检查评估管理</w:t>
            </w:r>
          </w:p>
          <w:p w14:paraId="5132CFBA">
            <w:pPr>
              <w:spacing w:line="400" w:lineRule="exact"/>
              <w:rPr>
                <w:rFonts w:hint="eastAsia" w:ascii="宋体" w:hAnsi="宋体" w:cs="宋体"/>
                <w:szCs w:val="21"/>
              </w:rPr>
            </w:pPr>
            <w:r>
              <w:rPr>
                <w:rFonts w:ascii="宋体" w:hAnsi="宋体" w:cs="宋体"/>
                <w:szCs w:val="21"/>
              </w:rPr>
              <w:t>（1）现场检查评分信息采集：评分表填报、评分表审批、评分表编辑、评分表分类、评分表查询、隐患材料上传、数据导出等。</w:t>
            </w:r>
          </w:p>
          <w:p w14:paraId="3866CB83">
            <w:pPr>
              <w:spacing w:line="400" w:lineRule="exact"/>
              <w:rPr>
                <w:rFonts w:hint="eastAsia" w:ascii="宋体" w:hAnsi="宋体" w:cs="宋体"/>
                <w:szCs w:val="21"/>
              </w:rPr>
            </w:pPr>
            <w:r>
              <w:rPr>
                <w:rFonts w:ascii="宋体" w:hAnsi="宋体" w:cs="宋体"/>
                <w:szCs w:val="21"/>
              </w:rPr>
              <w:t>（2）风险等级评估管理：风险等级定义、风险等级计算、风险等级编辑、风险等级历史记录、风险等级报告、风险等级查询等。</w:t>
            </w:r>
          </w:p>
          <w:p w14:paraId="0781C921">
            <w:pPr>
              <w:spacing w:line="400" w:lineRule="exact"/>
              <w:rPr>
                <w:rFonts w:hint="eastAsia" w:ascii="宋体" w:hAnsi="宋体" w:cs="宋体"/>
                <w:szCs w:val="21"/>
              </w:rPr>
            </w:pPr>
            <w:r>
              <w:rPr>
                <w:rFonts w:ascii="宋体" w:hAnsi="宋体" w:cs="宋体"/>
                <w:szCs w:val="21"/>
              </w:rPr>
              <w:t>（3）每年</w:t>
            </w:r>
            <w:r>
              <w:rPr>
                <w:rFonts w:hint="eastAsia" w:ascii="宋体" w:hAnsi="宋体" w:cs="宋体"/>
                <w:szCs w:val="21"/>
              </w:rPr>
              <w:t>“</w:t>
            </w:r>
            <w:r>
              <w:rPr>
                <w:rFonts w:ascii="宋体" w:hAnsi="宋体" w:cs="宋体"/>
                <w:szCs w:val="21"/>
              </w:rPr>
              <w:t>双随机、一公开</w:t>
            </w:r>
            <w:r>
              <w:rPr>
                <w:rFonts w:hint="eastAsia" w:ascii="宋体" w:hAnsi="宋体" w:cs="宋体"/>
                <w:szCs w:val="21"/>
              </w:rPr>
              <w:t>”</w:t>
            </w:r>
            <w:r>
              <w:rPr>
                <w:rFonts w:ascii="宋体" w:hAnsi="宋体" w:cs="宋体"/>
                <w:szCs w:val="21"/>
              </w:rPr>
              <w:t>抽查数据生成管理：自动生成抽查名单、抽查名单新增、抽查名单编辑、抽查名单查询、抽查名单删除、抽查记录、抽查统计等。</w:t>
            </w:r>
          </w:p>
          <w:p w14:paraId="57D42279">
            <w:pPr>
              <w:spacing w:line="400" w:lineRule="exact"/>
              <w:rPr>
                <w:rFonts w:hint="eastAsia" w:ascii="宋体" w:hAnsi="宋体" w:cs="宋体"/>
                <w:szCs w:val="21"/>
              </w:rPr>
            </w:pPr>
            <w:r>
              <w:rPr>
                <w:rFonts w:ascii="宋体" w:hAnsi="宋体" w:cs="宋体"/>
                <w:szCs w:val="21"/>
              </w:rPr>
              <w:t>5.查询统计</w:t>
            </w:r>
          </w:p>
          <w:p w14:paraId="03CA507E">
            <w:pPr>
              <w:spacing w:line="400" w:lineRule="exact"/>
              <w:rPr>
                <w:rFonts w:hint="eastAsia" w:ascii="宋体" w:hAnsi="宋体" w:cs="宋体"/>
                <w:szCs w:val="21"/>
              </w:rPr>
            </w:pPr>
            <w:r>
              <w:rPr>
                <w:rFonts w:ascii="宋体" w:hAnsi="宋体" w:cs="宋体"/>
                <w:szCs w:val="21"/>
              </w:rPr>
              <w:t>（1）历史评估查询：关键字查询、按照类型查询、按照时间查询、组合查询、详细信息查看等。</w:t>
            </w:r>
          </w:p>
          <w:p w14:paraId="4C625035">
            <w:pPr>
              <w:spacing w:line="400" w:lineRule="exact"/>
              <w:rPr>
                <w:rFonts w:hint="eastAsia" w:ascii="宋体" w:hAnsi="宋体" w:cs="宋体"/>
                <w:szCs w:val="21"/>
              </w:rPr>
            </w:pPr>
            <w:r>
              <w:rPr>
                <w:rFonts w:ascii="宋体" w:hAnsi="宋体" w:cs="宋体"/>
                <w:szCs w:val="21"/>
              </w:rPr>
              <w:t>（2）历史评估统计：按照评估类型统计、按照风险级别统计、按照评估时间统计、按照整改情况统计、按照组合条件统计等。</w:t>
            </w:r>
          </w:p>
          <w:p w14:paraId="274071C5">
            <w:pPr>
              <w:spacing w:line="400" w:lineRule="exact"/>
              <w:rPr>
                <w:rFonts w:hint="eastAsia" w:ascii="宋体" w:hAnsi="宋体" w:cs="宋体"/>
                <w:szCs w:val="21"/>
              </w:rPr>
            </w:pPr>
            <w:r>
              <w:rPr>
                <w:rFonts w:ascii="宋体" w:hAnsi="宋体" w:cs="宋体"/>
                <w:szCs w:val="21"/>
              </w:rPr>
              <w:t>（3）统计报表：自动生成报表、人工生成报表、报表预览、报表编辑等。</w:t>
            </w:r>
          </w:p>
          <w:p w14:paraId="4132AAA0">
            <w:pPr>
              <w:spacing w:line="400" w:lineRule="exact"/>
              <w:rPr>
                <w:rFonts w:hint="eastAsia" w:ascii="宋体" w:hAnsi="宋体" w:cs="宋体"/>
                <w:szCs w:val="21"/>
              </w:rPr>
            </w:pPr>
            <w:r>
              <w:rPr>
                <w:rFonts w:ascii="宋体" w:hAnsi="宋体" w:cs="宋体"/>
                <w:szCs w:val="21"/>
              </w:rPr>
              <w:t>6.可视化及分析</w:t>
            </w:r>
          </w:p>
          <w:p w14:paraId="16E25EA4">
            <w:pPr>
              <w:spacing w:line="400" w:lineRule="exact"/>
              <w:rPr>
                <w:rFonts w:hint="eastAsia" w:ascii="宋体" w:hAnsi="宋体" w:cs="宋体"/>
                <w:szCs w:val="21"/>
              </w:rPr>
            </w:pPr>
            <w:r>
              <w:rPr>
                <w:rFonts w:ascii="宋体" w:hAnsi="宋体" w:cs="宋体"/>
                <w:szCs w:val="21"/>
              </w:rPr>
              <w:t>（1）基于地图的可视化：地图展示、图层管理、地图工具、专题信息等。</w:t>
            </w:r>
          </w:p>
          <w:p w14:paraId="1C8EEA83">
            <w:pPr>
              <w:spacing w:line="400" w:lineRule="exact"/>
              <w:rPr>
                <w:rFonts w:hint="eastAsia" w:ascii="宋体" w:hAnsi="宋体" w:cs="宋体"/>
                <w:szCs w:val="21"/>
              </w:rPr>
            </w:pPr>
            <w:r>
              <w:rPr>
                <w:rFonts w:ascii="宋体" w:hAnsi="宋体" w:cs="宋体"/>
                <w:szCs w:val="21"/>
              </w:rPr>
              <w:t>（2）现状可视化分析：监管对象数量统计、检查数量趋势分析、风险级别分布图、辐射安全事件统计、区域分布图等。</w:t>
            </w:r>
          </w:p>
          <w:p w14:paraId="4F11EC50">
            <w:pPr>
              <w:spacing w:line="400" w:lineRule="exact"/>
              <w:rPr>
                <w:rFonts w:hint="eastAsia" w:ascii="宋体" w:hAnsi="宋体" w:cs="宋体"/>
                <w:szCs w:val="21"/>
              </w:rPr>
            </w:pPr>
            <w:r>
              <w:rPr>
                <w:rFonts w:ascii="宋体" w:hAnsi="宋体" w:cs="宋体"/>
                <w:szCs w:val="21"/>
              </w:rPr>
              <w:t>（3）历史趋势分析</w:t>
            </w:r>
            <w:r>
              <w:rPr>
                <w:rFonts w:hint="eastAsia" w:ascii="宋体" w:hAnsi="宋体" w:cs="宋体"/>
                <w:szCs w:val="21"/>
              </w:rPr>
              <w:t>：监管数量、风险级别、安全事件等信息的年、月尺度趋势分析。</w:t>
            </w:r>
          </w:p>
          <w:p w14:paraId="5FA76DED">
            <w:pPr>
              <w:spacing w:line="400" w:lineRule="exact"/>
              <w:rPr>
                <w:rFonts w:hint="eastAsia" w:ascii="宋体" w:hAnsi="宋体" w:cs="宋体"/>
                <w:szCs w:val="21"/>
              </w:rPr>
            </w:pPr>
            <w:r>
              <w:rPr>
                <w:rFonts w:ascii="宋体" w:hAnsi="宋体" w:cs="宋体"/>
                <w:szCs w:val="21"/>
              </w:rPr>
              <w:t>7.系统管理</w:t>
            </w:r>
          </w:p>
          <w:p w14:paraId="48EBAABF">
            <w:pPr>
              <w:spacing w:line="400" w:lineRule="exact"/>
              <w:rPr>
                <w:rFonts w:hint="eastAsia" w:ascii="宋体" w:hAnsi="宋体" w:cs="宋体"/>
                <w:szCs w:val="21"/>
              </w:rPr>
            </w:pPr>
            <w:r>
              <w:rPr>
                <w:rFonts w:ascii="宋体" w:hAnsi="宋体" w:cs="宋体"/>
                <w:szCs w:val="21"/>
              </w:rPr>
              <w:t>（1）用户管理：用户新增、用户登录、活跃度统计、用户编辑、用户删除等。</w:t>
            </w:r>
          </w:p>
          <w:p w14:paraId="55CBA29A">
            <w:pPr>
              <w:spacing w:line="400" w:lineRule="exact"/>
              <w:rPr>
                <w:rFonts w:hint="eastAsia" w:ascii="宋体" w:hAnsi="宋体" w:cs="宋体"/>
                <w:szCs w:val="21"/>
              </w:rPr>
            </w:pPr>
            <w:r>
              <w:rPr>
                <w:rFonts w:ascii="宋体" w:hAnsi="宋体" w:cs="宋体"/>
                <w:szCs w:val="21"/>
              </w:rPr>
              <w:t>（2）权限管理：权限新增、权限删除、权限分配、权限编辑、权限查询等。</w:t>
            </w:r>
          </w:p>
          <w:p w14:paraId="65D4772D">
            <w:pPr>
              <w:spacing w:line="400" w:lineRule="exact"/>
              <w:rPr>
                <w:rFonts w:hint="eastAsia" w:ascii="宋体" w:hAnsi="宋体" w:cs="宋体"/>
                <w:szCs w:val="21"/>
              </w:rPr>
            </w:pPr>
            <w:r>
              <w:rPr>
                <w:rFonts w:ascii="宋体" w:hAnsi="宋体" w:cs="宋体"/>
                <w:szCs w:val="21"/>
              </w:rPr>
              <w:t>（3）系统日志：日志查询、日志查看、日志导出、登录日志、运行日志等。</w:t>
            </w:r>
          </w:p>
          <w:p w14:paraId="516F46A0">
            <w:pPr>
              <w:spacing w:line="400" w:lineRule="exact"/>
              <w:rPr>
                <w:rFonts w:hint="eastAsia" w:ascii="宋体" w:hAnsi="宋体" w:cs="宋体"/>
                <w:szCs w:val="21"/>
              </w:rPr>
            </w:pPr>
            <w:r>
              <w:rPr>
                <w:rFonts w:ascii="宋体" w:hAnsi="宋体" w:cs="宋体"/>
                <w:szCs w:val="21"/>
              </w:rPr>
              <w:t>8.监管人员培训、考试</w:t>
            </w:r>
          </w:p>
          <w:p w14:paraId="0348C9AE">
            <w:pPr>
              <w:spacing w:line="400" w:lineRule="exact"/>
              <w:rPr>
                <w:rFonts w:hint="eastAsia" w:ascii="宋体" w:hAnsi="宋体" w:cs="宋体"/>
                <w:szCs w:val="21"/>
              </w:rPr>
            </w:pPr>
            <w:r>
              <w:rPr>
                <w:rFonts w:ascii="宋体" w:hAnsi="宋体" w:cs="宋体"/>
                <w:szCs w:val="21"/>
              </w:rPr>
              <w:t>对人员的培训情况进行管理，包括培训资料、视频教程、试题练习、试题练习等信息。</w:t>
            </w:r>
          </w:p>
          <w:p w14:paraId="3B7DE17D">
            <w:pPr>
              <w:spacing w:line="400" w:lineRule="exact"/>
              <w:rPr>
                <w:rFonts w:hint="eastAsia" w:ascii="宋体" w:hAnsi="宋体" w:cs="宋体"/>
                <w:szCs w:val="21"/>
              </w:rPr>
            </w:pPr>
            <w:r>
              <w:rPr>
                <w:rFonts w:ascii="宋体" w:hAnsi="宋体" w:cs="宋体"/>
                <w:szCs w:val="21"/>
              </w:rPr>
              <w:t>人员考试管理，可录入题库，进行组卷管理，为人员考试提供考试平台，完成考试后对试卷进行评分，同时可对考试结果进行展示</w:t>
            </w:r>
            <w:r>
              <w:rPr>
                <w:rFonts w:hint="eastAsia" w:ascii="宋体" w:hAnsi="宋体" w:cs="宋体"/>
                <w:szCs w:val="21"/>
              </w:rPr>
              <w:t>。</w:t>
            </w:r>
          </w:p>
          <w:p w14:paraId="67472905">
            <w:pPr>
              <w:spacing w:line="400" w:lineRule="exact"/>
              <w:rPr>
                <w:rFonts w:hint="eastAsia" w:ascii="宋体" w:hAnsi="宋体" w:cs="宋体"/>
                <w:szCs w:val="21"/>
              </w:rPr>
            </w:pPr>
            <w:r>
              <w:rPr>
                <w:rFonts w:ascii="宋体" w:hAnsi="宋体" w:cs="宋体"/>
                <w:szCs w:val="21"/>
              </w:rPr>
              <w:t>9.移动端</w:t>
            </w:r>
          </w:p>
          <w:p w14:paraId="0588FC80">
            <w:pPr>
              <w:spacing w:line="400" w:lineRule="exact"/>
              <w:rPr>
                <w:rFonts w:hint="eastAsia" w:ascii="宋体" w:hAnsi="宋体" w:cs="宋体"/>
                <w:szCs w:val="21"/>
              </w:rPr>
            </w:pPr>
            <w:r>
              <w:rPr>
                <w:rFonts w:ascii="宋体" w:hAnsi="宋体" w:cs="宋体"/>
                <w:szCs w:val="21"/>
              </w:rPr>
              <w:t>移动端基于</w:t>
            </w:r>
            <w:r>
              <w:rPr>
                <w:rFonts w:hint="eastAsia" w:ascii="宋体" w:hAnsi="宋体" w:cs="宋体"/>
                <w:szCs w:val="21"/>
              </w:rPr>
              <w:t>“</w:t>
            </w:r>
            <w:r>
              <w:rPr>
                <w:rFonts w:ascii="宋体" w:hAnsi="宋体" w:cs="宋体"/>
                <w:szCs w:val="21"/>
              </w:rPr>
              <w:t>广西生态环境</w:t>
            </w:r>
            <w:r>
              <w:rPr>
                <w:rFonts w:hint="eastAsia" w:ascii="宋体" w:hAnsi="宋体" w:cs="宋体"/>
                <w:szCs w:val="21"/>
              </w:rPr>
              <w:t>”</w:t>
            </w:r>
            <w:r>
              <w:rPr>
                <w:rFonts w:ascii="宋体" w:hAnsi="宋体" w:cs="宋体"/>
                <w:szCs w:val="21"/>
              </w:rPr>
              <w:t>APP进行建设，</w:t>
            </w:r>
            <w:r>
              <w:rPr>
                <w:rFonts w:hint="eastAsia" w:ascii="宋体" w:hAnsi="宋体" w:cs="宋体"/>
                <w:szCs w:val="21"/>
              </w:rPr>
              <w:t>在“</w:t>
            </w:r>
            <w:r>
              <w:rPr>
                <w:rFonts w:ascii="宋体" w:hAnsi="宋体" w:cs="宋体"/>
                <w:szCs w:val="21"/>
              </w:rPr>
              <w:t>广西生态环境</w:t>
            </w:r>
            <w:r>
              <w:rPr>
                <w:rFonts w:hint="eastAsia" w:ascii="宋体" w:hAnsi="宋体" w:cs="宋体"/>
                <w:szCs w:val="21"/>
              </w:rPr>
              <w:t>”</w:t>
            </w:r>
            <w:r>
              <w:rPr>
                <w:rFonts w:ascii="宋体" w:hAnsi="宋体" w:cs="宋体"/>
                <w:szCs w:val="21"/>
              </w:rPr>
              <w:t>APP新增相关功能模块。</w:t>
            </w:r>
          </w:p>
          <w:p w14:paraId="14732BC8">
            <w:pPr>
              <w:spacing w:line="400" w:lineRule="exact"/>
              <w:rPr>
                <w:rFonts w:hint="eastAsia" w:ascii="宋体" w:hAnsi="宋体" w:cs="宋体"/>
                <w:szCs w:val="21"/>
              </w:rPr>
            </w:pPr>
            <w:r>
              <w:rPr>
                <w:rFonts w:ascii="宋体" w:hAnsi="宋体" w:cs="宋体"/>
                <w:szCs w:val="21"/>
              </w:rPr>
              <w:t>（1）检查评估管理</w:t>
            </w:r>
          </w:p>
          <w:p w14:paraId="563213F8">
            <w:pPr>
              <w:spacing w:line="400" w:lineRule="exact"/>
              <w:rPr>
                <w:rFonts w:hint="eastAsia" w:ascii="宋体" w:hAnsi="宋体" w:cs="宋体"/>
                <w:szCs w:val="21"/>
              </w:rPr>
            </w:pPr>
            <w:r>
              <w:rPr>
                <w:rFonts w:ascii="宋体" w:hAnsi="宋体" w:cs="宋体"/>
                <w:szCs w:val="21"/>
              </w:rPr>
              <w:t>含现场检查评分信息采集：评分表填报、评分表审批、评分表编辑、评分表分类、评分表查询、隐患材料上传、数据导出等。</w:t>
            </w:r>
          </w:p>
          <w:p w14:paraId="02D10C6C">
            <w:pPr>
              <w:spacing w:line="400" w:lineRule="exact"/>
              <w:rPr>
                <w:rFonts w:hint="eastAsia" w:ascii="宋体" w:hAnsi="宋体" w:cs="宋体"/>
                <w:szCs w:val="21"/>
              </w:rPr>
            </w:pPr>
            <w:r>
              <w:rPr>
                <w:rFonts w:ascii="宋体" w:hAnsi="宋体" w:cs="宋体"/>
                <w:szCs w:val="21"/>
              </w:rPr>
              <w:t>（2）监管人员培训、考试</w:t>
            </w:r>
          </w:p>
          <w:p w14:paraId="72454A25">
            <w:pPr>
              <w:spacing w:line="400" w:lineRule="exact"/>
              <w:rPr>
                <w:rFonts w:hint="eastAsia" w:ascii="宋体" w:hAnsi="宋体" w:cs="宋体"/>
                <w:szCs w:val="21"/>
              </w:rPr>
            </w:pPr>
            <w:r>
              <w:rPr>
                <w:rFonts w:hint="eastAsia" w:ascii="宋体" w:hAnsi="宋体" w:cs="宋体"/>
                <w:szCs w:val="21"/>
              </w:rPr>
              <w:t>同PC端功能。</w:t>
            </w:r>
          </w:p>
          <w:p w14:paraId="08CBC39A">
            <w:pPr>
              <w:spacing w:line="400" w:lineRule="exact"/>
              <w:rPr>
                <w:rFonts w:hint="eastAsia" w:ascii="宋体" w:hAnsi="宋体" w:cs="宋体"/>
                <w:szCs w:val="21"/>
              </w:rPr>
            </w:pPr>
            <w:r>
              <w:rPr>
                <w:rFonts w:ascii="宋体" w:hAnsi="宋体" w:cs="宋体"/>
                <w:szCs w:val="21"/>
              </w:rPr>
              <w:t>（3）查询统计</w:t>
            </w:r>
          </w:p>
          <w:p w14:paraId="6C95EF98">
            <w:pPr>
              <w:spacing w:line="400" w:lineRule="exact"/>
              <w:rPr>
                <w:rFonts w:hint="eastAsia" w:ascii="宋体" w:hAnsi="宋体" w:cs="宋体"/>
                <w:szCs w:val="21"/>
              </w:rPr>
            </w:pPr>
            <w:r>
              <w:rPr>
                <w:rFonts w:ascii="宋体" w:hAnsi="宋体" w:cs="宋体"/>
                <w:szCs w:val="21"/>
              </w:rPr>
              <w:t>历史评估查询：关键字查询、按照类型查询、按照时间查询、组合查询、详细信息查看等。</w:t>
            </w:r>
          </w:p>
          <w:p w14:paraId="6DA3B31C">
            <w:pPr>
              <w:spacing w:line="400" w:lineRule="exact"/>
              <w:rPr>
                <w:rFonts w:hint="eastAsia" w:ascii="宋体" w:hAnsi="宋体" w:cs="宋体"/>
                <w:szCs w:val="21"/>
              </w:rPr>
            </w:pPr>
            <w:r>
              <w:rPr>
                <w:rFonts w:ascii="宋体" w:hAnsi="宋体" w:cs="宋体"/>
                <w:szCs w:val="21"/>
              </w:rPr>
              <w:t>历史辐射安全检查记录查询：关键字查询、按类型查询、按时间查询、组合查询、详细信息查看等。</w:t>
            </w:r>
          </w:p>
          <w:p w14:paraId="26AB50AF">
            <w:pPr>
              <w:spacing w:line="400" w:lineRule="exact"/>
              <w:rPr>
                <w:rFonts w:hint="eastAsia" w:ascii="宋体" w:hAnsi="宋体" w:cs="宋体"/>
                <w:szCs w:val="21"/>
              </w:rPr>
            </w:pPr>
            <w:r>
              <w:rPr>
                <w:rFonts w:hint="eastAsia" w:ascii="宋体" w:hAnsi="宋体" w:cs="宋体"/>
                <w:szCs w:val="21"/>
              </w:rPr>
              <w:t>（4）</w:t>
            </w:r>
            <w:r>
              <w:rPr>
                <w:rFonts w:ascii="宋体" w:hAnsi="宋体" w:cs="宋体"/>
                <w:szCs w:val="21"/>
              </w:rPr>
              <w:t>可视化及分析</w:t>
            </w:r>
          </w:p>
          <w:p w14:paraId="0C642F2D">
            <w:pPr>
              <w:spacing w:line="400" w:lineRule="exact"/>
              <w:rPr>
                <w:rFonts w:hint="eastAsia" w:ascii="宋体" w:hAnsi="宋体" w:cs="宋体"/>
                <w:szCs w:val="21"/>
              </w:rPr>
            </w:pPr>
            <w:r>
              <w:rPr>
                <w:rFonts w:ascii="宋体" w:hAnsi="宋体" w:cs="宋体"/>
                <w:szCs w:val="21"/>
              </w:rPr>
              <w:t>现状可视化分析：监管对象数量统计、检查数量趋势分析、风险级别分布图、辐射安全事件统计、区域分布图等。</w:t>
            </w:r>
          </w:p>
          <w:p w14:paraId="14B4C112">
            <w:pPr>
              <w:spacing w:line="400" w:lineRule="exact"/>
              <w:rPr>
                <w:rFonts w:hint="eastAsia" w:ascii="宋体" w:hAnsi="宋体" w:cs="宋体"/>
                <w:szCs w:val="21"/>
              </w:rPr>
            </w:pPr>
            <w:r>
              <w:rPr>
                <w:rFonts w:ascii="宋体" w:hAnsi="宋体" w:cs="宋体"/>
                <w:szCs w:val="21"/>
              </w:rPr>
              <w:t>历史趋势分析</w:t>
            </w:r>
            <w:r>
              <w:rPr>
                <w:rFonts w:hint="eastAsia" w:ascii="宋体" w:hAnsi="宋体" w:cs="宋体"/>
                <w:szCs w:val="21"/>
              </w:rPr>
              <w:t>：监管数量、风险级别、安全事件等信息的年、月尺度趋势分析。</w:t>
            </w:r>
          </w:p>
          <w:p w14:paraId="647DBE9F">
            <w:pPr>
              <w:spacing w:line="400" w:lineRule="exact"/>
              <w:rPr>
                <w:rFonts w:hint="eastAsia" w:ascii="宋体" w:hAnsi="宋体" w:cs="宋体"/>
                <w:szCs w:val="21"/>
              </w:rPr>
            </w:pPr>
            <w:r>
              <w:rPr>
                <w:rFonts w:ascii="宋体" w:hAnsi="宋体" w:cs="宋体"/>
                <w:szCs w:val="21"/>
              </w:rPr>
              <w:t>三、数据工程</w:t>
            </w:r>
          </w:p>
          <w:p w14:paraId="1207F757">
            <w:pPr>
              <w:spacing w:line="400" w:lineRule="exact"/>
              <w:rPr>
                <w:rFonts w:hint="eastAsia" w:ascii="宋体" w:hAnsi="宋体" w:cs="宋体"/>
                <w:szCs w:val="21"/>
              </w:rPr>
            </w:pPr>
            <w:r>
              <w:rPr>
                <w:rFonts w:ascii="宋体" w:hAnsi="宋体" w:cs="宋体"/>
                <w:szCs w:val="21"/>
              </w:rPr>
              <w:t>▲（一）总体要求</w:t>
            </w:r>
          </w:p>
          <w:p w14:paraId="5ABABEB9">
            <w:pPr>
              <w:spacing w:line="400" w:lineRule="exact"/>
              <w:rPr>
                <w:rFonts w:hint="eastAsia" w:ascii="宋体" w:hAnsi="宋体" w:cs="宋体"/>
                <w:szCs w:val="21"/>
              </w:rPr>
            </w:pPr>
            <w:r>
              <w:rPr>
                <w:rFonts w:ascii="宋体" w:hAnsi="宋体" w:cs="宋体"/>
                <w:szCs w:val="21"/>
              </w:rPr>
              <w:t>依托生态环境数据资源平台能力，根据本标包实际建设的生态环境业务应用的实际情况，迁移历史数据，并根据生态环境数据资源平台的数据资源体系对历史数据进行治理，搭建应用的专题数据库。</w:t>
            </w:r>
          </w:p>
          <w:p w14:paraId="425C6969">
            <w:pPr>
              <w:spacing w:line="400" w:lineRule="exact"/>
              <w:rPr>
                <w:rFonts w:hint="eastAsia" w:ascii="宋体" w:hAnsi="宋体" w:cs="宋体"/>
                <w:szCs w:val="21"/>
              </w:rPr>
            </w:pPr>
            <w:r>
              <w:rPr>
                <w:rFonts w:ascii="宋体" w:hAnsi="宋体" w:cs="宋体"/>
                <w:szCs w:val="21"/>
              </w:rPr>
              <w:t>▲（二）数据工程建设内容</w:t>
            </w:r>
          </w:p>
          <w:p w14:paraId="436D061E">
            <w:pPr>
              <w:spacing w:line="400" w:lineRule="exact"/>
              <w:rPr>
                <w:rFonts w:hint="eastAsia" w:ascii="宋体" w:hAnsi="宋体" w:cs="宋体"/>
                <w:szCs w:val="21"/>
              </w:rPr>
            </w:pPr>
            <w:r>
              <w:rPr>
                <w:rFonts w:ascii="宋体" w:hAnsi="宋体" w:cs="宋体"/>
                <w:szCs w:val="21"/>
              </w:rPr>
              <w:t>1.数据迁移</w:t>
            </w:r>
          </w:p>
          <w:p w14:paraId="2C7CD0E4">
            <w:pPr>
              <w:spacing w:line="400" w:lineRule="exact"/>
              <w:rPr>
                <w:rFonts w:hint="eastAsia" w:ascii="宋体" w:hAnsi="宋体" w:cs="宋体"/>
                <w:szCs w:val="21"/>
              </w:rPr>
            </w:pPr>
            <w:r>
              <w:rPr>
                <w:rFonts w:ascii="宋体" w:hAnsi="宋体" w:cs="宋体"/>
                <w:szCs w:val="21"/>
              </w:rPr>
              <w:t>（1）迁移数据源识别和评估</w:t>
            </w:r>
          </w:p>
          <w:p w14:paraId="433488E7">
            <w:pPr>
              <w:spacing w:line="400" w:lineRule="exact"/>
              <w:rPr>
                <w:rFonts w:hint="eastAsia" w:ascii="宋体" w:hAnsi="宋体" w:cs="宋体"/>
                <w:szCs w:val="21"/>
              </w:rPr>
            </w:pPr>
            <w:r>
              <w:rPr>
                <w:rFonts w:hint="eastAsia" w:ascii="宋体" w:hAnsi="宋体" w:cs="宋体"/>
                <w:szCs w:val="21"/>
              </w:rPr>
              <w:t>广西生态环境信息化建设项目</w:t>
            </w:r>
            <w:r>
              <w:rPr>
                <w:rFonts w:ascii="宋体" w:hAnsi="宋体" w:cs="宋体"/>
                <w:szCs w:val="21"/>
              </w:rPr>
              <w:t>应用系统进行相关数据迁移部署。</w:t>
            </w:r>
          </w:p>
          <w:p w14:paraId="13C9C318">
            <w:pPr>
              <w:spacing w:line="400" w:lineRule="exact"/>
              <w:rPr>
                <w:rFonts w:hint="eastAsia" w:ascii="宋体" w:hAnsi="宋体" w:cs="宋体"/>
                <w:szCs w:val="21"/>
              </w:rPr>
            </w:pPr>
            <w:r>
              <w:rPr>
                <w:rFonts w:hint="eastAsia" w:ascii="宋体" w:hAnsi="宋体" w:cs="宋体"/>
                <w:szCs w:val="21"/>
              </w:rPr>
              <w:t>（2）数据迁移目标：采用分步试点验证，风险最小化，安全回滚保障等措施确保实现迁移目标。</w:t>
            </w:r>
          </w:p>
          <w:p w14:paraId="39A95F92">
            <w:pPr>
              <w:spacing w:line="400" w:lineRule="exact"/>
              <w:rPr>
                <w:rFonts w:hint="eastAsia" w:ascii="宋体" w:hAnsi="宋体" w:cs="宋体"/>
                <w:szCs w:val="21"/>
              </w:rPr>
            </w:pPr>
            <w:r>
              <w:rPr>
                <w:rFonts w:hint="eastAsia" w:ascii="宋体" w:hAnsi="宋体" w:cs="宋体"/>
                <w:szCs w:val="21"/>
              </w:rPr>
              <w:t>（3）数据迁移计划编制：包含发布公告、原平台停用、原应用备份、原数据备份、原平台网络策略备份等内容</w:t>
            </w:r>
          </w:p>
          <w:p w14:paraId="3872C372">
            <w:pPr>
              <w:spacing w:line="400" w:lineRule="exact"/>
              <w:rPr>
                <w:rFonts w:hint="eastAsia" w:ascii="宋体" w:hAnsi="宋体" w:cs="宋体"/>
                <w:szCs w:val="21"/>
              </w:rPr>
            </w:pPr>
            <w:r>
              <w:rPr>
                <w:rFonts w:ascii="宋体" w:hAnsi="宋体" w:cs="宋体"/>
                <w:szCs w:val="21"/>
              </w:rPr>
              <w:t>（4）数据迁移实施。根据业务实际需求可包括基础硬件、基础网络、基础安全、业务软件部署等。其中，业务软件部署包括系统适配测试流程、系统性能验证、测试结果分析及调优、适配测试用例、国产JDK适配、前端页面适配改造、服务端代码重构适配、业务逻辑代码重构适配等。</w:t>
            </w:r>
          </w:p>
          <w:p w14:paraId="3E140B32">
            <w:pPr>
              <w:spacing w:line="400" w:lineRule="exact"/>
              <w:rPr>
                <w:rFonts w:hint="eastAsia" w:ascii="宋体" w:hAnsi="宋体" w:cs="宋体"/>
                <w:szCs w:val="21"/>
              </w:rPr>
            </w:pPr>
            <w:r>
              <w:rPr>
                <w:rFonts w:ascii="宋体" w:hAnsi="宋体" w:cs="宋体"/>
                <w:szCs w:val="21"/>
              </w:rPr>
              <w:t>（5）数据迁移部署。涉及的数据库包括基础数据库、专题库、共享库、主题库等，根据业务实际需要迁移部署，用于存储本项目涉及的各种业务数据、管理数据等。流程包括数据迁移工具准备、迁移前评估分析、迁移前数据检查处理、存量数据迁移等。</w:t>
            </w:r>
          </w:p>
          <w:p w14:paraId="7622307F">
            <w:pPr>
              <w:spacing w:line="400" w:lineRule="exact"/>
              <w:rPr>
                <w:rFonts w:hint="eastAsia" w:ascii="宋体" w:hAnsi="宋体" w:cs="宋体"/>
                <w:szCs w:val="21"/>
              </w:rPr>
            </w:pPr>
            <w:r>
              <w:rPr>
                <w:rFonts w:ascii="宋体" w:hAnsi="宋体" w:cs="宋体"/>
                <w:szCs w:val="21"/>
              </w:rPr>
              <w:t>（6）迁移后数据验证：空间数据检查与处理、属性数据检查与处理等。</w:t>
            </w:r>
          </w:p>
          <w:p w14:paraId="52BA221B">
            <w:pPr>
              <w:spacing w:line="400" w:lineRule="exact"/>
              <w:rPr>
                <w:rFonts w:hint="eastAsia" w:ascii="宋体" w:hAnsi="宋体" w:cs="宋体"/>
                <w:szCs w:val="21"/>
              </w:rPr>
            </w:pPr>
            <w:r>
              <w:rPr>
                <w:rFonts w:hint="eastAsia" w:ascii="宋体" w:hAnsi="宋体" w:cs="宋体"/>
                <w:szCs w:val="21"/>
              </w:rPr>
              <w:t>（7）迁移后数据测试和优化：包含数据库适配测试、数据库调优等内容</w:t>
            </w:r>
          </w:p>
          <w:p w14:paraId="789C55FB">
            <w:pPr>
              <w:spacing w:line="400" w:lineRule="exact"/>
              <w:rPr>
                <w:rFonts w:hint="eastAsia" w:ascii="宋体" w:hAnsi="宋体" w:cs="宋体"/>
                <w:szCs w:val="21"/>
              </w:rPr>
            </w:pPr>
            <w:r>
              <w:rPr>
                <w:rFonts w:ascii="宋体" w:hAnsi="宋体" w:cs="宋体"/>
                <w:szCs w:val="21"/>
              </w:rPr>
              <w:t>（8）平台回滚方案。包括回滚目标和原则、回滚触发条件、回滚前数据备份策略、回滚流程、各方主要职责、测试策略、测试流程、测试方法、测试内容、回滚组织计划等。</w:t>
            </w:r>
          </w:p>
          <w:p w14:paraId="6789B4CF">
            <w:pPr>
              <w:spacing w:line="400" w:lineRule="exact"/>
              <w:rPr>
                <w:rFonts w:hint="eastAsia" w:ascii="宋体" w:hAnsi="宋体" w:cs="宋体"/>
                <w:szCs w:val="21"/>
              </w:rPr>
            </w:pPr>
            <w:r>
              <w:rPr>
                <w:rFonts w:ascii="宋体" w:hAnsi="宋体" w:cs="宋体"/>
                <w:szCs w:val="21"/>
              </w:rPr>
              <w:t>2.数据治理</w:t>
            </w:r>
          </w:p>
          <w:p w14:paraId="3698504B">
            <w:pPr>
              <w:spacing w:line="400" w:lineRule="exact"/>
              <w:rPr>
                <w:rFonts w:hint="eastAsia" w:ascii="宋体" w:hAnsi="宋体" w:cs="宋体"/>
                <w:szCs w:val="21"/>
              </w:rPr>
            </w:pPr>
            <w:r>
              <w:rPr>
                <w:rFonts w:ascii="宋体" w:hAnsi="宋体" w:cs="宋体"/>
                <w:szCs w:val="21"/>
              </w:rPr>
              <w:t>利用生态环境数据资源平台能力，实现相关数据的采集、治理、管理与共享交换，从制度、标准、监控、流程结果方面提升数据信息管理能力，解决目前所面临的数据标准问题、数据质量问题、元数据管理问题。建立统一、规范并且唯一的数据标准来解决信息交互、集成、统计、决策等诸多难题，有效地提高检验管理过程控制和质量。</w:t>
            </w:r>
          </w:p>
          <w:p w14:paraId="4835B97F">
            <w:pPr>
              <w:spacing w:line="400" w:lineRule="exact"/>
              <w:rPr>
                <w:rFonts w:hint="eastAsia" w:ascii="宋体" w:hAnsi="宋体" w:cs="宋体"/>
                <w:szCs w:val="21"/>
              </w:rPr>
            </w:pPr>
            <w:r>
              <w:rPr>
                <w:rFonts w:ascii="宋体" w:hAnsi="宋体" w:cs="宋体"/>
                <w:szCs w:val="21"/>
              </w:rPr>
              <w:t>（1）数据标准建设。含标准概览、数据元、标准代码、常用规则、标准文件、数据模型、标准治理实施等。</w:t>
            </w:r>
          </w:p>
          <w:p w14:paraId="5A89F22A">
            <w:pPr>
              <w:spacing w:line="400" w:lineRule="exact"/>
              <w:rPr>
                <w:rFonts w:hint="eastAsia" w:ascii="宋体" w:hAnsi="宋体" w:cs="宋体"/>
                <w:szCs w:val="21"/>
              </w:rPr>
            </w:pPr>
            <w:r>
              <w:rPr>
                <w:rFonts w:ascii="宋体" w:hAnsi="宋体" w:cs="宋体"/>
                <w:szCs w:val="21"/>
              </w:rPr>
              <w:t>（2）数据离线治理。包括数据探查、数据定义、数据融合、数据发布、集成对账、数据质量工单等。</w:t>
            </w:r>
          </w:p>
          <w:p w14:paraId="6BE41791">
            <w:pPr>
              <w:spacing w:line="400" w:lineRule="exact"/>
              <w:rPr>
                <w:rFonts w:hint="eastAsia" w:ascii="宋体" w:hAnsi="宋体" w:cs="宋体"/>
                <w:szCs w:val="21"/>
              </w:rPr>
            </w:pPr>
            <w:r>
              <w:rPr>
                <w:rFonts w:ascii="宋体" w:hAnsi="宋体" w:cs="宋体"/>
                <w:szCs w:val="21"/>
              </w:rPr>
              <w:t>（3）数据实时治理。主要针对业务生产单位生产数据后实时进行治理并对外即时发布。含编辑任务、提交任务。</w:t>
            </w:r>
          </w:p>
          <w:p w14:paraId="32BFB196">
            <w:pPr>
              <w:spacing w:line="400" w:lineRule="exact"/>
              <w:rPr>
                <w:rFonts w:hint="eastAsia" w:ascii="宋体" w:hAnsi="宋体" w:cs="宋体"/>
                <w:szCs w:val="21"/>
              </w:rPr>
            </w:pPr>
            <w:r>
              <w:rPr>
                <w:rFonts w:ascii="宋体" w:hAnsi="宋体" w:cs="宋体"/>
                <w:szCs w:val="21"/>
              </w:rPr>
              <w:t>（4）数据质量。对数据完整性、准确性、鲜活性、权威性的分析和管理，并对数据质量问题进行跟踪、处理和解决，实现数据质量的全程管理。含数据质检、质检工单。</w:t>
            </w:r>
          </w:p>
          <w:p w14:paraId="68A96526">
            <w:pPr>
              <w:spacing w:line="400" w:lineRule="exact"/>
              <w:rPr>
                <w:rFonts w:hint="eastAsia" w:ascii="宋体" w:hAnsi="宋体" w:cs="宋体"/>
                <w:szCs w:val="21"/>
              </w:rPr>
            </w:pPr>
            <w:r>
              <w:rPr>
                <w:rFonts w:hint="eastAsia" w:ascii="宋体" w:hAnsi="宋体" w:cs="宋体"/>
                <w:szCs w:val="21"/>
              </w:rPr>
              <w:t>（5）形成数据治理报告：以数据治理报告的形式，清晰呈现现阶段数据治理的整体情况，便于快速发现隐藏问题，为后续的重点推进工作提供信息支撑。</w:t>
            </w:r>
          </w:p>
          <w:p w14:paraId="76983A62">
            <w:pPr>
              <w:spacing w:line="400" w:lineRule="exact"/>
              <w:rPr>
                <w:rFonts w:hint="eastAsia" w:ascii="宋体" w:hAnsi="宋体" w:cs="宋体"/>
                <w:szCs w:val="21"/>
              </w:rPr>
            </w:pPr>
            <w:r>
              <w:rPr>
                <w:rFonts w:hint="eastAsia" w:ascii="宋体" w:hAnsi="宋体" w:cs="宋体"/>
                <w:szCs w:val="21"/>
              </w:rPr>
              <w:t>（6）数据治理平台配置：支持对数据治理平台进行个性化配置，包括部门配置、编码配置、字段类型配置、元数据类型配置等内容。</w:t>
            </w:r>
          </w:p>
          <w:p w14:paraId="5DBF49AD">
            <w:pPr>
              <w:spacing w:line="400" w:lineRule="exact"/>
              <w:rPr>
                <w:rFonts w:hint="eastAsia" w:ascii="宋体" w:hAnsi="宋体" w:cs="宋体"/>
                <w:szCs w:val="21"/>
              </w:rPr>
            </w:pPr>
            <w:r>
              <w:rPr>
                <w:rFonts w:ascii="宋体" w:hAnsi="宋体" w:cs="宋体"/>
                <w:szCs w:val="21"/>
              </w:rPr>
              <w:t>（7）治理底座构建。提供分布式异构数据源之间数据转换能力，将数据治理平台的业务配置转化成底层的数据流转实现。包括节点域管理、数据源管理、治理作业开发、消息队列管理、数据监听管理、告警配置等。</w:t>
            </w:r>
          </w:p>
          <w:p w14:paraId="5E7A01F1">
            <w:pPr>
              <w:spacing w:line="400" w:lineRule="exact"/>
              <w:rPr>
                <w:rFonts w:hint="eastAsia" w:ascii="宋体" w:hAnsi="宋体" w:cs="宋体"/>
                <w:szCs w:val="21"/>
              </w:rPr>
            </w:pPr>
            <w:r>
              <w:rPr>
                <w:rFonts w:ascii="宋体" w:hAnsi="宋体" w:cs="宋体"/>
                <w:szCs w:val="21"/>
              </w:rPr>
              <w:t>（8）数据治理指标管理。包括数据质量指标、数据安全指标、数据合规性指标、数据可用性指标、数据使用指标等。</w:t>
            </w:r>
          </w:p>
          <w:p w14:paraId="277C8F50">
            <w:pPr>
              <w:spacing w:line="400" w:lineRule="exact"/>
              <w:rPr>
                <w:rFonts w:hint="eastAsia" w:ascii="宋体" w:hAnsi="宋体" w:cs="宋体"/>
                <w:szCs w:val="21"/>
              </w:rPr>
            </w:pPr>
            <w:r>
              <w:rPr>
                <w:rFonts w:ascii="宋体" w:hAnsi="宋体" w:cs="宋体"/>
                <w:szCs w:val="21"/>
              </w:rPr>
              <w:t>3.专题数据库建设</w:t>
            </w:r>
          </w:p>
          <w:p w14:paraId="1C5C5B77">
            <w:pPr>
              <w:spacing w:line="400" w:lineRule="exact"/>
              <w:rPr>
                <w:rFonts w:hint="eastAsia" w:ascii="宋体" w:hAnsi="宋体" w:cs="宋体"/>
                <w:szCs w:val="21"/>
              </w:rPr>
            </w:pPr>
            <w:r>
              <w:rPr>
                <w:rFonts w:hint="eastAsia" w:ascii="宋体" w:hAnsi="宋体" w:cs="宋体"/>
                <w:szCs w:val="21"/>
              </w:rPr>
              <w:t>（1）信息资源规划：采用统一的信息资源体系架构，信息编码设计规范。</w:t>
            </w:r>
          </w:p>
          <w:p w14:paraId="13841DAE">
            <w:pPr>
              <w:spacing w:line="400" w:lineRule="exact"/>
              <w:rPr>
                <w:rFonts w:hint="eastAsia" w:ascii="宋体" w:hAnsi="宋体" w:cs="宋体"/>
                <w:szCs w:val="21"/>
              </w:rPr>
            </w:pPr>
            <w:r>
              <w:rPr>
                <w:rFonts w:hint="eastAsia" w:ascii="宋体" w:hAnsi="宋体" w:cs="宋体"/>
                <w:szCs w:val="21"/>
              </w:rPr>
              <w:t>（2）数据源管理：提供了多种结构化数据源配置管理，支持采集的数据库类型包括国内外主流的关系型数据库，提供数据源的增删改查与连接测试的能力。</w:t>
            </w:r>
          </w:p>
          <w:p w14:paraId="0376B10F">
            <w:pPr>
              <w:spacing w:line="400" w:lineRule="exact"/>
              <w:rPr>
                <w:rFonts w:hint="eastAsia" w:ascii="宋体" w:hAnsi="宋体" w:cs="宋体"/>
                <w:szCs w:val="21"/>
              </w:rPr>
            </w:pPr>
            <w:r>
              <w:rPr>
                <w:rFonts w:ascii="宋体" w:hAnsi="宋体" w:cs="宋体"/>
                <w:szCs w:val="21"/>
              </w:rPr>
              <w:t>（3）元数据管理。含元数据监控、元数据安全配置、数据分类、用户分类等。</w:t>
            </w:r>
          </w:p>
          <w:p w14:paraId="2E4A509C">
            <w:pPr>
              <w:spacing w:line="400" w:lineRule="exact"/>
              <w:rPr>
                <w:rFonts w:hint="eastAsia" w:ascii="宋体" w:hAnsi="宋体" w:cs="宋体"/>
                <w:szCs w:val="21"/>
              </w:rPr>
            </w:pPr>
            <w:r>
              <w:rPr>
                <w:rFonts w:ascii="宋体" w:hAnsi="宋体" w:cs="宋体"/>
                <w:szCs w:val="21"/>
              </w:rPr>
              <w:t>（4）数据库建设。建设内容根据业务需要包括应用数据库、生产库、分析库、交换库、元数据库、平台库、日志库、信息库、采样库等。</w:t>
            </w:r>
          </w:p>
          <w:p w14:paraId="35806CDE">
            <w:pPr>
              <w:spacing w:line="400" w:lineRule="exact"/>
              <w:rPr>
                <w:rFonts w:hint="eastAsia" w:ascii="宋体" w:hAnsi="宋体" w:cs="宋体"/>
                <w:szCs w:val="21"/>
              </w:rPr>
            </w:pPr>
            <w:r>
              <w:rPr>
                <w:rFonts w:ascii="宋体" w:hAnsi="宋体" w:cs="宋体"/>
                <w:szCs w:val="21"/>
              </w:rPr>
              <w:t>（5）数据安全建设。实现数据访问安全、数据传输安全、建立数据库管理系统，统一管理和维护数据库、形成有效的数据更新机制、灾难恢复、系统备份、数据库加密等。</w:t>
            </w:r>
          </w:p>
          <w:p w14:paraId="56129197">
            <w:pPr>
              <w:spacing w:line="400" w:lineRule="exact"/>
              <w:rPr>
                <w:rFonts w:hint="eastAsia" w:ascii="宋体" w:hAnsi="宋体" w:cs="宋体"/>
                <w:szCs w:val="21"/>
              </w:rPr>
            </w:pPr>
            <w:r>
              <w:rPr>
                <w:rFonts w:ascii="宋体" w:hAnsi="宋体" w:cs="宋体"/>
                <w:szCs w:val="21"/>
              </w:rPr>
              <w:t>4.数据可视化管理。实现自助数据分析，通过勾选或拖拽即可生成数据。建设数据报表平台实现报表的统一访问和管理。根据采购人需要建设数据可视化大屏。</w:t>
            </w:r>
          </w:p>
          <w:p w14:paraId="515D998D">
            <w:pPr>
              <w:spacing w:line="400" w:lineRule="exact"/>
              <w:rPr>
                <w:rFonts w:hint="eastAsia" w:ascii="宋体" w:hAnsi="宋体" w:cs="宋体"/>
                <w:szCs w:val="21"/>
              </w:rPr>
            </w:pPr>
            <w:r>
              <w:rPr>
                <w:rFonts w:ascii="宋体" w:hAnsi="宋体" w:cs="宋体"/>
                <w:szCs w:val="21"/>
              </w:rPr>
              <w:t>四、其他要求</w:t>
            </w:r>
          </w:p>
          <w:p w14:paraId="34E85193">
            <w:pPr>
              <w:spacing w:line="400" w:lineRule="exact"/>
              <w:rPr>
                <w:rFonts w:hint="eastAsia" w:ascii="宋体" w:hAnsi="宋体" w:cs="宋体"/>
                <w:szCs w:val="21"/>
              </w:rPr>
            </w:pPr>
            <w:r>
              <w:rPr>
                <w:rFonts w:ascii="宋体" w:hAnsi="宋体" w:cs="宋体"/>
                <w:szCs w:val="21"/>
              </w:rPr>
              <w:t>本分标所建设应用需对接采购人提供的统一身份认证体系、统一消息平台、统一流量入口、统一应用配置管理等核心模块，实现将各自业务统一推送到应用门户，有效打通信息孤岛，显著提升业务协同效率。</w:t>
            </w:r>
          </w:p>
          <w:p w14:paraId="2A70804E">
            <w:pPr>
              <w:spacing w:line="400" w:lineRule="exact"/>
              <w:rPr>
                <w:rFonts w:hint="eastAsia" w:ascii="宋体" w:hAnsi="宋体" w:cs="宋体"/>
                <w:szCs w:val="21"/>
              </w:rPr>
            </w:pPr>
            <w:r>
              <w:rPr>
                <w:rFonts w:ascii="宋体" w:hAnsi="宋体" w:cs="宋体"/>
                <w:szCs w:val="21"/>
              </w:rPr>
              <w:t>本分标所建设的数据治理成果需使用采购人提供的</w:t>
            </w:r>
            <w:r>
              <w:rPr>
                <w:rFonts w:hint="eastAsia" w:ascii="宋体" w:hAnsi="宋体" w:cs="宋体"/>
                <w:szCs w:val="21"/>
              </w:rPr>
              <w:t>数据资源平台</w:t>
            </w:r>
            <w:r>
              <w:rPr>
                <w:rFonts w:ascii="宋体" w:hAnsi="宋体" w:cs="宋体"/>
                <w:szCs w:val="21"/>
              </w:rPr>
              <w:t>建设数据库，系统建设前需将数据库设计方案提交采购人审核，建立元数据，规范化数据库字段与设计之后，才可在数据平台建设生产环境数据库。不允许独立数据平台外建设数据库。</w:t>
            </w:r>
          </w:p>
        </w:tc>
      </w:tr>
      <w:tr w14:paraId="78F8F7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9230" w:type="dxa"/>
            <w:gridSpan w:val="6"/>
            <w:tcBorders>
              <w:top w:val="single" w:color="auto" w:sz="4" w:space="0"/>
              <w:left w:val="single" w:color="auto" w:sz="4" w:space="0"/>
              <w:bottom w:val="single" w:color="auto" w:sz="4" w:space="0"/>
              <w:right w:val="single" w:color="auto" w:sz="4" w:space="0"/>
            </w:tcBorders>
            <w:vAlign w:val="center"/>
          </w:tcPr>
          <w:p w14:paraId="0812DFCE">
            <w:pPr>
              <w:topLinePunct/>
              <w:snapToGrid w:val="0"/>
              <w:spacing w:line="400" w:lineRule="exact"/>
              <w:jc w:val="center"/>
              <w:rPr>
                <w:rFonts w:hint="eastAsia" w:ascii="宋体" w:hAnsi="宋体" w:cs="宋体"/>
                <w:b/>
                <w:szCs w:val="21"/>
              </w:rPr>
            </w:pPr>
            <w:r>
              <w:rPr>
                <w:rFonts w:hint="eastAsia" w:ascii="宋体" w:hAnsi="宋体" w:cs="宋体"/>
                <w:b/>
                <w:bCs/>
                <w:szCs w:val="21"/>
              </w:rPr>
              <w:t>商务条款</w:t>
            </w:r>
          </w:p>
        </w:tc>
      </w:tr>
      <w:tr w14:paraId="22DA35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860EEC9">
            <w:pPr>
              <w:spacing w:line="400" w:lineRule="exact"/>
              <w:jc w:val="center"/>
              <w:rPr>
                <w:rFonts w:hint="eastAsia" w:ascii="宋体" w:hAnsi="宋体" w:cs="宋体"/>
                <w:b/>
                <w:bCs/>
                <w:szCs w:val="21"/>
              </w:rPr>
            </w:pPr>
            <w:bookmarkStart w:id="60" w:name="OLE_LINK78" w:colFirst="0" w:colLast="1"/>
            <w:bookmarkStart w:id="61" w:name="_Hlk218786397"/>
            <w:bookmarkStart w:id="62" w:name="OLE_LINK79" w:colFirst="0" w:colLast="1"/>
            <w:r>
              <w:rPr>
                <w:rFonts w:hint="eastAsia" w:ascii="宋体" w:hAnsi="宋体" w:cs="宋体"/>
                <w:b/>
                <w:bCs/>
                <w:szCs w:val="21"/>
              </w:rPr>
              <w:t>▲（一）合同签订及交付要求</w:t>
            </w:r>
          </w:p>
          <w:p w14:paraId="2FFAD2B6">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1D3A9B94">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合同签订期：自中标通知书发出之日起25日内。</w:t>
            </w:r>
          </w:p>
          <w:p w14:paraId="0530FA75">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服务时间：从合同签订之日起，至服务成果通过项目竣工验收之日止。</w:t>
            </w:r>
          </w:p>
          <w:p w14:paraId="15696EBA">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交付地点：采购人指定地点。</w:t>
            </w:r>
          </w:p>
          <w:p w14:paraId="27E501E6">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交付成果：按照采购需求完成建设，并按照</w:t>
            </w:r>
            <w:r>
              <w:rPr>
                <w:rFonts w:hint="eastAsia" w:hAnsi="宋体"/>
                <w:color w:val="auto"/>
                <w:sz w:val="21"/>
                <w:szCs w:val="21"/>
              </w:rPr>
              <w:t>合同和采购人同意的实施方案要求</w:t>
            </w:r>
            <w:r>
              <w:rPr>
                <w:rFonts w:hAnsi="宋体"/>
                <w:color w:val="auto"/>
                <w:sz w:val="21"/>
                <w:szCs w:val="21"/>
              </w:rPr>
              <w:t>提交完整的项目材料。</w:t>
            </w:r>
          </w:p>
        </w:tc>
      </w:tr>
      <w:tr w14:paraId="693A13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2EA7FD83">
            <w:pPr>
              <w:spacing w:line="400" w:lineRule="exact"/>
              <w:jc w:val="center"/>
              <w:rPr>
                <w:rFonts w:hint="eastAsia" w:ascii="宋体" w:hAnsi="宋体" w:cs="宋体"/>
                <w:b/>
                <w:bCs/>
                <w:szCs w:val="21"/>
              </w:rPr>
            </w:pPr>
            <w:r>
              <w:rPr>
                <w:rFonts w:hint="eastAsia" w:ascii="宋体" w:hAnsi="宋体" w:cs="宋体"/>
                <w:b/>
                <w:bCs/>
                <w:szCs w:val="21"/>
              </w:rPr>
              <w:t>▲（二）报价要求</w:t>
            </w:r>
          </w:p>
          <w:p w14:paraId="0E14D139">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09008365">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本项目实行总承包报价，报价为采购人指定服务范围内的全部价格，至少包括：</w:t>
            </w:r>
          </w:p>
          <w:p w14:paraId="4C069550">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服务的价格（包括人工、材料、成果打印等）；</w:t>
            </w:r>
          </w:p>
          <w:p w14:paraId="1F4CBF3A">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必要的保险费用和各项税金；</w:t>
            </w:r>
          </w:p>
          <w:p w14:paraId="49D0EFF7">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验收及专家评估费用等。</w:t>
            </w:r>
          </w:p>
          <w:p w14:paraId="13D7B37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与本项目有关的其他一切费用。采购人不再支付中标价格以外的任何费用。</w:t>
            </w:r>
          </w:p>
        </w:tc>
      </w:tr>
      <w:tr w14:paraId="04F66E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4D45797">
            <w:pPr>
              <w:pStyle w:val="2"/>
              <w:spacing w:line="400" w:lineRule="exact"/>
              <w:jc w:val="center"/>
              <w:rPr>
                <w:rFonts w:hint="eastAsia" w:ascii="宋体" w:hAnsi="宋体" w:cs="宋体"/>
                <w:b/>
                <w:bCs/>
                <w:sz w:val="21"/>
                <w:szCs w:val="21"/>
              </w:rPr>
            </w:pPr>
            <w:r>
              <w:rPr>
                <w:rFonts w:hint="eastAsia" w:ascii="宋体" w:hAnsi="宋体" w:cs="宋体"/>
                <w:b/>
                <w:bCs/>
                <w:sz w:val="21"/>
                <w:szCs w:val="21"/>
              </w:rPr>
              <w:t>▲（三）建设周期</w:t>
            </w:r>
          </w:p>
        </w:tc>
        <w:tc>
          <w:tcPr>
            <w:tcW w:w="7235" w:type="dxa"/>
            <w:gridSpan w:val="3"/>
            <w:tcBorders>
              <w:top w:val="single" w:color="auto" w:sz="4" w:space="0"/>
              <w:left w:val="single" w:color="auto" w:sz="4" w:space="0"/>
              <w:bottom w:val="single" w:color="auto" w:sz="4" w:space="0"/>
              <w:right w:val="single" w:color="auto" w:sz="4" w:space="0"/>
            </w:tcBorders>
          </w:tcPr>
          <w:p w14:paraId="5075A396">
            <w:pPr>
              <w:spacing w:line="400" w:lineRule="exact"/>
              <w:ind w:firstLine="480"/>
              <w:jc w:val="left"/>
              <w:rPr>
                <w:rFonts w:hint="eastAsia" w:ascii="宋体" w:hAnsi="宋体" w:cs="宋体"/>
                <w:kern w:val="0"/>
                <w:szCs w:val="21"/>
              </w:rPr>
            </w:pPr>
            <w:r>
              <w:rPr>
                <w:rFonts w:ascii="宋体" w:hAnsi="宋体" w:cs="宋体"/>
                <w:kern w:val="0"/>
                <w:szCs w:val="21"/>
              </w:rPr>
              <w:t>本项目建设周期为</w:t>
            </w:r>
            <w:r>
              <w:rPr>
                <w:rFonts w:hint="eastAsia" w:ascii="宋体" w:hAnsi="宋体" w:cs="宋体"/>
                <w:kern w:val="0"/>
                <w:szCs w:val="21"/>
              </w:rPr>
              <w:t>9</w:t>
            </w:r>
            <w:r>
              <w:rPr>
                <w:rFonts w:ascii="宋体" w:hAnsi="宋体" w:cs="宋体"/>
                <w:kern w:val="0"/>
                <w:szCs w:val="21"/>
              </w:rPr>
              <w:t>个月，包含四个阶段：需求分析和系统设计、系统建设阶段、试运行阶段和项目验收。</w:t>
            </w:r>
          </w:p>
          <w:p w14:paraId="5D7FF256">
            <w:pPr>
              <w:spacing w:line="400" w:lineRule="exact"/>
              <w:jc w:val="left"/>
              <w:rPr>
                <w:rFonts w:hint="eastAsia" w:ascii="宋体" w:hAnsi="宋体" w:cs="宋体"/>
                <w:kern w:val="0"/>
                <w:szCs w:val="21"/>
              </w:rPr>
            </w:pPr>
            <w:r>
              <w:rPr>
                <w:rFonts w:ascii="宋体" w:hAnsi="宋体" w:cs="宋体"/>
                <w:kern w:val="0"/>
                <w:szCs w:val="21"/>
              </w:rPr>
              <w:t>第一阶段：完成系统的需求分析和系统设计。周期2个月。</w:t>
            </w:r>
          </w:p>
          <w:p w14:paraId="4BF212CC">
            <w:pPr>
              <w:spacing w:line="400" w:lineRule="exact"/>
              <w:jc w:val="left"/>
              <w:rPr>
                <w:rFonts w:hint="eastAsia" w:ascii="宋体" w:hAnsi="宋体" w:cs="宋体"/>
                <w:kern w:val="0"/>
                <w:szCs w:val="21"/>
              </w:rPr>
            </w:pPr>
            <w:r>
              <w:rPr>
                <w:rFonts w:ascii="宋体" w:hAnsi="宋体" w:cs="宋体"/>
                <w:kern w:val="0"/>
                <w:szCs w:val="21"/>
              </w:rPr>
              <w:t>第二阶段：完成系统的应用建设、测试。周期</w:t>
            </w:r>
            <w:r>
              <w:rPr>
                <w:rFonts w:hint="eastAsia" w:ascii="宋体" w:hAnsi="宋体" w:cs="宋体"/>
                <w:kern w:val="0"/>
                <w:szCs w:val="21"/>
              </w:rPr>
              <w:t>6</w:t>
            </w:r>
            <w:r>
              <w:rPr>
                <w:rFonts w:ascii="宋体" w:hAnsi="宋体" w:cs="宋体"/>
                <w:kern w:val="0"/>
                <w:szCs w:val="21"/>
              </w:rPr>
              <w:t>个月。</w:t>
            </w:r>
          </w:p>
          <w:p w14:paraId="2794EC79">
            <w:pPr>
              <w:spacing w:line="400" w:lineRule="exact"/>
              <w:jc w:val="left"/>
              <w:rPr>
                <w:rFonts w:hint="eastAsia" w:ascii="宋体" w:hAnsi="宋体" w:cs="宋体"/>
                <w:kern w:val="0"/>
                <w:szCs w:val="21"/>
              </w:rPr>
            </w:pPr>
            <w:r>
              <w:rPr>
                <w:rFonts w:ascii="宋体" w:hAnsi="宋体" w:cs="宋体"/>
                <w:kern w:val="0"/>
                <w:szCs w:val="21"/>
              </w:rPr>
              <w:t>第三阶段：完成系统试运行和调优。周期1个月。</w:t>
            </w:r>
          </w:p>
          <w:p w14:paraId="6DEAF23C">
            <w:pPr>
              <w:spacing w:line="400" w:lineRule="exact"/>
              <w:jc w:val="left"/>
              <w:rPr>
                <w:rFonts w:hint="eastAsia" w:ascii="宋体" w:hAnsi="宋体" w:cs="宋体"/>
                <w:kern w:val="0"/>
                <w:szCs w:val="21"/>
              </w:rPr>
            </w:pPr>
            <w:r>
              <w:rPr>
                <w:rFonts w:ascii="宋体" w:hAnsi="宋体" w:cs="宋体"/>
                <w:kern w:val="0"/>
                <w:szCs w:val="21"/>
              </w:rPr>
              <w:t>第四阶段：项目初步验收、竣工验收。</w:t>
            </w:r>
          </w:p>
        </w:tc>
      </w:tr>
      <w:tr w14:paraId="6FB389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1BFCB48">
            <w:pPr>
              <w:spacing w:line="400" w:lineRule="exact"/>
              <w:jc w:val="center"/>
              <w:rPr>
                <w:rFonts w:hint="eastAsia" w:ascii="宋体" w:hAnsi="宋体" w:cs="宋体"/>
                <w:b/>
                <w:bCs/>
                <w:szCs w:val="21"/>
              </w:rPr>
            </w:pPr>
            <w:r>
              <w:rPr>
                <w:rFonts w:hint="eastAsia" w:ascii="宋体" w:hAnsi="宋体" w:cs="宋体"/>
                <w:b/>
                <w:bCs/>
                <w:szCs w:val="21"/>
              </w:rPr>
              <w:t>▲（四）付款条件</w:t>
            </w:r>
          </w:p>
          <w:p w14:paraId="0FE1EC6A">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6569D2A9">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1.合同签订后10个工作日内，采购人向中标人支付合同总金额的</w:t>
            </w:r>
            <w:r>
              <w:rPr>
                <w:rFonts w:hint="eastAsia" w:ascii="宋体" w:hAnsi="宋体" w:eastAsia="宋体" w:cs="宋体"/>
                <w:sz w:val="21"/>
                <w:szCs w:val="21"/>
              </w:rPr>
              <w:t>50</w:t>
            </w:r>
            <w:r>
              <w:rPr>
                <w:rFonts w:ascii="宋体" w:hAnsi="宋体" w:eastAsia="宋体" w:cs="宋体"/>
                <w:sz w:val="21"/>
                <w:szCs w:val="21"/>
              </w:rPr>
              <w:t>%。</w:t>
            </w:r>
          </w:p>
          <w:p w14:paraId="4516F19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完成系统的需求分析和系统设计</w:t>
            </w:r>
            <w:r>
              <w:rPr>
                <w:rFonts w:hint="eastAsia" w:ascii="宋体" w:hAnsi="宋体" w:eastAsia="宋体" w:cs="宋体"/>
                <w:sz w:val="21"/>
                <w:szCs w:val="21"/>
              </w:rPr>
              <w:t>，提交需求分析报告和系统设计方案，</w:t>
            </w:r>
            <w:r>
              <w:rPr>
                <w:rFonts w:ascii="宋体" w:hAnsi="宋体" w:eastAsia="宋体" w:cs="宋体"/>
                <w:sz w:val="21"/>
                <w:szCs w:val="21"/>
              </w:rPr>
              <w:t>经采购人书面确认后10个工作日内，采购人向中标人支付合同总金额的</w:t>
            </w:r>
            <w:r>
              <w:rPr>
                <w:rFonts w:hint="eastAsia" w:ascii="宋体" w:hAnsi="宋体" w:eastAsia="宋体" w:cs="宋体"/>
                <w:sz w:val="21"/>
                <w:szCs w:val="21"/>
              </w:rPr>
              <w:t>30</w:t>
            </w:r>
            <w:r>
              <w:rPr>
                <w:rFonts w:ascii="宋体" w:hAnsi="宋体" w:eastAsia="宋体" w:cs="宋体"/>
                <w:sz w:val="21"/>
                <w:szCs w:val="21"/>
              </w:rPr>
              <w:t>%。</w:t>
            </w:r>
          </w:p>
          <w:p w14:paraId="5B42B511">
            <w:pPr>
              <w:pStyle w:val="10"/>
              <w:spacing w:line="400" w:lineRule="exact"/>
              <w:ind w:firstLine="0" w:firstLineChars="0"/>
              <w:rPr>
                <w:rFonts w:ascii="宋体" w:hAnsi="宋体" w:eastAsia="宋体" w:cs="宋体"/>
                <w:sz w:val="21"/>
                <w:szCs w:val="21"/>
              </w:rPr>
            </w:pPr>
            <w:r>
              <w:rPr>
                <w:rFonts w:hint="eastAsia" w:ascii="宋体" w:hAnsi="宋体" w:eastAsia="宋体" w:cs="宋体"/>
                <w:sz w:val="21"/>
                <w:szCs w:val="21"/>
              </w:rPr>
              <w:t>3.项目投入试运行，中标人提交试运行报告，经采购人书面确认后10个工作日内，采购人向中标人支付合同总金额的10%。</w:t>
            </w:r>
          </w:p>
          <w:p w14:paraId="5B80BA6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4.项目初步验收通过，经采购人书面确认后10个工作日内，采购人向中标人支付合同总金额的10%）</w:t>
            </w:r>
            <w:r>
              <w:rPr>
                <w:rFonts w:ascii="宋体" w:hAnsi="宋体" w:eastAsia="宋体" w:cs="宋体"/>
                <w:sz w:val="21"/>
                <w:szCs w:val="21"/>
              </w:rPr>
              <w:t>。</w:t>
            </w:r>
          </w:p>
          <w:p w14:paraId="73380AF0">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.支付每一笔合同款前，中标人须向采购人开具合法、有效等额发票，中标人未及时向采购人开具发票、付款申请书的，采购人有权顺延付款时间，且不承担任何逾期付款违约责任</w:t>
            </w:r>
          </w:p>
        </w:tc>
      </w:tr>
      <w:tr w14:paraId="01809C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2727E33E">
            <w:pPr>
              <w:spacing w:line="400" w:lineRule="exact"/>
              <w:jc w:val="center"/>
              <w:rPr>
                <w:rFonts w:hint="eastAsia" w:ascii="宋体" w:hAnsi="宋体" w:cs="宋体"/>
                <w:b/>
                <w:bCs/>
                <w:szCs w:val="21"/>
              </w:rPr>
            </w:pPr>
            <w:r>
              <w:rPr>
                <w:rFonts w:hint="eastAsia" w:ascii="宋体" w:hAnsi="宋体" w:cs="宋体"/>
                <w:b/>
                <w:bCs/>
                <w:szCs w:val="21"/>
              </w:rPr>
              <w:t>▲（五）履约保证金</w:t>
            </w:r>
          </w:p>
          <w:p w14:paraId="321D7C27">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74F3FF96">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中标人须于签订合同后5个工作日内，将本项目成交总金额5%的履约保证金（中小企业缴纳数额为成交总金额的2%）递交到采购人指定账户。履约保证金递交方式：银行转账、支票、汇票、本票或者金融机构出具的保函等非现金方式。</w:t>
            </w:r>
          </w:p>
          <w:p w14:paraId="5569B58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项目按照合同约定及招标文件要求完成项目建设，通过竣工验收并收到竣工验收批复后，项目进入质保期，在质保期间，中标人无违约情形的，质保期过后</w:t>
            </w:r>
            <w:r>
              <w:rPr>
                <w:rFonts w:hint="eastAsia" w:ascii="宋体" w:hAnsi="宋体" w:eastAsia="宋体" w:cs="宋体"/>
                <w:sz w:val="21"/>
                <w:szCs w:val="21"/>
              </w:rPr>
              <w:t>5</w:t>
            </w:r>
            <w:r>
              <w:rPr>
                <w:rFonts w:ascii="宋体" w:hAnsi="宋体" w:eastAsia="宋体" w:cs="宋体"/>
                <w:sz w:val="21"/>
                <w:szCs w:val="21"/>
              </w:rPr>
              <w:t>个工作日内采购人将无息返还履约保证金。</w:t>
            </w:r>
          </w:p>
        </w:tc>
      </w:tr>
      <w:tr w14:paraId="4C92C4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4CA75230">
            <w:pPr>
              <w:spacing w:line="400" w:lineRule="exact"/>
              <w:jc w:val="center"/>
              <w:rPr>
                <w:rFonts w:hint="eastAsia" w:ascii="宋体" w:hAnsi="宋体" w:cs="宋体"/>
                <w:b/>
                <w:bCs/>
                <w:szCs w:val="21"/>
              </w:rPr>
            </w:pPr>
            <w:r>
              <w:rPr>
                <w:rFonts w:hint="eastAsia" w:ascii="宋体" w:hAnsi="宋体" w:cs="宋体"/>
                <w:b/>
                <w:bCs/>
                <w:szCs w:val="21"/>
              </w:rPr>
              <w:t>▲（六）质保期服务要求</w:t>
            </w:r>
          </w:p>
          <w:p w14:paraId="76821F8C">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500E4BEC">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提供为期一年的质保服务。质保期内，中标人须根据采购人要求进行日常运维服务。质保期从项目竣工验收合格之日起开始计算，质保期内提供免费维护和技术支持服务。</w:t>
            </w:r>
          </w:p>
          <w:p w14:paraId="53B593C6">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服务响应时间要求：（1）提供7×24小时电话或电子邮件服务，中标人接到采购人的通知后立即响应，在</w:t>
            </w:r>
            <w:r>
              <w:rPr>
                <w:rFonts w:hint="eastAsia" w:hAnsi="宋体"/>
                <w:color w:val="auto"/>
                <w:sz w:val="21"/>
                <w:szCs w:val="21"/>
              </w:rPr>
              <w:t>≤</w:t>
            </w:r>
            <w:r>
              <w:rPr>
                <w:rFonts w:hAnsi="宋体"/>
                <w:color w:val="auto"/>
                <w:sz w:val="21"/>
                <w:szCs w:val="21"/>
              </w:rPr>
              <w:t>1小时内做出明确响应和安排，在</w:t>
            </w:r>
            <w:r>
              <w:rPr>
                <w:rFonts w:hint="eastAsia" w:hAnsi="宋体"/>
                <w:color w:val="auto"/>
                <w:sz w:val="21"/>
                <w:szCs w:val="21"/>
              </w:rPr>
              <w:t>≤</w:t>
            </w:r>
            <w:r>
              <w:rPr>
                <w:rFonts w:hAnsi="宋体"/>
                <w:color w:val="auto"/>
                <w:sz w:val="21"/>
                <w:szCs w:val="21"/>
              </w:rPr>
              <w:t>2小时内做出故障诊断报告，如需现场服务的，具有解决故障能力的工程师应在</w:t>
            </w:r>
            <w:r>
              <w:rPr>
                <w:rFonts w:hint="eastAsia" w:hAnsi="宋体"/>
                <w:color w:val="auto"/>
                <w:sz w:val="21"/>
                <w:szCs w:val="21"/>
              </w:rPr>
              <w:t>≤</w:t>
            </w:r>
            <w:r>
              <w:rPr>
                <w:rFonts w:hAnsi="宋体"/>
                <w:color w:val="auto"/>
                <w:sz w:val="21"/>
                <w:szCs w:val="21"/>
              </w:rPr>
              <w:t>2小时内到达现场解决问题，以保证系统正常运行，并承担一切相关费用；（2）定期回访、走访采购人；（3）服务期内免费上门提供服务，免费提供应用软件升级；（4）其余按承诺进行；</w:t>
            </w:r>
          </w:p>
          <w:p w14:paraId="5ECD5269">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服务的范围包括：系统、设备的正常运行和维护；</w:t>
            </w:r>
          </w:p>
          <w:p w14:paraId="37C362F1">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中标人提供的服务应符合国家标准、行业标准、地方标准或者其他标准、规范；</w:t>
            </w:r>
          </w:p>
          <w:p w14:paraId="059924C8">
            <w:pPr>
              <w:pStyle w:val="24"/>
              <w:spacing w:line="400" w:lineRule="exact"/>
              <w:rPr>
                <w:rFonts w:hint="eastAsia" w:hAnsi="宋体"/>
                <w:color w:val="auto"/>
                <w:sz w:val="21"/>
                <w:szCs w:val="21"/>
              </w:rPr>
            </w:pPr>
            <w:r>
              <w:rPr>
                <w:rFonts w:hint="eastAsia" w:hAnsi="宋体"/>
                <w:color w:val="auto"/>
                <w:sz w:val="21"/>
                <w:szCs w:val="21"/>
              </w:rPr>
              <w:t>5.</w:t>
            </w:r>
            <w:r>
              <w:rPr>
                <w:rFonts w:hAnsi="宋体"/>
                <w:color w:val="auto"/>
                <w:sz w:val="21"/>
                <w:szCs w:val="21"/>
              </w:rPr>
              <w:t>免费安装调试：中标人负责本项目所有货物及软件的安装，中标人整理验收材料提交采购人验收；</w:t>
            </w:r>
          </w:p>
          <w:p w14:paraId="2D32A9A3">
            <w:pPr>
              <w:pStyle w:val="24"/>
              <w:spacing w:line="400" w:lineRule="exact"/>
              <w:rPr>
                <w:rFonts w:hint="eastAsia" w:hAnsi="宋体"/>
                <w:color w:val="auto"/>
                <w:sz w:val="21"/>
                <w:szCs w:val="21"/>
              </w:rPr>
            </w:pPr>
            <w:r>
              <w:rPr>
                <w:rFonts w:hint="eastAsia" w:hAnsi="宋体"/>
                <w:color w:val="auto"/>
                <w:sz w:val="21"/>
                <w:szCs w:val="21"/>
              </w:rPr>
              <w:t>6.</w:t>
            </w:r>
            <w:r>
              <w:rPr>
                <w:rFonts w:hAnsi="宋体"/>
                <w:color w:val="auto"/>
                <w:sz w:val="21"/>
                <w:szCs w:val="21"/>
              </w:rPr>
              <w:t>技术支持与服务：提供每周7×24小时技术响应服务，中标人应负责所售产品的售后服务；质保期内货物或软件发生故障，维修或更换配件所需的全部费用由中标人承担；</w:t>
            </w:r>
          </w:p>
          <w:p w14:paraId="24512942">
            <w:pPr>
              <w:pStyle w:val="24"/>
              <w:spacing w:line="400" w:lineRule="exact"/>
              <w:rPr>
                <w:rFonts w:hint="eastAsia" w:hAnsi="宋体"/>
                <w:color w:val="auto"/>
                <w:sz w:val="21"/>
                <w:szCs w:val="21"/>
              </w:rPr>
            </w:pPr>
            <w:r>
              <w:rPr>
                <w:rFonts w:hint="eastAsia" w:hAnsi="宋体"/>
                <w:color w:val="auto"/>
                <w:sz w:val="21"/>
                <w:szCs w:val="21"/>
              </w:rPr>
              <w:t>7.</w:t>
            </w:r>
            <w:r>
              <w:rPr>
                <w:rFonts w:hAnsi="宋体"/>
                <w:color w:val="auto"/>
                <w:sz w:val="21"/>
                <w:szCs w:val="21"/>
              </w:rPr>
              <w:t>中标人在投标文件中提供针对本项目的服务方案（内容包括但不限于：明确服务期、服务响应时间、售后服务技术人员名单和联系方式、定期回访/走访采购人具体时间、本地化服务能力等）；</w:t>
            </w:r>
          </w:p>
          <w:p w14:paraId="371D3871">
            <w:pPr>
              <w:pStyle w:val="24"/>
              <w:spacing w:line="400" w:lineRule="exact"/>
              <w:rPr>
                <w:rFonts w:hint="eastAsia" w:hAnsi="宋体"/>
                <w:color w:val="auto"/>
                <w:sz w:val="21"/>
                <w:szCs w:val="21"/>
              </w:rPr>
            </w:pPr>
            <w:r>
              <w:rPr>
                <w:rFonts w:hint="eastAsia" w:hAnsi="宋体"/>
                <w:color w:val="auto"/>
                <w:sz w:val="21"/>
                <w:szCs w:val="21"/>
              </w:rPr>
              <w:t>8.</w:t>
            </w:r>
            <w:r>
              <w:rPr>
                <w:rFonts w:hAnsi="宋体"/>
                <w:color w:val="auto"/>
                <w:sz w:val="21"/>
                <w:szCs w:val="21"/>
              </w:rPr>
              <w:t>在服务期内免费提供系统培训服务和系统数据迁移服务，需免费配合采购人通过第三方软件测评、系统安全等保测评及密码应用评估等工作。</w:t>
            </w:r>
          </w:p>
          <w:p w14:paraId="0D84E3FB">
            <w:pPr>
              <w:pStyle w:val="24"/>
              <w:spacing w:line="400" w:lineRule="exact"/>
              <w:rPr>
                <w:rFonts w:hint="eastAsia" w:hAnsi="宋体"/>
                <w:color w:val="auto"/>
                <w:sz w:val="21"/>
                <w:szCs w:val="21"/>
              </w:rPr>
            </w:pPr>
            <w:r>
              <w:rPr>
                <w:rFonts w:hint="eastAsia" w:hAnsi="宋体"/>
                <w:color w:val="auto"/>
                <w:sz w:val="21"/>
                <w:szCs w:val="21"/>
              </w:rPr>
              <w:t>9.</w:t>
            </w:r>
            <w:r>
              <w:rPr>
                <w:rFonts w:hAnsi="宋体"/>
                <w:color w:val="auto"/>
                <w:sz w:val="21"/>
                <w:szCs w:val="21"/>
              </w:rPr>
              <w:t>采购人在软件使用过程中，如果要增加协议附件（功能设计书）之外的其它功能，在不超过功能总量的10%的前提下，中标人须为采购人提供不少于三次的免费修改服务。</w:t>
            </w:r>
          </w:p>
        </w:tc>
      </w:tr>
      <w:tr w14:paraId="045005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0D2A2B13">
            <w:pPr>
              <w:spacing w:line="400" w:lineRule="exact"/>
              <w:jc w:val="center"/>
              <w:rPr>
                <w:rFonts w:hint="eastAsia" w:ascii="宋体" w:hAnsi="宋体" w:cs="宋体"/>
                <w:b/>
                <w:bCs/>
                <w:szCs w:val="21"/>
              </w:rPr>
            </w:pPr>
            <w:r>
              <w:rPr>
                <w:rFonts w:hint="eastAsia" w:ascii="宋体" w:hAnsi="宋体" w:cs="宋体"/>
                <w:b/>
                <w:bCs/>
                <w:szCs w:val="21"/>
              </w:rPr>
              <w:t>▲（七）培训要求</w:t>
            </w:r>
          </w:p>
          <w:p w14:paraId="22F01135">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45EE174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提供免费技术培训，包括用户培训和系统后台维护技术培训、系统技术培训资料包。</w:t>
            </w:r>
          </w:p>
          <w:p w14:paraId="6CD71CA6">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用户培训：为采购人提供上门培训，使用户能够掌握系统的使用方法；</w:t>
            </w:r>
          </w:p>
          <w:p w14:paraId="65C96946">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系统后台维护技术培训包括：数据库安装维护、数据备份等，使受训人员能够独立安装数据库和整套应用。</w:t>
            </w:r>
          </w:p>
          <w:p w14:paraId="2325D362">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系统技术培训资料包：为采购人提供系统使用手册、日常维护手册等成套资料。</w:t>
            </w:r>
          </w:p>
        </w:tc>
      </w:tr>
      <w:tr w14:paraId="006219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6866EC88">
            <w:pPr>
              <w:pStyle w:val="10"/>
              <w:spacing w:line="400" w:lineRule="exact"/>
              <w:ind w:firstLine="0" w:firstLineChars="0"/>
              <w:rPr>
                <w:rFonts w:hint="eastAsia" w:ascii="宋体" w:hAnsi="宋体" w:eastAsia="宋体" w:cs="宋体"/>
                <w:b/>
                <w:bCs/>
                <w:sz w:val="21"/>
                <w:szCs w:val="21"/>
              </w:rPr>
            </w:pPr>
            <w:r>
              <w:rPr>
                <w:rFonts w:hint="eastAsia" w:ascii="宋体" w:hAnsi="宋体" w:eastAsia="宋体" w:cs="宋体"/>
                <w:b/>
                <w:bCs/>
                <w:sz w:val="21"/>
                <w:szCs w:val="21"/>
              </w:rPr>
              <w:t>▲（八）知识产权保护要求</w:t>
            </w:r>
          </w:p>
          <w:p w14:paraId="1DFE1307">
            <w:pPr>
              <w:pStyle w:val="2"/>
              <w:spacing w:line="400" w:lineRule="exact"/>
              <w:jc w:val="center"/>
              <w:rPr>
                <w:rFonts w:hint="eastAsia" w:ascii="宋体" w:hAnsi="宋体" w:cs="宋体"/>
                <w:b/>
                <w:bCs/>
                <w:sz w:val="21"/>
                <w:szCs w:val="21"/>
              </w:rPr>
            </w:pPr>
          </w:p>
        </w:tc>
        <w:tc>
          <w:tcPr>
            <w:tcW w:w="7235" w:type="dxa"/>
            <w:gridSpan w:val="3"/>
            <w:tcBorders>
              <w:top w:val="single" w:color="auto" w:sz="4" w:space="0"/>
              <w:left w:val="single" w:color="auto" w:sz="4" w:space="0"/>
              <w:bottom w:val="single" w:color="auto" w:sz="4" w:space="0"/>
              <w:right w:val="single" w:color="auto" w:sz="4" w:space="0"/>
            </w:tcBorders>
          </w:tcPr>
          <w:p w14:paraId="5A5F42E4">
            <w:pPr>
              <w:pStyle w:val="2"/>
              <w:spacing w:line="400" w:lineRule="exact"/>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中标人为采购人开发的软件，</w:t>
            </w:r>
            <w:r>
              <w:rPr>
                <w:rFonts w:hint="eastAsia" w:ascii="宋体" w:hAnsi="宋体" w:cs="宋体"/>
                <w:color w:val="auto"/>
                <w:sz w:val="21"/>
                <w:szCs w:val="21"/>
                <w:highlight w:val="none"/>
              </w:rPr>
              <w:t>如项目采用成熟平台产品实施的，中标供应商应交付基于本项目的全部二次开发代码及系统接口代码（含接口文档），并向采购人授予平台软件在本项目范围内长期使用、维护、升级所需的权利许可，保障采购人对交付成果的自主可控与后续扩展能力。</w:t>
            </w:r>
            <w:r>
              <w:rPr>
                <w:rFonts w:ascii="宋体" w:hAnsi="宋体" w:cs="宋体"/>
                <w:sz w:val="21"/>
                <w:szCs w:val="21"/>
              </w:rPr>
              <w:t>在开发完成以后，一次性将该软件产品的开发源代码（含开发手册）、接口协议</w:t>
            </w:r>
            <w:r>
              <w:rPr>
                <w:rFonts w:hint="eastAsia" w:ascii="宋体" w:hAnsi="宋体" w:cs="宋体"/>
                <w:sz w:val="21"/>
                <w:szCs w:val="21"/>
              </w:rPr>
              <w:t>移交</w:t>
            </w:r>
            <w:r>
              <w:rPr>
                <w:rFonts w:ascii="宋体" w:hAnsi="宋体" w:cs="宋体"/>
                <w:sz w:val="21"/>
                <w:szCs w:val="21"/>
              </w:rPr>
              <w:t>采购人。该软件的一切权利归采购人所有。中标人应尊重采购人所有的版权等一切权利，</w:t>
            </w:r>
            <w:r>
              <w:rPr>
                <w:rFonts w:hint="eastAsia" w:ascii="宋体" w:hAnsi="宋体" w:cs="宋体"/>
                <w:sz w:val="21"/>
                <w:szCs w:val="21"/>
              </w:rPr>
              <w:t>在交付的</w:t>
            </w:r>
            <w:r>
              <w:rPr>
                <w:rFonts w:ascii="宋体" w:hAnsi="宋体" w:cs="宋体"/>
                <w:sz w:val="21"/>
                <w:szCs w:val="21"/>
              </w:rPr>
              <w:t>软件产品</w:t>
            </w:r>
            <w:r>
              <w:rPr>
                <w:rFonts w:hint="eastAsia" w:ascii="宋体" w:hAnsi="宋体" w:cs="宋体"/>
                <w:sz w:val="21"/>
                <w:szCs w:val="21"/>
              </w:rPr>
              <w:t>及源代码内不得存在采购人不知道的功能和接口</w:t>
            </w:r>
            <w:r>
              <w:rPr>
                <w:rFonts w:ascii="宋体" w:hAnsi="宋体" w:cs="宋体"/>
                <w:sz w:val="21"/>
                <w:szCs w:val="21"/>
              </w:rPr>
              <w:t>，</w:t>
            </w:r>
            <w:r>
              <w:rPr>
                <w:rFonts w:hint="eastAsia" w:ascii="宋体" w:hAnsi="宋体" w:cs="宋体"/>
                <w:sz w:val="21"/>
                <w:szCs w:val="21"/>
              </w:rPr>
              <w:t>不得</w:t>
            </w:r>
            <w:r>
              <w:rPr>
                <w:rFonts w:ascii="宋体" w:hAnsi="宋体" w:cs="宋体"/>
                <w:sz w:val="21"/>
                <w:szCs w:val="21"/>
              </w:rPr>
              <w:t>出租、出让等。否则中标人承担由此给采购人带来的一切损失，采购人保留追究中标人法律责任的权利。</w:t>
            </w:r>
          </w:p>
          <w:p w14:paraId="00B14D82">
            <w:pPr>
              <w:pStyle w:val="2"/>
              <w:spacing w:line="400" w:lineRule="exact"/>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中标人对项目建设中所涉及的专利承担责任，并负责保护采购人的利益不受任何损害。一切由于文字、商标、技术和软件专利授权引起的法律裁决、诉讼和赔偿费用均由中标人负责。</w:t>
            </w:r>
          </w:p>
          <w:p w14:paraId="75F5866A">
            <w:pPr>
              <w:pStyle w:val="2"/>
              <w:spacing w:line="400" w:lineRule="exact"/>
              <w:ind w:firstLine="480"/>
              <w:rPr>
                <w:rFonts w:hint="eastAsia" w:ascii="宋体" w:hAnsi="宋体" w:cs="宋体"/>
                <w:sz w:val="21"/>
                <w:szCs w:val="21"/>
              </w:rPr>
            </w:pPr>
            <w:r>
              <w:rPr>
                <w:rFonts w:ascii="宋体" w:hAnsi="宋体" w:cs="宋体"/>
                <w:sz w:val="21"/>
                <w:szCs w:val="21"/>
              </w:rPr>
              <w:t>本项目成果及其相关知识产权权利归采购单位所有。</w:t>
            </w:r>
          </w:p>
        </w:tc>
      </w:tr>
      <w:tr w14:paraId="642148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3F72CC87">
            <w:pPr>
              <w:pStyle w:val="2"/>
              <w:spacing w:line="400" w:lineRule="exact"/>
              <w:jc w:val="center"/>
              <w:rPr>
                <w:rFonts w:hint="eastAsia" w:ascii="宋体" w:hAnsi="宋体" w:cs="宋体"/>
                <w:b/>
                <w:bCs/>
                <w:sz w:val="21"/>
                <w:szCs w:val="21"/>
              </w:rPr>
            </w:pPr>
            <w:r>
              <w:rPr>
                <w:rFonts w:hint="eastAsia" w:ascii="宋体" w:hAnsi="宋体" w:cs="宋体"/>
                <w:b/>
                <w:bCs/>
                <w:sz w:val="21"/>
                <w:szCs w:val="21"/>
              </w:rPr>
              <w:t>▲（九）其他要求</w:t>
            </w:r>
          </w:p>
        </w:tc>
        <w:tc>
          <w:tcPr>
            <w:tcW w:w="7235" w:type="dxa"/>
            <w:gridSpan w:val="3"/>
            <w:tcBorders>
              <w:top w:val="single" w:color="auto" w:sz="4" w:space="0"/>
              <w:left w:val="single" w:color="auto" w:sz="4" w:space="0"/>
              <w:bottom w:val="single" w:color="auto" w:sz="4" w:space="0"/>
              <w:right w:val="single" w:color="auto" w:sz="4" w:space="0"/>
            </w:tcBorders>
          </w:tcPr>
          <w:p w14:paraId="265DD53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本项目中标人提供的服务应符合国家相关标准、行业标准、地方标准或者其他标准。</w:t>
            </w:r>
          </w:p>
          <w:p w14:paraId="0780CC7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中标人所提供的资料必须是真实的，所作出的承诺必须是切实可行的，如提供虚假资料或作出虚假承诺，一经查实，将取消其中标人中标资格，并按照相关法律法规进行处理，采购人保留进一步追究责任的权利。</w:t>
            </w:r>
          </w:p>
          <w:p w14:paraId="40317CC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中标人必须承诺自行提供本项目的所有服务内容，不得分包或转包，不允许委托任何第三方负责本项目的建设、维护。</w:t>
            </w:r>
          </w:p>
          <w:p w14:paraId="24D0EAF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在项目竣工验收后，采购人有权委托政府审计机构或中介机构对项目建设进行第三方审计。</w:t>
            </w:r>
          </w:p>
          <w:p w14:paraId="7BCFE0BB">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中标人派遣到采购人的服务人员应符合采购人要求，需是本单位在职人员，保证服务人员的稳定性，人员不允许频繁更换。如不符合采购人要求，应及时更换。如项目人员队伍发生重大变更导致无法按要求开展项目任务或者发生重大责任事故的，采购人有权终止委托。</w:t>
            </w:r>
          </w:p>
          <w:p w14:paraId="500F7D2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6.</w:t>
            </w:r>
            <w:r>
              <w:rPr>
                <w:rFonts w:ascii="宋体" w:hAnsi="宋体" w:eastAsia="宋体" w:cs="宋体"/>
                <w:sz w:val="21"/>
                <w:szCs w:val="21"/>
              </w:rPr>
              <w:t>在</w:t>
            </w:r>
            <w:r>
              <w:rPr>
                <w:rFonts w:hint="eastAsia" w:ascii="宋体" w:hAnsi="宋体" w:eastAsia="宋体" w:cs="宋体"/>
                <w:sz w:val="21"/>
                <w:szCs w:val="21"/>
              </w:rPr>
              <w:t>投标文件</w:t>
            </w:r>
            <w:r>
              <w:rPr>
                <w:rFonts w:ascii="宋体" w:hAnsi="宋体" w:eastAsia="宋体" w:cs="宋体"/>
                <w:sz w:val="21"/>
                <w:szCs w:val="21"/>
              </w:rPr>
              <w:t>中提供针对本项目的技术方案、实施方案、售后服务方案等。</w:t>
            </w:r>
          </w:p>
          <w:p w14:paraId="6E95B53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7.</w:t>
            </w:r>
            <w:r>
              <w:rPr>
                <w:rFonts w:ascii="宋体" w:hAnsi="宋体" w:eastAsia="宋体" w:cs="宋体"/>
                <w:sz w:val="21"/>
                <w:szCs w:val="21"/>
              </w:rPr>
              <w:t>因本项目需求需根据实际建设情况进一步优化调整，最终按照项目实际开展要求进行调整确定，中标人必须按照采购人要求配合完成全部工作。</w:t>
            </w:r>
          </w:p>
          <w:p w14:paraId="7A21348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8.</w:t>
            </w:r>
            <w:r>
              <w:rPr>
                <w:rFonts w:ascii="宋体" w:hAnsi="宋体" w:eastAsia="宋体" w:cs="宋体"/>
                <w:sz w:val="21"/>
                <w:szCs w:val="21"/>
              </w:rPr>
              <w:t>提供相应培训服务。</w:t>
            </w:r>
            <w:bookmarkStart w:id="63" w:name="OLE_LINK13"/>
            <w:bookmarkStart w:id="64" w:name="OLE_LINK3"/>
            <w:r>
              <w:rPr>
                <w:rFonts w:ascii="宋体" w:hAnsi="宋体" w:eastAsia="宋体" w:cs="宋体"/>
                <w:sz w:val="21"/>
                <w:szCs w:val="21"/>
              </w:rPr>
              <w:t>中标人免费为采购人提供国家主管部门认证的</w:t>
            </w:r>
            <w:r>
              <w:rPr>
                <w:rFonts w:hint="eastAsia" w:ascii="宋体" w:hAnsi="宋体" w:eastAsia="宋体" w:cs="宋体"/>
                <w:sz w:val="21"/>
                <w:szCs w:val="21"/>
              </w:rPr>
              <w:t>计算机类</w:t>
            </w:r>
            <w:r>
              <w:rPr>
                <w:rFonts w:ascii="宋体" w:hAnsi="宋体" w:eastAsia="宋体" w:cs="宋体"/>
                <w:sz w:val="21"/>
                <w:szCs w:val="21"/>
              </w:rPr>
              <w:t>中级及以上专业技术职业资格</w:t>
            </w:r>
            <w:r>
              <w:rPr>
                <w:rFonts w:hint="eastAsia" w:ascii="宋体" w:hAnsi="宋体" w:eastAsia="宋体" w:cs="宋体"/>
                <w:sz w:val="21"/>
                <w:szCs w:val="21"/>
              </w:rPr>
              <w:t>或行业认可的数据治理认证相关</w:t>
            </w:r>
            <w:r>
              <w:rPr>
                <w:rFonts w:ascii="宋体" w:hAnsi="宋体" w:eastAsia="宋体" w:cs="宋体"/>
                <w:sz w:val="21"/>
                <w:szCs w:val="21"/>
              </w:rPr>
              <w:t>培训</w:t>
            </w:r>
            <w:bookmarkEnd w:id="63"/>
            <w:r>
              <w:rPr>
                <w:rFonts w:ascii="宋体" w:hAnsi="宋体" w:eastAsia="宋体" w:cs="宋体"/>
                <w:sz w:val="21"/>
                <w:szCs w:val="21"/>
              </w:rPr>
              <w:t>（含线下培训和认证服务）培训，培训和认证费含在项目整体报价中</w:t>
            </w:r>
            <w:bookmarkEnd w:id="64"/>
            <w:r>
              <w:rPr>
                <w:rFonts w:ascii="宋体" w:hAnsi="宋体" w:eastAsia="宋体" w:cs="宋体"/>
                <w:sz w:val="21"/>
                <w:szCs w:val="21"/>
              </w:rPr>
              <w:t>。</w:t>
            </w:r>
          </w:p>
          <w:p w14:paraId="1EA1626E">
            <w:pPr>
              <w:pStyle w:val="10"/>
              <w:spacing w:line="400" w:lineRule="exact"/>
              <w:ind w:firstLine="0" w:firstLineChars="0"/>
              <w:rPr>
                <w:rFonts w:hint="eastAsia" w:ascii="宋体" w:hAnsi="宋体" w:eastAsia="宋体" w:cs="宋体"/>
                <w:sz w:val="21"/>
                <w:szCs w:val="21"/>
              </w:rPr>
            </w:pPr>
            <w:bookmarkStart w:id="65" w:name="OLE_LINK11"/>
            <w:r>
              <w:rPr>
                <w:rFonts w:hint="eastAsia" w:ascii="宋体" w:hAnsi="宋体" w:eastAsia="宋体" w:cs="宋体"/>
                <w:sz w:val="21"/>
                <w:szCs w:val="21"/>
              </w:rPr>
              <w:t>9.</w:t>
            </w:r>
            <w:r>
              <w:rPr>
                <w:rFonts w:ascii="宋体" w:hAnsi="宋体" w:eastAsia="宋体" w:cs="宋体"/>
                <w:sz w:val="21"/>
                <w:szCs w:val="21"/>
              </w:rPr>
              <w:t>中标人须安排至少5名人员驻点开发系统</w:t>
            </w:r>
            <w:r>
              <w:rPr>
                <w:rFonts w:hint="eastAsia" w:ascii="宋体" w:hAnsi="宋体" w:eastAsia="宋体" w:cs="宋体"/>
                <w:sz w:val="21"/>
                <w:szCs w:val="21"/>
              </w:rPr>
              <w:t>，质保期安排至少2人驻点运维</w:t>
            </w:r>
            <w:r>
              <w:rPr>
                <w:rFonts w:ascii="宋体" w:hAnsi="宋体" w:eastAsia="宋体" w:cs="宋体"/>
                <w:sz w:val="21"/>
                <w:szCs w:val="21"/>
              </w:rPr>
              <w:t>。</w:t>
            </w:r>
            <w:bookmarkEnd w:id="65"/>
            <w:r>
              <w:rPr>
                <w:rFonts w:hint="eastAsia" w:ascii="宋体" w:hAnsi="宋体" w:eastAsia="宋体" w:cs="宋体"/>
                <w:sz w:val="21"/>
                <w:szCs w:val="21"/>
              </w:rPr>
              <w:t>在驻点过程中，</w:t>
            </w:r>
            <w:r>
              <w:rPr>
                <w:rFonts w:ascii="宋体" w:hAnsi="宋体" w:eastAsia="宋体" w:cs="宋体"/>
                <w:sz w:val="21"/>
                <w:szCs w:val="21"/>
              </w:rPr>
              <w:t>中标人</w:t>
            </w:r>
            <w:r>
              <w:rPr>
                <w:rFonts w:hint="eastAsia" w:ascii="宋体" w:hAnsi="宋体" w:eastAsia="宋体" w:cs="宋体"/>
                <w:sz w:val="21"/>
                <w:szCs w:val="21"/>
              </w:rPr>
              <w:t>应</w:t>
            </w:r>
            <w:r>
              <w:rPr>
                <w:rFonts w:ascii="宋体" w:hAnsi="宋体" w:eastAsia="宋体" w:cs="宋体"/>
                <w:sz w:val="21"/>
                <w:szCs w:val="21"/>
              </w:rPr>
              <w:t>提供完成本项服务所需要的车辆、通讯设备、办公</w:t>
            </w:r>
            <w:r>
              <w:rPr>
                <w:rFonts w:hint="eastAsia" w:ascii="宋体" w:hAnsi="宋体" w:eastAsia="宋体" w:cs="宋体"/>
                <w:sz w:val="21"/>
                <w:szCs w:val="21"/>
              </w:rPr>
              <w:t>设施</w:t>
            </w:r>
            <w:r>
              <w:rPr>
                <w:rFonts w:ascii="宋体" w:hAnsi="宋体" w:eastAsia="宋体" w:cs="宋体"/>
                <w:sz w:val="21"/>
                <w:szCs w:val="21"/>
              </w:rPr>
              <w:t>等一切物资以辅助本项目</w:t>
            </w:r>
            <w:r>
              <w:rPr>
                <w:rFonts w:hint="eastAsia" w:ascii="宋体" w:hAnsi="宋体" w:eastAsia="宋体" w:cs="宋体"/>
                <w:sz w:val="21"/>
                <w:szCs w:val="21"/>
              </w:rPr>
              <w:t>相关</w:t>
            </w:r>
            <w:r>
              <w:rPr>
                <w:rFonts w:ascii="宋体" w:hAnsi="宋体" w:eastAsia="宋体" w:cs="宋体"/>
                <w:sz w:val="21"/>
                <w:szCs w:val="21"/>
              </w:rPr>
              <w:t>工作</w:t>
            </w:r>
            <w:r>
              <w:rPr>
                <w:rFonts w:hint="eastAsia" w:ascii="宋体" w:hAnsi="宋体" w:eastAsia="宋体" w:cs="宋体"/>
                <w:sz w:val="21"/>
                <w:szCs w:val="21"/>
              </w:rPr>
              <w:t>。</w:t>
            </w:r>
          </w:p>
        </w:tc>
      </w:tr>
      <w:tr w14:paraId="2AC692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E1E9517">
            <w:pPr>
              <w:pStyle w:val="2"/>
              <w:spacing w:line="400" w:lineRule="exact"/>
              <w:jc w:val="center"/>
              <w:rPr>
                <w:rFonts w:hint="eastAsia" w:ascii="宋体" w:hAnsi="宋体" w:cs="宋体"/>
                <w:b/>
                <w:bCs/>
                <w:sz w:val="21"/>
                <w:szCs w:val="21"/>
              </w:rPr>
            </w:pPr>
            <w:r>
              <w:rPr>
                <w:rFonts w:hint="eastAsia" w:ascii="宋体" w:hAnsi="宋体" w:cs="宋体"/>
                <w:b/>
                <w:bCs/>
                <w:sz w:val="21"/>
                <w:szCs w:val="21"/>
              </w:rPr>
              <w:t>（十）演示要求及事项</w:t>
            </w:r>
          </w:p>
        </w:tc>
        <w:tc>
          <w:tcPr>
            <w:tcW w:w="7235" w:type="dxa"/>
            <w:gridSpan w:val="3"/>
            <w:tcBorders>
              <w:top w:val="single" w:color="auto" w:sz="4" w:space="0"/>
              <w:left w:val="single" w:color="auto" w:sz="4" w:space="0"/>
              <w:bottom w:val="single" w:color="auto" w:sz="4" w:space="0"/>
              <w:right w:val="single" w:color="auto" w:sz="4" w:space="0"/>
            </w:tcBorders>
          </w:tcPr>
          <w:p w14:paraId="490B455F">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（1）请投标人结合本项目需求及“评标方法及评标标准”演示内容要求，提前做好演示设计及准备。</w:t>
            </w:r>
          </w:p>
          <w:p w14:paraId="55FCAD54">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投标人自备演示所需的设备、工具和网络环境。每家投标人演示时间20分钟（不含调试）。具体演示时间另行通知，届时将在广西政府采购云平台视频会议系统通过共享屏幕方式进行演示，请各投标人提前做好调试准备。若投标人放弃演示，则演示评分项计0分。</w:t>
            </w:r>
          </w:p>
          <w:p w14:paraId="445DFF92">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（3）注意事项</w:t>
            </w:r>
          </w:p>
          <w:p w14:paraId="0F83C26D">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①演示顺序按广西政府采购云平台的排列顺序。演示通过广西政府采购云平台视频会议形式进行，投标人通过共享电脑桌面的形式展现，投标人应自行配制符合广西政府采购云平台视频会议要求的软硬件和确保投标人自身网络顺畅。</w:t>
            </w:r>
          </w:p>
          <w:p w14:paraId="10ECA2B5">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②演示前，代理机构工作人员会至少提前10分钟电话通知各参加演示的投标人，请各投标人保持通讯工具畅通；并由评委或代理机构工作人员通过广西政府采购云平台线上发起询问或通知的方式进行演示确认，投标人应在广西政府采购云平台线上回复是否参加演示。</w:t>
            </w:r>
          </w:p>
          <w:p w14:paraId="709D6CBB">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③各投标人应登录广西政府采购云平台等候演示，代理机构发出视频会议邀请后1分钟内无回应的，将顺延下一个投标人进行演示，待其他投标人演示完毕后再次发出视频会议邀请，反复3次仍无回应的或无法联系的，评标委员会可视为无法演示。</w:t>
            </w:r>
          </w:p>
          <w:p w14:paraId="50DE22B9">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④由于政采云系统原因造成演示中断的，政采云系统恢复后组织重新演示。</w:t>
            </w:r>
          </w:p>
        </w:tc>
      </w:tr>
      <w:tr w14:paraId="55450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230" w:type="dxa"/>
            <w:gridSpan w:val="6"/>
            <w:tcBorders>
              <w:top w:val="single" w:color="auto" w:sz="4" w:space="0"/>
              <w:left w:val="single" w:color="auto" w:sz="4" w:space="0"/>
              <w:bottom w:val="single" w:color="auto" w:sz="4" w:space="0"/>
              <w:right w:val="single" w:color="auto" w:sz="4" w:space="0"/>
            </w:tcBorders>
            <w:vAlign w:val="center"/>
          </w:tcPr>
          <w:p w14:paraId="63284CBF">
            <w:pPr>
              <w:pStyle w:val="2"/>
              <w:spacing w:line="400" w:lineRule="exact"/>
              <w:rPr>
                <w:rFonts w:hint="eastAsia" w:ascii="宋体" w:hAnsi="宋体" w:cs="宋体"/>
                <w:sz w:val="21"/>
                <w:szCs w:val="21"/>
              </w:rPr>
            </w:pPr>
            <w:r>
              <w:rPr>
                <w:rFonts w:hint="eastAsia" w:ascii="宋体" w:hAnsi="宋体" w:cs="宋体"/>
                <w:sz w:val="21"/>
                <w:szCs w:val="21"/>
              </w:rPr>
              <w:t>▲（三）其他要求（“▲”为实质性要求，供应商必须响应，不允许负偏离）</w:t>
            </w:r>
          </w:p>
          <w:p w14:paraId="5F33FE42">
            <w:pPr>
              <w:pStyle w:val="2"/>
              <w:spacing w:line="400" w:lineRule="exact"/>
              <w:rPr>
                <w:rFonts w:hint="eastAsia" w:ascii="宋体" w:hAnsi="宋体" w:cs="宋体"/>
                <w:sz w:val="21"/>
                <w:szCs w:val="21"/>
              </w:rPr>
            </w:pPr>
            <w:r>
              <w:rPr>
                <w:rFonts w:hint="eastAsia" w:ascii="宋体" w:hAnsi="宋体" w:cs="宋体"/>
                <w:sz w:val="21"/>
                <w:szCs w:val="21"/>
              </w:rPr>
              <w:t>1.开发体系要求。</w:t>
            </w:r>
          </w:p>
          <w:p w14:paraId="479A5939">
            <w:pPr>
              <w:pStyle w:val="2"/>
              <w:spacing w:line="400" w:lineRule="exact"/>
              <w:rPr>
                <w:rFonts w:hint="eastAsia" w:ascii="宋体" w:hAnsi="宋体" w:cs="宋体"/>
                <w:sz w:val="21"/>
                <w:szCs w:val="21"/>
              </w:rPr>
            </w:pPr>
            <w:r>
              <w:rPr>
                <w:rFonts w:hint="eastAsia" w:ascii="宋体" w:hAnsi="宋体" w:cs="宋体"/>
                <w:sz w:val="21"/>
                <w:szCs w:val="21"/>
              </w:rPr>
              <w:t>（1）技术中台</w:t>
            </w:r>
          </w:p>
          <w:p w14:paraId="6A5FAB3B">
            <w:pPr>
              <w:pStyle w:val="2"/>
              <w:spacing w:line="400" w:lineRule="exact"/>
              <w:rPr>
                <w:rFonts w:hint="eastAsia" w:ascii="宋体" w:hAnsi="宋体" w:cs="宋体"/>
                <w:sz w:val="21"/>
                <w:szCs w:val="21"/>
              </w:rPr>
            </w:pPr>
            <w:r>
              <w:rPr>
                <w:rFonts w:hint="eastAsia" w:ascii="宋体" w:hAnsi="宋体" w:cs="宋体"/>
                <w:sz w:val="21"/>
                <w:szCs w:val="21"/>
              </w:rPr>
              <w:t>各业务应用需基于采购人广西“生态云”统一支撑平台提供的能力进行建设，需遵循统一的建设要求。</w:t>
            </w:r>
          </w:p>
          <w:p w14:paraId="4B928A83">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\o\ac(○,1)</w:instrText>
            </w:r>
            <w:r>
              <w:rPr>
                <w:rFonts w:hint="eastAsia" w:ascii="宋体" w:hAnsi="宋体" w:cs="宋体"/>
                <w:sz w:val="21"/>
                <w:szCs w:val="21"/>
              </w:rPr>
              <w:fldChar w:fldCharType="end"/>
            </w:r>
            <w:r>
              <w:rPr>
                <w:rFonts w:hint="eastAsia" w:ascii="宋体" w:hAnsi="宋体" w:cs="宋体"/>
                <w:sz w:val="21"/>
                <w:szCs w:val="21"/>
              </w:rPr>
              <w:t xml:space="preserve"> 应用容器化要求：业务应用系统需提供用于构建镜像的相关脚本，需以镜像的形式上传至统一的私有镜像仓库，并遵循统一的镜像命名规范。镜像应遵循最佳实践，保持最小化和无状态化。</w:t>
            </w:r>
          </w:p>
          <w:p w14:paraId="7E85E91B">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\o\ac(○,2)</w:instrText>
            </w:r>
            <w:r>
              <w:rPr>
                <w:rFonts w:hint="eastAsia" w:ascii="宋体" w:hAnsi="宋体" w:cs="宋体"/>
                <w:sz w:val="21"/>
                <w:szCs w:val="21"/>
              </w:rPr>
              <w:fldChar w:fldCharType="end"/>
            </w:r>
            <w:r>
              <w:rPr>
                <w:rFonts w:hint="eastAsia" w:ascii="宋体" w:hAnsi="宋体" w:cs="宋体"/>
                <w:sz w:val="21"/>
                <w:szCs w:val="21"/>
              </w:rPr>
              <w:t xml:space="preserve"> 部署与发布要求：业务应用系统需提供适配广西“生态云”统一支撑平台的部署文件，其中需包含平台所需的各类资源定义。</w:t>
            </w:r>
          </w:p>
          <w:p w14:paraId="0C4BAC11">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\o\ac(○,3)</w:instrText>
            </w:r>
            <w:r>
              <w:rPr>
                <w:rFonts w:hint="eastAsia" w:ascii="宋体" w:hAnsi="宋体" w:cs="宋体"/>
                <w:sz w:val="21"/>
                <w:szCs w:val="21"/>
              </w:rPr>
              <w:fldChar w:fldCharType="end"/>
            </w:r>
            <w:r>
              <w:rPr>
                <w:rFonts w:hint="eastAsia" w:ascii="宋体" w:hAnsi="宋体" w:cs="宋体"/>
                <w:sz w:val="21"/>
                <w:szCs w:val="21"/>
              </w:rPr>
              <w:t xml:space="preserve"> 统一流量入口要求：业务应用系统相关的接口和服务需通过统一应用网关对外暴露，需按平台统一的路由配置规范设置访问路径。</w:t>
            </w:r>
          </w:p>
          <w:p w14:paraId="082349B3">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\o\ac(○,4)</w:instrText>
            </w:r>
            <w:r>
              <w:rPr>
                <w:rFonts w:hint="eastAsia" w:ascii="宋体" w:hAnsi="宋体" w:cs="宋体"/>
                <w:sz w:val="21"/>
                <w:szCs w:val="21"/>
              </w:rPr>
              <w:fldChar w:fldCharType="end"/>
            </w:r>
            <w:r>
              <w:rPr>
                <w:rFonts w:hint="eastAsia" w:ascii="宋体" w:hAnsi="宋体" w:cs="宋体"/>
                <w:sz w:val="21"/>
                <w:szCs w:val="21"/>
              </w:rPr>
              <w:t xml:space="preserve"> 统一身份认证要求：业务应用系统需支持平台提供的统一身份认证协议，与平台提供的统一单点登录系统对接，通过解析平台签发的密钥来获取用户身份信息，并以此为依据进行系统内部的权限判断和控制。</w:t>
            </w:r>
          </w:p>
          <w:p w14:paraId="0CE110EA">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\o\ac(○,5)</w:instrText>
            </w:r>
            <w:r>
              <w:rPr>
                <w:rFonts w:hint="eastAsia" w:ascii="宋体" w:hAnsi="宋体" w:cs="宋体"/>
                <w:sz w:val="21"/>
                <w:szCs w:val="21"/>
              </w:rPr>
              <w:fldChar w:fldCharType="end"/>
            </w:r>
            <w:r>
              <w:rPr>
                <w:rFonts w:hint="eastAsia" w:ascii="宋体" w:hAnsi="宋体" w:cs="宋体"/>
                <w:sz w:val="21"/>
                <w:szCs w:val="21"/>
              </w:rPr>
              <w:t xml:space="preserve"> 统一消息中心接入要求：业务应用系统内需要触达用户的通知（如事项办理、业务告警、状态变更等），需按平台定义的消息模板规范，调用统一消息中心的接口实现消息的接入。</w:t>
            </w:r>
          </w:p>
          <w:p w14:paraId="1B0CC78A">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\o\ac(○,6)</w:instrText>
            </w:r>
            <w:r>
              <w:rPr>
                <w:rFonts w:hint="eastAsia" w:ascii="宋体" w:hAnsi="宋体" w:cs="宋体"/>
                <w:sz w:val="21"/>
                <w:szCs w:val="21"/>
              </w:rPr>
              <w:fldChar w:fldCharType="end"/>
            </w:r>
            <w:r>
              <w:rPr>
                <w:rFonts w:hint="eastAsia" w:ascii="宋体" w:hAnsi="宋体" w:cs="宋体"/>
                <w:sz w:val="21"/>
                <w:szCs w:val="21"/>
              </w:rPr>
              <w:t xml:space="preserve"> 统一日志规范要求：业务应用系统的日志需输出到标准输出和标准错误，建议输出结构化日志，并对接统一的日志管理模块，便于后续的日志检索和分析。</w:t>
            </w:r>
          </w:p>
          <w:p w14:paraId="073EED6D">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\o\ac(○,7)</w:instrText>
            </w:r>
            <w:r>
              <w:rPr>
                <w:rFonts w:hint="eastAsia" w:ascii="宋体" w:hAnsi="宋体" w:cs="宋体"/>
                <w:sz w:val="21"/>
                <w:szCs w:val="21"/>
              </w:rPr>
              <w:fldChar w:fldCharType="end"/>
            </w:r>
            <w:r>
              <w:rPr>
                <w:rFonts w:hint="eastAsia" w:ascii="宋体" w:hAnsi="宋体" w:cs="宋体"/>
                <w:sz w:val="21"/>
                <w:szCs w:val="21"/>
              </w:rPr>
              <w:t xml:space="preserve"> 统一可观测性要求：业务应用系统需实现符合容器平台规范的存活探针、就绪探针等健康检查端点，并按广西“生态云”统一支撑平台的格式要求暴露其内部的关键性能指标。</w:t>
            </w:r>
          </w:p>
          <w:p w14:paraId="41347F43">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\o\ac(○,8)</w:instrText>
            </w:r>
            <w:r>
              <w:rPr>
                <w:rFonts w:hint="eastAsia" w:ascii="宋体" w:hAnsi="宋体" w:cs="宋体"/>
                <w:sz w:val="21"/>
                <w:szCs w:val="21"/>
              </w:rPr>
              <w:fldChar w:fldCharType="end"/>
            </w:r>
            <w:r>
              <w:rPr>
                <w:rFonts w:hint="eastAsia" w:ascii="宋体" w:hAnsi="宋体" w:cs="宋体"/>
                <w:sz w:val="21"/>
                <w:szCs w:val="21"/>
              </w:rPr>
              <w:t xml:space="preserve"> 统一配置管理要求：业务应用系统的环境相关配置项（如数据库地址、密码、第三方密钥等）严禁硬编码在代码或镜像中，需能够通过环境变量、挂载配置文件、对接统一配置平台等方式来读取配置。</w:t>
            </w:r>
          </w:p>
          <w:p w14:paraId="0AE859AF">
            <w:pPr>
              <w:pStyle w:val="2"/>
              <w:spacing w:line="400" w:lineRule="exact"/>
              <w:rPr>
                <w:rFonts w:hint="eastAsia" w:ascii="宋体" w:hAnsi="宋体" w:cs="宋体"/>
                <w:sz w:val="21"/>
                <w:szCs w:val="21"/>
              </w:rPr>
            </w:pPr>
            <w:r>
              <w:rPr>
                <w:rFonts w:hint="eastAsia" w:ascii="宋体" w:hAnsi="宋体" w:cs="宋体"/>
                <w:sz w:val="21"/>
                <w:szCs w:val="21"/>
              </w:rPr>
              <w:t>（2）数据资源平台</w:t>
            </w:r>
          </w:p>
          <w:p w14:paraId="34B7D4D5">
            <w:pPr>
              <w:pStyle w:val="2"/>
              <w:spacing w:line="400" w:lineRule="exact"/>
              <w:rPr>
                <w:rFonts w:hint="eastAsia" w:ascii="宋体" w:hAnsi="宋体" w:cs="宋体"/>
                <w:sz w:val="21"/>
                <w:szCs w:val="21"/>
              </w:rPr>
            </w:pPr>
            <w:r>
              <w:rPr>
                <w:rFonts w:hint="eastAsia" w:ascii="宋体" w:hAnsi="宋体" w:cs="宋体"/>
                <w:sz w:val="21"/>
                <w:szCs w:val="21"/>
              </w:rPr>
              <w:t>必须在采购人提供的广西生态环境数据资源平台上实现数据接入、调用和共享，严格遵循统一的数据标准、接口规范和安全策略。所有跨标段的交互（如数据交换、数据接口调用、目录共享等），确保平台整体的一致性与连贯性。</w:t>
            </w:r>
          </w:p>
          <w:p w14:paraId="67E81982">
            <w:pPr>
              <w:pStyle w:val="2"/>
              <w:spacing w:line="400" w:lineRule="exact"/>
              <w:rPr>
                <w:rFonts w:hint="eastAsia" w:ascii="宋体" w:hAnsi="宋体" w:cs="宋体"/>
                <w:sz w:val="21"/>
                <w:szCs w:val="21"/>
              </w:rPr>
            </w:pPr>
            <w:r>
              <w:rPr>
                <w:rFonts w:hint="eastAsia" w:ascii="宋体" w:hAnsi="宋体" w:cs="宋体"/>
                <w:sz w:val="21"/>
                <w:szCs w:val="21"/>
              </w:rPr>
              <w:t>各系统在建设过程，应严格执行统一数据接口文档和测试流程，确保接口互认、认证一致和数据安全；须接受数据平台的统一接入测试、安全评估和性能认证。系统建设应坚持模块化、服务化思路，以便于后期运维升级和持续扩展，确保全区生态环境智慧监管体系的统一性和长效运行。</w:t>
            </w:r>
          </w:p>
          <w:p w14:paraId="243B60A1">
            <w:pPr>
              <w:pStyle w:val="2"/>
              <w:spacing w:line="400" w:lineRule="exact"/>
              <w:rPr>
                <w:rFonts w:hint="eastAsia" w:ascii="宋体" w:hAnsi="宋体" w:cs="宋体"/>
                <w:sz w:val="21"/>
                <w:szCs w:val="21"/>
              </w:rPr>
            </w:pPr>
            <w:r>
              <w:rPr>
                <w:rFonts w:hint="eastAsia" w:ascii="宋体" w:hAnsi="宋体" w:cs="宋体"/>
                <w:sz w:val="21"/>
                <w:szCs w:val="21"/>
              </w:rPr>
              <w:t>2.需满足政务信息共享开放系统设计要求。</w:t>
            </w:r>
          </w:p>
          <w:p w14:paraId="4B36479A">
            <w:pPr>
              <w:pStyle w:val="2"/>
              <w:spacing w:line="400" w:lineRule="exact"/>
              <w:rPr>
                <w:rFonts w:hint="eastAsia" w:ascii="宋体" w:hAnsi="宋体" w:cs="宋体"/>
                <w:sz w:val="21"/>
                <w:szCs w:val="21"/>
              </w:rPr>
            </w:pPr>
            <w:r>
              <w:rPr>
                <w:rFonts w:hint="eastAsia" w:ascii="宋体" w:hAnsi="宋体" w:cs="宋体"/>
                <w:sz w:val="21"/>
                <w:szCs w:val="21"/>
              </w:rPr>
              <w:t>（1）须实现通过广西一体化智能化公共数据平台与各厅局单位进行数据共享。统一标准接口服务，统一标准接口服务应按照自治区政务信息资源共享平台服务接口开发和使用规范进行设计及实施。针对接口服务过程建立异常跟踪、日志跟踪及处理机制，确保接口程序稳定、健康运行。</w:t>
            </w:r>
          </w:p>
          <w:p w14:paraId="3D2CECC0">
            <w:pPr>
              <w:pStyle w:val="2"/>
              <w:spacing w:line="400" w:lineRule="exact"/>
              <w:rPr>
                <w:rFonts w:hint="eastAsia" w:ascii="宋体" w:hAnsi="宋体" w:cs="宋体"/>
                <w:sz w:val="21"/>
                <w:szCs w:val="21"/>
              </w:rPr>
            </w:pPr>
            <w:r>
              <w:rPr>
                <w:rFonts w:hint="eastAsia" w:ascii="宋体" w:hAnsi="宋体" w:cs="宋体"/>
                <w:sz w:val="21"/>
                <w:szCs w:val="21"/>
              </w:rPr>
              <w:t>根据《广西壮族自治区政务信息化公共组件管理办法（试行）》，需结合场景设计和业务需求，与自治区统一身份认证平台、统一电子印章平台等对接，充分复用自治区政务信息化可共享组件资源，避免重复开发建设。</w:t>
            </w:r>
          </w:p>
          <w:p w14:paraId="250D0AF5">
            <w:pPr>
              <w:pStyle w:val="2"/>
              <w:spacing w:line="400" w:lineRule="exact"/>
              <w:rPr>
                <w:rFonts w:hint="eastAsia" w:ascii="宋体" w:hAnsi="宋体" w:cs="宋体"/>
                <w:sz w:val="21"/>
                <w:szCs w:val="21"/>
              </w:rPr>
            </w:pPr>
            <w:r>
              <w:rPr>
                <w:rFonts w:hint="eastAsia" w:ascii="宋体" w:hAnsi="宋体" w:cs="宋体"/>
                <w:sz w:val="21"/>
                <w:szCs w:val="21"/>
              </w:rPr>
              <w:t>▲3.信息资源目录要求。根据《国务院关于印发政务信息资源共享管理暂行办法的通知》（国发〔2016〕51号）及相关法律法规和等规定，加快推动政务信息系统互联和公共数据共享，要求按照《政务信息资源目录编制指南》编制、维护本项目政务信息资源目录，基于数据共享需求清单100%梳理、挂载并发布数据资源目录，明确数据来源、格式、更新、共享和开放等属性，确保信息资源共享开放。</w:t>
            </w:r>
          </w:p>
          <w:p w14:paraId="62D224FA">
            <w:pPr>
              <w:pStyle w:val="2"/>
              <w:spacing w:line="400" w:lineRule="exact"/>
              <w:rPr>
                <w:rFonts w:hint="eastAsia" w:ascii="宋体" w:hAnsi="宋体" w:cs="宋体"/>
                <w:sz w:val="21"/>
                <w:szCs w:val="21"/>
              </w:rPr>
            </w:pPr>
            <w:r>
              <w:rPr>
                <w:rFonts w:hint="eastAsia" w:ascii="宋体" w:hAnsi="宋体" w:cs="宋体"/>
                <w:sz w:val="21"/>
                <w:szCs w:val="21"/>
              </w:rPr>
              <w:t>▲4.建立维护信息共享开放长效机制。</w:t>
            </w:r>
          </w:p>
          <w:p w14:paraId="1BFD320F">
            <w:pPr>
              <w:pStyle w:val="2"/>
              <w:spacing w:line="400" w:lineRule="exact"/>
              <w:rPr>
                <w:rFonts w:hint="eastAsia" w:ascii="宋体" w:hAnsi="宋体" w:cs="宋体"/>
                <w:sz w:val="21"/>
                <w:szCs w:val="21"/>
              </w:rPr>
            </w:pPr>
            <w:r>
              <w:rPr>
                <w:rFonts w:hint="eastAsia" w:ascii="宋体" w:hAnsi="宋体" w:cs="宋体"/>
                <w:sz w:val="21"/>
                <w:szCs w:val="21"/>
              </w:rPr>
              <w:t>根据采购人要求，建立信息资源的采集管理机制、采集技术机制、统一存储管理机制、统一存储技术机制、统一利用管理机制、统一利用技术机制。保障稳定的数据更新频率、数据推送模式和数据推送周期。</w:t>
            </w:r>
          </w:p>
          <w:p w14:paraId="7D7746B2">
            <w:pPr>
              <w:pStyle w:val="2"/>
              <w:spacing w:line="400" w:lineRule="exact"/>
              <w:rPr>
                <w:rFonts w:hint="eastAsia" w:ascii="宋体" w:hAnsi="宋体" w:cs="宋体"/>
                <w:sz w:val="21"/>
                <w:szCs w:val="21"/>
              </w:rPr>
            </w:pPr>
            <w:r>
              <w:rPr>
                <w:rFonts w:hint="eastAsia" w:ascii="宋体" w:hAnsi="宋体" w:cs="宋体"/>
                <w:sz w:val="21"/>
                <w:szCs w:val="21"/>
              </w:rPr>
              <w:t>5.遵循总体安全建设原则。</w:t>
            </w:r>
          </w:p>
          <w:p w14:paraId="6AA1AE80">
            <w:pPr>
              <w:pStyle w:val="2"/>
              <w:spacing w:line="400" w:lineRule="exact"/>
              <w:rPr>
                <w:rFonts w:hint="eastAsia" w:ascii="宋体" w:hAnsi="宋体" w:cs="宋体"/>
                <w:sz w:val="21"/>
                <w:szCs w:val="21"/>
              </w:rPr>
            </w:pPr>
            <w:r>
              <w:rPr>
                <w:rFonts w:hint="eastAsia" w:ascii="宋体" w:hAnsi="宋体" w:cs="宋体"/>
                <w:sz w:val="21"/>
                <w:szCs w:val="21"/>
              </w:rPr>
              <w:t>（1）整个网络平台与应用平台建设遵循信息安全等级保护二级体系（广西核应急指挥应用、广西生态环境厅内部管理应用、自治区生态环境厅直属单位内部管理应用、广西壮族自治区生态环境厅电子档案管理应用、内控管理应用开发应用遵循信息安全等级保护三级体系）进行建设。满足GB</w:t>
            </w:r>
            <w:r>
              <w:rPr>
                <w:rFonts w:hint="eastAsia"/>
              </w:rPr>
              <w:t>/</w:t>
            </w:r>
            <w:r>
              <w:rPr>
                <w:rFonts w:hint="eastAsia" w:ascii="宋体" w:hAnsi="宋体" w:cs="宋体"/>
                <w:sz w:val="21"/>
                <w:szCs w:val="21"/>
              </w:rPr>
              <w:t>T 22239-2019《信息安全技术 网络安全等级保护基本要求》，并配合完成等保备案、通过等保测评等相关工作。遵循GB/T39786-2021《信息安全技术 信息系统密码应用基本要求》及相关国家标准、行业标准开展密码应用建设，系统使用壮美广西·政务云环境商用密码资源，通过密码应用安全性评估等相关工作。</w:t>
            </w:r>
          </w:p>
          <w:p w14:paraId="0DF7D117">
            <w:pPr>
              <w:pStyle w:val="2"/>
              <w:spacing w:line="400" w:lineRule="exact"/>
              <w:rPr>
                <w:rFonts w:hint="eastAsia" w:ascii="宋体" w:hAnsi="宋体" w:cs="宋体"/>
                <w:sz w:val="21"/>
                <w:szCs w:val="21"/>
              </w:rPr>
            </w:pPr>
            <w:r>
              <w:rPr>
                <w:rFonts w:hint="eastAsia" w:ascii="宋体" w:hAnsi="宋体" w:cs="宋体"/>
                <w:sz w:val="21"/>
                <w:szCs w:val="21"/>
              </w:rPr>
              <w:t>（2）依托现有安全设施进行安全防护体系建设，配合采购人开展安全评估、渗透测试、漏洞修复、弱密码整改等安全保障工作。</w:t>
            </w:r>
          </w:p>
          <w:p w14:paraId="4963757F">
            <w:pPr>
              <w:pStyle w:val="2"/>
              <w:spacing w:line="400" w:lineRule="exact"/>
              <w:rPr>
                <w:rFonts w:hint="eastAsia" w:ascii="宋体" w:hAnsi="宋体" w:cs="宋体"/>
                <w:sz w:val="21"/>
                <w:szCs w:val="21"/>
              </w:rPr>
            </w:pPr>
            <w:r>
              <w:rPr>
                <w:rFonts w:hint="eastAsia" w:ascii="宋体" w:hAnsi="宋体" w:cs="宋体"/>
                <w:sz w:val="21"/>
                <w:szCs w:val="21"/>
              </w:rPr>
              <w:t>（3）对存储在电子政务外网上的数据进行加密存储，系统应具备数据加密脱敏能力，并对系统内部个人信息等敏感数据采取安全保障措施。</w:t>
            </w:r>
          </w:p>
          <w:p w14:paraId="3D149197">
            <w:pPr>
              <w:pStyle w:val="2"/>
              <w:spacing w:line="400" w:lineRule="exact"/>
              <w:rPr>
                <w:rFonts w:hint="eastAsia" w:ascii="宋体" w:hAnsi="宋体" w:cs="宋体"/>
                <w:sz w:val="21"/>
                <w:szCs w:val="21"/>
              </w:rPr>
            </w:pPr>
            <w:r>
              <w:rPr>
                <w:rFonts w:hint="eastAsia" w:ascii="宋体" w:hAnsi="宋体" w:cs="宋体"/>
                <w:sz w:val="21"/>
                <w:szCs w:val="21"/>
              </w:rPr>
              <w:t>（4）用户登录采用CA身份认证方式；</w:t>
            </w:r>
          </w:p>
          <w:p w14:paraId="27AC8AED">
            <w:pPr>
              <w:pStyle w:val="2"/>
              <w:spacing w:line="400" w:lineRule="exact"/>
              <w:rPr>
                <w:rFonts w:hint="eastAsia" w:ascii="宋体" w:hAnsi="宋体" w:cs="宋体"/>
                <w:sz w:val="21"/>
                <w:szCs w:val="21"/>
              </w:rPr>
            </w:pPr>
            <w:r>
              <w:rPr>
                <w:rFonts w:hint="eastAsia" w:ascii="宋体" w:hAnsi="宋体" w:cs="宋体"/>
                <w:sz w:val="21"/>
                <w:szCs w:val="21"/>
              </w:rPr>
              <w:t>（5）对数据维护、查询访问的各环节都进行监控和“留痕”，便于审计。中标人应配合采购人或第三方进行安全审计，提供必要的审计数据和资料。</w:t>
            </w:r>
          </w:p>
          <w:p w14:paraId="3021E007">
            <w:pPr>
              <w:pStyle w:val="2"/>
              <w:spacing w:line="400" w:lineRule="exact"/>
              <w:rPr>
                <w:rFonts w:hint="eastAsia" w:ascii="宋体" w:hAnsi="宋体" w:cs="宋体"/>
                <w:sz w:val="21"/>
                <w:szCs w:val="21"/>
              </w:rPr>
            </w:pPr>
            <w:r>
              <w:rPr>
                <w:rFonts w:hint="eastAsia" w:ascii="宋体" w:hAnsi="宋体" w:cs="宋体"/>
                <w:sz w:val="21"/>
                <w:szCs w:val="21"/>
              </w:rPr>
              <w:t>（6）依托壮美广西·政务云的云平台建设本项目灾备体系。中标人应制定网络和数据安全事件应急预案，并开展演练。</w:t>
            </w:r>
          </w:p>
          <w:p w14:paraId="56DEBD24">
            <w:pPr>
              <w:pStyle w:val="2"/>
              <w:spacing w:line="400" w:lineRule="exact"/>
              <w:rPr>
                <w:rFonts w:hint="eastAsia" w:ascii="宋体" w:hAnsi="宋体" w:cs="宋体"/>
                <w:sz w:val="21"/>
                <w:szCs w:val="21"/>
              </w:rPr>
            </w:pPr>
            <w:r>
              <w:rPr>
                <w:rFonts w:hint="eastAsia" w:ascii="宋体" w:hAnsi="宋体" w:cs="宋体"/>
                <w:sz w:val="21"/>
                <w:szCs w:val="21"/>
              </w:rPr>
              <w:t>（7）在应用系统上线试运行前按照《自治区生态环境厅信息系统上线技术规范（试行）》要求进行自评，并提交《信息系统上线运行技术报告》，获得采购人批准后方可上线。</w:t>
            </w:r>
          </w:p>
          <w:p w14:paraId="639FE2F6">
            <w:pPr>
              <w:pStyle w:val="2"/>
              <w:spacing w:line="400" w:lineRule="exact"/>
              <w:rPr>
                <w:rFonts w:hint="eastAsia" w:ascii="宋体" w:hAnsi="宋体" w:cs="宋体"/>
                <w:sz w:val="21"/>
                <w:szCs w:val="21"/>
              </w:rPr>
            </w:pPr>
            <w:r>
              <w:rPr>
                <w:rFonts w:hint="eastAsia" w:ascii="宋体" w:hAnsi="宋体" w:cs="宋体"/>
                <w:sz w:val="21"/>
                <w:szCs w:val="21"/>
              </w:rPr>
              <w:t>▲6.实施保障要求。</w:t>
            </w:r>
          </w:p>
          <w:p w14:paraId="7AC978BA">
            <w:pPr>
              <w:pStyle w:val="2"/>
              <w:spacing w:line="400" w:lineRule="exact"/>
              <w:rPr>
                <w:rFonts w:hint="eastAsia" w:ascii="宋体" w:hAnsi="宋体" w:cs="宋体"/>
                <w:sz w:val="21"/>
                <w:szCs w:val="21"/>
              </w:rPr>
            </w:pPr>
            <w:r>
              <w:rPr>
                <w:rFonts w:hint="eastAsia" w:ascii="宋体" w:hAnsi="宋体" w:cs="宋体"/>
                <w:sz w:val="21"/>
                <w:szCs w:val="21"/>
              </w:rPr>
              <w:t>（1）密码应用采用统一协调的密码应用方案，包括但不限于密码技术应用、密码支持总体架构、密码基础设施建设部署、密钥管理体系构建、密码产品部署以及管理等。提供密码服务和身份认证服务，密码安全应用贯穿业务始终，即从传输链路、身份鉴别、数据加密、电子签名、数据完整性保护等。</w:t>
            </w:r>
          </w:p>
          <w:p w14:paraId="70C73931">
            <w:pPr>
              <w:pStyle w:val="2"/>
              <w:spacing w:line="400" w:lineRule="exact"/>
              <w:rPr>
                <w:rFonts w:hint="eastAsia" w:ascii="宋体" w:hAnsi="宋体" w:cs="宋体"/>
                <w:sz w:val="21"/>
                <w:szCs w:val="21"/>
              </w:rPr>
            </w:pPr>
            <w:r>
              <w:rPr>
                <w:rFonts w:hint="eastAsia" w:ascii="宋体" w:hAnsi="宋体" w:cs="宋体"/>
                <w:sz w:val="21"/>
                <w:szCs w:val="21"/>
              </w:rPr>
              <w:t>（2）实施计划要求。编制《项目建设实施方案》，组织进行评审论证，并报请采购人批准；在《项目建设实施方案》被批准后，将严格按照实施方案、时间进度要求和人员安排等，组织工程建设，完成工程建设任务，组织工程验收，系统投入运行。实施内容包括方案设计阶段、系统集成、系统调试、试运行、最终验收、风险点及应对措施六个方面。</w:t>
            </w:r>
          </w:p>
          <w:p w14:paraId="272DF023">
            <w:pPr>
              <w:pStyle w:val="2"/>
              <w:spacing w:line="400" w:lineRule="exact"/>
              <w:rPr>
                <w:rFonts w:hint="eastAsia" w:ascii="宋体" w:hAnsi="宋体" w:cs="宋体"/>
                <w:sz w:val="21"/>
                <w:szCs w:val="21"/>
              </w:rPr>
            </w:pPr>
            <w:r>
              <w:rPr>
                <w:rFonts w:hint="eastAsia" w:ascii="宋体" w:hAnsi="宋体" w:cs="宋体"/>
                <w:sz w:val="21"/>
                <w:szCs w:val="21"/>
              </w:rPr>
              <w:t>（3）遵循项目进度基准、范围基准、质量标准等，承建单位对项目的进度、质量、范围、变更等进行统筹管理。供应商对应用功能、服务器配置等参数进行变更应及时传达采购单位，并评估变更带来的安全风险，采取措施对风险进行控制；供应商须建立系统资产清单台账（包括但不限于服务器、操作系统、数据库、中间件、软件基础平台、网络策略开通和数据备份情况等信息），并定期更新。</w:t>
            </w:r>
          </w:p>
          <w:p w14:paraId="3D2D9608">
            <w:pPr>
              <w:pStyle w:val="2"/>
              <w:spacing w:line="400" w:lineRule="exact"/>
              <w:rPr>
                <w:rFonts w:hint="eastAsia" w:ascii="宋体" w:hAnsi="宋体" w:cs="宋体"/>
                <w:sz w:val="21"/>
                <w:szCs w:val="21"/>
              </w:rPr>
            </w:pPr>
            <w:r>
              <w:rPr>
                <w:rFonts w:hint="eastAsia" w:ascii="宋体" w:hAnsi="宋体" w:cs="宋体"/>
                <w:sz w:val="21"/>
                <w:szCs w:val="21"/>
              </w:rPr>
              <w:t>▲7.技术要求。</w:t>
            </w:r>
          </w:p>
          <w:p w14:paraId="4AE2A1B0">
            <w:pPr>
              <w:pStyle w:val="2"/>
              <w:spacing w:line="400" w:lineRule="exact"/>
              <w:rPr>
                <w:rFonts w:hint="eastAsia" w:ascii="宋体" w:hAnsi="宋体" w:cs="宋体"/>
                <w:sz w:val="21"/>
                <w:szCs w:val="21"/>
              </w:rPr>
            </w:pPr>
            <w:r>
              <w:rPr>
                <w:rFonts w:hint="eastAsia" w:ascii="宋体" w:hAnsi="宋体" w:cs="宋体"/>
                <w:sz w:val="21"/>
                <w:szCs w:val="21"/>
              </w:rPr>
              <w:t>（1）部署要求</w:t>
            </w:r>
          </w:p>
          <w:p w14:paraId="3365E909">
            <w:pPr>
              <w:pStyle w:val="2"/>
              <w:spacing w:line="400" w:lineRule="exact"/>
              <w:rPr>
                <w:rFonts w:hint="eastAsia" w:ascii="宋体" w:hAnsi="宋体" w:cs="宋体"/>
                <w:sz w:val="21"/>
                <w:szCs w:val="21"/>
              </w:rPr>
            </w:pPr>
            <w:r>
              <w:rPr>
                <w:rFonts w:hint="eastAsia" w:ascii="宋体" w:hAnsi="宋体" w:cs="宋体"/>
                <w:sz w:val="21"/>
                <w:szCs w:val="21"/>
              </w:rPr>
              <w:t>本项目所用服务器、中间件、操作系统、数据库等均应使用国产技术栈产品，并按要求部署在壮美广西·云平台，确保能在国产技术栈终端环境下稳定运行。</w:t>
            </w:r>
          </w:p>
          <w:p w14:paraId="567E5FB2">
            <w:pPr>
              <w:pStyle w:val="2"/>
              <w:spacing w:line="400" w:lineRule="exact"/>
              <w:rPr>
                <w:rFonts w:hint="eastAsia" w:ascii="宋体" w:hAnsi="宋体" w:cs="宋体"/>
                <w:sz w:val="21"/>
                <w:szCs w:val="21"/>
              </w:rPr>
            </w:pPr>
            <w:r>
              <w:rPr>
                <w:rFonts w:hint="eastAsia" w:ascii="宋体" w:hAnsi="宋体" w:cs="宋体"/>
                <w:sz w:val="21"/>
                <w:szCs w:val="21"/>
              </w:rPr>
              <w:t>本项目应用系统的开发须基于国产技术栈开发，系统在国产操作系统下运行，支持国产浏览器访问。</w:t>
            </w:r>
          </w:p>
          <w:p w14:paraId="46DCD806">
            <w:pPr>
              <w:pStyle w:val="2"/>
              <w:spacing w:line="400" w:lineRule="exact"/>
              <w:rPr>
                <w:rFonts w:hint="eastAsia" w:ascii="宋体" w:hAnsi="宋体" w:cs="宋体"/>
                <w:sz w:val="21"/>
                <w:szCs w:val="21"/>
              </w:rPr>
            </w:pPr>
            <w:r>
              <w:rPr>
                <w:rFonts w:hint="eastAsia" w:ascii="宋体" w:hAnsi="宋体" w:cs="宋体"/>
                <w:sz w:val="21"/>
                <w:szCs w:val="21"/>
              </w:rPr>
              <w:t>本项目所建设的应用系统均应基于壮美广西·政务云提供的银河麒麟、统信UOS等国产操作系统，鲲鹏、飞腾服务器等国产服务器部署要求进行开发；业务系统数据库采用主流的国产关系型数据库管理系统，主要采用开源组件，开源许可协议符合GPL3.0协议。</w:t>
            </w:r>
          </w:p>
          <w:p w14:paraId="0D2FB9AF">
            <w:pPr>
              <w:pStyle w:val="2"/>
              <w:spacing w:line="400" w:lineRule="exact"/>
              <w:rPr>
                <w:rFonts w:hint="eastAsia" w:ascii="宋体" w:hAnsi="宋体" w:cs="宋体"/>
                <w:sz w:val="21"/>
                <w:szCs w:val="21"/>
              </w:rPr>
            </w:pPr>
            <w:r>
              <w:rPr>
                <w:rFonts w:hint="eastAsia" w:ascii="宋体" w:hAnsi="宋体" w:cs="宋体"/>
                <w:sz w:val="21"/>
                <w:szCs w:val="21"/>
              </w:rPr>
              <w:t>（2）性能要求</w:t>
            </w:r>
          </w:p>
          <w:p w14:paraId="48C3511C">
            <w:pPr>
              <w:pStyle w:val="2"/>
              <w:spacing w:line="400" w:lineRule="exact"/>
              <w:rPr>
                <w:rFonts w:hint="eastAsia" w:ascii="宋体" w:hAnsi="宋体" w:cs="宋体"/>
                <w:sz w:val="21"/>
                <w:szCs w:val="21"/>
              </w:rPr>
            </w:pPr>
            <w:r>
              <w:rPr>
                <w:rFonts w:hint="eastAsia" w:ascii="宋体" w:hAnsi="宋体" w:cs="宋体"/>
                <w:sz w:val="21"/>
                <w:szCs w:val="21"/>
              </w:rPr>
              <w:t>应用系统须支持至少1000人同时在线，并发数据流处理能力&gt;1000,并支持未来扩展；</w:t>
            </w:r>
          </w:p>
          <w:p w14:paraId="412F3B7D">
            <w:pPr>
              <w:pStyle w:val="2"/>
              <w:spacing w:line="400" w:lineRule="exact"/>
              <w:rPr>
                <w:rFonts w:hint="eastAsia" w:ascii="宋体" w:hAnsi="宋体" w:cs="宋体"/>
                <w:sz w:val="21"/>
                <w:szCs w:val="21"/>
              </w:rPr>
            </w:pPr>
            <w:r>
              <w:rPr>
                <w:rFonts w:hint="eastAsia" w:ascii="宋体" w:hAnsi="宋体" w:cs="宋体"/>
                <w:sz w:val="21"/>
                <w:szCs w:val="21"/>
              </w:rPr>
              <w:t>应用系统架构应支持高可用性要求，需保证平台7*24小时不间断工作；</w:t>
            </w:r>
          </w:p>
          <w:p w14:paraId="1C568ED9">
            <w:pPr>
              <w:pStyle w:val="2"/>
              <w:spacing w:line="400" w:lineRule="exact"/>
              <w:rPr>
                <w:rFonts w:hint="eastAsia" w:ascii="宋体" w:hAnsi="宋体" w:cs="宋体"/>
                <w:sz w:val="21"/>
                <w:szCs w:val="21"/>
              </w:rPr>
            </w:pPr>
            <w:r>
              <w:rPr>
                <w:rFonts w:hint="eastAsia" w:ascii="宋体" w:hAnsi="宋体" w:cs="宋体"/>
                <w:sz w:val="21"/>
                <w:szCs w:val="21"/>
              </w:rPr>
              <w:t>应用系统在网络稳定（带宽大于100MB/s）的环境下，登录响应时间小于3秒，用户访问应用系统页面的平均响应时间小于5秒；</w:t>
            </w:r>
          </w:p>
          <w:p w14:paraId="5D163E39">
            <w:pPr>
              <w:pStyle w:val="2"/>
              <w:spacing w:line="400" w:lineRule="exact"/>
              <w:rPr>
                <w:rFonts w:hint="eastAsia" w:ascii="宋体" w:hAnsi="宋体" w:cs="宋体"/>
                <w:sz w:val="21"/>
                <w:szCs w:val="21"/>
              </w:rPr>
            </w:pPr>
            <w:r>
              <w:rPr>
                <w:rFonts w:hint="eastAsia" w:ascii="宋体" w:hAnsi="宋体" w:cs="宋体"/>
                <w:sz w:val="21"/>
                <w:szCs w:val="21"/>
              </w:rPr>
              <w:t>应用系统查询检索时间不超过3秒，页面访问延迟小于5秒，报表统计时间不超过5秒。</w:t>
            </w:r>
          </w:p>
          <w:p w14:paraId="565C6DD2">
            <w:pPr>
              <w:pStyle w:val="2"/>
              <w:spacing w:line="400" w:lineRule="exact"/>
              <w:rPr>
                <w:rFonts w:hint="eastAsia" w:ascii="宋体" w:hAnsi="宋体" w:cs="宋体"/>
                <w:sz w:val="21"/>
                <w:szCs w:val="21"/>
              </w:rPr>
            </w:pPr>
            <w:r>
              <w:rPr>
                <w:rFonts w:hint="eastAsia" w:ascii="宋体" w:hAnsi="宋体" w:cs="宋体"/>
                <w:sz w:val="21"/>
                <w:szCs w:val="21"/>
              </w:rPr>
              <w:t>（3）数据安全要求</w:t>
            </w:r>
          </w:p>
          <w:p w14:paraId="69BD7C92">
            <w:pPr>
              <w:pStyle w:val="2"/>
              <w:spacing w:line="400" w:lineRule="exact"/>
              <w:rPr>
                <w:rFonts w:hint="eastAsia" w:ascii="宋体" w:hAnsi="宋体" w:cs="宋体"/>
                <w:sz w:val="21"/>
                <w:szCs w:val="21"/>
              </w:rPr>
            </w:pPr>
            <w:r>
              <w:rPr>
                <w:rFonts w:hint="eastAsia" w:ascii="宋体" w:hAnsi="宋体" w:cs="宋体"/>
                <w:sz w:val="21"/>
                <w:szCs w:val="21"/>
              </w:rPr>
              <w:t>数据梳理成果须进行分级保护，属于涉密数据的参照《中华人民共和国保守国家秘密法》《中华人民共和国保守国家秘密法实施条例》《涉密信息系统集成资质管理办法》《中华人民共和国测绘成果管理条例》等相关法律法规进行处理，数据传输须确保已通过网络安全审查。</w:t>
            </w:r>
          </w:p>
          <w:p w14:paraId="67DF7AF9">
            <w:pPr>
              <w:pStyle w:val="2"/>
              <w:spacing w:line="400" w:lineRule="exact"/>
              <w:rPr>
                <w:rFonts w:hint="eastAsia" w:ascii="宋体" w:hAnsi="宋体" w:cs="宋体"/>
                <w:sz w:val="21"/>
                <w:szCs w:val="21"/>
              </w:rPr>
            </w:pPr>
            <w:r>
              <w:rPr>
                <w:rFonts w:hint="eastAsia" w:ascii="宋体" w:hAnsi="宋体" w:cs="宋体"/>
                <w:sz w:val="21"/>
                <w:szCs w:val="21"/>
              </w:rPr>
              <w:t>（4）文档要求</w:t>
            </w:r>
          </w:p>
          <w:p w14:paraId="1E16148C">
            <w:pPr>
              <w:pStyle w:val="2"/>
              <w:spacing w:line="400" w:lineRule="exact"/>
              <w:rPr>
                <w:rFonts w:hint="eastAsia" w:ascii="宋体" w:hAnsi="宋体" w:cs="宋体"/>
                <w:sz w:val="21"/>
                <w:szCs w:val="21"/>
              </w:rPr>
            </w:pPr>
            <w:r>
              <w:rPr>
                <w:rFonts w:hint="eastAsia" w:ascii="宋体" w:hAnsi="宋体" w:cs="宋体"/>
                <w:sz w:val="21"/>
                <w:szCs w:val="21"/>
              </w:rPr>
              <w:t>按照《科学技术档案案卷构成的一般要求》（GBT11822-2008）及《广西壮族自治区环境信息中心采购项目实施过程管理规范》等档案管理规定中项目文档要求，编制、整理项目采购、实施、验收等阶段所产生的全部纸质及电子文档，并保障项目文档材料通过档案验收。</w:t>
            </w:r>
          </w:p>
          <w:p w14:paraId="319B9755">
            <w:pPr>
              <w:pStyle w:val="2"/>
              <w:spacing w:line="400" w:lineRule="exact"/>
              <w:rPr>
                <w:rFonts w:hint="eastAsia" w:ascii="宋体" w:hAnsi="宋体" w:cs="宋体"/>
                <w:sz w:val="21"/>
                <w:szCs w:val="21"/>
              </w:rPr>
            </w:pPr>
            <w:r>
              <w:rPr>
                <w:rFonts w:hint="eastAsia" w:ascii="宋体" w:hAnsi="宋体" w:cs="宋体"/>
                <w:sz w:val="21"/>
                <w:szCs w:val="21"/>
              </w:rPr>
              <w:t>▲8.实施交付要求</w:t>
            </w:r>
          </w:p>
          <w:p w14:paraId="016979F6">
            <w:pPr>
              <w:pStyle w:val="2"/>
              <w:spacing w:line="400" w:lineRule="exact"/>
              <w:rPr>
                <w:rFonts w:hint="eastAsia" w:ascii="宋体" w:hAnsi="宋体" w:cs="宋体"/>
                <w:sz w:val="21"/>
                <w:szCs w:val="21"/>
              </w:rPr>
            </w:pPr>
            <w:r>
              <w:rPr>
                <w:rFonts w:hint="eastAsia" w:ascii="宋体" w:hAnsi="宋体" w:cs="宋体"/>
                <w:sz w:val="21"/>
                <w:szCs w:val="21"/>
              </w:rPr>
              <w:t>（1）源代码交付</w:t>
            </w:r>
          </w:p>
          <w:p w14:paraId="4A35F510">
            <w:pPr>
              <w:pStyle w:val="2"/>
              <w:spacing w:line="400" w:lineRule="exact"/>
              <w:rPr>
                <w:rFonts w:hint="eastAsia" w:ascii="宋体" w:hAnsi="宋体" w:cs="宋体"/>
                <w:sz w:val="21"/>
                <w:szCs w:val="21"/>
              </w:rPr>
            </w:pPr>
            <w:r>
              <w:rPr>
                <w:rFonts w:hint="eastAsia" w:ascii="宋体" w:hAnsi="宋体" w:cs="宋体"/>
                <w:sz w:val="21"/>
                <w:szCs w:val="21"/>
              </w:rPr>
              <w:t>①供应商应在本项目约定的交付节点，向采购人完整交付所开发软件系统的全部源代码，源代码应涵盖系统所有功能模块，包括但不限于前端界面代码、后端业务逻辑代码、数据库访问代码等。交付的源代码应采用行业通用的、可读的编程语言及编码规范编写，确保采购人技术人员能够顺利理解和使用。</w:t>
            </w:r>
          </w:p>
          <w:p w14:paraId="3AEA1701">
            <w:pPr>
              <w:pStyle w:val="2"/>
              <w:spacing w:line="400" w:lineRule="exact"/>
              <w:rPr>
                <w:rFonts w:hint="eastAsia" w:ascii="宋体" w:hAnsi="宋体" w:cs="宋体"/>
                <w:sz w:val="21"/>
                <w:szCs w:val="21"/>
              </w:rPr>
            </w:pPr>
            <w:r>
              <w:rPr>
                <w:rFonts w:hint="eastAsia" w:ascii="宋体" w:hAnsi="宋体" w:cs="宋体"/>
                <w:sz w:val="21"/>
                <w:szCs w:val="21"/>
              </w:rPr>
              <w:t>②源代码应以电子文档形式交付，存储于采购人指定的存储介质或通过采购人认可的在线传输方式提交。交付时应同时提供详细的代码文档，包括代码架构说明、模块功能介绍、关键算法说明等，以便采购人进行后续的维护和开发工作。代码文档应采用清晰、易懂的格式编写，且文档中的术语、符号等应与源代码保持一致。</w:t>
            </w:r>
          </w:p>
          <w:p w14:paraId="204B9A6A">
            <w:pPr>
              <w:pStyle w:val="2"/>
              <w:spacing w:line="400" w:lineRule="exact"/>
              <w:rPr>
                <w:rFonts w:hint="eastAsia" w:ascii="宋体" w:hAnsi="宋体" w:cs="宋体"/>
                <w:sz w:val="21"/>
                <w:szCs w:val="21"/>
              </w:rPr>
            </w:pPr>
            <w:r>
              <w:rPr>
                <w:rFonts w:hint="eastAsia" w:ascii="宋体" w:hAnsi="宋体" w:cs="宋体"/>
                <w:sz w:val="21"/>
                <w:szCs w:val="21"/>
              </w:rPr>
              <w:t>③供应商保证所交付的源代码是可真实运行的，能够在采购人指定的运行环境中，按照项目约定的功能和性能要求正常工作。供应商应在交付源代码时，提供在采购人指定环境和地点下成功编译运行的测试报告及相关测试数据，作为源代码可运行的初步证明。测试报告应详细记录测试环境配置、测试用例、测试步骤、测试结果等信息，确保测试过程的可重复性和测试结果的可信度，但成功的测试报告不可被视为交付的源代码质量完全符合要求，应以最终验收结果为准。</w:t>
            </w:r>
          </w:p>
          <w:p w14:paraId="03B7C2DB">
            <w:pPr>
              <w:pStyle w:val="2"/>
              <w:spacing w:line="400" w:lineRule="exact"/>
              <w:rPr>
                <w:rFonts w:hint="eastAsia" w:ascii="宋体" w:hAnsi="宋体" w:cs="宋体"/>
                <w:sz w:val="21"/>
                <w:szCs w:val="21"/>
              </w:rPr>
            </w:pPr>
            <w:r>
              <w:rPr>
                <w:rFonts w:hint="eastAsia" w:ascii="宋体" w:hAnsi="宋体" w:cs="宋体"/>
                <w:sz w:val="21"/>
                <w:szCs w:val="21"/>
              </w:rPr>
              <w:t>④供应商保证其交付的源代码及其所有部分（包括但不限于算法、模块、接口）均为其原创或已获得充分、合法、有效的授权，不存在任何侵犯第三方知识产权（包括但不限于著作权、专利权、商业秘密）的情形。若因源代码侵犯第三方知识产权导致采购人遭受任何损失（包括但不限于索赔、诉讼、行政处罚、系统停运），供应商应负责解决并承担全部法律责任及采购人的直接和间接经济损失。</w:t>
            </w:r>
          </w:p>
          <w:p w14:paraId="4202BD56">
            <w:pPr>
              <w:pStyle w:val="2"/>
              <w:spacing w:line="400" w:lineRule="exact"/>
              <w:rPr>
                <w:rFonts w:hint="eastAsia" w:ascii="宋体" w:hAnsi="宋体" w:cs="宋体"/>
                <w:sz w:val="21"/>
                <w:szCs w:val="21"/>
              </w:rPr>
            </w:pPr>
            <w:r>
              <w:rPr>
                <w:rFonts w:hint="eastAsia" w:ascii="宋体" w:hAnsi="宋体" w:cs="宋体"/>
                <w:sz w:val="21"/>
                <w:szCs w:val="21"/>
              </w:rPr>
              <w:t>⑤供应商交付的所有源代码及相关文档，均需提供详细的交付物清单。采购人有权根据清单进行逐项核对和验收，并签署书面交付确认书。该确认书仅代表采购人收到符合清单数量的交付物，不视为对交付物质量、合规性及知识产权的认可。</w:t>
            </w:r>
          </w:p>
          <w:p w14:paraId="3E5093C4">
            <w:pPr>
              <w:pStyle w:val="2"/>
              <w:spacing w:line="400" w:lineRule="exact"/>
              <w:rPr>
                <w:rFonts w:hint="eastAsia" w:ascii="宋体" w:hAnsi="宋体" w:cs="宋体"/>
                <w:sz w:val="21"/>
                <w:szCs w:val="21"/>
              </w:rPr>
            </w:pPr>
            <w:r>
              <w:rPr>
                <w:rFonts w:hint="eastAsia" w:ascii="宋体" w:hAnsi="宋体" w:cs="宋体"/>
                <w:sz w:val="21"/>
                <w:szCs w:val="21"/>
              </w:rPr>
              <w:t>（2）代码审查条款</w:t>
            </w:r>
          </w:p>
          <w:p w14:paraId="70DC6196">
            <w:pPr>
              <w:pStyle w:val="2"/>
              <w:spacing w:line="400" w:lineRule="exact"/>
              <w:rPr>
                <w:rFonts w:hint="eastAsia" w:ascii="宋体" w:hAnsi="宋体" w:cs="宋体"/>
                <w:sz w:val="21"/>
                <w:szCs w:val="21"/>
              </w:rPr>
            </w:pPr>
            <w:r>
              <w:rPr>
                <w:rFonts w:hint="eastAsia" w:ascii="宋体" w:hAnsi="宋体" w:cs="宋体"/>
                <w:sz w:val="21"/>
                <w:szCs w:val="21"/>
              </w:rPr>
              <w:t>①为确保供应商交付的源代码符合项目要求，保证源代码的质量、安全性和可维护性，采购人有权对供应商交付的源代码进行审查。</w:t>
            </w:r>
          </w:p>
          <w:p w14:paraId="74FCA5B5">
            <w:pPr>
              <w:pStyle w:val="2"/>
              <w:spacing w:line="400" w:lineRule="exact"/>
              <w:rPr>
                <w:rFonts w:hint="eastAsia" w:ascii="宋体" w:hAnsi="宋体" w:cs="宋体"/>
                <w:sz w:val="21"/>
                <w:szCs w:val="21"/>
              </w:rPr>
            </w:pPr>
            <w:r>
              <w:rPr>
                <w:rFonts w:hint="eastAsia" w:ascii="宋体" w:hAnsi="宋体" w:cs="宋体"/>
                <w:sz w:val="21"/>
                <w:szCs w:val="21"/>
              </w:rPr>
              <w:t>②代码审查包括但不限于代码规范性审查、功能完整性审查、安全性审查、性能审查等方面。具体审查内容如下：</w:t>
            </w:r>
          </w:p>
          <w:p w14:paraId="1A26AD19">
            <w:pPr>
              <w:pStyle w:val="2"/>
              <w:spacing w:line="400" w:lineRule="exact"/>
              <w:rPr>
                <w:rFonts w:hint="eastAsia" w:ascii="宋体" w:hAnsi="宋体" w:cs="宋体"/>
                <w:sz w:val="21"/>
                <w:szCs w:val="21"/>
              </w:rPr>
            </w:pPr>
            <w:r>
              <w:rPr>
                <w:rFonts w:hint="eastAsia" w:ascii="宋体" w:hAnsi="宋体" w:cs="宋体"/>
                <w:sz w:val="21"/>
                <w:szCs w:val="21"/>
              </w:rPr>
              <w:t>代码规范性审查：检查代码是否符合行业通用的编程规范和采购人的内部编码标准，包括代码格式、命名规范、注释规范等。</w:t>
            </w:r>
          </w:p>
          <w:p w14:paraId="09C652ED">
            <w:pPr>
              <w:pStyle w:val="2"/>
              <w:spacing w:line="400" w:lineRule="exact"/>
              <w:rPr>
                <w:rFonts w:hint="eastAsia" w:ascii="宋体" w:hAnsi="宋体" w:cs="宋体"/>
                <w:sz w:val="21"/>
                <w:szCs w:val="21"/>
              </w:rPr>
            </w:pPr>
            <w:r>
              <w:rPr>
                <w:rFonts w:hint="eastAsia" w:ascii="宋体" w:hAnsi="宋体" w:cs="宋体"/>
                <w:sz w:val="21"/>
                <w:szCs w:val="21"/>
              </w:rPr>
              <w:t>功能完整性审查：验证源代码是否实现了项目约定的所有功能，功能实现是否准确无误，是否存在功能缺失或错误的情况。</w:t>
            </w:r>
          </w:p>
          <w:p w14:paraId="2EAB11E3">
            <w:pPr>
              <w:pStyle w:val="2"/>
              <w:spacing w:line="400" w:lineRule="exact"/>
              <w:rPr>
                <w:rFonts w:hint="eastAsia" w:ascii="宋体" w:hAnsi="宋体" w:cs="宋体"/>
                <w:sz w:val="21"/>
                <w:szCs w:val="21"/>
              </w:rPr>
            </w:pPr>
            <w:r>
              <w:rPr>
                <w:rFonts w:hint="eastAsia" w:ascii="宋体" w:hAnsi="宋体" w:cs="宋体"/>
                <w:sz w:val="21"/>
                <w:szCs w:val="21"/>
              </w:rPr>
              <w:t>安全性审查：检查代码是否存在安全漏洞，如 SQL 注入、跨站脚本攻击（XSS）、缓冲区溢出等安全隐患，确保软件系统的安全性。</w:t>
            </w:r>
          </w:p>
          <w:p w14:paraId="63A60A93">
            <w:pPr>
              <w:pStyle w:val="2"/>
              <w:spacing w:line="400" w:lineRule="exact"/>
              <w:rPr>
                <w:rFonts w:hint="eastAsia" w:ascii="宋体" w:hAnsi="宋体" w:cs="宋体"/>
                <w:sz w:val="21"/>
                <w:szCs w:val="21"/>
              </w:rPr>
            </w:pPr>
            <w:r>
              <w:rPr>
                <w:rFonts w:hint="eastAsia" w:ascii="宋体" w:hAnsi="宋体" w:cs="宋体"/>
                <w:sz w:val="21"/>
                <w:szCs w:val="21"/>
              </w:rPr>
              <w:t>性能审查：评估代码的执行效率，检查是否存在性能瓶颈，如算法复杂度过高、资源占用过大等问题，确保软件系统能够满足性能要求。</w:t>
            </w:r>
          </w:p>
          <w:p w14:paraId="17136B51">
            <w:pPr>
              <w:pStyle w:val="2"/>
              <w:spacing w:line="400" w:lineRule="exact"/>
              <w:rPr>
                <w:rFonts w:hint="eastAsia" w:ascii="宋体" w:hAnsi="宋体" w:cs="宋体"/>
                <w:sz w:val="21"/>
                <w:szCs w:val="21"/>
              </w:rPr>
            </w:pPr>
            <w:r>
              <w:rPr>
                <w:rFonts w:hint="eastAsia" w:ascii="宋体" w:hAnsi="宋体" w:cs="宋体"/>
                <w:sz w:val="21"/>
                <w:szCs w:val="21"/>
              </w:rPr>
              <w:t>（3）代码审查方式：</w:t>
            </w:r>
          </w:p>
          <w:p w14:paraId="531F8FA6">
            <w:pPr>
              <w:pStyle w:val="2"/>
              <w:spacing w:line="400" w:lineRule="exact"/>
              <w:rPr>
                <w:rFonts w:hint="eastAsia" w:ascii="宋体" w:hAnsi="宋体" w:cs="宋体"/>
                <w:sz w:val="21"/>
                <w:szCs w:val="21"/>
              </w:rPr>
            </w:pPr>
            <w:r>
              <w:rPr>
                <w:rFonts w:hint="eastAsia" w:ascii="宋体" w:hAnsi="宋体" w:cs="宋体"/>
                <w:sz w:val="21"/>
                <w:szCs w:val="21"/>
              </w:rPr>
              <w:t>①源代码分段编译：供应商应按照采购人要求，将源代码进行合理分段，并提供分段编译的说明文档。采购人有权根据分段编译的说明文档，对源代码进行分段编译，并将编译后的程序作为正式生产系统进行测试和验证。供应商应积极配合采购人的分段编译工作，提供必要的技术支持和协助。在分段编译过程中，供应商需确保各分段代码之间的接口定义清晰、稳定，不因分段编译而出现兼容性问题。同时，若采购人在分段编译过程中遇到技术问题，供应商应在接到通知后的2小时内响应，并在1个工作日内协助解决问题。</w:t>
            </w:r>
          </w:p>
          <w:p w14:paraId="0F546363">
            <w:pPr>
              <w:pStyle w:val="2"/>
              <w:spacing w:line="400" w:lineRule="exact"/>
              <w:rPr>
                <w:rFonts w:hint="eastAsia" w:ascii="宋体" w:hAnsi="宋体" w:cs="宋体"/>
                <w:sz w:val="21"/>
                <w:szCs w:val="21"/>
              </w:rPr>
            </w:pPr>
            <w:r>
              <w:rPr>
                <w:rFonts w:hint="eastAsia" w:ascii="宋体" w:hAnsi="宋体" w:cs="宋体"/>
                <w:sz w:val="21"/>
                <w:szCs w:val="21"/>
              </w:rPr>
              <w:t>②第三方审查：采购人有权聘请具有相关资质和经验的第三方机构对源代码进行审查。供应商应无条件配合第三方机构的审查工作，提供审查所需的所有资料和信息。审查费用由供应商承担，审查通过后，由于采购人需求变更原因导致重复审查的，重复审查的费用由采购人承担。供应商应在第三方机构开展审查工作前，按照要求准备好完整的源代码、相关技术文档、测试环境等资料，并确保资料的真实性、完整性。在审查过程中，供应商应安排专人与第三方机构对接，及时解答疑问、提供必要的技术解释。</w:t>
            </w:r>
          </w:p>
          <w:p w14:paraId="761F1A7E">
            <w:pPr>
              <w:pStyle w:val="2"/>
              <w:spacing w:line="400" w:lineRule="exact"/>
              <w:rPr>
                <w:rFonts w:hint="eastAsia" w:ascii="宋体" w:hAnsi="宋体" w:cs="宋体"/>
                <w:sz w:val="21"/>
                <w:szCs w:val="21"/>
              </w:rPr>
            </w:pPr>
            <w:r>
              <w:rPr>
                <w:rFonts w:hint="eastAsia" w:ascii="宋体" w:hAnsi="宋体" w:cs="宋体"/>
                <w:sz w:val="21"/>
                <w:szCs w:val="21"/>
              </w:rPr>
              <w:t>（4）代码审查结果处理：</w:t>
            </w:r>
          </w:p>
          <w:p w14:paraId="0C6FC91D">
            <w:pPr>
              <w:pStyle w:val="2"/>
              <w:spacing w:line="400" w:lineRule="exact"/>
              <w:rPr>
                <w:rFonts w:hint="eastAsia" w:ascii="宋体" w:hAnsi="宋体" w:cs="宋体"/>
                <w:sz w:val="21"/>
                <w:szCs w:val="21"/>
              </w:rPr>
            </w:pPr>
            <w:r>
              <w:rPr>
                <w:rFonts w:hint="eastAsia" w:ascii="宋体" w:hAnsi="宋体" w:cs="宋体"/>
                <w:sz w:val="21"/>
                <w:szCs w:val="21"/>
              </w:rPr>
              <w:t>①若代码审查通过，采购人应出具书面审查通过报告，供应商可按照项目约定进行后续工作。</w:t>
            </w:r>
          </w:p>
          <w:p w14:paraId="5D7C8C72">
            <w:pPr>
              <w:pStyle w:val="2"/>
              <w:spacing w:line="400" w:lineRule="exact"/>
              <w:rPr>
                <w:rFonts w:hint="eastAsia" w:ascii="宋体" w:hAnsi="宋体" w:cs="宋体"/>
                <w:sz w:val="21"/>
                <w:szCs w:val="21"/>
              </w:rPr>
            </w:pPr>
            <w:r>
              <w:rPr>
                <w:rFonts w:hint="eastAsia" w:ascii="宋体" w:hAnsi="宋体" w:cs="宋体"/>
                <w:sz w:val="21"/>
                <w:szCs w:val="21"/>
              </w:rPr>
              <w:t>②若代码审查未通过，供应商应根据采购人提出的审查意见，在3个工作日内完成源代码的修改和优化，并重新提交采购人审查。供应商除应承担因代码审查未通过而导致的所有额外费用和损失（包括但不限于审查费用、延期交付违约金等）</w:t>
            </w:r>
          </w:p>
          <w:p w14:paraId="33D69601">
            <w:pPr>
              <w:pStyle w:val="2"/>
              <w:spacing w:line="400" w:lineRule="exact"/>
              <w:rPr>
                <w:rFonts w:hint="eastAsia" w:ascii="宋体" w:hAnsi="宋体" w:cs="宋体"/>
                <w:sz w:val="21"/>
                <w:szCs w:val="21"/>
              </w:rPr>
            </w:pPr>
            <w:r>
              <w:rPr>
                <w:rFonts w:hint="eastAsia" w:ascii="宋体" w:hAnsi="宋体" w:cs="宋体"/>
                <w:sz w:val="21"/>
                <w:szCs w:val="21"/>
              </w:rPr>
              <w:t>（5）第三方产品或供应商自有知识产权产品</w:t>
            </w:r>
          </w:p>
          <w:p w14:paraId="6375723E">
            <w:pPr>
              <w:pStyle w:val="2"/>
              <w:spacing w:line="400" w:lineRule="exact"/>
              <w:rPr>
                <w:rFonts w:hint="eastAsia" w:ascii="宋体" w:hAnsi="宋体" w:cs="宋体"/>
                <w:sz w:val="21"/>
                <w:szCs w:val="21"/>
              </w:rPr>
            </w:pPr>
            <w:r>
              <w:rPr>
                <w:rFonts w:hint="eastAsia" w:ascii="宋体" w:hAnsi="宋体" w:cs="宋体"/>
                <w:sz w:val="21"/>
                <w:szCs w:val="21"/>
              </w:rPr>
              <w:t>①产品说明：若软件系统开发过程中涉及到供应商提供的第三方产品或供应商自有知识产权产品，供应商应在项目签订前向采购人详细说明相关产品的情况，包括产品名称、版本、功能、授权方式、价格等信息，并提供产品的相关文档和资料。产品文档资料应包括产品使用说明书、技术白皮书、授权许可协议样本等，以便采购人全面了解产品特性、使用方法及授权限制等内容。</w:t>
            </w:r>
          </w:p>
          <w:p w14:paraId="2569BDE5">
            <w:pPr>
              <w:pStyle w:val="2"/>
              <w:spacing w:line="400" w:lineRule="exact"/>
              <w:rPr>
                <w:rFonts w:hint="eastAsia" w:ascii="宋体" w:hAnsi="宋体" w:cs="宋体"/>
                <w:sz w:val="21"/>
                <w:szCs w:val="21"/>
              </w:rPr>
            </w:pPr>
            <w:r>
              <w:rPr>
                <w:rFonts w:hint="eastAsia" w:ascii="宋体" w:hAnsi="宋体" w:cs="宋体"/>
                <w:sz w:val="21"/>
                <w:szCs w:val="21"/>
              </w:rPr>
              <w:t>②解耦要求：供应商提供的第三方产品或自有知识产权产品应通过可充分解耦的方式集成到软件系统中，确保在必要的情况下，采购人能够方便地对这些产品进行替换，而不会对软件系统的其他部分造成重大影响。供应商应提供详细的解耦方案和技术文档，说明如何实现产品与系统的解耦，以及解耦后对系统的影响和注意事项。解耦方案应从技术架构层面详细阐述产品与系统的接口设计、数据交互方式、依赖关系等，确保解耦的可行性和有效性。技术文档应包括解耦前后系统架构图对比、接口变更说明、数据迁移指导等内容。</w:t>
            </w:r>
          </w:p>
          <w:p w14:paraId="1F927BB5">
            <w:pPr>
              <w:pStyle w:val="2"/>
              <w:spacing w:line="400" w:lineRule="exact"/>
              <w:rPr>
                <w:rFonts w:hint="eastAsia" w:ascii="宋体" w:hAnsi="宋体" w:cs="宋体"/>
                <w:sz w:val="21"/>
                <w:szCs w:val="21"/>
              </w:rPr>
            </w:pPr>
            <w:r>
              <w:rPr>
                <w:rFonts w:hint="eastAsia" w:ascii="宋体" w:hAnsi="宋体" w:cs="宋体"/>
                <w:sz w:val="21"/>
                <w:szCs w:val="21"/>
              </w:rPr>
              <w:t>③耦合性规避：供应商应采取有效措施，避免因必须使用第三方产品或自有知识产权产品与开发的系统产生过度耦合，导致采购人不能完全自主进行二次开发。若因供应商原因导致系统耦合性过高，影响采购人的二次开发权益的，经采购人要求，供应商应在采购人规定的期限内提供降低耦合性的解决方案，并采取措施降低系统耦合性。若无法解决或解决成本过高，经得采购人同意，供应商应免费为采购人提供功能等同的、无知识产权纠纷的替代产品，并确保系统的正常运行。若替代导致采购人成本增加或功能减损，供应商除应承担相应的赔偿责任外，还应承担相应的违约责任。</w:t>
            </w:r>
          </w:p>
          <w:p w14:paraId="6407D24E">
            <w:pPr>
              <w:pStyle w:val="2"/>
              <w:spacing w:line="400" w:lineRule="exact"/>
              <w:rPr>
                <w:rFonts w:hint="eastAsia" w:ascii="宋体" w:hAnsi="宋体" w:cs="宋体"/>
                <w:sz w:val="21"/>
                <w:szCs w:val="21"/>
              </w:rPr>
            </w:pPr>
            <w:r>
              <w:rPr>
                <w:rFonts w:hint="eastAsia" w:ascii="宋体" w:hAnsi="宋体" w:cs="宋体"/>
                <w:sz w:val="21"/>
                <w:szCs w:val="21"/>
              </w:rPr>
              <w:t>④对于供应商提供的第三方产品或自有知识产权产品，供应商须保证：</w:t>
            </w:r>
          </w:p>
          <w:p w14:paraId="7BBECB97">
            <w:pPr>
              <w:pStyle w:val="2"/>
              <w:spacing w:line="400" w:lineRule="exact"/>
              <w:rPr>
                <w:rFonts w:hint="eastAsia" w:ascii="宋体" w:hAnsi="宋体" w:cs="宋体"/>
                <w:sz w:val="21"/>
                <w:szCs w:val="21"/>
              </w:rPr>
            </w:pPr>
            <w:r>
              <w:rPr>
                <w:rFonts w:hint="eastAsia" w:ascii="宋体" w:hAnsi="宋体" w:cs="宋体"/>
                <w:sz w:val="21"/>
                <w:szCs w:val="21"/>
              </w:rPr>
              <w:t>向采购人提供合法、有效、足额的授权许可，确保采购人在本项目范围内对产品享有永久、不可撤销的使用、运行、维护的权利。</w:t>
            </w:r>
          </w:p>
          <w:p w14:paraId="302EDC17">
            <w:pPr>
              <w:pStyle w:val="2"/>
              <w:spacing w:line="400" w:lineRule="exact"/>
              <w:rPr>
                <w:rFonts w:hint="eastAsia" w:ascii="宋体" w:hAnsi="宋体" w:cs="宋体"/>
                <w:sz w:val="21"/>
                <w:szCs w:val="21"/>
              </w:rPr>
            </w:pPr>
            <w:r>
              <w:rPr>
                <w:rFonts w:hint="eastAsia" w:ascii="宋体" w:hAnsi="宋体" w:cs="宋体"/>
                <w:sz w:val="21"/>
                <w:szCs w:val="21"/>
              </w:rPr>
              <w:t>如该产品需要持续支付许可费或服务费，供应商应向采购人披露，并在项目中对未来至少 5年的费用标准进行约定和封顶，已经约定的，未经采购人同意，供应商不得单方面涨价。供应商未披露或未在项目中明确约定的，视为项目总价已包括该部分费用，超出项目总价部分全部由供应商自行承担。因许可费和服务费未按时支付影响采购人生产经营的，采购人有权要求供应商赔偿全部经济损失。</w:t>
            </w:r>
          </w:p>
          <w:p w14:paraId="13703C19">
            <w:pPr>
              <w:pStyle w:val="2"/>
              <w:spacing w:line="400" w:lineRule="exact"/>
              <w:rPr>
                <w:rFonts w:hint="eastAsia" w:ascii="宋体" w:hAnsi="宋体" w:cs="宋体"/>
                <w:sz w:val="21"/>
                <w:szCs w:val="21"/>
              </w:rPr>
            </w:pPr>
            <w:r>
              <w:rPr>
                <w:rFonts w:hint="eastAsia" w:ascii="宋体" w:hAnsi="宋体" w:cs="宋体"/>
                <w:sz w:val="21"/>
                <w:szCs w:val="21"/>
              </w:rPr>
              <w:t>如该产品停止更新或服务，供应商有义务提前6个月通知采购人，并免费提供其他合格产品的解决方案和技术支持。</w:t>
            </w:r>
          </w:p>
          <w:p w14:paraId="2C0BA462">
            <w:pPr>
              <w:pStyle w:val="2"/>
              <w:spacing w:line="400" w:lineRule="exact"/>
              <w:rPr>
                <w:rFonts w:hint="eastAsia" w:ascii="宋体" w:hAnsi="宋体" w:cs="宋体"/>
                <w:sz w:val="21"/>
                <w:szCs w:val="21"/>
              </w:rPr>
            </w:pPr>
            <w:r>
              <w:rPr>
                <w:rFonts w:hint="eastAsia" w:ascii="宋体" w:hAnsi="宋体" w:cs="宋体"/>
                <w:sz w:val="21"/>
                <w:szCs w:val="21"/>
              </w:rPr>
              <w:t>（6）本项目为交钥匙工程，所有产品送达采购人并安装调试完成直至最终验收合格及质保期内的所有费用，包含但不限于软件平台外购费、数据处理费、基础地理信息数据服务费、人工费、产品价、设计费、交通费、通信费、安全生产费、专家咨询费、会议费、税费、集成费、外协费、保险费、采购人现有软硬件融合及维护等所有费用。因供应商自身原因造成漏报、少报皆由其自行承担责任，采购人不再补偿。在项目实施过程中，若出现因费用问题导致项目进度受阻或质量受影响的情况，供应商应承担全部责任，并采取紧急措施予以解决，确保项目按项目约定推进。</w:t>
            </w:r>
          </w:p>
          <w:p w14:paraId="0A8102B6">
            <w:pPr>
              <w:pStyle w:val="2"/>
              <w:spacing w:line="400" w:lineRule="exact"/>
              <w:rPr>
                <w:rFonts w:hint="eastAsia" w:ascii="宋体" w:hAnsi="宋体" w:cs="宋体"/>
                <w:sz w:val="21"/>
                <w:szCs w:val="21"/>
              </w:rPr>
            </w:pPr>
            <w:r>
              <w:rPr>
                <w:rFonts w:hint="eastAsia" w:ascii="宋体" w:hAnsi="宋体" w:cs="宋体"/>
                <w:sz w:val="21"/>
                <w:szCs w:val="21"/>
              </w:rPr>
              <w:t>（7）本项目各系统需严格遵循采购人的总体技术架构实施建设。供应商须按照采购人明确的包含但不限于国产技术栈改造、技术规范、开发流程、接口标准、安全防护机制等统一技术要求进行系统设计、开发与部署，确保系统在技术层面与采购人现有技术体系无缝兼容、高效协同，满足业务连续性及可扩展性需求。同时，供应商应根据数据资源管理要求，包含但不限于无条件提供项目涉及的所有数据，涵盖但不限于数据采集、存储、处理、共享等全生命周期管理，确保数据的准确性、完整性、及时性与安全性，并严格遵循采购人制定的数据格式、数据字典、数据交换标准等统一数据要求，实现数据在各系统间的高效流通与共享。若因供应商原因导致系统在技术兼容性、数据管理等方面不符合采购人要求，供应商应承担由此产生的全部整改费用及相关损失，并在规定时间内完成整改，确保项目顺利通过验收。</w:t>
            </w:r>
          </w:p>
          <w:p w14:paraId="4526A8CE">
            <w:pPr>
              <w:pStyle w:val="2"/>
              <w:spacing w:line="400" w:lineRule="exact"/>
              <w:rPr>
                <w:rFonts w:hint="eastAsia" w:ascii="宋体" w:hAnsi="宋体" w:cs="宋体"/>
                <w:sz w:val="21"/>
                <w:szCs w:val="21"/>
              </w:rPr>
            </w:pPr>
            <w:r>
              <w:rPr>
                <w:rFonts w:hint="eastAsia" w:ascii="宋体" w:hAnsi="宋体" w:cs="宋体"/>
                <w:sz w:val="21"/>
                <w:szCs w:val="21"/>
              </w:rPr>
              <w:t>▲9.数据资料归属及保密要求</w:t>
            </w:r>
          </w:p>
          <w:p w14:paraId="12E96EC1">
            <w:pPr>
              <w:pStyle w:val="2"/>
              <w:spacing w:line="400" w:lineRule="exact"/>
              <w:rPr>
                <w:rFonts w:hint="eastAsia" w:ascii="宋体" w:hAnsi="宋体" w:cs="宋体"/>
                <w:sz w:val="21"/>
                <w:szCs w:val="21"/>
              </w:rPr>
            </w:pPr>
            <w:r>
              <w:rPr>
                <w:rFonts w:hint="eastAsia" w:ascii="宋体" w:hAnsi="宋体" w:cs="宋体"/>
                <w:sz w:val="21"/>
                <w:szCs w:val="21"/>
              </w:rPr>
              <w:t>（1）本项目所形成的数据和报告归采购人所有。未经采购人授权，不得将数据和报告发送给任何第三方，严格执行项目实施过程中产生数据和报告等资料保密管理。</w:t>
            </w:r>
          </w:p>
          <w:p w14:paraId="27564E56">
            <w:pPr>
              <w:pStyle w:val="2"/>
              <w:spacing w:line="400" w:lineRule="exact"/>
              <w:rPr>
                <w:rFonts w:hint="eastAsia" w:ascii="宋体" w:hAnsi="宋体" w:cs="宋体"/>
                <w:sz w:val="21"/>
                <w:szCs w:val="21"/>
              </w:rPr>
            </w:pPr>
            <w:r>
              <w:rPr>
                <w:rFonts w:hint="eastAsia" w:ascii="宋体" w:hAnsi="宋体" w:cs="宋体"/>
                <w:sz w:val="21"/>
                <w:szCs w:val="21"/>
              </w:rPr>
              <w:t>（2）应遵守《中华人民共和国保守国家秘密法》，严格执行保密制度，按照采购单位要求签订保密协议，不得向第三方泄露其在提供服务期间获得采购单位的技术、商业机密，否则须承担因此产生的全部责任。</w:t>
            </w:r>
          </w:p>
          <w:p w14:paraId="6AE4068A">
            <w:pPr>
              <w:pStyle w:val="2"/>
              <w:spacing w:line="400" w:lineRule="exact"/>
              <w:rPr>
                <w:rFonts w:hint="eastAsia" w:ascii="宋体" w:hAnsi="宋体" w:cs="宋体"/>
                <w:sz w:val="21"/>
                <w:szCs w:val="21"/>
              </w:rPr>
            </w:pPr>
            <w:r>
              <w:rPr>
                <w:rFonts w:hint="eastAsia" w:ascii="宋体" w:hAnsi="宋体" w:cs="宋体"/>
                <w:sz w:val="21"/>
                <w:szCs w:val="21"/>
              </w:rPr>
              <w:t>（3）中标方不允许自行申报科技奖、工程奖、优秀案例等。</w:t>
            </w:r>
          </w:p>
          <w:p w14:paraId="2971DA0C">
            <w:pPr>
              <w:pStyle w:val="2"/>
              <w:spacing w:line="400" w:lineRule="exact"/>
              <w:rPr>
                <w:rFonts w:hint="eastAsia" w:ascii="宋体" w:hAnsi="宋体" w:cs="宋体"/>
                <w:sz w:val="21"/>
                <w:szCs w:val="21"/>
              </w:rPr>
            </w:pPr>
            <w:r>
              <w:rPr>
                <w:rFonts w:hint="eastAsia" w:ascii="宋体" w:hAnsi="宋体" w:cs="宋体"/>
                <w:sz w:val="21"/>
                <w:szCs w:val="21"/>
              </w:rPr>
              <w:t>▲10.成果提交及项目验收</w:t>
            </w:r>
          </w:p>
          <w:p w14:paraId="35D776A5">
            <w:pPr>
              <w:pStyle w:val="2"/>
              <w:spacing w:line="400" w:lineRule="exact"/>
              <w:rPr>
                <w:rFonts w:hint="eastAsia" w:ascii="宋体" w:hAnsi="宋体" w:cs="宋体"/>
                <w:sz w:val="21"/>
                <w:szCs w:val="21"/>
              </w:rPr>
            </w:pPr>
            <w:r>
              <w:rPr>
                <w:rFonts w:hint="eastAsia" w:ascii="宋体" w:hAnsi="宋体" w:cs="宋体"/>
                <w:sz w:val="21"/>
                <w:szCs w:val="21"/>
              </w:rPr>
              <w:t>（1）根据项目采购需求完成系统建设。</w:t>
            </w:r>
          </w:p>
          <w:p w14:paraId="1E99716D">
            <w:pPr>
              <w:pStyle w:val="2"/>
              <w:spacing w:line="400" w:lineRule="exact"/>
              <w:rPr>
                <w:rFonts w:hint="eastAsia" w:ascii="宋体" w:hAnsi="宋体" w:cs="宋体"/>
                <w:sz w:val="21"/>
                <w:szCs w:val="21"/>
              </w:rPr>
            </w:pPr>
            <w:r>
              <w:rPr>
                <w:rFonts w:hint="eastAsia" w:ascii="宋体" w:hAnsi="宋体" w:cs="宋体"/>
                <w:sz w:val="21"/>
                <w:szCs w:val="21"/>
              </w:rPr>
              <w:t>（2）按照《广西壮族自治区环境信息中心采购项目实施过程管理规范》要求完成，项目文件包括但不限于项目团队计划、项目实施方案、密码应用方案、系统安全建设方案、数据迁移方案、项目进度计划、项目需求调研报告、系统需求规格说明书、系统概要设计、系统详细设计、系统数据库设计、部署方案、变更说明（如有）、系统部署安装手册及登记图、测试方案（含计划）、测试用例、测试报告（单元测试、系统测试、验收测试等）、试运行方案、试运行报告、风险评估报告、用户使用手册、系统配置说明、代码文档、接口文档、培训文档等文件编制，同时提交电子版。</w:t>
            </w:r>
          </w:p>
          <w:p w14:paraId="11D0BF77">
            <w:pPr>
              <w:pStyle w:val="2"/>
              <w:spacing w:line="400" w:lineRule="exact"/>
              <w:rPr>
                <w:rFonts w:hint="eastAsia" w:ascii="宋体" w:hAnsi="宋体" w:cs="宋体"/>
                <w:sz w:val="21"/>
                <w:szCs w:val="21"/>
              </w:rPr>
            </w:pPr>
            <w:r>
              <w:rPr>
                <w:rFonts w:hint="eastAsia" w:ascii="宋体" w:hAnsi="宋体" w:cs="宋体"/>
                <w:sz w:val="21"/>
                <w:szCs w:val="21"/>
              </w:rPr>
              <w:t>▲11.质保期服务要求。质保期间，中标人须保障系统安全稳定正常运行，平均故障间隔时间＞1000小时，平均修复时间＜2.5小时，并完成一定程度的系统优化工作。应定期对服务器、操作系统、数据库、中间件、软件基础平台进行巡检并建立巡检台账；监控服务器‌CPU使用率、‌内存占用率‌、磁盘I/O性能等。</w:t>
            </w:r>
          </w:p>
        </w:tc>
      </w:tr>
      <w:bookmarkEnd w:id="60"/>
      <w:bookmarkEnd w:id="61"/>
      <w:bookmarkEnd w:id="62"/>
    </w:tbl>
    <w:p w14:paraId="6E666886">
      <w:pPr>
        <w:spacing w:line="400" w:lineRule="exact"/>
        <w:rPr>
          <w:rFonts w:hint="eastAsia" w:ascii="宋体" w:hAnsi="宋体"/>
          <w:szCs w:val="21"/>
        </w:rPr>
      </w:pPr>
    </w:p>
    <w:p w14:paraId="7EB9863C">
      <w:pPr>
        <w:spacing w:line="400" w:lineRule="exact"/>
        <w:ind w:left="119"/>
        <w:rPr>
          <w:rFonts w:hint="eastAsia" w:ascii="宋体" w:hAnsi="宋体"/>
          <w:szCs w:val="21"/>
        </w:rPr>
      </w:pPr>
    </w:p>
    <w:p w14:paraId="38D90208">
      <w:pPr>
        <w:pStyle w:val="4"/>
        <w:rPr>
          <w:rFonts w:hint="eastAsia" w:ascii="宋体" w:hAnsi="宋体"/>
        </w:rPr>
      </w:pPr>
      <w:r>
        <w:rPr>
          <w:rFonts w:hint="eastAsia"/>
          <w:sz w:val="21"/>
          <w:szCs w:val="21"/>
        </w:rPr>
        <w:t>2.分标2（B分标）：采购预算：505.45万元</w:t>
      </w:r>
    </w:p>
    <w:tbl>
      <w:tblPr>
        <w:tblStyle w:val="18"/>
        <w:tblW w:w="9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1"/>
        <w:gridCol w:w="784"/>
        <w:gridCol w:w="800"/>
        <w:gridCol w:w="117"/>
        <w:gridCol w:w="992"/>
        <w:gridCol w:w="6221"/>
      </w:tblGrid>
      <w:tr w14:paraId="7F385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325" w:type="dxa"/>
            <w:gridSpan w:val="6"/>
            <w:tcBorders>
              <w:top w:val="single" w:color="auto" w:sz="4" w:space="0"/>
              <w:left w:val="single" w:color="auto" w:sz="4" w:space="0"/>
              <w:right w:val="single" w:color="auto" w:sz="4" w:space="0"/>
            </w:tcBorders>
            <w:vAlign w:val="center"/>
          </w:tcPr>
          <w:p w14:paraId="3B33DD9F">
            <w:pPr>
              <w:spacing w:line="400" w:lineRule="exact"/>
              <w:jc w:val="center"/>
              <w:rPr>
                <w:rFonts w:hint="eastAsia" w:ascii="宋体" w:hAnsi="宋体" w:cs="宋体"/>
                <w:b/>
                <w:szCs w:val="21"/>
              </w:rPr>
            </w:pPr>
            <w:r>
              <w:rPr>
                <w:rFonts w:hint="eastAsia" w:ascii="宋体" w:hAnsi="宋体" w:cs="宋体"/>
                <w:b/>
                <w:szCs w:val="21"/>
              </w:rPr>
              <w:t>服务需求一览表</w:t>
            </w:r>
          </w:p>
        </w:tc>
      </w:tr>
      <w:tr w14:paraId="2C24C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11" w:type="dxa"/>
            <w:tcBorders>
              <w:top w:val="single" w:color="auto" w:sz="4" w:space="0"/>
              <w:left w:val="single" w:color="auto" w:sz="4" w:space="0"/>
              <w:bottom w:val="single" w:color="auto" w:sz="4" w:space="0"/>
              <w:right w:val="single" w:color="auto" w:sz="4" w:space="0"/>
            </w:tcBorders>
            <w:vAlign w:val="center"/>
          </w:tcPr>
          <w:p w14:paraId="13491AA0">
            <w:pPr>
              <w:spacing w:line="400" w:lineRule="exact"/>
              <w:jc w:val="center"/>
              <w:rPr>
                <w:rFonts w:hint="eastAsia" w:ascii="宋体" w:hAnsi="宋体" w:cs="宋体"/>
                <w:szCs w:val="21"/>
              </w:rPr>
            </w:pPr>
            <w:r>
              <w:rPr>
                <w:rFonts w:hint="eastAsia" w:ascii="宋体" w:hAnsi="宋体" w:cs="宋体"/>
                <w:szCs w:val="21"/>
              </w:rPr>
              <w:t>序号</w:t>
            </w:r>
          </w:p>
        </w:tc>
        <w:tc>
          <w:tcPr>
            <w:tcW w:w="784" w:type="dxa"/>
            <w:tcBorders>
              <w:top w:val="single" w:color="auto" w:sz="4" w:space="0"/>
              <w:left w:val="single" w:color="auto" w:sz="4" w:space="0"/>
              <w:bottom w:val="single" w:color="auto" w:sz="4" w:space="0"/>
              <w:right w:val="single" w:color="auto" w:sz="4" w:space="0"/>
            </w:tcBorders>
            <w:vAlign w:val="center"/>
          </w:tcPr>
          <w:p w14:paraId="37FB5DDA">
            <w:pPr>
              <w:spacing w:line="400" w:lineRule="exact"/>
              <w:jc w:val="center"/>
              <w:rPr>
                <w:rFonts w:hint="eastAsia" w:ascii="宋体" w:hAnsi="宋体" w:cs="宋体"/>
                <w:szCs w:val="21"/>
              </w:rPr>
            </w:pPr>
            <w:r>
              <w:rPr>
                <w:rFonts w:hint="eastAsia" w:ascii="宋体" w:hAnsi="宋体" w:cs="宋体"/>
                <w:szCs w:val="21"/>
              </w:rPr>
              <w:t>标的名称</w:t>
            </w:r>
          </w:p>
        </w:tc>
        <w:tc>
          <w:tcPr>
            <w:tcW w:w="917" w:type="dxa"/>
            <w:gridSpan w:val="2"/>
            <w:tcBorders>
              <w:top w:val="single" w:color="auto" w:sz="4" w:space="0"/>
              <w:left w:val="single" w:color="auto" w:sz="4" w:space="0"/>
              <w:bottom w:val="single" w:color="auto" w:sz="4" w:space="0"/>
              <w:right w:val="single" w:color="auto" w:sz="4" w:space="0"/>
            </w:tcBorders>
            <w:vAlign w:val="center"/>
          </w:tcPr>
          <w:p w14:paraId="18D164A7">
            <w:pPr>
              <w:spacing w:line="400" w:lineRule="exact"/>
              <w:jc w:val="center"/>
              <w:rPr>
                <w:rFonts w:hint="eastAsia" w:ascii="宋体" w:hAnsi="宋体" w:cs="宋体"/>
                <w:szCs w:val="21"/>
              </w:rPr>
            </w:pPr>
            <w:r>
              <w:rPr>
                <w:rFonts w:hint="eastAsia" w:ascii="宋体" w:hAnsi="宋体" w:cs="宋体"/>
                <w:szCs w:val="21"/>
              </w:rPr>
              <w:t>建设内容</w:t>
            </w:r>
          </w:p>
        </w:tc>
        <w:tc>
          <w:tcPr>
            <w:tcW w:w="992" w:type="dxa"/>
            <w:tcBorders>
              <w:top w:val="single" w:color="auto" w:sz="4" w:space="0"/>
              <w:left w:val="single" w:color="auto" w:sz="4" w:space="0"/>
              <w:bottom w:val="single" w:color="auto" w:sz="4" w:space="0"/>
              <w:right w:val="single" w:color="auto" w:sz="4" w:space="0"/>
            </w:tcBorders>
            <w:vAlign w:val="center"/>
          </w:tcPr>
          <w:p w14:paraId="49355E62">
            <w:pPr>
              <w:spacing w:line="400" w:lineRule="exact"/>
              <w:jc w:val="center"/>
              <w:rPr>
                <w:rFonts w:hint="eastAsia" w:ascii="宋体" w:hAnsi="宋体" w:cs="宋体"/>
                <w:szCs w:val="21"/>
              </w:rPr>
            </w:pPr>
            <w:r>
              <w:rPr>
                <w:rFonts w:hint="eastAsia" w:ascii="宋体" w:hAnsi="宋体" w:cs="宋体"/>
                <w:szCs w:val="21"/>
              </w:rPr>
              <w:t>数量及</w:t>
            </w:r>
          </w:p>
          <w:p w14:paraId="567F9327">
            <w:pPr>
              <w:spacing w:line="400" w:lineRule="exact"/>
              <w:jc w:val="center"/>
              <w:rPr>
                <w:rFonts w:hint="eastAsia" w:ascii="宋体" w:hAnsi="宋体" w:cs="宋体"/>
                <w:szCs w:val="21"/>
              </w:rPr>
            </w:pPr>
            <w:r>
              <w:rPr>
                <w:rFonts w:hint="eastAsia" w:ascii="宋体" w:hAnsi="宋体" w:cs="宋体"/>
                <w:szCs w:val="21"/>
              </w:rPr>
              <w:t>单位</w:t>
            </w:r>
          </w:p>
        </w:tc>
        <w:tc>
          <w:tcPr>
            <w:tcW w:w="6221" w:type="dxa"/>
            <w:tcBorders>
              <w:top w:val="single" w:color="auto" w:sz="4" w:space="0"/>
              <w:left w:val="single" w:color="auto" w:sz="4" w:space="0"/>
              <w:bottom w:val="single" w:color="auto" w:sz="4" w:space="0"/>
              <w:right w:val="single" w:color="auto" w:sz="4" w:space="0"/>
            </w:tcBorders>
            <w:vAlign w:val="center"/>
          </w:tcPr>
          <w:p w14:paraId="3D770DA2">
            <w:pPr>
              <w:spacing w:line="400" w:lineRule="exact"/>
              <w:jc w:val="center"/>
              <w:rPr>
                <w:rFonts w:hint="eastAsia" w:ascii="宋体" w:hAnsi="宋体" w:cs="宋体"/>
                <w:szCs w:val="21"/>
              </w:rPr>
            </w:pPr>
            <w:r>
              <w:rPr>
                <w:rFonts w:hint="eastAsia" w:ascii="宋体" w:hAnsi="宋体" w:cs="宋体"/>
                <w:szCs w:val="21"/>
              </w:rPr>
              <w:t>服务需求</w:t>
            </w:r>
          </w:p>
        </w:tc>
      </w:tr>
      <w:tr w14:paraId="32AA39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411" w:type="dxa"/>
            <w:tcBorders>
              <w:top w:val="single" w:color="auto" w:sz="4" w:space="0"/>
              <w:left w:val="single" w:color="auto" w:sz="4" w:space="0"/>
              <w:bottom w:val="single" w:color="auto" w:sz="4" w:space="0"/>
              <w:right w:val="single" w:color="auto" w:sz="4" w:space="0"/>
            </w:tcBorders>
            <w:vAlign w:val="center"/>
          </w:tcPr>
          <w:p w14:paraId="2FE69B98">
            <w:pPr>
              <w:spacing w:line="400" w:lineRule="exact"/>
              <w:jc w:val="center"/>
              <w:rPr>
                <w:rFonts w:hint="eastAsia" w:ascii="宋体" w:hAnsi="宋体" w:cs="宋体"/>
                <w:szCs w:val="21"/>
              </w:rPr>
            </w:pPr>
            <w:r>
              <w:rPr>
                <w:rFonts w:hint="eastAsia" w:ascii="宋体" w:hAnsi="宋体" w:cs="宋体"/>
                <w:szCs w:val="21"/>
              </w:rPr>
              <w:t>1</w:t>
            </w:r>
          </w:p>
        </w:tc>
        <w:tc>
          <w:tcPr>
            <w:tcW w:w="784" w:type="dxa"/>
            <w:tcBorders>
              <w:top w:val="single" w:color="auto" w:sz="4" w:space="0"/>
              <w:left w:val="single" w:color="auto" w:sz="4" w:space="0"/>
              <w:bottom w:val="single" w:color="auto" w:sz="4" w:space="0"/>
              <w:right w:val="single" w:color="auto" w:sz="4" w:space="0"/>
            </w:tcBorders>
            <w:vAlign w:val="center"/>
          </w:tcPr>
          <w:p w14:paraId="4ECE1CB6">
            <w:pPr>
              <w:spacing w:line="400" w:lineRule="exact"/>
              <w:jc w:val="center"/>
              <w:rPr>
                <w:rFonts w:hint="eastAsia" w:ascii="宋体" w:hAnsi="宋体" w:cs="宋体"/>
                <w:szCs w:val="21"/>
              </w:rPr>
            </w:pPr>
            <w:r>
              <w:rPr>
                <w:rFonts w:hint="eastAsia" w:ascii="宋体" w:hAnsi="宋体" w:cs="宋体"/>
                <w:szCs w:val="21"/>
              </w:rPr>
              <w:t>广西生态环境信息化建设项目（</w:t>
            </w:r>
            <w:r>
              <w:rPr>
                <w:rFonts w:ascii="宋体" w:hAnsi="宋体" w:cs="宋体"/>
                <w:szCs w:val="21"/>
              </w:rPr>
              <w:t>B分标</w:t>
            </w:r>
            <w:r>
              <w:rPr>
                <w:rFonts w:hint="eastAsia" w:ascii="宋体" w:hAnsi="宋体" w:cs="宋体"/>
                <w:szCs w:val="21"/>
              </w:rPr>
              <w:t>）</w:t>
            </w:r>
          </w:p>
        </w:tc>
        <w:tc>
          <w:tcPr>
            <w:tcW w:w="917" w:type="dxa"/>
            <w:gridSpan w:val="2"/>
            <w:tcBorders>
              <w:top w:val="single" w:color="auto" w:sz="4" w:space="0"/>
              <w:left w:val="single" w:color="auto" w:sz="4" w:space="0"/>
              <w:bottom w:val="single" w:color="auto" w:sz="4" w:space="0"/>
              <w:right w:val="single" w:color="auto" w:sz="4" w:space="0"/>
            </w:tcBorders>
            <w:vAlign w:val="center"/>
          </w:tcPr>
          <w:p w14:paraId="68ED4043">
            <w:pPr>
              <w:spacing w:line="400" w:lineRule="exact"/>
              <w:jc w:val="center"/>
              <w:rPr>
                <w:rFonts w:hint="eastAsia" w:ascii="宋体" w:hAnsi="宋体" w:cs="宋体"/>
                <w:szCs w:val="21"/>
              </w:rPr>
            </w:pPr>
            <w:r>
              <w:rPr>
                <w:rFonts w:ascii="宋体" w:hAnsi="宋体" w:cs="宋体"/>
                <w:szCs w:val="21"/>
              </w:rPr>
              <w:t>广西生态环境监管应用（广西生态环境智慧执法应用、</w:t>
            </w:r>
            <w:r>
              <w:rPr>
                <w:rFonts w:hint="eastAsia" w:ascii="宋体" w:hAnsi="宋体" w:cs="宋体"/>
                <w:szCs w:val="21"/>
              </w:rPr>
              <w:t>“</w:t>
            </w:r>
            <w:r>
              <w:rPr>
                <w:rFonts w:ascii="宋体" w:hAnsi="宋体" w:cs="宋体"/>
                <w:szCs w:val="21"/>
              </w:rPr>
              <w:t>帮企减污</w:t>
            </w:r>
            <w:r>
              <w:rPr>
                <w:rFonts w:hint="eastAsia" w:ascii="宋体" w:hAnsi="宋体" w:cs="宋体"/>
                <w:szCs w:val="21"/>
              </w:rPr>
              <w:t>”</w:t>
            </w:r>
            <w:r>
              <w:rPr>
                <w:rFonts w:ascii="宋体" w:hAnsi="宋体" w:cs="宋体"/>
                <w:szCs w:val="21"/>
              </w:rPr>
              <w:t>应用、广西环保项目库管理应用、政务服务事项标准化接口、项目准入研判应用、广西生态环境实验室管理应用、大气监测数据快速统计及分析应用）</w:t>
            </w:r>
          </w:p>
        </w:tc>
        <w:tc>
          <w:tcPr>
            <w:tcW w:w="992" w:type="dxa"/>
            <w:tcBorders>
              <w:top w:val="single" w:color="auto" w:sz="4" w:space="0"/>
              <w:left w:val="single" w:color="auto" w:sz="4" w:space="0"/>
              <w:bottom w:val="single" w:color="auto" w:sz="4" w:space="0"/>
              <w:right w:val="single" w:color="auto" w:sz="4" w:space="0"/>
            </w:tcBorders>
            <w:vAlign w:val="center"/>
          </w:tcPr>
          <w:p w14:paraId="5DEAE4D3">
            <w:pPr>
              <w:spacing w:line="400" w:lineRule="exact"/>
              <w:jc w:val="center"/>
              <w:rPr>
                <w:rFonts w:hint="eastAsia" w:ascii="宋体" w:hAnsi="宋体" w:cs="宋体"/>
                <w:szCs w:val="21"/>
              </w:rPr>
            </w:pPr>
            <w:r>
              <w:rPr>
                <w:rFonts w:hint="eastAsia" w:ascii="宋体" w:hAnsi="宋体" w:cs="宋体"/>
                <w:szCs w:val="21"/>
              </w:rPr>
              <w:t>1项</w:t>
            </w:r>
          </w:p>
        </w:tc>
        <w:tc>
          <w:tcPr>
            <w:tcW w:w="6221" w:type="dxa"/>
            <w:tcBorders>
              <w:top w:val="single" w:color="auto" w:sz="4" w:space="0"/>
              <w:left w:val="single" w:color="auto" w:sz="4" w:space="0"/>
              <w:bottom w:val="single" w:color="auto" w:sz="4" w:space="0"/>
              <w:right w:val="single" w:color="auto" w:sz="4" w:space="0"/>
            </w:tcBorders>
            <w:vAlign w:val="center"/>
          </w:tcPr>
          <w:p w14:paraId="6F14F96A">
            <w:pPr>
              <w:pStyle w:val="2"/>
              <w:spacing w:line="400" w:lineRule="exact"/>
              <w:ind w:firstLine="480"/>
              <w:rPr>
                <w:rFonts w:hint="eastAsia" w:ascii="宋体" w:hAnsi="宋体" w:cs="宋体"/>
                <w:sz w:val="21"/>
                <w:szCs w:val="21"/>
              </w:rPr>
            </w:pPr>
            <w:r>
              <w:rPr>
                <w:rFonts w:ascii="宋体" w:hAnsi="宋体" w:cs="宋体"/>
                <w:sz w:val="21"/>
                <w:szCs w:val="21"/>
              </w:rPr>
              <w:t>一、广西生态环境智慧执法应用</w:t>
            </w:r>
          </w:p>
          <w:p w14:paraId="2B62E41C">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7C9D3349">
            <w:pPr>
              <w:pStyle w:val="2"/>
              <w:spacing w:line="400" w:lineRule="exact"/>
              <w:ind w:firstLine="480"/>
              <w:rPr>
                <w:rFonts w:hint="eastAsia" w:ascii="宋体" w:hAnsi="宋体" w:cs="宋体"/>
                <w:sz w:val="21"/>
                <w:szCs w:val="21"/>
              </w:rPr>
            </w:pPr>
            <w:r>
              <w:rPr>
                <w:rFonts w:ascii="宋体" w:hAnsi="宋体" w:cs="宋体"/>
                <w:sz w:val="21"/>
                <w:szCs w:val="21"/>
              </w:rPr>
              <w:t>对现有的广西固定污染源自动监控、广西生态环境执法视频监控进行升级改造，在此基础上根据《生态环境部办公厅关于印发&lt;2025年全国生态环境保护执法</w:t>
            </w:r>
            <w:r>
              <w:rPr>
                <w:rFonts w:hint="eastAsia" w:ascii="宋体" w:hAnsi="宋体" w:cs="宋体"/>
                <w:sz w:val="21"/>
                <w:szCs w:val="21"/>
                <w:lang w:val="en-US" w:eastAsia="zh-CN"/>
              </w:rPr>
              <w:t>实战</w:t>
            </w:r>
            <w:r>
              <w:rPr>
                <w:rFonts w:ascii="宋体" w:hAnsi="宋体" w:cs="宋体"/>
                <w:sz w:val="21"/>
                <w:szCs w:val="21"/>
              </w:rPr>
              <w:t>大练兵活动方案&gt;的通知》（环办执法函〔2025〕185号）对加强执法一体化建设，推进全流程非现场执法监管的要求，实现执法现场检查、案源登记、调查取证、处罚决定等全过程数据信息融合互通，进一步支撑移动执法、行政处罚等工作高效开展，满足生态环境执法闭环式管理，建设执法一体化监管模块、执法数据管理模块，其中执法一体化监管模块包含环境信访、执法监管、行政处罚、案卷评查、实战比武、信用评价、涉税信息共享等功能，并对广西固定污染源自动监控、广西生态环境执法视频监控进行升级改造。</w:t>
            </w:r>
          </w:p>
          <w:p w14:paraId="4BBEFD31">
            <w:pPr>
              <w:pStyle w:val="2"/>
              <w:spacing w:line="400" w:lineRule="exact"/>
              <w:ind w:firstLine="480"/>
              <w:rPr>
                <w:rFonts w:hint="eastAsia" w:ascii="宋体" w:hAnsi="宋体" w:cs="宋体"/>
                <w:sz w:val="21"/>
                <w:szCs w:val="21"/>
              </w:rPr>
            </w:pPr>
            <w:r>
              <w:rPr>
                <w:rFonts w:hint="eastAsia" w:ascii="宋体" w:hAnsi="宋体" w:cs="宋体"/>
                <w:sz w:val="21"/>
                <w:szCs w:val="21"/>
              </w:rPr>
              <w:t>应用需</w:t>
            </w:r>
            <w:r>
              <w:rPr>
                <w:rFonts w:ascii="宋体" w:hAnsi="宋体" w:cs="宋体"/>
                <w:sz w:val="21"/>
                <w:szCs w:val="21"/>
              </w:rPr>
              <w:t>按照广西生态环境业务应用系统的总体架构要求完成</w:t>
            </w:r>
            <w:r>
              <w:rPr>
                <w:rFonts w:hint="eastAsia" w:ascii="宋体" w:hAnsi="宋体" w:cs="宋体"/>
                <w:sz w:val="21"/>
                <w:szCs w:val="21"/>
              </w:rPr>
              <w:t>国产技术栈</w:t>
            </w:r>
            <w:r>
              <w:rPr>
                <w:rFonts w:ascii="宋体" w:hAnsi="宋体" w:cs="宋体"/>
                <w:sz w:val="21"/>
                <w:szCs w:val="21"/>
              </w:rPr>
              <w:t>改造，利用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w:t>
            </w:r>
            <w:r>
              <w:rPr>
                <w:rFonts w:hint="eastAsia" w:ascii="宋体" w:hAnsi="宋体" w:cs="宋体"/>
                <w:sz w:val="21"/>
                <w:szCs w:val="21"/>
              </w:rPr>
              <w:t>，</w:t>
            </w:r>
            <w:r>
              <w:rPr>
                <w:rFonts w:ascii="宋体" w:hAnsi="宋体" w:cs="宋体"/>
                <w:sz w:val="21"/>
                <w:szCs w:val="21"/>
              </w:rPr>
              <w:t>支持将系统的分析数据、展示内容推送到广西生态云应用中，视频监控摄像头应支持接入统一技术平台。形成广西生态环境智慧执法应用。</w:t>
            </w:r>
          </w:p>
          <w:p w14:paraId="1F4F8302">
            <w:pPr>
              <w:pStyle w:val="2"/>
              <w:spacing w:line="400" w:lineRule="exact"/>
              <w:ind w:firstLine="480"/>
              <w:rPr>
                <w:rFonts w:hint="eastAsia" w:ascii="宋体" w:hAnsi="宋体" w:cs="宋体"/>
                <w:sz w:val="21"/>
                <w:szCs w:val="21"/>
              </w:rPr>
            </w:pPr>
            <w:r>
              <w:rPr>
                <w:rFonts w:ascii="宋体" w:hAnsi="宋体" w:cs="宋体"/>
                <w:sz w:val="21"/>
                <w:szCs w:val="21"/>
              </w:rPr>
              <w:t>▲（二）执法数据管理功能重构</w:t>
            </w:r>
          </w:p>
          <w:p w14:paraId="12A640E8">
            <w:pPr>
              <w:pStyle w:val="2"/>
              <w:spacing w:line="400" w:lineRule="exact"/>
              <w:ind w:firstLine="480"/>
              <w:rPr>
                <w:rFonts w:hint="eastAsia" w:ascii="宋体" w:hAnsi="宋体" w:cs="宋体"/>
                <w:sz w:val="21"/>
                <w:szCs w:val="21"/>
              </w:rPr>
            </w:pPr>
            <w:r>
              <w:rPr>
                <w:rFonts w:ascii="宋体" w:hAnsi="宋体" w:cs="宋体"/>
                <w:sz w:val="21"/>
                <w:szCs w:val="21"/>
              </w:rPr>
              <w:t>1.队伍管理</w:t>
            </w:r>
          </w:p>
          <w:p w14:paraId="7582FF21">
            <w:pPr>
              <w:pStyle w:val="2"/>
              <w:spacing w:line="400" w:lineRule="exact"/>
              <w:ind w:firstLine="480"/>
              <w:rPr>
                <w:rFonts w:hint="eastAsia" w:ascii="宋体" w:hAnsi="宋体" w:cs="宋体"/>
                <w:sz w:val="21"/>
                <w:szCs w:val="21"/>
              </w:rPr>
            </w:pPr>
            <w:r>
              <w:rPr>
                <w:rFonts w:ascii="宋体" w:hAnsi="宋体" w:cs="宋体"/>
                <w:sz w:val="21"/>
                <w:szCs w:val="21"/>
              </w:rPr>
              <w:t>（1）机构管理：机构信息新增、机构信息编辑、信息查看、机构信息导入、机构信息删除、信息关联等。</w:t>
            </w:r>
          </w:p>
          <w:p w14:paraId="16CEE258">
            <w:pPr>
              <w:pStyle w:val="2"/>
              <w:spacing w:line="400" w:lineRule="exact"/>
              <w:ind w:firstLine="480"/>
              <w:rPr>
                <w:rFonts w:hint="eastAsia" w:ascii="宋体" w:hAnsi="宋体" w:cs="宋体"/>
                <w:sz w:val="21"/>
                <w:szCs w:val="21"/>
              </w:rPr>
            </w:pPr>
            <w:r>
              <w:rPr>
                <w:rFonts w:ascii="宋体" w:hAnsi="宋体" w:cs="宋体"/>
                <w:sz w:val="21"/>
                <w:szCs w:val="21"/>
              </w:rPr>
              <w:t>（2）人员管理：信息新增、信息编辑、信息查看、信息导入、信息删除、信息关联等。</w:t>
            </w:r>
          </w:p>
          <w:p w14:paraId="27F860CD">
            <w:pPr>
              <w:pStyle w:val="2"/>
              <w:spacing w:line="400" w:lineRule="exact"/>
              <w:ind w:firstLine="480"/>
              <w:rPr>
                <w:rFonts w:hint="eastAsia" w:ascii="宋体" w:hAnsi="宋体" w:cs="宋体"/>
                <w:sz w:val="21"/>
                <w:szCs w:val="21"/>
              </w:rPr>
            </w:pPr>
            <w:r>
              <w:rPr>
                <w:rFonts w:ascii="宋体" w:hAnsi="宋体" w:cs="宋体"/>
                <w:sz w:val="21"/>
                <w:szCs w:val="21"/>
              </w:rPr>
              <w:t>（3）培训管理：信息新增、信息编辑、信息查看、信息导入、信息删除等。</w:t>
            </w:r>
          </w:p>
          <w:p w14:paraId="78180220">
            <w:pPr>
              <w:pStyle w:val="2"/>
              <w:spacing w:line="400" w:lineRule="exact"/>
              <w:ind w:firstLine="480"/>
              <w:rPr>
                <w:rFonts w:hint="eastAsia" w:ascii="宋体" w:hAnsi="宋体" w:cs="宋体"/>
                <w:sz w:val="21"/>
                <w:szCs w:val="21"/>
              </w:rPr>
            </w:pPr>
            <w:r>
              <w:rPr>
                <w:rFonts w:ascii="宋体" w:hAnsi="宋体" w:cs="宋体"/>
                <w:sz w:val="21"/>
                <w:szCs w:val="21"/>
              </w:rPr>
              <w:t>（4）执法装备：</w:t>
            </w:r>
          </w:p>
          <w:p w14:paraId="25D83423">
            <w:pPr>
              <w:pStyle w:val="2"/>
              <w:spacing w:line="400" w:lineRule="exact"/>
              <w:ind w:firstLine="480"/>
              <w:rPr>
                <w:rFonts w:hint="eastAsia" w:ascii="宋体" w:hAnsi="宋体" w:cs="宋体"/>
                <w:sz w:val="21"/>
                <w:szCs w:val="21"/>
              </w:rPr>
            </w:pPr>
            <w:r>
              <w:rPr>
                <w:rFonts w:ascii="宋体" w:hAnsi="宋体" w:cs="宋体"/>
                <w:sz w:val="21"/>
                <w:szCs w:val="21"/>
              </w:rPr>
              <w:t>装备档案管理：信息新增、信息编辑、信息查看、信息导入、信息删除等。</w:t>
            </w:r>
          </w:p>
          <w:p w14:paraId="6DC51DE3">
            <w:pPr>
              <w:pStyle w:val="2"/>
              <w:spacing w:line="400" w:lineRule="exact"/>
              <w:ind w:firstLine="480"/>
              <w:rPr>
                <w:rFonts w:hint="eastAsia" w:ascii="宋体" w:hAnsi="宋体" w:cs="宋体"/>
                <w:sz w:val="21"/>
                <w:szCs w:val="21"/>
              </w:rPr>
            </w:pPr>
            <w:r>
              <w:rPr>
                <w:rFonts w:ascii="宋体" w:hAnsi="宋体" w:cs="宋体"/>
                <w:sz w:val="21"/>
                <w:szCs w:val="21"/>
              </w:rPr>
              <w:t>装备调度：装备状态监控、装备调度申请、装备调度审批、装备调度执行、装备归还等。</w:t>
            </w:r>
          </w:p>
          <w:p w14:paraId="0D84C652">
            <w:pPr>
              <w:pStyle w:val="2"/>
              <w:spacing w:line="400" w:lineRule="exact"/>
              <w:ind w:firstLine="480"/>
              <w:rPr>
                <w:rFonts w:hint="eastAsia" w:ascii="宋体" w:hAnsi="宋体" w:cs="宋体"/>
                <w:sz w:val="21"/>
                <w:szCs w:val="21"/>
              </w:rPr>
            </w:pPr>
            <w:r>
              <w:rPr>
                <w:rFonts w:ascii="宋体" w:hAnsi="宋体" w:cs="宋体"/>
                <w:sz w:val="21"/>
                <w:szCs w:val="21"/>
              </w:rPr>
              <w:t>（5）荣誉奖章：信息新增、信息编辑、信息查看、信息导入、信息删除等。</w:t>
            </w:r>
          </w:p>
          <w:p w14:paraId="65F96871">
            <w:pPr>
              <w:pStyle w:val="2"/>
              <w:spacing w:line="400" w:lineRule="exact"/>
              <w:ind w:firstLine="480"/>
              <w:rPr>
                <w:rFonts w:hint="eastAsia" w:ascii="宋体" w:hAnsi="宋体" w:cs="宋体"/>
                <w:sz w:val="21"/>
                <w:szCs w:val="21"/>
              </w:rPr>
            </w:pPr>
            <w:r>
              <w:rPr>
                <w:rFonts w:ascii="宋体" w:hAnsi="宋体" w:cs="宋体"/>
                <w:sz w:val="21"/>
                <w:szCs w:val="21"/>
              </w:rPr>
              <w:t>（6）统计分析</w:t>
            </w:r>
          </w:p>
          <w:p w14:paraId="21DEBB74">
            <w:pPr>
              <w:pStyle w:val="2"/>
              <w:spacing w:line="400" w:lineRule="exact"/>
              <w:ind w:firstLine="480"/>
              <w:rPr>
                <w:rFonts w:hint="eastAsia" w:ascii="宋体" w:hAnsi="宋体" w:cs="宋体"/>
                <w:sz w:val="21"/>
                <w:szCs w:val="21"/>
              </w:rPr>
            </w:pPr>
            <w:r>
              <w:rPr>
                <w:rFonts w:ascii="宋体" w:hAnsi="宋体" w:cs="宋体"/>
                <w:sz w:val="21"/>
                <w:szCs w:val="21"/>
              </w:rPr>
              <w:t>执法机构分析：机构数量统计、机构分布图示、案件处理效率、执法成果评估等。</w:t>
            </w:r>
          </w:p>
          <w:p w14:paraId="10E9012B">
            <w:pPr>
              <w:pStyle w:val="2"/>
              <w:spacing w:line="400" w:lineRule="exact"/>
              <w:ind w:firstLine="480"/>
              <w:rPr>
                <w:rFonts w:hint="eastAsia" w:ascii="宋体" w:hAnsi="宋体" w:cs="宋体"/>
                <w:sz w:val="21"/>
                <w:szCs w:val="21"/>
              </w:rPr>
            </w:pPr>
            <w:r>
              <w:rPr>
                <w:rFonts w:ascii="宋体" w:hAnsi="宋体" w:cs="宋体"/>
                <w:sz w:val="21"/>
                <w:szCs w:val="21"/>
              </w:rPr>
              <w:t>执法人员分析：人员规模统计、执法活动记录、个人绩效考核、培训与发展分析等。</w:t>
            </w:r>
          </w:p>
          <w:p w14:paraId="3A381239">
            <w:pPr>
              <w:pStyle w:val="2"/>
              <w:spacing w:line="400" w:lineRule="exact"/>
              <w:ind w:firstLine="480"/>
              <w:rPr>
                <w:rFonts w:hint="eastAsia" w:ascii="宋体" w:hAnsi="宋体" w:cs="宋体"/>
                <w:sz w:val="21"/>
                <w:szCs w:val="21"/>
              </w:rPr>
            </w:pPr>
            <w:r>
              <w:rPr>
                <w:rFonts w:ascii="宋体" w:hAnsi="宋体" w:cs="宋体"/>
                <w:sz w:val="21"/>
                <w:szCs w:val="21"/>
              </w:rPr>
              <w:t>执法装备分析：装备配置统计、装备利用率分析、维护与更新、成本效益评估等。</w:t>
            </w:r>
          </w:p>
          <w:p w14:paraId="560D40A7">
            <w:pPr>
              <w:pStyle w:val="2"/>
              <w:spacing w:line="400" w:lineRule="exact"/>
              <w:ind w:firstLine="480"/>
              <w:rPr>
                <w:rFonts w:hint="eastAsia" w:ascii="宋体" w:hAnsi="宋体" w:cs="宋体"/>
                <w:sz w:val="21"/>
                <w:szCs w:val="21"/>
              </w:rPr>
            </w:pPr>
            <w:r>
              <w:rPr>
                <w:rFonts w:ascii="宋体" w:hAnsi="宋体" w:cs="宋体"/>
                <w:sz w:val="21"/>
                <w:szCs w:val="21"/>
              </w:rPr>
              <w:t>2.执法对象扩展</w:t>
            </w:r>
          </w:p>
          <w:p w14:paraId="5C0D9695">
            <w:pPr>
              <w:pStyle w:val="2"/>
              <w:spacing w:line="400" w:lineRule="exact"/>
              <w:ind w:firstLine="480"/>
              <w:rPr>
                <w:rFonts w:hint="eastAsia" w:ascii="宋体" w:hAnsi="宋体" w:cs="宋体"/>
                <w:sz w:val="21"/>
                <w:szCs w:val="21"/>
              </w:rPr>
            </w:pPr>
            <w:r>
              <w:rPr>
                <w:rFonts w:ascii="宋体" w:hAnsi="宋体" w:cs="宋体"/>
                <w:sz w:val="21"/>
                <w:szCs w:val="21"/>
              </w:rPr>
              <w:t>（1）自动监测设备运维单位管理：信息新增、信息编辑、信息查看、信息导入、信息删除、信息导出、信息关联等。</w:t>
            </w:r>
          </w:p>
          <w:p w14:paraId="056E84F8">
            <w:pPr>
              <w:pStyle w:val="2"/>
              <w:spacing w:line="400" w:lineRule="exact"/>
              <w:ind w:firstLine="480"/>
              <w:rPr>
                <w:rFonts w:hint="eastAsia" w:ascii="宋体" w:hAnsi="宋体" w:cs="宋体"/>
                <w:sz w:val="21"/>
                <w:szCs w:val="21"/>
              </w:rPr>
            </w:pPr>
            <w:r>
              <w:rPr>
                <w:rFonts w:ascii="宋体" w:hAnsi="宋体" w:cs="宋体"/>
                <w:sz w:val="21"/>
                <w:szCs w:val="21"/>
              </w:rPr>
              <w:t>（2）危废经营单位管理：信息查看、信息导入、信息删除、信息导出、信息关联等。</w:t>
            </w:r>
          </w:p>
          <w:p w14:paraId="4A1057F1">
            <w:pPr>
              <w:pStyle w:val="2"/>
              <w:spacing w:line="400" w:lineRule="exact"/>
              <w:ind w:firstLine="480"/>
              <w:rPr>
                <w:rFonts w:hint="eastAsia" w:ascii="宋体" w:hAnsi="宋体" w:cs="宋体"/>
                <w:sz w:val="21"/>
                <w:szCs w:val="21"/>
              </w:rPr>
            </w:pPr>
            <w:r>
              <w:rPr>
                <w:rFonts w:ascii="宋体" w:hAnsi="宋体" w:cs="宋体"/>
                <w:sz w:val="21"/>
                <w:szCs w:val="21"/>
              </w:rPr>
              <w:t>（3）对接监督帮扶专项信息库。</w:t>
            </w:r>
          </w:p>
          <w:p w14:paraId="7202EACF">
            <w:pPr>
              <w:pStyle w:val="2"/>
              <w:spacing w:line="400" w:lineRule="exact"/>
              <w:ind w:firstLine="480"/>
              <w:rPr>
                <w:rFonts w:hint="eastAsia" w:ascii="宋体" w:hAnsi="宋体" w:cs="宋体"/>
                <w:sz w:val="21"/>
                <w:szCs w:val="21"/>
              </w:rPr>
            </w:pPr>
            <w:r>
              <w:rPr>
                <w:rFonts w:ascii="宋体" w:hAnsi="宋体" w:cs="宋体"/>
                <w:sz w:val="21"/>
                <w:szCs w:val="21"/>
              </w:rPr>
              <w:t>3.数据管理</w:t>
            </w:r>
          </w:p>
          <w:p w14:paraId="1CE5440D">
            <w:pPr>
              <w:pStyle w:val="2"/>
              <w:spacing w:line="400" w:lineRule="exact"/>
              <w:ind w:firstLine="480"/>
              <w:rPr>
                <w:rFonts w:hint="eastAsia" w:ascii="宋体" w:hAnsi="宋体" w:cs="宋体"/>
                <w:sz w:val="21"/>
                <w:szCs w:val="21"/>
              </w:rPr>
            </w:pPr>
            <w:r>
              <w:rPr>
                <w:rFonts w:ascii="宋体" w:hAnsi="宋体" w:cs="宋体"/>
                <w:sz w:val="21"/>
                <w:szCs w:val="21"/>
              </w:rPr>
              <w:t>（1）数据采集管理：数据同步管理、采集作业管理、执行引擎管理（执行引擎构建、执行引擎维护）、代码映射管理（代码映射构建、代码映射维护）等。</w:t>
            </w:r>
          </w:p>
          <w:p w14:paraId="45D4A98A">
            <w:pPr>
              <w:pStyle w:val="2"/>
              <w:spacing w:line="400" w:lineRule="exact"/>
              <w:ind w:firstLine="480"/>
              <w:rPr>
                <w:rFonts w:hint="eastAsia" w:ascii="宋体" w:hAnsi="宋体" w:cs="宋体"/>
                <w:sz w:val="21"/>
                <w:szCs w:val="21"/>
              </w:rPr>
            </w:pPr>
            <w:r>
              <w:rPr>
                <w:rFonts w:ascii="宋体" w:hAnsi="宋体" w:cs="宋体"/>
                <w:sz w:val="21"/>
                <w:szCs w:val="21"/>
              </w:rPr>
              <w:t>（2）执法数据资源管理</w:t>
            </w:r>
          </w:p>
          <w:p w14:paraId="0167B15D">
            <w:pPr>
              <w:pStyle w:val="2"/>
              <w:spacing w:line="400" w:lineRule="exact"/>
              <w:ind w:firstLine="480"/>
              <w:rPr>
                <w:rFonts w:hint="eastAsia" w:ascii="宋体" w:hAnsi="宋体" w:cs="宋体"/>
                <w:sz w:val="21"/>
                <w:szCs w:val="21"/>
              </w:rPr>
            </w:pPr>
            <w:r>
              <w:rPr>
                <w:rFonts w:ascii="宋体" w:hAnsi="宋体" w:cs="宋体"/>
                <w:sz w:val="21"/>
                <w:szCs w:val="21"/>
              </w:rPr>
              <w:t>社会环境监测机构管理：信息新增、信息编辑、信息查看、信息导入、信息删除等。</w:t>
            </w:r>
          </w:p>
          <w:p w14:paraId="1EFD3B3B">
            <w:pPr>
              <w:pStyle w:val="2"/>
              <w:spacing w:line="400" w:lineRule="exact"/>
              <w:ind w:firstLine="480"/>
              <w:rPr>
                <w:rFonts w:hint="eastAsia" w:ascii="宋体" w:hAnsi="宋体" w:cs="宋体"/>
                <w:sz w:val="21"/>
                <w:szCs w:val="21"/>
              </w:rPr>
            </w:pPr>
            <w:r>
              <w:rPr>
                <w:rFonts w:ascii="宋体" w:hAnsi="宋体" w:cs="宋体"/>
                <w:sz w:val="21"/>
                <w:szCs w:val="21"/>
              </w:rPr>
              <w:t>机动车检查机构管理：信息新增、信息编辑、信息查看、信息导入、信息删除等。</w:t>
            </w:r>
          </w:p>
          <w:p w14:paraId="027165A0">
            <w:pPr>
              <w:pStyle w:val="2"/>
              <w:spacing w:line="400" w:lineRule="exact"/>
              <w:ind w:firstLine="480"/>
              <w:rPr>
                <w:rFonts w:hint="eastAsia" w:ascii="宋体" w:hAnsi="宋体" w:cs="宋体"/>
                <w:sz w:val="21"/>
                <w:szCs w:val="21"/>
              </w:rPr>
            </w:pPr>
            <w:r>
              <w:rPr>
                <w:rFonts w:ascii="宋体" w:hAnsi="宋体" w:cs="宋体"/>
                <w:sz w:val="21"/>
                <w:szCs w:val="21"/>
              </w:rPr>
              <w:t>环评检测机构管理：信息新增、信息编辑、信息查看、信息导入、信息删除等。</w:t>
            </w:r>
          </w:p>
          <w:p w14:paraId="42F52684">
            <w:pPr>
              <w:pStyle w:val="2"/>
              <w:spacing w:line="400" w:lineRule="exact"/>
              <w:ind w:firstLine="480"/>
              <w:rPr>
                <w:rFonts w:hint="eastAsia" w:ascii="宋体" w:hAnsi="宋体" w:cs="宋体"/>
                <w:sz w:val="21"/>
                <w:szCs w:val="21"/>
              </w:rPr>
            </w:pPr>
            <w:r>
              <w:rPr>
                <w:rFonts w:ascii="宋体" w:hAnsi="宋体" w:cs="宋体"/>
                <w:sz w:val="21"/>
                <w:szCs w:val="21"/>
              </w:rPr>
              <w:t>▲（三）执法一体化监管功能重构</w:t>
            </w:r>
          </w:p>
          <w:p w14:paraId="5E06A7EE">
            <w:pPr>
              <w:pStyle w:val="2"/>
              <w:spacing w:line="400" w:lineRule="exact"/>
              <w:ind w:firstLine="480"/>
              <w:rPr>
                <w:rFonts w:hint="eastAsia" w:ascii="宋体" w:hAnsi="宋体" w:cs="宋体"/>
                <w:sz w:val="21"/>
                <w:szCs w:val="21"/>
              </w:rPr>
            </w:pPr>
            <w:r>
              <w:rPr>
                <w:rFonts w:ascii="宋体" w:hAnsi="宋体" w:cs="宋体"/>
                <w:sz w:val="21"/>
                <w:szCs w:val="21"/>
              </w:rPr>
              <w:t>1.环境信访</w:t>
            </w:r>
          </w:p>
          <w:p w14:paraId="34599111">
            <w:pPr>
              <w:pStyle w:val="2"/>
              <w:spacing w:line="400" w:lineRule="exact"/>
              <w:ind w:firstLine="480"/>
              <w:rPr>
                <w:rFonts w:hint="eastAsia" w:ascii="宋体" w:hAnsi="宋体" w:cs="宋体"/>
                <w:sz w:val="21"/>
                <w:szCs w:val="21"/>
              </w:rPr>
            </w:pPr>
            <w:r>
              <w:rPr>
                <w:rFonts w:ascii="宋体" w:hAnsi="宋体" w:cs="宋体"/>
                <w:sz w:val="21"/>
                <w:szCs w:val="21"/>
              </w:rPr>
              <w:t>（1）总览：信访案件统计、待办任务、信访处理情况统计、通知公告等。</w:t>
            </w:r>
          </w:p>
          <w:p w14:paraId="39D359F1">
            <w:pPr>
              <w:pStyle w:val="2"/>
              <w:spacing w:line="400" w:lineRule="exact"/>
              <w:ind w:firstLine="480"/>
              <w:rPr>
                <w:rFonts w:hint="eastAsia" w:ascii="宋体" w:hAnsi="宋体" w:cs="宋体"/>
                <w:sz w:val="21"/>
                <w:szCs w:val="21"/>
              </w:rPr>
            </w:pPr>
            <w:r>
              <w:rPr>
                <w:rFonts w:ascii="宋体" w:hAnsi="宋体" w:cs="宋体"/>
                <w:sz w:val="21"/>
                <w:szCs w:val="21"/>
              </w:rPr>
              <w:t>（2）信访登记管理</w:t>
            </w:r>
          </w:p>
          <w:p w14:paraId="7B3B4729">
            <w:pPr>
              <w:pStyle w:val="2"/>
              <w:spacing w:line="400" w:lineRule="exact"/>
              <w:ind w:firstLine="480"/>
              <w:rPr>
                <w:rFonts w:hint="eastAsia" w:ascii="宋体" w:hAnsi="宋体" w:cs="宋体"/>
                <w:sz w:val="21"/>
                <w:szCs w:val="21"/>
              </w:rPr>
            </w:pPr>
            <w:r>
              <w:rPr>
                <w:rFonts w:ascii="宋体" w:hAnsi="宋体" w:cs="宋体"/>
                <w:sz w:val="21"/>
                <w:szCs w:val="21"/>
              </w:rPr>
              <w:t>投诉信息登记：投诉人信息登记、投诉时间记录、案件来源登记、投诉方式登记、投诉性质登记、污染种类登记、投诉举报内容登记、初步处理意见登记、备注信息登记等。</w:t>
            </w:r>
          </w:p>
          <w:p w14:paraId="588F46EF">
            <w:pPr>
              <w:pStyle w:val="2"/>
              <w:spacing w:line="400" w:lineRule="exact"/>
              <w:ind w:firstLine="480"/>
              <w:rPr>
                <w:rFonts w:hint="eastAsia" w:ascii="宋体" w:hAnsi="宋体" w:cs="宋体"/>
                <w:sz w:val="21"/>
                <w:szCs w:val="21"/>
              </w:rPr>
            </w:pPr>
            <w:r>
              <w:rPr>
                <w:rFonts w:ascii="宋体" w:hAnsi="宋体" w:cs="宋体"/>
                <w:sz w:val="21"/>
                <w:szCs w:val="21"/>
              </w:rPr>
              <w:t>被投诉单位信息登记：被投诉单位基本信息登记、与执法数据库衔接、查询选择被投诉单位、被投诉单位GIS地图分布展示等。</w:t>
            </w:r>
          </w:p>
          <w:p w14:paraId="74237BDE">
            <w:pPr>
              <w:pStyle w:val="2"/>
              <w:spacing w:line="400" w:lineRule="exact"/>
              <w:ind w:firstLine="480"/>
              <w:rPr>
                <w:rFonts w:hint="eastAsia" w:ascii="宋体" w:hAnsi="宋体" w:cs="宋体"/>
                <w:sz w:val="21"/>
                <w:szCs w:val="21"/>
              </w:rPr>
            </w:pPr>
            <w:r>
              <w:rPr>
                <w:rFonts w:ascii="宋体" w:hAnsi="宋体" w:cs="宋体"/>
                <w:sz w:val="21"/>
                <w:szCs w:val="21"/>
              </w:rPr>
              <w:t>预警信息设置：预警级别设置、预警信息登记等。</w:t>
            </w:r>
          </w:p>
          <w:p w14:paraId="75C17DC9">
            <w:pPr>
              <w:pStyle w:val="2"/>
              <w:spacing w:line="400" w:lineRule="exact"/>
              <w:ind w:firstLine="480"/>
              <w:rPr>
                <w:rFonts w:hint="eastAsia" w:ascii="宋体" w:hAnsi="宋体" w:cs="宋体"/>
                <w:sz w:val="21"/>
                <w:szCs w:val="21"/>
              </w:rPr>
            </w:pPr>
            <w:r>
              <w:rPr>
                <w:rFonts w:ascii="宋体" w:hAnsi="宋体" w:cs="宋体"/>
                <w:sz w:val="21"/>
                <w:szCs w:val="21"/>
              </w:rPr>
              <w:t>（3）信访受理管理：含受理、并案、不受理等。</w:t>
            </w:r>
          </w:p>
          <w:p w14:paraId="32320A75">
            <w:pPr>
              <w:pStyle w:val="2"/>
              <w:spacing w:line="400" w:lineRule="exact"/>
              <w:ind w:firstLine="480"/>
              <w:rPr>
                <w:rFonts w:hint="eastAsia" w:ascii="宋体" w:hAnsi="宋体" w:cs="宋体"/>
                <w:sz w:val="21"/>
                <w:szCs w:val="21"/>
              </w:rPr>
            </w:pPr>
            <w:r>
              <w:rPr>
                <w:rFonts w:ascii="宋体" w:hAnsi="宋体" w:cs="宋体"/>
                <w:sz w:val="21"/>
                <w:szCs w:val="21"/>
              </w:rPr>
              <w:t>（4）信访办理管理</w:t>
            </w:r>
          </w:p>
          <w:p w14:paraId="3AC7A84D">
            <w:pPr>
              <w:pStyle w:val="2"/>
              <w:spacing w:line="400" w:lineRule="exact"/>
              <w:ind w:firstLine="480"/>
              <w:rPr>
                <w:rFonts w:hint="eastAsia" w:ascii="宋体" w:hAnsi="宋体" w:cs="宋体"/>
                <w:sz w:val="21"/>
                <w:szCs w:val="21"/>
              </w:rPr>
            </w:pPr>
            <w:r>
              <w:rPr>
                <w:rFonts w:ascii="宋体" w:hAnsi="宋体" w:cs="宋体"/>
                <w:sz w:val="21"/>
                <w:szCs w:val="21"/>
              </w:rPr>
              <w:t>①待办任务管理：待办任务列表、超期任务提醒、待办任务类型等。</w:t>
            </w:r>
          </w:p>
          <w:p w14:paraId="323B9C23">
            <w:pPr>
              <w:pStyle w:val="2"/>
              <w:spacing w:line="400" w:lineRule="exact"/>
              <w:ind w:firstLine="480"/>
              <w:rPr>
                <w:rFonts w:hint="eastAsia" w:ascii="宋体" w:hAnsi="宋体" w:cs="宋体"/>
                <w:sz w:val="21"/>
                <w:szCs w:val="21"/>
              </w:rPr>
            </w:pPr>
            <w:r>
              <w:rPr>
                <w:rFonts w:ascii="宋体" w:hAnsi="宋体" w:cs="宋体"/>
                <w:sz w:val="21"/>
                <w:szCs w:val="21"/>
              </w:rPr>
              <w:t>②延期申请：延期申请发起、延期时间设置、审批流程、通知提醒、延期记录管理等。</w:t>
            </w:r>
          </w:p>
          <w:p w14:paraId="08FF0985">
            <w:pPr>
              <w:pStyle w:val="2"/>
              <w:spacing w:line="400" w:lineRule="exact"/>
              <w:ind w:firstLine="480"/>
              <w:rPr>
                <w:rFonts w:hint="eastAsia" w:ascii="宋体" w:hAnsi="宋体" w:cs="宋体"/>
                <w:sz w:val="21"/>
                <w:szCs w:val="21"/>
              </w:rPr>
            </w:pPr>
            <w:r>
              <w:rPr>
                <w:rFonts w:ascii="宋体" w:hAnsi="宋体" w:cs="宋体"/>
                <w:sz w:val="21"/>
                <w:szCs w:val="21"/>
              </w:rPr>
              <w:t>③任务办理：调查情况信息录入、处理结果录入、违法情况信息录入、回复信息录入、附件上传、审核与确认等。</w:t>
            </w:r>
          </w:p>
          <w:p w14:paraId="5EA36F03">
            <w:pPr>
              <w:pStyle w:val="2"/>
              <w:spacing w:line="400" w:lineRule="exact"/>
              <w:ind w:firstLine="480"/>
              <w:rPr>
                <w:rFonts w:hint="eastAsia" w:ascii="宋体" w:hAnsi="宋体" w:cs="宋体"/>
                <w:sz w:val="21"/>
                <w:szCs w:val="21"/>
              </w:rPr>
            </w:pPr>
            <w:r>
              <w:rPr>
                <w:rFonts w:ascii="宋体" w:hAnsi="宋体" w:cs="宋体"/>
                <w:sz w:val="21"/>
                <w:szCs w:val="21"/>
              </w:rPr>
              <w:t>④已办任务管理：已办任务信息查询、已办任务导出等。</w:t>
            </w:r>
          </w:p>
          <w:p w14:paraId="0BD78989">
            <w:pPr>
              <w:pStyle w:val="2"/>
              <w:spacing w:line="400" w:lineRule="exact"/>
              <w:ind w:firstLine="480"/>
              <w:rPr>
                <w:rFonts w:hint="eastAsia" w:ascii="宋体" w:hAnsi="宋体" w:cs="宋体"/>
                <w:sz w:val="21"/>
                <w:szCs w:val="21"/>
              </w:rPr>
            </w:pPr>
            <w:r>
              <w:rPr>
                <w:rFonts w:ascii="宋体" w:hAnsi="宋体" w:cs="宋体"/>
                <w:sz w:val="21"/>
                <w:szCs w:val="21"/>
              </w:rPr>
              <w:t>⑤催办督办管理：催办管理、督办管理等。</w:t>
            </w:r>
          </w:p>
          <w:p w14:paraId="18B0F14E">
            <w:pPr>
              <w:pStyle w:val="2"/>
              <w:spacing w:line="400" w:lineRule="exact"/>
              <w:ind w:firstLine="480"/>
              <w:rPr>
                <w:rFonts w:hint="eastAsia" w:ascii="宋体" w:hAnsi="宋体" w:cs="宋体"/>
                <w:sz w:val="21"/>
                <w:szCs w:val="21"/>
              </w:rPr>
            </w:pPr>
            <w:r>
              <w:rPr>
                <w:rFonts w:ascii="宋体" w:hAnsi="宋体" w:cs="宋体"/>
                <w:sz w:val="21"/>
                <w:szCs w:val="21"/>
              </w:rPr>
              <w:t>⑥延期审核管理。</w:t>
            </w:r>
          </w:p>
          <w:p w14:paraId="49676D50">
            <w:pPr>
              <w:pStyle w:val="2"/>
              <w:spacing w:line="400" w:lineRule="exact"/>
              <w:ind w:firstLine="480"/>
              <w:rPr>
                <w:rFonts w:hint="eastAsia" w:ascii="宋体" w:hAnsi="宋体" w:cs="宋体"/>
                <w:sz w:val="21"/>
                <w:szCs w:val="21"/>
              </w:rPr>
            </w:pPr>
            <w:r>
              <w:rPr>
                <w:rFonts w:ascii="宋体" w:hAnsi="宋体" w:cs="宋体"/>
                <w:sz w:val="21"/>
                <w:szCs w:val="21"/>
              </w:rPr>
              <w:t>⑦案件回访管理：回访信息登记、回访详细情况登记、回访信息模板管理、回访记录管理、回访通知与提醒等。</w:t>
            </w:r>
          </w:p>
          <w:p w14:paraId="63792D43">
            <w:pPr>
              <w:pStyle w:val="2"/>
              <w:spacing w:line="400" w:lineRule="exact"/>
              <w:ind w:firstLine="480"/>
              <w:rPr>
                <w:rFonts w:hint="eastAsia" w:ascii="宋体" w:hAnsi="宋体" w:cs="宋体"/>
                <w:sz w:val="21"/>
                <w:szCs w:val="21"/>
              </w:rPr>
            </w:pPr>
            <w:r>
              <w:rPr>
                <w:rFonts w:ascii="宋体" w:hAnsi="宋体" w:cs="宋体"/>
                <w:sz w:val="21"/>
                <w:szCs w:val="21"/>
              </w:rPr>
              <w:t>（5）信访台账管理：信息导航、信息高级查询、信息导出、续办等。</w:t>
            </w:r>
          </w:p>
          <w:p w14:paraId="38BC9659">
            <w:pPr>
              <w:pStyle w:val="2"/>
              <w:spacing w:line="400" w:lineRule="exact"/>
              <w:ind w:firstLine="480"/>
              <w:rPr>
                <w:rFonts w:hint="eastAsia" w:ascii="宋体" w:hAnsi="宋体" w:cs="宋体"/>
                <w:sz w:val="21"/>
                <w:szCs w:val="21"/>
              </w:rPr>
            </w:pPr>
            <w:r>
              <w:rPr>
                <w:rFonts w:ascii="宋体" w:hAnsi="宋体" w:cs="宋体"/>
                <w:sz w:val="21"/>
                <w:szCs w:val="21"/>
              </w:rPr>
              <w:t>（6）信访任务统计：部门任务统计、辖区任务统计、投诉来源统计、投诉性质统计、投诉方式统计、污染源种类统计、来源行业进行分析统计、回访统计、月度、季度报表等。</w:t>
            </w:r>
          </w:p>
          <w:p w14:paraId="43E0DF8A">
            <w:pPr>
              <w:pStyle w:val="2"/>
              <w:spacing w:line="400" w:lineRule="exact"/>
              <w:ind w:firstLine="480"/>
              <w:rPr>
                <w:rFonts w:hint="eastAsia" w:ascii="宋体" w:hAnsi="宋体" w:cs="宋体"/>
                <w:sz w:val="21"/>
                <w:szCs w:val="21"/>
              </w:rPr>
            </w:pPr>
            <w:r>
              <w:rPr>
                <w:rFonts w:ascii="宋体" w:hAnsi="宋体" w:cs="宋体"/>
                <w:sz w:val="21"/>
                <w:szCs w:val="21"/>
              </w:rPr>
              <w:t>（7）信访综合分析展示</w:t>
            </w:r>
          </w:p>
          <w:p w14:paraId="513442F9">
            <w:pPr>
              <w:pStyle w:val="2"/>
              <w:spacing w:line="400" w:lineRule="exact"/>
              <w:ind w:firstLine="480"/>
              <w:rPr>
                <w:rFonts w:hint="eastAsia" w:ascii="宋体" w:hAnsi="宋体" w:cs="宋体"/>
                <w:sz w:val="21"/>
                <w:szCs w:val="21"/>
              </w:rPr>
            </w:pPr>
            <w:r>
              <w:rPr>
                <w:rFonts w:ascii="宋体" w:hAnsi="宋体" w:cs="宋体"/>
                <w:sz w:val="21"/>
                <w:szCs w:val="21"/>
              </w:rPr>
              <w:t>①信访热力图分析：热力分布图、热力动态图等。</w:t>
            </w:r>
          </w:p>
          <w:p w14:paraId="427C93FF">
            <w:pPr>
              <w:pStyle w:val="2"/>
              <w:spacing w:line="400" w:lineRule="exact"/>
              <w:ind w:firstLine="480"/>
              <w:rPr>
                <w:rFonts w:hint="eastAsia" w:ascii="宋体" w:hAnsi="宋体" w:cs="宋体"/>
                <w:sz w:val="21"/>
                <w:szCs w:val="21"/>
              </w:rPr>
            </w:pPr>
            <w:r>
              <w:rPr>
                <w:rFonts w:ascii="宋体" w:hAnsi="宋体" w:cs="宋体"/>
                <w:sz w:val="21"/>
                <w:szCs w:val="21"/>
              </w:rPr>
              <w:t>②信访案件专题图：投诉对象专题、案件类型专题等。</w:t>
            </w:r>
          </w:p>
          <w:p w14:paraId="22052F7B">
            <w:pPr>
              <w:pStyle w:val="2"/>
              <w:spacing w:line="400" w:lineRule="exact"/>
              <w:ind w:firstLine="480"/>
              <w:rPr>
                <w:rFonts w:hint="eastAsia" w:ascii="宋体" w:hAnsi="宋体" w:cs="宋体"/>
                <w:sz w:val="21"/>
                <w:szCs w:val="21"/>
              </w:rPr>
            </w:pPr>
            <w:r>
              <w:rPr>
                <w:rFonts w:ascii="宋体" w:hAnsi="宋体" w:cs="宋体"/>
                <w:sz w:val="21"/>
                <w:szCs w:val="21"/>
              </w:rPr>
              <w:t>③信访案件查询</w:t>
            </w:r>
          </w:p>
          <w:p w14:paraId="57917E17">
            <w:pPr>
              <w:pStyle w:val="2"/>
              <w:spacing w:line="400" w:lineRule="exact"/>
              <w:ind w:firstLine="480"/>
              <w:rPr>
                <w:rFonts w:hint="eastAsia" w:ascii="宋体" w:hAnsi="宋体" w:cs="宋体"/>
                <w:sz w:val="21"/>
                <w:szCs w:val="21"/>
              </w:rPr>
            </w:pPr>
            <w:r>
              <w:rPr>
                <w:rFonts w:ascii="宋体" w:hAnsi="宋体" w:cs="宋体"/>
                <w:sz w:val="21"/>
                <w:szCs w:val="21"/>
              </w:rPr>
              <w:t>④信访统计分析：按行政区划进行分析展示、按投诉对象进行分析展示、按投诉性质进行分析展示、按信访来源进行分析展示、按处理结果进行分析展示等。</w:t>
            </w:r>
          </w:p>
          <w:p w14:paraId="508122F4">
            <w:pPr>
              <w:pStyle w:val="2"/>
              <w:spacing w:line="400" w:lineRule="exact"/>
              <w:ind w:firstLine="480"/>
              <w:rPr>
                <w:rFonts w:hint="eastAsia" w:ascii="宋体" w:hAnsi="宋体" w:cs="宋体"/>
                <w:sz w:val="21"/>
                <w:szCs w:val="21"/>
              </w:rPr>
            </w:pPr>
            <w:r>
              <w:rPr>
                <w:rFonts w:ascii="宋体" w:hAnsi="宋体" w:cs="宋体"/>
                <w:sz w:val="21"/>
                <w:szCs w:val="21"/>
              </w:rPr>
              <w:t>2.执法监管升级</w:t>
            </w:r>
          </w:p>
          <w:p w14:paraId="5987714F">
            <w:pPr>
              <w:pStyle w:val="2"/>
              <w:spacing w:line="400" w:lineRule="exact"/>
              <w:ind w:firstLine="480"/>
              <w:rPr>
                <w:rFonts w:hint="eastAsia" w:ascii="宋体" w:hAnsi="宋体" w:cs="宋体"/>
                <w:sz w:val="21"/>
                <w:szCs w:val="21"/>
              </w:rPr>
            </w:pPr>
            <w:r>
              <w:rPr>
                <w:rFonts w:ascii="宋体" w:hAnsi="宋体" w:cs="宋体"/>
                <w:sz w:val="21"/>
                <w:szCs w:val="21"/>
              </w:rPr>
              <w:t>（1）短信提醒：问题交办提醒、企业整改提醒等。</w:t>
            </w:r>
          </w:p>
          <w:p w14:paraId="67A73839">
            <w:pPr>
              <w:pStyle w:val="2"/>
              <w:spacing w:line="400" w:lineRule="exact"/>
              <w:ind w:firstLine="480"/>
              <w:rPr>
                <w:rFonts w:hint="eastAsia" w:ascii="宋体" w:hAnsi="宋体" w:cs="宋体"/>
                <w:sz w:val="21"/>
                <w:szCs w:val="21"/>
              </w:rPr>
            </w:pPr>
            <w:r>
              <w:rPr>
                <w:rFonts w:ascii="宋体" w:hAnsi="宋体" w:cs="宋体"/>
                <w:sz w:val="21"/>
                <w:szCs w:val="21"/>
              </w:rPr>
              <w:t>（2）周边污染源分布</w:t>
            </w:r>
            <w:r>
              <w:rPr>
                <w:rFonts w:hint="eastAsia" w:ascii="宋体" w:hAnsi="宋体" w:cs="宋体"/>
                <w:sz w:val="21"/>
                <w:szCs w:val="21"/>
              </w:rPr>
              <w:t>：根据排污许可中污染源的经纬度信息，在地图中对污染源进行定位展示。</w:t>
            </w:r>
          </w:p>
          <w:p w14:paraId="0D228C8B">
            <w:pPr>
              <w:pStyle w:val="2"/>
              <w:spacing w:line="400" w:lineRule="exact"/>
              <w:ind w:firstLine="480"/>
              <w:rPr>
                <w:rFonts w:hint="eastAsia" w:ascii="宋体" w:hAnsi="宋体" w:cs="宋体"/>
                <w:sz w:val="21"/>
                <w:szCs w:val="21"/>
              </w:rPr>
            </w:pPr>
            <w:r>
              <w:rPr>
                <w:rFonts w:ascii="宋体" w:hAnsi="宋体" w:cs="宋体"/>
                <w:sz w:val="21"/>
                <w:szCs w:val="21"/>
              </w:rPr>
              <w:t>3.行政处罚</w:t>
            </w:r>
          </w:p>
          <w:p w14:paraId="6D46F54D">
            <w:pPr>
              <w:pStyle w:val="2"/>
              <w:spacing w:line="400" w:lineRule="exact"/>
              <w:ind w:firstLine="480"/>
              <w:rPr>
                <w:rFonts w:hint="eastAsia" w:ascii="宋体" w:hAnsi="宋体" w:cs="宋体"/>
                <w:sz w:val="21"/>
                <w:szCs w:val="21"/>
              </w:rPr>
            </w:pPr>
            <w:r>
              <w:rPr>
                <w:rFonts w:ascii="宋体" w:hAnsi="宋体" w:cs="宋体"/>
                <w:sz w:val="21"/>
                <w:szCs w:val="21"/>
              </w:rPr>
              <w:t>（1）一般行政处罚</w:t>
            </w:r>
          </w:p>
          <w:p w14:paraId="7E609F8E">
            <w:pPr>
              <w:pStyle w:val="2"/>
              <w:spacing w:line="400" w:lineRule="exact"/>
              <w:ind w:firstLine="480"/>
              <w:rPr>
                <w:rFonts w:hint="eastAsia" w:ascii="宋体" w:hAnsi="宋体" w:cs="宋体"/>
                <w:sz w:val="21"/>
                <w:szCs w:val="21"/>
              </w:rPr>
            </w:pPr>
            <w:r>
              <w:rPr>
                <w:rFonts w:ascii="宋体" w:hAnsi="宋体" w:cs="宋体"/>
                <w:sz w:val="21"/>
                <w:szCs w:val="21"/>
              </w:rPr>
              <w:t>①一般处罚任务发起</w:t>
            </w:r>
          </w:p>
          <w:p w14:paraId="6EF6FBF3">
            <w:pPr>
              <w:pStyle w:val="2"/>
              <w:spacing w:line="400" w:lineRule="exact"/>
              <w:ind w:firstLine="480"/>
              <w:rPr>
                <w:rFonts w:hint="eastAsia" w:ascii="宋体" w:hAnsi="宋体" w:cs="宋体"/>
                <w:sz w:val="21"/>
                <w:szCs w:val="21"/>
              </w:rPr>
            </w:pPr>
            <w:r>
              <w:rPr>
                <w:rFonts w:ascii="宋体" w:hAnsi="宋体" w:cs="宋体"/>
                <w:sz w:val="21"/>
                <w:szCs w:val="21"/>
              </w:rPr>
              <w:t>②一般行政处罚待办：立案审批、调查取证、案件审查、处罚告知、处罚听证、陈述申辩、集体讨论、处罚决定、不予处罚、处罚执行、督促催告、强制执行、销案审批、结案审批等。</w:t>
            </w:r>
          </w:p>
          <w:p w14:paraId="7295D898">
            <w:pPr>
              <w:pStyle w:val="2"/>
              <w:spacing w:line="400" w:lineRule="exact"/>
              <w:ind w:firstLine="480"/>
              <w:rPr>
                <w:rFonts w:hint="eastAsia" w:ascii="宋体" w:hAnsi="宋体" w:cs="宋体"/>
                <w:sz w:val="21"/>
                <w:szCs w:val="21"/>
              </w:rPr>
            </w:pPr>
            <w:r>
              <w:rPr>
                <w:rFonts w:ascii="宋体" w:hAnsi="宋体" w:cs="宋体"/>
                <w:sz w:val="21"/>
                <w:szCs w:val="21"/>
              </w:rPr>
              <w:t>③一般处罚任务台账</w:t>
            </w:r>
          </w:p>
          <w:p w14:paraId="663FE7B4">
            <w:pPr>
              <w:pStyle w:val="2"/>
              <w:spacing w:line="400" w:lineRule="exact"/>
              <w:ind w:firstLine="480"/>
              <w:rPr>
                <w:rFonts w:hint="eastAsia" w:ascii="宋体" w:hAnsi="宋体" w:cs="宋体"/>
                <w:sz w:val="21"/>
                <w:szCs w:val="21"/>
              </w:rPr>
            </w:pPr>
            <w:r>
              <w:rPr>
                <w:rFonts w:ascii="宋体" w:hAnsi="宋体" w:cs="宋体"/>
                <w:sz w:val="21"/>
                <w:szCs w:val="21"/>
              </w:rPr>
              <w:t>（2）处罚配套办法</w:t>
            </w:r>
          </w:p>
          <w:p w14:paraId="780136FE">
            <w:pPr>
              <w:pStyle w:val="2"/>
              <w:spacing w:line="400" w:lineRule="exact"/>
              <w:ind w:firstLine="480"/>
              <w:rPr>
                <w:rFonts w:hint="eastAsia" w:ascii="宋体" w:hAnsi="宋体" w:cs="宋体"/>
                <w:sz w:val="21"/>
                <w:szCs w:val="21"/>
              </w:rPr>
            </w:pPr>
            <w:r>
              <w:rPr>
                <w:rFonts w:ascii="宋体" w:hAnsi="宋体" w:cs="宋体"/>
                <w:sz w:val="21"/>
                <w:szCs w:val="21"/>
              </w:rPr>
              <w:t>①按日处罚管理：立案登记、调查取证（案件调查报告管理、取证证据管理）、处罚告知、处罚决定、预警提醒、按日处罚管理台账、按日处罚查询等。</w:t>
            </w:r>
          </w:p>
          <w:p w14:paraId="78306B13">
            <w:pPr>
              <w:pStyle w:val="2"/>
              <w:spacing w:line="400" w:lineRule="exact"/>
              <w:ind w:firstLine="480"/>
              <w:rPr>
                <w:rFonts w:hint="eastAsia" w:ascii="宋体" w:hAnsi="宋体" w:cs="宋体"/>
                <w:sz w:val="21"/>
                <w:szCs w:val="21"/>
              </w:rPr>
            </w:pPr>
            <w:r>
              <w:rPr>
                <w:rFonts w:ascii="宋体" w:hAnsi="宋体" w:cs="宋体"/>
                <w:sz w:val="21"/>
                <w:szCs w:val="21"/>
              </w:rPr>
              <w:t>②查封扣押管理：查封、扣押实施管理、查封、扣押延期管理、查封、扣押解除管理、预警提醒、待办任务、任务台账、任务查询（含过程文书、任务交办、任务办结）、查封及扣押列表（含打印、打包下载）等。</w:t>
            </w:r>
          </w:p>
          <w:p w14:paraId="1E038E18">
            <w:pPr>
              <w:pStyle w:val="2"/>
              <w:spacing w:line="400" w:lineRule="exact"/>
              <w:ind w:firstLine="480"/>
              <w:rPr>
                <w:rFonts w:hint="eastAsia" w:ascii="宋体" w:hAnsi="宋体" w:cs="宋体"/>
                <w:sz w:val="21"/>
                <w:szCs w:val="21"/>
              </w:rPr>
            </w:pPr>
            <w:r>
              <w:rPr>
                <w:rFonts w:ascii="宋体" w:hAnsi="宋体" w:cs="宋体"/>
                <w:sz w:val="21"/>
                <w:szCs w:val="21"/>
              </w:rPr>
              <w:t>③限产停产管理：限产及停产整治实施管理、限产及停产整治延期管理、整改方案提交、整改备案、预警提醒、待办任务、任务台账、限产及停产列表、查询等。</w:t>
            </w:r>
          </w:p>
          <w:p w14:paraId="78F23F89">
            <w:pPr>
              <w:pStyle w:val="2"/>
              <w:spacing w:line="400" w:lineRule="exact"/>
              <w:ind w:firstLine="480"/>
              <w:rPr>
                <w:rFonts w:hint="eastAsia" w:ascii="宋体" w:hAnsi="宋体" w:cs="宋体"/>
                <w:sz w:val="21"/>
                <w:szCs w:val="21"/>
              </w:rPr>
            </w:pPr>
            <w:r>
              <w:rPr>
                <w:rFonts w:ascii="宋体" w:hAnsi="宋体" w:cs="宋体"/>
                <w:sz w:val="21"/>
                <w:szCs w:val="21"/>
              </w:rPr>
              <w:t>④移送拘留管理：任务发起、任务登记、移送拘留列表、查询等。</w:t>
            </w:r>
          </w:p>
          <w:p w14:paraId="68292ECE">
            <w:pPr>
              <w:pStyle w:val="2"/>
              <w:spacing w:line="400" w:lineRule="exact"/>
              <w:ind w:firstLine="480"/>
              <w:rPr>
                <w:rFonts w:hint="eastAsia" w:ascii="宋体" w:hAnsi="宋体" w:cs="宋体"/>
                <w:sz w:val="21"/>
                <w:szCs w:val="21"/>
              </w:rPr>
            </w:pPr>
            <w:r>
              <w:rPr>
                <w:rFonts w:ascii="宋体" w:hAnsi="宋体" w:cs="宋体"/>
                <w:sz w:val="21"/>
                <w:szCs w:val="21"/>
              </w:rPr>
              <w:t>⑤移送犯罪管理：任务发起、任务登记、待办任务、任务台账、移送犯罪列表、查询等。</w:t>
            </w:r>
          </w:p>
          <w:p w14:paraId="0E1F4625">
            <w:pPr>
              <w:pStyle w:val="2"/>
              <w:spacing w:line="400" w:lineRule="exact"/>
              <w:ind w:firstLine="480"/>
              <w:rPr>
                <w:rFonts w:hint="eastAsia" w:ascii="宋体" w:hAnsi="宋体" w:cs="宋体"/>
                <w:sz w:val="21"/>
                <w:szCs w:val="21"/>
              </w:rPr>
            </w:pPr>
            <w:r>
              <w:rPr>
                <w:rFonts w:ascii="宋体" w:hAnsi="宋体" w:cs="宋体"/>
                <w:sz w:val="21"/>
                <w:szCs w:val="21"/>
              </w:rPr>
              <w:t>⑥责令改正管理。</w:t>
            </w:r>
          </w:p>
          <w:p w14:paraId="4315FBAA">
            <w:pPr>
              <w:pStyle w:val="2"/>
              <w:spacing w:line="400" w:lineRule="exact"/>
              <w:ind w:firstLine="480"/>
              <w:rPr>
                <w:rFonts w:hint="eastAsia" w:ascii="宋体" w:hAnsi="宋体" w:cs="宋体"/>
                <w:sz w:val="21"/>
                <w:szCs w:val="21"/>
              </w:rPr>
            </w:pPr>
            <w:r>
              <w:rPr>
                <w:rFonts w:ascii="宋体" w:hAnsi="宋体" w:cs="宋体"/>
                <w:sz w:val="21"/>
                <w:szCs w:val="21"/>
              </w:rPr>
              <w:t>⑦复议及诉讼管理：复议立案管理、复议审议管理、行政复议台账等。</w:t>
            </w:r>
          </w:p>
          <w:p w14:paraId="7B786C48">
            <w:pPr>
              <w:pStyle w:val="2"/>
              <w:spacing w:line="400" w:lineRule="exact"/>
              <w:ind w:firstLine="480"/>
              <w:rPr>
                <w:rFonts w:hint="eastAsia" w:ascii="宋体" w:hAnsi="宋体" w:cs="宋体"/>
                <w:sz w:val="21"/>
                <w:szCs w:val="21"/>
              </w:rPr>
            </w:pPr>
            <w:r>
              <w:rPr>
                <w:rFonts w:ascii="宋体" w:hAnsi="宋体" w:cs="宋体"/>
                <w:sz w:val="21"/>
                <w:szCs w:val="21"/>
              </w:rPr>
              <w:t>（3）自由裁量管理</w:t>
            </w:r>
          </w:p>
          <w:p w14:paraId="3BA127C0">
            <w:pPr>
              <w:pStyle w:val="2"/>
              <w:spacing w:line="400" w:lineRule="exact"/>
              <w:ind w:firstLine="480"/>
              <w:rPr>
                <w:rFonts w:hint="eastAsia" w:ascii="宋体" w:hAnsi="宋体" w:cs="宋体"/>
                <w:sz w:val="21"/>
                <w:szCs w:val="21"/>
              </w:rPr>
            </w:pPr>
            <w:r>
              <w:rPr>
                <w:rFonts w:ascii="宋体" w:hAnsi="宋体" w:cs="宋体"/>
                <w:sz w:val="21"/>
                <w:szCs w:val="21"/>
              </w:rPr>
              <w:t>①行政处罚裁量：共性裁量基准、个性裁量基准、修正裁量基准等。</w:t>
            </w:r>
          </w:p>
          <w:p w14:paraId="378FD412">
            <w:pPr>
              <w:pStyle w:val="2"/>
              <w:spacing w:line="400" w:lineRule="exact"/>
              <w:ind w:firstLine="480"/>
              <w:rPr>
                <w:rFonts w:hint="eastAsia" w:ascii="宋体" w:hAnsi="宋体" w:cs="宋体"/>
                <w:sz w:val="21"/>
                <w:szCs w:val="21"/>
              </w:rPr>
            </w:pPr>
            <w:r>
              <w:rPr>
                <w:rFonts w:ascii="宋体" w:hAnsi="宋体" w:cs="宋体"/>
                <w:sz w:val="21"/>
                <w:szCs w:val="21"/>
              </w:rPr>
              <w:t>②非罚款类裁量：共性裁量基准、个性裁量基准等。</w:t>
            </w:r>
          </w:p>
          <w:p w14:paraId="73EEDDE1">
            <w:pPr>
              <w:pStyle w:val="2"/>
              <w:spacing w:line="400" w:lineRule="exact"/>
              <w:ind w:firstLine="480"/>
              <w:rPr>
                <w:rFonts w:hint="eastAsia" w:ascii="宋体" w:hAnsi="宋体" w:cs="宋体"/>
                <w:sz w:val="21"/>
                <w:szCs w:val="21"/>
              </w:rPr>
            </w:pPr>
            <w:r>
              <w:rPr>
                <w:rFonts w:ascii="宋体" w:hAnsi="宋体" w:cs="宋体"/>
                <w:sz w:val="21"/>
                <w:szCs w:val="21"/>
              </w:rPr>
              <w:t>③裁量因子动态管理：多维度裁量因子库、情节严重性智能判定等。</w:t>
            </w:r>
          </w:p>
          <w:p w14:paraId="07323723">
            <w:pPr>
              <w:pStyle w:val="2"/>
              <w:spacing w:line="400" w:lineRule="exact"/>
              <w:ind w:firstLine="480"/>
              <w:rPr>
                <w:rFonts w:hint="eastAsia" w:ascii="宋体" w:hAnsi="宋体" w:cs="宋体"/>
                <w:sz w:val="21"/>
                <w:szCs w:val="21"/>
              </w:rPr>
            </w:pPr>
            <w:r>
              <w:rPr>
                <w:rFonts w:ascii="宋体" w:hAnsi="宋体" w:cs="宋体"/>
                <w:sz w:val="21"/>
                <w:szCs w:val="21"/>
              </w:rPr>
              <w:t>④裁量计算器：罚款类裁量计算公式管理、非罚款类处罚行为匹配、自由裁量场景式引导（违法事实录入、违法行为查询、已选裁量情节展示、裁量幅度运算结果、裁量结果认定信息、裁量结果调整）等。</w:t>
            </w:r>
          </w:p>
          <w:p w14:paraId="21F88E24">
            <w:pPr>
              <w:pStyle w:val="2"/>
              <w:spacing w:line="400" w:lineRule="exact"/>
              <w:ind w:firstLine="480"/>
              <w:rPr>
                <w:rFonts w:hint="eastAsia" w:ascii="宋体" w:hAnsi="宋体" w:cs="宋体"/>
                <w:sz w:val="21"/>
                <w:szCs w:val="21"/>
              </w:rPr>
            </w:pPr>
            <w:r>
              <w:rPr>
                <w:rFonts w:ascii="宋体" w:hAnsi="宋体" w:cs="宋体"/>
                <w:sz w:val="21"/>
                <w:szCs w:val="21"/>
              </w:rPr>
              <w:t>⑤裁量结果展示。</w:t>
            </w:r>
          </w:p>
          <w:p w14:paraId="1A776B1F">
            <w:pPr>
              <w:pStyle w:val="2"/>
              <w:spacing w:line="400" w:lineRule="exact"/>
              <w:ind w:firstLine="480"/>
              <w:rPr>
                <w:rFonts w:hint="eastAsia" w:ascii="宋体" w:hAnsi="宋体" w:cs="宋体"/>
                <w:sz w:val="21"/>
                <w:szCs w:val="21"/>
              </w:rPr>
            </w:pPr>
            <w:r>
              <w:rPr>
                <w:rFonts w:ascii="宋体" w:hAnsi="宋体" w:cs="宋体"/>
                <w:sz w:val="21"/>
                <w:szCs w:val="21"/>
              </w:rPr>
              <w:t>处罚档案管理：档案管理（查询、新增）、归档自定义设置、智能归档、卷宗排序（排序、编辑、查看下载、新增、删除）、案卷安全保存、有效输出等。</w:t>
            </w:r>
          </w:p>
          <w:p w14:paraId="78A9DDBA">
            <w:pPr>
              <w:pStyle w:val="2"/>
              <w:spacing w:line="400" w:lineRule="exact"/>
              <w:ind w:firstLine="480"/>
              <w:rPr>
                <w:rFonts w:hint="eastAsia" w:ascii="宋体" w:hAnsi="宋体" w:cs="宋体"/>
                <w:sz w:val="21"/>
                <w:szCs w:val="21"/>
              </w:rPr>
            </w:pPr>
            <w:r>
              <w:rPr>
                <w:rFonts w:ascii="宋体" w:hAnsi="宋体" w:cs="宋体"/>
                <w:sz w:val="21"/>
                <w:szCs w:val="21"/>
              </w:rPr>
              <w:t>（</w:t>
            </w:r>
            <w:r>
              <w:rPr>
                <w:rFonts w:hint="eastAsia" w:ascii="宋体" w:hAnsi="宋体" w:cs="宋体"/>
                <w:sz w:val="21"/>
                <w:szCs w:val="21"/>
              </w:rPr>
              <w:t>4</w:t>
            </w:r>
            <w:r>
              <w:rPr>
                <w:rFonts w:ascii="宋体" w:hAnsi="宋体" w:cs="宋体"/>
                <w:sz w:val="21"/>
                <w:szCs w:val="21"/>
              </w:rPr>
              <w:t>）处罚全流程管理：智能判案（违法行为新增、智能判案管理）、处罚进度看板、处罚预警提醒（限时预警、流程预警、要素预警）等。</w:t>
            </w:r>
          </w:p>
          <w:p w14:paraId="5A1FBD25">
            <w:pPr>
              <w:pStyle w:val="2"/>
              <w:spacing w:line="400" w:lineRule="exact"/>
              <w:ind w:firstLine="480"/>
              <w:rPr>
                <w:rFonts w:hint="eastAsia" w:ascii="宋体" w:hAnsi="宋体" w:cs="宋体"/>
                <w:sz w:val="21"/>
                <w:szCs w:val="21"/>
              </w:rPr>
            </w:pPr>
            <w:r>
              <w:rPr>
                <w:rFonts w:ascii="宋体" w:hAnsi="宋体" w:cs="宋体"/>
                <w:sz w:val="21"/>
                <w:szCs w:val="21"/>
              </w:rPr>
              <w:t>（</w:t>
            </w:r>
            <w:r>
              <w:rPr>
                <w:rFonts w:hint="eastAsia" w:ascii="宋体" w:hAnsi="宋体" w:cs="宋体"/>
                <w:sz w:val="21"/>
                <w:szCs w:val="21"/>
              </w:rPr>
              <w:t>5</w:t>
            </w:r>
            <w:r>
              <w:rPr>
                <w:rFonts w:ascii="宋体" w:hAnsi="宋体" w:cs="宋体"/>
                <w:sz w:val="21"/>
                <w:szCs w:val="21"/>
              </w:rPr>
              <w:t>）行政处罚分析：违法案件分析、行政处罚工作分析、发现违法行为立案率分析、结案率分析、销案率分析、处罚金额平均数分析、违法案件类型分析、罚款数额分布分析、处罚种类分析、配套办法分析、涉嫌环境违法行为分析等。</w:t>
            </w:r>
          </w:p>
          <w:p w14:paraId="6A96388F">
            <w:pPr>
              <w:pStyle w:val="2"/>
              <w:spacing w:line="400" w:lineRule="exact"/>
              <w:ind w:firstLine="480"/>
              <w:rPr>
                <w:rFonts w:hint="eastAsia" w:ascii="宋体" w:hAnsi="宋体" w:cs="宋体"/>
                <w:sz w:val="21"/>
                <w:szCs w:val="21"/>
              </w:rPr>
            </w:pPr>
            <w:r>
              <w:rPr>
                <w:rFonts w:ascii="宋体" w:hAnsi="宋体" w:cs="宋体"/>
                <w:sz w:val="21"/>
                <w:szCs w:val="21"/>
              </w:rPr>
              <w:t>（</w:t>
            </w:r>
            <w:r>
              <w:rPr>
                <w:rFonts w:hint="eastAsia" w:ascii="宋体" w:hAnsi="宋体" w:cs="宋体"/>
                <w:sz w:val="21"/>
                <w:szCs w:val="21"/>
              </w:rPr>
              <w:t>6</w:t>
            </w:r>
            <w:r>
              <w:rPr>
                <w:rFonts w:ascii="宋体" w:hAnsi="宋体" w:cs="宋体"/>
                <w:sz w:val="21"/>
                <w:szCs w:val="21"/>
              </w:rPr>
              <w:t>）处罚数据上报</w:t>
            </w:r>
          </w:p>
          <w:p w14:paraId="1459A48D">
            <w:pPr>
              <w:pStyle w:val="2"/>
              <w:spacing w:line="400" w:lineRule="exact"/>
              <w:ind w:firstLine="480"/>
              <w:rPr>
                <w:rFonts w:hint="eastAsia" w:ascii="宋体" w:hAnsi="宋体" w:cs="宋体"/>
                <w:sz w:val="21"/>
                <w:szCs w:val="21"/>
              </w:rPr>
            </w:pPr>
            <w:r>
              <w:rPr>
                <w:rFonts w:ascii="宋体" w:hAnsi="宋体" w:cs="宋体"/>
                <w:sz w:val="21"/>
                <w:szCs w:val="21"/>
              </w:rPr>
              <w:t>①按日处罚上报：处罚情况新增、处罚情况修改、处罚情况查询、处罚情况删除等。</w:t>
            </w:r>
          </w:p>
          <w:p w14:paraId="44A034D2">
            <w:pPr>
              <w:pStyle w:val="2"/>
              <w:spacing w:line="400" w:lineRule="exact"/>
              <w:ind w:firstLine="480"/>
              <w:rPr>
                <w:rFonts w:hint="eastAsia" w:ascii="宋体" w:hAnsi="宋体" w:cs="宋体"/>
                <w:sz w:val="21"/>
                <w:szCs w:val="21"/>
              </w:rPr>
            </w:pPr>
            <w:r>
              <w:rPr>
                <w:rFonts w:ascii="宋体" w:hAnsi="宋体" w:cs="宋体"/>
                <w:sz w:val="21"/>
                <w:szCs w:val="21"/>
              </w:rPr>
              <w:t>②一般处罚上报：处罚情况新增处罚情况修改、处罚情况查询、处罚情况删除等。</w:t>
            </w:r>
          </w:p>
          <w:p w14:paraId="7C6B731F">
            <w:pPr>
              <w:pStyle w:val="2"/>
              <w:spacing w:line="400" w:lineRule="exact"/>
              <w:ind w:firstLine="480"/>
              <w:rPr>
                <w:rFonts w:hint="eastAsia" w:ascii="宋体" w:hAnsi="宋体" w:cs="宋体"/>
                <w:sz w:val="21"/>
                <w:szCs w:val="21"/>
              </w:rPr>
            </w:pPr>
            <w:r>
              <w:rPr>
                <w:rFonts w:ascii="宋体" w:hAnsi="宋体" w:cs="宋体"/>
                <w:sz w:val="21"/>
                <w:szCs w:val="21"/>
              </w:rPr>
              <w:t>③查封扣押上报：处罚情况新增、处罚情况修改、处罚情况查询、处罚情况删除等。</w:t>
            </w:r>
          </w:p>
          <w:p w14:paraId="258A2097">
            <w:pPr>
              <w:pStyle w:val="2"/>
              <w:spacing w:line="400" w:lineRule="exact"/>
              <w:ind w:firstLine="480"/>
              <w:rPr>
                <w:rFonts w:hint="eastAsia" w:ascii="宋体" w:hAnsi="宋体" w:cs="宋体"/>
                <w:sz w:val="21"/>
                <w:szCs w:val="21"/>
              </w:rPr>
            </w:pPr>
            <w:r>
              <w:rPr>
                <w:rFonts w:ascii="宋体" w:hAnsi="宋体" w:cs="宋体"/>
                <w:sz w:val="21"/>
                <w:szCs w:val="21"/>
              </w:rPr>
              <w:t>④限产停产上报：处罚情况新增、处罚情况修改、处罚情况查询、处罚情况删除等。</w:t>
            </w:r>
          </w:p>
          <w:p w14:paraId="17B55534">
            <w:pPr>
              <w:pStyle w:val="2"/>
              <w:spacing w:line="400" w:lineRule="exact"/>
              <w:ind w:firstLine="480"/>
              <w:rPr>
                <w:rFonts w:hint="eastAsia" w:ascii="宋体" w:hAnsi="宋体" w:cs="宋体"/>
                <w:sz w:val="21"/>
                <w:szCs w:val="21"/>
              </w:rPr>
            </w:pPr>
            <w:r>
              <w:rPr>
                <w:rFonts w:ascii="宋体" w:hAnsi="宋体" w:cs="宋体"/>
                <w:sz w:val="21"/>
                <w:szCs w:val="21"/>
              </w:rPr>
              <w:t>⑤行政拘留上报：处罚情况新增、处罚情况修改、处罚情况查询、处罚情况删除等。</w:t>
            </w:r>
          </w:p>
          <w:p w14:paraId="266E022E">
            <w:pPr>
              <w:pStyle w:val="2"/>
              <w:spacing w:line="400" w:lineRule="exact"/>
              <w:ind w:firstLine="480"/>
              <w:rPr>
                <w:rFonts w:hint="eastAsia" w:ascii="宋体" w:hAnsi="宋体" w:cs="宋体"/>
                <w:sz w:val="21"/>
                <w:szCs w:val="21"/>
              </w:rPr>
            </w:pPr>
            <w:r>
              <w:rPr>
                <w:rFonts w:ascii="宋体" w:hAnsi="宋体" w:cs="宋体"/>
                <w:sz w:val="21"/>
                <w:szCs w:val="21"/>
              </w:rPr>
              <w:t>⑥涉嫌犯罪上报：处罚情况新增、处罚情况修改、处罚情况查询、处罚情况删除等。</w:t>
            </w:r>
          </w:p>
          <w:p w14:paraId="144FB864">
            <w:pPr>
              <w:pStyle w:val="2"/>
              <w:spacing w:line="400" w:lineRule="exact"/>
              <w:ind w:firstLine="480"/>
              <w:rPr>
                <w:rFonts w:hint="eastAsia" w:ascii="宋体" w:hAnsi="宋体" w:cs="宋体"/>
                <w:sz w:val="21"/>
                <w:szCs w:val="21"/>
              </w:rPr>
            </w:pPr>
            <w:r>
              <w:rPr>
                <w:rFonts w:ascii="宋体" w:hAnsi="宋体" w:cs="宋体"/>
                <w:sz w:val="21"/>
                <w:szCs w:val="21"/>
              </w:rPr>
              <w:t>⑦建设项目上报：处罚情况新增处罚情况修改、处罚情况查询、处罚情况删除等。</w:t>
            </w:r>
          </w:p>
          <w:p w14:paraId="4D45E941">
            <w:pPr>
              <w:pStyle w:val="2"/>
              <w:spacing w:line="400" w:lineRule="exact"/>
              <w:ind w:firstLine="480"/>
              <w:rPr>
                <w:rFonts w:hint="eastAsia" w:ascii="宋体" w:hAnsi="宋体" w:cs="宋体"/>
                <w:sz w:val="21"/>
                <w:szCs w:val="21"/>
              </w:rPr>
            </w:pPr>
            <w:r>
              <w:rPr>
                <w:rFonts w:ascii="宋体" w:hAnsi="宋体" w:cs="宋体"/>
                <w:sz w:val="21"/>
                <w:szCs w:val="21"/>
              </w:rPr>
              <w:t>⑧法院强制执行情况上报：处罚情况新增、处罚情况修改、处罚情况查询、处罚情况删除等。</w:t>
            </w:r>
          </w:p>
          <w:p w14:paraId="59873E26">
            <w:pPr>
              <w:pStyle w:val="2"/>
              <w:spacing w:line="400" w:lineRule="exact"/>
              <w:ind w:firstLine="480"/>
              <w:rPr>
                <w:rFonts w:hint="eastAsia" w:ascii="宋体" w:hAnsi="宋体" w:cs="宋体"/>
                <w:sz w:val="21"/>
                <w:szCs w:val="21"/>
              </w:rPr>
            </w:pPr>
            <w:r>
              <w:rPr>
                <w:rFonts w:ascii="宋体" w:hAnsi="宋体" w:cs="宋体"/>
                <w:sz w:val="21"/>
                <w:szCs w:val="21"/>
              </w:rPr>
              <w:t>（</w:t>
            </w:r>
            <w:r>
              <w:rPr>
                <w:rFonts w:hint="eastAsia" w:ascii="宋体" w:hAnsi="宋体" w:cs="宋体"/>
                <w:sz w:val="21"/>
                <w:szCs w:val="21"/>
              </w:rPr>
              <w:t>7</w:t>
            </w:r>
            <w:r>
              <w:rPr>
                <w:rFonts w:ascii="宋体" w:hAnsi="宋体" w:cs="宋体"/>
                <w:sz w:val="21"/>
                <w:szCs w:val="21"/>
              </w:rPr>
              <w:t>）处罚下行数据：处罚下行台账、数据查询等。</w:t>
            </w:r>
          </w:p>
          <w:p w14:paraId="62375010">
            <w:pPr>
              <w:pStyle w:val="2"/>
              <w:spacing w:line="400" w:lineRule="exact"/>
              <w:ind w:firstLine="480"/>
              <w:rPr>
                <w:rFonts w:hint="eastAsia" w:ascii="宋体" w:hAnsi="宋体" w:cs="宋体"/>
                <w:sz w:val="21"/>
                <w:szCs w:val="21"/>
              </w:rPr>
            </w:pPr>
            <w:r>
              <w:rPr>
                <w:rFonts w:ascii="宋体" w:hAnsi="宋体" w:cs="宋体"/>
                <w:sz w:val="21"/>
                <w:szCs w:val="21"/>
              </w:rPr>
              <w:t>（</w:t>
            </w:r>
            <w:r>
              <w:rPr>
                <w:rFonts w:hint="eastAsia" w:ascii="宋体" w:hAnsi="宋体" w:cs="宋体"/>
                <w:sz w:val="21"/>
                <w:szCs w:val="21"/>
              </w:rPr>
              <w:t>8</w:t>
            </w:r>
            <w:r>
              <w:rPr>
                <w:rFonts w:ascii="宋体" w:hAnsi="宋体" w:cs="宋体"/>
                <w:sz w:val="21"/>
                <w:szCs w:val="21"/>
              </w:rPr>
              <w:t>）处罚信息公开小程序：审核提交、处室初审、与厅内OA对接、企业处罚历史记录查询、公众处罚信息查询、注册账号认证、处罚相关证明下载、证明下载记录管理等。</w:t>
            </w:r>
          </w:p>
          <w:p w14:paraId="4391CE5F">
            <w:pPr>
              <w:pStyle w:val="2"/>
              <w:spacing w:line="400" w:lineRule="exact"/>
              <w:ind w:firstLine="480"/>
              <w:rPr>
                <w:rFonts w:hint="eastAsia" w:ascii="宋体" w:hAnsi="宋体" w:cs="宋体"/>
                <w:sz w:val="21"/>
                <w:szCs w:val="21"/>
              </w:rPr>
            </w:pPr>
            <w:r>
              <w:rPr>
                <w:rFonts w:ascii="宋体" w:hAnsi="宋体" w:cs="宋体"/>
                <w:sz w:val="21"/>
                <w:szCs w:val="21"/>
              </w:rPr>
              <w:t>4.实战比武</w:t>
            </w:r>
          </w:p>
          <w:p w14:paraId="0E8B2CF2">
            <w:pPr>
              <w:pStyle w:val="2"/>
              <w:spacing w:line="400" w:lineRule="exact"/>
              <w:ind w:firstLine="480"/>
              <w:rPr>
                <w:rFonts w:hint="eastAsia" w:ascii="宋体" w:hAnsi="宋体" w:cs="宋体"/>
                <w:sz w:val="21"/>
                <w:szCs w:val="21"/>
              </w:rPr>
            </w:pPr>
            <w:r>
              <w:rPr>
                <w:rFonts w:ascii="宋体" w:hAnsi="宋体" w:cs="宋体"/>
                <w:sz w:val="21"/>
                <w:szCs w:val="21"/>
              </w:rPr>
              <w:t>（1）比武模式管理</w:t>
            </w:r>
          </w:p>
          <w:p w14:paraId="62215B0B">
            <w:pPr>
              <w:pStyle w:val="2"/>
              <w:spacing w:line="400" w:lineRule="exact"/>
              <w:ind w:firstLine="480"/>
              <w:rPr>
                <w:rFonts w:hint="eastAsia" w:ascii="宋体" w:hAnsi="宋体" w:cs="宋体"/>
                <w:sz w:val="21"/>
                <w:szCs w:val="21"/>
              </w:rPr>
            </w:pPr>
            <w:r>
              <w:rPr>
                <w:rFonts w:ascii="宋体" w:hAnsi="宋体" w:cs="宋体"/>
                <w:sz w:val="21"/>
                <w:szCs w:val="21"/>
              </w:rPr>
              <w:t>包含活动发起（活动创建、区域抽取、企业抽取、行为注入、任务派发）、活动列表、活动详情、活动查询、评审指派、活动结束等。</w:t>
            </w:r>
          </w:p>
          <w:p w14:paraId="46715F71">
            <w:pPr>
              <w:pStyle w:val="2"/>
              <w:spacing w:line="400" w:lineRule="exact"/>
              <w:ind w:firstLine="480"/>
              <w:rPr>
                <w:rFonts w:hint="eastAsia" w:ascii="宋体" w:hAnsi="宋体" w:cs="宋体"/>
                <w:sz w:val="21"/>
                <w:szCs w:val="21"/>
              </w:rPr>
            </w:pPr>
            <w:r>
              <w:rPr>
                <w:rFonts w:ascii="宋体" w:hAnsi="宋体" w:cs="宋体"/>
                <w:sz w:val="21"/>
                <w:szCs w:val="21"/>
              </w:rPr>
              <w:t>（2）新装备新技术应用</w:t>
            </w:r>
          </w:p>
          <w:p w14:paraId="72C97C4A">
            <w:pPr>
              <w:pStyle w:val="2"/>
              <w:spacing w:line="400" w:lineRule="exact"/>
              <w:ind w:firstLine="480"/>
              <w:rPr>
                <w:rFonts w:hint="eastAsia" w:ascii="宋体" w:hAnsi="宋体" w:cs="宋体"/>
                <w:sz w:val="21"/>
                <w:szCs w:val="21"/>
              </w:rPr>
            </w:pPr>
            <w:r>
              <w:rPr>
                <w:rFonts w:ascii="宋体" w:hAnsi="宋体" w:cs="宋体"/>
                <w:sz w:val="21"/>
                <w:szCs w:val="21"/>
              </w:rPr>
              <w:t>包含装备数据存储、使用情况考核、辅助执法场景（多源数据集成、分析模型选取、分析模型调用、分析报告生成）、实战任务管理（非现场巡查比武、交叉执法对抗）、比武评审（待评审清单、待评审任务查询、评审打分）、复评管理（待复评清单、待复评任务查询、复评打分）、比武排名、交叉检查（活动管理、现场检查、活动台账、属地台账）、统计分析（检查企业数统计、发现问题数统计、完成整改数统计、参与人员数统计）等。</w:t>
            </w:r>
          </w:p>
          <w:p w14:paraId="48968126">
            <w:pPr>
              <w:pStyle w:val="2"/>
              <w:spacing w:line="400" w:lineRule="exact"/>
              <w:ind w:firstLine="480"/>
              <w:rPr>
                <w:rFonts w:hint="eastAsia" w:ascii="宋体" w:hAnsi="宋体" w:cs="宋体"/>
                <w:sz w:val="21"/>
                <w:szCs w:val="21"/>
              </w:rPr>
            </w:pPr>
            <w:r>
              <w:rPr>
                <w:rFonts w:ascii="宋体" w:hAnsi="宋体" w:cs="宋体"/>
                <w:sz w:val="21"/>
                <w:szCs w:val="21"/>
              </w:rPr>
              <w:t>5.信用评价</w:t>
            </w:r>
          </w:p>
          <w:p w14:paraId="59978C28">
            <w:pPr>
              <w:pStyle w:val="2"/>
              <w:spacing w:line="400" w:lineRule="exact"/>
              <w:ind w:firstLine="480"/>
              <w:rPr>
                <w:rFonts w:hint="eastAsia" w:ascii="宋体" w:hAnsi="宋体" w:cs="宋体"/>
                <w:sz w:val="21"/>
                <w:szCs w:val="21"/>
              </w:rPr>
            </w:pPr>
            <w:r>
              <w:rPr>
                <w:rFonts w:ascii="宋体" w:hAnsi="宋体" w:cs="宋体"/>
                <w:sz w:val="21"/>
                <w:szCs w:val="21"/>
              </w:rPr>
              <w:t>（1）环境信用评价管理（管理端）</w:t>
            </w:r>
          </w:p>
          <w:p w14:paraId="06864C21">
            <w:pPr>
              <w:pStyle w:val="2"/>
              <w:spacing w:line="400" w:lineRule="exact"/>
              <w:ind w:firstLine="480"/>
              <w:rPr>
                <w:rFonts w:hint="eastAsia" w:ascii="宋体" w:hAnsi="宋体" w:cs="宋体"/>
                <w:sz w:val="21"/>
                <w:szCs w:val="21"/>
              </w:rPr>
            </w:pPr>
            <w:r>
              <w:rPr>
                <w:rFonts w:ascii="宋体" w:hAnsi="宋体" w:cs="宋体"/>
                <w:sz w:val="21"/>
                <w:szCs w:val="21"/>
              </w:rPr>
              <w:t>①系统主页：快捷菜单、通知公告、政策法规、各市县评价结果分布统计等。</w:t>
            </w:r>
          </w:p>
          <w:p w14:paraId="14151E7F">
            <w:pPr>
              <w:pStyle w:val="2"/>
              <w:spacing w:line="400" w:lineRule="exact"/>
              <w:ind w:firstLine="480"/>
              <w:rPr>
                <w:rFonts w:hint="eastAsia" w:ascii="宋体" w:hAnsi="宋体" w:cs="宋体"/>
                <w:sz w:val="21"/>
                <w:szCs w:val="21"/>
              </w:rPr>
            </w:pPr>
            <w:r>
              <w:rPr>
                <w:rFonts w:ascii="宋体" w:hAnsi="宋体" w:cs="宋体"/>
                <w:sz w:val="21"/>
                <w:szCs w:val="21"/>
              </w:rPr>
              <w:t>②参评企事业管理：企事业库、参评企事业名单、退评企事业管理、自主参评审核等。</w:t>
            </w:r>
          </w:p>
          <w:p w14:paraId="2089EF30">
            <w:pPr>
              <w:pStyle w:val="2"/>
              <w:spacing w:line="400" w:lineRule="exact"/>
              <w:ind w:firstLine="480"/>
              <w:rPr>
                <w:rFonts w:hint="eastAsia" w:ascii="宋体" w:hAnsi="宋体" w:cs="宋体"/>
                <w:sz w:val="21"/>
                <w:szCs w:val="21"/>
              </w:rPr>
            </w:pPr>
            <w:r>
              <w:rPr>
                <w:rFonts w:ascii="宋体" w:hAnsi="宋体" w:cs="宋体"/>
                <w:sz w:val="21"/>
                <w:szCs w:val="21"/>
              </w:rPr>
              <w:t>③评价管理：评价依据信息管理、指标审核、初评结果、异议复核、终评结果等。</w:t>
            </w:r>
          </w:p>
          <w:p w14:paraId="5B82AF49">
            <w:pPr>
              <w:pStyle w:val="2"/>
              <w:spacing w:line="400" w:lineRule="exact"/>
              <w:ind w:firstLine="480"/>
              <w:rPr>
                <w:rFonts w:hint="eastAsia" w:ascii="宋体" w:hAnsi="宋体" w:cs="宋体"/>
                <w:sz w:val="21"/>
                <w:szCs w:val="21"/>
              </w:rPr>
            </w:pPr>
            <w:r>
              <w:rPr>
                <w:rFonts w:ascii="宋体" w:hAnsi="宋体" w:cs="宋体"/>
                <w:sz w:val="21"/>
                <w:szCs w:val="21"/>
              </w:rPr>
              <w:t>④信用修复：评价修复申请发起、修复指标选择、修复佐证材料上传、修复申请提交、修复申请审核、评价修复操作、修复结果通知、修复记录查询等。</w:t>
            </w:r>
          </w:p>
          <w:p w14:paraId="5B573E82">
            <w:pPr>
              <w:pStyle w:val="2"/>
              <w:spacing w:line="400" w:lineRule="exact"/>
              <w:ind w:firstLine="480"/>
              <w:rPr>
                <w:rFonts w:hint="eastAsia" w:ascii="宋体" w:hAnsi="宋体" w:cs="宋体"/>
                <w:sz w:val="21"/>
                <w:szCs w:val="21"/>
              </w:rPr>
            </w:pPr>
            <w:r>
              <w:rPr>
                <w:rFonts w:ascii="宋体" w:hAnsi="宋体" w:cs="宋体"/>
                <w:sz w:val="21"/>
                <w:szCs w:val="21"/>
              </w:rPr>
              <w:t>⑤动态评价：动态计分规则设置、计分规则调整、动态自动计分、人工干预等。</w:t>
            </w:r>
          </w:p>
          <w:p w14:paraId="7CEDAC2B">
            <w:pPr>
              <w:pStyle w:val="2"/>
              <w:spacing w:line="400" w:lineRule="exact"/>
              <w:ind w:firstLine="480"/>
              <w:rPr>
                <w:rFonts w:hint="eastAsia" w:ascii="宋体" w:hAnsi="宋体" w:cs="宋体"/>
                <w:sz w:val="21"/>
                <w:szCs w:val="21"/>
              </w:rPr>
            </w:pPr>
            <w:r>
              <w:rPr>
                <w:rFonts w:ascii="宋体" w:hAnsi="宋体" w:cs="宋体"/>
                <w:sz w:val="21"/>
                <w:szCs w:val="21"/>
              </w:rPr>
              <w:t>⑥评价结果：实时评价结果、年度评价结果等。</w:t>
            </w:r>
          </w:p>
          <w:p w14:paraId="05139EB0">
            <w:pPr>
              <w:pStyle w:val="2"/>
              <w:spacing w:line="400" w:lineRule="exact"/>
              <w:ind w:firstLine="480"/>
              <w:rPr>
                <w:rFonts w:hint="eastAsia" w:ascii="宋体" w:hAnsi="宋体" w:cs="宋体"/>
                <w:sz w:val="21"/>
                <w:szCs w:val="21"/>
              </w:rPr>
            </w:pPr>
            <w:r>
              <w:rPr>
                <w:rFonts w:ascii="宋体" w:hAnsi="宋体" w:cs="宋体"/>
                <w:sz w:val="21"/>
                <w:szCs w:val="21"/>
              </w:rPr>
              <w:t>⑦信用信息归集：行政许可信息、行政确认信息、行政裁决信息、行政奖励信息、行政强制信息、行政监督检查信息、信用承诺信息、履约践诺信息、其他信用信息、红黑名单管理、联合惩戒信息、联合奖惩反馈信息等。</w:t>
            </w:r>
          </w:p>
          <w:p w14:paraId="5BFE5B88">
            <w:pPr>
              <w:pStyle w:val="2"/>
              <w:spacing w:line="400" w:lineRule="exact"/>
              <w:ind w:firstLine="480"/>
              <w:rPr>
                <w:rFonts w:hint="eastAsia" w:ascii="宋体" w:hAnsi="宋体" w:cs="宋体"/>
                <w:sz w:val="21"/>
                <w:szCs w:val="21"/>
              </w:rPr>
            </w:pPr>
            <w:r>
              <w:rPr>
                <w:rFonts w:ascii="宋体" w:hAnsi="宋体" w:cs="宋体"/>
                <w:sz w:val="21"/>
                <w:szCs w:val="21"/>
              </w:rPr>
              <w:t>⑧报表统计：各市参评企事业数量占比统计分析、全区参评企事业评价等级占比情况分析、各行业企事业所占比例统计分析、各地市/区县评价结果排名分析等。</w:t>
            </w:r>
          </w:p>
          <w:p w14:paraId="6687ACF3">
            <w:pPr>
              <w:pStyle w:val="2"/>
              <w:spacing w:line="400" w:lineRule="exact"/>
              <w:ind w:firstLine="480"/>
              <w:rPr>
                <w:rFonts w:hint="eastAsia" w:ascii="宋体" w:hAnsi="宋体" w:cs="宋体"/>
                <w:sz w:val="21"/>
                <w:szCs w:val="21"/>
              </w:rPr>
            </w:pPr>
            <w:r>
              <w:rPr>
                <w:rFonts w:ascii="宋体" w:hAnsi="宋体" w:cs="宋体"/>
                <w:sz w:val="21"/>
                <w:szCs w:val="21"/>
              </w:rPr>
              <w:t>⑨一企一码管理：二维码生成、赋码规则、扫描功能、结果展示、更新通知、使用记录等。</w:t>
            </w:r>
          </w:p>
          <w:p w14:paraId="7A75D37E">
            <w:pPr>
              <w:pStyle w:val="2"/>
              <w:spacing w:line="400" w:lineRule="exact"/>
              <w:ind w:firstLine="480"/>
              <w:rPr>
                <w:rFonts w:hint="eastAsia" w:ascii="宋体" w:hAnsi="宋体" w:cs="宋体"/>
                <w:sz w:val="21"/>
                <w:szCs w:val="21"/>
              </w:rPr>
            </w:pPr>
            <w:r>
              <w:rPr>
                <w:rFonts w:ascii="宋体" w:hAnsi="宋体" w:cs="宋体"/>
                <w:sz w:val="21"/>
                <w:szCs w:val="21"/>
              </w:rPr>
              <w:t>⑩评价标准管理：评价等级管理、指标分类管理、指标库管理等。</w:t>
            </w:r>
          </w:p>
          <w:p w14:paraId="24347266">
            <w:pPr>
              <w:pStyle w:val="2"/>
              <w:spacing w:line="400" w:lineRule="exact"/>
              <w:ind w:firstLine="480"/>
              <w:rPr>
                <w:rFonts w:hint="eastAsia" w:ascii="宋体" w:hAnsi="宋体" w:cs="宋体"/>
                <w:sz w:val="21"/>
                <w:szCs w:val="21"/>
              </w:rPr>
            </w:pPr>
            <w:r>
              <w:rPr>
                <w:rFonts w:ascii="宋体" w:hAnsi="宋体" w:cs="宋体"/>
                <w:sz w:val="21"/>
                <w:szCs w:val="21"/>
              </w:rPr>
              <w:t>⑪信息公示管理。</w:t>
            </w:r>
          </w:p>
          <w:p w14:paraId="4D00CDF6">
            <w:pPr>
              <w:pStyle w:val="2"/>
              <w:spacing w:line="400" w:lineRule="exact"/>
              <w:ind w:firstLine="480"/>
              <w:rPr>
                <w:rFonts w:hint="eastAsia" w:ascii="宋体" w:hAnsi="宋体" w:cs="宋体"/>
                <w:sz w:val="21"/>
                <w:szCs w:val="21"/>
              </w:rPr>
            </w:pPr>
            <w:r>
              <w:rPr>
                <w:rFonts w:ascii="宋体" w:hAnsi="宋体" w:cs="宋体"/>
                <w:sz w:val="21"/>
                <w:szCs w:val="21"/>
              </w:rPr>
              <w:t>⑫综合分析展示：参评企事业分布GIS展示、参评企事业信息叠加展示、全区参评企事业评价等级占比叠加展示等。</w:t>
            </w:r>
          </w:p>
          <w:p w14:paraId="14140F52">
            <w:pPr>
              <w:pStyle w:val="2"/>
              <w:spacing w:line="400" w:lineRule="exact"/>
              <w:ind w:firstLine="480"/>
              <w:rPr>
                <w:rFonts w:hint="eastAsia" w:ascii="宋体" w:hAnsi="宋体" w:cs="宋体"/>
                <w:sz w:val="21"/>
                <w:szCs w:val="21"/>
              </w:rPr>
            </w:pPr>
            <w:r>
              <w:rPr>
                <w:rFonts w:ascii="宋体" w:hAnsi="宋体" w:cs="宋体"/>
                <w:sz w:val="21"/>
                <w:szCs w:val="21"/>
              </w:rPr>
              <w:t>（2）信用评价结果公示平台（公众端）</w:t>
            </w:r>
          </w:p>
          <w:p w14:paraId="39902D5E">
            <w:pPr>
              <w:pStyle w:val="2"/>
              <w:spacing w:line="400" w:lineRule="exact"/>
              <w:ind w:firstLine="480"/>
              <w:rPr>
                <w:rFonts w:hint="eastAsia" w:ascii="宋体" w:hAnsi="宋体" w:cs="宋体"/>
                <w:sz w:val="21"/>
                <w:szCs w:val="21"/>
              </w:rPr>
            </w:pPr>
            <w:r>
              <w:rPr>
                <w:rFonts w:ascii="宋体" w:hAnsi="宋体" w:cs="宋体"/>
                <w:sz w:val="21"/>
                <w:szCs w:val="21"/>
              </w:rPr>
              <w:t>①信息公示（公众端）：参评单位公示、年度初评结果、年度终评结果、信用修复信息公示、政策法规、工作通知等。</w:t>
            </w:r>
          </w:p>
          <w:p w14:paraId="5A05F9F5">
            <w:pPr>
              <w:pStyle w:val="2"/>
              <w:spacing w:line="400" w:lineRule="exact"/>
              <w:ind w:firstLine="480"/>
              <w:rPr>
                <w:rFonts w:hint="eastAsia" w:ascii="宋体" w:hAnsi="宋体" w:cs="宋体"/>
                <w:sz w:val="21"/>
                <w:szCs w:val="21"/>
              </w:rPr>
            </w:pPr>
            <w:r>
              <w:rPr>
                <w:rFonts w:ascii="宋体" w:hAnsi="宋体" w:cs="宋体"/>
                <w:sz w:val="21"/>
                <w:szCs w:val="21"/>
              </w:rPr>
              <w:t>②公众异议申诉管理</w:t>
            </w:r>
          </w:p>
          <w:p w14:paraId="4DEE1FF0">
            <w:pPr>
              <w:pStyle w:val="2"/>
              <w:spacing w:line="400" w:lineRule="exact"/>
              <w:ind w:firstLine="480"/>
              <w:rPr>
                <w:rFonts w:hint="eastAsia" w:ascii="宋体" w:hAnsi="宋体" w:cs="宋体"/>
                <w:sz w:val="21"/>
                <w:szCs w:val="21"/>
              </w:rPr>
            </w:pPr>
            <w:r>
              <w:rPr>
                <w:rFonts w:ascii="宋体" w:hAnsi="宋体" w:cs="宋体"/>
                <w:sz w:val="21"/>
                <w:szCs w:val="21"/>
              </w:rPr>
              <w:t>③信用修复：评价修复申请发起、修复指标选择、修复佐证材料上传、修复申请提交、修复结果通知、修复记录查询等。</w:t>
            </w:r>
          </w:p>
          <w:p w14:paraId="1418F2C1">
            <w:pPr>
              <w:pStyle w:val="2"/>
              <w:spacing w:line="400" w:lineRule="exact"/>
              <w:ind w:firstLine="480"/>
              <w:rPr>
                <w:rFonts w:hint="eastAsia" w:ascii="宋体" w:hAnsi="宋体" w:cs="宋体"/>
                <w:sz w:val="21"/>
                <w:szCs w:val="21"/>
              </w:rPr>
            </w:pPr>
            <w:r>
              <w:rPr>
                <w:rFonts w:ascii="宋体" w:hAnsi="宋体" w:cs="宋体"/>
                <w:sz w:val="21"/>
                <w:szCs w:val="21"/>
              </w:rPr>
              <w:t>④退评申请：退评申请发起、退评申请表单、佐证材料上传、申请提交、申请审核、审核结果通知、审核结果处理、退评历史记录管理等。</w:t>
            </w:r>
          </w:p>
          <w:p w14:paraId="0BC094AF">
            <w:pPr>
              <w:pStyle w:val="2"/>
              <w:spacing w:line="400" w:lineRule="exact"/>
              <w:ind w:firstLine="480"/>
              <w:rPr>
                <w:rFonts w:hint="eastAsia" w:ascii="宋体" w:hAnsi="宋体" w:cs="宋体"/>
                <w:sz w:val="21"/>
                <w:szCs w:val="21"/>
              </w:rPr>
            </w:pPr>
            <w:r>
              <w:rPr>
                <w:rFonts w:ascii="宋体" w:hAnsi="宋体" w:cs="宋体"/>
                <w:sz w:val="21"/>
                <w:szCs w:val="21"/>
              </w:rPr>
              <w:t>6.涉税信息共享</w:t>
            </w:r>
          </w:p>
          <w:p w14:paraId="053C23A5">
            <w:pPr>
              <w:pStyle w:val="2"/>
              <w:spacing w:line="400" w:lineRule="exact"/>
              <w:ind w:firstLine="480"/>
              <w:rPr>
                <w:rFonts w:hint="eastAsia" w:ascii="宋体" w:hAnsi="宋体" w:cs="宋体"/>
                <w:sz w:val="21"/>
                <w:szCs w:val="21"/>
              </w:rPr>
            </w:pPr>
            <w:r>
              <w:rPr>
                <w:rFonts w:ascii="宋体" w:hAnsi="宋体" w:cs="宋体"/>
                <w:sz w:val="21"/>
                <w:szCs w:val="21"/>
              </w:rPr>
              <w:t>（1）涉税原始数据采集</w:t>
            </w:r>
          </w:p>
          <w:p w14:paraId="5486928E">
            <w:pPr>
              <w:pStyle w:val="2"/>
              <w:spacing w:line="400" w:lineRule="exact"/>
              <w:ind w:firstLine="480"/>
              <w:rPr>
                <w:rFonts w:hint="eastAsia" w:ascii="宋体" w:hAnsi="宋体" w:cs="宋体"/>
                <w:sz w:val="21"/>
                <w:szCs w:val="21"/>
              </w:rPr>
            </w:pPr>
            <w:r>
              <w:rPr>
                <w:rFonts w:ascii="宋体" w:hAnsi="宋体" w:cs="宋体"/>
                <w:sz w:val="21"/>
                <w:szCs w:val="21"/>
              </w:rPr>
              <w:t>①排污许可证数据采集：数据接口、数据获取、数据推送、数据查询等。</w:t>
            </w:r>
          </w:p>
          <w:p w14:paraId="1182CAEE">
            <w:pPr>
              <w:pStyle w:val="2"/>
              <w:spacing w:line="400" w:lineRule="exact"/>
              <w:ind w:firstLine="480"/>
              <w:rPr>
                <w:rFonts w:hint="eastAsia" w:ascii="宋体" w:hAnsi="宋体" w:cs="宋体"/>
                <w:sz w:val="21"/>
                <w:szCs w:val="21"/>
              </w:rPr>
            </w:pPr>
            <w:r>
              <w:rPr>
                <w:rFonts w:ascii="宋体" w:hAnsi="宋体" w:cs="宋体"/>
                <w:sz w:val="21"/>
                <w:szCs w:val="21"/>
              </w:rPr>
              <w:t>②监督性监测数据采集：数据获取、数据确认、数据推送、数据查询与追溯等。</w:t>
            </w:r>
          </w:p>
          <w:p w14:paraId="05CFE84F">
            <w:pPr>
              <w:pStyle w:val="2"/>
              <w:spacing w:line="400" w:lineRule="exact"/>
              <w:ind w:firstLine="480"/>
              <w:rPr>
                <w:rFonts w:hint="eastAsia" w:ascii="宋体" w:hAnsi="宋体" w:cs="宋体"/>
                <w:sz w:val="21"/>
                <w:szCs w:val="21"/>
              </w:rPr>
            </w:pPr>
            <w:r>
              <w:rPr>
                <w:rFonts w:ascii="宋体" w:hAnsi="宋体" w:cs="宋体"/>
                <w:sz w:val="21"/>
                <w:szCs w:val="21"/>
              </w:rPr>
              <w:t>③污染源自动监测数据采集：数据分析、接口设计、模拟环境搭建与联调、数据验证等。</w:t>
            </w:r>
          </w:p>
          <w:p w14:paraId="2BA6BA45">
            <w:pPr>
              <w:pStyle w:val="2"/>
              <w:spacing w:line="400" w:lineRule="exact"/>
              <w:ind w:firstLine="480"/>
              <w:rPr>
                <w:rFonts w:hint="eastAsia" w:ascii="宋体" w:hAnsi="宋体" w:cs="宋体"/>
                <w:sz w:val="21"/>
                <w:szCs w:val="21"/>
              </w:rPr>
            </w:pPr>
            <w:r>
              <w:rPr>
                <w:rFonts w:ascii="宋体" w:hAnsi="宋体" w:cs="宋体"/>
                <w:sz w:val="21"/>
                <w:szCs w:val="21"/>
              </w:rPr>
              <w:t>④环保行政处罚数据采集：数据接口、数据获取、数据推送、数据查询等。</w:t>
            </w:r>
          </w:p>
          <w:p w14:paraId="0FB90E71">
            <w:pPr>
              <w:pStyle w:val="2"/>
              <w:spacing w:line="400" w:lineRule="exact"/>
              <w:ind w:firstLine="480"/>
              <w:rPr>
                <w:rFonts w:hint="eastAsia" w:ascii="宋体" w:hAnsi="宋体" w:cs="宋体"/>
                <w:sz w:val="21"/>
                <w:szCs w:val="21"/>
              </w:rPr>
            </w:pPr>
            <w:r>
              <w:rPr>
                <w:rFonts w:ascii="宋体" w:hAnsi="宋体" w:cs="宋体"/>
                <w:sz w:val="21"/>
                <w:szCs w:val="21"/>
              </w:rPr>
              <w:t>（2）涉税数据集成、标准化处理</w:t>
            </w:r>
          </w:p>
          <w:p w14:paraId="61E02843">
            <w:pPr>
              <w:pStyle w:val="2"/>
              <w:spacing w:line="400" w:lineRule="exact"/>
              <w:ind w:firstLine="480"/>
              <w:rPr>
                <w:rFonts w:hint="eastAsia" w:ascii="宋体" w:hAnsi="宋体" w:cs="宋体"/>
                <w:sz w:val="21"/>
                <w:szCs w:val="21"/>
              </w:rPr>
            </w:pPr>
            <w:r>
              <w:rPr>
                <w:rFonts w:ascii="宋体" w:hAnsi="宋体" w:cs="宋体"/>
                <w:sz w:val="21"/>
                <w:szCs w:val="21"/>
              </w:rPr>
              <w:t>包含数据抽取、数据转换、数据清洗、数据加载、容错处理等。</w:t>
            </w:r>
          </w:p>
          <w:p w14:paraId="399559B8">
            <w:pPr>
              <w:pStyle w:val="2"/>
              <w:spacing w:line="400" w:lineRule="exact"/>
              <w:ind w:firstLine="480"/>
              <w:rPr>
                <w:rFonts w:hint="eastAsia" w:ascii="宋体" w:hAnsi="宋体" w:cs="宋体"/>
                <w:sz w:val="21"/>
                <w:szCs w:val="21"/>
              </w:rPr>
            </w:pPr>
            <w:r>
              <w:rPr>
                <w:rFonts w:ascii="宋体" w:hAnsi="宋体" w:cs="宋体"/>
                <w:sz w:val="21"/>
                <w:szCs w:val="21"/>
              </w:rPr>
              <w:t>（3）涉税数据完善及数据审核</w:t>
            </w:r>
            <w:r>
              <w:rPr>
                <w:rFonts w:hint="eastAsia" w:ascii="宋体" w:hAnsi="宋体" w:cs="宋体"/>
                <w:sz w:val="21"/>
                <w:szCs w:val="21"/>
              </w:rPr>
              <w:t>：各级环保部门用户可在平台中对清洗后的相关数据进行完善，实现标准化后即可进行共享，对经过处理的数据进行审核，未关联污染源的进行关联，确保数据质量达到标准。</w:t>
            </w:r>
          </w:p>
          <w:p w14:paraId="134883A1">
            <w:pPr>
              <w:pStyle w:val="2"/>
              <w:spacing w:line="400" w:lineRule="exact"/>
              <w:ind w:firstLine="480"/>
              <w:rPr>
                <w:rFonts w:hint="eastAsia" w:ascii="宋体" w:hAnsi="宋体" w:cs="宋体"/>
                <w:sz w:val="21"/>
                <w:szCs w:val="21"/>
              </w:rPr>
            </w:pPr>
            <w:r>
              <w:rPr>
                <w:rFonts w:ascii="宋体" w:hAnsi="宋体" w:cs="宋体"/>
                <w:sz w:val="21"/>
                <w:szCs w:val="21"/>
              </w:rPr>
              <w:t>（4）涉税数据共享与交换：共享数据内容、数据交换传输监控、涉税数据对账等。</w:t>
            </w:r>
          </w:p>
          <w:p w14:paraId="5377364B">
            <w:pPr>
              <w:pStyle w:val="2"/>
              <w:spacing w:line="400" w:lineRule="exact"/>
              <w:ind w:firstLine="480"/>
              <w:rPr>
                <w:rFonts w:hint="eastAsia" w:ascii="宋体" w:hAnsi="宋体" w:cs="宋体"/>
                <w:sz w:val="21"/>
                <w:szCs w:val="21"/>
              </w:rPr>
            </w:pPr>
            <w:r>
              <w:rPr>
                <w:rFonts w:ascii="宋体" w:hAnsi="宋体" w:cs="宋体"/>
                <w:sz w:val="21"/>
                <w:szCs w:val="21"/>
              </w:rPr>
              <w:t>（5）企业涉税数据台账</w:t>
            </w:r>
            <w:r>
              <w:rPr>
                <w:rFonts w:hint="eastAsia" w:ascii="宋体" w:hAnsi="宋体" w:cs="宋体"/>
                <w:sz w:val="21"/>
                <w:szCs w:val="21"/>
              </w:rPr>
              <w:t>：建立企业涉税数据台账，对涉及环保税涉税信息共享的企业进行管理，支持查看包括企业信息的展示、历史涉税信息共享情况等。</w:t>
            </w:r>
          </w:p>
          <w:p w14:paraId="40DB52F8">
            <w:pPr>
              <w:pStyle w:val="2"/>
              <w:spacing w:line="400" w:lineRule="exact"/>
              <w:ind w:firstLine="480"/>
              <w:rPr>
                <w:rFonts w:hint="eastAsia" w:ascii="宋体" w:hAnsi="宋体" w:cs="宋体"/>
                <w:sz w:val="21"/>
                <w:szCs w:val="21"/>
              </w:rPr>
            </w:pPr>
            <w:r>
              <w:rPr>
                <w:rFonts w:ascii="宋体" w:hAnsi="宋体" w:cs="宋体"/>
                <w:sz w:val="21"/>
                <w:szCs w:val="21"/>
              </w:rPr>
              <w:t>（6）环保税复核管理：复核提请信息接收、环保税复核任务管理、环保税复核数据辅助核定、环保税复核数据审批、环保税复核结果推送等。</w:t>
            </w:r>
          </w:p>
          <w:p w14:paraId="601B885E">
            <w:pPr>
              <w:pStyle w:val="2"/>
              <w:spacing w:line="400" w:lineRule="exact"/>
              <w:ind w:firstLine="480"/>
              <w:rPr>
                <w:rFonts w:hint="eastAsia" w:ascii="宋体" w:hAnsi="宋体" w:cs="宋体"/>
                <w:sz w:val="21"/>
                <w:szCs w:val="21"/>
              </w:rPr>
            </w:pPr>
            <w:r>
              <w:rPr>
                <w:rFonts w:ascii="宋体" w:hAnsi="宋体" w:cs="宋体"/>
                <w:sz w:val="21"/>
                <w:szCs w:val="21"/>
              </w:rPr>
              <w:t>（7）涉税数据统计分析：基础税源信息统计分析、涉税信息统计分析、业务数据比对分析、税务数据统计分析、税务复核反馈智能分析等。</w:t>
            </w:r>
          </w:p>
          <w:p w14:paraId="7573EB00">
            <w:pPr>
              <w:pStyle w:val="2"/>
              <w:spacing w:line="400" w:lineRule="exact"/>
              <w:ind w:firstLine="480"/>
              <w:rPr>
                <w:rFonts w:hint="eastAsia" w:ascii="宋体" w:hAnsi="宋体" w:cs="宋体"/>
                <w:sz w:val="21"/>
                <w:szCs w:val="21"/>
              </w:rPr>
            </w:pPr>
            <w:r>
              <w:rPr>
                <w:rFonts w:ascii="宋体" w:hAnsi="宋体" w:cs="宋体"/>
                <w:sz w:val="21"/>
                <w:szCs w:val="21"/>
              </w:rPr>
              <w:t>7.运营商通讯对接</w:t>
            </w:r>
          </w:p>
          <w:p w14:paraId="51E3036B">
            <w:pPr>
              <w:pStyle w:val="2"/>
              <w:spacing w:line="400" w:lineRule="exact"/>
              <w:ind w:firstLine="480"/>
              <w:rPr>
                <w:rFonts w:hint="eastAsia" w:ascii="宋体" w:hAnsi="宋体" w:cs="宋体"/>
                <w:sz w:val="21"/>
                <w:szCs w:val="21"/>
              </w:rPr>
            </w:pPr>
            <w:r>
              <w:rPr>
                <w:rFonts w:ascii="宋体" w:hAnsi="宋体" w:cs="宋体"/>
                <w:sz w:val="21"/>
                <w:szCs w:val="21"/>
              </w:rPr>
              <w:t>将一体化监管平台涉及的通知及提醒可通过短信网关发送相应的短信告知具体相关的人员，可通过通讯网关拨打语音电话实现自动回访。</w:t>
            </w:r>
          </w:p>
          <w:p w14:paraId="3340396E">
            <w:pPr>
              <w:pStyle w:val="2"/>
              <w:spacing w:line="400" w:lineRule="exact"/>
              <w:ind w:firstLine="480"/>
              <w:rPr>
                <w:rFonts w:hint="eastAsia" w:ascii="宋体" w:hAnsi="宋体" w:cs="宋体"/>
                <w:sz w:val="21"/>
                <w:szCs w:val="21"/>
              </w:rPr>
            </w:pPr>
            <w:r>
              <w:rPr>
                <w:rFonts w:ascii="宋体" w:hAnsi="宋体" w:cs="宋体"/>
                <w:sz w:val="21"/>
                <w:szCs w:val="21"/>
              </w:rPr>
              <w:t>▲（四）广西固定污染源自动监控功能重构</w:t>
            </w:r>
          </w:p>
          <w:p w14:paraId="281F0CD6">
            <w:pPr>
              <w:pStyle w:val="2"/>
              <w:spacing w:line="400" w:lineRule="exact"/>
              <w:ind w:firstLine="480"/>
              <w:rPr>
                <w:rFonts w:hint="eastAsia" w:ascii="宋体" w:hAnsi="宋体" w:cs="宋体"/>
                <w:sz w:val="21"/>
                <w:szCs w:val="21"/>
              </w:rPr>
            </w:pPr>
            <w:r>
              <w:rPr>
                <w:rFonts w:ascii="宋体" w:hAnsi="宋体" w:cs="宋体"/>
                <w:sz w:val="21"/>
                <w:szCs w:val="21"/>
              </w:rPr>
              <w:t>1.基础服务功能</w:t>
            </w:r>
          </w:p>
          <w:p w14:paraId="029E71BD">
            <w:pPr>
              <w:pStyle w:val="2"/>
              <w:spacing w:line="400" w:lineRule="exact"/>
              <w:ind w:firstLine="480"/>
              <w:rPr>
                <w:rFonts w:hint="eastAsia" w:ascii="宋体" w:hAnsi="宋体" w:cs="宋体"/>
                <w:sz w:val="21"/>
                <w:szCs w:val="21"/>
              </w:rPr>
            </w:pPr>
            <w:r>
              <w:rPr>
                <w:rFonts w:ascii="宋体" w:hAnsi="宋体" w:cs="宋体"/>
                <w:sz w:val="21"/>
                <w:szCs w:val="21"/>
              </w:rPr>
              <w:t>（1）信息处理服务</w:t>
            </w:r>
          </w:p>
          <w:p w14:paraId="34022E88">
            <w:pPr>
              <w:pStyle w:val="2"/>
              <w:spacing w:line="400" w:lineRule="exact"/>
              <w:ind w:firstLine="480"/>
              <w:rPr>
                <w:rFonts w:hint="eastAsia" w:ascii="宋体" w:hAnsi="宋体" w:cs="宋体"/>
                <w:sz w:val="21"/>
                <w:szCs w:val="21"/>
              </w:rPr>
            </w:pPr>
            <w:r>
              <w:rPr>
                <w:rFonts w:ascii="宋体" w:hAnsi="宋体" w:cs="宋体"/>
                <w:sz w:val="21"/>
                <w:szCs w:val="21"/>
              </w:rPr>
              <w:t>包括信息采集服务（支持对排污单位在线监测站房全过程、全流程、全要素信息进行采集）、信息存储服务等。</w:t>
            </w:r>
          </w:p>
          <w:p w14:paraId="6528D382">
            <w:pPr>
              <w:pStyle w:val="2"/>
              <w:spacing w:line="400" w:lineRule="exact"/>
              <w:ind w:firstLine="480"/>
              <w:rPr>
                <w:rFonts w:hint="eastAsia" w:ascii="宋体" w:hAnsi="宋体" w:cs="宋体"/>
                <w:sz w:val="21"/>
                <w:szCs w:val="21"/>
              </w:rPr>
            </w:pPr>
            <w:r>
              <w:rPr>
                <w:rFonts w:ascii="宋体" w:hAnsi="宋体" w:cs="宋体"/>
                <w:sz w:val="21"/>
                <w:szCs w:val="21"/>
              </w:rPr>
              <w:t>（2）数据算法分析:视频分析算法、违法违规算法模型、智能追溯算法模型等。</w:t>
            </w:r>
          </w:p>
          <w:p w14:paraId="23DCA802">
            <w:pPr>
              <w:pStyle w:val="2"/>
              <w:spacing w:line="400" w:lineRule="exact"/>
              <w:ind w:firstLine="480"/>
              <w:rPr>
                <w:rFonts w:hint="eastAsia" w:ascii="宋体" w:hAnsi="宋体" w:cs="宋体"/>
                <w:sz w:val="21"/>
                <w:szCs w:val="21"/>
              </w:rPr>
            </w:pPr>
            <w:r>
              <w:rPr>
                <w:rFonts w:ascii="宋体" w:hAnsi="宋体" w:cs="宋体"/>
                <w:sz w:val="21"/>
                <w:szCs w:val="21"/>
              </w:rPr>
              <w:t>（3）流程管理服务：运维管理流程、数据标记-审核-修约流程、预警－报警流程、疑似违法违规报警与现场处理流程等。</w:t>
            </w:r>
          </w:p>
          <w:p w14:paraId="112FF449">
            <w:pPr>
              <w:pStyle w:val="2"/>
              <w:spacing w:line="400" w:lineRule="exact"/>
              <w:ind w:firstLine="480"/>
              <w:rPr>
                <w:rFonts w:hint="eastAsia" w:ascii="宋体" w:hAnsi="宋体" w:cs="宋体"/>
                <w:sz w:val="21"/>
                <w:szCs w:val="21"/>
              </w:rPr>
            </w:pPr>
            <w:r>
              <w:rPr>
                <w:rFonts w:ascii="宋体" w:hAnsi="宋体" w:cs="宋体"/>
                <w:sz w:val="21"/>
                <w:szCs w:val="21"/>
              </w:rPr>
              <w:t>（4）信息安全服务：数据访问控制、数据加密、数据备份与恢复等。</w:t>
            </w:r>
          </w:p>
          <w:p w14:paraId="6ECF6B6E">
            <w:pPr>
              <w:pStyle w:val="2"/>
              <w:spacing w:line="400" w:lineRule="exact"/>
              <w:ind w:firstLine="480"/>
              <w:rPr>
                <w:rFonts w:hint="eastAsia" w:ascii="宋体" w:hAnsi="宋体" w:cs="宋体"/>
                <w:sz w:val="21"/>
                <w:szCs w:val="21"/>
              </w:rPr>
            </w:pPr>
            <w:r>
              <w:rPr>
                <w:rFonts w:ascii="宋体" w:hAnsi="宋体" w:cs="宋体"/>
                <w:sz w:val="21"/>
                <w:szCs w:val="21"/>
              </w:rPr>
              <w:t>（5）操作日志留痕：登录操作留痕、平台操作留痕、前端通讯报文留痕等。</w:t>
            </w:r>
          </w:p>
          <w:p w14:paraId="7C5615AF">
            <w:pPr>
              <w:pStyle w:val="2"/>
              <w:spacing w:line="400" w:lineRule="exact"/>
              <w:ind w:firstLine="480"/>
              <w:rPr>
                <w:rFonts w:hint="eastAsia" w:ascii="宋体" w:hAnsi="宋体" w:cs="宋体"/>
                <w:sz w:val="21"/>
                <w:szCs w:val="21"/>
              </w:rPr>
            </w:pPr>
            <w:r>
              <w:rPr>
                <w:rFonts w:ascii="宋体" w:hAnsi="宋体" w:cs="宋体"/>
                <w:sz w:val="21"/>
                <w:szCs w:val="21"/>
              </w:rPr>
              <w:t>（6）用户角色权限管理</w:t>
            </w:r>
            <w:r>
              <w:rPr>
                <w:rFonts w:hint="eastAsia" w:ascii="宋体" w:hAnsi="宋体" w:cs="宋体"/>
                <w:sz w:val="21"/>
                <w:szCs w:val="21"/>
              </w:rPr>
              <w:t>：管理用户和角色的权限</w:t>
            </w:r>
            <w:r>
              <w:rPr>
                <w:rFonts w:ascii="宋体" w:hAnsi="宋体" w:cs="宋体"/>
                <w:sz w:val="21"/>
                <w:szCs w:val="21"/>
              </w:rPr>
              <w:t>等。</w:t>
            </w:r>
          </w:p>
          <w:p w14:paraId="5D18DCC8">
            <w:pPr>
              <w:pStyle w:val="2"/>
              <w:spacing w:line="400" w:lineRule="exact"/>
              <w:ind w:firstLine="480"/>
              <w:rPr>
                <w:rFonts w:hint="eastAsia" w:ascii="宋体" w:hAnsi="宋体" w:cs="宋体"/>
                <w:sz w:val="21"/>
                <w:szCs w:val="21"/>
              </w:rPr>
            </w:pPr>
            <w:r>
              <w:rPr>
                <w:rFonts w:ascii="宋体" w:hAnsi="宋体" w:cs="宋体"/>
                <w:sz w:val="21"/>
                <w:szCs w:val="21"/>
              </w:rPr>
              <w:t>2.非现场监管执法</w:t>
            </w:r>
          </w:p>
          <w:p w14:paraId="79D5F06F">
            <w:pPr>
              <w:pStyle w:val="2"/>
              <w:spacing w:line="400" w:lineRule="exact"/>
              <w:ind w:firstLine="480"/>
              <w:rPr>
                <w:rFonts w:hint="eastAsia" w:ascii="宋体" w:hAnsi="宋体" w:cs="宋体"/>
                <w:sz w:val="21"/>
                <w:szCs w:val="21"/>
              </w:rPr>
            </w:pPr>
            <w:r>
              <w:rPr>
                <w:rFonts w:ascii="宋体" w:hAnsi="宋体" w:cs="宋体"/>
                <w:sz w:val="21"/>
                <w:szCs w:val="21"/>
              </w:rPr>
              <w:t>（1）企业精细化管理：数字站房可视化、站房设备运行、站房运维活动、站房门禁记录、站房行为视频、站房报警情况等。</w:t>
            </w:r>
          </w:p>
          <w:p w14:paraId="0555A381">
            <w:pPr>
              <w:pStyle w:val="2"/>
              <w:spacing w:line="400" w:lineRule="exact"/>
              <w:ind w:firstLine="480"/>
              <w:rPr>
                <w:rFonts w:hint="eastAsia" w:ascii="宋体" w:hAnsi="宋体" w:cs="宋体"/>
                <w:sz w:val="21"/>
                <w:szCs w:val="21"/>
              </w:rPr>
            </w:pPr>
            <w:r>
              <w:rPr>
                <w:rFonts w:ascii="宋体" w:hAnsi="宋体" w:cs="宋体"/>
                <w:sz w:val="21"/>
                <w:szCs w:val="21"/>
              </w:rPr>
              <w:t>（2）设备运行管理：支持对各种自动监测设备（如：水质采样单元、水质分析仪、流量计、气态污染物与氧含量分析仪、颗粒物分析仪等）运行全过程记录，需支持通过列表等方式进行查询，需支持根据时间、设备等进行筛选。（3）人员运维管理：对废水运维表单、废气运维表单等各类运维表单进行电子化管理。</w:t>
            </w:r>
          </w:p>
          <w:p w14:paraId="7E92C525">
            <w:pPr>
              <w:pStyle w:val="2"/>
              <w:spacing w:line="400" w:lineRule="exact"/>
              <w:ind w:firstLine="480"/>
              <w:rPr>
                <w:rFonts w:hint="eastAsia" w:ascii="宋体" w:hAnsi="宋体" w:cs="宋体"/>
                <w:sz w:val="21"/>
                <w:szCs w:val="21"/>
              </w:rPr>
            </w:pPr>
            <w:r>
              <w:rPr>
                <w:rFonts w:ascii="宋体" w:hAnsi="宋体" w:cs="宋体"/>
                <w:sz w:val="21"/>
                <w:szCs w:val="21"/>
              </w:rPr>
              <w:t>（4）违法违规管理：违法违规报警、违法违规AI证据链管理、执法管理工作台分析统计操作等。</w:t>
            </w:r>
          </w:p>
          <w:p w14:paraId="2F058704">
            <w:pPr>
              <w:pStyle w:val="2"/>
              <w:spacing w:line="400" w:lineRule="exact"/>
              <w:ind w:firstLine="480"/>
              <w:rPr>
                <w:rFonts w:hint="eastAsia" w:ascii="宋体" w:hAnsi="宋体" w:cs="宋体"/>
                <w:sz w:val="21"/>
                <w:szCs w:val="21"/>
              </w:rPr>
            </w:pPr>
            <w:r>
              <w:rPr>
                <w:rFonts w:ascii="宋体" w:hAnsi="宋体" w:cs="宋体"/>
                <w:sz w:val="21"/>
                <w:szCs w:val="21"/>
              </w:rPr>
              <w:t>（5</w:t>
            </w:r>
            <w:r>
              <w:rPr>
                <w:rFonts w:hint="eastAsia" w:ascii="宋体" w:hAnsi="宋体" w:cs="宋体"/>
                <w:sz w:val="21"/>
                <w:szCs w:val="21"/>
              </w:rPr>
              <w:t>）</w:t>
            </w:r>
            <w:r>
              <w:rPr>
                <w:rFonts w:ascii="宋体" w:hAnsi="宋体" w:cs="宋体"/>
                <w:sz w:val="21"/>
                <w:szCs w:val="21"/>
              </w:rPr>
              <w:t>数据质量管理：国标数据查询、废水采样数据查询、异常数据查询、数据报表、数据标记、数据自动审核、数据修约管理等。</w:t>
            </w:r>
          </w:p>
          <w:p w14:paraId="28CCEF10">
            <w:pPr>
              <w:pStyle w:val="2"/>
              <w:spacing w:line="400" w:lineRule="exact"/>
              <w:ind w:firstLine="480"/>
              <w:rPr>
                <w:rFonts w:hint="eastAsia" w:ascii="宋体" w:hAnsi="宋体" w:cs="宋体"/>
                <w:sz w:val="21"/>
                <w:szCs w:val="21"/>
              </w:rPr>
            </w:pPr>
            <w:r>
              <w:rPr>
                <w:rFonts w:ascii="宋体" w:hAnsi="宋体" w:cs="宋体"/>
                <w:sz w:val="21"/>
                <w:szCs w:val="21"/>
              </w:rPr>
              <w:t>（6）智能追溯报告：自动监测设备运行过程追溯、人员运维全过程追溯、违法违规线索报告、日数据追溯等。</w:t>
            </w:r>
          </w:p>
          <w:p w14:paraId="117D841B">
            <w:pPr>
              <w:pStyle w:val="2"/>
              <w:spacing w:line="400" w:lineRule="exact"/>
              <w:ind w:firstLine="480"/>
              <w:rPr>
                <w:rFonts w:hint="eastAsia" w:ascii="宋体" w:hAnsi="宋体" w:cs="宋体"/>
                <w:sz w:val="21"/>
                <w:szCs w:val="21"/>
              </w:rPr>
            </w:pPr>
            <w:r>
              <w:rPr>
                <w:rFonts w:ascii="宋体" w:hAnsi="宋体" w:cs="宋体"/>
                <w:sz w:val="21"/>
                <w:szCs w:val="21"/>
              </w:rPr>
              <w:t>（7）统计分析报告：自动监测设备运行多维度统计与分析、人员运维多维度统计与分析、违法违规行为多维度统计与分析、监测数据质量多维度统计与分析、企业运行情况多维度统计与分析等。</w:t>
            </w:r>
          </w:p>
          <w:p w14:paraId="33E8224B">
            <w:pPr>
              <w:pStyle w:val="2"/>
              <w:spacing w:line="400" w:lineRule="exact"/>
              <w:ind w:firstLine="480"/>
              <w:rPr>
                <w:rFonts w:hint="eastAsia" w:ascii="宋体" w:hAnsi="宋体" w:cs="宋体"/>
                <w:sz w:val="21"/>
                <w:szCs w:val="21"/>
              </w:rPr>
            </w:pPr>
            <w:r>
              <w:rPr>
                <w:rFonts w:ascii="宋体" w:hAnsi="宋体" w:cs="宋体"/>
                <w:sz w:val="21"/>
                <w:szCs w:val="21"/>
              </w:rPr>
              <w:t>（8）档案管理：企业档案、排口档案、设备档案、运维公司档案、运维工程师档案、用户档案等。</w:t>
            </w:r>
          </w:p>
          <w:p w14:paraId="6F3CDAC5">
            <w:pPr>
              <w:pStyle w:val="2"/>
              <w:spacing w:line="400" w:lineRule="exact"/>
              <w:ind w:firstLine="480"/>
              <w:rPr>
                <w:rFonts w:hint="eastAsia" w:ascii="宋体" w:hAnsi="宋体" w:cs="宋体"/>
                <w:sz w:val="21"/>
                <w:szCs w:val="21"/>
              </w:rPr>
            </w:pPr>
            <w:r>
              <w:rPr>
                <w:rFonts w:ascii="宋体" w:hAnsi="宋体" w:cs="宋体"/>
                <w:sz w:val="21"/>
                <w:szCs w:val="21"/>
              </w:rPr>
              <w:t>3.大数据决策</w:t>
            </w:r>
          </w:p>
          <w:p w14:paraId="7FD0DF59">
            <w:pPr>
              <w:pStyle w:val="2"/>
              <w:spacing w:line="400" w:lineRule="exact"/>
              <w:ind w:firstLine="480"/>
              <w:rPr>
                <w:rFonts w:hint="eastAsia" w:ascii="宋体" w:hAnsi="宋体" w:cs="宋体"/>
                <w:sz w:val="21"/>
                <w:szCs w:val="21"/>
              </w:rPr>
            </w:pPr>
            <w:r>
              <w:rPr>
                <w:rFonts w:ascii="宋体" w:hAnsi="宋体" w:cs="宋体"/>
                <w:sz w:val="21"/>
                <w:szCs w:val="21"/>
              </w:rPr>
              <w:t>（1）地图专题管理：按照行政区、排放类型、重点行业、流域、工业园区等维度形成污染源地图专题。</w:t>
            </w:r>
          </w:p>
          <w:p w14:paraId="12A9B300">
            <w:pPr>
              <w:pStyle w:val="2"/>
              <w:spacing w:line="400" w:lineRule="exact"/>
              <w:ind w:firstLine="480"/>
              <w:rPr>
                <w:rFonts w:hint="eastAsia" w:ascii="宋体" w:hAnsi="宋体" w:cs="宋体"/>
                <w:sz w:val="21"/>
                <w:szCs w:val="21"/>
              </w:rPr>
            </w:pPr>
            <w:r>
              <w:rPr>
                <w:rFonts w:ascii="宋体" w:hAnsi="宋体" w:cs="宋体"/>
                <w:sz w:val="21"/>
                <w:szCs w:val="21"/>
              </w:rPr>
              <w:t>（2）画像分析：针对排污单位、运维公司、仪器厂商各要素形成专题画像。</w:t>
            </w:r>
          </w:p>
          <w:p w14:paraId="2C5423F7">
            <w:pPr>
              <w:pStyle w:val="2"/>
              <w:spacing w:line="400" w:lineRule="exact"/>
              <w:ind w:firstLine="480"/>
              <w:rPr>
                <w:rFonts w:hint="eastAsia" w:ascii="宋体" w:hAnsi="宋体" w:cs="宋体"/>
                <w:sz w:val="21"/>
                <w:szCs w:val="21"/>
              </w:rPr>
            </w:pPr>
            <w:r>
              <w:rPr>
                <w:rFonts w:ascii="宋体" w:hAnsi="宋体" w:cs="宋体"/>
                <w:sz w:val="21"/>
                <w:szCs w:val="21"/>
              </w:rPr>
              <w:t>（3）污染贡献分析：流域污染贡献分析、工业废气贡献分析等。</w:t>
            </w:r>
          </w:p>
          <w:p w14:paraId="14702172">
            <w:pPr>
              <w:pStyle w:val="2"/>
              <w:spacing w:line="400" w:lineRule="exact"/>
              <w:ind w:firstLine="480"/>
              <w:rPr>
                <w:rFonts w:hint="eastAsia" w:ascii="宋体" w:hAnsi="宋体" w:cs="宋体"/>
                <w:sz w:val="21"/>
                <w:szCs w:val="21"/>
              </w:rPr>
            </w:pPr>
            <w:r>
              <w:rPr>
                <w:rFonts w:ascii="宋体" w:hAnsi="宋体" w:cs="宋体"/>
                <w:sz w:val="21"/>
                <w:szCs w:val="21"/>
              </w:rPr>
              <w:t>4.智慧环保</w:t>
            </w:r>
          </w:p>
          <w:p w14:paraId="36C23EC2">
            <w:pPr>
              <w:pStyle w:val="2"/>
              <w:spacing w:line="400" w:lineRule="exact"/>
              <w:ind w:firstLine="480"/>
              <w:rPr>
                <w:rFonts w:hint="eastAsia" w:ascii="宋体" w:hAnsi="宋体" w:cs="宋体"/>
                <w:sz w:val="21"/>
                <w:szCs w:val="21"/>
              </w:rPr>
            </w:pPr>
            <w:r>
              <w:rPr>
                <w:rFonts w:ascii="宋体" w:hAnsi="宋体" w:cs="宋体"/>
                <w:sz w:val="21"/>
                <w:szCs w:val="21"/>
              </w:rPr>
              <w:t>（1）信息查看服务</w:t>
            </w:r>
          </w:p>
          <w:p w14:paraId="27D1FFA1">
            <w:pPr>
              <w:pStyle w:val="2"/>
              <w:spacing w:line="400" w:lineRule="exact"/>
              <w:ind w:firstLine="480"/>
              <w:rPr>
                <w:rFonts w:hint="eastAsia" w:ascii="宋体" w:hAnsi="宋体" w:cs="宋体"/>
                <w:sz w:val="21"/>
                <w:szCs w:val="21"/>
              </w:rPr>
            </w:pPr>
            <w:r>
              <w:rPr>
                <w:rFonts w:ascii="宋体" w:hAnsi="宋体" w:cs="宋体"/>
                <w:sz w:val="21"/>
                <w:szCs w:val="21"/>
              </w:rPr>
              <w:t>实现查看企业信息、自动监测设备运行情况、运维表单、监测数据等信息。</w:t>
            </w:r>
          </w:p>
          <w:p w14:paraId="01ACD847">
            <w:pPr>
              <w:pStyle w:val="2"/>
              <w:spacing w:line="400" w:lineRule="exact"/>
              <w:ind w:firstLine="480"/>
              <w:rPr>
                <w:rFonts w:hint="eastAsia" w:ascii="宋体" w:hAnsi="宋体" w:cs="宋体"/>
                <w:sz w:val="21"/>
                <w:szCs w:val="21"/>
              </w:rPr>
            </w:pPr>
            <w:r>
              <w:rPr>
                <w:rFonts w:ascii="宋体" w:hAnsi="宋体" w:cs="宋体"/>
                <w:sz w:val="21"/>
                <w:szCs w:val="21"/>
              </w:rPr>
              <w:t>（2）预警管理服务：报警包含监测数据异常、设备运行异常、不规范运维、设备通讯异常等。</w:t>
            </w:r>
          </w:p>
          <w:p w14:paraId="5569B086">
            <w:pPr>
              <w:pStyle w:val="2"/>
              <w:spacing w:line="400" w:lineRule="exact"/>
              <w:ind w:firstLine="480"/>
              <w:rPr>
                <w:rFonts w:hint="eastAsia" w:ascii="宋体" w:hAnsi="宋体" w:cs="宋体"/>
                <w:sz w:val="21"/>
                <w:szCs w:val="21"/>
              </w:rPr>
            </w:pPr>
            <w:r>
              <w:rPr>
                <w:rFonts w:ascii="宋体" w:hAnsi="宋体" w:cs="宋体"/>
                <w:sz w:val="21"/>
                <w:szCs w:val="21"/>
              </w:rPr>
              <w:t>（3）企业运行分析：实现通过运维报警统计、设备运行分析、分析仪器运维分析、门禁操作分析等多维度分析，帮助排污单位掌握站房运行情况。</w:t>
            </w:r>
          </w:p>
          <w:p w14:paraId="24C1FA5B">
            <w:pPr>
              <w:pStyle w:val="2"/>
              <w:spacing w:line="400" w:lineRule="exact"/>
              <w:ind w:firstLine="480"/>
              <w:rPr>
                <w:rFonts w:hint="eastAsia" w:ascii="宋体" w:hAnsi="宋体" w:cs="宋体"/>
                <w:sz w:val="21"/>
                <w:szCs w:val="21"/>
              </w:rPr>
            </w:pPr>
            <w:r>
              <w:rPr>
                <w:rFonts w:ascii="宋体" w:hAnsi="宋体" w:cs="宋体"/>
                <w:sz w:val="21"/>
                <w:szCs w:val="21"/>
              </w:rPr>
              <w:t>5.智慧运维</w:t>
            </w:r>
          </w:p>
          <w:p w14:paraId="2F41FEE0">
            <w:pPr>
              <w:pStyle w:val="2"/>
              <w:spacing w:line="400" w:lineRule="exact"/>
              <w:ind w:firstLine="480"/>
              <w:rPr>
                <w:rFonts w:hint="eastAsia" w:ascii="宋体" w:hAnsi="宋体" w:cs="宋体"/>
                <w:sz w:val="21"/>
                <w:szCs w:val="21"/>
              </w:rPr>
            </w:pPr>
            <w:r>
              <w:rPr>
                <w:rFonts w:ascii="宋体" w:hAnsi="宋体" w:cs="宋体"/>
                <w:sz w:val="21"/>
                <w:szCs w:val="21"/>
              </w:rPr>
              <w:t>（1）运维活动管理：运维活动全过程留痕、运维工作台、运维活动管理、运维报警管理、运维任务管理、运维人员位置显示等。</w:t>
            </w:r>
          </w:p>
          <w:p w14:paraId="5427DFFC">
            <w:pPr>
              <w:pStyle w:val="2"/>
              <w:spacing w:line="400" w:lineRule="exact"/>
              <w:ind w:firstLine="480"/>
              <w:rPr>
                <w:rFonts w:hint="eastAsia" w:ascii="宋体" w:hAnsi="宋体" w:cs="宋体"/>
                <w:sz w:val="21"/>
                <w:szCs w:val="21"/>
              </w:rPr>
            </w:pPr>
            <w:r>
              <w:rPr>
                <w:rFonts w:ascii="宋体" w:hAnsi="宋体" w:cs="宋体"/>
                <w:sz w:val="21"/>
                <w:szCs w:val="21"/>
              </w:rPr>
              <w:t>（2）运维统计分析：运维人员考评、运维投入分析等。（3）运维辅助信息：运维公司信息一览运维排口信息查看、运维公司与人员信息管理、运维知识中心管理。</w:t>
            </w:r>
          </w:p>
          <w:p w14:paraId="3E8F6191">
            <w:pPr>
              <w:pStyle w:val="2"/>
              <w:spacing w:line="400" w:lineRule="exact"/>
              <w:ind w:firstLine="480"/>
              <w:rPr>
                <w:rFonts w:hint="eastAsia" w:ascii="宋体" w:hAnsi="宋体" w:cs="宋体"/>
                <w:sz w:val="21"/>
                <w:szCs w:val="21"/>
              </w:rPr>
            </w:pPr>
            <w:r>
              <w:rPr>
                <w:rFonts w:ascii="宋体" w:hAnsi="宋体" w:cs="宋体"/>
                <w:sz w:val="21"/>
                <w:szCs w:val="21"/>
              </w:rPr>
              <w:t>6.移动端功能应用</w:t>
            </w:r>
          </w:p>
          <w:p w14:paraId="1D1B4451">
            <w:pPr>
              <w:pStyle w:val="2"/>
              <w:spacing w:line="400" w:lineRule="exact"/>
              <w:ind w:firstLine="480"/>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w:t>
            </w:r>
            <w:r>
              <w:rPr>
                <w:rFonts w:ascii="宋体" w:hAnsi="宋体" w:cs="宋体"/>
                <w:sz w:val="21"/>
                <w:szCs w:val="21"/>
              </w:rPr>
              <w:t>智执法</w:t>
            </w:r>
            <w:r>
              <w:rPr>
                <w:rFonts w:hint="eastAsia" w:ascii="宋体" w:hAnsi="宋体" w:cs="宋体"/>
                <w:sz w:val="21"/>
                <w:szCs w:val="21"/>
              </w:rPr>
              <w:t>”</w:t>
            </w:r>
            <w:r>
              <w:rPr>
                <w:rFonts w:ascii="宋体" w:hAnsi="宋体" w:cs="宋体"/>
                <w:sz w:val="21"/>
                <w:szCs w:val="21"/>
              </w:rPr>
              <w:t>服务：违法违规报警与证据链信息接收、执法工作台、执法导航、笔录制作与上传、企业信息查看等。</w:t>
            </w:r>
          </w:p>
          <w:p w14:paraId="696B6A7D">
            <w:pPr>
              <w:pStyle w:val="2"/>
              <w:spacing w:line="400" w:lineRule="exact"/>
              <w:ind w:firstLine="480"/>
              <w:rPr>
                <w:rFonts w:hint="eastAsia" w:ascii="宋体" w:hAnsi="宋体" w:cs="宋体"/>
                <w:sz w:val="21"/>
                <w:szCs w:val="21"/>
              </w:rPr>
            </w:pPr>
            <w:r>
              <w:rPr>
                <w:rFonts w:ascii="宋体" w:hAnsi="宋体" w:cs="宋体"/>
                <w:sz w:val="21"/>
                <w:szCs w:val="21"/>
              </w:rPr>
              <w:t>（2）</w:t>
            </w:r>
            <w:r>
              <w:rPr>
                <w:rFonts w:hint="eastAsia" w:ascii="宋体" w:hAnsi="宋体" w:cs="宋体"/>
                <w:sz w:val="21"/>
                <w:szCs w:val="21"/>
              </w:rPr>
              <w:t>“</w:t>
            </w:r>
            <w:r>
              <w:rPr>
                <w:rFonts w:ascii="宋体" w:hAnsi="宋体" w:cs="宋体"/>
                <w:sz w:val="21"/>
                <w:szCs w:val="21"/>
              </w:rPr>
              <w:t>智企业</w:t>
            </w:r>
            <w:r>
              <w:rPr>
                <w:rFonts w:hint="eastAsia" w:ascii="宋体" w:hAnsi="宋体" w:cs="宋体"/>
                <w:sz w:val="21"/>
                <w:szCs w:val="21"/>
              </w:rPr>
              <w:t>”</w:t>
            </w:r>
            <w:r>
              <w:rPr>
                <w:rFonts w:ascii="宋体" w:hAnsi="宋体" w:cs="宋体"/>
                <w:sz w:val="21"/>
                <w:szCs w:val="21"/>
              </w:rPr>
              <w:t>服务：企业报警接收、企业任务提醒、数据查看等。</w:t>
            </w:r>
          </w:p>
          <w:p w14:paraId="5A45194C">
            <w:pPr>
              <w:pStyle w:val="2"/>
              <w:spacing w:line="400" w:lineRule="exact"/>
              <w:ind w:firstLine="480"/>
              <w:rPr>
                <w:rFonts w:hint="eastAsia" w:ascii="宋体" w:hAnsi="宋体" w:cs="宋体"/>
                <w:sz w:val="21"/>
                <w:szCs w:val="21"/>
              </w:rPr>
            </w:pPr>
            <w:r>
              <w:rPr>
                <w:rFonts w:ascii="宋体" w:hAnsi="宋体" w:cs="宋体"/>
                <w:sz w:val="21"/>
                <w:szCs w:val="21"/>
              </w:rPr>
              <w:t>（3）</w:t>
            </w:r>
            <w:r>
              <w:rPr>
                <w:rFonts w:hint="eastAsia" w:ascii="宋体" w:hAnsi="宋体" w:cs="宋体"/>
                <w:sz w:val="21"/>
                <w:szCs w:val="21"/>
              </w:rPr>
              <w:t>“</w:t>
            </w:r>
            <w:r>
              <w:rPr>
                <w:rFonts w:ascii="宋体" w:hAnsi="宋体" w:cs="宋体"/>
                <w:sz w:val="21"/>
                <w:szCs w:val="21"/>
              </w:rPr>
              <w:t>智运维</w:t>
            </w:r>
            <w:r>
              <w:rPr>
                <w:rFonts w:hint="eastAsia" w:ascii="宋体" w:hAnsi="宋体" w:cs="宋体"/>
                <w:sz w:val="21"/>
                <w:szCs w:val="21"/>
              </w:rPr>
              <w:t>”</w:t>
            </w:r>
            <w:r>
              <w:rPr>
                <w:rFonts w:ascii="宋体" w:hAnsi="宋体" w:cs="宋体"/>
                <w:sz w:val="21"/>
                <w:szCs w:val="21"/>
              </w:rPr>
              <w:t>服务：运维到期提醒、运维报警推送、运维任务提醒、运维工作台、运维签到-签退、运维表单填写等。</w:t>
            </w:r>
          </w:p>
          <w:p w14:paraId="535AF277">
            <w:pPr>
              <w:pStyle w:val="2"/>
              <w:spacing w:line="400" w:lineRule="exact"/>
              <w:ind w:firstLine="480"/>
              <w:rPr>
                <w:rFonts w:hint="eastAsia" w:ascii="宋体" w:hAnsi="宋体" w:cs="宋体"/>
                <w:sz w:val="21"/>
                <w:szCs w:val="21"/>
              </w:rPr>
            </w:pPr>
            <w:r>
              <w:rPr>
                <w:rFonts w:ascii="宋体" w:hAnsi="宋体" w:cs="宋体"/>
                <w:sz w:val="21"/>
                <w:szCs w:val="21"/>
              </w:rPr>
              <w:t>▲（五）生态环境执法视频监控功能重构</w:t>
            </w:r>
          </w:p>
          <w:p w14:paraId="1841EE1D">
            <w:pPr>
              <w:pStyle w:val="2"/>
              <w:spacing w:line="400" w:lineRule="exact"/>
              <w:ind w:firstLine="480"/>
              <w:rPr>
                <w:rFonts w:hint="eastAsia" w:ascii="宋体" w:hAnsi="宋体" w:cs="宋体"/>
                <w:sz w:val="21"/>
                <w:szCs w:val="21"/>
              </w:rPr>
            </w:pPr>
            <w:r>
              <w:rPr>
                <w:rFonts w:ascii="宋体" w:hAnsi="宋体" w:cs="宋体"/>
                <w:sz w:val="21"/>
                <w:szCs w:val="21"/>
              </w:rPr>
              <w:t>对广西生态执法视频监控平台进行升级改造，</w:t>
            </w:r>
            <w:r>
              <w:rPr>
                <w:rFonts w:hint="eastAsia" w:ascii="宋体" w:hAnsi="宋体" w:cs="宋体"/>
                <w:sz w:val="21"/>
                <w:szCs w:val="21"/>
              </w:rPr>
              <w:t>形成全区</w:t>
            </w:r>
            <w:r>
              <w:rPr>
                <w:rFonts w:ascii="宋体" w:hAnsi="宋体" w:cs="宋体"/>
                <w:sz w:val="21"/>
                <w:szCs w:val="21"/>
              </w:rPr>
              <w:t>统一</w:t>
            </w:r>
            <w:r>
              <w:rPr>
                <w:rFonts w:hint="eastAsia" w:ascii="宋体" w:hAnsi="宋体" w:cs="宋体"/>
                <w:sz w:val="21"/>
                <w:szCs w:val="21"/>
              </w:rPr>
              <w:t>的生态环境视频监控</w:t>
            </w:r>
            <w:r>
              <w:rPr>
                <w:rFonts w:ascii="宋体" w:hAnsi="宋体" w:cs="宋体"/>
                <w:sz w:val="21"/>
                <w:szCs w:val="21"/>
              </w:rPr>
              <w:t>技术平台</w:t>
            </w:r>
            <w:r>
              <w:rPr>
                <w:rFonts w:hint="eastAsia" w:ascii="宋体" w:hAnsi="宋体" w:cs="宋体"/>
                <w:sz w:val="21"/>
                <w:szCs w:val="21"/>
              </w:rPr>
              <w:t>。</w:t>
            </w:r>
            <w:r>
              <w:rPr>
                <w:rFonts w:ascii="宋体" w:hAnsi="宋体" w:cs="宋体"/>
                <w:sz w:val="21"/>
                <w:szCs w:val="21"/>
              </w:rPr>
              <w:t>主要实现以下目的：</w:t>
            </w:r>
          </w:p>
          <w:p w14:paraId="7F43384C">
            <w:pPr>
              <w:pStyle w:val="2"/>
              <w:spacing w:line="400" w:lineRule="exact"/>
              <w:ind w:firstLine="480"/>
              <w:rPr>
                <w:rFonts w:hint="eastAsia" w:ascii="宋体" w:hAnsi="宋体" w:cs="宋体"/>
                <w:sz w:val="21"/>
                <w:szCs w:val="21"/>
              </w:rPr>
            </w:pPr>
            <w:r>
              <w:rPr>
                <w:rFonts w:ascii="宋体" w:hAnsi="宋体" w:cs="宋体"/>
                <w:sz w:val="21"/>
                <w:szCs w:val="21"/>
              </w:rPr>
              <w:t>通过接入</w:t>
            </w:r>
            <w:r>
              <w:rPr>
                <w:rFonts w:hint="eastAsia" w:ascii="宋体" w:hAnsi="宋体" w:cs="宋体"/>
                <w:sz w:val="21"/>
                <w:szCs w:val="21"/>
              </w:rPr>
              <w:t>全区生态环境监管涉及的所有摄像头，如</w:t>
            </w:r>
            <w:r>
              <w:rPr>
                <w:rFonts w:ascii="宋体" w:hAnsi="宋体" w:cs="宋体"/>
                <w:sz w:val="21"/>
                <w:szCs w:val="21"/>
              </w:rPr>
              <w:t>在线监控、生态云、站点门禁等多方面非现场监管数据，结合数据分析模型对数据进行分析，形成包括视频监控线索、生态云线索、抓拍图片线索等在内的多类型、多方式的预警线索分析能力，深化非现场监管能力应用，满足环境执法信息化需求，提高环境执法工作水平。</w:t>
            </w:r>
          </w:p>
          <w:p w14:paraId="0F75BEB5">
            <w:pPr>
              <w:pStyle w:val="2"/>
              <w:spacing w:line="400" w:lineRule="exact"/>
              <w:ind w:firstLine="480"/>
              <w:rPr>
                <w:rFonts w:hint="eastAsia" w:ascii="宋体" w:hAnsi="宋体" w:cs="宋体"/>
                <w:sz w:val="21"/>
                <w:szCs w:val="21"/>
              </w:rPr>
            </w:pPr>
            <w:r>
              <w:rPr>
                <w:rFonts w:ascii="宋体" w:hAnsi="宋体" w:cs="宋体"/>
                <w:sz w:val="21"/>
                <w:szCs w:val="21"/>
              </w:rPr>
              <w:t>完成</w:t>
            </w:r>
            <w:r>
              <w:rPr>
                <w:rFonts w:hint="eastAsia" w:ascii="宋体" w:hAnsi="宋体" w:cs="宋体"/>
                <w:sz w:val="21"/>
                <w:szCs w:val="21"/>
              </w:rPr>
              <w:t>国产技术栈</w:t>
            </w:r>
            <w:r>
              <w:rPr>
                <w:rFonts w:ascii="宋体" w:hAnsi="宋体" w:cs="宋体"/>
                <w:sz w:val="21"/>
                <w:szCs w:val="21"/>
              </w:rPr>
              <w:t>改造，现有数据和业务流程不变，展示效果适当优化的前提下进行，确保改造后的系统兼容主流的国产操作系统、或开源数据库（遵循SQL国际标准），实现信息系统在国产操作系统环境下平稳运行。</w:t>
            </w:r>
          </w:p>
          <w:p w14:paraId="2BCF9EDC">
            <w:pPr>
              <w:pStyle w:val="2"/>
              <w:spacing w:line="400" w:lineRule="exact"/>
              <w:ind w:firstLine="480"/>
              <w:rPr>
                <w:rFonts w:hint="eastAsia" w:ascii="宋体" w:hAnsi="宋体" w:cs="宋体"/>
                <w:sz w:val="21"/>
                <w:szCs w:val="21"/>
              </w:rPr>
            </w:pPr>
            <w:r>
              <w:rPr>
                <w:rFonts w:ascii="宋体" w:hAnsi="宋体" w:cs="宋体"/>
                <w:sz w:val="21"/>
                <w:szCs w:val="21"/>
              </w:rPr>
              <w:t>1.监控平台用户管理：与</w:t>
            </w:r>
            <w:r>
              <w:rPr>
                <w:rFonts w:hint="eastAsia" w:ascii="宋体" w:hAnsi="宋体" w:cs="宋体"/>
                <w:sz w:val="21"/>
                <w:szCs w:val="21"/>
              </w:rPr>
              <w:t>广西“生态云”统一支撑平台</w:t>
            </w:r>
            <w:r>
              <w:rPr>
                <w:rFonts w:ascii="宋体" w:hAnsi="宋体" w:cs="宋体"/>
                <w:sz w:val="21"/>
                <w:szCs w:val="21"/>
              </w:rPr>
              <w:t>进行对接，调用</w:t>
            </w:r>
            <w:r>
              <w:rPr>
                <w:rFonts w:hint="eastAsia" w:ascii="宋体" w:hAnsi="宋体" w:cs="宋体"/>
                <w:sz w:val="21"/>
                <w:szCs w:val="21"/>
              </w:rPr>
              <w:t>支撑平台</w:t>
            </w:r>
            <w:r>
              <w:rPr>
                <w:rFonts w:ascii="宋体" w:hAnsi="宋体" w:cs="宋体"/>
                <w:sz w:val="21"/>
                <w:szCs w:val="21"/>
              </w:rPr>
              <w:t>的用户管理、统一认证能力，提供用户管理、组织管理、角色管理、权限管理功能。</w:t>
            </w:r>
          </w:p>
          <w:p w14:paraId="7B7A1123">
            <w:pPr>
              <w:pStyle w:val="2"/>
              <w:spacing w:line="400" w:lineRule="exact"/>
              <w:ind w:firstLine="480"/>
              <w:rPr>
                <w:rFonts w:hint="eastAsia" w:ascii="宋体" w:hAnsi="宋体" w:cs="宋体"/>
                <w:sz w:val="21"/>
                <w:szCs w:val="21"/>
              </w:rPr>
            </w:pPr>
            <w:r>
              <w:rPr>
                <w:rFonts w:ascii="宋体" w:hAnsi="宋体" w:cs="宋体"/>
                <w:sz w:val="21"/>
                <w:szCs w:val="21"/>
              </w:rPr>
              <w:t>2.监控平台资源管理：区域目录管理、资源检索管理、资源上图、资源搜索等。</w:t>
            </w:r>
          </w:p>
          <w:p w14:paraId="77955914">
            <w:pPr>
              <w:pStyle w:val="2"/>
              <w:spacing w:line="400" w:lineRule="exact"/>
              <w:ind w:firstLine="480"/>
              <w:rPr>
                <w:rFonts w:hint="eastAsia" w:ascii="宋体" w:hAnsi="宋体" w:cs="宋体"/>
                <w:sz w:val="21"/>
                <w:szCs w:val="21"/>
              </w:rPr>
            </w:pPr>
            <w:r>
              <w:rPr>
                <w:rFonts w:ascii="宋体" w:hAnsi="宋体" w:cs="宋体"/>
                <w:sz w:val="21"/>
                <w:szCs w:val="21"/>
              </w:rPr>
              <w:t>3.监控平台设备管理：设备驱动管理、设备接入扩容管理等。</w:t>
            </w:r>
          </w:p>
          <w:p w14:paraId="2F0A8D55">
            <w:pPr>
              <w:pStyle w:val="2"/>
              <w:spacing w:line="400" w:lineRule="exact"/>
              <w:ind w:firstLine="480"/>
              <w:rPr>
                <w:rFonts w:hint="eastAsia" w:ascii="宋体" w:hAnsi="宋体" w:cs="宋体"/>
                <w:sz w:val="21"/>
                <w:szCs w:val="21"/>
              </w:rPr>
            </w:pPr>
            <w:r>
              <w:rPr>
                <w:rFonts w:ascii="宋体" w:hAnsi="宋体" w:cs="宋体"/>
                <w:sz w:val="21"/>
                <w:szCs w:val="21"/>
              </w:rPr>
              <w:t>4.视频级联管理：视频级联接入、级联视频预览及回放等。</w:t>
            </w:r>
          </w:p>
          <w:p w14:paraId="4B9ABF6A">
            <w:pPr>
              <w:pStyle w:val="2"/>
              <w:spacing w:line="400" w:lineRule="exact"/>
              <w:ind w:firstLine="480"/>
              <w:rPr>
                <w:rFonts w:hint="eastAsia" w:ascii="宋体" w:hAnsi="宋体" w:cs="宋体"/>
                <w:sz w:val="21"/>
                <w:szCs w:val="21"/>
              </w:rPr>
            </w:pPr>
            <w:r>
              <w:rPr>
                <w:rFonts w:ascii="宋体" w:hAnsi="宋体" w:cs="宋体"/>
                <w:sz w:val="21"/>
                <w:szCs w:val="21"/>
              </w:rPr>
              <w:t>5.视频基础应用：视频预览回放、视频布局、视频控制等。</w:t>
            </w:r>
          </w:p>
          <w:p w14:paraId="3FFCB737">
            <w:pPr>
              <w:pStyle w:val="2"/>
              <w:spacing w:line="400" w:lineRule="exact"/>
              <w:ind w:firstLine="480"/>
              <w:rPr>
                <w:rFonts w:hint="eastAsia" w:ascii="宋体" w:hAnsi="宋体" w:cs="宋体"/>
                <w:sz w:val="21"/>
                <w:szCs w:val="21"/>
              </w:rPr>
            </w:pPr>
            <w:r>
              <w:rPr>
                <w:rFonts w:ascii="宋体" w:hAnsi="宋体" w:cs="宋体"/>
                <w:sz w:val="21"/>
                <w:szCs w:val="21"/>
              </w:rPr>
              <w:t>6.门禁系统管理：门禁权限管理、门禁事件管理、门禁状态查看及远程控制、人员出入记录等。</w:t>
            </w:r>
          </w:p>
          <w:p w14:paraId="6A62E042">
            <w:pPr>
              <w:pStyle w:val="2"/>
              <w:spacing w:line="400" w:lineRule="exact"/>
              <w:ind w:firstLine="480"/>
              <w:rPr>
                <w:rFonts w:hint="eastAsia" w:ascii="宋体" w:hAnsi="宋体" w:cs="宋体"/>
                <w:sz w:val="21"/>
                <w:szCs w:val="21"/>
              </w:rPr>
            </w:pPr>
            <w:r>
              <w:rPr>
                <w:rFonts w:ascii="宋体" w:hAnsi="宋体" w:cs="宋体"/>
                <w:sz w:val="21"/>
                <w:szCs w:val="21"/>
              </w:rPr>
              <w:t>7.视频智能应用：智能事件管理、研判统计等。</w:t>
            </w:r>
          </w:p>
          <w:p w14:paraId="5460D938">
            <w:pPr>
              <w:pStyle w:val="2"/>
              <w:spacing w:line="400" w:lineRule="exact"/>
              <w:ind w:firstLine="480"/>
              <w:rPr>
                <w:rFonts w:hint="eastAsia" w:ascii="宋体" w:hAnsi="宋体" w:cs="宋体"/>
                <w:sz w:val="21"/>
                <w:szCs w:val="21"/>
              </w:rPr>
            </w:pPr>
            <w:r>
              <w:rPr>
                <w:rFonts w:hint="eastAsia" w:ascii="宋体" w:hAnsi="宋体" w:cs="宋体"/>
                <w:sz w:val="21"/>
                <w:szCs w:val="21"/>
              </w:rPr>
              <w:t>8.支持国内摄像头通用协议，不限制接入的摄像头数量，可实现远程操控、摄像头管理(增删改、是否在线等)等功能，需将以上功能和摄像头调用功能提供API接口供生态云各应用系统进行调用。</w:t>
            </w:r>
          </w:p>
          <w:p w14:paraId="15EC8F70">
            <w:pPr>
              <w:pStyle w:val="2"/>
              <w:spacing w:line="400" w:lineRule="exact"/>
              <w:ind w:firstLine="480"/>
              <w:rPr>
                <w:rFonts w:hint="eastAsia" w:ascii="宋体" w:hAnsi="宋体" w:cs="宋体"/>
                <w:sz w:val="21"/>
                <w:szCs w:val="21"/>
              </w:rPr>
            </w:pPr>
            <w:r>
              <w:rPr>
                <w:rFonts w:ascii="宋体" w:hAnsi="宋体" w:cs="宋体"/>
                <w:sz w:val="21"/>
                <w:szCs w:val="21"/>
              </w:rPr>
              <w:t>▲二、“帮企减污”应用</w:t>
            </w:r>
          </w:p>
          <w:p w14:paraId="0BDC8ABC">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067F1CB7">
            <w:pPr>
              <w:pStyle w:val="2"/>
              <w:spacing w:line="400" w:lineRule="exact"/>
              <w:ind w:firstLine="480"/>
              <w:rPr>
                <w:rFonts w:hint="eastAsia" w:ascii="宋体" w:hAnsi="宋体" w:cs="宋体"/>
                <w:sz w:val="21"/>
                <w:szCs w:val="21"/>
              </w:rPr>
            </w:pPr>
            <w:r>
              <w:rPr>
                <w:rFonts w:ascii="宋体" w:hAnsi="宋体" w:cs="宋体"/>
                <w:sz w:val="21"/>
                <w:szCs w:val="21"/>
              </w:rPr>
              <w:t>对</w:t>
            </w:r>
            <w:r>
              <w:rPr>
                <w:rFonts w:hint="eastAsia" w:ascii="宋体" w:hAnsi="宋体" w:cs="宋体"/>
                <w:sz w:val="21"/>
                <w:szCs w:val="21"/>
              </w:rPr>
              <w:t>“</w:t>
            </w:r>
            <w:r>
              <w:rPr>
                <w:rFonts w:ascii="宋体" w:hAnsi="宋体" w:cs="宋体"/>
                <w:sz w:val="21"/>
                <w:szCs w:val="21"/>
              </w:rPr>
              <w:t>帮企减污</w:t>
            </w:r>
            <w:r>
              <w:rPr>
                <w:rFonts w:hint="eastAsia" w:ascii="宋体" w:hAnsi="宋体" w:cs="宋体"/>
                <w:sz w:val="21"/>
                <w:szCs w:val="21"/>
              </w:rPr>
              <w:t>”</w:t>
            </w:r>
            <w:r>
              <w:rPr>
                <w:rFonts w:ascii="宋体" w:hAnsi="宋体" w:cs="宋体"/>
                <w:sz w:val="21"/>
                <w:szCs w:val="21"/>
              </w:rPr>
              <w:t>系统现有功能进行重构，主要包括功能逻辑，功能界面重构以及利用开源自主可控平台的重新开发，一方面是完成</w:t>
            </w:r>
            <w:r>
              <w:rPr>
                <w:rFonts w:hint="eastAsia" w:ascii="宋体" w:hAnsi="宋体" w:cs="宋体"/>
                <w:sz w:val="21"/>
                <w:szCs w:val="21"/>
              </w:rPr>
              <w:t>国产技术栈</w:t>
            </w:r>
            <w:r>
              <w:rPr>
                <w:rFonts w:ascii="宋体" w:hAnsi="宋体" w:cs="宋体"/>
                <w:sz w:val="21"/>
                <w:szCs w:val="21"/>
              </w:rPr>
              <w:t>改造，现有数据和业务流程不变，展示效果适当优化的前提下进行，确保改造后的系统兼容主流的国产操作系统、或开源数据库（遵循SQL国际标准），实现信息系统在国产操作系统环境下平稳运行。</w:t>
            </w:r>
          </w:p>
          <w:p w14:paraId="78F2E596">
            <w:pPr>
              <w:pStyle w:val="2"/>
              <w:spacing w:line="400" w:lineRule="exact"/>
              <w:ind w:firstLine="480"/>
              <w:rPr>
                <w:rFonts w:hint="eastAsia" w:ascii="宋体" w:hAnsi="宋体" w:cs="宋体"/>
                <w:sz w:val="21"/>
                <w:szCs w:val="21"/>
              </w:rPr>
            </w:pPr>
            <w:r>
              <w:rPr>
                <w:rFonts w:ascii="宋体" w:hAnsi="宋体" w:cs="宋体"/>
                <w:sz w:val="21"/>
                <w:szCs w:val="21"/>
              </w:rPr>
              <w:t>应用需按照广西生态环境业务应用系统的总体架构要求，将“帮企减污”应用的功能模块进行逻辑分组重建，利用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w:t>
            </w:r>
          </w:p>
          <w:p w14:paraId="176B3015">
            <w:pPr>
              <w:pStyle w:val="2"/>
              <w:spacing w:line="400" w:lineRule="exact"/>
              <w:ind w:firstLine="480"/>
              <w:rPr>
                <w:rFonts w:hint="eastAsia" w:ascii="宋体" w:hAnsi="宋体" w:cs="宋体"/>
                <w:sz w:val="21"/>
                <w:szCs w:val="21"/>
              </w:rPr>
            </w:pPr>
            <w:r>
              <w:rPr>
                <w:rFonts w:ascii="宋体" w:hAnsi="宋体" w:cs="宋体"/>
                <w:sz w:val="21"/>
                <w:szCs w:val="21"/>
              </w:rPr>
              <w:t>▲（二）“帮企减污”应用功能重构。</w:t>
            </w:r>
          </w:p>
          <w:p w14:paraId="50DAA119">
            <w:pPr>
              <w:pStyle w:val="2"/>
              <w:spacing w:line="400" w:lineRule="exact"/>
              <w:ind w:firstLine="480"/>
              <w:rPr>
                <w:rFonts w:hint="eastAsia" w:ascii="宋体" w:hAnsi="宋体" w:cs="宋体"/>
                <w:sz w:val="21"/>
                <w:szCs w:val="21"/>
              </w:rPr>
            </w:pPr>
            <w:r>
              <w:rPr>
                <w:rFonts w:ascii="宋体" w:hAnsi="宋体" w:cs="宋体"/>
                <w:sz w:val="21"/>
                <w:szCs w:val="21"/>
              </w:rPr>
              <w:t>1.系统首页</w:t>
            </w:r>
          </w:p>
          <w:p w14:paraId="2C2BB5C3">
            <w:pPr>
              <w:pStyle w:val="2"/>
              <w:spacing w:line="400" w:lineRule="exact"/>
              <w:ind w:firstLine="480"/>
              <w:rPr>
                <w:rFonts w:hint="eastAsia" w:ascii="宋体" w:hAnsi="宋体" w:cs="宋体"/>
                <w:sz w:val="21"/>
                <w:szCs w:val="21"/>
              </w:rPr>
            </w:pPr>
            <w:r>
              <w:rPr>
                <w:rFonts w:ascii="宋体" w:hAnsi="宋体" w:cs="宋体"/>
                <w:sz w:val="21"/>
                <w:szCs w:val="21"/>
              </w:rPr>
              <w:t>（1）成果展示（服务企业、发布需求、对接次数）、要闻动态、活动广场、供需发布（治理需求、产品供给、技术供给、项目供给）、科技资源（政策聚焦、标准规范、技术目录）、对接动态、友情链接等。</w:t>
            </w:r>
          </w:p>
          <w:p w14:paraId="6B6C20A4">
            <w:pPr>
              <w:pStyle w:val="2"/>
              <w:spacing w:line="400" w:lineRule="exact"/>
              <w:ind w:firstLine="480"/>
              <w:rPr>
                <w:rFonts w:hint="eastAsia" w:ascii="宋体" w:hAnsi="宋体" w:cs="宋体"/>
                <w:sz w:val="21"/>
                <w:szCs w:val="21"/>
              </w:rPr>
            </w:pPr>
            <w:r>
              <w:rPr>
                <w:rFonts w:ascii="宋体" w:hAnsi="宋体" w:cs="宋体"/>
                <w:sz w:val="21"/>
                <w:szCs w:val="21"/>
              </w:rPr>
              <w:t>（2）要闻动态：国内要闻、区内动态、推荐要闻等。</w:t>
            </w:r>
          </w:p>
          <w:p w14:paraId="11153714">
            <w:pPr>
              <w:pStyle w:val="2"/>
              <w:spacing w:line="400" w:lineRule="exact"/>
              <w:ind w:firstLine="480"/>
              <w:rPr>
                <w:rFonts w:hint="eastAsia" w:ascii="宋体" w:hAnsi="宋体" w:cs="宋体"/>
                <w:sz w:val="21"/>
                <w:szCs w:val="21"/>
              </w:rPr>
            </w:pPr>
            <w:r>
              <w:rPr>
                <w:rFonts w:ascii="宋体" w:hAnsi="宋体" w:cs="宋体"/>
                <w:sz w:val="21"/>
                <w:szCs w:val="21"/>
              </w:rPr>
              <w:t>（3）供需发布：治理需求、产品供给、技术供给、项目供给等。</w:t>
            </w:r>
          </w:p>
          <w:p w14:paraId="04E454A1">
            <w:pPr>
              <w:pStyle w:val="2"/>
              <w:spacing w:line="400" w:lineRule="exact"/>
              <w:ind w:firstLine="480"/>
              <w:rPr>
                <w:rFonts w:hint="eastAsia" w:ascii="宋体" w:hAnsi="宋体" w:cs="宋体"/>
                <w:sz w:val="21"/>
                <w:szCs w:val="21"/>
              </w:rPr>
            </w:pPr>
            <w:r>
              <w:rPr>
                <w:rFonts w:ascii="宋体" w:hAnsi="宋体" w:cs="宋体"/>
                <w:sz w:val="21"/>
                <w:szCs w:val="21"/>
              </w:rPr>
              <w:t>（4）科技资源：政策聚焦、标准规范、技术目录等。</w:t>
            </w:r>
          </w:p>
          <w:p w14:paraId="4203CDC4">
            <w:pPr>
              <w:pStyle w:val="2"/>
              <w:spacing w:line="400" w:lineRule="exact"/>
              <w:ind w:firstLine="480"/>
              <w:rPr>
                <w:rFonts w:hint="eastAsia" w:ascii="宋体" w:hAnsi="宋体" w:cs="宋体"/>
                <w:sz w:val="21"/>
                <w:szCs w:val="21"/>
              </w:rPr>
            </w:pPr>
            <w:r>
              <w:rPr>
                <w:rFonts w:ascii="宋体" w:hAnsi="宋体" w:cs="宋体"/>
                <w:sz w:val="21"/>
                <w:szCs w:val="21"/>
              </w:rPr>
              <w:t>（5）服务驿站：金融产品、金融政策等。</w:t>
            </w:r>
          </w:p>
          <w:p w14:paraId="2FEF4633">
            <w:pPr>
              <w:pStyle w:val="2"/>
              <w:spacing w:line="400" w:lineRule="exact"/>
              <w:ind w:firstLine="480"/>
              <w:rPr>
                <w:rFonts w:hint="eastAsia" w:ascii="宋体" w:hAnsi="宋体" w:cs="宋体"/>
                <w:sz w:val="21"/>
                <w:szCs w:val="21"/>
              </w:rPr>
            </w:pPr>
            <w:r>
              <w:rPr>
                <w:rFonts w:ascii="宋体" w:hAnsi="宋体" w:cs="宋体"/>
                <w:sz w:val="21"/>
                <w:szCs w:val="21"/>
              </w:rPr>
              <w:t>（6）活动广场：组织机构、活动信息、直播视频、科技讲堂等。</w:t>
            </w:r>
          </w:p>
          <w:p w14:paraId="3A03ACFC">
            <w:pPr>
              <w:pStyle w:val="2"/>
              <w:spacing w:line="400" w:lineRule="exact"/>
              <w:ind w:firstLine="480"/>
              <w:rPr>
                <w:rFonts w:hint="eastAsia" w:ascii="宋体" w:hAnsi="宋体" w:cs="宋体"/>
                <w:sz w:val="21"/>
                <w:szCs w:val="21"/>
              </w:rPr>
            </w:pPr>
            <w:r>
              <w:rPr>
                <w:rFonts w:ascii="宋体" w:hAnsi="宋体" w:cs="宋体"/>
                <w:sz w:val="21"/>
                <w:szCs w:val="21"/>
              </w:rPr>
              <w:t>（7）平台介绍</w:t>
            </w:r>
            <w:r>
              <w:rPr>
                <w:rFonts w:hint="eastAsia" w:ascii="宋体" w:hAnsi="宋体" w:cs="宋体"/>
                <w:sz w:val="21"/>
                <w:szCs w:val="21"/>
              </w:rPr>
              <w:t>：网站平台介绍。</w:t>
            </w:r>
          </w:p>
          <w:p w14:paraId="3AB7C3EC">
            <w:pPr>
              <w:pStyle w:val="2"/>
              <w:spacing w:line="400" w:lineRule="exact"/>
              <w:ind w:firstLine="480"/>
              <w:rPr>
                <w:rFonts w:hint="eastAsia" w:ascii="宋体" w:hAnsi="宋体" w:cs="宋体"/>
                <w:sz w:val="21"/>
                <w:szCs w:val="21"/>
              </w:rPr>
            </w:pPr>
            <w:r>
              <w:rPr>
                <w:rFonts w:ascii="宋体" w:hAnsi="宋体" w:cs="宋体"/>
                <w:sz w:val="21"/>
                <w:szCs w:val="21"/>
              </w:rPr>
              <w:t>（8）企业端功能：手机号快速注册、企业基础信息输入、授权协议、提交认证、发布需求、发布服务、发布产品、消息列表、撮合管理、服务列表、需求列表、产品列表、我的活动、账号设置等。</w:t>
            </w:r>
          </w:p>
          <w:p w14:paraId="536C1489">
            <w:pPr>
              <w:pStyle w:val="2"/>
              <w:spacing w:line="400" w:lineRule="exact"/>
              <w:ind w:firstLine="480"/>
              <w:rPr>
                <w:rFonts w:hint="eastAsia" w:ascii="宋体" w:hAnsi="宋体" w:cs="宋体"/>
                <w:sz w:val="21"/>
                <w:szCs w:val="21"/>
              </w:rPr>
            </w:pPr>
            <w:r>
              <w:rPr>
                <w:rFonts w:ascii="宋体" w:hAnsi="宋体" w:cs="宋体"/>
                <w:sz w:val="21"/>
                <w:szCs w:val="21"/>
              </w:rPr>
              <w:t>（9）后台管理：企业管理、需求管理、服务管理、产品管理、产品分类、要闻管理、活动管理、权限管理-角色权限、系统管理、账号管理、信息维护、名单维护、项目管理、视频管理、配置管理等。</w:t>
            </w:r>
          </w:p>
          <w:p w14:paraId="5B3A1460">
            <w:pPr>
              <w:pStyle w:val="2"/>
              <w:spacing w:line="400" w:lineRule="exact"/>
              <w:ind w:firstLine="480"/>
              <w:rPr>
                <w:rFonts w:hint="eastAsia" w:ascii="宋体" w:hAnsi="宋体" w:cs="宋体"/>
                <w:sz w:val="21"/>
                <w:szCs w:val="21"/>
              </w:rPr>
            </w:pPr>
            <w:r>
              <w:rPr>
                <w:rFonts w:ascii="宋体" w:hAnsi="宋体" w:cs="宋体"/>
                <w:sz w:val="21"/>
                <w:szCs w:val="21"/>
              </w:rPr>
              <w:t>（10）移动端：提供供需发布、活动报名、视频直播、资料汇集、绿色金融等功能，并关联小程序实时更新平台动态，转发政策、标准及动态信息等。</w:t>
            </w:r>
          </w:p>
          <w:p w14:paraId="1C08E437">
            <w:pPr>
              <w:pStyle w:val="2"/>
              <w:spacing w:line="400" w:lineRule="exact"/>
              <w:ind w:firstLine="480"/>
              <w:rPr>
                <w:rFonts w:hint="eastAsia" w:ascii="宋体" w:hAnsi="宋体" w:cs="宋体"/>
                <w:sz w:val="21"/>
                <w:szCs w:val="21"/>
              </w:rPr>
            </w:pPr>
            <w:r>
              <w:rPr>
                <w:rFonts w:ascii="宋体" w:hAnsi="宋体" w:cs="宋体"/>
                <w:sz w:val="21"/>
                <w:szCs w:val="21"/>
              </w:rPr>
              <w:t>（11）数据驾驶舱</w:t>
            </w:r>
          </w:p>
          <w:p w14:paraId="726B5E0A">
            <w:pPr>
              <w:pStyle w:val="2"/>
              <w:spacing w:line="400" w:lineRule="exact"/>
              <w:ind w:firstLine="480"/>
              <w:rPr>
                <w:rFonts w:hint="eastAsia" w:ascii="宋体" w:hAnsi="宋体" w:cs="宋体"/>
                <w:sz w:val="21"/>
                <w:szCs w:val="21"/>
              </w:rPr>
            </w:pPr>
            <w:r>
              <w:rPr>
                <w:rFonts w:ascii="宋体" w:hAnsi="宋体" w:cs="宋体"/>
                <w:sz w:val="21"/>
                <w:szCs w:val="21"/>
              </w:rPr>
              <w:t>建立平台数据驾驶舱，实时分析统计、深入整合平台数据，展示</w:t>
            </w:r>
            <w:r>
              <w:rPr>
                <w:rFonts w:hint="eastAsia" w:ascii="宋体" w:hAnsi="宋体" w:cs="宋体"/>
                <w:sz w:val="21"/>
                <w:szCs w:val="21"/>
              </w:rPr>
              <w:t>“</w:t>
            </w:r>
            <w:r>
              <w:rPr>
                <w:rFonts w:ascii="宋体" w:hAnsi="宋体" w:cs="宋体"/>
                <w:sz w:val="21"/>
                <w:szCs w:val="21"/>
              </w:rPr>
              <w:t>帮企减污</w:t>
            </w:r>
            <w:r>
              <w:rPr>
                <w:rFonts w:hint="eastAsia" w:ascii="宋体" w:hAnsi="宋体" w:cs="宋体"/>
                <w:sz w:val="21"/>
                <w:szCs w:val="21"/>
              </w:rPr>
              <w:t>”</w:t>
            </w:r>
            <w:r>
              <w:rPr>
                <w:rFonts w:ascii="宋体" w:hAnsi="宋体" w:cs="宋体"/>
                <w:sz w:val="21"/>
                <w:szCs w:val="21"/>
              </w:rPr>
              <w:t>系列活动相关数据，提升管理效率，进行成果展示。</w:t>
            </w:r>
          </w:p>
          <w:p w14:paraId="5C0700FB">
            <w:pPr>
              <w:pStyle w:val="2"/>
              <w:spacing w:line="400" w:lineRule="exact"/>
              <w:ind w:firstLine="480"/>
              <w:rPr>
                <w:rFonts w:hint="eastAsia" w:ascii="宋体" w:hAnsi="宋体" w:cs="宋体"/>
                <w:sz w:val="21"/>
                <w:szCs w:val="21"/>
              </w:rPr>
            </w:pPr>
            <w:r>
              <w:rPr>
                <w:rFonts w:ascii="宋体" w:hAnsi="宋体" w:cs="宋体"/>
                <w:sz w:val="21"/>
                <w:szCs w:val="21"/>
              </w:rPr>
              <w:t>▲（三）“帮企减污”应用功能新增。</w:t>
            </w:r>
          </w:p>
          <w:p w14:paraId="71E11EEB">
            <w:pPr>
              <w:pStyle w:val="2"/>
              <w:spacing w:line="400" w:lineRule="exact"/>
              <w:ind w:firstLine="480"/>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w:t>
            </w:r>
            <w:r>
              <w:rPr>
                <w:rFonts w:ascii="宋体" w:hAnsi="宋体" w:cs="宋体"/>
                <w:sz w:val="21"/>
                <w:szCs w:val="21"/>
              </w:rPr>
              <w:t>生态环保金融支持</w:t>
            </w:r>
            <w:r>
              <w:rPr>
                <w:rFonts w:hint="eastAsia" w:ascii="宋体" w:hAnsi="宋体" w:cs="宋体"/>
                <w:sz w:val="21"/>
                <w:szCs w:val="21"/>
              </w:rPr>
              <w:t>”</w:t>
            </w:r>
            <w:r>
              <w:rPr>
                <w:rFonts w:ascii="宋体" w:hAnsi="宋体" w:cs="宋体"/>
                <w:sz w:val="21"/>
                <w:szCs w:val="21"/>
              </w:rPr>
              <w:t>门户网站</w:t>
            </w:r>
          </w:p>
          <w:p w14:paraId="010AA4A9">
            <w:pPr>
              <w:pStyle w:val="2"/>
              <w:spacing w:line="400" w:lineRule="exact"/>
              <w:ind w:firstLine="480"/>
              <w:rPr>
                <w:rFonts w:hint="eastAsia" w:ascii="宋体" w:hAnsi="宋体" w:cs="宋体"/>
                <w:sz w:val="21"/>
                <w:szCs w:val="21"/>
              </w:rPr>
            </w:pPr>
            <w:r>
              <w:rPr>
                <w:rFonts w:ascii="宋体" w:hAnsi="宋体" w:cs="宋体"/>
                <w:sz w:val="21"/>
                <w:szCs w:val="21"/>
              </w:rPr>
              <w:t>（1）EOD专栏。（2）非EOD专栏。（3）桂惠贷专栏。（4）绿色金融专栏：绿色金融产品展示、绿色金融产品申请、金融产品申请进度查询等。用户包括各地市县生态系统、企业和各级金融机构（能通过外网登录）。数据对接广西环保项目库绿色金融模块。</w:t>
            </w:r>
          </w:p>
          <w:p w14:paraId="69A2DEB8">
            <w:pPr>
              <w:pStyle w:val="2"/>
              <w:spacing w:line="400" w:lineRule="exact"/>
              <w:ind w:firstLine="480"/>
              <w:rPr>
                <w:rFonts w:hint="eastAsia" w:ascii="宋体" w:hAnsi="宋体" w:cs="宋体"/>
                <w:sz w:val="21"/>
                <w:szCs w:val="21"/>
              </w:rPr>
            </w:pPr>
            <w:r>
              <w:rPr>
                <w:rFonts w:ascii="宋体" w:hAnsi="宋体" w:cs="宋体"/>
                <w:sz w:val="21"/>
                <w:szCs w:val="21"/>
              </w:rPr>
              <w:t>2.智能推送服务。企业注册登录平台后，在</w:t>
            </w:r>
            <w:r>
              <w:rPr>
                <w:rFonts w:hint="eastAsia" w:ascii="宋体" w:hAnsi="宋体" w:cs="宋体"/>
                <w:sz w:val="21"/>
                <w:szCs w:val="21"/>
              </w:rPr>
              <w:t>“</w:t>
            </w:r>
            <w:r>
              <w:rPr>
                <w:rFonts w:ascii="宋体" w:hAnsi="宋体" w:cs="宋体"/>
                <w:sz w:val="21"/>
                <w:szCs w:val="21"/>
              </w:rPr>
              <w:t>供需发布</w:t>
            </w:r>
            <w:r>
              <w:rPr>
                <w:rFonts w:hint="eastAsia" w:ascii="宋体" w:hAnsi="宋体" w:cs="宋体"/>
                <w:sz w:val="21"/>
                <w:szCs w:val="21"/>
              </w:rPr>
              <w:t>”</w:t>
            </w:r>
            <w:r>
              <w:rPr>
                <w:rFonts w:ascii="宋体" w:hAnsi="宋体" w:cs="宋体"/>
                <w:sz w:val="21"/>
                <w:szCs w:val="21"/>
              </w:rPr>
              <w:t>栏目中提交绿色技术需求。平台的人工智能或在线客服会根据企业规模、资质和需求等条件为其推荐或匹配相适应的技术、厂家以及相应的绿色金融产品。</w:t>
            </w:r>
          </w:p>
          <w:p w14:paraId="7C4CC6ED">
            <w:pPr>
              <w:pStyle w:val="2"/>
              <w:spacing w:line="400" w:lineRule="exact"/>
              <w:ind w:firstLine="480"/>
              <w:rPr>
                <w:rFonts w:hint="eastAsia" w:ascii="宋体" w:hAnsi="宋体" w:cs="宋体"/>
                <w:sz w:val="21"/>
                <w:szCs w:val="21"/>
              </w:rPr>
            </w:pPr>
            <w:r>
              <w:rPr>
                <w:rFonts w:ascii="宋体" w:hAnsi="宋体" w:cs="宋体"/>
                <w:sz w:val="21"/>
                <w:szCs w:val="21"/>
              </w:rPr>
              <w:t>包括：企业注册登录、进入</w:t>
            </w:r>
            <w:r>
              <w:rPr>
                <w:rFonts w:hint="eastAsia" w:ascii="宋体" w:hAnsi="宋体" w:cs="宋体"/>
                <w:sz w:val="21"/>
                <w:szCs w:val="21"/>
              </w:rPr>
              <w:t>“</w:t>
            </w:r>
            <w:r>
              <w:rPr>
                <w:rFonts w:ascii="宋体" w:hAnsi="宋体" w:cs="宋体"/>
                <w:sz w:val="21"/>
                <w:szCs w:val="21"/>
              </w:rPr>
              <w:t>供需发布</w:t>
            </w:r>
            <w:r>
              <w:rPr>
                <w:rFonts w:hint="eastAsia" w:ascii="宋体" w:hAnsi="宋体" w:cs="宋体"/>
                <w:sz w:val="21"/>
                <w:szCs w:val="21"/>
              </w:rPr>
              <w:t>”</w:t>
            </w:r>
            <w:r>
              <w:rPr>
                <w:rFonts w:ascii="宋体" w:hAnsi="宋体" w:cs="宋体"/>
                <w:sz w:val="21"/>
                <w:szCs w:val="21"/>
              </w:rPr>
              <w:t>页面、提交需求、人工智能或在线客服处理、推荐技术、厂家和绿色金融产品、企业选择、交易完成等。</w:t>
            </w:r>
          </w:p>
          <w:p w14:paraId="0FA31247">
            <w:pPr>
              <w:pStyle w:val="2"/>
              <w:spacing w:line="400" w:lineRule="exact"/>
              <w:ind w:firstLine="480"/>
              <w:rPr>
                <w:rFonts w:hint="eastAsia" w:ascii="宋体" w:hAnsi="宋体" w:cs="宋体"/>
                <w:sz w:val="21"/>
                <w:szCs w:val="21"/>
              </w:rPr>
            </w:pPr>
            <w:r>
              <w:rPr>
                <w:rFonts w:ascii="宋体" w:hAnsi="宋体" w:cs="宋体"/>
                <w:sz w:val="21"/>
                <w:szCs w:val="21"/>
              </w:rPr>
              <w:t>3.企业资质</w:t>
            </w:r>
          </w:p>
          <w:p w14:paraId="3BF8CF9D">
            <w:pPr>
              <w:pStyle w:val="2"/>
              <w:spacing w:line="400" w:lineRule="exact"/>
              <w:ind w:firstLine="480"/>
              <w:rPr>
                <w:rFonts w:hint="eastAsia" w:ascii="宋体" w:hAnsi="宋体" w:cs="宋体"/>
                <w:sz w:val="21"/>
                <w:szCs w:val="21"/>
              </w:rPr>
            </w:pPr>
            <w:r>
              <w:rPr>
                <w:rFonts w:ascii="宋体" w:hAnsi="宋体" w:cs="宋体"/>
                <w:sz w:val="21"/>
                <w:szCs w:val="21"/>
              </w:rPr>
              <w:t>政府端用户可以通过企业授权平台连接政务外网端口，查看发布绿色技术治理需求的企业相应的企业经营状况、资产负债情况、信用资质、企业被执行情况等信息。</w:t>
            </w:r>
          </w:p>
          <w:p w14:paraId="1F7504E6">
            <w:pPr>
              <w:pStyle w:val="2"/>
              <w:spacing w:line="400" w:lineRule="exact"/>
              <w:ind w:firstLine="480"/>
              <w:rPr>
                <w:rFonts w:hint="eastAsia" w:ascii="宋体" w:hAnsi="宋体" w:cs="宋体"/>
                <w:sz w:val="21"/>
                <w:szCs w:val="21"/>
              </w:rPr>
            </w:pPr>
            <w:r>
              <w:rPr>
                <w:rFonts w:ascii="宋体" w:hAnsi="宋体" w:cs="宋体"/>
                <w:sz w:val="21"/>
                <w:szCs w:val="21"/>
              </w:rPr>
              <w:t>4.资讯分类</w:t>
            </w:r>
          </w:p>
          <w:p w14:paraId="00336AD2">
            <w:pPr>
              <w:pStyle w:val="2"/>
              <w:spacing w:line="400" w:lineRule="exact"/>
              <w:ind w:firstLine="480"/>
              <w:rPr>
                <w:rFonts w:hint="eastAsia" w:ascii="宋体" w:hAnsi="宋体" w:cs="宋体"/>
                <w:sz w:val="21"/>
                <w:szCs w:val="21"/>
              </w:rPr>
            </w:pPr>
            <w:r>
              <w:rPr>
                <w:rFonts w:ascii="宋体" w:hAnsi="宋体" w:cs="宋体"/>
                <w:sz w:val="21"/>
                <w:szCs w:val="21"/>
              </w:rPr>
              <w:t>政府端用户可在后台自定义维护。</w:t>
            </w:r>
          </w:p>
          <w:p w14:paraId="5AD7AD91">
            <w:pPr>
              <w:pStyle w:val="2"/>
              <w:spacing w:line="400" w:lineRule="exact"/>
              <w:ind w:firstLine="480"/>
              <w:rPr>
                <w:rFonts w:hint="eastAsia" w:ascii="宋体" w:hAnsi="宋体" w:cs="宋体"/>
                <w:sz w:val="21"/>
                <w:szCs w:val="21"/>
              </w:rPr>
            </w:pPr>
            <w:r>
              <w:rPr>
                <w:rFonts w:ascii="宋体" w:hAnsi="宋体" w:cs="宋体"/>
                <w:sz w:val="21"/>
                <w:szCs w:val="21"/>
              </w:rPr>
              <w:t>5.密码资源池对接</w:t>
            </w:r>
          </w:p>
          <w:p w14:paraId="7D78629C">
            <w:pPr>
              <w:pStyle w:val="2"/>
              <w:spacing w:line="400" w:lineRule="exact"/>
              <w:ind w:firstLine="480"/>
              <w:rPr>
                <w:rFonts w:hint="eastAsia" w:ascii="宋体" w:hAnsi="宋体" w:cs="宋体"/>
                <w:sz w:val="21"/>
                <w:szCs w:val="21"/>
              </w:rPr>
            </w:pPr>
            <w:r>
              <w:rPr>
                <w:rFonts w:ascii="宋体" w:hAnsi="宋体" w:cs="宋体"/>
                <w:sz w:val="21"/>
                <w:szCs w:val="21"/>
              </w:rPr>
              <w:t>与</w:t>
            </w:r>
            <w:r>
              <w:rPr>
                <w:rFonts w:hint="eastAsia" w:ascii="宋体" w:hAnsi="宋体" w:cs="宋体"/>
                <w:sz w:val="21"/>
                <w:szCs w:val="21"/>
              </w:rPr>
              <w:t>云平台</w:t>
            </w:r>
            <w:r>
              <w:rPr>
                <w:rFonts w:ascii="宋体" w:hAnsi="宋体" w:cs="宋体"/>
                <w:sz w:val="21"/>
                <w:szCs w:val="21"/>
              </w:rPr>
              <w:t>的密码资源池进行对接，依托</w:t>
            </w:r>
            <w:r>
              <w:rPr>
                <w:rFonts w:hint="eastAsia" w:ascii="宋体" w:hAnsi="宋体" w:cs="宋体"/>
                <w:sz w:val="21"/>
                <w:szCs w:val="21"/>
              </w:rPr>
              <w:t>云平台</w:t>
            </w:r>
            <w:r>
              <w:rPr>
                <w:rFonts w:ascii="宋体" w:hAnsi="宋体" w:cs="宋体"/>
                <w:sz w:val="21"/>
                <w:szCs w:val="21"/>
              </w:rPr>
              <w:t>提供密码安全防护手段。</w:t>
            </w:r>
          </w:p>
          <w:p w14:paraId="0711ACAC">
            <w:pPr>
              <w:pStyle w:val="2"/>
              <w:spacing w:line="400" w:lineRule="exact"/>
              <w:ind w:firstLine="480"/>
              <w:rPr>
                <w:rFonts w:hint="eastAsia" w:ascii="宋体" w:hAnsi="宋体" w:cs="宋体"/>
                <w:sz w:val="21"/>
                <w:szCs w:val="21"/>
              </w:rPr>
            </w:pPr>
            <w:r>
              <w:rPr>
                <w:rFonts w:ascii="宋体" w:hAnsi="宋体" w:cs="宋体"/>
                <w:sz w:val="21"/>
                <w:szCs w:val="21"/>
              </w:rPr>
              <w:t>三、广西环保项目库管理应用</w:t>
            </w:r>
          </w:p>
          <w:p w14:paraId="2FC28BCC">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21A12915">
            <w:pPr>
              <w:pStyle w:val="2"/>
              <w:spacing w:line="400" w:lineRule="exact"/>
              <w:ind w:firstLine="480"/>
              <w:rPr>
                <w:rFonts w:hint="eastAsia" w:ascii="宋体" w:hAnsi="宋体" w:cs="宋体"/>
                <w:sz w:val="21"/>
                <w:szCs w:val="21"/>
              </w:rPr>
            </w:pPr>
            <w:r>
              <w:rPr>
                <w:rFonts w:ascii="宋体" w:hAnsi="宋体" w:cs="宋体"/>
                <w:sz w:val="21"/>
                <w:szCs w:val="21"/>
              </w:rPr>
              <w:t>对广西环保项目库管理系统现有功能进行重构，主要包括功能逻辑，功能界面重构以及利用开源自主可控平台的重新开发，完成</w:t>
            </w:r>
            <w:r>
              <w:rPr>
                <w:rFonts w:hint="eastAsia" w:ascii="宋体" w:hAnsi="宋体" w:cs="宋体"/>
                <w:sz w:val="21"/>
                <w:szCs w:val="21"/>
              </w:rPr>
              <w:t>国产技术栈</w:t>
            </w:r>
            <w:r>
              <w:rPr>
                <w:rFonts w:ascii="宋体" w:hAnsi="宋体" w:cs="宋体"/>
                <w:sz w:val="21"/>
                <w:szCs w:val="21"/>
              </w:rPr>
              <w:t>改造，现有数据和业务流程不变，展示效果适当优化的前提下进行，确保改造后的系统兼容主流的国产操作系统、或开源数据库（遵循SQL国际标准），实现信息系统在国产操作系统环境下平稳运行。</w:t>
            </w:r>
          </w:p>
          <w:p w14:paraId="122C690D">
            <w:pPr>
              <w:pStyle w:val="2"/>
              <w:spacing w:line="400" w:lineRule="exact"/>
              <w:ind w:firstLine="480"/>
              <w:rPr>
                <w:rFonts w:hint="eastAsia" w:ascii="宋体" w:hAnsi="宋体" w:cs="宋体"/>
                <w:sz w:val="21"/>
                <w:szCs w:val="21"/>
              </w:rPr>
            </w:pPr>
            <w:r>
              <w:rPr>
                <w:rFonts w:hint="eastAsia" w:ascii="宋体" w:hAnsi="宋体" w:cs="宋体"/>
                <w:sz w:val="21"/>
                <w:szCs w:val="21"/>
              </w:rPr>
              <w:t>应用需按照广西生态环境业务应用系统的总体架构要求，将广西环保项目库管理应用的功能模块进行逻辑分组重建，利用广西“生态云”统一支撑平台的云原生框架能力和工具，以微服务模块的方式将应用功能集成到广西生态环境业务应用系统中，支持将系统的分析数据、展示内容推送到广西生态云应用中</w:t>
            </w:r>
            <w:r>
              <w:rPr>
                <w:rFonts w:ascii="宋体" w:hAnsi="宋体" w:cs="宋体"/>
                <w:sz w:val="21"/>
                <w:szCs w:val="21"/>
              </w:rPr>
              <w:t>。</w:t>
            </w:r>
          </w:p>
          <w:p w14:paraId="314DF321">
            <w:pPr>
              <w:pStyle w:val="2"/>
              <w:spacing w:line="400" w:lineRule="exact"/>
              <w:ind w:firstLine="480"/>
              <w:rPr>
                <w:rFonts w:hint="eastAsia" w:ascii="宋体" w:hAnsi="宋体" w:cs="宋体"/>
                <w:sz w:val="21"/>
                <w:szCs w:val="21"/>
              </w:rPr>
            </w:pPr>
            <w:r>
              <w:rPr>
                <w:rFonts w:ascii="宋体" w:hAnsi="宋体" w:cs="宋体"/>
                <w:sz w:val="21"/>
                <w:szCs w:val="21"/>
              </w:rPr>
              <w:t>▲（二）广西环保项目库管理应用功能</w:t>
            </w:r>
          </w:p>
          <w:p w14:paraId="066B94CF">
            <w:pPr>
              <w:pStyle w:val="2"/>
              <w:spacing w:line="400" w:lineRule="exact"/>
              <w:ind w:firstLine="480"/>
              <w:rPr>
                <w:rFonts w:hint="eastAsia" w:ascii="宋体" w:hAnsi="宋体" w:cs="宋体"/>
                <w:sz w:val="21"/>
                <w:szCs w:val="21"/>
              </w:rPr>
            </w:pPr>
            <w:r>
              <w:rPr>
                <w:rFonts w:ascii="宋体" w:hAnsi="宋体" w:cs="宋体"/>
                <w:sz w:val="21"/>
                <w:szCs w:val="21"/>
              </w:rPr>
              <w:t>包括</w:t>
            </w:r>
          </w:p>
          <w:p w14:paraId="0816461A">
            <w:pPr>
              <w:pStyle w:val="2"/>
              <w:spacing w:line="400" w:lineRule="exact"/>
              <w:ind w:firstLine="480"/>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w:t>
            </w:r>
            <w:r>
              <w:rPr>
                <w:rFonts w:ascii="宋体" w:hAnsi="宋体" w:cs="宋体"/>
                <w:sz w:val="21"/>
                <w:szCs w:val="21"/>
              </w:rPr>
              <w:t>系统首页：集中管理和展示自治区级别的环保项目信息，包括项目进展更新、待办任务、通知公告、进展查询统计等功能。</w:t>
            </w:r>
          </w:p>
          <w:p w14:paraId="6DFE7BFF">
            <w:pPr>
              <w:pStyle w:val="2"/>
              <w:spacing w:line="400" w:lineRule="exact"/>
              <w:ind w:firstLine="480"/>
              <w:rPr>
                <w:rFonts w:hint="eastAsia" w:ascii="宋体" w:hAnsi="宋体" w:cs="宋体"/>
                <w:sz w:val="21"/>
                <w:szCs w:val="21"/>
              </w:rPr>
            </w:pPr>
            <w:r>
              <w:rPr>
                <w:rFonts w:ascii="宋体" w:hAnsi="宋体" w:cs="宋体"/>
                <w:sz w:val="21"/>
                <w:szCs w:val="21"/>
              </w:rPr>
              <w:t>2</w:t>
            </w:r>
            <w:r>
              <w:rPr>
                <w:rFonts w:hint="eastAsia" w:ascii="宋体" w:hAnsi="宋体" w:cs="宋体"/>
                <w:sz w:val="21"/>
                <w:szCs w:val="21"/>
              </w:rPr>
              <w:t>.</w:t>
            </w:r>
            <w:r>
              <w:rPr>
                <w:rFonts w:ascii="宋体" w:hAnsi="宋体" w:cs="宋体"/>
                <w:sz w:val="21"/>
                <w:szCs w:val="21"/>
              </w:rPr>
              <w:t>自治区库：实现申请库、储备库、实施库、淘汰库等项目管理功能和统计分析、大气专项管理、土壤专项管理、水专项管理、农村环境管理、生态专项管理、其他专项管理、项目库管理（项目申报、项目信息录入、项目信息管理、项目审核）、项目分布图（基于GIS地图，可直观的展示项目的分布情况，提供专题列表查询和检索查询）、项目资料存档、进度跟踪、状态监控、数据分析以及项目相关的统计报表）等功能。</w:t>
            </w:r>
          </w:p>
          <w:p w14:paraId="216214D4">
            <w:pPr>
              <w:pStyle w:val="2"/>
              <w:spacing w:line="400" w:lineRule="exact"/>
              <w:ind w:firstLine="480"/>
              <w:rPr>
                <w:rFonts w:hint="eastAsia" w:ascii="宋体" w:hAnsi="宋体" w:cs="宋体"/>
                <w:sz w:val="21"/>
                <w:szCs w:val="21"/>
              </w:rPr>
            </w:pPr>
            <w:r>
              <w:rPr>
                <w:rFonts w:ascii="宋体" w:hAnsi="宋体" w:cs="宋体"/>
                <w:sz w:val="21"/>
                <w:szCs w:val="21"/>
              </w:rPr>
              <w:t>3</w:t>
            </w:r>
            <w:r>
              <w:rPr>
                <w:rFonts w:hint="eastAsia" w:ascii="宋体" w:hAnsi="宋体" w:cs="宋体"/>
                <w:sz w:val="21"/>
                <w:szCs w:val="21"/>
              </w:rPr>
              <w:t>.</w:t>
            </w:r>
            <w:r>
              <w:rPr>
                <w:rFonts w:ascii="宋体" w:hAnsi="宋体" w:cs="宋体"/>
                <w:sz w:val="21"/>
                <w:szCs w:val="21"/>
              </w:rPr>
              <w:t>绿色金融：实现申请库、储备库、支持库、淘汰库等项目管理功能和统计分析功能，参照自治区库的相关管理功能。</w:t>
            </w:r>
          </w:p>
          <w:p w14:paraId="5F7D6731">
            <w:pPr>
              <w:pStyle w:val="2"/>
              <w:spacing w:line="400" w:lineRule="exact"/>
              <w:ind w:firstLine="480"/>
              <w:rPr>
                <w:rFonts w:hint="eastAsia" w:ascii="宋体" w:hAnsi="宋体" w:cs="宋体"/>
                <w:sz w:val="21"/>
                <w:szCs w:val="21"/>
              </w:rPr>
            </w:pPr>
            <w:r>
              <w:rPr>
                <w:rFonts w:ascii="宋体" w:hAnsi="宋体" w:cs="宋体"/>
                <w:sz w:val="21"/>
                <w:szCs w:val="21"/>
              </w:rPr>
              <w:t>4</w:t>
            </w:r>
            <w:r>
              <w:rPr>
                <w:rFonts w:hint="eastAsia" w:ascii="宋体" w:hAnsi="宋体" w:cs="宋体"/>
                <w:sz w:val="21"/>
                <w:szCs w:val="21"/>
              </w:rPr>
              <w:t>.</w:t>
            </w:r>
            <w:r>
              <w:rPr>
                <w:rFonts w:ascii="宋体" w:hAnsi="宋体" w:cs="宋体"/>
                <w:sz w:val="21"/>
                <w:szCs w:val="21"/>
              </w:rPr>
              <w:t>任务管理：对已办、待办任务进行管理。</w:t>
            </w:r>
          </w:p>
          <w:p w14:paraId="27953C3A">
            <w:pPr>
              <w:pStyle w:val="2"/>
              <w:spacing w:line="400" w:lineRule="exact"/>
              <w:ind w:firstLine="480"/>
              <w:rPr>
                <w:rFonts w:hint="eastAsia" w:ascii="宋体" w:hAnsi="宋体" w:cs="宋体"/>
                <w:sz w:val="21"/>
                <w:szCs w:val="21"/>
              </w:rPr>
            </w:pPr>
            <w:r>
              <w:rPr>
                <w:rFonts w:ascii="宋体" w:hAnsi="宋体" w:cs="宋体"/>
                <w:sz w:val="21"/>
                <w:szCs w:val="21"/>
              </w:rPr>
              <w:t>5</w:t>
            </w:r>
            <w:r>
              <w:rPr>
                <w:rFonts w:hint="eastAsia" w:ascii="宋体" w:hAnsi="宋体" w:cs="宋体"/>
                <w:sz w:val="21"/>
                <w:szCs w:val="21"/>
              </w:rPr>
              <w:t>.</w:t>
            </w:r>
            <w:r>
              <w:rPr>
                <w:rFonts w:ascii="宋体" w:hAnsi="宋体" w:cs="宋体"/>
                <w:sz w:val="21"/>
                <w:szCs w:val="21"/>
              </w:rPr>
              <w:t>下达预算：实现资金管理，资金下达拨付、资金执行情况统计分析、资金数据上报升级、资金管理汇总台账、时限提醒功能。</w:t>
            </w:r>
          </w:p>
          <w:p w14:paraId="7E226F81">
            <w:pPr>
              <w:pStyle w:val="2"/>
              <w:spacing w:line="400" w:lineRule="exact"/>
              <w:ind w:firstLine="480"/>
              <w:rPr>
                <w:rFonts w:hint="eastAsia" w:ascii="宋体" w:hAnsi="宋体" w:cs="宋体"/>
                <w:sz w:val="21"/>
                <w:szCs w:val="21"/>
              </w:rPr>
            </w:pPr>
            <w:r>
              <w:rPr>
                <w:rFonts w:ascii="宋体" w:hAnsi="宋体" w:cs="宋体"/>
                <w:sz w:val="21"/>
                <w:szCs w:val="21"/>
              </w:rPr>
              <w:t>6</w:t>
            </w:r>
            <w:r>
              <w:rPr>
                <w:rFonts w:hint="eastAsia" w:ascii="宋体" w:hAnsi="宋体" w:cs="宋体"/>
                <w:sz w:val="21"/>
                <w:szCs w:val="21"/>
              </w:rPr>
              <w:t>.</w:t>
            </w:r>
            <w:r>
              <w:rPr>
                <w:rFonts w:ascii="宋体" w:hAnsi="宋体" w:cs="宋体"/>
                <w:sz w:val="21"/>
                <w:szCs w:val="21"/>
              </w:rPr>
              <w:t>通知公告：实现通知发布、通知查询、我的发布、我的通知等功能</w:t>
            </w:r>
          </w:p>
          <w:p w14:paraId="65AD98E9">
            <w:pPr>
              <w:pStyle w:val="2"/>
              <w:spacing w:line="400" w:lineRule="exact"/>
              <w:ind w:firstLine="480"/>
              <w:rPr>
                <w:rFonts w:hint="eastAsia" w:ascii="宋体" w:hAnsi="宋体" w:cs="宋体"/>
                <w:sz w:val="21"/>
                <w:szCs w:val="21"/>
              </w:rPr>
            </w:pPr>
            <w:r>
              <w:rPr>
                <w:rFonts w:ascii="宋体" w:hAnsi="宋体" w:cs="宋体"/>
                <w:sz w:val="21"/>
                <w:szCs w:val="21"/>
              </w:rPr>
              <w:t>7</w:t>
            </w:r>
            <w:r>
              <w:rPr>
                <w:rFonts w:hint="eastAsia" w:ascii="宋体" w:hAnsi="宋体" w:cs="宋体"/>
                <w:sz w:val="21"/>
                <w:szCs w:val="21"/>
              </w:rPr>
              <w:t>.</w:t>
            </w:r>
            <w:r>
              <w:rPr>
                <w:rFonts w:ascii="宋体" w:hAnsi="宋体" w:cs="宋体"/>
                <w:sz w:val="21"/>
                <w:szCs w:val="21"/>
              </w:rPr>
              <w:t>专家管理：实现专家信息管理、专家入库出库管理、专家信息统计分析等功能</w:t>
            </w:r>
          </w:p>
          <w:p w14:paraId="3FCC848E">
            <w:pPr>
              <w:pStyle w:val="2"/>
              <w:spacing w:line="400" w:lineRule="exact"/>
              <w:ind w:firstLine="480"/>
              <w:rPr>
                <w:rFonts w:hint="eastAsia" w:ascii="宋体" w:hAnsi="宋体" w:cs="宋体"/>
                <w:sz w:val="21"/>
                <w:szCs w:val="21"/>
              </w:rPr>
            </w:pPr>
            <w:r>
              <w:rPr>
                <w:rFonts w:ascii="宋体" w:hAnsi="宋体" w:cs="宋体"/>
                <w:sz w:val="21"/>
                <w:szCs w:val="21"/>
              </w:rPr>
              <w:t>8</w:t>
            </w:r>
            <w:r>
              <w:rPr>
                <w:rFonts w:hint="eastAsia" w:ascii="宋体" w:hAnsi="宋体" w:cs="宋体"/>
                <w:sz w:val="21"/>
                <w:szCs w:val="21"/>
              </w:rPr>
              <w:t>.</w:t>
            </w:r>
            <w:r>
              <w:rPr>
                <w:rFonts w:ascii="宋体" w:hAnsi="宋体" w:cs="宋体"/>
                <w:sz w:val="21"/>
                <w:szCs w:val="21"/>
              </w:rPr>
              <w:t>平台管理：支持系统内全部各类资源和参数的设置与维护</w:t>
            </w:r>
          </w:p>
          <w:p w14:paraId="1B76921E">
            <w:pPr>
              <w:pStyle w:val="2"/>
              <w:spacing w:line="400" w:lineRule="exact"/>
              <w:ind w:firstLine="480"/>
              <w:rPr>
                <w:rFonts w:hint="eastAsia" w:ascii="宋体" w:hAnsi="宋体" w:cs="宋体"/>
                <w:sz w:val="21"/>
                <w:szCs w:val="21"/>
              </w:rPr>
            </w:pPr>
            <w:r>
              <w:rPr>
                <w:rFonts w:ascii="宋体" w:hAnsi="宋体" w:cs="宋体"/>
                <w:sz w:val="21"/>
                <w:szCs w:val="21"/>
              </w:rPr>
              <w:t>9</w:t>
            </w:r>
            <w:r>
              <w:rPr>
                <w:rFonts w:hint="eastAsia" w:ascii="宋体" w:hAnsi="宋体" w:cs="宋体"/>
                <w:sz w:val="21"/>
                <w:szCs w:val="21"/>
              </w:rPr>
              <w:t>.</w:t>
            </w:r>
            <w:r>
              <w:rPr>
                <w:rFonts w:ascii="宋体" w:hAnsi="宋体" w:cs="宋体"/>
                <w:sz w:val="21"/>
                <w:szCs w:val="21"/>
              </w:rPr>
              <w:t>移动端整合到</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APP中，实现展示数据的功能，主要包括大气污染防治、土壤污染防治、水污染防治、农村环境整治、生态保护、其他专项、专家查询、专项资金查询等功能。</w:t>
            </w:r>
          </w:p>
          <w:p w14:paraId="1A9CCF84">
            <w:pPr>
              <w:pStyle w:val="2"/>
              <w:spacing w:line="400" w:lineRule="exact"/>
              <w:ind w:firstLine="480"/>
              <w:rPr>
                <w:rFonts w:hint="eastAsia" w:ascii="宋体" w:hAnsi="宋体" w:cs="宋体"/>
                <w:sz w:val="21"/>
                <w:szCs w:val="21"/>
              </w:rPr>
            </w:pPr>
            <w:r>
              <w:rPr>
                <w:rFonts w:ascii="宋体" w:hAnsi="宋体" w:cs="宋体"/>
                <w:sz w:val="21"/>
                <w:szCs w:val="21"/>
              </w:rPr>
              <w:t>10</w:t>
            </w:r>
            <w:r>
              <w:rPr>
                <w:rFonts w:hint="eastAsia" w:ascii="宋体" w:hAnsi="宋体" w:cs="宋体"/>
                <w:sz w:val="21"/>
                <w:szCs w:val="21"/>
              </w:rPr>
              <w:t>.</w:t>
            </w:r>
            <w:r>
              <w:rPr>
                <w:rFonts w:ascii="宋体" w:hAnsi="宋体" w:cs="宋体"/>
                <w:sz w:val="21"/>
                <w:szCs w:val="21"/>
              </w:rPr>
              <w:t>密码资源池对接（与</w:t>
            </w:r>
            <w:r>
              <w:rPr>
                <w:rFonts w:hint="eastAsia" w:ascii="宋体" w:hAnsi="宋体" w:cs="宋体"/>
                <w:sz w:val="21"/>
                <w:szCs w:val="21"/>
              </w:rPr>
              <w:t>云平台</w:t>
            </w:r>
            <w:r>
              <w:rPr>
                <w:rFonts w:ascii="宋体" w:hAnsi="宋体" w:cs="宋体"/>
                <w:sz w:val="21"/>
                <w:szCs w:val="21"/>
              </w:rPr>
              <w:t>的密码资源池进行对接，依托</w:t>
            </w:r>
            <w:r>
              <w:rPr>
                <w:rFonts w:hint="eastAsia" w:ascii="宋体" w:hAnsi="宋体" w:cs="宋体"/>
                <w:sz w:val="21"/>
                <w:szCs w:val="21"/>
              </w:rPr>
              <w:t>云平台</w:t>
            </w:r>
            <w:r>
              <w:rPr>
                <w:rFonts w:ascii="宋体" w:hAnsi="宋体" w:cs="宋体"/>
                <w:sz w:val="21"/>
                <w:szCs w:val="21"/>
              </w:rPr>
              <w:t>提供密码安全防护手段）等。</w:t>
            </w:r>
          </w:p>
          <w:p w14:paraId="6197C209">
            <w:pPr>
              <w:pStyle w:val="2"/>
              <w:spacing w:line="400" w:lineRule="exact"/>
              <w:ind w:firstLine="480"/>
              <w:rPr>
                <w:rFonts w:hint="eastAsia" w:ascii="宋体" w:hAnsi="宋体" w:cs="宋体"/>
                <w:sz w:val="21"/>
                <w:szCs w:val="21"/>
              </w:rPr>
            </w:pPr>
            <w:r>
              <w:rPr>
                <w:rFonts w:ascii="宋体" w:hAnsi="宋体" w:cs="宋体"/>
                <w:sz w:val="21"/>
                <w:szCs w:val="21"/>
              </w:rPr>
              <w:t>四、政务服务事项标准化接口建设</w:t>
            </w:r>
          </w:p>
          <w:p w14:paraId="579ED857">
            <w:pPr>
              <w:pStyle w:val="2"/>
              <w:spacing w:line="400" w:lineRule="exact"/>
              <w:ind w:firstLine="480"/>
              <w:rPr>
                <w:rFonts w:hint="eastAsia" w:ascii="宋体" w:hAnsi="宋体" w:cs="宋体"/>
                <w:sz w:val="21"/>
                <w:szCs w:val="21"/>
              </w:rPr>
            </w:pPr>
            <w:r>
              <w:rPr>
                <w:rFonts w:ascii="宋体" w:hAnsi="宋体" w:cs="宋体"/>
                <w:sz w:val="21"/>
                <w:szCs w:val="21"/>
              </w:rPr>
              <w:t>▲（一）危险废物智能监管模块与</w:t>
            </w:r>
            <w:r>
              <w:rPr>
                <w:rFonts w:hint="eastAsia" w:ascii="宋体" w:hAnsi="宋体" w:cs="宋体"/>
                <w:sz w:val="21"/>
                <w:szCs w:val="21"/>
              </w:rPr>
              <w:t>广西数字政务一体化平台</w:t>
            </w:r>
            <w:r>
              <w:rPr>
                <w:rFonts w:ascii="宋体" w:hAnsi="宋体" w:cs="宋体"/>
                <w:sz w:val="21"/>
                <w:szCs w:val="21"/>
              </w:rPr>
              <w:t>对接</w:t>
            </w:r>
          </w:p>
          <w:p w14:paraId="47CE05EB">
            <w:pPr>
              <w:pStyle w:val="2"/>
              <w:spacing w:line="400" w:lineRule="exact"/>
              <w:ind w:firstLine="480"/>
              <w:rPr>
                <w:rFonts w:hint="eastAsia" w:ascii="宋体" w:hAnsi="宋体" w:cs="宋体"/>
                <w:sz w:val="21"/>
                <w:szCs w:val="21"/>
              </w:rPr>
            </w:pPr>
            <w:r>
              <w:rPr>
                <w:rFonts w:ascii="宋体" w:hAnsi="宋体" w:cs="宋体"/>
                <w:sz w:val="21"/>
                <w:szCs w:val="21"/>
              </w:rPr>
              <w:t>1.危险废物管理计划备案。实现一网通办事项配置、一网通办收件办件接口功能等。</w:t>
            </w:r>
          </w:p>
          <w:p w14:paraId="6913DC26">
            <w:pPr>
              <w:pStyle w:val="2"/>
              <w:spacing w:line="400" w:lineRule="exact"/>
              <w:ind w:firstLine="480"/>
              <w:rPr>
                <w:rFonts w:hint="eastAsia" w:ascii="宋体" w:hAnsi="宋体" w:cs="宋体"/>
                <w:sz w:val="21"/>
                <w:szCs w:val="21"/>
              </w:rPr>
            </w:pPr>
            <w:r>
              <w:rPr>
                <w:rFonts w:ascii="宋体" w:hAnsi="宋体" w:cs="宋体"/>
                <w:sz w:val="21"/>
                <w:szCs w:val="21"/>
              </w:rPr>
              <w:t>2.危险废物跨省级行政区域转移审批。实现一网通办事项配置、材料文件对接、一网通办收件办件接口功能等。</w:t>
            </w:r>
          </w:p>
          <w:p w14:paraId="2AA9E60A">
            <w:pPr>
              <w:pStyle w:val="2"/>
              <w:spacing w:line="400" w:lineRule="exact"/>
              <w:ind w:firstLine="480"/>
              <w:rPr>
                <w:rFonts w:hint="eastAsia" w:ascii="宋体" w:hAnsi="宋体" w:cs="宋体"/>
                <w:sz w:val="21"/>
                <w:szCs w:val="21"/>
              </w:rPr>
            </w:pPr>
            <w:r>
              <w:rPr>
                <w:rFonts w:ascii="宋体" w:hAnsi="宋体" w:cs="宋体"/>
                <w:sz w:val="21"/>
                <w:szCs w:val="21"/>
              </w:rPr>
              <w:t>3.危险废物申报登记。实现数据自动推送等。</w:t>
            </w:r>
          </w:p>
          <w:p w14:paraId="311F5B55">
            <w:pPr>
              <w:pStyle w:val="2"/>
              <w:spacing w:line="400" w:lineRule="exact"/>
              <w:ind w:firstLine="480"/>
              <w:rPr>
                <w:rFonts w:hint="eastAsia" w:ascii="宋体" w:hAnsi="宋体" w:cs="宋体"/>
                <w:sz w:val="21"/>
                <w:szCs w:val="21"/>
              </w:rPr>
            </w:pPr>
            <w:r>
              <w:rPr>
                <w:rFonts w:ascii="宋体" w:hAnsi="宋体" w:cs="宋体"/>
                <w:sz w:val="21"/>
                <w:szCs w:val="21"/>
              </w:rPr>
              <w:t>4.要求危险废物经营单位定期报告危险废物经营活动情况。</w:t>
            </w:r>
          </w:p>
          <w:p w14:paraId="2A036B4B">
            <w:pPr>
              <w:pStyle w:val="2"/>
              <w:spacing w:line="400" w:lineRule="exact"/>
              <w:ind w:firstLine="480"/>
              <w:rPr>
                <w:rFonts w:hint="eastAsia" w:ascii="宋体" w:hAnsi="宋体" w:cs="宋体"/>
                <w:sz w:val="21"/>
                <w:szCs w:val="21"/>
              </w:rPr>
            </w:pPr>
            <w:r>
              <w:rPr>
                <w:rFonts w:ascii="宋体" w:hAnsi="宋体" w:cs="宋体"/>
                <w:sz w:val="21"/>
                <w:szCs w:val="21"/>
              </w:rPr>
              <w:t>5.固体废物跨省利用备案。实现一网通办事项配置、一网通办收件办件接口功能等。</w:t>
            </w:r>
          </w:p>
          <w:p w14:paraId="242067A9">
            <w:pPr>
              <w:pStyle w:val="2"/>
              <w:spacing w:line="400" w:lineRule="exact"/>
              <w:ind w:firstLine="480"/>
              <w:rPr>
                <w:rFonts w:hint="eastAsia" w:ascii="宋体" w:hAnsi="宋体" w:cs="宋体"/>
                <w:sz w:val="21"/>
                <w:szCs w:val="21"/>
              </w:rPr>
            </w:pPr>
            <w:r>
              <w:rPr>
                <w:rFonts w:ascii="宋体" w:hAnsi="宋体" w:cs="宋体"/>
                <w:sz w:val="21"/>
                <w:szCs w:val="21"/>
              </w:rPr>
              <w:t>▲（二）环境应急管理模块与</w:t>
            </w:r>
            <w:r>
              <w:rPr>
                <w:rFonts w:hint="eastAsia" w:ascii="宋体" w:hAnsi="宋体" w:cs="宋体"/>
                <w:sz w:val="21"/>
                <w:szCs w:val="21"/>
              </w:rPr>
              <w:t>广西数字政务一体化平台</w:t>
            </w:r>
            <w:r>
              <w:rPr>
                <w:rFonts w:ascii="宋体" w:hAnsi="宋体" w:cs="宋体"/>
                <w:sz w:val="21"/>
                <w:szCs w:val="21"/>
              </w:rPr>
              <w:t>对接</w:t>
            </w:r>
          </w:p>
          <w:p w14:paraId="56EC6B19">
            <w:pPr>
              <w:pStyle w:val="2"/>
              <w:spacing w:line="400" w:lineRule="exact"/>
              <w:ind w:firstLine="480"/>
              <w:rPr>
                <w:rFonts w:hint="eastAsia" w:ascii="宋体" w:hAnsi="宋体" w:cs="宋体"/>
                <w:sz w:val="21"/>
                <w:szCs w:val="21"/>
              </w:rPr>
            </w:pPr>
            <w:r>
              <w:rPr>
                <w:rFonts w:ascii="宋体" w:hAnsi="宋体" w:cs="宋体"/>
                <w:sz w:val="21"/>
                <w:szCs w:val="21"/>
              </w:rPr>
              <w:t>1.环境应急管理模块企业端升级。</w:t>
            </w:r>
          </w:p>
          <w:p w14:paraId="46F8700F">
            <w:pPr>
              <w:pStyle w:val="2"/>
              <w:spacing w:line="400" w:lineRule="exact"/>
              <w:ind w:firstLine="480"/>
              <w:rPr>
                <w:rFonts w:hint="eastAsia" w:ascii="宋体" w:hAnsi="宋体" w:cs="宋体"/>
                <w:sz w:val="21"/>
                <w:szCs w:val="21"/>
              </w:rPr>
            </w:pPr>
            <w:r>
              <w:rPr>
                <w:rFonts w:ascii="宋体" w:hAnsi="宋体" w:cs="宋体"/>
                <w:sz w:val="21"/>
                <w:szCs w:val="21"/>
              </w:rPr>
              <w:t>（1）企业端接口改造。含企业信息接口改造、企业待办记录接口改造等。</w:t>
            </w:r>
          </w:p>
          <w:p w14:paraId="65A65D3F">
            <w:pPr>
              <w:pStyle w:val="2"/>
              <w:spacing w:line="400" w:lineRule="exact"/>
              <w:ind w:firstLine="480"/>
              <w:rPr>
                <w:rFonts w:hint="eastAsia" w:ascii="宋体" w:hAnsi="宋体" w:cs="宋体"/>
                <w:sz w:val="21"/>
                <w:szCs w:val="21"/>
              </w:rPr>
            </w:pPr>
            <w:r>
              <w:rPr>
                <w:rFonts w:ascii="宋体" w:hAnsi="宋体" w:cs="宋体"/>
                <w:sz w:val="21"/>
                <w:szCs w:val="21"/>
              </w:rPr>
              <w:t>（2）企业申报流程改造。含企业预申报审核、企业预审核状态识别、企业识别码对接等。</w:t>
            </w:r>
          </w:p>
          <w:p w14:paraId="338CA141">
            <w:pPr>
              <w:pStyle w:val="2"/>
              <w:spacing w:line="400" w:lineRule="exact"/>
              <w:ind w:firstLine="480"/>
              <w:rPr>
                <w:rFonts w:hint="eastAsia" w:ascii="宋体" w:hAnsi="宋体" w:cs="宋体"/>
                <w:sz w:val="21"/>
                <w:szCs w:val="21"/>
              </w:rPr>
            </w:pPr>
            <w:r>
              <w:rPr>
                <w:rFonts w:ascii="宋体" w:hAnsi="宋体" w:cs="宋体"/>
                <w:sz w:val="21"/>
                <w:szCs w:val="21"/>
              </w:rPr>
              <w:t>2.环境应急政务端升级。</w:t>
            </w:r>
          </w:p>
          <w:p w14:paraId="68C7C510">
            <w:pPr>
              <w:pStyle w:val="2"/>
              <w:spacing w:line="400" w:lineRule="exact"/>
              <w:ind w:firstLine="480"/>
              <w:rPr>
                <w:rFonts w:hint="eastAsia" w:ascii="宋体" w:hAnsi="宋体" w:cs="宋体"/>
                <w:sz w:val="21"/>
                <w:szCs w:val="21"/>
              </w:rPr>
            </w:pPr>
            <w:r>
              <w:rPr>
                <w:rFonts w:ascii="宋体" w:hAnsi="宋体" w:cs="宋体"/>
                <w:sz w:val="21"/>
                <w:szCs w:val="21"/>
              </w:rPr>
              <w:t>（1）政务端接口改造。含备案受理口改造、备案审核结构推送接口构建等。</w:t>
            </w:r>
          </w:p>
          <w:p w14:paraId="50187A61">
            <w:pPr>
              <w:pStyle w:val="2"/>
              <w:spacing w:line="400" w:lineRule="exact"/>
              <w:ind w:firstLine="480"/>
              <w:rPr>
                <w:rFonts w:hint="eastAsia" w:ascii="宋体" w:hAnsi="宋体" w:cs="宋体"/>
                <w:sz w:val="21"/>
                <w:szCs w:val="21"/>
              </w:rPr>
            </w:pPr>
            <w:r>
              <w:rPr>
                <w:rFonts w:ascii="宋体" w:hAnsi="宋体" w:cs="宋体"/>
                <w:sz w:val="21"/>
                <w:szCs w:val="21"/>
              </w:rPr>
              <w:t>（2）政务端备案审核功能调整。含政务端备案审核识别号流程调整、备案办结流程调整等。</w:t>
            </w:r>
          </w:p>
          <w:p w14:paraId="33907913">
            <w:pPr>
              <w:pStyle w:val="2"/>
              <w:spacing w:line="400" w:lineRule="exact"/>
              <w:ind w:firstLine="480"/>
              <w:rPr>
                <w:rFonts w:hint="eastAsia" w:ascii="宋体" w:hAnsi="宋体" w:cs="宋体"/>
                <w:sz w:val="21"/>
                <w:szCs w:val="21"/>
              </w:rPr>
            </w:pPr>
            <w:r>
              <w:rPr>
                <w:rFonts w:ascii="宋体" w:hAnsi="宋体" w:cs="宋体"/>
                <w:sz w:val="21"/>
                <w:szCs w:val="21"/>
              </w:rPr>
              <w:t>（3）对接数据交互日志功能构建。含系统对接结果记录、系统对接日志查询、系统对接日志列表建设等。</w:t>
            </w:r>
          </w:p>
          <w:p w14:paraId="1FAF4F5A">
            <w:pPr>
              <w:pStyle w:val="2"/>
              <w:spacing w:line="400" w:lineRule="exact"/>
              <w:ind w:firstLine="480"/>
              <w:rPr>
                <w:rFonts w:hint="eastAsia" w:ascii="宋体" w:hAnsi="宋体" w:cs="宋体"/>
                <w:sz w:val="21"/>
                <w:szCs w:val="21"/>
              </w:rPr>
            </w:pPr>
            <w:r>
              <w:rPr>
                <w:rFonts w:ascii="宋体" w:hAnsi="宋体" w:cs="宋体"/>
                <w:sz w:val="21"/>
                <w:szCs w:val="21"/>
              </w:rPr>
              <w:t>（4）一网通办申请表开发。含一网通办申请表表字段建设、一网通办申请表表格建设等。</w:t>
            </w:r>
          </w:p>
          <w:p w14:paraId="45304E4D">
            <w:pPr>
              <w:pStyle w:val="2"/>
              <w:spacing w:line="400" w:lineRule="exact"/>
              <w:ind w:firstLine="480"/>
              <w:rPr>
                <w:rFonts w:hint="eastAsia" w:ascii="宋体" w:hAnsi="宋体" w:cs="宋体"/>
                <w:sz w:val="21"/>
                <w:szCs w:val="21"/>
              </w:rPr>
            </w:pPr>
            <w:r>
              <w:rPr>
                <w:rFonts w:ascii="宋体" w:hAnsi="宋体" w:cs="宋体"/>
                <w:sz w:val="21"/>
                <w:szCs w:val="21"/>
              </w:rPr>
              <w:t>▲（三）建设项目审批系统与</w:t>
            </w:r>
            <w:r>
              <w:rPr>
                <w:rFonts w:hint="eastAsia" w:ascii="宋体" w:hAnsi="宋体" w:cs="宋体"/>
                <w:sz w:val="21"/>
                <w:szCs w:val="21"/>
              </w:rPr>
              <w:t>广西数字政务一体化平台</w:t>
            </w:r>
            <w:r>
              <w:rPr>
                <w:rFonts w:ascii="宋体" w:hAnsi="宋体" w:cs="宋体"/>
                <w:sz w:val="21"/>
                <w:szCs w:val="21"/>
              </w:rPr>
              <w:t>对接</w:t>
            </w:r>
          </w:p>
          <w:p w14:paraId="18A682C8">
            <w:pPr>
              <w:pStyle w:val="2"/>
              <w:spacing w:line="400" w:lineRule="exact"/>
              <w:ind w:firstLine="480"/>
              <w:rPr>
                <w:rFonts w:hint="eastAsia" w:ascii="宋体" w:hAnsi="宋体" w:cs="宋体"/>
                <w:sz w:val="21"/>
                <w:szCs w:val="21"/>
              </w:rPr>
            </w:pPr>
            <w:r>
              <w:rPr>
                <w:rFonts w:ascii="宋体" w:hAnsi="宋体" w:cs="宋体"/>
                <w:sz w:val="21"/>
                <w:szCs w:val="21"/>
              </w:rPr>
              <w:t>对自治区生态环境厅建设项目审批业务的相关事项进行拆解和表单配置，经过拆解事项的审核和审批表单的测试验证后，开发审批业务流程所涉及的所有数据接口，打通审批系统与</w:t>
            </w:r>
            <w:r>
              <w:rPr>
                <w:rFonts w:hint="eastAsia" w:ascii="宋体" w:hAnsi="宋体" w:cs="宋体"/>
                <w:sz w:val="21"/>
                <w:szCs w:val="21"/>
              </w:rPr>
              <w:t>广西数字政务一体化平台</w:t>
            </w:r>
            <w:r>
              <w:rPr>
                <w:rFonts w:ascii="宋体" w:hAnsi="宋体" w:cs="宋体"/>
                <w:sz w:val="21"/>
                <w:szCs w:val="21"/>
              </w:rPr>
              <w:t>之间的业务流程。建设内容包括事项拆解服务、表单配置服务和接口开发与调试。</w:t>
            </w:r>
          </w:p>
          <w:p w14:paraId="745130DA">
            <w:pPr>
              <w:pStyle w:val="2"/>
              <w:spacing w:line="400" w:lineRule="exact"/>
              <w:ind w:firstLine="480"/>
              <w:rPr>
                <w:rFonts w:hint="eastAsia" w:ascii="宋体" w:hAnsi="宋体" w:cs="宋体"/>
                <w:sz w:val="21"/>
                <w:szCs w:val="21"/>
              </w:rPr>
            </w:pPr>
            <w:r>
              <w:rPr>
                <w:rFonts w:ascii="宋体" w:hAnsi="宋体" w:cs="宋体"/>
                <w:sz w:val="21"/>
                <w:szCs w:val="21"/>
              </w:rPr>
              <w:t>1.事项拆解服务</w:t>
            </w:r>
          </w:p>
          <w:p w14:paraId="21940452">
            <w:pPr>
              <w:pStyle w:val="2"/>
              <w:spacing w:line="400" w:lineRule="exact"/>
              <w:ind w:firstLine="480"/>
              <w:rPr>
                <w:rFonts w:hint="eastAsia" w:ascii="宋体" w:hAnsi="宋体" w:cs="宋体"/>
                <w:sz w:val="21"/>
                <w:szCs w:val="21"/>
              </w:rPr>
            </w:pPr>
            <w:r>
              <w:rPr>
                <w:rFonts w:ascii="宋体" w:hAnsi="宋体" w:cs="宋体"/>
                <w:sz w:val="21"/>
                <w:szCs w:val="21"/>
              </w:rPr>
              <w:t>建设项目环境影响评价文件技术审查事项拆解、一般建设项目环境影响报告表审批事项拆解、一般建设项目环境影响报告书审批事项拆解、一般建设项目环境影响评价文件重新审核事项拆解。</w:t>
            </w:r>
          </w:p>
          <w:p w14:paraId="11CE89CF">
            <w:pPr>
              <w:pStyle w:val="2"/>
              <w:spacing w:line="400" w:lineRule="exact"/>
              <w:ind w:firstLine="480"/>
              <w:rPr>
                <w:rFonts w:hint="eastAsia" w:ascii="宋体" w:hAnsi="宋体" w:cs="宋体"/>
                <w:sz w:val="21"/>
                <w:szCs w:val="21"/>
              </w:rPr>
            </w:pPr>
            <w:r>
              <w:rPr>
                <w:rFonts w:ascii="宋体" w:hAnsi="宋体" w:cs="宋体"/>
                <w:sz w:val="21"/>
                <w:szCs w:val="21"/>
              </w:rPr>
              <w:t>2.表单配置服务</w:t>
            </w:r>
          </w:p>
          <w:p w14:paraId="5113E94B">
            <w:pPr>
              <w:pStyle w:val="2"/>
              <w:spacing w:line="400" w:lineRule="exact"/>
              <w:ind w:firstLine="480"/>
              <w:rPr>
                <w:rFonts w:hint="eastAsia" w:ascii="宋体" w:hAnsi="宋体" w:cs="宋体"/>
                <w:sz w:val="21"/>
                <w:szCs w:val="21"/>
              </w:rPr>
            </w:pPr>
            <w:r>
              <w:rPr>
                <w:rFonts w:ascii="宋体" w:hAnsi="宋体" w:cs="宋体"/>
                <w:sz w:val="21"/>
                <w:szCs w:val="21"/>
              </w:rPr>
              <w:t>（1）收件配置。在自治区</w:t>
            </w:r>
            <w:r>
              <w:rPr>
                <w:rFonts w:hint="eastAsia" w:ascii="宋体" w:hAnsi="宋体" w:cs="宋体"/>
                <w:sz w:val="21"/>
                <w:szCs w:val="21"/>
              </w:rPr>
              <w:t>广西数字政务一体化平台</w:t>
            </w:r>
            <w:r>
              <w:rPr>
                <w:rFonts w:ascii="宋体" w:hAnsi="宋体" w:cs="宋体"/>
                <w:sz w:val="21"/>
                <w:szCs w:val="21"/>
              </w:rPr>
              <w:t>办件中心对自治区生态环境厅建设项目审批业务的相关事项拆解后的表单（收件表单）进行配置。</w:t>
            </w:r>
          </w:p>
          <w:p w14:paraId="34178969">
            <w:pPr>
              <w:pStyle w:val="2"/>
              <w:spacing w:line="400" w:lineRule="exact"/>
              <w:ind w:firstLine="480"/>
              <w:rPr>
                <w:rFonts w:hint="eastAsia" w:ascii="宋体" w:hAnsi="宋体" w:cs="宋体"/>
                <w:sz w:val="21"/>
                <w:szCs w:val="21"/>
              </w:rPr>
            </w:pPr>
            <w:r>
              <w:rPr>
                <w:rFonts w:ascii="宋体" w:hAnsi="宋体" w:cs="宋体"/>
                <w:sz w:val="21"/>
                <w:szCs w:val="21"/>
              </w:rPr>
              <w:t>（2）数据共享标注</w:t>
            </w:r>
            <w:r>
              <w:rPr>
                <w:rFonts w:hint="eastAsia" w:ascii="宋体" w:hAnsi="宋体" w:cs="宋体"/>
                <w:sz w:val="21"/>
                <w:szCs w:val="21"/>
              </w:rPr>
              <w:t>：在自治区广西数字政务一体化平台办件中心对从登录用户或者共享接口共享过来的数据进行标注，包括字段标注和材料标注，完成后提交审核</w:t>
            </w:r>
            <w:r>
              <w:rPr>
                <w:rFonts w:ascii="宋体" w:hAnsi="宋体" w:cs="宋体"/>
                <w:sz w:val="21"/>
                <w:szCs w:val="21"/>
              </w:rPr>
              <w:t>。</w:t>
            </w:r>
          </w:p>
          <w:p w14:paraId="519C8942">
            <w:pPr>
              <w:pStyle w:val="2"/>
              <w:spacing w:line="400" w:lineRule="exact"/>
              <w:ind w:firstLine="480"/>
              <w:rPr>
                <w:rFonts w:hint="eastAsia" w:ascii="宋体" w:hAnsi="宋体" w:cs="宋体"/>
                <w:sz w:val="21"/>
                <w:szCs w:val="21"/>
              </w:rPr>
            </w:pPr>
            <w:r>
              <w:rPr>
                <w:rFonts w:ascii="宋体" w:hAnsi="宋体" w:cs="宋体"/>
                <w:sz w:val="21"/>
                <w:szCs w:val="21"/>
              </w:rPr>
              <w:t>（3）办件配置。在自治区</w:t>
            </w:r>
            <w:r>
              <w:rPr>
                <w:rFonts w:hint="eastAsia" w:ascii="宋体" w:hAnsi="宋体" w:cs="宋体"/>
                <w:sz w:val="21"/>
                <w:szCs w:val="21"/>
              </w:rPr>
              <w:t>广西数字政务一体化平台</w:t>
            </w:r>
            <w:r>
              <w:rPr>
                <w:rFonts w:ascii="宋体" w:hAnsi="宋体" w:cs="宋体"/>
                <w:sz w:val="21"/>
                <w:szCs w:val="21"/>
              </w:rPr>
              <w:t>办件中心配置和建设项目审批系统之间对接的表单字段、附件对接映射关系（办件表单），以及表单提交同步方式。</w:t>
            </w:r>
          </w:p>
          <w:p w14:paraId="4E390B9A">
            <w:pPr>
              <w:pStyle w:val="2"/>
              <w:spacing w:line="400" w:lineRule="exact"/>
              <w:ind w:firstLine="480"/>
              <w:rPr>
                <w:rFonts w:hint="eastAsia" w:ascii="宋体" w:hAnsi="宋体" w:cs="宋体"/>
                <w:sz w:val="21"/>
                <w:szCs w:val="21"/>
              </w:rPr>
            </w:pPr>
            <w:r>
              <w:rPr>
                <w:rFonts w:ascii="宋体" w:hAnsi="宋体" w:cs="宋体"/>
                <w:sz w:val="21"/>
                <w:szCs w:val="21"/>
              </w:rPr>
              <w:t>3.接口开发与调试。包括办件申报服务接口开发、办件受理服务接口开发、办件办结流程信息同步服务接口开发、办件特殊流程申请服务接口开发、办件特殊流程完结服务接口开发、补齐补正通知服务接口开发、补齐补正完结服务接口开发等。</w:t>
            </w:r>
          </w:p>
          <w:p w14:paraId="5DF45B56">
            <w:pPr>
              <w:pStyle w:val="2"/>
              <w:spacing w:line="400" w:lineRule="exact"/>
              <w:ind w:firstLine="480"/>
              <w:rPr>
                <w:rFonts w:hint="eastAsia" w:ascii="宋体" w:hAnsi="宋体" w:cs="宋体"/>
                <w:sz w:val="21"/>
                <w:szCs w:val="21"/>
              </w:rPr>
            </w:pPr>
            <w:r>
              <w:rPr>
                <w:rFonts w:ascii="宋体" w:hAnsi="宋体" w:cs="宋体"/>
                <w:sz w:val="21"/>
                <w:szCs w:val="21"/>
              </w:rPr>
              <w:t>五、项目准入研判应用</w:t>
            </w:r>
          </w:p>
          <w:p w14:paraId="64CBAC98">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21D24081">
            <w:pPr>
              <w:pStyle w:val="2"/>
              <w:spacing w:line="400" w:lineRule="exact"/>
              <w:ind w:firstLine="480"/>
              <w:rPr>
                <w:rFonts w:hint="eastAsia" w:ascii="宋体" w:hAnsi="宋体" w:cs="宋体"/>
                <w:sz w:val="21"/>
                <w:szCs w:val="21"/>
              </w:rPr>
            </w:pPr>
            <w:r>
              <w:rPr>
                <w:rFonts w:ascii="宋体" w:hAnsi="宋体" w:cs="宋体"/>
                <w:sz w:val="21"/>
                <w:szCs w:val="21"/>
              </w:rPr>
              <w:t>对项目准入研判系统现有功能进行重构，主要包括功能逻辑，功能界面重构以及利用开源自主可控平台的重新开发，完成</w:t>
            </w:r>
            <w:r>
              <w:rPr>
                <w:rFonts w:hint="eastAsia" w:ascii="宋体" w:hAnsi="宋体" w:cs="宋体"/>
                <w:sz w:val="21"/>
                <w:szCs w:val="21"/>
              </w:rPr>
              <w:t>国产技术栈</w:t>
            </w:r>
            <w:r>
              <w:rPr>
                <w:rFonts w:ascii="宋体" w:hAnsi="宋体" w:cs="宋体"/>
                <w:sz w:val="21"/>
                <w:szCs w:val="21"/>
              </w:rPr>
              <w:t>改造，现有数据和业务流程不变，展示效果适当优化的前提下进行，确保改造后的系统兼容主流的国产操作系统、或开源数据库（遵循SQL国际标准），实现信息系统在国产操作系统环境下平稳运行。</w:t>
            </w:r>
          </w:p>
          <w:p w14:paraId="64867B12">
            <w:pPr>
              <w:pStyle w:val="2"/>
              <w:spacing w:line="400" w:lineRule="exact"/>
              <w:ind w:firstLine="480"/>
              <w:rPr>
                <w:rFonts w:hint="eastAsia" w:ascii="宋体" w:hAnsi="宋体" w:cs="宋体"/>
                <w:sz w:val="21"/>
                <w:szCs w:val="21"/>
              </w:rPr>
            </w:pPr>
            <w:r>
              <w:rPr>
                <w:rFonts w:ascii="宋体" w:hAnsi="宋体" w:cs="宋体"/>
                <w:sz w:val="21"/>
                <w:szCs w:val="21"/>
              </w:rPr>
              <w:t>应用需按照广西生态环境业务应用系统的总体架构要求，将项目准入研判系统的功能模块进行逻辑分组重建，利用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w:t>
            </w:r>
          </w:p>
          <w:p w14:paraId="21CF551B">
            <w:pPr>
              <w:pStyle w:val="2"/>
              <w:spacing w:line="400" w:lineRule="exact"/>
              <w:ind w:firstLine="480"/>
              <w:rPr>
                <w:rFonts w:hint="eastAsia" w:ascii="宋体" w:hAnsi="宋体" w:cs="宋体"/>
                <w:sz w:val="21"/>
                <w:szCs w:val="21"/>
              </w:rPr>
            </w:pPr>
            <w:r>
              <w:rPr>
                <w:rFonts w:ascii="宋体" w:hAnsi="宋体" w:cs="宋体"/>
                <w:sz w:val="21"/>
                <w:szCs w:val="21"/>
              </w:rPr>
              <w:t>▲（二）现有功能适配改造。</w:t>
            </w:r>
          </w:p>
          <w:p w14:paraId="5768D1AC">
            <w:pPr>
              <w:pStyle w:val="2"/>
              <w:spacing w:line="400" w:lineRule="exact"/>
              <w:ind w:firstLine="480"/>
              <w:rPr>
                <w:rFonts w:hint="eastAsia" w:ascii="宋体" w:hAnsi="宋体" w:cs="宋体"/>
                <w:sz w:val="21"/>
                <w:szCs w:val="21"/>
              </w:rPr>
            </w:pPr>
            <w:r>
              <w:rPr>
                <w:rFonts w:ascii="宋体" w:hAnsi="宋体" w:cs="宋体"/>
                <w:sz w:val="21"/>
                <w:szCs w:val="21"/>
              </w:rPr>
              <w:t>1.生态环境底图研判</w:t>
            </w:r>
          </w:p>
          <w:p w14:paraId="2DDCBD47">
            <w:pPr>
              <w:pStyle w:val="2"/>
              <w:spacing w:line="400" w:lineRule="exact"/>
              <w:ind w:firstLine="480"/>
              <w:rPr>
                <w:rFonts w:hint="eastAsia" w:ascii="宋体" w:hAnsi="宋体" w:cs="宋体"/>
                <w:sz w:val="21"/>
                <w:szCs w:val="21"/>
              </w:rPr>
            </w:pPr>
            <w:r>
              <w:rPr>
                <w:rFonts w:ascii="宋体" w:hAnsi="宋体" w:cs="宋体"/>
                <w:sz w:val="21"/>
                <w:szCs w:val="21"/>
              </w:rPr>
              <w:t>图层包括三线一单平台的矢量图层、自然资源管控区图、土地资源重点管控区图、区域环境污染源分布图、区域环境质量现状图、环境风险源分布情况图。</w:t>
            </w:r>
          </w:p>
          <w:p w14:paraId="4DBC4485">
            <w:pPr>
              <w:pStyle w:val="2"/>
              <w:spacing w:line="400" w:lineRule="exact"/>
              <w:ind w:firstLine="480"/>
              <w:rPr>
                <w:rFonts w:hint="eastAsia" w:ascii="宋体" w:hAnsi="宋体" w:cs="宋体"/>
                <w:sz w:val="21"/>
                <w:szCs w:val="21"/>
              </w:rPr>
            </w:pPr>
            <w:r>
              <w:rPr>
                <w:rFonts w:ascii="宋体" w:hAnsi="宋体" w:cs="宋体"/>
                <w:sz w:val="21"/>
                <w:szCs w:val="21"/>
              </w:rPr>
              <w:t>2.项目信息查看</w:t>
            </w:r>
            <w:r>
              <w:rPr>
                <w:rFonts w:hint="eastAsia" w:ascii="宋体" w:hAnsi="宋体" w:cs="宋体"/>
                <w:sz w:val="21"/>
                <w:szCs w:val="21"/>
              </w:rPr>
              <w:t>：</w:t>
            </w:r>
            <w:r>
              <w:rPr>
                <w:rFonts w:ascii="宋体" w:hAnsi="宋体" w:cs="宋体"/>
                <w:sz w:val="21"/>
                <w:szCs w:val="21"/>
              </w:rPr>
              <w:t>列表展示从审批系统接入的项目信息，也可通过功能页面，导入、录入项目信息，点击进入该项目的准入研判分析，查看项目点位和项目详细信息</w:t>
            </w:r>
            <w:r>
              <w:rPr>
                <w:rFonts w:hint="eastAsia" w:ascii="宋体" w:hAnsi="宋体" w:cs="宋体"/>
                <w:sz w:val="21"/>
                <w:szCs w:val="21"/>
              </w:rPr>
              <w:t>。</w:t>
            </w:r>
          </w:p>
          <w:p w14:paraId="546B12EC">
            <w:pPr>
              <w:pStyle w:val="2"/>
              <w:spacing w:line="400" w:lineRule="exact"/>
              <w:ind w:firstLine="480"/>
              <w:rPr>
                <w:rFonts w:hint="eastAsia" w:ascii="宋体" w:hAnsi="宋体" w:cs="宋体"/>
                <w:sz w:val="21"/>
                <w:szCs w:val="21"/>
              </w:rPr>
            </w:pPr>
            <w:r>
              <w:rPr>
                <w:rFonts w:ascii="宋体" w:hAnsi="宋体" w:cs="宋体"/>
                <w:sz w:val="21"/>
                <w:szCs w:val="21"/>
              </w:rPr>
              <w:t>3.目标类型筛选</w:t>
            </w:r>
          </w:p>
          <w:p w14:paraId="0DE07E88">
            <w:pPr>
              <w:pStyle w:val="2"/>
              <w:spacing w:line="400" w:lineRule="exact"/>
              <w:ind w:firstLine="480"/>
              <w:rPr>
                <w:rFonts w:hint="eastAsia" w:ascii="宋体" w:hAnsi="宋体" w:cs="宋体"/>
                <w:sz w:val="21"/>
                <w:szCs w:val="21"/>
              </w:rPr>
            </w:pPr>
            <w:r>
              <w:rPr>
                <w:rFonts w:ascii="宋体" w:hAnsi="宋体" w:cs="宋体"/>
                <w:sz w:val="21"/>
                <w:szCs w:val="21"/>
              </w:rPr>
              <w:t>目标类型，包括敏感保护目标、公共设施、风险源、交通道路、空间范围以及项目地图（点、线、面）绘制。</w:t>
            </w:r>
          </w:p>
          <w:p w14:paraId="641B8D4D">
            <w:pPr>
              <w:pStyle w:val="2"/>
              <w:spacing w:line="400" w:lineRule="exact"/>
              <w:ind w:firstLine="480"/>
              <w:rPr>
                <w:rFonts w:hint="eastAsia" w:ascii="宋体" w:hAnsi="宋体" w:cs="宋体"/>
                <w:sz w:val="21"/>
                <w:szCs w:val="21"/>
              </w:rPr>
            </w:pPr>
            <w:r>
              <w:rPr>
                <w:rFonts w:ascii="宋体" w:hAnsi="宋体" w:cs="宋体"/>
                <w:sz w:val="21"/>
                <w:szCs w:val="21"/>
              </w:rPr>
              <w:t>4.准入分析</w:t>
            </w:r>
          </w:p>
          <w:p w14:paraId="0B464644">
            <w:pPr>
              <w:pStyle w:val="2"/>
              <w:spacing w:line="400" w:lineRule="exact"/>
              <w:ind w:firstLine="480"/>
              <w:rPr>
                <w:rFonts w:hint="eastAsia" w:ascii="宋体" w:hAnsi="宋体" w:cs="宋体"/>
                <w:sz w:val="21"/>
                <w:szCs w:val="21"/>
              </w:rPr>
            </w:pPr>
            <w:r>
              <w:rPr>
                <w:rFonts w:ascii="宋体" w:hAnsi="宋体" w:cs="宋体"/>
                <w:sz w:val="21"/>
                <w:szCs w:val="21"/>
              </w:rPr>
              <w:t>应用管控单元的管控细则，结合三线一单的数据，从空间分析、清单分析、总量分析三个方面进行研判分析，最终形成初步结论。</w:t>
            </w:r>
          </w:p>
          <w:p w14:paraId="7FCEF093">
            <w:pPr>
              <w:pStyle w:val="2"/>
              <w:spacing w:line="400" w:lineRule="exact"/>
              <w:ind w:firstLine="480"/>
              <w:rPr>
                <w:rFonts w:hint="eastAsia" w:ascii="宋体" w:hAnsi="宋体" w:cs="宋体"/>
                <w:sz w:val="21"/>
                <w:szCs w:val="21"/>
              </w:rPr>
            </w:pPr>
            <w:r>
              <w:rPr>
                <w:rFonts w:ascii="宋体" w:hAnsi="宋体" w:cs="宋体"/>
                <w:sz w:val="21"/>
                <w:szCs w:val="21"/>
              </w:rPr>
              <w:t>5.智能审批</w:t>
            </w:r>
          </w:p>
          <w:p w14:paraId="63944B8D">
            <w:pPr>
              <w:pStyle w:val="2"/>
              <w:spacing w:line="400" w:lineRule="exact"/>
              <w:ind w:firstLine="480"/>
              <w:rPr>
                <w:rFonts w:hint="eastAsia" w:ascii="宋体" w:hAnsi="宋体" w:cs="宋体"/>
                <w:sz w:val="21"/>
                <w:szCs w:val="21"/>
              </w:rPr>
            </w:pPr>
            <w:r>
              <w:rPr>
                <w:rFonts w:ascii="宋体" w:hAnsi="宋体" w:cs="宋体"/>
                <w:sz w:val="21"/>
                <w:szCs w:val="21"/>
              </w:rPr>
              <w:t>支持在线草拟批文功能，系统内置公文模板，可查阅、复制环评标准库和环评文件库的相关文件、材料。</w:t>
            </w:r>
          </w:p>
          <w:p w14:paraId="5E5D24D9">
            <w:pPr>
              <w:pStyle w:val="2"/>
              <w:spacing w:line="400" w:lineRule="exact"/>
              <w:ind w:firstLine="480"/>
              <w:rPr>
                <w:rFonts w:hint="eastAsia" w:ascii="宋体" w:hAnsi="宋体" w:cs="宋体"/>
                <w:sz w:val="21"/>
                <w:szCs w:val="21"/>
              </w:rPr>
            </w:pPr>
            <w:r>
              <w:rPr>
                <w:rFonts w:ascii="宋体" w:hAnsi="宋体" w:cs="宋体"/>
                <w:sz w:val="21"/>
                <w:szCs w:val="21"/>
              </w:rPr>
              <w:t>6.信息查询</w:t>
            </w:r>
            <w:r>
              <w:rPr>
                <w:rFonts w:hint="eastAsia" w:ascii="宋体" w:hAnsi="宋体" w:cs="宋体"/>
                <w:sz w:val="21"/>
                <w:szCs w:val="21"/>
              </w:rPr>
              <w:t>：查询搜索。</w:t>
            </w:r>
          </w:p>
          <w:p w14:paraId="1052250E">
            <w:pPr>
              <w:pStyle w:val="2"/>
              <w:spacing w:line="400" w:lineRule="exact"/>
              <w:ind w:firstLine="480"/>
              <w:rPr>
                <w:rFonts w:hint="eastAsia" w:ascii="宋体" w:hAnsi="宋体" w:cs="宋体"/>
                <w:sz w:val="21"/>
                <w:szCs w:val="21"/>
              </w:rPr>
            </w:pPr>
            <w:r>
              <w:rPr>
                <w:rFonts w:ascii="宋体" w:hAnsi="宋体" w:cs="宋体"/>
                <w:sz w:val="21"/>
                <w:szCs w:val="21"/>
              </w:rPr>
              <w:t>7.项目准入研判APP</w:t>
            </w:r>
          </w:p>
          <w:p w14:paraId="1394AE9F">
            <w:pPr>
              <w:pStyle w:val="2"/>
              <w:spacing w:line="400" w:lineRule="exact"/>
              <w:ind w:firstLine="480"/>
              <w:rPr>
                <w:rFonts w:hint="eastAsia" w:ascii="宋体" w:hAnsi="宋体" w:cs="宋体"/>
                <w:sz w:val="21"/>
                <w:szCs w:val="21"/>
              </w:rPr>
            </w:pPr>
            <w:r>
              <w:rPr>
                <w:rFonts w:ascii="宋体" w:hAnsi="宋体" w:cs="宋体"/>
                <w:sz w:val="21"/>
                <w:szCs w:val="21"/>
              </w:rPr>
              <w:t>含APP公众端和APP政务端，主要包括图层查询、准入研判等功能。APP政务端</w:t>
            </w:r>
            <w:r>
              <w:rPr>
                <w:rFonts w:hint="eastAsia" w:ascii="宋体" w:hAnsi="宋体" w:cs="宋体"/>
                <w:sz w:val="21"/>
                <w:szCs w:val="21"/>
              </w:rPr>
              <w:t>均</w:t>
            </w:r>
            <w:r>
              <w:rPr>
                <w:rFonts w:ascii="宋体" w:hAnsi="宋体" w:cs="宋体"/>
                <w:sz w:val="21"/>
                <w:szCs w:val="21"/>
              </w:rPr>
              <w:t>基于</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APP进行建设。</w:t>
            </w:r>
          </w:p>
          <w:p w14:paraId="1EC9997F">
            <w:pPr>
              <w:pStyle w:val="2"/>
              <w:spacing w:line="400" w:lineRule="exact"/>
              <w:ind w:firstLine="480"/>
              <w:rPr>
                <w:rFonts w:hint="eastAsia" w:ascii="宋体" w:hAnsi="宋体" w:cs="宋体"/>
                <w:sz w:val="21"/>
                <w:szCs w:val="21"/>
              </w:rPr>
            </w:pPr>
            <w:r>
              <w:rPr>
                <w:rFonts w:ascii="宋体" w:hAnsi="宋体" w:cs="宋体"/>
                <w:sz w:val="21"/>
                <w:szCs w:val="21"/>
              </w:rPr>
              <w:t>▲（三）应用功能升级</w:t>
            </w:r>
          </w:p>
          <w:p w14:paraId="79E4929D">
            <w:pPr>
              <w:pStyle w:val="2"/>
              <w:spacing w:line="400" w:lineRule="exact"/>
              <w:ind w:firstLine="480"/>
              <w:rPr>
                <w:rFonts w:hint="eastAsia" w:ascii="宋体" w:hAnsi="宋体" w:cs="宋体"/>
                <w:sz w:val="21"/>
                <w:szCs w:val="21"/>
              </w:rPr>
            </w:pPr>
            <w:r>
              <w:rPr>
                <w:rFonts w:ascii="宋体" w:hAnsi="宋体" w:cs="宋体"/>
                <w:sz w:val="21"/>
                <w:szCs w:val="21"/>
              </w:rPr>
              <w:t>1.与自然资源厅国土空间规划一张图衔接：包括管控单元基础信息、图层数据、生态环境准入清单信息等。</w:t>
            </w:r>
          </w:p>
          <w:p w14:paraId="3FCACD45">
            <w:pPr>
              <w:pStyle w:val="2"/>
              <w:spacing w:line="400" w:lineRule="exact"/>
              <w:ind w:firstLine="480"/>
              <w:rPr>
                <w:rFonts w:hint="eastAsia" w:ascii="宋体" w:hAnsi="宋体" w:cs="宋体"/>
                <w:sz w:val="21"/>
                <w:szCs w:val="21"/>
              </w:rPr>
            </w:pPr>
            <w:r>
              <w:rPr>
                <w:rFonts w:ascii="宋体" w:hAnsi="宋体" w:cs="宋体"/>
                <w:sz w:val="21"/>
                <w:szCs w:val="21"/>
              </w:rPr>
              <w:t>2.建设项目准入研判升级及能力封装：升级的内容包括项目基础信息新增、研判结论查看、研判报告PDF下载等；能力封装服务，建设项目准入研判封装成一个完整能力应用。</w:t>
            </w:r>
          </w:p>
          <w:p w14:paraId="4D50525C">
            <w:pPr>
              <w:pStyle w:val="2"/>
              <w:spacing w:line="400" w:lineRule="exact"/>
              <w:ind w:firstLine="480"/>
              <w:rPr>
                <w:rFonts w:hint="eastAsia" w:ascii="宋体" w:hAnsi="宋体" w:cs="宋体"/>
                <w:sz w:val="21"/>
                <w:szCs w:val="21"/>
              </w:rPr>
            </w:pPr>
            <w:r>
              <w:rPr>
                <w:rFonts w:ascii="宋体" w:hAnsi="宋体" w:cs="宋体"/>
                <w:sz w:val="21"/>
                <w:szCs w:val="21"/>
              </w:rPr>
              <w:t>3.历史成果版本管理：生态环境准入清单版本管理（按年度）、管控单元版本管理（按年度）。</w:t>
            </w:r>
          </w:p>
          <w:p w14:paraId="56DB8BAF">
            <w:pPr>
              <w:pStyle w:val="2"/>
              <w:spacing w:line="400" w:lineRule="exact"/>
              <w:ind w:firstLine="480"/>
              <w:rPr>
                <w:rFonts w:hint="eastAsia" w:ascii="宋体" w:hAnsi="宋体" w:cs="宋体"/>
                <w:sz w:val="21"/>
                <w:szCs w:val="21"/>
              </w:rPr>
            </w:pPr>
            <w:r>
              <w:rPr>
                <w:rFonts w:ascii="宋体" w:hAnsi="宋体" w:cs="宋体"/>
                <w:sz w:val="21"/>
                <w:szCs w:val="21"/>
              </w:rPr>
              <w:t>4.公众展示升级：管控单元功能升级、生态环境准入清单功能升级，主要包括按版本查询、信息下载等。</w:t>
            </w:r>
          </w:p>
          <w:p w14:paraId="07476CF6">
            <w:pPr>
              <w:pStyle w:val="2"/>
              <w:spacing w:line="400" w:lineRule="exact"/>
              <w:ind w:firstLine="480"/>
              <w:rPr>
                <w:rFonts w:hint="eastAsia" w:ascii="宋体" w:hAnsi="宋体" w:cs="宋体"/>
                <w:sz w:val="21"/>
                <w:szCs w:val="21"/>
              </w:rPr>
            </w:pPr>
            <w:r>
              <w:rPr>
                <w:rFonts w:ascii="宋体" w:hAnsi="宋体" w:cs="宋体"/>
                <w:sz w:val="21"/>
                <w:szCs w:val="21"/>
              </w:rPr>
              <w:t>六、新建广西生态环境实验室管理应用</w:t>
            </w:r>
          </w:p>
          <w:p w14:paraId="3CE59A3C">
            <w:pPr>
              <w:pStyle w:val="2"/>
              <w:spacing w:line="400" w:lineRule="exact"/>
              <w:ind w:firstLine="480"/>
              <w:rPr>
                <w:rFonts w:hint="eastAsia" w:ascii="宋体" w:hAnsi="宋体" w:cs="宋体"/>
                <w:sz w:val="21"/>
                <w:szCs w:val="21"/>
              </w:rPr>
            </w:pPr>
            <w:r>
              <w:rPr>
                <w:rFonts w:hint="eastAsia" w:ascii="宋体" w:hAnsi="宋体" w:cs="宋体"/>
                <w:sz w:val="21"/>
                <w:szCs w:val="21"/>
              </w:rPr>
              <w:t>应用需</w:t>
            </w:r>
            <w:r>
              <w:rPr>
                <w:rFonts w:ascii="宋体" w:hAnsi="宋体" w:cs="宋体"/>
                <w:sz w:val="21"/>
                <w:szCs w:val="21"/>
              </w:rPr>
              <w:t>按照广西生态环境业务应用系统的总体架构要求完成</w:t>
            </w:r>
            <w:r>
              <w:rPr>
                <w:rFonts w:hint="eastAsia" w:ascii="宋体" w:hAnsi="宋体" w:cs="宋体"/>
                <w:sz w:val="21"/>
                <w:szCs w:val="21"/>
              </w:rPr>
              <w:t>国产技术栈</w:t>
            </w:r>
            <w:r>
              <w:rPr>
                <w:rFonts w:ascii="宋体" w:hAnsi="宋体" w:cs="宋体"/>
                <w:sz w:val="21"/>
                <w:szCs w:val="21"/>
              </w:rPr>
              <w:t>改造，利用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的云原生框架能力和工具，以微服务模块的方式将应用功能集成到广西生态环境业务应用系统中，支持将系统的分析数据、展示内容推送到广西生态云应用中。支持各实验室个性化定制管理流程。</w:t>
            </w:r>
          </w:p>
          <w:p w14:paraId="2AFEEF60">
            <w:pPr>
              <w:pStyle w:val="2"/>
              <w:spacing w:line="400" w:lineRule="exact"/>
              <w:ind w:firstLine="480"/>
              <w:rPr>
                <w:rFonts w:hint="eastAsia" w:ascii="宋体" w:hAnsi="宋体" w:cs="宋体"/>
                <w:sz w:val="21"/>
                <w:szCs w:val="21"/>
              </w:rPr>
            </w:pPr>
            <w:r>
              <w:rPr>
                <w:rFonts w:ascii="宋体" w:hAnsi="宋体" w:cs="宋体"/>
                <w:sz w:val="21"/>
                <w:szCs w:val="21"/>
              </w:rPr>
              <w:t>▲（一）实验室资源管理</w:t>
            </w:r>
          </w:p>
          <w:p w14:paraId="176E3C22">
            <w:pPr>
              <w:pStyle w:val="2"/>
              <w:spacing w:line="400" w:lineRule="exact"/>
              <w:ind w:firstLine="480"/>
              <w:rPr>
                <w:rFonts w:hint="eastAsia" w:ascii="宋体" w:hAnsi="宋体" w:cs="宋体"/>
                <w:sz w:val="21"/>
                <w:szCs w:val="21"/>
              </w:rPr>
            </w:pPr>
            <w:r>
              <w:rPr>
                <w:rFonts w:ascii="宋体" w:hAnsi="宋体" w:cs="宋体"/>
                <w:sz w:val="21"/>
                <w:szCs w:val="21"/>
              </w:rPr>
              <w:t>1.人员管理</w:t>
            </w:r>
          </w:p>
          <w:p w14:paraId="5CDDE525">
            <w:pPr>
              <w:pStyle w:val="2"/>
              <w:spacing w:line="400" w:lineRule="exact"/>
              <w:ind w:firstLine="480"/>
              <w:rPr>
                <w:rFonts w:hint="eastAsia" w:ascii="宋体" w:hAnsi="宋体" w:cs="宋体"/>
                <w:sz w:val="21"/>
                <w:szCs w:val="21"/>
              </w:rPr>
            </w:pPr>
            <w:r>
              <w:rPr>
                <w:rFonts w:ascii="宋体" w:hAnsi="宋体" w:cs="宋体"/>
                <w:sz w:val="21"/>
                <w:szCs w:val="21"/>
              </w:rPr>
              <w:t>管理实验室人员数据，反映监测人员培训、考核、所持上岗证、</w:t>
            </w:r>
            <w:r>
              <w:rPr>
                <w:rFonts w:hint="eastAsia" w:ascii="宋体" w:hAnsi="宋体" w:cs="宋体"/>
                <w:sz w:val="21"/>
                <w:szCs w:val="21"/>
              </w:rPr>
              <w:t>工</w:t>
            </w:r>
            <w:r>
              <w:rPr>
                <w:rFonts w:ascii="宋体" w:hAnsi="宋体" w:cs="宋体"/>
                <w:sz w:val="21"/>
                <w:szCs w:val="21"/>
              </w:rPr>
              <w:t>作能力评价、主要承担的监测项目等基本信息，并将这些信息应用于任务分配。</w:t>
            </w:r>
          </w:p>
          <w:p w14:paraId="4404AE35">
            <w:pPr>
              <w:pStyle w:val="2"/>
              <w:spacing w:line="400" w:lineRule="exact"/>
              <w:ind w:firstLine="480"/>
              <w:rPr>
                <w:rFonts w:hint="eastAsia" w:ascii="宋体" w:hAnsi="宋体" w:cs="宋体"/>
                <w:sz w:val="21"/>
                <w:szCs w:val="21"/>
              </w:rPr>
            </w:pPr>
            <w:r>
              <w:rPr>
                <w:rFonts w:ascii="宋体" w:hAnsi="宋体" w:cs="宋体"/>
                <w:sz w:val="21"/>
                <w:szCs w:val="21"/>
              </w:rPr>
              <w:t>包括监测站/监测中心介绍、人员信息、人员培训、上岗证管理、证书管理、合同管理、考核管理等。</w:t>
            </w:r>
          </w:p>
          <w:p w14:paraId="6470ACD6">
            <w:pPr>
              <w:pStyle w:val="2"/>
              <w:spacing w:line="400" w:lineRule="exact"/>
              <w:ind w:firstLine="480"/>
              <w:rPr>
                <w:rFonts w:hint="eastAsia" w:ascii="宋体" w:hAnsi="宋体" w:cs="宋体"/>
                <w:sz w:val="21"/>
                <w:szCs w:val="21"/>
              </w:rPr>
            </w:pPr>
            <w:r>
              <w:rPr>
                <w:rFonts w:ascii="宋体" w:hAnsi="宋体" w:cs="宋体"/>
                <w:sz w:val="21"/>
                <w:szCs w:val="21"/>
              </w:rPr>
              <w:t>2.机构管理。通过组织机构图的方式展示各个部门的职责、负责人等信息，并提供编辑功能。</w:t>
            </w:r>
          </w:p>
          <w:p w14:paraId="0A4FCB0E">
            <w:pPr>
              <w:pStyle w:val="2"/>
              <w:spacing w:line="400" w:lineRule="exact"/>
              <w:ind w:firstLine="480"/>
              <w:rPr>
                <w:rFonts w:hint="eastAsia" w:ascii="宋体" w:hAnsi="宋体" w:cs="宋体"/>
                <w:sz w:val="21"/>
                <w:szCs w:val="21"/>
              </w:rPr>
            </w:pPr>
            <w:r>
              <w:rPr>
                <w:rFonts w:ascii="宋体" w:hAnsi="宋体" w:cs="宋体"/>
                <w:sz w:val="21"/>
                <w:szCs w:val="21"/>
              </w:rPr>
              <w:t>3.机构证书管理。对机构所持有的所有证书进行统一管理。</w:t>
            </w:r>
          </w:p>
          <w:p w14:paraId="6696603F">
            <w:pPr>
              <w:pStyle w:val="2"/>
              <w:spacing w:line="400" w:lineRule="exact"/>
              <w:ind w:firstLine="480"/>
              <w:rPr>
                <w:rFonts w:hint="eastAsia" w:ascii="宋体" w:hAnsi="宋体" w:cs="宋体"/>
                <w:sz w:val="21"/>
                <w:szCs w:val="21"/>
              </w:rPr>
            </w:pPr>
            <w:r>
              <w:rPr>
                <w:rFonts w:ascii="宋体" w:hAnsi="宋体" w:cs="宋体"/>
                <w:sz w:val="21"/>
                <w:szCs w:val="21"/>
              </w:rPr>
              <w:t>4.仪器设备管理。包括一器一档、设备管理、现场仪器出入库管理、检定计划管理、检定计划管理、检定校准记录、期间核查管理、期间核查计划管理、期间核查记录、使用记录管理、维护记录管理、维修记录管理等。</w:t>
            </w:r>
          </w:p>
          <w:p w14:paraId="438277E1">
            <w:pPr>
              <w:pStyle w:val="2"/>
              <w:spacing w:line="400" w:lineRule="exact"/>
              <w:ind w:firstLine="480"/>
              <w:rPr>
                <w:rFonts w:hint="eastAsia" w:ascii="宋体" w:hAnsi="宋体" w:cs="宋体"/>
                <w:sz w:val="21"/>
                <w:szCs w:val="21"/>
              </w:rPr>
            </w:pPr>
            <w:r>
              <w:rPr>
                <w:rFonts w:ascii="宋体" w:hAnsi="宋体" w:cs="宋体"/>
                <w:sz w:val="21"/>
                <w:szCs w:val="21"/>
              </w:rPr>
              <w:t>5.标准/方法管理。分析项目管理、分析方法库管理、评价标准库管理等。</w:t>
            </w:r>
          </w:p>
          <w:p w14:paraId="1700B1C5">
            <w:pPr>
              <w:pStyle w:val="2"/>
              <w:spacing w:line="400" w:lineRule="exact"/>
              <w:ind w:firstLine="480"/>
              <w:rPr>
                <w:rFonts w:hint="eastAsia" w:ascii="宋体" w:hAnsi="宋体" w:cs="宋体"/>
                <w:sz w:val="21"/>
                <w:szCs w:val="21"/>
              </w:rPr>
            </w:pPr>
            <w:r>
              <w:rPr>
                <w:rFonts w:ascii="宋体" w:hAnsi="宋体" w:cs="宋体"/>
                <w:sz w:val="21"/>
                <w:szCs w:val="21"/>
              </w:rPr>
              <w:t>6.物资管理。（1）入库管理：物资入库、入库信息查询等。（2）库存管理：库存信息查询、有效期预警与报警、库存量预警与报警、库存信息修改管理。（3）出库管理：标准物质出库管理、出库信息查询、出库二维码生成。（4）两毒一爆物资管理</w:t>
            </w:r>
            <w:r>
              <w:rPr>
                <w:rFonts w:hint="eastAsia" w:ascii="宋体" w:hAnsi="宋体" w:cs="宋体"/>
                <w:sz w:val="21"/>
                <w:szCs w:val="21"/>
              </w:rPr>
              <w:t>：管理模式类似标准物质试剂管理</w:t>
            </w:r>
            <w:r>
              <w:rPr>
                <w:rFonts w:ascii="宋体" w:hAnsi="宋体" w:cs="宋体"/>
                <w:sz w:val="21"/>
                <w:szCs w:val="21"/>
              </w:rPr>
              <w:t>。（5）标准溶液配置</w:t>
            </w:r>
            <w:r>
              <w:rPr>
                <w:rFonts w:hint="eastAsia" w:ascii="宋体" w:hAnsi="宋体" w:cs="宋体"/>
                <w:sz w:val="21"/>
                <w:szCs w:val="21"/>
              </w:rPr>
              <w:t>：提供标准溶液配置登记功能，记录标准溶液基本信息，登记标准溶液配置相关的原溶液信息、试剂信息、标准溶液配置情况信息。并动态跟踪标准溶液使用情况</w:t>
            </w:r>
            <w:r>
              <w:rPr>
                <w:rFonts w:ascii="宋体" w:hAnsi="宋体" w:cs="宋体"/>
                <w:sz w:val="21"/>
                <w:szCs w:val="21"/>
              </w:rPr>
              <w:t>。（6）已领用试剂耗材管理</w:t>
            </w:r>
            <w:r>
              <w:rPr>
                <w:rFonts w:hint="eastAsia" w:ascii="宋体" w:hAnsi="宋体" w:cs="宋体"/>
                <w:sz w:val="21"/>
                <w:szCs w:val="21"/>
              </w:rPr>
              <w:t>：对已领用试剂耗材进行管理</w:t>
            </w:r>
            <w:r>
              <w:rPr>
                <w:rFonts w:ascii="宋体" w:hAnsi="宋体" w:cs="宋体"/>
                <w:sz w:val="21"/>
                <w:szCs w:val="21"/>
              </w:rPr>
              <w:t>。（7）试剂配制在线登记</w:t>
            </w:r>
            <w:r>
              <w:rPr>
                <w:rFonts w:hint="eastAsia" w:ascii="宋体" w:hAnsi="宋体" w:cs="宋体"/>
                <w:sz w:val="21"/>
                <w:szCs w:val="21"/>
              </w:rPr>
              <w:t>：可以在线填写试剂配制记录表、易制毒试剂使用登记表等，并能将相关试剂信息（如试剂开启时间、使用量、使用时间、剩余量等）进行动态统计</w:t>
            </w:r>
            <w:r>
              <w:rPr>
                <w:rFonts w:ascii="宋体" w:hAnsi="宋体" w:cs="宋体"/>
                <w:sz w:val="21"/>
                <w:szCs w:val="21"/>
              </w:rPr>
              <w:t>。</w:t>
            </w:r>
          </w:p>
          <w:p w14:paraId="5A753852">
            <w:pPr>
              <w:pStyle w:val="2"/>
              <w:spacing w:line="400" w:lineRule="exact"/>
              <w:ind w:firstLine="480"/>
              <w:rPr>
                <w:rFonts w:hint="eastAsia" w:ascii="宋体" w:hAnsi="宋体" w:cs="宋体"/>
                <w:sz w:val="21"/>
                <w:szCs w:val="21"/>
              </w:rPr>
            </w:pPr>
            <w:r>
              <w:rPr>
                <w:rFonts w:ascii="宋体" w:hAnsi="宋体" w:cs="宋体"/>
                <w:sz w:val="21"/>
                <w:szCs w:val="21"/>
              </w:rPr>
              <w:t>7.环境监控：楼房楼栋管理、环境监控等。</w:t>
            </w:r>
          </w:p>
          <w:p w14:paraId="22ABB709">
            <w:pPr>
              <w:pStyle w:val="2"/>
              <w:spacing w:line="400" w:lineRule="exact"/>
              <w:ind w:firstLine="480"/>
              <w:rPr>
                <w:rFonts w:hint="eastAsia" w:ascii="宋体" w:hAnsi="宋体" w:cs="宋体"/>
                <w:sz w:val="21"/>
                <w:szCs w:val="21"/>
              </w:rPr>
            </w:pPr>
            <w:r>
              <w:rPr>
                <w:rFonts w:ascii="宋体" w:hAnsi="宋体" w:cs="宋体"/>
                <w:sz w:val="21"/>
                <w:szCs w:val="21"/>
              </w:rPr>
              <w:t>8.数据管理：主要包含计量单位、修约规则、数据修改留痕等功能，主要实现实验室内分析方法数据、标准数据、修约规则等数据的规范化管理。</w:t>
            </w:r>
          </w:p>
          <w:p w14:paraId="5D185159">
            <w:pPr>
              <w:pStyle w:val="2"/>
              <w:spacing w:line="400" w:lineRule="exact"/>
              <w:ind w:firstLine="480"/>
              <w:rPr>
                <w:rFonts w:hint="eastAsia" w:ascii="宋体" w:hAnsi="宋体" w:cs="宋体"/>
                <w:sz w:val="21"/>
                <w:szCs w:val="21"/>
              </w:rPr>
            </w:pPr>
            <w:r>
              <w:rPr>
                <w:rFonts w:ascii="宋体" w:hAnsi="宋体" w:cs="宋体"/>
                <w:sz w:val="21"/>
                <w:szCs w:val="21"/>
              </w:rPr>
              <w:t>数据修改留痕管理。包括任务相关留痕、流程相关留痕、采样相关留痕、分析相关留痕、修改留痕与查询管理等。</w:t>
            </w:r>
          </w:p>
          <w:p w14:paraId="5A93781A">
            <w:pPr>
              <w:pStyle w:val="2"/>
              <w:spacing w:line="400" w:lineRule="exact"/>
              <w:ind w:firstLine="480"/>
              <w:rPr>
                <w:rFonts w:hint="eastAsia" w:ascii="宋体" w:hAnsi="宋体" w:cs="宋体"/>
                <w:sz w:val="21"/>
                <w:szCs w:val="21"/>
              </w:rPr>
            </w:pPr>
            <w:r>
              <w:rPr>
                <w:rFonts w:ascii="宋体" w:hAnsi="宋体" w:cs="宋体"/>
                <w:sz w:val="21"/>
                <w:szCs w:val="21"/>
              </w:rPr>
              <w:t>9.文件管理：文件管理、文件分发、文件下载、文档变更、统计分析等。</w:t>
            </w:r>
          </w:p>
          <w:p w14:paraId="13F591F9">
            <w:pPr>
              <w:pStyle w:val="2"/>
              <w:spacing w:line="400" w:lineRule="exact"/>
              <w:ind w:firstLine="480"/>
              <w:rPr>
                <w:rFonts w:hint="eastAsia" w:ascii="宋体" w:hAnsi="宋体" w:cs="宋体"/>
                <w:sz w:val="21"/>
                <w:szCs w:val="21"/>
              </w:rPr>
            </w:pPr>
            <w:r>
              <w:rPr>
                <w:rFonts w:ascii="宋体" w:hAnsi="宋体" w:cs="宋体"/>
                <w:sz w:val="21"/>
                <w:szCs w:val="21"/>
              </w:rPr>
              <w:t>▲（二）监测对象管理</w:t>
            </w:r>
          </w:p>
          <w:p w14:paraId="7577E9BF">
            <w:pPr>
              <w:pStyle w:val="2"/>
              <w:spacing w:line="400" w:lineRule="exact"/>
              <w:ind w:firstLine="480"/>
              <w:rPr>
                <w:rFonts w:hint="eastAsia" w:ascii="宋体" w:hAnsi="宋体" w:cs="宋体"/>
                <w:sz w:val="21"/>
                <w:szCs w:val="21"/>
              </w:rPr>
            </w:pPr>
            <w:r>
              <w:rPr>
                <w:rFonts w:ascii="宋体" w:hAnsi="宋体" w:cs="宋体"/>
                <w:sz w:val="21"/>
                <w:szCs w:val="21"/>
              </w:rPr>
              <w:t>提供对各类污染源和环境监测点位的管理功能，可对常用测点的详细信息、监测项目等进行管理。主要信息包括：</w:t>
            </w:r>
          </w:p>
          <w:p w14:paraId="550A6701">
            <w:pPr>
              <w:pStyle w:val="2"/>
              <w:spacing w:line="400" w:lineRule="exact"/>
              <w:ind w:firstLine="480"/>
              <w:rPr>
                <w:rFonts w:hint="eastAsia" w:ascii="宋体" w:hAnsi="宋体" w:cs="宋体"/>
                <w:sz w:val="21"/>
                <w:szCs w:val="21"/>
              </w:rPr>
            </w:pPr>
            <w:r>
              <w:rPr>
                <w:rFonts w:ascii="宋体" w:hAnsi="宋体" w:cs="宋体"/>
                <w:sz w:val="21"/>
                <w:szCs w:val="21"/>
              </w:rPr>
              <w:t>要素编号、要素名称、分析类别、排序号、备注、国标编号、项目编号、项目名称、持证人员、分析方法、分析设备等。</w:t>
            </w:r>
          </w:p>
          <w:p w14:paraId="19F0C383">
            <w:pPr>
              <w:pStyle w:val="2"/>
              <w:spacing w:line="400" w:lineRule="exact"/>
              <w:ind w:firstLine="480"/>
              <w:rPr>
                <w:rFonts w:hint="eastAsia" w:ascii="宋体" w:hAnsi="宋体" w:cs="宋体"/>
                <w:sz w:val="21"/>
                <w:szCs w:val="21"/>
              </w:rPr>
            </w:pPr>
            <w:r>
              <w:rPr>
                <w:rFonts w:ascii="宋体" w:hAnsi="宋体" w:cs="宋体"/>
                <w:sz w:val="21"/>
                <w:szCs w:val="21"/>
              </w:rPr>
              <w:t>1.环境质量监测点管理</w:t>
            </w:r>
          </w:p>
          <w:p w14:paraId="42B0A1D7">
            <w:pPr>
              <w:pStyle w:val="2"/>
              <w:spacing w:line="400" w:lineRule="exact"/>
              <w:ind w:firstLine="480"/>
              <w:rPr>
                <w:rFonts w:hint="eastAsia" w:ascii="宋体" w:hAnsi="宋体" w:cs="宋体"/>
                <w:sz w:val="21"/>
                <w:szCs w:val="21"/>
              </w:rPr>
            </w:pPr>
            <w:r>
              <w:rPr>
                <w:rFonts w:ascii="宋体" w:hAnsi="宋体" w:cs="宋体"/>
                <w:sz w:val="21"/>
                <w:szCs w:val="21"/>
              </w:rPr>
              <w:t>包括海水、地表水、地下水、饮用水、大气、交通噪声、区域噪声、功能区噪声、土壤、底泥、生物等各监测点（断面）的基本信息以及相关监测数据，还应包括取水口信息。反映监测点位的环境管理级别、编号、名称、经纬度、断面宽度、垂线分布、点位水深等信息，并应用于编制监测计划（常规监测的时间、频率、项目等）。</w:t>
            </w:r>
          </w:p>
          <w:p w14:paraId="39FE3428">
            <w:pPr>
              <w:pStyle w:val="2"/>
              <w:spacing w:line="400" w:lineRule="exact"/>
              <w:ind w:firstLine="480"/>
              <w:rPr>
                <w:rFonts w:hint="eastAsia" w:ascii="宋体" w:hAnsi="宋体" w:cs="宋体"/>
                <w:sz w:val="21"/>
                <w:szCs w:val="21"/>
              </w:rPr>
            </w:pPr>
            <w:r>
              <w:rPr>
                <w:rFonts w:ascii="宋体" w:hAnsi="宋体" w:cs="宋体"/>
                <w:sz w:val="21"/>
                <w:szCs w:val="21"/>
              </w:rPr>
              <w:t>2.污染源的基础信息</w:t>
            </w:r>
          </w:p>
          <w:p w14:paraId="2B129B3F">
            <w:pPr>
              <w:pStyle w:val="2"/>
              <w:spacing w:line="400" w:lineRule="exact"/>
              <w:ind w:firstLine="480"/>
              <w:rPr>
                <w:rFonts w:hint="eastAsia" w:ascii="宋体" w:hAnsi="宋体" w:cs="宋体"/>
                <w:sz w:val="21"/>
                <w:szCs w:val="21"/>
              </w:rPr>
            </w:pPr>
            <w:r>
              <w:rPr>
                <w:rFonts w:ascii="宋体" w:hAnsi="宋体" w:cs="宋体"/>
                <w:sz w:val="21"/>
                <w:szCs w:val="21"/>
              </w:rPr>
              <w:t>包括废水、废气、污水处理厂、垃圾填埋场等污染源的基础信息以及相关监测数据。可以根据此数据库查询污染源基础信息，应包括监测报告所涉及的所有的企业信息，如地址及所属功能区、所属行业、排污去向、规模、建设时间、法人代表、联系人等；同时反应污染源环境管理级别，可根据污染源不同环境管理级别编制监测计划，系统应根据企业基础信息自动选择评价标准及标准值，并进行判断是否达标。</w:t>
            </w:r>
          </w:p>
          <w:p w14:paraId="7D84C71C">
            <w:pPr>
              <w:pStyle w:val="2"/>
              <w:spacing w:line="400" w:lineRule="exact"/>
              <w:ind w:firstLine="480"/>
              <w:rPr>
                <w:rFonts w:hint="eastAsia" w:ascii="宋体" w:hAnsi="宋体" w:cs="宋体"/>
                <w:sz w:val="21"/>
                <w:szCs w:val="21"/>
              </w:rPr>
            </w:pPr>
            <w:r>
              <w:rPr>
                <w:rFonts w:ascii="宋体" w:hAnsi="宋体" w:cs="宋体"/>
                <w:sz w:val="21"/>
                <w:szCs w:val="21"/>
              </w:rPr>
              <w:t>▲（三）监测过程管理</w:t>
            </w:r>
          </w:p>
          <w:p w14:paraId="63965DF6">
            <w:pPr>
              <w:pStyle w:val="2"/>
              <w:spacing w:line="400" w:lineRule="exact"/>
              <w:ind w:firstLine="480"/>
              <w:rPr>
                <w:rFonts w:hint="eastAsia" w:ascii="宋体" w:hAnsi="宋体" w:cs="宋体"/>
                <w:sz w:val="21"/>
                <w:szCs w:val="21"/>
              </w:rPr>
            </w:pPr>
            <w:r>
              <w:rPr>
                <w:rFonts w:ascii="宋体" w:hAnsi="宋体" w:cs="宋体"/>
                <w:sz w:val="21"/>
                <w:szCs w:val="21"/>
              </w:rPr>
              <w:t>1.任务启动：大任务管理、子任务管理。</w:t>
            </w:r>
          </w:p>
          <w:p w14:paraId="2C1D5AEC">
            <w:pPr>
              <w:pStyle w:val="2"/>
              <w:spacing w:line="400" w:lineRule="exact"/>
              <w:ind w:firstLine="480"/>
              <w:rPr>
                <w:rFonts w:hint="eastAsia" w:ascii="宋体" w:hAnsi="宋体" w:cs="宋体"/>
                <w:sz w:val="21"/>
                <w:szCs w:val="21"/>
              </w:rPr>
            </w:pPr>
            <w:r>
              <w:rPr>
                <w:rFonts w:ascii="宋体" w:hAnsi="宋体" w:cs="宋体"/>
                <w:sz w:val="21"/>
                <w:szCs w:val="21"/>
              </w:rPr>
              <w:t>2.任务管理：监测任务管理、指令性监测计划管理、监测计划编制、计划任务调整、监测计划下达、委托监测任务管理、送样监测任务管理、待办任务管理等。</w:t>
            </w:r>
          </w:p>
          <w:p w14:paraId="1D2CB5AB">
            <w:pPr>
              <w:pStyle w:val="2"/>
              <w:spacing w:line="400" w:lineRule="exact"/>
              <w:ind w:firstLine="480"/>
              <w:rPr>
                <w:rFonts w:hint="eastAsia" w:ascii="宋体" w:hAnsi="宋体" w:cs="宋体"/>
                <w:sz w:val="21"/>
                <w:szCs w:val="21"/>
              </w:rPr>
            </w:pPr>
            <w:r>
              <w:rPr>
                <w:rFonts w:ascii="宋体" w:hAnsi="宋体" w:cs="宋体"/>
                <w:sz w:val="21"/>
                <w:szCs w:val="21"/>
              </w:rPr>
              <w:t>3.监测方案管理：方案编制、方案信息批量导入、数据校验管理等。</w:t>
            </w:r>
          </w:p>
          <w:p w14:paraId="62087E44">
            <w:pPr>
              <w:pStyle w:val="2"/>
              <w:spacing w:line="400" w:lineRule="exact"/>
              <w:ind w:firstLine="480"/>
              <w:rPr>
                <w:rFonts w:hint="eastAsia" w:ascii="宋体" w:hAnsi="宋体" w:cs="宋体"/>
                <w:sz w:val="21"/>
                <w:szCs w:val="21"/>
              </w:rPr>
            </w:pPr>
            <w:r>
              <w:rPr>
                <w:rFonts w:ascii="宋体" w:hAnsi="宋体" w:cs="宋体"/>
                <w:sz w:val="21"/>
                <w:szCs w:val="21"/>
              </w:rPr>
              <w:t>4.采样管理：采样任务分配、采样计划编制、样品登记、采样结果录入、采样记录补录、采样记录审核、样品交接、样品信息录入、样品登记接收、样品合并、样品批量管理导入、批量取样、无效样品清理、样品查询统计、应急监测功能管理等。</w:t>
            </w:r>
          </w:p>
          <w:p w14:paraId="4AD101F6">
            <w:pPr>
              <w:pStyle w:val="2"/>
              <w:spacing w:line="400" w:lineRule="exact"/>
              <w:ind w:firstLine="480"/>
              <w:rPr>
                <w:rFonts w:hint="eastAsia" w:ascii="宋体" w:hAnsi="宋体" w:cs="宋体"/>
                <w:sz w:val="21"/>
                <w:szCs w:val="21"/>
              </w:rPr>
            </w:pPr>
            <w:r>
              <w:rPr>
                <w:rFonts w:ascii="宋体" w:hAnsi="宋体" w:cs="宋体"/>
                <w:sz w:val="21"/>
                <w:szCs w:val="21"/>
              </w:rPr>
              <w:t>5.样品管理：留样管理、样品清理等。</w:t>
            </w:r>
          </w:p>
          <w:p w14:paraId="43B082DA">
            <w:pPr>
              <w:pStyle w:val="2"/>
              <w:spacing w:line="400" w:lineRule="exact"/>
              <w:ind w:firstLine="480"/>
              <w:rPr>
                <w:rFonts w:hint="eastAsia" w:ascii="宋体" w:hAnsi="宋体" w:cs="宋体"/>
                <w:sz w:val="21"/>
                <w:szCs w:val="21"/>
              </w:rPr>
            </w:pPr>
            <w:r>
              <w:rPr>
                <w:rFonts w:ascii="宋体" w:hAnsi="宋体" w:cs="宋体"/>
                <w:sz w:val="21"/>
                <w:szCs w:val="21"/>
              </w:rPr>
              <w:t>6.分析管理：任务分配、取样分析、数据录入、质控样添加管理、数据审核（记录复核、质控审核、记录审核、分析校核、主任审核、质控管理质控审核）、生物分析管理、标准物资关联、取样工作台、退样工作台、分析工作台、分析结果录入、设置检出限及修约规则、原始分析记录结果自动计算、分析仪器数据自动提取、添加质控样品、分析人员资质判定、仪器状态判定、质控样品结果提示、分析结果智能提醒、标准曲线管理、人员工作量监控等。</w:t>
            </w:r>
          </w:p>
          <w:p w14:paraId="3A5D8D6A">
            <w:pPr>
              <w:pStyle w:val="2"/>
              <w:spacing w:line="400" w:lineRule="exact"/>
              <w:ind w:firstLine="480"/>
              <w:rPr>
                <w:rFonts w:hint="eastAsia" w:ascii="宋体" w:hAnsi="宋体" w:cs="宋体"/>
                <w:sz w:val="21"/>
                <w:szCs w:val="21"/>
              </w:rPr>
            </w:pPr>
            <w:r>
              <w:rPr>
                <w:rFonts w:ascii="宋体" w:hAnsi="宋体" w:cs="宋体"/>
                <w:sz w:val="21"/>
                <w:szCs w:val="21"/>
              </w:rPr>
              <w:t>7.质控管理：质控样添加、质控审核结果打印、质量监督及评审、资质能力管理、质控报表生成、质量控制图生成、质控统计（质控报表总表、项目的空白值统计、密码样统计）、质控样（标准物质）期间核查管理等。</w:t>
            </w:r>
          </w:p>
          <w:p w14:paraId="5D97C0D4">
            <w:pPr>
              <w:pStyle w:val="2"/>
              <w:spacing w:line="400" w:lineRule="exact"/>
              <w:ind w:firstLine="480"/>
              <w:rPr>
                <w:rFonts w:hint="eastAsia" w:ascii="宋体" w:hAnsi="宋体" w:cs="宋体"/>
                <w:sz w:val="21"/>
                <w:szCs w:val="21"/>
              </w:rPr>
            </w:pPr>
            <w:r>
              <w:rPr>
                <w:rFonts w:ascii="宋体" w:hAnsi="宋体" w:cs="宋体"/>
                <w:sz w:val="21"/>
                <w:szCs w:val="21"/>
              </w:rPr>
              <w:t>8.支撑管理：评审管理、质量监督检查（质量监督检查计划管理、质量监督检查表录入、质量监督检查报告生成）、不符合项管理等。</w:t>
            </w:r>
          </w:p>
          <w:p w14:paraId="49E40052">
            <w:pPr>
              <w:pStyle w:val="2"/>
              <w:spacing w:line="400" w:lineRule="exact"/>
              <w:ind w:firstLine="480"/>
              <w:rPr>
                <w:rFonts w:hint="eastAsia" w:ascii="宋体" w:hAnsi="宋体" w:cs="宋体"/>
                <w:sz w:val="21"/>
                <w:szCs w:val="21"/>
              </w:rPr>
            </w:pPr>
            <w:r>
              <w:rPr>
                <w:rFonts w:ascii="宋体" w:hAnsi="宋体" w:cs="宋体"/>
                <w:sz w:val="21"/>
                <w:szCs w:val="21"/>
              </w:rPr>
              <w:t>9.报告管理：报告编制、报告复核、报告审核、报告签发、报告归档、报表编制等。</w:t>
            </w:r>
          </w:p>
          <w:p w14:paraId="2980DF00">
            <w:pPr>
              <w:pStyle w:val="2"/>
              <w:spacing w:line="400" w:lineRule="exact"/>
              <w:ind w:firstLine="480"/>
              <w:rPr>
                <w:rFonts w:hint="eastAsia" w:ascii="宋体" w:hAnsi="宋体" w:cs="宋体"/>
                <w:sz w:val="21"/>
                <w:szCs w:val="21"/>
              </w:rPr>
            </w:pPr>
            <w:r>
              <w:rPr>
                <w:rFonts w:ascii="宋体" w:hAnsi="宋体" w:cs="宋体"/>
                <w:sz w:val="21"/>
                <w:szCs w:val="21"/>
              </w:rPr>
              <w:t>▲（四）文档中心</w:t>
            </w:r>
          </w:p>
          <w:p w14:paraId="2F2C1C40">
            <w:pPr>
              <w:pStyle w:val="2"/>
              <w:spacing w:line="400" w:lineRule="exact"/>
              <w:ind w:firstLine="480"/>
              <w:rPr>
                <w:rFonts w:hint="eastAsia" w:ascii="宋体" w:hAnsi="宋体" w:cs="宋体"/>
                <w:sz w:val="21"/>
                <w:szCs w:val="21"/>
              </w:rPr>
            </w:pPr>
            <w:r>
              <w:rPr>
                <w:rFonts w:ascii="宋体" w:hAnsi="宋体" w:cs="宋体"/>
                <w:sz w:val="21"/>
                <w:szCs w:val="21"/>
              </w:rPr>
              <w:t>对标准方法、作业指导书、规范文件等进行分类、汇总，方便工作人员检索、上传和下载监测站相关文档。包括文件上传、文件搜索、文档库授权、日志记录等。</w:t>
            </w:r>
          </w:p>
          <w:p w14:paraId="3D68EBFA">
            <w:pPr>
              <w:pStyle w:val="2"/>
              <w:spacing w:line="400" w:lineRule="exact"/>
              <w:ind w:firstLine="480"/>
              <w:rPr>
                <w:rFonts w:hint="eastAsia" w:ascii="宋体" w:hAnsi="宋体" w:cs="宋体"/>
                <w:sz w:val="21"/>
                <w:szCs w:val="21"/>
              </w:rPr>
            </w:pPr>
            <w:r>
              <w:rPr>
                <w:rFonts w:ascii="宋体" w:hAnsi="宋体" w:cs="宋体"/>
                <w:sz w:val="21"/>
                <w:szCs w:val="21"/>
              </w:rPr>
              <w:t>▲（五）统计查询</w:t>
            </w:r>
          </w:p>
          <w:p w14:paraId="5B65826C">
            <w:pPr>
              <w:pStyle w:val="2"/>
              <w:spacing w:line="400" w:lineRule="exact"/>
              <w:ind w:firstLine="480"/>
              <w:rPr>
                <w:rFonts w:hint="eastAsia" w:ascii="宋体" w:hAnsi="宋体" w:cs="宋体"/>
                <w:sz w:val="21"/>
                <w:szCs w:val="21"/>
              </w:rPr>
            </w:pPr>
            <w:r>
              <w:rPr>
                <w:rFonts w:ascii="宋体" w:hAnsi="宋体" w:cs="宋体"/>
                <w:sz w:val="21"/>
                <w:szCs w:val="21"/>
              </w:rPr>
              <w:t>包括监测任务统计、分析任务统计、质控样统计、任务跟踪查询、监测计划跟踪、任务完成情况、样品台账情况、样品交接查询、采样记录查询、取样单查询、分析结果查询、报告数据查询等。</w:t>
            </w:r>
          </w:p>
          <w:p w14:paraId="5B23070F">
            <w:pPr>
              <w:pStyle w:val="2"/>
              <w:spacing w:line="400" w:lineRule="exact"/>
              <w:ind w:firstLine="480"/>
              <w:rPr>
                <w:rFonts w:hint="eastAsia" w:ascii="宋体" w:hAnsi="宋体" w:cs="宋体"/>
                <w:sz w:val="21"/>
                <w:szCs w:val="21"/>
              </w:rPr>
            </w:pPr>
            <w:r>
              <w:rPr>
                <w:rFonts w:ascii="宋体" w:hAnsi="宋体" w:cs="宋体"/>
                <w:sz w:val="21"/>
                <w:szCs w:val="21"/>
              </w:rPr>
              <w:t>▲（六）移动监测APP</w:t>
            </w:r>
          </w:p>
          <w:p w14:paraId="006B0DC0">
            <w:pPr>
              <w:pStyle w:val="2"/>
              <w:spacing w:line="400" w:lineRule="exact"/>
              <w:ind w:firstLine="480"/>
              <w:rPr>
                <w:rFonts w:hint="eastAsia" w:ascii="宋体" w:hAnsi="宋体" w:cs="宋体"/>
                <w:sz w:val="21"/>
                <w:szCs w:val="21"/>
              </w:rPr>
            </w:pPr>
            <w:r>
              <w:rPr>
                <w:rFonts w:ascii="宋体" w:hAnsi="宋体" w:cs="宋体"/>
                <w:sz w:val="21"/>
                <w:szCs w:val="21"/>
              </w:rPr>
              <w:t>基于</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APP进行建设。</w:t>
            </w:r>
          </w:p>
          <w:p w14:paraId="409D9E65">
            <w:pPr>
              <w:pStyle w:val="2"/>
              <w:spacing w:line="400" w:lineRule="exact"/>
              <w:ind w:firstLine="480"/>
              <w:rPr>
                <w:rFonts w:hint="eastAsia" w:ascii="宋体" w:hAnsi="宋体" w:cs="宋体"/>
                <w:sz w:val="21"/>
                <w:szCs w:val="21"/>
              </w:rPr>
            </w:pPr>
            <w:r>
              <w:rPr>
                <w:rFonts w:ascii="宋体" w:hAnsi="宋体" w:cs="宋体"/>
                <w:sz w:val="21"/>
                <w:szCs w:val="21"/>
              </w:rPr>
              <w:t>1.临时任务管理：临时任务下达、监测点位维护等。</w:t>
            </w:r>
          </w:p>
          <w:p w14:paraId="01DF8D88">
            <w:pPr>
              <w:pStyle w:val="2"/>
              <w:spacing w:line="400" w:lineRule="exact"/>
              <w:ind w:firstLine="480"/>
              <w:rPr>
                <w:rFonts w:hint="eastAsia" w:ascii="宋体" w:hAnsi="宋体" w:cs="宋体"/>
                <w:sz w:val="21"/>
                <w:szCs w:val="21"/>
              </w:rPr>
            </w:pPr>
            <w:r>
              <w:rPr>
                <w:rFonts w:ascii="宋体" w:hAnsi="宋体" w:cs="宋体"/>
                <w:sz w:val="21"/>
                <w:szCs w:val="21"/>
              </w:rPr>
              <w:t>2.采样管理：采样数据录入、无法采样样品标记等。</w:t>
            </w:r>
          </w:p>
          <w:p w14:paraId="7DBE142B">
            <w:pPr>
              <w:pStyle w:val="2"/>
              <w:spacing w:line="400" w:lineRule="exact"/>
              <w:ind w:firstLine="480"/>
              <w:rPr>
                <w:rFonts w:hint="eastAsia" w:ascii="宋体" w:hAnsi="宋体" w:cs="宋体"/>
                <w:sz w:val="21"/>
                <w:szCs w:val="21"/>
              </w:rPr>
            </w:pPr>
            <w:r>
              <w:rPr>
                <w:rFonts w:ascii="宋体" w:hAnsi="宋体" w:cs="宋体"/>
                <w:sz w:val="21"/>
                <w:szCs w:val="21"/>
              </w:rPr>
              <w:t>3.样品管理：样品交接、样品取样、样品查询统计、无效样品清理等。</w:t>
            </w:r>
          </w:p>
          <w:p w14:paraId="32B53A01">
            <w:pPr>
              <w:pStyle w:val="2"/>
              <w:spacing w:line="400" w:lineRule="exact"/>
              <w:ind w:firstLine="480"/>
              <w:rPr>
                <w:rFonts w:hint="eastAsia" w:ascii="宋体" w:hAnsi="宋体" w:cs="宋体"/>
                <w:sz w:val="21"/>
                <w:szCs w:val="21"/>
              </w:rPr>
            </w:pPr>
            <w:r>
              <w:rPr>
                <w:rFonts w:ascii="宋体" w:hAnsi="宋体" w:cs="宋体"/>
                <w:sz w:val="21"/>
                <w:szCs w:val="21"/>
              </w:rPr>
              <w:t>4.分析管理：标准溶液配置、分析数据录入、标准曲线管理等。</w:t>
            </w:r>
          </w:p>
          <w:p w14:paraId="2796EEF5">
            <w:pPr>
              <w:pStyle w:val="2"/>
              <w:spacing w:line="400" w:lineRule="exact"/>
              <w:ind w:firstLine="480"/>
              <w:rPr>
                <w:rFonts w:hint="eastAsia" w:ascii="宋体" w:hAnsi="宋体" w:cs="宋体"/>
                <w:sz w:val="21"/>
                <w:szCs w:val="21"/>
              </w:rPr>
            </w:pPr>
            <w:r>
              <w:rPr>
                <w:rFonts w:ascii="宋体" w:hAnsi="宋体" w:cs="宋体"/>
                <w:sz w:val="21"/>
                <w:szCs w:val="21"/>
              </w:rPr>
              <w:t>5.仪器管理：仪器使用记录管理、仪器维护记录管理、仪器档案查询等。</w:t>
            </w:r>
          </w:p>
          <w:p w14:paraId="23CA2219">
            <w:pPr>
              <w:pStyle w:val="2"/>
              <w:spacing w:line="400" w:lineRule="exact"/>
              <w:ind w:firstLine="480"/>
              <w:rPr>
                <w:rFonts w:hint="eastAsia" w:ascii="宋体" w:hAnsi="宋体" w:cs="宋体"/>
                <w:sz w:val="21"/>
                <w:szCs w:val="21"/>
              </w:rPr>
            </w:pPr>
            <w:r>
              <w:rPr>
                <w:rFonts w:ascii="宋体" w:hAnsi="宋体" w:cs="宋体"/>
                <w:sz w:val="21"/>
                <w:szCs w:val="21"/>
              </w:rPr>
              <w:t>6.物资管理：物资领用管理、使用记录管理等。</w:t>
            </w:r>
          </w:p>
          <w:p w14:paraId="790889D6">
            <w:pPr>
              <w:pStyle w:val="2"/>
              <w:spacing w:line="400" w:lineRule="exact"/>
              <w:ind w:firstLine="480"/>
              <w:rPr>
                <w:rFonts w:hint="eastAsia" w:ascii="宋体" w:hAnsi="宋体" w:cs="宋体"/>
                <w:sz w:val="21"/>
                <w:szCs w:val="21"/>
              </w:rPr>
            </w:pPr>
            <w:r>
              <w:rPr>
                <w:rFonts w:ascii="宋体" w:hAnsi="宋体" w:cs="宋体"/>
                <w:sz w:val="21"/>
                <w:szCs w:val="21"/>
              </w:rPr>
              <w:t>7.图片快传管理：任务资料图片快传、采样/分析图片上传、后台二维码标识、上传传输列表管理等。</w:t>
            </w:r>
          </w:p>
          <w:p w14:paraId="307D4149">
            <w:pPr>
              <w:pStyle w:val="2"/>
              <w:spacing w:line="400" w:lineRule="exact"/>
              <w:ind w:firstLine="480"/>
              <w:rPr>
                <w:rFonts w:hint="eastAsia" w:ascii="宋体" w:hAnsi="宋体" w:cs="宋体"/>
                <w:sz w:val="21"/>
                <w:szCs w:val="21"/>
              </w:rPr>
            </w:pPr>
            <w:r>
              <w:rPr>
                <w:rFonts w:ascii="宋体" w:hAnsi="宋体" w:cs="宋体"/>
                <w:sz w:val="21"/>
                <w:szCs w:val="21"/>
              </w:rPr>
              <w:t>8. 查询统计：采样单查询、交接单查询、报告查询、通讯录管理等。</w:t>
            </w:r>
          </w:p>
          <w:p w14:paraId="2565A8DA">
            <w:pPr>
              <w:pStyle w:val="2"/>
              <w:spacing w:line="400" w:lineRule="exact"/>
              <w:ind w:firstLine="480"/>
              <w:rPr>
                <w:rFonts w:hint="eastAsia" w:ascii="宋体" w:hAnsi="宋体" w:cs="宋体"/>
                <w:sz w:val="21"/>
                <w:szCs w:val="21"/>
              </w:rPr>
            </w:pPr>
            <w:r>
              <w:rPr>
                <w:rFonts w:ascii="宋体" w:hAnsi="宋体" w:cs="宋体"/>
                <w:sz w:val="21"/>
                <w:szCs w:val="21"/>
              </w:rPr>
              <w:t>七、大气监测数据快速统计及分析应用</w:t>
            </w:r>
          </w:p>
          <w:p w14:paraId="3DA8680E">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43C52ABC">
            <w:pPr>
              <w:pStyle w:val="2"/>
              <w:spacing w:line="400" w:lineRule="exact"/>
              <w:ind w:firstLine="480"/>
              <w:rPr>
                <w:rFonts w:hint="eastAsia" w:ascii="宋体" w:hAnsi="宋体" w:cs="宋体"/>
                <w:sz w:val="21"/>
                <w:szCs w:val="21"/>
              </w:rPr>
            </w:pPr>
            <w:r>
              <w:rPr>
                <w:rFonts w:ascii="宋体" w:hAnsi="宋体" w:cs="宋体"/>
                <w:sz w:val="21"/>
                <w:szCs w:val="21"/>
              </w:rPr>
              <w:t>对大气监测数据快速统计及分析系统功能进行重构和升级，主要包括功能逻辑，功能界面重构以及利用开源自主可控平台的重新开发，一方面是完成</w:t>
            </w:r>
            <w:r>
              <w:rPr>
                <w:rFonts w:hint="eastAsia" w:ascii="宋体" w:hAnsi="宋体" w:cs="宋体"/>
                <w:sz w:val="21"/>
                <w:szCs w:val="21"/>
              </w:rPr>
              <w:t>国产技术栈</w:t>
            </w:r>
            <w:r>
              <w:rPr>
                <w:rFonts w:ascii="宋体" w:hAnsi="宋体" w:cs="宋体"/>
                <w:sz w:val="21"/>
                <w:szCs w:val="21"/>
              </w:rPr>
              <w:t>改造，确保改造后的系统兼容主流的国产操作系统、或开源数据库（遵循SQL国际标准），实现信息系统在国产操作系统环境下平稳运行。二是根据业务需求的调整，对系统功能进行适当的优化</w:t>
            </w:r>
            <w:r>
              <w:rPr>
                <w:rFonts w:hint="eastAsia" w:ascii="宋体" w:hAnsi="宋体" w:cs="宋体"/>
                <w:sz w:val="21"/>
                <w:szCs w:val="21"/>
              </w:rPr>
              <w:t>。</w:t>
            </w:r>
          </w:p>
          <w:p w14:paraId="40CFACC8">
            <w:pPr>
              <w:pStyle w:val="2"/>
              <w:spacing w:line="400" w:lineRule="exact"/>
              <w:ind w:firstLine="480"/>
              <w:rPr>
                <w:rFonts w:hint="eastAsia" w:ascii="宋体" w:hAnsi="宋体" w:cs="宋体"/>
                <w:sz w:val="21"/>
                <w:szCs w:val="21"/>
              </w:rPr>
            </w:pPr>
            <w:r>
              <w:rPr>
                <w:rFonts w:hint="eastAsia" w:ascii="宋体" w:hAnsi="宋体" w:cs="宋体"/>
                <w:sz w:val="21"/>
                <w:szCs w:val="21"/>
              </w:rPr>
              <w:t>应用需</w:t>
            </w:r>
            <w:r>
              <w:rPr>
                <w:rFonts w:ascii="宋体" w:hAnsi="宋体" w:cs="宋体"/>
                <w:sz w:val="21"/>
                <w:szCs w:val="21"/>
              </w:rPr>
              <w:t>按照广西生态环境业务应用系统的总体架构要求，将大气监测数据快速统计及分析系统的功能模块进行逻辑分组重建，利用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w:t>
            </w:r>
          </w:p>
          <w:p w14:paraId="1A8F338A">
            <w:pPr>
              <w:pStyle w:val="2"/>
              <w:spacing w:line="400" w:lineRule="exact"/>
              <w:ind w:firstLine="480"/>
              <w:rPr>
                <w:rFonts w:hint="eastAsia" w:ascii="宋体" w:hAnsi="宋体" w:cs="宋体"/>
                <w:sz w:val="21"/>
                <w:szCs w:val="21"/>
              </w:rPr>
            </w:pPr>
            <w:r>
              <w:rPr>
                <w:rFonts w:ascii="宋体" w:hAnsi="宋体" w:cs="宋体"/>
                <w:sz w:val="21"/>
                <w:szCs w:val="21"/>
              </w:rPr>
              <w:t>▲（二）应用重构。</w:t>
            </w:r>
          </w:p>
          <w:p w14:paraId="3E40DF6A">
            <w:pPr>
              <w:pStyle w:val="2"/>
              <w:spacing w:line="400" w:lineRule="exact"/>
              <w:ind w:firstLine="480"/>
              <w:rPr>
                <w:rFonts w:hint="eastAsia" w:ascii="宋体" w:hAnsi="宋体" w:cs="宋体"/>
                <w:sz w:val="21"/>
                <w:szCs w:val="21"/>
              </w:rPr>
            </w:pPr>
            <w:r>
              <w:rPr>
                <w:rFonts w:ascii="宋体" w:hAnsi="宋体" w:cs="宋体"/>
                <w:sz w:val="21"/>
                <w:szCs w:val="21"/>
              </w:rPr>
              <w:t>1.首页</w:t>
            </w:r>
          </w:p>
          <w:p w14:paraId="3EC52776">
            <w:pPr>
              <w:pStyle w:val="2"/>
              <w:spacing w:line="400" w:lineRule="exact"/>
              <w:ind w:firstLine="480"/>
              <w:rPr>
                <w:rFonts w:hint="eastAsia" w:ascii="宋体" w:hAnsi="宋体" w:cs="宋体"/>
                <w:sz w:val="21"/>
                <w:szCs w:val="21"/>
              </w:rPr>
            </w:pPr>
            <w:r>
              <w:rPr>
                <w:rFonts w:ascii="宋体" w:hAnsi="宋体" w:cs="宋体"/>
                <w:sz w:val="21"/>
                <w:szCs w:val="21"/>
              </w:rPr>
              <w:t>实时获取研究区域内高空风场、温度场、气压场、云等信息，并可切换不同高度进行显示；实时获取研究区域内环境空气站和环境超级站站点的常规污染信息，包括但不限于AQI、首要污染物、PM2.5、PM10、SO2、NO2、CO、O3等监测参数的实时监测结果，并能够实时展示超级站颗粒物化学组分时间序列图、颗粒物化学重构饼图、VOCs化学组分时间序列图及VOCs组分占比时间序列图等。</w:t>
            </w:r>
          </w:p>
          <w:p w14:paraId="774DC420">
            <w:pPr>
              <w:pStyle w:val="2"/>
              <w:spacing w:line="400" w:lineRule="exact"/>
              <w:ind w:firstLine="480"/>
              <w:rPr>
                <w:rFonts w:hint="eastAsia" w:ascii="宋体" w:hAnsi="宋体" w:cs="宋体"/>
                <w:sz w:val="21"/>
                <w:szCs w:val="21"/>
              </w:rPr>
            </w:pPr>
            <w:r>
              <w:rPr>
                <w:rFonts w:ascii="宋体" w:hAnsi="宋体" w:cs="宋体"/>
                <w:sz w:val="21"/>
                <w:szCs w:val="21"/>
              </w:rPr>
              <w:t>2.数据管理</w:t>
            </w:r>
          </w:p>
          <w:p w14:paraId="1F35CB76">
            <w:pPr>
              <w:pStyle w:val="2"/>
              <w:spacing w:line="400" w:lineRule="exact"/>
              <w:ind w:firstLine="480"/>
              <w:rPr>
                <w:rFonts w:hint="eastAsia" w:ascii="宋体" w:hAnsi="宋体" w:cs="宋体"/>
                <w:sz w:val="21"/>
                <w:szCs w:val="21"/>
              </w:rPr>
            </w:pPr>
            <w:r>
              <w:rPr>
                <w:rFonts w:ascii="宋体" w:hAnsi="宋体" w:cs="宋体"/>
                <w:sz w:val="21"/>
                <w:szCs w:val="21"/>
              </w:rPr>
              <w:t>包括原始数据、数据审核、数据查询等。</w:t>
            </w:r>
          </w:p>
          <w:p w14:paraId="33DCEF1D">
            <w:pPr>
              <w:pStyle w:val="2"/>
              <w:spacing w:line="400" w:lineRule="exact"/>
              <w:ind w:firstLine="480"/>
              <w:rPr>
                <w:rFonts w:hint="eastAsia" w:ascii="宋体" w:hAnsi="宋体" w:cs="宋体"/>
                <w:sz w:val="21"/>
                <w:szCs w:val="21"/>
              </w:rPr>
            </w:pPr>
            <w:r>
              <w:rPr>
                <w:rFonts w:ascii="宋体" w:hAnsi="宋体" w:cs="宋体"/>
                <w:sz w:val="21"/>
                <w:szCs w:val="21"/>
              </w:rPr>
              <w:t>3.数据展示</w:t>
            </w:r>
          </w:p>
          <w:p w14:paraId="34EF4CAC">
            <w:pPr>
              <w:pStyle w:val="2"/>
              <w:spacing w:line="400" w:lineRule="exact"/>
              <w:ind w:firstLine="480"/>
              <w:rPr>
                <w:rFonts w:hint="eastAsia" w:ascii="宋体" w:hAnsi="宋体" w:cs="宋体"/>
                <w:sz w:val="21"/>
                <w:szCs w:val="21"/>
              </w:rPr>
            </w:pPr>
            <w:r>
              <w:rPr>
                <w:rFonts w:ascii="宋体" w:hAnsi="宋体" w:cs="宋体"/>
                <w:sz w:val="21"/>
                <w:szCs w:val="21"/>
              </w:rPr>
              <w:t>包括气象数据、常规污染物监测数据、物理特性、光学特性、化学特性、光化学特性、垂直分布特性、在线源解析结果、扬尘数据等各类序列图、占比饼图等。</w:t>
            </w:r>
          </w:p>
          <w:p w14:paraId="407AA3B6">
            <w:pPr>
              <w:pStyle w:val="2"/>
              <w:spacing w:line="400" w:lineRule="exact"/>
              <w:ind w:firstLine="480"/>
              <w:rPr>
                <w:rFonts w:hint="eastAsia" w:ascii="宋体" w:hAnsi="宋体" w:cs="宋体"/>
                <w:sz w:val="21"/>
                <w:szCs w:val="21"/>
              </w:rPr>
            </w:pPr>
            <w:r>
              <w:rPr>
                <w:rFonts w:ascii="宋体" w:hAnsi="宋体" w:cs="宋体"/>
                <w:sz w:val="21"/>
                <w:szCs w:val="21"/>
              </w:rPr>
              <w:t>4.数据分析</w:t>
            </w:r>
          </w:p>
          <w:p w14:paraId="265123FF">
            <w:pPr>
              <w:pStyle w:val="2"/>
              <w:spacing w:line="400" w:lineRule="exact"/>
              <w:ind w:firstLine="480"/>
              <w:rPr>
                <w:rFonts w:hint="eastAsia" w:ascii="宋体" w:hAnsi="宋体" w:cs="宋体"/>
                <w:sz w:val="21"/>
                <w:szCs w:val="21"/>
              </w:rPr>
            </w:pPr>
            <w:r>
              <w:rPr>
                <w:rFonts w:ascii="宋体" w:hAnsi="宋体" w:cs="宋体"/>
                <w:sz w:val="21"/>
                <w:szCs w:val="21"/>
              </w:rPr>
              <w:t>（1）细颗粒物污染分析：颗粒物污染程度分析、颗粒物污染成因分析、来源特征分析、在线源解析、颗粒物模块综合分析等。</w:t>
            </w:r>
          </w:p>
          <w:p w14:paraId="7BF11B4D">
            <w:pPr>
              <w:pStyle w:val="2"/>
              <w:spacing w:line="400" w:lineRule="exact"/>
              <w:ind w:firstLine="480"/>
              <w:rPr>
                <w:rFonts w:hint="eastAsia" w:ascii="宋体" w:hAnsi="宋体" w:cs="宋体"/>
                <w:sz w:val="21"/>
                <w:szCs w:val="21"/>
              </w:rPr>
            </w:pPr>
            <w:r>
              <w:rPr>
                <w:rFonts w:ascii="宋体" w:hAnsi="宋体" w:cs="宋体"/>
                <w:sz w:val="21"/>
                <w:szCs w:val="21"/>
              </w:rPr>
              <w:t>（2）光化学污染分析：光化学污染程度分析、光化学污染成因分析、臭氧与前体物关系、来源特征分析、在线源解析、光化学污染程度分析等。</w:t>
            </w:r>
          </w:p>
          <w:p w14:paraId="74FDD6B1">
            <w:pPr>
              <w:pStyle w:val="2"/>
              <w:spacing w:line="400" w:lineRule="exact"/>
              <w:ind w:firstLine="480"/>
              <w:rPr>
                <w:rFonts w:hint="eastAsia" w:ascii="宋体" w:hAnsi="宋体" w:cs="宋体"/>
                <w:sz w:val="21"/>
                <w:szCs w:val="21"/>
              </w:rPr>
            </w:pPr>
            <w:r>
              <w:rPr>
                <w:rFonts w:ascii="宋体" w:hAnsi="宋体" w:cs="宋体"/>
                <w:sz w:val="21"/>
                <w:szCs w:val="21"/>
              </w:rPr>
              <w:t>（3） HYSPLIT分析：单点分析、多点分析、聚类分析等。</w:t>
            </w:r>
          </w:p>
          <w:p w14:paraId="083F49D5">
            <w:pPr>
              <w:pStyle w:val="2"/>
              <w:spacing w:line="400" w:lineRule="exact"/>
              <w:ind w:firstLine="480"/>
              <w:rPr>
                <w:rFonts w:hint="eastAsia" w:ascii="宋体" w:hAnsi="宋体" w:cs="宋体"/>
                <w:sz w:val="21"/>
                <w:szCs w:val="21"/>
              </w:rPr>
            </w:pPr>
            <w:r>
              <w:rPr>
                <w:rFonts w:ascii="宋体" w:hAnsi="宋体" w:cs="宋体"/>
                <w:sz w:val="21"/>
                <w:szCs w:val="21"/>
              </w:rPr>
              <w:t>（4）统计分析、频率直方图分析、浓度日历图分析、污染特征分析、时间序列分析、相关性分析等。</w:t>
            </w:r>
          </w:p>
          <w:p w14:paraId="2FE5A49D">
            <w:pPr>
              <w:pStyle w:val="2"/>
              <w:spacing w:line="400" w:lineRule="exact"/>
              <w:ind w:firstLine="480"/>
              <w:rPr>
                <w:rFonts w:hint="eastAsia" w:ascii="宋体" w:hAnsi="宋体" w:cs="宋体"/>
                <w:sz w:val="21"/>
                <w:szCs w:val="21"/>
              </w:rPr>
            </w:pPr>
            <w:r>
              <w:rPr>
                <w:rFonts w:ascii="宋体" w:hAnsi="宋体" w:cs="宋体"/>
                <w:sz w:val="21"/>
                <w:szCs w:val="21"/>
              </w:rPr>
              <w:t>5.报告分析</w:t>
            </w:r>
          </w:p>
          <w:p w14:paraId="709320C2">
            <w:pPr>
              <w:pStyle w:val="2"/>
              <w:spacing w:line="400" w:lineRule="exact"/>
              <w:ind w:firstLine="480"/>
              <w:rPr>
                <w:rFonts w:hint="eastAsia" w:ascii="宋体" w:hAnsi="宋体" w:cs="宋体"/>
                <w:sz w:val="21"/>
                <w:szCs w:val="21"/>
              </w:rPr>
            </w:pPr>
            <w:r>
              <w:rPr>
                <w:rFonts w:ascii="宋体" w:hAnsi="宋体" w:cs="宋体"/>
                <w:sz w:val="21"/>
                <w:szCs w:val="21"/>
              </w:rPr>
              <w:t>将业务人员的日常分析报告自动化生成、渲染，并可导出成WORD进行上报或打印留档。</w:t>
            </w:r>
          </w:p>
          <w:p w14:paraId="1FD38C77">
            <w:pPr>
              <w:pStyle w:val="2"/>
              <w:spacing w:line="400" w:lineRule="exact"/>
              <w:ind w:firstLine="480"/>
              <w:rPr>
                <w:rFonts w:hint="eastAsia" w:ascii="宋体" w:hAnsi="宋体" w:cs="宋体"/>
                <w:sz w:val="21"/>
                <w:szCs w:val="21"/>
              </w:rPr>
            </w:pPr>
            <w:r>
              <w:rPr>
                <w:rFonts w:ascii="宋体" w:hAnsi="宋体" w:cs="宋体"/>
                <w:sz w:val="21"/>
                <w:szCs w:val="21"/>
              </w:rPr>
              <w:t>八、数据工程</w:t>
            </w:r>
          </w:p>
          <w:p w14:paraId="3AC2C2D6">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1D7C45E9">
            <w:pPr>
              <w:pStyle w:val="2"/>
              <w:spacing w:line="400" w:lineRule="exact"/>
              <w:ind w:firstLine="480"/>
              <w:rPr>
                <w:rFonts w:hint="eastAsia" w:ascii="宋体" w:hAnsi="宋体" w:cs="宋体"/>
                <w:sz w:val="21"/>
                <w:szCs w:val="21"/>
              </w:rPr>
            </w:pPr>
            <w:r>
              <w:rPr>
                <w:rFonts w:ascii="宋体" w:hAnsi="宋体" w:cs="宋体"/>
                <w:sz w:val="21"/>
                <w:szCs w:val="21"/>
              </w:rPr>
              <w:t>依托生态环境数据资源平台能力，根据本标包实际建设的生态环境业务应用的实际情况，迁移历史数据，并根据生态环境数据资源平台的数据资源体系对历史数据进行治理，搭建应用的专题数据库。</w:t>
            </w:r>
          </w:p>
          <w:p w14:paraId="7E469655">
            <w:pPr>
              <w:pStyle w:val="2"/>
              <w:spacing w:line="400" w:lineRule="exact"/>
              <w:ind w:firstLine="480"/>
              <w:rPr>
                <w:rFonts w:hint="eastAsia" w:ascii="宋体" w:hAnsi="宋体" w:cs="宋体"/>
                <w:sz w:val="21"/>
                <w:szCs w:val="21"/>
              </w:rPr>
            </w:pPr>
            <w:r>
              <w:rPr>
                <w:rFonts w:ascii="宋体" w:hAnsi="宋体" w:cs="宋体"/>
                <w:sz w:val="21"/>
                <w:szCs w:val="21"/>
              </w:rPr>
              <w:t>▲（二）数据工程建设内容</w:t>
            </w:r>
          </w:p>
          <w:p w14:paraId="79ACDEC6">
            <w:pPr>
              <w:pStyle w:val="2"/>
              <w:spacing w:line="400" w:lineRule="exact"/>
              <w:ind w:firstLine="480"/>
              <w:rPr>
                <w:rFonts w:hint="eastAsia" w:ascii="宋体" w:hAnsi="宋体" w:cs="宋体"/>
                <w:sz w:val="21"/>
                <w:szCs w:val="21"/>
              </w:rPr>
            </w:pPr>
            <w:r>
              <w:rPr>
                <w:rFonts w:ascii="宋体" w:hAnsi="宋体" w:cs="宋体"/>
                <w:sz w:val="21"/>
                <w:szCs w:val="21"/>
              </w:rPr>
              <w:t>1.数据迁移</w:t>
            </w:r>
          </w:p>
          <w:p w14:paraId="61F1A189">
            <w:pPr>
              <w:pStyle w:val="2"/>
              <w:spacing w:line="400" w:lineRule="exact"/>
              <w:ind w:firstLine="480"/>
              <w:rPr>
                <w:rFonts w:hint="eastAsia" w:ascii="宋体" w:hAnsi="宋体" w:cs="宋体"/>
                <w:sz w:val="21"/>
                <w:szCs w:val="21"/>
              </w:rPr>
            </w:pPr>
            <w:r>
              <w:rPr>
                <w:rFonts w:ascii="宋体" w:hAnsi="宋体" w:cs="宋体"/>
                <w:sz w:val="21"/>
                <w:szCs w:val="21"/>
              </w:rPr>
              <w:t>（1）迁移数据源识别和评估</w:t>
            </w:r>
          </w:p>
          <w:p w14:paraId="4C9BDF34">
            <w:pPr>
              <w:pStyle w:val="2"/>
              <w:spacing w:line="400" w:lineRule="exact"/>
              <w:ind w:firstLine="480"/>
              <w:rPr>
                <w:rFonts w:hint="eastAsia" w:ascii="宋体" w:hAnsi="宋体" w:cs="宋体"/>
                <w:sz w:val="21"/>
                <w:szCs w:val="21"/>
              </w:rPr>
            </w:pPr>
            <w:r>
              <w:rPr>
                <w:rFonts w:hint="eastAsia" w:ascii="宋体" w:hAnsi="宋体" w:cs="宋体"/>
                <w:sz w:val="21"/>
                <w:szCs w:val="21"/>
              </w:rPr>
              <w:t>广西生态环境信息化建设项目</w:t>
            </w:r>
            <w:r>
              <w:rPr>
                <w:rFonts w:ascii="宋体" w:hAnsi="宋体" w:cs="宋体"/>
                <w:sz w:val="21"/>
                <w:szCs w:val="21"/>
              </w:rPr>
              <w:t>应用系统进行相关数据迁移部署。</w:t>
            </w:r>
          </w:p>
          <w:p w14:paraId="215920AF">
            <w:pPr>
              <w:pStyle w:val="2"/>
              <w:spacing w:line="400" w:lineRule="exact"/>
              <w:ind w:firstLine="480"/>
              <w:rPr>
                <w:rFonts w:hint="eastAsia" w:ascii="宋体" w:hAnsi="宋体" w:cs="宋体"/>
                <w:sz w:val="21"/>
                <w:szCs w:val="21"/>
              </w:rPr>
            </w:pPr>
            <w:r>
              <w:rPr>
                <w:rFonts w:hint="eastAsia" w:ascii="宋体" w:hAnsi="宋体" w:cs="宋体"/>
                <w:sz w:val="21"/>
                <w:szCs w:val="21"/>
              </w:rPr>
              <w:t>（2）数据迁移目标：采用分步试点验证，风险最小化，安全回滚保障等措施确保实现迁移目标。</w:t>
            </w:r>
          </w:p>
          <w:p w14:paraId="6E63DC77">
            <w:pPr>
              <w:pStyle w:val="2"/>
              <w:spacing w:line="400" w:lineRule="exact"/>
              <w:ind w:firstLine="480"/>
              <w:rPr>
                <w:rFonts w:hint="eastAsia" w:ascii="宋体" w:hAnsi="宋体" w:cs="宋体"/>
                <w:sz w:val="21"/>
                <w:szCs w:val="21"/>
              </w:rPr>
            </w:pPr>
            <w:r>
              <w:rPr>
                <w:rFonts w:hint="eastAsia" w:ascii="宋体" w:hAnsi="宋体" w:cs="宋体"/>
                <w:sz w:val="21"/>
                <w:szCs w:val="21"/>
              </w:rPr>
              <w:t>（3）数据迁移计划编制：包含发布公告、原平台停用、原应用备份、原数据备份、原平台网络策略备份等内容</w:t>
            </w:r>
          </w:p>
          <w:p w14:paraId="0F70FFB1">
            <w:pPr>
              <w:pStyle w:val="2"/>
              <w:spacing w:line="400" w:lineRule="exact"/>
              <w:ind w:firstLine="480"/>
              <w:rPr>
                <w:rFonts w:hint="eastAsia" w:ascii="宋体" w:hAnsi="宋体" w:cs="宋体"/>
                <w:sz w:val="21"/>
                <w:szCs w:val="21"/>
              </w:rPr>
            </w:pPr>
            <w:r>
              <w:rPr>
                <w:rFonts w:ascii="宋体" w:hAnsi="宋体" w:cs="宋体"/>
                <w:sz w:val="21"/>
                <w:szCs w:val="21"/>
              </w:rPr>
              <w:t>（4）数据迁移实施。根据业务实际需求可包括基础硬件、基础网络、基础安全、业务软件部署等。其中，业务软件部署包括系统适配测试流程、系统性能验证、测试结果分析及调优、适配测试用例、国产JDK适配、前端页面适配改造、服务端代码重构适配、业务逻辑代码重构适配等。</w:t>
            </w:r>
          </w:p>
          <w:p w14:paraId="60F8643B">
            <w:pPr>
              <w:pStyle w:val="2"/>
              <w:spacing w:line="400" w:lineRule="exact"/>
              <w:ind w:firstLine="480"/>
              <w:rPr>
                <w:rFonts w:hint="eastAsia" w:ascii="宋体" w:hAnsi="宋体" w:cs="宋体"/>
                <w:sz w:val="21"/>
                <w:szCs w:val="21"/>
              </w:rPr>
            </w:pPr>
            <w:r>
              <w:rPr>
                <w:rFonts w:ascii="宋体" w:hAnsi="宋体" w:cs="宋体"/>
                <w:sz w:val="21"/>
                <w:szCs w:val="21"/>
              </w:rPr>
              <w:t>（5）数据迁移部署。涉及的数据库包括基础数据库、专题库、共享库、主题库等，根据业务实际需要迁移部署，用于存储本项目涉及的各种业务数据、管理数据等。流程包括数据迁移工具准备、迁移前评估分析、迁移前数据检查处理、存量数据迁移等。</w:t>
            </w:r>
          </w:p>
          <w:p w14:paraId="11532DA7">
            <w:pPr>
              <w:pStyle w:val="2"/>
              <w:spacing w:line="400" w:lineRule="exact"/>
              <w:ind w:firstLine="480"/>
              <w:rPr>
                <w:rFonts w:hint="eastAsia" w:ascii="宋体" w:hAnsi="宋体" w:cs="宋体"/>
                <w:sz w:val="21"/>
                <w:szCs w:val="21"/>
              </w:rPr>
            </w:pPr>
            <w:r>
              <w:rPr>
                <w:rFonts w:ascii="宋体" w:hAnsi="宋体" w:cs="宋体"/>
                <w:sz w:val="21"/>
                <w:szCs w:val="21"/>
              </w:rPr>
              <w:t>（6）迁移后数据验证：空间数据检查与处理、属性数据检查与处理等。</w:t>
            </w:r>
          </w:p>
          <w:p w14:paraId="112B54BE">
            <w:pPr>
              <w:pStyle w:val="2"/>
              <w:spacing w:line="400" w:lineRule="exact"/>
              <w:ind w:firstLine="480"/>
              <w:rPr>
                <w:rFonts w:hint="eastAsia" w:ascii="宋体" w:hAnsi="宋体" w:cs="宋体"/>
                <w:sz w:val="21"/>
                <w:szCs w:val="21"/>
              </w:rPr>
            </w:pPr>
            <w:r>
              <w:rPr>
                <w:rFonts w:hint="eastAsia" w:ascii="宋体" w:hAnsi="宋体" w:cs="宋体"/>
                <w:sz w:val="21"/>
                <w:szCs w:val="21"/>
              </w:rPr>
              <w:t>（7）迁移后数据测试和优化：包含数据库适配测试、数据库调优等内容</w:t>
            </w:r>
          </w:p>
          <w:p w14:paraId="2CDE633B">
            <w:pPr>
              <w:pStyle w:val="2"/>
              <w:spacing w:line="400" w:lineRule="exact"/>
              <w:ind w:firstLine="480"/>
              <w:rPr>
                <w:rFonts w:hint="eastAsia" w:ascii="宋体" w:hAnsi="宋体" w:cs="宋体"/>
                <w:sz w:val="21"/>
                <w:szCs w:val="21"/>
              </w:rPr>
            </w:pPr>
            <w:r>
              <w:rPr>
                <w:rFonts w:ascii="宋体" w:hAnsi="宋体" w:cs="宋体"/>
                <w:sz w:val="21"/>
                <w:szCs w:val="21"/>
              </w:rPr>
              <w:t>（8）平台回滚方案。包括回滚目标和原则、回滚触发条件、回滚前数据备份策略、回滚流程、各方主要职责、测试策略、测试流程、测试方法、测试内容、回滚组织计划等。</w:t>
            </w:r>
          </w:p>
          <w:p w14:paraId="14B9FCC4">
            <w:pPr>
              <w:pStyle w:val="2"/>
              <w:spacing w:line="400" w:lineRule="exact"/>
              <w:ind w:firstLine="480"/>
              <w:rPr>
                <w:rFonts w:hint="eastAsia" w:ascii="宋体" w:hAnsi="宋体" w:cs="宋体"/>
                <w:sz w:val="21"/>
                <w:szCs w:val="21"/>
              </w:rPr>
            </w:pPr>
            <w:r>
              <w:rPr>
                <w:rFonts w:ascii="宋体" w:hAnsi="宋体" w:cs="宋体"/>
                <w:sz w:val="21"/>
                <w:szCs w:val="21"/>
              </w:rPr>
              <w:t>2.数据治理</w:t>
            </w:r>
          </w:p>
          <w:p w14:paraId="6C173410">
            <w:pPr>
              <w:pStyle w:val="2"/>
              <w:spacing w:line="400" w:lineRule="exact"/>
              <w:ind w:firstLine="480"/>
              <w:rPr>
                <w:rFonts w:hint="eastAsia" w:ascii="宋体" w:hAnsi="宋体" w:cs="宋体"/>
                <w:sz w:val="21"/>
                <w:szCs w:val="21"/>
              </w:rPr>
            </w:pPr>
            <w:r>
              <w:rPr>
                <w:rFonts w:ascii="宋体" w:hAnsi="宋体" w:cs="宋体"/>
                <w:sz w:val="21"/>
                <w:szCs w:val="21"/>
              </w:rPr>
              <w:t>利用生态环境数据资源平台能力，实现相关数据的采集、治理、管理与共享交换，从制度、标准、监控、流程结果方面提升数据信息管理能力，解决目前所面临的数据标准问题、数据质量问题、元数据管理问题。建立统一、规范并且唯一的数据标准来解决信息交互、集成、统计、决策等诸多难题，有效地提高检验管理过程控制和质量。</w:t>
            </w:r>
          </w:p>
          <w:p w14:paraId="168A9008">
            <w:pPr>
              <w:pStyle w:val="2"/>
              <w:spacing w:line="400" w:lineRule="exact"/>
              <w:ind w:firstLine="480"/>
              <w:rPr>
                <w:rFonts w:hint="eastAsia" w:ascii="宋体" w:hAnsi="宋体" w:cs="宋体"/>
                <w:sz w:val="21"/>
                <w:szCs w:val="21"/>
              </w:rPr>
            </w:pPr>
            <w:r>
              <w:rPr>
                <w:rFonts w:ascii="宋体" w:hAnsi="宋体" w:cs="宋体"/>
                <w:sz w:val="21"/>
                <w:szCs w:val="21"/>
              </w:rPr>
              <w:t>（1）数据标准建设。含标准概览、数据元、标准代码、常用规则、标准文件、数据模型、标准治理实施等。</w:t>
            </w:r>
          </w:p>
          <w:p w14:paraId="69BE95D5">
            <w:pPr>
              <w:pStyle w:val="2"/>
              <w:spacing w:line="400" w:lineRule="exact"/>
              <w:ind w:firstLine="480"/>
              <w:rPr>
                <w:rFonts w:hint="eastAsia" w:ascii="宋体" w:hAnsi="宋体" w:cs="宋体"/>
                <w:sz w:val="21"/>
                <w:szCs w:val="21"/>
              </w:rPr>
            </w:pPr>
            <w:r>
              <w:rPr>
                <w:rFonts w:ascii="宋体" w:hAnsi="宋体" w:cs="宋体"/>
                <w:sz w:val="21"/>
                <w:szCs w:val="21"/>
              </w:rPr>
              <w:t>（2）数据离线治理。包括数据探查、数据定义、数据融合、数据发布、集成对账、数据质量工单等。</w:t>
            </w:r>
          </w:p>
          <w:p w14:paraId="2AF6D5FA">
            <w:pPr>
              <w:pStyle w:val="2"/>
              <w:spacing w:line="400" w:lineRule="exact"/>
              <w:ind w:firstLine="480"/>
              <w:rPr>
                <w:rFonts w:hint="eastAsia" w:ascii="宋体" w:hAnsi="宋体" w:cs="宋体"/>
                <w:sz w:val="21"/>
                <w:szCs w:val="21"/>
              </w:rPr>
            </w:pPr>
            <w:r>
              <w:rPr>
                <w:rFonts w:ascii="宋体" w:hAnsi="宋体" w:cs="宋体"/>
                <w:sz w:val="21"/>
                <w:szCs w:val="21"/>
              </w:rPr>
              <w:t>（3）数据实时治理。主要针对业务生产单位生产数据后实时进行治理并对外即时发布。含编辑任务、提交任务。</w:t>
            </w:r>
          </w:p>
          <w:p w14:paraId="28EA2BF6">
            <w:pPr>
              <w:pStyle w:val="2"/>
              <w:spacing w:line="400" w:lineRule="exact"/>
              <w:ind w:firstLine="480"/>
              <w:rPr>
                <w:rFonts w:hint="eastAsia" w:ascii="宋体" w:hAnsi="宋体" w:cs="宋体"/>
                <w:sz w:val="21"/>
                <w:szCs w:val="21"/>
              </w:rPr>
            </w:pPr>
            <w:r>
              <w:rPr>
                <w:rFonts w:ascii="宋体" w:hAnsi="宋体" w:cs="宋体"/>
                <w:sz w:val="21"/>
                <w:szCs w:val="21"/>
              </w:rPr>
              <w:t>（4）数据质量。对数据完整性、准确性、鲜活性、权威性的分析和管理，并对数据质量问题进行跟踪、处理和解决，实现数据质量的全程管理。含数据质检、质检工单。</w:t>
            </w:r>
          </w:p>
          <w:p w14:paraId="0D1D5861">
            <w:pPr>
              <w:pStyle w:val="2"/>
              <w:spacing w:line="400" w:lineRule="exact"/>
              <w:ind w:firstLine="480"/>
              <w:rPr>
                <w:rFonts w:hint="eastAsia" w:ascii="宋体" w:hAnsi="宋体" w:cs="宋体"/>
                <w:sz w:val="21"/>
                <w:szCs w:val="21"/>
              </w:rPr>
            </w:pPr>
            <w:r>
              <w:rPr>
                <w:rFonts w:hint="eastAsia" w:ascii="宋体" w:hAnsi="宋体" w:cs="宋体"/>
                <w:sz w:val="21"/>
                <w:szCs w:val="21"/>
              </w:rPr>
              <w:t>（5）形成数据治理报告：以数据治理报告的形式，清晰呈现现阶段数据治理的整体情况，便于快速发现隐藏问题，为后续的重点推进工作提供信息支撑。</w:t>
            </w:r>
          </w:p>
          <w:p w14:paraId="66FFA9FD">
            <w:pPr>
              <w:pStyle w:val="2"/>
              <w:spacing w:line="400" w:lineRule="exact"/>
              <w:ind w:firstLine="480"/>
              <w:rPr>
                <w:rFonts w:hint="eastAsia" w:ascii="宋体" w:hAnsi="宋体" w:cs="宋体"/>
                <w:sz w:val="21"/>
                <w:szCs w:val="21"/>
              </w:rPr>
            </w:pPr>
            <w:r>
              <w:rPr>
                <w:rFonts w:hint="eastAsia" w:ascii="宋体" w:hAnsi="宋体" w:cs="宋体"/>
                <w:sz w:val="21"/>
                <w:szCs w:val="21"/>
              </w:rPr>
              <w:t>（6）数据治理平台配置：支持对数据治理平台进行个性化配置，包括部门配置、编码配置、字段类型配置、元数据类型配置等内容。</w:t>
            </w:r>
          </w:p>
          <w:p w14:paraId="3EF1DDF4">
            <w:pPr>
              <w:pStyle w:val="2"/>
              <w:spacing w:line="400" w:lineRule="exact"/>
              <w:ind w:firstLine="480"/>
              <w:rPr>
                <w:rFonts w:hint="eastAsia" w:ascii="宋体" w:hAnsi="宋体" w:cs="宋体"/>
                <w:sz w:val="21"/>
                <w:szCs w:val="21"/>
              </w:rPr>
            </w:pPr>
            <w:r>
              <w:rPr>
                <w:rFonts w:ascii="宋体" w:hAnsi="宋体" w:cs="宋体"/>
                <w:sz w:val="21"/>
                <w:szCs w:val="21"/>
              </w:rPr>
              <w:t>（7）治理底座构建。提供分布式异构数据源之间数据转换能力，将数据治理平台的业务配置转化成底层的数据流转实现。包括节点域管理、数据源管理、治理作业开发、消息队列管理、数据监听管理、告警配置等。</w:t>
            </w:r>
          </w:p>
          <w:p w14:paraId="2AEEB257">
            <w:pPr>
              <w:pStyle w:val="2"/>
              <w:spacing w:line="400" w:lineRule="exact"/>
              <w:ind w:firstLine="480"/>
              <w:rPr>
                <w:rFonts w:hint="eastAsia" w:ascii="宋体" w:hAnsi="宋体" w:cs="宋体"/>
                <w:sz w:val="21"/>
                <w:szCs w:val="21"/>
              </w:rPr>
            </w:pPr>
            <w:r>
              <w:rPr>
                <w:rFonts w:ascii="宋体" w:hAnsi="宋体" w:cs="宋体"/>
                <w:sz w:val="21"/>
                <w:szCs w:val="21"/>
              </w:rPr>
              <w:t>（8）数据治理指标管理。包括数据质量指标、数据安全指标、数据合规性指标、数据可用性指标、数据使用指标等。</w:t>
            </w:r>
          </w:p>
          <w:p w14:paraId="209FCCEF">
            <w:pPr>
              <w:pStyle w:val="2"/>
              <w:spacing w:line="400" w:lineRule="exact"/>
              <w:ind w:firstLine="480"/>
              <w:rPr>
                <w:rFonts w:hint="eastAsia" w:ascii="宋体" w:hAnsi="宋体" w:cs="宋体"/>
                <w:sz w:val="21"/>
                <w:szCs w:val="21"/>
              </w:rPr>
            </w:pPr>
            <w:r>
              <w:rPr>
                <w:rFonts w:ascii="宋体" w:hAnsi="宋体" w:cs="宋体"/>
                <w:sz w:val="21"/>
                <w:szCs w:val="21"/>
              </w:rPr>
              <w:t>3.专题数据库建设</w:t>
            </w:r>
          </w:p>
          <w:p w14:paraId="7DCDBCFF">
            <w:pPr>
              <w:pStyle w:val="2"/>
              <w:spacing w:line="400" w:lineRule="exact"/>
              <w:ind w:firstLine="480"/>
              <w:rPr>
                <w:rFonts w:hint="eastAsia" w:ascii="宋体" w:hAnsi="宋体" w:cs="宋体"/>
                <w:sz w:val="21"/>
                <w:szCs w:val="21"/>
              </w:rPr>
            </w:pPr>
            <w:r>
              <w:rPr>
                <w:rFonts w:hint="eastAsia" w:ascii="宋体" w:hAnsi="宋体" w:cs="宋体"/>
                <w:sz w:val="21"/>
                <w:szCs w:val="21"/>
              </w:rPr>
              <w:t>（1）信息资源规划：采用统一的信息资源体系架构，信息编码设计规范。</w:t>
            </w:r>
          </w:p>
          <w:p w14:paraId="47EF96D1">
            <w:pPr>
              <w:pStyle w:val="2"/>
              <w:spacing w:line="400" w:lineRule="exact"/>
              <w:ind w:firstLine="480"/>
              <w:rPr>
                <w:rFonts w:hint="eastAsia" w:ascii="宋体" w:hAnsi="宋体" w:cs="宋体"/>
                <w:sz w:val="21"/>
                <w:szCs w:val="21"/>
              </w:rPr>
            </w:pPr>
            <w:r>
              <w:rPr>
                <w:rFonts w:hint="eastAsia" w:ascii="宋体" w:hAnsi="宋体" w:cs="宋体"/>
                <w:sz w:val="21"/>
                <w:szCs w:val="21"/>
              </w:rPr>
              <w:t>（2）数据源管理：提供了多种结构化数据源配置管理，支持采集的数据库类型包括国内外主流的关系型数据库，提供数据源的增删改查与连接测试的能力。</w:t>
            </w:r>
          </w:p>
          <w:p w14:paraId="4BA5CD97">
            <w:pPr>
              <w:pStyle w:val="2"/>
              <w:spacing w:line="400" w:lineRule="exact"/>
              <w:ind w:firstLine="480"/>
              <w:rPr>
                <w:rFonts w:hint="eastAsia" w:ascii="宋体" w:hAnsi="宋体" w:cs="宋体"/>
                <w:sz w:val="21"/>
                <w:szCs w:val="21"/>
              </w:rPr>
            </w:pPr>
            <w:r>
              <w:rPr>
                <w:rFonts w:ascii="宋体" w:hAnsi="宋体" w:cs="宋体"/>
                <w:sz w:val="21"/>
                <w:szCs w:val="21"/>
              </w:rPr>
              <w:t>（3）元数据管理。含元数据监控、元数据安全配置、数据分类、用户分类等。</w:t>
            </w:r>
          </w:p>
          <w:p w14:paraId="2DF096EC">
            <w:pPr>
              <w:pStyle w:val="2"/>
              <w:spacing w:line="400" w:lineRule="exact"/>
              <w:ind w:firstLine="480"/>
              <w:rPr>
                <w:rFonts w:hint="eastAsia" w:ascii="宋体" w:hAnsi="宋体" w:cs="宋体"/>
                <w:sz w:val="21"/>
                <w:szCs w:val="21"/>
              </w:rPr>
            </w:pPr>
            <w:r>
              <w:rPr>
                <w:rFonts w:ascii="宋体" w:hAnsi="宋体" w:cs="宋体"/>
                <w:sz w:val="21"/>
                <w:szCs w:val="21"/>
              </w:rPr>
              <w:t>（4）数据库建设。建设内容根据业务需要包括应用数据库、生产库、分析库、交换库、元数据库、平台库、日志库、信息库、采样库等。</w:t>
            </w:r>
          </w:p>
          <w:p w14:paraId="1BC7CC26">
            <w:pPr>
              <w:pStyle w:val="2"/>
              <w:spacing w:line="400" w:lineRule="exact"/>
              <w:ind w:firstLine="480"/>
              <w:rPr>
                <w:rFonts w:hint="eastAsia" w:ascii="宋体" w:hAnsi="宋体" w:cs="宋体"/>
                <w:sz w:val="21"/>
                <w:szCs w:val="21"/>
              </w:rPr>
            </w:pPr>
            <w:r>
              <w:rPr>
                <w:rFonts w:ascii="宋体" w:hAnsi="宋体" w:cs="宋体"/>
                <w:sz w:val="21"/>
                <w:szCs w:val="21"/>
              </w:rPr>
              <w:t>（5）数据安全建设。实现数据访问安全、数据传输安全、建立数据库管理系统，统一管理和维护数据库、形成有效的数据更新机制、灾难恢复、系统备份、数据库加密等。</w:t>
            </w:r>
          </w:p>
          <w:p w14:paraId="2FBDE76E">
            <w:pPr>
              <w:pStyle w:val="2"/>
              <w:spacing w:line="400" w:lineRule="exact"/>
              <w:ind w:firstLine="480"/>
              <w:rPr>
                <w:rFonts w:hint="eastAsia" w:ascii="宋体" w:hAnsi="宋体" w:cs="宋体"/>
                <w:sz w:val="21"/>
                <w:szCs w:val="21"/>
              </w:rPr>
            </w:pPr>
            <w:r>
              <w:rPr>
                <w:rFonts w:ascii="宋体" w:hAnsi="宋体" w:cs="宋体"/>
                <w:sz w:val="21"/>
                <w:szCs w:val="21"/>
              </w:rPr>
              <w:t>4.数据可视化管理。实现自助数据分析，通过勾选或拖拽即可生成数据。建设数据报表平台实现报表的统一访问和管理。根据采购人需要建设数据可视化大屏。</w:t>
            </w:r>
          </w:p>
          <w:p w14:paraId="22B92FAB">
            <w:pPr>
              <w:pStyle w:val="2"/>
              <w:spacing w:line="400" w:lineRule="exact"/>
              <w:ind w:firstLine="480"/>
              <w:rPr>
                <w:rFonts w:hint="eastAsia" w:ascii="宋体" w:hAnsi="宋体" w:cs="宋体"/>
                <w:sz w:val="21"/>
                <w:szCs w:val="21"/>
              </w:rPr>
            </w:pPr>
            <w:r>
              <w:rPr>
                <w:rFonts w:ascii="宋体" w:hAnsi="宋体" w:cs="宋体"/>
                <w:sz w:val="21"/>
                <w:szCs w:val="21"/>
              </w:rPr>
              <w:t>九、其他要求</w:t>
            </w:r>
          </w:p>
          <w:p w14:paraId="586A0A66">
            <w:pPr>
              <w:pStyle w:val="2"/>
              <w:spacing w:line="400" w:lineRule="exact"/>
              <w:ind w:firstLine="480"/>
              <w:rPr>
                <w:rFonts w:hint="eastAsia" w:ascii="宋体" w:hAnsi="宋体" w:cs="宋体"/>
                <w:sz w:val="21"/>
                <w:szCs w:val="21"/>
              </w:rPr>
            </w:pPr>
            <w:r>
              <w:rPr>
                <w:rFonts w:ascii="宋体" w:hAnsi="宋体" w:cs="宋体"/>
                <w:sz w:val="21"/>
                <w:szCs w:val="21"/>
              </w:rPr>
              <w:t>本分标所建设应用需对接采购人提供的统一身份认证体系、统一消息平台、统一流量入口、统一应用配置管理等核心模块，实现将各自业务统一推送到应用门户，有效打通信息孤岛，显著提升业务协同效率。</w:t>
            </w:r>
          </w:p>
          <w:p w14:paraId="38EA04F2">
            <w:pPr>
              <w:pStyle w:val="2"/>
              <w:spacing w:line="400" w:lineRule="exact"/>
              <w:ind w:firstLine="480"/>
              <w:rPr>
                <w:rFonts w:hint="eastAsia" w:ascii="宋体" w:hAnsi="宋体" w:cs="宋体"/>
                <w:sz w:val="21"/>
                <w:szCs w:val="21"/>
              </w:rPr>
            </w:pPr>
            <w:r>
              <w:rPr>
                <w:rFonts w:ascii="宋体" w:hAnsi="宋体" w:cs="宋体"/>
                <w:sz w:val="21"/>
                <w:szCs w:val="21"/>
              </w:rPr>
              <w:t>本分标所建设的数据治理成果需使用采购人提供的</w:t>
            </w:r>
            <w:r>
              <w:rPr>
                <w:rFonts w:hint="eastAsia" w:ascii="宋体" w:hAnsi="宋体" w:cs="宋体"/>
                <w:sz w:val="21"/>
                <w:szCs w:val="21"/>
              </w:rPr>
              <w:t>数据资源平台</w:t>
            </w:r>
            <w:r>
              <w:rPr>
                <w:rFonts w:ascii="宋体" w:hAnsi="宋体" w:cs="宋体"/>
                <w:sz w:val="21"/>
                <w:szCs w:val="21"/>
              </w:rPr>
              <w:t>建设数据库，系统建设前需将数据库设计方案提交采购人审核，建立元数据，规范化数据库字段与设计之后，才可在数据平台建设生产环境数据库。不允许独立数据平台外建设数据库。</w:t>
            </w:r>
          </w:p>
        </w:tc>
      </w:tr>
      <w:tr w14:paraId="0626F4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329966B5">
            <w:pPr>
              <w:topLinePunct/>
              <w:snapToGrid w:val="0"/>
              <w:spacing w:line="400" w:lineRule="exact"/>
              <w:jc w:val="center"/>
              <w:rPr>
                <w:rFonts w:hint="eastAsia" w:ascii="宋体" w:hAnsi="宋体" w:cs="宋体"/>
                <w:b/>
                <w:szCs w:val="21"/>
              </w:rPr>
            </w:pPr>
            <w:r>
              <w:rPr>
                <w:rFonts w:hint="eastAsia" w:ascii="宋体" w:hAnsi="宋体" w:cs="宋体"/>
                <w:b/>
                <w:bCs/>
                <w:szCs w:val="21"/>
              </w:rPr>
              <w:t>商务条款</w:t>
            </w:r>
          </w:p>
        </w:tc>
      </w:tr>
      <w:tr w14:paraId="5B20E9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A3D541C">
            <w:pPr>
              <w:spacing w:line="400" w:lineRule="exact"/>
              <w:jc w:val="center"/>
              <w:rPr>
                <w:rFonts w:hint="eastAsia" w:ascii="宋体" w:hAnsi="宋体" w:cs="宋体"/>
                <w:b/>
                <w:bCs/>
                <w:szCs w:val="21"/>
              </w:rPr>
            </w:pPr>
            <w:r>
              <w:rPr>
                <w:rFonts w:hint="eastAsia" w:ascii="宋体" w:hAnsi="宋体" w:cs="宋体"/>
                <w:b/>
                <w:bCs/>
                <w:szCs w:val="21"/>
              </w:rPr>
              <w:t>▲（一）合同签订及交付要求</w:t>
            </w:r>
          </w:p>
          <w:p w14:paraId="5C081AFC">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35086CBD">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合同签订期：自中标通知书发出之日起25日内。</w:t>
            </w:r>
          </w:p>
          <w:p w14:paraId="449BA9ED">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服务时间：从合同签订之日起，至服务成果通过项目竣工验收之日止。</w:t>
            </w:r>
          </w:p>
          <w:p w14:paraId="5A6CD72A">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交付地点：采购人指定地点。</w:t>
            </w:r>
          </w:p>
          <w:p w14:paraId="74798C32">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交付成果：按照采购需求完成建设，并按照</w:t>
            </w:r>
            <w:r>
              <w:rPr>
                <w:rFonts w:hint="eastAsia" w:hAnsi="宋体"/>
                <w:color w:val="auto"/>
                <w:sz w:val="21"/>
                <w:szCs w:val="21"/>
              </w:rPr>
              <w:t>合同和采购人同意的实施方案要求</w:t>
            </w:r>
            <w:r>
              <w:rPr>
                <w:rFonts w:hAnsi="宋体"/>
                <w:color w:val="auto"/>
                <w:sz w:val="21"/>
                <w:szCs w:val="21"/>
              </w:rPr>
              <w:t>提交完整的项目材料。</w:t>
            </w:r>
          </w:p>
        </w:tc>
      </w:tr>
      <w:tr w14:paraId="4691F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514CCE01">
            <w:pPr>
              <w:spacing w:line="400" w:lineRule="exact"/>
              <w:jc w:val="center"/>
              <w:rPr>
                <w:rFonts w:hint="eastAsia" w:ascii="宋体" w:hAnsi="宋体" w:cs="宋体"/>
                <w:b/>
                <w:bCs/>
                <w:szCs w:val="21"/>
              </w:rPr>
            </w:pPr>
            <w:r>
              <w:rPr>
                <w:rFonts w:hint="eastAsia" w:ascii="宋体" w:hAnsi="宋体" w:cs="宋体"/>
                <w:b/>
                <w:bCs/>
                <w:szCs w:val="21"/>
              </w:rPr>
              <w:t>▲（二）报价要求</w:t>
            </w:r>
          </w:p>
          <w:p w14:paraId="079CD103">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14557C22">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本项目实行总承包报价，报价为采购人指定服务范围内的全部价格，至少包括：</w:t>
            </w:r>
          </w:p>
          <w:p w14:paraId="63779622">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服务的价格（包括人工、材料、成果打印等）；</w:t>
            </w:r>
          </w:p>
          <w:p w14:paraId="4B42F93F">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必要的保险费用和各项税金；</w:t>
            </w:r>
          </w:p>
          <w:p w14:paraId="7CB5E36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验收及专家评估费用等。</w:t>
            </w:r>
          </w:p>
          <w:p w14:paraId="3EE8845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与本项目有关的其他一切费用。采购人不再支付中标价格以外的任何费用。</w:t>
            </w:r>
          </w:p>
        </w:tc>
      </w:tr>
      <w:tr w14:paraId="39E30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45659BE">
            <w:pPr>
              <w:pStyle w:val="2"/>
              <w:spacing w:line="400" w:lineRule="exact"/>
              <w:jc w:val="center"/>
              <w:rPr>
                <w:rFonts w:hint="eastAsia" w:ascii="宋体" w:hAnsi="宋体" w:cs="宋体"/>
                <w:b/>
                <w:bCs/>
                <w:sz w:val="21"/>
                <w:szCs w:val="21"/>
              </w:rPr>
            </w:pPr>
            <w:r>
              <w:rPr>
                <w:rFonts w:hint="eastAsia" w:ascii="宋体" w:hAnsi="宋体" w:cs="宋体"/>
                <w:b/>
                <w:bCs/>
                <w:sz w:val="21"/>
                <w:szCs w:val="21"/>
              </w:rPr>
              <w:t>▲（三）建设周期</w:t>
            </w:r>
          </w:p>
        </w:tc>
        <w:tc>
          <w:tcPr>
            <w:tcW w:w="7330" w:type="dxa"/>
            <w:gridSpan w:val="3"/>
            <w:tcBorders>
              <w:top w:val="single" w:color="auto" w:sz="4" w:space="0"/>
              <w:left w:val="single" w:color="auto" w:sz="4" w:space="0"/>
              <w:bottom w:val="single" w:color="auto" w:sz="4" w:space="0"/>
              <w:right w:val="single" w:color="auto" w:sz="4" w:space="0"/>
            </w:tcBorders>
          </w:tcPr>
          <w:p w14:paraId="1FE80A9F">
            <w:pPr>
              <w:spacing w:line="400" w:lineRule="exact"/>
              <w:ind w:firstLine="480"/>
              <w:jc w:val="left"/>
              <w:rPr>
                <w:rFonts w:hint="eastAsia" w:ascii="宋体" w:hAnsi="宋体" w:cs="宋体"/>
                <w:kern w:val="0"/>
                <w:szCs w:val="21"/>
              </w:rPr>
            </w:pPr>
            <w:r>
              <w:rPr>
                <w:rFonts w:ascii="宋体" w:hAnsi="宋体" w:cs="宋体"/>
                <w:kern w:val="0"/>
                <w:szCs w:val="21"/>
              </w:rPr>
              <w:t>本项目建设周期为</w:t>
            </w:r>
            <w:r>
              <w:rPr>
                <w:rFonts w:hint="eastAsia" w:ascii="宋体" w:hAnsi="宋体" w:cs="宋体"/>
                <w:kern w:val="0"/>
                <w:szCs w:val="21"/>
              </w:rPr>
              <w:t>9</w:t>
            </w:r>
            <w:r>
              <w:rPr>
                <w:rFonts w:ascii="宋体" w:hAnsi="宋体" w:cs="宋体"/>
                <w:kern w:val="0"/>
                <w:szCs w:val="21"/>
              </w:rPr>
              <w:t>个月，包含四个阶段：需求分析和系统设计、系统建设阶段、试运行阶段和项目验收。</w:t>
            </w:r>
          </w:p>
          <w:p w14:paraId="5499F672">
            <w:pPr>
              <w:spacing w:line="400" w:lineRule="exact"/>
              <w:jc w:val="left"/>
              <w:rPr>
                <w:rFonts w:hint="eastAsia" w:ascii="宋体" w:hAnsi="宋体" w:cs="宋体"/>
                <w:kern w:val="0"/>
                <w:szCs w:val="21"/>
              </w:rPr>
            </w:pPr>
            <w:r>
              <w:rPr>
                <w:rFonts w:ascii="宋体" w:hAnsi="宋体" w:cs="宋体"/>
                <w:kern w:val="0"/>
                <w:szCs w:val="21"/>
              </w:rPr>
              <w:t>第一阶段：完成系统的需求分析和系统设计。周期2个月。</w:t>
            </w:r>
          </w:p>
          <w:p w14:paraId="3DF49782">
            <w:pPr>
              <w:spacing w:line="400" w:lineRule="exact"/>
              <w:jc w:val="left"/>
              <w:rPr>
                <w:rFonts w:hint="eastAsia" w:ascii="宋体" w:hAnsi="宋体" w:cs="宋体"/>
                <w:kern w:val="0"/>
                <w:szCs w:val="21"/>
              </w:rPr>
            </w:pPr>
            <w:r>
              <w:rPr>
                <w:rFonts w:ascii="宋体" w:hAnsi="宋体" w:cs="宋体"/>
                <w:kern w:val="0"/>
                <w:szCs w:val="21"/>
              </w:rPr>
              <w:t>第二阶段：完成系统的应用建设、测试。周期</w:t>
            </w:r>
            <w:r>
              <w:rPr>
                <w:rFonts w:hint="eastAsia" w:ascii="宋体" w:hAnsi="宋体" w:cs="宋体"/>
                <w:kern w:val="0"/>
                <w:szCs w:val="21"/>
              </w:rPr>
              <w:t>6</w:t>
            </w:r>
            <w:r>
              <w:rPr>
                <w:rFonts w:ascii="宋体" w:hAnsi="宋体" w:cs="宋体"/>
                <w:kern w:val="0"/>
                <w:szCs w:val="21"/>
              </w:rPr>
              <w:t>个月。</w:t>
            </w:r>
          </w:p>
          <w:p w14:paraId="0364F21E">
            <w:pPr>
              <w:spacing w:line="400" w:lineRule="exact"/>
              <w:jc w:val="left"/>
              <w:rPr>
                <w:rFonts w:hint="eastAsia" w:ascii="宋体" w:hAnsi="宋体" w:cs="宋体"/>
                <w:kern w:val="0"/>
                <w:szCs w:val="21"/>
              </w:rPr>
            </w:pPr>
            <w:r>
              <w:rPr>
                <w:rFonts w:ascii="宋体" w:hAnsi="宋体" w:cs="宋体"/>
                <w:kern w:val="0"/>
                <w:szCs w:val="21"/>
              </w:rPr>
              <w:t>第三阶段：完成系统试运行和调优。周期1个月。</w:t>
            </w:r>
          </w:p>
          <w:p w14:paraId="581B299C">
            <w:pPr>
              <w:spacing w:line="400" w:lineRule="exact"/>
              <w:jc w:val="left"/>
              <w:rPr>
                <w:rFonts w:hint="eastAsia" w:ascii="宋体" w:hAnsi="宋体" w:cs="宋体"/>
                <w:kern w:val="0"/>
                <w:szCs w:val="21"/>
              </w:rPr>
            </w:pPr>
            <w:r>
              <w:rPr>
                <w:rFonts w:ascii="宋体" w:hAnsi="宋体" w:cs="宋体"/>
                <w:kern w:val="0"/>
                <w:szCs w:val="21"/>
              </w:rPr>
              <w:t>第四阶段：项目初步验收、竣工验收。</w:t>
            </w:r>
          </w:p>
        </w:tc>
      </w:tr>
      <w:tr w14:paraId="0E2CC8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285F554">
            <w:pPr>
              <w:spacing w:line="400" w:lineRule="exact"/>
              <w:jc w:val="center"/>
              <w:rPr>
                <w:rFonts w:hint="eastAsia" w:ascii="宋体" w:hAnsi="宋体" w:cs="宋体"/>
                <w:b/>
                <w:bCs/>
                <w:szCs w:val="21"/>
              </w:rPr>
            </w:pPr>
            <w:r>
              <w:rPr>
                <w:rFonts w:hint="eastAsia" w:ascii="宋体" w:hAnsi="宋体" w:cs="宋体"/>
                <w:b/>
                <w:bCs/>
                <w:szCs w:val="21"/>
              </w:rPr>
              <w:t>▲（四）付款条件</w:t>
            </w:r>
          </w:p>
          <w:p w14:paraId="17D75583">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56E5C7CC">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1.合同签订后10个工作日内，采购人向中标人支付合同总金额的</w:t>
            </w:r>
            <w:r>
              <w:rPr>
                <w:rFonts w:hint="eastAsia" w:ascii="宋体" w:hAnsi="宋体" w:eastAsia="宋体" w:cs="宋体"/>
                <w:sz w:val="21"/>
                <w:szCs w:val="21"/>
              </w:rPr>
              <w:t>50</w:t>
            </w:r>
            <w:r>
              <w:rPr>
                <w:rFonts w:ascii="宋体" w:hAnsi="宋体" w:eastAsia="宋体" w:cs="宋体"/>
                <w:sz w:val="21"/>
                <w:szCs w:val="21"/>
              </w:rPr>
              <w:t>%。</w:t>
            </w:r>
          </w:p>
          <w:p w14:paraId="6A211C6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完成系统的需求分析和系统设计</w:t>
            </w:r>
            <w:r>
              <w:rPr>
                <w:rFonts w:hint="eastAsia" w:ascii="宋体" w:hAnsi="宋体" w:eastAsia="宋体" w:cs="宋体"/>
                <w:sz w:val="21"/>
                <w:szCs w:val="21"/>
              </w:rPr>
              <w:t>，提交需求分析报告和系统设计方案，</w:t>
            </w:r>
            <w:r>
              <w:rPr>
                <w:rFonts w:ascii="宋体" w:hAnsi="宋体" w:eastAsia="宋体" w:cs="宋体"/>
                <w:sz w:val="21"/>
                <w:szCs w:val="21"/>
              </w:rPr>
              <w:t>经采购人书面确认后10个工作日内，采购人向中标人支付合同总金额的</w:t>
            </w:r>
            <w:r>
              <w:rPr>
                <w:rFonts w:hint="eastAsia" w:ascii="宋体" w:hAnsi="宋体" w:eastAsia="宋体" w:cs="宋体"/>
                <w:sz w:val="21"/>
                <w:szCs w:val="21"/>
              </w:rPr>
              <w:t>30</w:t>
            </w:r>
            <w:r>
              <w:rPr>
                <w:rFonts w:ascii="宋体" w:hAnsi="宋体" w:eastAsia="宋体" w:cs="宋体"/>
                <w:sz w:val="21"/>
                <w:szCs w:val="21"/>
              </w:rPr>
              <w:t>%。</w:t>
            </w:r>
          </w:p>
          <w:p w14:paraId="5BDF005A">
            <w:pPr>
              <w:pStyle w:val="10"/>
              <w:spacing w:line="400" w:lineRule="exact"/>
              <w:ind w:firstLine="0" w:firstLineChars="0"/>
              <w:rPr>
                <w:rFonts w:ascii="宋体" w:hAnsi="宋体" w:eastAsia="宋体" w:cs="宋体"/>
                <w:sz w:val="21"/>
                <w:szCs w:val="21"/>
              </w:rPr>
            </w:pPr>
            <w:r>
              <w:rPr>
                <w:rFonts w:hint="eastAsia" w:ascii="宋体" w:hAnsi="宋体" w:eastAsia="宋体" w:cs="宋体"/>
                <w:sz w:val="21"/>
                <w:szCs w:val="21"/>
              </w:rPr>
              <w:t>3.项目投入试运行，中标人提交试运行报告，经采购人书面确认后10个工作日内，采购人向中标人支付合同总金额的10%。</w:t>
            </w:r>
          </w:p>
          <w:p w14:paraId="77F85B24">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4.项目初步验收通过，经采购人书面确认后10个工作日内，采购人向中标人支付合同总金额的10%</w:t>
            </w:r>
            <w:r>
              <w:rPr>
                <w:rFonts w:ascii="宋体" w:hAnsi="宋体" w:eastAsia="宋体" w:cs="宋体"/>
                <w:sz w:val="21"/>
                <w:szCs w:val="21"/>
              </w:rPr>
              <w:t>。</w:t>
            </w:r>
          </w:p>
          <w:p w14:paraId="15448B3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.支付每一笔合同款前，中标人须向采购人开具合法、有效等额发票，中标人未及时向采购人开具发票、付款申请书的，采购人有权顺延付款时间，且不承担任何逾期付款违约责任</w:t>
            </w:r>
            <w:r>
              <w:rPr>
                <w:rFonts w:hint="eastAsia" w:ascii="宋体" w:hAnsi="宋体" w:eastAsia="宋体" w:cs="宋体"/>
                <w:sz w:val="21"/>
                <w:szCs w:val="21"/>
              </w:rPr>
              <w:t>。</w:t>
            </w:r>
          </w:p>
        </w:tc>
      </w:tr>
      <w:tr w14:paraId="0C2A10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3078E549">
            <w:pPr>
              <w:spacing w:line="400" w:lineRule="exact"/>
              <w:jc w:val="center"/>
              <w:rPr>
                <w:rFonts w:hint="eastAsia" w:ascii="宋体" w:hAnsi="宋体" w:cs="宋体"/>
                <w:b/>
                <w:bCs/>
                <w:szCs w:val="21"/>
              </w:rPr>
            </w:pPr>
            <w:r>
              <w:rPr>
                <w:rFonts w:hint="eastAsia" w:ascii="宋体" w:hAnsi="宋体" w:cs="宋体"/>
                <w:b/>
                <w:bCs/>
                <w:szCs w:val="21"/>
              </w:rPr>
              <w:t>▲（五）履约保证金</w:t>
            </w:r>
          </w:p>
          <w:p w14:paraId="3DD4392B">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019121B3">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中标人须于签订合同后5个工作日内，将本项目成交总金额5%的履约保证金（中小企业缴纳数额为成交总金额的2%）递交到采购人指定账户。履约保证金递交方式：银行转账、支票、汇票、本票或者金融机构出具的保函等非现金方式。</w:t>
            </w:r>
          </w:p>
          <w:p w14:paraId="29E8E48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项目按照合同约定及招标文件要求完成项目建设，通过竣工验收并收到竣工验收批复后，项目进入质保期，在质保期间，中标人无违约情形的，质保期过后</w:t>
            </w:r>
            <w:r>
              <w:rPr>
                <w:rFonts w:hint="eastAsia" w:ascii="宋体" w:hAnsi="宋体" w:eastAsia="宋体" w:cs="宋体"/>
                <w:sz w:val="21"/>
                <w:szCs w:val="21"/>
              </w:rPr>
              <w:t>5</w:t>
            </w:r>
            <w:r>
              <w:rPr>
                <w:rFonts w:ascii="宋体" w:hAnsi="宋体" w:eastAsia="宋体" w:cs="宋体"/>
                <w:sz w:val="21"/>
                <w:szCs w:val="21"/>
              </w:rPr>
              <w:t>个工作日内采购人将无息返还履约保证金。</w:t>
            </w:r>
          </w:p>
        </w:tc>
      </w:tr>
      <w:tr w14:paraId="0F959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5A880B1">
            <w:pPr>
              <w:spacing w:line="400" w:lineRule="exact"/>
              <w:jc w:val="center"/>
              <w:rPr>
                <w:rFonts w:hint="eastAsia" w:ascii="宋体" w:hAnsi="宋体" w:cs="宋体"/>
                <w:b/>
                <w:bCs/>
                <w:szCs w:val="21"/>
              </w:rPr>
            </w:pPr>
            <w:r>
              <w:rPr>
                <w:rFonts w:hint="eastAsia" w:ascii="宋体" w:hAnsi="宋体" w:cs="宋体"/>
                <w:b/>
                <w:bCs/>
                <w:szCs w:val="21"/>
              </w:rPr>
              <w:t>▲（六）质保期服务要求</w:t>
            </w:r>
          </w:p>
          <w:p w14:paraId="0818F04E">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67F43816">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提供为期一年的质保服务。质保期内，中标人须根据采购人要求进行日常运维服务。质保期从项目竣工验收合格之日起开始计算，质保期内提供免费维护和技术支持服务。</w:t>
            </w:r>
          </w:p>
          <w:p w14:paraId="3A5DF12F">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服务响应时间要求：（1）提供7×24小时电话或电子邮件服务，中标人接到采购人的通知后立即响应，在</w:t>
            </w:r>
            <w:r>
              <w:rPr>
                <w:rFonts w:hint="eastAsia" w:hAnsi="宋体"/>
                <w:color w:val="auto"/>
                <w:sz w:val="21"/>
                <w:szCs w:val="21"/>
              </w:rPr>
              <w:t>≤</w:t>
            </w:r>
            <w:r>
              <w:rPr>
                <w:rFonts w:hAnsi="宋体"/>
                <w:color w:val="auto"/>
                <w:sz w:val="21"/>
                <w:szCs w:val="21"/>
              </w:rPr>
              <w:t>1小时内做出明确响应和安排，在</w:t>
            </w:r>
            <w:r>
              <w:rPr>
                <w:rFonts w:hint="eastAsia" w:hAnsi="宋体"/>
                <w:color w:val="auto"/>
                <w:sz w:val="21"/>
                <w:szCs w:val="21"/>
              </w:rPr>
              <w:t>≤</w:t>
            </w:r>
            <w:r>
              <w:rPr>
                <w:rFonts w:hAnsi="宋体"/>
                <w:color w:val="auto"/>
                <w:sz w:val="21"/>
                <w:szCs w:val="21"/>
              </w:rPr>
              <w:t>2小时内做出故障诊断报告，如需现场服务的，具有解决故障能力的工程师应在</w:t>
            </w:r>
            <w:r>
              <w:rPr>
                <w:rFonts w:hint="eastAsia" w:hAnsi="宋体"/>
                <w:color w:val="auto"/>
                <w:sz w:val="21"/>
                <w:szCs w:val="21"/>
              </w:rPr>
              <w:t>≤</w:t>
            </w:r>
            <w:r>
              <w:rPr>
                <w:rFonts w:hAnsi="宋体"/>
                <w:color w:val="auto"/>
                <w:sz w:val="21"/>
                <w:szCs w:val="21"/>
              </w:rPr>
              <w:t>2小时内到达现场解决问题，以保证系统正常运行，并承担一切相关费用；（2）定期回访、走访采购人；（3）服务期内免费上门提供服务，免费提供应用软件升级；（4）其余按承诺进行；</w:t>
            </w:r>
          </w:p>
          <w:p w14:paraId="41190A67">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服务的范围包括：系统、设备的正常运行和维护；</w:t>
            </w:r>
          </w:p>
          <w:p w14:paraId="2F3EEE07">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中标人提供的服务应符合国家标准、行业标准、地方标准或者其他标准、规范；</w:t>
            </w:r>
          </w:p>
          <w:p w14:paraId="3E7A4243">
            <w:pPr>
              <w:pStyle w:val="24"/>
              <w:spacing w:line="400" w:lineRule="exact"/>
              <w:rPr>
                <w:rFonts w:hint="eastAsia" w:hAnsi="宋体"/>
                <w:color w:val="auto"/>
                <w:sz w:val="21"/>
                <w:szCs w:val="21"/>
              </w:rPr>
            </w:pPr>
            <w:r>
              <w:rPr>
                <w:rFonts w:hint="eastAsia" w:hAnsi="宋体"/>
                <w:color w:val="auto"/>
                <w:sz w:val="21"/>
                <w:szCs w:val="21"/>
              </w:rPr>
              <w:t>5.</w:t>
            </w:r>
            <w:r>
              <w:rPr>
                <w:rFonts w:hAnsi="宋体"/>
                <w:color w:val="auto"/>
                <w:sz w:val="21"/>
                <w:szCs w:val="21"/>
              </w:rPr>
              <w:t>免费安装调试：中标人负责本项目所有货物及软件的安装，中标人整理验收材料提交采购人验收；</w:t>
            </w:r>
          </w:p>
          <w:p w14:paraId="0A631192">
            <w:pPr>
              <w:pStyle w:val="24"/>
              <w:spacing w:line="400" w:lineRule="exact"/>
              <w:rPr>
                <w:rFonts w:hint="eastAsia" w:hAnsi="宋体"/>
                <w:color w:val="auto"/>
                <w:sz w:val="21"/>
                <w:szCs w:val="21"/>
              </w:rPr>
            </w:pPr>
            <w:r>
              <w:rPr>
                <w:rFonts w:hint="eastAsia" w:hAnsi="宋体"/>
                <w:color w:val="auto"/>
                <w:sz w:val="21"/>
                <w:szCs w:val="21"/>
              </w:rPr>
              <w:t>6.</w:t>
            </w:r>
            <w:r>
              <w:rPr>
                <w:rFonts w:hAnsi="宋体"/>
                <w:color w:val="auto"/>
                <w:sz w:val="21"/>
                <w:szCs w:val="21"/>
              </w:rPr>
              <w:t>技术支持与服务：提供每周7×24小时技术响应服务，中标人应负责所售产品的售后服务；质保期内货物或软件发生故障，维修或更换配件所需的全部费用由中标人承担；</w:t>
            </w:r>
          </w:p>
          <w:p w14:paraId="27F0D6C5">
            <w:pPr>
              <w:pStyle w:val="24"/>
              <w:spacing w:line="400" w:lineRule="exact"/>
              <w:rPr>
                <w:rFonts w:hint="eastAsia" w:hAnsi="宋体"/>
                <w:color w:val="auto"/>
                <w:sz w:val="21"/>
                <w:szCs w:val="21"/>
              </w:rPr>
            </w:pPr>
            <w:r>
              <w:rPr>
                <w:rFonts w:hint="eastAsia" w:hAnsi="宋体"/>
                <w:color w:val="auto"/>
                <w:sz w:val="21"/>
                <w:szCs w:val="21"/>
              </w:rPr>
              <w:t>7.</w:t>
            </w:r>
            <w:r>
              <w:rPr>
                <w:rFonts w:hAnsi="宋体"/>
                <w:color w:val="auto"/>
                <w:sz w:val="21"/>
                <w:szCs w:val="21"/>
              </w:rPr>
              <w:t>中标人在投标文件中提供针对本项目的服务方案（内容包括但不限于：明确服务期、服务响应时间、售后服务技术人员名单和联系方式、定期回访/走访采购人具体时间、本地化服务能力等）；</w:t>
            </w:r>
          </w:p>
          <w:p w14:paraId="08E2A1D2">
            <w:pPr>
              <w:pStyle w:val="24"/>
              <w:spacing w:line="400" w:lineRule="exact"/>
              <w:rPr>
                <w:rFonts w:hint="eastAsia" w:hAnsi="宋体"/>
                <w:color w:val="auto"/>
                <w:sz w:val="21"/>
                <w:szCs w:val="21"/>
              </w:rPr>
            </w:pPr>
            <w:r>
              <w:rPr>
                <w:rFonts w:hint="eastAsia" w:hAnsi="宋体"/>
                <w:color w:val="auto"/>
                <w:sz w:val="21"/>
                <w:szCs w:val="21"/>
              </w:rPr>
              <w:t>8.</w:t>
            </w:r>
            <w:r>
              <w:rPr>
                <w:rFonts w:hAnsi="宋体"/>
                <w:color w:val="auto"/>
                <w:sz w:val="21"/>
                <w:szCs w:val="21"/>
              </w:rPr>
              <w:t>在服务期内免费提供系统培训服务和系统数据迁移服务，需免费配合采购人通过第三方软件测评、系统安全等保测评及密码应用评估等工作。</w:t>
            </w:r>
          </w:p>
          <w:p w14:paraId="4822ADFD">
            <w:pPr>
              <w:pStyle w:val="24"/>
              <w:spacing w:line="400" w:lineRule="exact"/>
              <w:rPr>
                <w:rFonts w:hint="eastAsia" w:hAnsi="宋体"/>
                <w:color w:val="auto"/>
                <w:sz w:val="21"/>
                <w:szCs w:val="21"/>
              </w:rPr>
            </w:pPr>
            <w:r>
              <w:rPr>
                <w:rFonts w:hint="eastAsia" w:hAnsi="宋体"/>
                <w:color w:val="auto"/>
                <w:sz w:val="21"/>
                <w:szCs w:val="21"/>
              </w:rPr>
              <w:t>9.</w:t>
            </w:r>
            <w:r>
              <w:rPr>
                <w:rFonts w:hAnsi="宋体"/>
                <w:color w:val="auto"/>
                <w:sz w:val="21"/>
                <w:szCs w:val="21"/>
              </w:rPr>
              <w:t>采购人在软件使用过程中，如果要增加协议附件（功能设计书）之外的其它功能，在不超过功能总量的10%的前提下，中标人须为采购人提供不少于三次的免费修改服务。</w:t>
            </w:r>
          </w:p>
        </w:tc>
      </w:tr>
      <w:tr w14:paraId="4056E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BDAFEE6">
            <w:pPr>
              <w:spacing w:line="400" w:lineRule="exact"/>
              <w:jc w:val="center"/>
              <w:rPr>
                <w:rFonts w:hint="eastAsia" w:ascii="宋体" w:hAnsi="宋体" w:cs="宋体"/>
                <w:b/>
                <w:bCs/>
                <w:szCs w:val="21"/>
              </w:rPr>
            </w:pPr>
            <w:r>
              <w:rPr>
                <w:rFonts w:hint="eastAsia" w:ascii="宋体" w:hAnsi="宋体" w:cs="宋体"/>
                <w:b/>
                <w:bCs/>
                <w:szCs w:val="21"/>
              </w:rPr>
              <w:t>▲（七）培训要求</w:t>
            </w:r>
          </w:p>
          <w:p w14:paraId="5640DD08">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765286A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提供免费技术培训，包括用户培训和系统后台维护技术培训、系统技术培训资料包。</w:t>
            </w:r>
          </w:p>
          <w:p w14:paraId="7D91772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用户培训：为采购人提供上门培训，使用户能够掌握系统的使用方法；</w:t>
            </w:r>
          </w:p>
          <w:p w14:paraId="75E9CCCD">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系统后台维护技术培训包括：数据库安装维护、数据备份等，使受训人员能够独立安装数据库和整套应用。</w:t>
            </w:r>
          </w:p>
          <w:p w14:paraId="67C8AE5C">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系统技术培训资料包：为采购人提供系统使用手册、日常维护手册等成套资料。</w:t>
            </w:r>
          </w:p>
        </w:tc>
      </w:tr>
      <w:tr w14:paraId="7A31B0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50CB3021">
            <w:pPr>
              <w:pStyle w:val="10"/>
              <w:spacing w:line="400" w:lineRule="exact"/>
              <w:ind w:firstLine="0" w:firstLineChars="0"/>
              <w:rPr>
                <w:rFonts w:hint="eastAsia" w:ascii="宋体" w:hAnsi="宋体" w:eastAsia="宋体" w:cs="宋体"/>
                <w:b/>
                <w:bCs/>
                <w:sz w:val="21"/>
                <w:szCs w:val="21"/>
              </w:rPr>
            </w:pPr>
            <w:r>
              <w:rPr>
                <w:rFonts w:hint="eastAsia" w:ascii="宋体" w:hAnsi="宋体" w:eastAsia="宋体" w:cs="宋体"/>
                <w:b/>
                <w:bCs/>
                <w:sz w:val="21"/>
                <w:szCs w:val="21"/>
              </w:rPr>
              <w:t>▲（八）知识产权保护要求</w:t>
            </w:r>
          </w:p>
          <w:p w14:paraId="5B82C85F">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2E0A4FA8">
            <w:pPr>
              <w:pStyle w:val="2"/>
              <w:spacing w:line="400" w:lineRule="exact"/>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中标人为采购人开发的软件，</w:t>
            </w:r>
            <w:r>
              <w:rPr>
                <w:rFonts w:hint="eastAsia" w:ascii="宋体" w:hAnsi="宋体" w:cs="宋体"/>
                <w:color w:val="auto"/>
                <w:sz w:val="21"/>
                <w:szCs w:val="21"/>
                <w:highlight w:val="none"/>
              </w:rPr>
              <w:t>如项目采用成熟平台产品实施的，中标供应商应交付基于本项目的全部二次开发代码及系统接口代码（含接口文档），并向采购人授予平台软件在本项目范围内长期使用、维护、升级所需的权利许可，保障采购人对交付成果的自主可控与后续扩展能力。</w:t>
            </w:r>
            <w:r>
              <w:rPr>
                <w:rFonts w:ascii="宋体" w:hAnsi="宋体" w:cs="宋体"/>
                <w:sz w:val="21"/>
                <w:szCs w:val="21"/>
              </w:rPr>
              <w:t>在开发完成以后，一次性将该软件产品的开发源代码（含开发手册）、接口协议</w:t>
            </w:r>
            <w:r>
              <w:rPr>
                <w:rFonts w:hint="eastAsia" w:ascii="宋体" w:hAnsi="宋体" w:cs="宋体"/>
                <w:sz w:val="21"/>
                <w:szCs w:val="21"/>
              </w:rPr>
              <w:t>移交</w:t>
            </w:r>
            <w:r>
              <w:rPr>
                <w:rFonts w:ascii="宋体" w:hAnsi="宋体" w:cs="宋体"/>
                <w:sz w:val="21"/>
                <w:szCs w:val="21"/>
              </w:rPr>
              <w:t>采购人。该软件的一切权利归采购人所有。中标人应尊重采购人所有的版权等一切权利，</w:t>
            </w:r>
            <w:r>
              <w:rPr>
                <w:rFonts w:hint="eastAsia" w:ascii="宋体" w:hAnsi="宋体" w:cs="宋体"/>
                <w:sz w:val="21"/>
                <w:szCs w:val="21"/>
              </w:rPr>
              <w:t>在交付的</w:t>
            </w:r>
            <w:r>
              <w:rPr>
                <w:rFonts w:ascii="宋体" w:hAnsi="宋体" w:cs="宋体"/>
                <w:sz w:val="21"/>
                <w:szCs w:val="21"/>
              </w:rPr>
              <w:t>软件产品</w:t>
            </w:r>
            <w:r>
              <w:rPr>
                <w:rFonts w:hint="eastAsia" w:ascii="宋体" w:hAnsi="宋体" w:cs="宋体"/>
                <w:sz w:val="21"/>
                <w:szCs w:val="21"/>
              </w:rPr>
              <w:t>及源代码内不得存在采购人不知道的功能和接口</w:t>
            </w:r>
            <w:r>
              <w:rPr>
                <w:rFonts w:ascii="宋体" w:hAnsi="宋体" w:cs="宋体"/>
                <w:sz w:val="21"/>
                <w:szCs w:val="21"/>
              </w:rPr>
              <w:t>，</w:t>
            </w:r>
            <w:r>
              <w:rPr>
                <w:rFonts w:hint="eastAsia" w:ascii="宋体" w:hAnsi="宋体" w:cs="宋体"/>
                <w:sz w:val="21"/>
                <w:szCs w:val="21"/>
              </w:rPr>
              <w:t>不得</w:t>
            </w:r>
            <w:r>
              <w:rPr>
                <w:rFonts w:ascii="宋体" w:hAnsi="宋体" w:cs="宋体"/>
                <w:sz w:val="21"/>
                <w:szCs w:val="21"/>
              </w:rPr>
              <w:t>出租、出让等。否则中标人承担由此给采购人带来的一切损失，采购人保留追究中标人法律责任的权利。</w:t>
            </w:r>
          </w:p>
          <w:p w14:paraId="0BBE3E63">
            <w:pPr>
              <w:pStyle w:val="2"/>
              <w:spacing w:line="400" w:lineRule="exact"/>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中标人对项目建设中所涉及的专利承担责任，并负责保护采购人的利益不受任何损害。一切由于文字、商标、技术和软件专利授权引起的法律裁决、诉讼和赔偿费用均由中标人负责。</w:t>
            </w:r>
          </w:p>
          <w:p w14:paraId="54BB9993">
            <w:pPr>
              <w:pStyle w:val="2"/>
              <w:spacing w:line="400" w:lineRule="exact"/>
              <w:ind w:firstLine="480"/>
              <w:rPr>
                <w:rFonts w:hint="eastAsia" w:ascii="宋体" w:hAnsi="宋体" w:cs="宋体"/>
                <w:sz w:val="21"/>
                <w:szCs w:val="21"/>
              </w:rPr>
            </w:pPr>
            <w:r>
              <w:rPr>
                <w:rFonts w:ascii="宋体" w:hAnsi="宋体" w:cs="宋体"/>
                <w:sz w:val="21"/>
                <w:szCs w:val="21"/>
              </w:rPr>
              <w:t>本项目成果及其相关知识产权权利归采购单位所有。</w:t>
            </w:r>
          </w:p>
        </w:tc>
      </w:tr>
      <w:tr w14:paraId="7D61F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03B1ED1">
            <w:pPr>
              <w:pStyle w:val="2"/>
              <w:spacing w:line="400" w:lineRule="exact"/>
              <w:jc w:val="center"/>
              <w:rPr>
                <w:rFonts w:hint="eastAsia" w:ascii="宋体" w:hAnsi="宋体" w:cs="宋体"/>
                <w:b/>
                <w:bCs/>
                <w:sz w:val="21"/>
                <w:szCs w:val="21"/>
              </w:rPr>
            </w:pPr>
            <w:r>
              <w:rPr>
                <w:rFonts w:hint="eastAsia" w:ascii="宋体" w:hAnsi="宋体" w:cs="宋体"/>
                <w:b/>
                <w:bCs/>
                <w:sz w:val="21"/>
                <w:szCs w:val="21"/>
              </w:rPr>
              <w:t>▲（九）其他要求</w:t>
            </w:r>
          </w:p>
        </w:tc>
        <w:tc>
          <w:tcPr>
            <w:tcW w:w="7330" w:type="dxa"/>
            <w:gridSpan w:val="3"/>
            <w:tcBorders>
              <w:top w:val="single" w:color="auto" w:sz="4" w:space="0"/>
              <w:left w:val="single" w:color="auto" w:sz="4" w:space="0"/>
              <w:bottom w:val="single" w:color="auto" w:sz="4" w:space="0"/>
              <w:right w:val="single" w:color="auto" w:sz="4" w:space="0"/>
            </w:tcBorders>
          </w:tcPr>
          <w:p w14:paraId="68831AC3">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本项目中标人提供的服务应符合国家相关标准、行业标准、地方标准或者其他标准。</w:t>
            </w:r>
          </w:p>
          <w:p w14:paraId="4496356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中标人所提供的资料必须是真实的，所作出的承诺必须是切实可行的，如提供虚假资料或作出虚假承诺，一经查实，将取消其中标人中标资格，并按照相关法律法规进行处理，采购人保留进一步追究责任的权利。</w:t>
            </w:r>
          </w:p>
          <w:p w14:paraId="0E646CEC">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中标人必须承诺自行提供本项目的所有服务内容，不得分包或转包，不允许委托任何第三方负责本项目的建设、维护。</w:t>
            </w:r>
          </w:p>
          <w:p w14:paraId="37198680">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在项目竣工验收后，采购人有权委托政府审计机构或中介机构对项目建设进行第三方审计。</w:t>
            </w:r>
          </w:p>
          <w:p w14:paraId="63432BA1">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中标人派遣到采购人的服务人员应符合采购人要求，需是本单位在职人员，保证服务人员的稳定性，人员不允许频繁更换。如不符合采购人要求，应及时更换。如项目人员队伍发生重大变更导致无法按要求开展项目任务或者发生重大责任事故的，采购人有权终止委托。</w:t>
            </w:r>
          </w:p>
          <w:p w14:paraId="6E6AB4A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6.</w:t>
            </w:r>
            <w:r>
              <w:rPr>
                <w:rFonts w:ascii="宋体" w:hAnsi="宋体" w:eastAsia="宋体" w:cs="宋体"/>
                <w:sz w:val="21"/>
                <w:szCs w:val="21"/>
              </w:rPr>
              <w:t>在</w:t>
            </w:r>
            <w:r>
              <w:rPr>
                <w:rFonts w:hint="eastAsia" w:ascii="宋体" w:hAnsi="宋体" w:eastAsia="宋体" w:cs="宋体"/>
                <w:sz w:val="21"/>
                <w:szCs w:val="21"/>
              </w:rPr>
              <w:t>投标文件</w:t>
            </w:r>
            <w:r>
              <w:rPr>
                <w:rFonts w:ascii="宋体" w:hAnsi="宋体" w:eastAsia="宋体" w:cs="宋体"/>
                <w:sz w:val="21"/>
                <w:szCs w:val="21"/>
              </w:rPr>
              <w:t>中提供针对本项目的技术方案、实施方案、售后服务方案等。</w:t>
            </w:r>
          </w:p>
          <w:p w14:paraId="6117B90B">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7.</w:t>
            </w:r>
            <w:r>
              <w:rPr>
                <w:rFonts w:ascii="宋体" w:hAnsi="宋体" w:eastAsia="宋体" w:cs="宋体"/>
                <w:sz w:val="21"/>
                <w:szCs w:val="21"/>
              </w:rPr>
              <w:t>因本项目需求需根据实际建设情况进一步优化调整，最终按照项目实际开展要求进行调整确定，中标人必须按照采购人要求配合完成全部工作。</w:t>
            </w:r>
          </w:p>
          <w:p w14:paraId="03F2474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8.</w:t>
            </w:r>
            <w:r>
              <w:rPr>
                <w:rFonts w:ascii="宋体" w:hAnsi="宋体" w:eastAsia="宋体" w:cs="宋体"/>
                <w:sz w:val="21"/>
                <w:szCs w:val="21"/>
              </w:rPr>
              <w:t>提供相应培训服务。中标人免费为采购人提供国家主管部门认证的</w:t>
            </w:r>
            <w:r>
              <w:rPr>
                <w:rFonts w:hint="eastAsia" w:ascii="宋体" w:hAnsi="宋体" w:eastAsia="宋体" w:cs="宋体"/>
                <w:sz w:val="21"/>
                <w:szCs w:val="21"/>
              </w:rPr>
              <w:t>计算机类</w:t>
            </w:r>
            <w:r>
              <w:rPr>
                <w:rFonts w:ascii="宋体" w:hAnsi="宋体" w:eastAsia="宋体" w:cs="宋体"/>
                <w:sz w:val="21"/>
                <w:szCs w:val="21"/>
              </w:rPr>
              <w:t>中级及以上专业技术职业资格</w:t>
            </w:r>
            <w:r>
              <w:rPr>
                <w:rFonts w:hint="eastAsia" w:ascii="宋体" w:hAnsi="宋体" w:eastAsia="宋体" w:cs="宋体"/>
                <w:sz w:val="21"/>
                <w:szCs w:val="21"/>
              </w:rPr>
              <w:t>或行业认可的数据治理认证相关</w:t>
            </w:r>
            <w:r>
              <w:rPr>
                <w:rFonts w:ascii="宋体" w:hAnsi="宋体" w:eastAsia="宋体" w:cs="宋体"/>
                <w:sz w:val="21"/>
                <w:szCs w:val="21"/>
              </w:rPr>
              <w:t>培训（含线下培训和认证服务）培训，培训和认证费含在项目整体报价中。</w:t>
            </w:r>
          </w:p>
          <w:p w14:paraId="2F41AA26">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9.</w:t>
            </w:r>
            <w:r>
              <w:rPr>
                <w:rFonts w:ascii="宋体" w:hAnsi="宋体" w:eastAsia="宋体" w:cs="宋体"/>
                <w:sz w:val="21"/>
                <w:szCs w:val="21"/>
              </w:rPr>
              <w:t>中标人须安排至少5名人员驻点开发系统</w:t>
            </w:r>
            <w:r>
              <w:rPr>
                <w:rFonts w:hint="eastAsia" w:ascii="宋体" w:hAnsi="宋体" w:eastAsia="宋体" w:cs="宋体"/>
                <w:sz w:val="21"/>
                <w:szCs w:val="21"/>
              </w:rPr>
              <w:t>，质保期安排至少2人驻点运维</w:t>
            </w:r>
            <w:r>
              <w:rPr>
                <w:rFonts w:ascii="宋体" w:hAnsi="宋体" w:eastAsia="宋体" w:cs="宋体"/>
                <w:sz w:val="21"/>
                <w:szCs w:val="21"/>
              </w:rPr>
              <w:t>。</w:t>
            </w:r>
            <w:r>
              <w:rPr>
                <w:rFonts w:hint="eastAsia" w:ascii="宋体" w:hAnsi="宋体" w:eastAsia="宋体" w:cs="宋体"/>
                <w:sz w:val="21"/>
                <w:szCs w:val="21"/>
              </w:rPr>
              <w:t>在驻点过程中，</w:t>
            </w:r>
            <w:r>
              <w:rPr>
                <w:rFonts w:ascii="宋体" w:hAnsi="宋体" w:eastAsia="宋体" w:cs="宋体"/>
                <w:sz w:val="21"/>
                <w:szCs w:val="21"/>
              </w:rPr>
              <w:t>中标人</w:t>
            </w:r>
            <w:r>
              <w:rPr>
                <w:rFonts w:hint="eastAsia" w:ascii="宋体" w:hAnsi="宋体" w:eastAsia="宋体" w:cs="宋体"/>
                <w:sz w:val="21"/>
                <w:szCs w:val="21"/>
              </w:rPr>
              <w:t>应</w:t>
            </w:r>
            <w:r>
              <w:rPr>
                <w:rFonts w:ascii="宋体" w:hAnsi="宋体" w:eastAsia="宋体" w:cs="宋体"/>
                <w:sz w:val="21"/>
                <w:szCs w:val="21"/>
              </w:rPr>
              <w:t>提供完成本项服务所需要的车辆、通讯设备、办公</w:t>
            </w:r>
            <w:r>
              <w:rPr>
                <w:rFonts w:hint="eastAsia" w:ascii="宋体" w:hAnsi="宋体" w:eastAsia="宋体" w:cs="宋体"/>
                <w:sz w:val="21"/>
                <w:szCs w:val="21"/>
              </w:rPr>
              <w:t>设施</w:t>
            </w:r>
            <w:r>
              <w:rPr>
                <w:rFonts w:ascii="宋体" w:hAnsi="宋体" w:eastAsia="宋体" w:cs="宋体"/>
                <w:sz w:val="21"/>
                <w:szCs w:val="21"/>
              </w:rPr>
              <w:t>等一切物资以辅助本项目</w:t>
            </w:r>
            <w:r>
              <w:rPr>
                <w:rFonts w:hint="eastAsia" w:ascii="宋体" w:hAnsi="宋体" w:eastAsia="宋体" w:cs="宋体"/>
                <w:sz w:val="21"/>
                <w:szCs w:val="21"/>
              </w:rPr>
              <w:t>相关</w:t>
            </w:r>
            <w:r>
              <w:rPr>
                <w:rFonts w:ascii="宋体" w:hAnsi="宋体" w:eastAsia="宋体" w:cs="宋体"/>
                <w:sz w:val="21"/>
                <w:szCs w:val="21"/>
              </w:rPr>
              <w:t>工作</w:t>
            </w:r>
            <w:r>
              <w:rPr>
                <w:rFonts w:hint="eastAsia" w:ascii="宋体" w:hAnsi="宋体" w:eastAsia="宋体" w:cs="宋体"/>
                <w:sz w:val="21"/>
                <w:szCs w:val="21"/>
              </w:rPr>
              <w:t>。</w:t>
            </w:r>
          </w:p>
        </w:tc>
      </w:tr>
      <w:tr w14:paraId="7C840E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215DCD7">
            <w:pPr>
              <w:pStyle w:val="2"/>
              <w:spacing w:line="400" w:lineRule="exact"/>
              <w:jc w:val="center"/>
              <w:rPr>
                <w:rFonts w:hint="eastAsia" w:ascii="宋体" w:hAnsi="宋体" w:cs="宋体"/>
                <w:b/>
                <w:bCs/>
                <w:sz w:val="21"/>
                <w:szCs w:val="21"/>
              </w:rPr>
            </w:pPr>
            <w:r>
              <w:rPr>
                <w:rFonts w:hint="eastAsia" w:ascii="宋体" w:hAnsi="宋体" w:cs="宋体"/>
                <w:b/>
                <w:bCs/>
                <w:sz w:val="21"/>
                <w:szCs w:val="21"/>
              </w:rPr>
              <w:t>（十）演示要求及事项</w:t>
            </w:r>
          </w:p>
        </w:tc>
        <w:tc>
          <w:tcPr>
            <w:tcW w:w="7330" w:type="dxa"/>
            <w:gridSpan w:val="3"/>
            <w:tcBorders>
              <w:top w:val="single" w:color="auto" w:sz="4" w:space="0"/>
              <w:left w:val="single" w:color="auto" w:sz="4" w:space="0"/>
              <w:bottom w:val="single" w:color="auto" w:sz="4" w:space="0"/>
              <w:right w:val="single" w:color="auto" w:sz="4" w:space="0"/>
            </w:tcBorders>
          </w:tcPr>
          <w:p w14:paraId="6E079BDF">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（1）请投标人结合本项目需求及“评标方法及评标标准”演示内容要求，提前做好演示设计及准备。</w:t>
            </w:r>
          </w:p>
          <w:p w14:paraId="4DFEEC2C">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投标人自备演示所需的设备、工具和网络环境。每家投标人演示时间20分钟（不含调试）。具体演示时间另行通知，届时将在广西政府采购云平台视频会议系统通过共享屏幕方式进行演示，请各投标人提前做好调试准备。若投标人放弃演示，则演示评分项计0分。</w:t>
            </w:r>
          </w:p>
          <w:p w14:paraId="760D7EF9">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（3）注意事项</w:t>
            </w:r>
          </w:p>
          <w:p w14:paraId="69E1E9E6">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①演示顺序按广西政府采购云平台的排列顺序。演示通过广西政府采购云平台视频会议形式进行，投标人通过共享电脑桌面的形式展现，投标人应自行配制符合广西政府采购云平台视频会议要求的软硬件和确保投标人自身网络顺畅。</w:t>
            </w:r>
          </w:p>
          <w:p w14:paraId="671A59CB">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②演示前，代理机构工作人员会至少提前10分钟电话通知各参加演示的投标人，请各投标人保持通讯工具畅通；并由评委或代理机构工作人员通过广西政府采购云平台线上发起询问或通知的方式进行演示确认，投标人应在广西政府采购云平台线上回复是否参加演示。</w:t>
            </w:r>
          </w:p>
          <w:p w14:paraId="14BC6D12">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③各投标人应登录广西政府采购云平台等候演示，代理机构发出视频会议邀请后1分钟内无回应的，将顺延下一个投标人进行演示，待其他投标人演示完毕后再次发出视频会议邀请，反复3次仍无回应的或无法联系的，评标委员会可视为无法演示。</w:t>
            </w:r>
          </w:p>
          <w:p w14:paraId="0B98051A">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④由于政采云系统原因造成演示中断的，政采云系统恢复后组织重新演示。</w:t>
            </w:r>
          </w:p>
        </w:tc>
      </w:tr>
      <w:tr w14:paraId="326C0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48D1ED65">
            <w:pPr>
              <w:pStyle w:val="2"/>
              <w:spacing w:line="400" w:lineRule="exact"/>
              <w:rPr>
                <w:rFonts w:hint="eastAsia" w:ascii="宋体" w:hAnsi="宋体" w:cs="宋体"/>
                <w:sz w:val="21"/>
                <w:szCs w:val="21"/>
              </w:rPr>
            </w:pPr>
            <w:r>
              <w:rPr>
                <w:rFonts w:hint="eastAsia" w:ascii="宋体" w:hAnsi="宋体" w:cs="宋体"/>
                <w:sz w:val="21"/>
                <w:szCs w:val="21"/>
              </w:rPr>
              <w:t>▲（三）其他要求（“▲”为实质性要求，供应商必须响应，不允许负偏离）</w:t>
            </w:r>
          </w:p>
          <w:p w14:paraId="711426F0">
            <w:pPr>
              <w:pStyle w:val="2"/>
              <w:spacing w:line="400" w:lineRule="exact"/>
              <w:rPr>
                <w:rFonts w:hint="eastAsia" w:ascii="宋体" w:hAnsi="宋体" w:cs="宋体"/>
                <w:sz w:val="21"/>
                <w:szCs w:val="21"/>
              </w:rPr>
            </w:pPr>
            <w:r>
              <w:rPr>
                <w:rFonts w:hint="eastAsia" w:ascii="宋体" w:hAnsi="宋体" w:cs="宋体"/>
                <w:sz w:val="21"/>
                <w:szCs w:val="21"/>
              </w:rPr>
              <w:t>1.开发体系要求。</w:t>
            </w:r>
          </w:p>
          <w:p w14:paraId="0A6633AC">
            <w:pPr>
              <w:pStyle w:val="2"/>
              <w:spacing w:line="400" w:lineRule="exact"/>
              <w:rPr>
                <w:rFonts w:hint="eastAsia" w:ascii="宋体" w:hAnsi="宋体" w:cs="宋体"/>
                <w:sz w:val="21"/>
                <w:szCs w:val="21"/>
              </w:rPr>
            </w:pPr>
            <w:r>
              <w:rPr>
                <w:rFonts w:hint="eastAsia" w:ascii="宋体" w:hAnsi="宋体" w:cs="宋体"/>
                <w:sz w:val="21"/>
                <w:szCs w:val="21"/>
              </w:rPr>
              <w:t>（1）技术中台</w:t>
            </w:r>
          </w:p>
          <w:p w14:paraId="2F08CAEF">
            <w:pPr>
              <w:pStyle w:val="2"/>
              <w:spacing w:line="400" w:lineRule="exact"/>
              <w:rPr>
                <w:rFonts w:hint="eastAsia" w:ascii="宋体" w:hAnsi="宋体" w:cs="宋体"/>
                <w:sz w:val="21"/>
                <w:szCs w:val="21"/>
              </w:rPr>
            </w:pPr>
            <w:r>
              <w:rPr>
                <w:rFonts w:hint="eastAsia" w:ascii="宋体" w:hAnsi="宋体" w:cs="宋体"/>
                <w:sz w:val="21"/>
                <w:szCs w:val="21"/>
              </w:rPr>
              <w:t>各业务应用需基于采购人广西“生态云”统一支撑平台提供的能力进行建设，需遵循统一的建设要求。</w:t>
            </w:r>
          </w:p>
          <w:p w14:paraId="4AE89337">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\o\ac(○,1)</w:instrText>
            </w:r>
            <w:r>
              <w:rPr>
                <w:rFonts w:hint="eastAsia" w:ascii="宋体" w:hAnsi="宋体" w:cs="宋体"/>
                <w:sz w:val="21"/>
                <w:szCs w:val="21"/>
              </w:rPr>
              <w:fldChar w:fldCharType="end"/>
            </w:r>
            <w:r>
              <w:rPr>
                <w:rFonts w:hint="eastAsia" w:ascii="宋体" w:hAnsi="宋体" w:cs="宋体"/>
                <w:sz w:val="21"/>
                <w:szCs w:val="21"/>
              </w:rPr>
              <w:t xml:space="preserve"> 应用容器化要求：业务应用系统需提供用于构建镜像的相关脚本，需以镜像的形式上传至统一的私有镜像仓库，并遵循统一的镜像命名规范。镜像应遵循最佳实践，保持最小化和无状态化。</w:t>
            </w:r>
          </w:p>
          <w:p w14:paraId="3985EBE6">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\o\ac(○,2)</w:instrText>
            </w:r>
            <w:r>
              <w:rPr>
                <w:rFonts w:hint="eastAsia" w:ascii="宋体" w:hAnsi="宋体" w:cs="宋体"/>
                <w:sz w:val="21"/>
                <w:szCs w:val="21"/>
              </w:rPr>
              <w:fldChar w:fldCharType="end"/>
            </w:r>
            <w:r>
              <w:rPr>
                <w:rFonts w:hint="eastAsia" w:ascii="宋体" w:hAnsi="宋体" w:cs="宋体"/>
                <w:sz w:val="21"/>
                <w:szCs w:val="21"/>
              </w:rPr>
              <w:t xml:space="preserve"> 部署与发布要求：业务应用系统需提供适配广西“生态云”统一支撑平台的部署文件，其中需包含平台所需的各类资源定义。</w:t>
            </w:r>
          </w:p>
          <w:p w14:paraId="261FF4BC">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\o\ac(○,3)</w:instrText>
            </w:r>
            <w:r>
              <w:rPr>
                <w:rFonts w:hint="eastAsia" w:ascii="宋体" w:hAnsi="宋体" w:cs="宋体"/>
                <w:sz w:val="21"/>
                <w:szCs w:val="21"/>
              </w:rPr>
              <w:fldChar w:fldCharType="end"/>
            </w:r>
            <w:r>
              <w:rPr>
                <w:rFonts w:hint="eastAsia" w:ascii="宋体" w:hAnsi="宋体" w:cs="宋体"/>
                <w:sz w:val="21"/>
                <w:szCs w:val="21"/>
              </w:rPr>
              <w:t xml:space="preserve"> 统一流量入口要求：业务应用系统相关的接口和服务需通过统一应用网关对外暴露，需按平台统一的路由配置规范设置访问路径。</w:t>
            </w:r>
          </w:p>
          <w:p w14:paraId="6FC2F05E">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\o\ac(○,4)</w:instrText>
            </w:r>
            <w:r>
              <w:rPr>
                <w:rFonts w:hint="eastAsia" w:ascii="宋体" w:hAnsi="宋体" w:cs="宋体"/>
                <w:sz w:val="21"/>
                <w:szCs w:val="21"/>
              </w:rPr>
              <w:fldChar w:fldCharType="end"/>
            </w:r>
            <w:r>
              <w:rPr>
                <w:rFonts w:hint="eastAsia" w:ascii="宋体" w:hAnsi="宋体" w:cs="宋体"/>
                <w:sz w:val="21"/>
                <w:szCs w:val="21"/>
              </w:rPr>
              <w:t xml:space="preserve"> 统一身份认证要求：业务应用系统需支持平台提供的统一身份认证协议，与平台提供的统一单点登录系统对接，通过解析平台签发的密钥来获取用户身份信息，并以此为依据进行系统内部的权限判断和控制。</w:t>
            </w:r>
          </w:p>
          <w:p w14:paraId="69EC3362">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\o\ac(○,5)</w:instrText>
            </w:r>
            <w:r>
              <w:rPr>
                <w:rFonts w:hint="eastAsia" w:ascii="宋体" w:hAnsi="宋体" w:cs="宋体"/>
                <w:sz w:val="21"/>
                <w:szCs w:val="21"/>
              </w:rPr>
              <w:fldChar w:fldCharType="end"/>
            </w:r>
            <w:r>
              <w:rPr>
                <w:rFonts w:hint="eastAsia" w:ascii="宋体" w:hAnsi="宋体" w:cs="宋体"/>
                <w:sz w:val="21"/>
                <w:szCs w:val="21"/>
              </w:rPr>
              <w:t xml:space="preserve"> 统一消息中心接入要求：业务应用系统内需要触达用户的通知（如事项办理、业务告警、状态变更等），需按平台定义的消息模板规范，调用统一消息中心的接口实现消息的接入。</w:t>
            </w:r>
          </w:p>
          <w:p w14:paraId="64363EB1">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\o\ac(○,6)</w:instrText>
            </w:r>
            <w:r>
              <w:rPr>
                <w:rFonts w:hint="eastAsia" w:ascii="宋体" w:hAnsi="宋体" w:cs="宋体"/>
                <w:sz w:val="21"/>
                <w:szCs w:val="21"/>
              </w:rPr>
              <w:fldChar w:fldCharType="end"/>
            </w:r>
            <w:r>
              <w:rPr>
                <w:rFonts w:hint="eastAsia" w:ascii="宋体" w:hAnsi="宋体" w:cs="宋体"/>
                <w:sz w:val="21"/>
                <w:szCs w:val="21"/>
              </w:rPr>
              <w:t xml:space="preserve"> 统一日志规范要求：业务应用系统的日志需输出到标准输出和标准错误，建议输出结构化日志，并对接统一的日志管理模块，便于后续的日志检索和分析。</w:t>
            </w:r>
          </w:p>
          <w:p w14:paraId="5DC6746C">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\o\ac(○,7)</w:instrText>
            </w:r>
            <w:r>
              <w:rPr>
                <w:rFonts w:hint="eastAsia" w:ascii="宋体" w:hAnsi="宋体" w:cs="宋体"/>
                <w:sz w:val="21"/>
                <w:szCs w:val="21"/>
              </w:rPr>
              <w:fldChar w:fldCharType="end"/>
            </w:r>
            <w:r>
              <w:rPr>
                <w:rFonts w:hint="eastAsia" w:ascii="宋体" w:hAnsi="宋体" w:cs="宋体"/>
                <w:sz w:val="21"/>
                <w:szCs w:val="21"/>
              </w:rPr>
              <w:t xml:space="preserve"> 统一可观测性要求：业务应用系统需实现符合容器平台规范的存活探针、就绪探针等健康检查端点，并按广西“生态云”统一支撑平台的格式要求暴露其内部的关键性能指标。</w:t>
            </w:r>
          </w:p>
          <w:p w14:paraId="5F813D9A">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\o\ac(○,8)</w:instrText>
            </w:r>
            <w:r>
              <w:rPr>
                <w:rFonts w:hint="eastAsia" w:ascii="宋体" w:hAnsi="宋体" w:cs="宋体"/>
                <w:sz w:val="21"/>
                <w:szCs w:val="21"/>
              </w:rPr>
              <w:fldChar w:fldCharType="end"/>
            </w:r>
            <w:r>
              <w:rPr>
                <w:rFonts w:hint="eastAsia" w:ascii="宋体" w:hAnsi="宋体" w:cs="宋体"/>
                <w:sz w:val="21"/>
                <w:szCs w:val="21"/>
              </w:rPr>
              <w:t xml:space="preserve"> 统一配置管理要求：业务应用系统的环境相关配置项（如数据库地址、密码、第三方密钥等）严禁硬编码在代码或镜像中，需能够通过环境变量、挂载配置文件、对接统一配置平台等方式来读取配置。</w:t>
            </w:r>
          </w:p>
          <w:p w14:paraId="1398F9AA">
            <w:pPr>
              <w:pStyle w:val="2"/>
              <w:spacing w:line="400" w:lineRule="exact"/>
              <w:rPr>
                <w:rFonts w:hint="eastAsia" w:ascii="宋体" w:hAnsi="宋体" w:cs="宋体"/>
                <w:sz w:val="21"/>
                <w:szCs w:val="21"/>
              </w:rPr>
            </w:pPr>
            <w:r>
              <w:rPr>
                <w:rFonts w:hint="eastAsia" w:ascii="宋体" w:hAnsi="宋体" w:cs="宋体"/>
                <w:sz w:val="21"/>
                <w:szCs w:val="21"/>
              </w:rPr>
              <w:t>（2）数据资源平台</w:t>
            </w:r>
          </w:p>
          <w:p w14:paraId="64646E54">
            <w:pPr>
              <w:pStyle w:val="2"/>
              <w:spacing w:line="400" w:lineRule="exact"/>
              <w:rPr>
                <w:rFonts w:hint="eastAsia" w:ascii="宋体" w:hAnsi="宋体" w:cs="宋体"/>
                <w:sz w:val="21"/>
                <w:szCs w:val="21"/>
              </w:rPr>
            </w:pPr>
            <w:r>
              <w:rPr>
                <w:rFonts w:hint="eastAsia" w:ascii="宋体" w:hAnsi="宋体" w:cs="宋体"/>
                <w:sz w:val="21"/>
                <w:szCs w:val="21"/>
              </w:rPr>
              <w:t>必须在采购人提供的广西生态环境数据资源平台上实现数据接入、调用和共享，严格遵循统一的数据标准、接口规范和安全策略。所有跨标段的交互（如数据交换、数据接口调用、目录共享等），确保平台整体的一致性与连贯性。</w:t>
            </w:r>
          </w:p>
          <w:p w14:paraId="7B75AD2D">
            <w:pPr>
              <w:pStyle w:val="2"/>
              <w:spacing w:line="400" w:lineRule="exact"/>
              <w:rPr>
                <w:rFonts w:hint="eastAsia" w:ascii="宋体" w:hAnsi="宋体" w:cs="宋体"/>
                <w:sz w:val="21"/>
                <w:szCs w:val="21"/>
              </w:rPr>
            </w:pPr>
            <w:r>
              <w:rPr>
                <w:rFonts w:hint="eastAsia" w:ascii="宋体" w:hAnsi="宋体" w:cs="宋体"/>
                <w:sz w:val="21"/>
                <w:szCs w:val="21"/>
              </w:rPr>
              <w:t>各系统在建设过程，应严格执行统一数据接口文档和测试流程，确保接口互认、认证一致和数据安全；须接受数据平台的统一接入测试、安全评估和性能认证。系统建设应坚持模块化、服务化思路，以便于后期运维升级和持续扩展，确保全区生态环境智慧监管体系的统一性和长效运行。</w:t>
            </w:r>
          </w:p>
          <w:p w14:paraId="3B5A87F3">
            <w:pPr>
              <w:pStyle w:val="2"/>
              <w:spacing w:line="400" w:lineRule="exact"/>
              <w:rPr>
                <w:rFonts w:hint="eastAsia" w:ascii="宋体" w:hAnsi="宋体" w:cs="宋体"/>
                <w:sz w:val="21"/>
                <w:szCs w:val="21"/>
              </w:rPr>
            </w:pPr>
            <w:r>
              <w:rPr>
                <w:rFonts w:hint="eastAsia" w:ascii="宋体" w:hAnsi="宋体" w:cs="宋体"/>
                <w:sz w:val="21"/>
                <w:szCs w:val="21"/>
              </w:rPr>
              <w:t>2.需满足政务信息共享开放系统设计要求。</w:t>
            </w:r>
          </w:p>
          <w:p w14:paraId="2EDA0CDB">
            <w:pPr>
              <w:pStyle w:val="2"/>
              <w:spacing w:line="400" w:lineRule="exact"/>
              <w:rPr>
                <w:rFonts w:hint="eastAsia" w:ascii="宋体" w:hAnsi="宋体" w:cs="宋体"/>
                <w:sz w:val="21"/>
                <w:szCs w:val="21"/>
              </w:rPr>
            </w:pPr>
            <w:r>
              <w:rPr>
                <w:rFonts w:hint="eastAsia" w:ascii="宋体" w:hAnsi="宋体" w:cs="宋体"/>
                <w:sz w:val="21"/>
                <w:szCs w:val="21"/>
              </w:rPr>
              <w:t>（1）须实现通过广西一体化智能化公共数据平台与各厅局单位进行数据共享。统一标准接口服务，统一标准接口服务应按照自治区政务信息资源共享平台服务接口开发和使用规范进行设计及实施。针对接口服务过程建立异常跟踪、日志跟踪及处理机制，确保接口程序稳定、健康运行。</w:t>
            </w:r>
          </w:p>
          <w:p w14:paraId="68AC83AF">
            <w:pPr>
              <w:pStyle w:val="2"/>
              <w:spacing w:line="400" w:lineRule="exact"/>
              <w:rPr>
                <w:rFonts w:hint="eastAsia" w:ascii="宋体" w:hAnsi="宋体" w:cs="宋体"/>
                <w:sz w:val="21"/>
                <w:szCs w:val="21"/>
              </w:rPr>
            </w:pPr>
            <w:r>
              <w:rPr>
                <w:rFonts w:hint="eastAsia" w:ascii="宋体" w:hAnsi="宋体" w:cs="宋体"/>
                <w:sz w:val="21"/>
                <w:szCs w:val="21"/>
              </w:rPr>
              <w:t>根据《广西壮族自治区政务信息化公共组件管理办法（试行）》，需结合场景设计和业务需求，与自治区统一身份认证平台、统一电子印章平台等对接，充分复用自治区政务信息化可共享组件资源，避免重复开发建设。</w:t>
            </w:r>
          </w:p>
          <w:p w14:paraId="6309C1A7">
            <w:pPr>
              <w:pStyle w:val="2"/>
              <w:spacing w:line="400" w:lineRule="exact"/>
              <w:rPr>
                <w:rFonts w:hint="eastAsia" w:ascii="宋体" w:hAnsi="宋体" w:cs="宋体"/>
                <w:sz w:val="21"/>
                <w:szCs w:val="21"/>
              </w:rPr>
            </w:pPr>
            <w:r>
              <w:rPr>
                <w:rFonts w:hint="eastAsia" w:ascii="宋体" w:hAnsi="宋体" w:cs="宋体"/>
                <w:sz w:val="21"/>
                <w:szCs w:val="21"/>
              </w:rPr>
              <w:t>▲3.信息资源目录要求。根据《国务院关于印发政务信息资源共享管理暂行办法的通知》（国发〔2016〕51号）及相关法律法规和等规定，加快推动政务信息系统互联和公共数据共享，要求按照《政务信息资源目录编制指南》编制、维护本项目政务信息资源目录，基于数据共享需求清单100%梳理、挂载并发布数据资源目录，明确数据来源、格式、更新、共享和开放等属性，确保信息资源共享开放。</w:t>
            </w:r>
          </w:p>
          <w:p w14:paraId="094AD96D">
            <w:pPr>
              <w:pStyle w:val="2"/>
              <w:spacing w:line="400" w:lineRule="exact"/>
              <w:rPr>
                <w:rFonts w:hint="eastAsia" w:ascii="宋体" w:hAnsi="宋体" w:cs="宋体"/>
                <w:sz w:val="21"/>
                <w:szCs w:val="21"/>
              </w:rPr>
            </w:pPr>
            <w:r>
              <w:rPr>
                <w:rFonts w:hint="eastAsia" w:ascii="宋体" w:hAnsi="宋体" w:cs="宋体"/>
                <w:sz w:val="21"/>
                <w:szCs w:val="21"/>
              </w:rPr>
              <w:t>▲4.建立维护信息共享开放长效机制。</w:t>
            </w:r>
          </w:p>
          <w:p w14:paraId="2CB1ED95">
            <w:pPr>
              <w:pStyle w:val="2"/>
              <w:spacing w:line="400" w:lineRule="exact"/>
              <w:rPr>
                <w:rFonts w:hint="eastAsia" w:ascii="宋体" w:hAnsi="宋体" w:cs="宋体"/>
                <w:sz w:val="21"/>
                <w:szCs w:val="21"/>
              </w:rPr>
            </w:pPr>
            <w:r>
              <w:rPr>
                <w:rFonts w:hint="eastAsia" w:ascii="宋体" w:hAnsi="宋体" w:cs="宋体"/>
                <w:sz w:val="21"/>
                <w:szCs w:val="21"/>
              </w:rPr>
              <w:t>根据采购人要求，建立信息资源的采集管理机制、采集技术机制、统一存储管理机制、统一存储技术机制、统一利用管理机制、统一利用技术机制。保障稳定的数据更新频率、数据推送模式和数据推送周期。</w:t>
            </w:r>
          </w:p>
          <w:p w14:paraId="7A3548D2">
            <w:pPr>
              <w:pStyle w:val="2"/>
              <w:spacing w:line="400" w:lineRule="exact"/>
              <w:rPr>
                <w:rFonts w:hint="eastAsia" w:ascii="宋体" w:hAnsi="宋体" w:cs="宋体"/>
                <w:sz w:val="21"/>
                <w:szCs w:val="21"/>
              </w:rPr>
            </w:pPr>
            <w:r>
              <w:rPr>
                <w:rFonts w:hint="eastAsia" w:ascii="宋体" w:hAnsi="宋体" w:cs="宋体"/>
                <w:sz w:val="21"/>
                <w:szCs w:val="21"/>
              </w:rPr>
              <w:t>5.遵循总体安全建设原则。</w:t>
            </w:r>
          </w:p>
          <w:p w14:paraId="1A3527C6">
            <w:pPr>
              <w:pStyle w:val="2"/>
              <w:spacing w:line="400" w:lineRule="exact"/>
              <w:rPr>
                <w:rFonts w:hint="eastAsia" w:ascii="宋体" w:hAnsi="宋体" w:cs="宋体"/>
                <w:sz w:val="21"/>
                <w:szCs w:val="21"/>
              </w:rPr>
            </w:pPr>
            <w:r>
              <w:rPr>
                <w:rFonts w:hint="eastAsia" w:ascii="宋体" w:hAnsi="宋体" w:cs="宋体"/>
                <w:sz w:val="21"/>
                <w:szCs w:val="21"/>
              </w:rPr>
              <w:t>（1）整个网络平台与应用平台建设遵循信息安全等级保护二级体系（广西核应急指挥应用、广西生态环境厅内部管理应用、自治区生态环境厅直属单位内部管理应用、广西壮族自治区生态环境厅电子档案管理应用、内控管理应用开发应用遵循信息安全等级保护三级体系）进行建设。满足GBT 22239-2019《信息安全技术 网络安全等级保护基本要求》，并配合完成等保备案、通过等保测评等相关工作。遵循GB/T39786-2021《信息安全技术 信息系统密码应用基本要求》及相关国家标准、行业标准开展密码应用建设，系统使用壮美广西·政务云环境商用密码资源，通过密码应用安全性评估等相关工作。</w:t>
            </w:r>
          </w:p>
          <w:p w14:paraId="58327F2C">
            <w:pPr>
              <w:pStyle w:val="2"/>
              <w:spacing w:line="400" w:lineRule="exact"/>
              <w:rPr>
                <w:rFonts w:hint="eastAsia" w:ascii="宋体" w:hAnsi="宋体" w:cs="宋体"/>
                <w:sz w:val="21"/>
                <w:szCs w:val="21"/>
              </w:rPr>
            </w:pPr>
            <w:r>
              <w:rPr>
                <w:rFonts w:hint="eastAsia" w:ascii="宋体" w:hAnsi="宋体" w:cs="宋体"/>
                <w:sz w:val="21"/>
                <w:szCs w:val="21"/>
              </w:rPr>
              <w:t>（2）依托现有安全设施进行安全防护体系建设，配合采购人开展安全评估、渗透测试、漏洞修复、弱密码整改等安全保障工作。</w:t>
            </w:r>
          </w:p>
          <w:p w14:paraId="324AD63E">
            <w:pPr>
              <w:pStyle w:val="2"/>
              <w:spacing w:line="400" w:lineRule="exact"/>
              <w:rPr>
                <w:rFonts w:hint="eastAsia" w:ascii="宋体" w:hAnsi="宋体" w:cs="宋体"/>
                <w:sz w:val="21"/>
                <w:szCs w:val="21"/>
              </w:rPr>
            </w:pPr>
            <w:r>
              <w:rPr>
                <w:rFonts w:hint="eastAsia" w:ascii="宋体" w:hAnsi="宋体" w:cs="宋体"/>
                <w:sz w:val="21"/>
                <w:szCs w:val="21"/>
              </w:rPr>
              <w:t>（3）对存储在电子政务外网上的数据进行加密存储，系统应具备数据加密脱敏能力，并对系统内部个人信息等敏感数据采取安全保障措施。</w:t>
            </w:r>
          </w:p>
          <w:p w14:paraId="0540E696">
            <w:pPr>
              <w:pStyle w:val="2"/>
              <w:spacing w:line="400" w:lineRule="exact"/>
              <w:rPr>
                <w:rFonts w:hint="eastAsia" w:ascii="宋体" w:hAnsi="宋体" w:cs="宋体"/>
                <w:sz w:val="21"/>
                <w:szCs w:val="21"/>
              </w:rPr>
            </w:pPr>
            <w:r>
              <w:rPr>
                <w:rFonts w:hint="eastAsia" w:ascii="宋体" w:hAnsi="宋体" w:cs="宋体"/>
                <w:sz w:val="21"/>
                <w:szCs w:val="21"/>
              </w:rPr>
              <w:t>（4）用户登录采用CA身份认证方式；</w:t>
            </w:r>
          </w:p>
          <w:p w14:paraId="5207F889">
            <w:pPr>
              <w:pStyle w:val="2"/>
              <w:spacing w:line="400" w:lineRule="exact"/>
              <w:rPr>
                <w:rFonts w:hint="eastAsia" w:ascii="宋体" w:hAnsi="宋体" w:cs="宋体"/>
                <w:sz w:val="21"/>
                <w:szCs w:val="21"/>
              </w:rPr>
            </w:pPr>
            <w:r>
              <w:rPr>
                <w:rFonts w:hint="eastAsia" w:ascii="宋体" w:hAnsi="宋体" w:cs="宋体"/>
                <w:sz w:val="21"/>
                <w:szCs w:val="21"/>
              </w:rPr>
              <w:t>（5）对数据维护、查询访问的各环节都进行监控和“留痕”，便于审计。中标人应配合采购人或第三方进行安全审计，提供必要的审计数据和资料。</w:t>
            </w:r>
          </w:p>
          <w:p w14:paraId="7CB1900E">
            <w:pPr>
              <w:pStyle w:val="2"/>
              <w:spacing w:line="400" w:lineRule="exact"/>
              <w:rPr>
                <w:rFonts w:hint="eastAsia" w:ascii="宋体" w:hAnsi="宋体" w:cs="宋体"/>
                <w:sz w:val="21"/>
                <w:szCs w:val="21"/>
              </w:rPr>
            </w:pPr>
            <w:r>
              <w:rPr>
                <w:rFonts w:hint="eastAsia" w:ascii="宋体" w:hAnsi="宋体" w:cs="宋体"/>
                <w:sz w:val="21"/>
                <w:szCs w:val="21"/>
              </w:rPr>
              <w:t>（6）依托壮美广西·政务云的云平台建设本项目灾备体系。中标人应制定网络和数据安全事件应急预案，并开展演练。</w:t>
            </w:r>
          </w:p>
          <w:p w14:paraId="021E496C">
            <w:pPr>
              <w:pStyle w:val="2"/>
              <w:spacing w:line="400" w:lineRule="exact"/>
              <w:rPr>
                <w:rFonts w:hint="eastAsia" w:ascii="宋体" w:hAnsi="宋体" w:cs="宋体"/>
                <w:sz w:val="21"/>
                <w:szCs w:val="21"/>
              </w:rPr>
            </w:pPr>
            <w:r>
              <w:rPr>
                <w:rFonts w:hint="eastAsia" w:ascii="宋体" w:hAnsi="宋体" w:cs="宋体"/>
                <w:sz w:val="21"/>
                <w:szCs w:val="21"/>
              </w:rPr>
              <w:t>（7）在应用系统上线试运行前按照《自治区生态环境厅信息系统上线技术规范（试行）》要求进行自评，并提交《信息系统上线运行技术报告》，获得采购人批准后方可上线。</w:t>
            </w:r>
          </w:p>
          <w:p w14:paraId="36BCF6E9">
            <w:pPr>
              <w:pStyle w:val="2"/>
              <w:spacing w:line="400" w:lineRule="exact"/>
              <w:rPr>
                <w:rFonts w:hint="eastAsia" w:ascii="宋体" w:hAnsi="宋体" w:cs="宋体"/>
                <w:sz w:val="21"/>
                <w:szCs w:val="21"/>
              </w:rPr>
            </w:pPr>
            <w:r>
              <w:rPr>
                <w:rFonts w:hint="eastAsia" w:ascii="宋体" w:hAnsi="宋体" w:cs="宋体"/>
                <w:sz w:val="21"/>
                <w:szCs w:val="21"/>
              </w:rPr>
              <w:t>▲6.实施保障要求。</w:t>
            </w:r>
          </w:p>
          <w:p w14:paraId="76B4C76C">
            <w:pPr>
              <w:pStyle w:val="2"/>
              <w:spacing w:line="400" w:lineRule="exact"/>
              <w:rPr>
                <w:rFonts w:hint="eastAsia" w:ascii="宋体" w:hAnsi="宋体" w:cs="宋体"/>
                <w:sz w:val="21"/>
                <w:szCs w:val="21"/>
              </w:rPr>
            </w:pPr>
            <w:r>
              <w:rPr>
                <w:rFonts w:hint="eastAsia" w:ascii="宋体" w:hAnsi="宋体" w:cs="宋体"/>
                <w:sz w:val="21"/>
                <w:szCs w:val="21"/>
              </w:rPr>
              <w:t>（1）密码应用采用统一协调的密码应用方案，包括但不限于密码技术应用、密码支持总体架构、密码基础设施建设部署、密钥管理体系构建、密码产品部署以及管理等。提供密码服务和身份认证服务，密码安全应用贯穿业务始终，即从传输链路、身份鉴别、数据加密、电子签名、数据完整性保护等。</w:t>
            </w:r>
          </w:p>
          <w:p w14:paraId="5DF05E20">
            <w:pPr>
              <w:pStyle w:val="2"/>
              <w:spacing w:line="400" w:lineRule="exact"/>
              <w:rPr>
                <w:rFonts w:hint="eastAsia" w:ascii="宋体" w:hAnsi="宋体" w:cs="宋体"/>
                <w:sz w:val="21"/>
                <w:szCs w:val="21"/>
              </w:rPr>
            </w:pPr>
            <w:r>
              <w:rPr>
                <w:rFonts w:hint="eastAsia" w:ascii="宋体" w:hAnsi="宋体" w:cs="宋体"/>
                <w:sz w:val="21"/>
                <w:szCs w:val="21"/>
              </w:rPr>
              <w:t>（2）实施计划要求。编制《项目建设实施方案》，组织进行评审论证，并报请采购人批准；在《项目建设实施方案》被批准后，将严格按照实施方案、时间进度要求和人员安排等，组织工程建设，完成工程建设任务，组织工程验收，系统投入运行。实施内容包括方案设计阶段、系统集成、系统调试、试运行、最终验收、风险点及应对措施六个方面。</w:t>
            </w:r>
          </w:p>
          <w:p w14:paraId="26DA7F64">
            <w:pPr>
              <w:pStyle w:val="2"/>
              <w:spacing w:line="400" w:lineRule="exact"/>
              <w:rPr>
                <w:rFonts w:hint="eastAsia" w:ascii="宋体" w:hAnsi="宋体" w:cs="宋体"/>
                <w:sz w:val="21"/>
                <w:szCs w:val="21"/>
              </w:rPr>
            </w:pPr>
            <w:r>
              <w:rPr>
                <w:rFonts w:hint="eastAsia" w:ascii="宋体" w:hAnsi="宋体" w:cs="宋体"/>
                <w:sz w:val="21"/>
                <w:szCs w:val="21"/>
              </w:rPr>
              <w:t>（3）遵循项目进度基准、范围基准、质量标准等，承建单位对项目的进度、质量、范围、变更等进行统筹管理。供应商对应用功能、服务器配置等参数进行变更应及时传达采购单位，并评估变更带来的安全风险，采取措施对风险进行控制；供应商须建立系统资产清单台账（包括但不限于服务器、操作系统、数据库、中间件、软件基础平台、网络策略开通和数据备份情况等信息），并定期更新。</w:t>
            </w:r>
          </w:p>
          <w:p w14:paraId="4FC32E77">
            <w:pPr>
              <w:pStyle w:val="2"/>
              <w:spacing w:line="400" w:lineRule="exact"/>
              <w:rPr>
                <w:rFonts w:hint="eastAsia" w:ascii="宋体" w:hAnsi="宋体" w:cs="宋体"/>
                <w:sz w:val="21"/>
                <w:szCs w:val="21"/>
              </w:rPr>
            </w:pPr>
            <w:r>
              <w:rPr>
                <w:rFonts w:hint="eastAsia" w:ascii="宋体" w:hAnsi="宋体" w:cs="宋体"/>
                <w:sz w:val="21"/>
                <w:szCs w:val="21"/>
              </w:rPr>
              <w:t>▲7.技术要求。</w:t>
            </w:r>
          </w:p>
          <w:p w14:paraId="7E7033A7">
            <w:pPr>
              <w:pStyle w:val="2"/>
              <w:spacing w:line="400" w:lineRule="exact"/>
              <w:rPr>
                <w:rFonts w:hint="eastAsia" w:ascii="宋体" w:hAnsi="宋体" w:cs="宋体"/>
                <w:sz w:val="21"/>
                <w:szCs w:val="21"/>
              </w:rPr>
            </w:pPr>
            <w:r>
              <w:rPr>
                <w:rFonts w:hint="eastAsia" w:ascii="宋体" w:hAnsi="宋体" w:cs="宋体"/>
                <w:sz w:val="21"/>
                <w:szCs w:val="21"/>
              </w:rPr>
              <w:t>（1）部署要求</w:t>
            </w:r>
          </w:p>
          <w:p w14:paraId="498D6D63">
            <w:pPr>
              <w:pStyle w:val="2"/>
              <w:spacing w:line="400" w:lineRule="exact"/>
              <w:rPr>
                <w:rFonts w:hint="eastAsia" w:ascii="宋体" w:hAnsi="宋体" w:cs="宋体"/>
                <w:sz w:val="21"/>
                <w:szCs w:val="21"/>
              </w:rPr>
            </w:pPr>
            <w:r>
              <w:rPr>
                <w:rFonts w:hint="eastAsia" w:ascii="宋体" w:hAnsi="宋体" w:cs="宋体"/>
                <w:sz w:val="21"/>
                <w:szCs w:val="21"/>
              </w:rPr>
              <w:t>本项目所用服务器、中间件、操作系统、数据库等均应使用国产技术栈产品，并按要求部署在壮美广西·云平台，确保能在国产技术栈终端环境下稳定运行。</w:t>
            </w:r>
          </w:p>
          <w:p w14:paraId="09C63404">
            <w:pPr>
              <w:pStyle w:val="2"/>
              <w:spacing w:line="400" w:lineRule="exact"/>
              <w:rPr>
                <w:rFonts w:hint="eastAsia" w:ascii="宋体" w:hAnsi="宋体" w:cs="宋体"/>
                <w:sz w:val="21"/>
                <w:szCs w:val="21"/>
              </w:rPr>
            </w:pPr>
            <w:r>
              <w:rPr>
                <w:rFonts w:hint="eastAsia" w:ascii="宋体" w:hAnsi="宋体" w:cs="宋体"/>
                <w:sz w:val="21"/>
                <w:szCs w:val="21"/>
              </w:rPr>
              <w:t>本项目应用系统的开发须基于国产技术栈开发，系统在国产操作系统下运行，支持国产浏览器访问。</w:t>
            </w:r>
          </w:p>
          <w:p w14:paraId="1246C4FE">
            <w:pPr>
              <w:pStyle w:val="2"/>
              <w:spacing w:line="400" w:lineRule="exact"/>
              <w:rPr>
                <w:rFonts w:hint="eastAsia" w:ascii="宋体" w:hAnsi="宋体" w:cs="宋体"/>
                <w:sz w:val="21"/>
                <w:szCs w:val="21"/>
              </w:rPr>
            </w:pPr>
            <w:r>
              <w:rPr>
                <w:rFonts w:hint="eastAsia" w:ascii="宋体" w:hAnsi="宋体" w:cs="宋体"/>
                <w:sz w:val="21"/>
                <w:szCs w:val="21"/>
              </w:rPr>
              <w:t>本项目所建设的应用系统均应基于壮美广西·政务云提供的银河麒麟、统信UOS等国产操作系统，鲲鹏、飞腾服务器等国产服务器部署要求进行开发；业务系统数据库采用主流的国产关系型数据库管理系统，主要采用开源组件，开源许可协议符合GPL3.0协议。</w:t>
            </w:r>
          </w:p>
          <w:p w14:paraId="77D22F5C">
            <w:pPr>
              <w:pStyle w:val="2"/>
              <w:spacing w:line="400" w:lineRule="exact"/>
              <w:rPr>
                <w:rFonts w:hint="eastAsia" w:ascii="宋体" w:hAnsi="宋体" w:cs="宋体"/>
                <w:sz w:val="21"/>
                <w:szCs w:val="21"/>
              </w:rPr>
            </w:pPr>
            <w:r>
              <w:rPr>
                <w:rFonts w:hint="eastAsia" w:ascii="宋体" w:hAnsi="宋体" w:cs="宋体"/>
                <w:sz w:val="21"/>
                <w:szCs w:val="21"/>
              </w:rPr>
              <w:t>（2）性能要求</w:t>
            </w:r>
          </w:p>
          <w:p w14:paraId="5BEC7FEB">
            <w:pPr>
              <w:pStyle w:val="2"/>
              <w:spacing w:line="400" w:lineRule="exact"/>
              <w:rPr>
                <w:rFonts w:hint="eastAsia" w:ascii="宋体" w:hAnsi="宋体" w:cs="宋体"/>
                <w:sz w:val="21"/>
                <w:szCs w:val="21"/>
              </w:rPr>
            </w:pPr>
            <w:r>
              <w:rPr>
                <w:rFonts w:hint="eastAsia" w:ascii="宋体" w:hAnsi="宋体" w:cs="宋体"/>
                <w:sz w:val="21"/>
                <w:szCs w:val="21"/>
              </w:rPr>
              <w:t>应用系统须支持至少1000人同时在线，并发数据流处理能力&gt;1000,并支持未来扩展；</w:t>
            </w:r>
          </w:p>
          <w:p w14:paraId="0F09CAFF">
            <w:pPr>
              <w:pStyle w:val="2"/>
              <w:spacing w:line="400" w:lineRule="exact"/>
              <w:rPr>
                <w:rFonts w:hint="eastAsia" w:ascii="宋体" w:hAnsi="宋体" w:cs="宋体"/>
                <w:sz w:val="21"/>
                <w:szCs w:val="21"/>
              </w:rPr>
            </w:pPr>
            <w:r>
              <w:rPr>
                <w:rFonts w:hint="eastAsia" w:ascii="宋体" w:hAnsi="宋体" w:cs="宋体"/>
                <w:sz w:val="21"/>
                <w:szCs w:val="21"/>
              </w:rPr>
              <w:t>应用系统架构应支持高可用性要求，需保证平台7*24小时不间断工作；</w:t>
            </w:r>
          </w:p>
          <w:p w14:paraId="4FAC82EA">
            <w:pPr>
              <w:pStyle w:val="2"/>
              <w:spacing w:line="400" w:lineRule="exact"/>
              <w:rPr>
                <w:rFonts w:hint="eastAsia" w:ascii="宋体" w:hAnsi="宋体" w:cs="宋体"/>
                <w:sz w:val="21"/>
                <w:szCs w:val="21"/>
              </w:rPr>
            </w:pPr>
            <w:r>
              <w:rPr>
                <w:rFonts w:hint="eastAsia" w:ascii="宋体" w:hAnsi="宋体" w:cs="宋体"/>
                <w:sz w:val="21"/>
                <w:szCs w:val="21"/>
              </w:rPr>
              <w:t>应用系统在网络稳定（带宽大于100MB/s）的环境下，登录响应时间小于3秒，用户访问应用系统页面的平均响应时间小于5秒；</w:t>
            </w:r>
          </w:p>
          <w:p w14:paraId="373FC976">
            <w:pPr>
              <w:pStyle w:val="2"/>
              <w:spacing w:line="400" w:lineRule="exact"/>
              <w:rPr>
                <w:rFonts w:hint="eastAsia" w:ascii="宋体" w:hAnsi="宋体" w:cs="宋体"/>
                <w:sz w:val="21"/>
                <w:szCs w:val="21"/>
              </w:rPr>
            </w:pPr>
            <w:r>
              <w:rPr>
                <w:rFonts w:hint="eastAsia" w:ascii="宋体" w:hAnsi="宋体" w:cs="宋体"/>
                <w:sz w:val="21"/>
                <w:szCs w:val="21"/>
              </w:rPr>
              <w:t>应用系统查询检索时间不超过3秒，页面访问延迟小于5秒，报表统计时间不超过5秒。</w:t>
            </w:r>
          </w:p>
          <w:p w14:paraId="4687AE85">
            <w:pPr>
              <w:pStyle w:val="2"/>
              <w:spacing w:line="400" w:lineRule="exact"/>
              <w:rPr>
                <w:rFonts w:hint="eastAsia" w:ascii="宋体" w:hAnsi="宋体" w:cs="宋体"/>
                <w:sz w:val="21"/>
                <w:szCs w:val="21"/>
              </w:rPr>
            </w:pPr>
            <w:r>
              <w:rPr>
                <w:rFonts w:hint="eastAsia" w:ascii="宋体" w:hAnsi="宋体" w:cs="宋体"/>
                <w:sz w:val="21"/>
                <w:szCs w:val="21"/>
              </w:rPr>
              <w:t>（3）数据安全要求</w:t>
            </w:r>
          </w:p>
          <w:p w14:paraId="25314768">
            <w:pPr>
              <w:pStyle w:val="2"/>
              <w:spacing w:line="400" w:lineRule="exact"/>
              <w:rPr>
                <w:rFonts w:hint="eastAsia" w:ascii="宋体" w:hAnsi="宋体" w:cs="宋体"/>
                <w:sz w:val="21"/>
                <w:szCs w:val="21"/>
              </w:rPr>
            </w:pPr>
            <w:r>
              <w:rPr>
                <w:rFonts w:hint="eastAsia" w:ascii="宋体" w:hAnsi="宋体" w:cs="宋体"/>
                <w:sz w:val="21"/>
                <w:szCs w:val="21"/>
              </w:rPr>
              <w:t>数据梳理成果须进行分级保护，属于涉密数据的参照《中华人民共和国保守国家秘密法》《中华人民共和国保守国家秘密法实施条例》《涉密信息系统集成资质管理办法》《中华人民共和国测绘成果管理条例》等相关法律法规进行处理，数据传输须确保已通过网络安全审查。</w:t>
            </w:r>
          </w:p>
          <w:p w14:paraId="7C992606">
            <w:pPr>
              <w:pStyle w:val="2"/>
              <w:spacing w:line="400" w:lineRule="exact"/>
              <w:rPr>
                <w:rFonts w:hint="eastAsia" w:ascii="宋体" w:hAnsi="宋体" w:cs="宋体"/>
                <w:sz w:val="21"/>
                <w:szCs w:val="21"/>
              </w:rPr>
            </w:pPr>
            <w:r>
              <w:rPr>
                <w:rFonts w:hint="eastAsia" w:ascii="宋体" w:hAnsi="宋体" w:cs="宋体"/>
                <w:sz w:val="21"/>
                <w:szCs w:val="21"/>
              </w:rPr>
              <w:t>（4）文档要求</w:t>
            </w:r>
          </w:p>
          <w:p w14:paraId="16DB8F13">
            <w:pPr>
              <w:pStyle w:val="2"/>
              <w:spacing w:line="400" w:lineRule="exact"/>
              <w:rPr>
                <w:rFonts w:hint="eastAsia" w:ascii="宋体" w:hAnsi="宋体" w:cs="宋体"/>
                <w:sz w:val="21"/>
                <w:szCs w:val="21"/>
              </w:rPr>
            </w:pPr>
            <w:r>
              <w:rPr>
                <w:rFonts w:hint="eastAsia" w:ascii="宋体" w:hAnsi="宋体" w:cs="宋体"/>
                <w:sz w:val="21"/>
                <w:szCs w:val="21"/>
              </w:rPr>
              <w:t>按照《科学技术档案案卷构成的一般要求》（GBT11822-2008）及《广西壮族自治区环境信息中心采购项目实施过程管理规范》等档案管理规定中项目文档要求，编制、整理项目采购、实施、验收等阶段所产生的全部纸质及电子文档，并保障项目文档材料通过档案验收。</w:t>
            </w:r>
          </w:p>
          <w:p w14:paraId="65A4C201">
            <w:pPr>
              <w:pStyle w:val="2"/>
              <w:spacing w:line="400" w:lineRule="exact"/>
              <w:rPr>
                <w:rFonts w:hint="eastAsia" w:ascii="宋体" w:hAnsi="宋体" w:cs="宋体"/>
                <w:sz w:val="21"/>
                <w:szCs w:val="21"/>
              </w:rPr>
            </w:pPr>
            <w:r>
              <w:rPr>
                <w:rFonts w:hint="eastAsia" w:ascii="宋体" w:hAnsi="宋体" w:cs="宋体"/>
                <w:sz w:val="21"/>
                <w:szCs w:val="21"/>
              </w:rPr>
              <w:t>▲8.实施交付要求</w:t>
            </w:r>
          </w:p>
          <w:p w14:paraId="7A7A9666">
            <w:pPr>
              <w:pStyle w:val="2"/>
              <w:spacing w:line="400" w:lineRule="exact"/>
              <w:rPr>
                <w:rFonts w:hint="eastAsia" w:ascii="宋体" w:hAnsi="宋体" w:cs="宋体"/>
                <w:sz w:val="21"/>
                <w:szCs w:val="21"/>
              </w:rPr>
            </w:pPr>
            <w:r>
              <w:rPr>
                <w:rFonts w:hint="eastAsia" w:ascii="宋体" w:hAnsi="宋体" w:cs="宋体"/>
                <w:sz w:val="21"/>
                <w:szCs w:val="21"/>
              </w:rPr>
              <w:t>（1）源代码交付</w:t>
            </w:r>
          </w:p>
          <w:p w14:paraId="570D4AA8">
            <w:pPr>
              <w:pStyle w:val="2"/>
              <w:spacing w:line="400" w:lineRule="exact"/>
              <w:rPr>
                <w:rFonts w:hint="eastAsia" w:ascii="宋体" w:hAnsi="宋体" w:cs="宋体"/>
                <w:sz w:val="21"/>
                <w:szCs w:val="21"/>
              </w:rPr>
            </w:pPr>
            <w:r>
              <w:rPr>
                <w:rFonts w:hint="eastAsia" w:ascii="宋体" w:hAnsi="宋体" w:cs="宋体"/>
                <w:sz w:val="21"/>
                <w:szCs w:val="21"/>
              </w:rPr>
              <w:t>①供应商应在本项目约定的交付节点，向采购人完整交付所开发软件系统的全部源代码，源代码应涵盖系统所有功能模块，包括但不限于前端界面代码、后端业务逻辑代码、数据库访问代码等。交付的源代码应采用行业通用的、可读的编程语言及编码规范编写，确保采购人技术人员能够顺利理解和使用。</w:t>
            </w:r>
          </w:p>
          <w:p w14:paraId="2E883F91">
            <w:pPr>
              <w:pStyle w:val="2"/>
              <w:spacing w:line="400" w:lineRule="exact"/>
              <w:rPr>
                <w:rFonts w:hint="eastAsia" w:ascii="宋体" w:hAnsi="宋体" w:cs="宋体"/>
                <w:sz w:val="21"/>
                <w:szCs w:val="21"/>
              </w:rPr>
            </w:pPr>
            <w:r>
              <w:rPr>
                <w:rFonts w:hint="eastAsia" w:ascii="宋体" w:hAnsi="宋体" w:cs="宋体"/>
                <w:sz w:val="21"/>
                <w:szCs w:val="21"/>
              </w:rPr>
              <w:t>②源代码应以电子文档形式交付，存储于采购人指定的存储介质或通过采购人认可的在线传输方式提交。交付时应同时提供详细的代码文档，包括代码架构说明、模块功能介绍、关键算法说明等，以便采购人进行后续的维护和开发工作。代码文档应采用清晰、易懂的格式编写，且文档中的术语、符号等应与源代码保持一致。</w:t>
            </w:r>
          </w:p>
          <w:p w14:paraId="44B1DDE7">
            <w:pPr>
              <w:pStyle w:val="2"/>
              <w:spacing w:line="400" w:lineRule="exact"/>
              <w:rPr>
                <w:rFonts w:hint="eastAsia" w:ascii="宋体" w:hAnsi="宋体" w:cs="宋体"/>
                <w:sz w:val="21"/>
                <w:szCs w:val="21"/>
              </w:rPr>
            </w:pPr>
            <w:r>
              <w:rPr>
                <w:rFonts w:hint="eastAsia" w:ascii="宋体" w:hAnsi="宋体" w:cs="宋体"/>
                <w:sz w:val="21"/>
                <w:szCs w:val="21"/>
              </w:rPr>
              <w:t>③供应商保证所交付的源代码是可真实运行的，能够在采购人指定的运行环境中，按照项目约定的功能和性能要求正常工作。供应商应在交付源代码时，提供在采购人指定环境和地点下成功编译运行的测试报告及相关测试数据，作为源代码可运行的初步证明。测试报告应详细记录测试环境配置、测试用例、测试步骤、测试结果等信息，确保测试过程的可重复性和测试结果的可信度，但成功的测试报告不可被视为交付的源代码质量完全符合要求，应以最终验收结果为准。</w:t>
            </w:r>
          </w:p>
          <w:p w14:paraId="35421F58">
            <w:pPr>
              <w:pStyle w:val="2"/>
              <w:spacing w:line="400" w:lineRule="exact"/>
              <w:rPr>
                <w:rFonts w:hint="eastAsia" w:ascii="宋体" w:hAnsi="宋体" w:cs="宋体"/>
                <w:sz w:val="21"/>
                <w:szCs w:val="21"/>
              </w:rPr>
            </w:pPr>
            <w:r>
              <w:rPr>
                <w:rFonts w:hint="eastAsia" w:ascii="宋体" w:hAnsi="宋体" w:cs="宋体"/>
                <w:sz w:val="21"/>
                <w:szCs w:val="21"/>
              </w:rPr>
              <w:t>④供应商保证其交付的源代码及其所有部分（包括但不限于算法、模块、接口）均为其原创或已获得充分、合法、有效的授权，不存在任何侵犯第三方知识产权（包括但不限于著作权、专利权、商业秘密）的情形。若因源代码侵犯第三方知识产权导致采购人遭受任何损失（包括但不限于索赔、诉讼、行政处罚、系统停运），供应商应负责解决并承担全部法律责任及采购人的直接和间接经济损失。</w:t>
            </w:r>
          </w:p>
          <w:p w14:paraId="1D2DE1F3">
            <w:pPr>
              <w:pStyle w:val="2"/>
              <w:spacing w:line="400" w:lineRule="exact"/>
              <w:rPr>
                <w:rFonts w:hint="eastAsia" w:ascii="宋体" w:hAnsi="宋体" w:cs="宋体"/>
                <w:sz w:val="21"/>
                <w:szCs w:val="21"/>
              </w:rPr>
            </w:pPr>
            <w:r>
              <w:rPr>
                <w:rFonts w:hint="eastAsia" w:ascii="宋体" w:hAnsi="宋体" w:cs="宋体"/>
                <w:sz w:val="21"/>
                <w:szCs w:val="21"/>
              </w:rPr>
              <w:t>⑤供应商交付的所有源代码及相关文档，均需提供详细的交付物清单。采购人有权根据清单进行逐项核对和验收，并签署书面交付确认书。该确认书仅代表采购人收到符合清单数量的交付物，不视为对交付物质量、合规性及知识产权的认可。</w:t>
            </w:r>
          </w:p>
          <w:p w14:paraId="4B4E4C27">
            <w:pPr>
              <w:pStyle w:val="2"/>
              <w:spacing w:line="400" w:lineRule="exact"/>
              <w:rPr>
                <w:rFonts w:hint="eastAsia" w:ascii="宋体" w:hAnsi="宋体" w:cs="宋体"/>
                <w:sz w:val="21"/>
                <w:szCs w:val="21"/>
              </w:rPr>
            </w:pPr>
            <w:r>
              <w:rPr>
                <w:rFonts w:hint="eastAsia" w:ascii="宋体" w:hAnsi="宋体" w:cs="宋体"/>
                <w:sz w:val="21"/>
                <w:szCs w:val="21"/>
              </w:rPr>
              <w:t>（2）代码审查条款</w:t>
            </w:r>
          </w:p>
          <w:p w14:paraId="4DC45150">
            <w:pPr>
              <w:pStyle w:val="2"/>
              <w:spacing w:line="400" w:lineRule="exact"/>
              <w:rPr>
                <w:rFonts w:hint="eastAsia" w:ascii="宋体" w:hAnsi="宋体" w:cs="宋体"/>
                <w:sz w:val="21"/>
                <w:szCs w:val="21"/>
              </w:rPr>
            </w:pPr>
            <w:r>
              <w:rPr>
                <w:rFonts w:hint="eastAsia" w:ascii="宋体" w:hAnsi="宋体" w:cs="宋体"/>
                <w:sz w:val="21"/>
                <w:szCs w:val="21"/>
              </w:rPr>
              <w:t>①为确保供应商交付的源代码符合项目要求，保证源代码的质量、安全性和可维护性，采购人有权对供应商交付的源代码进行审查。</w:t>
            </w:r>
          </w:p>
          <w:p w14:paraId="21906BF1">
            <w:pPr>
              <w:pStyle w:val="2"/>
              <w:spacing w:line="400" w:lineRule="exact"/>
              <w:rPr>
                <w:rFonts w:hint="eastAsia" w:ascii="宋体" w:hAnsi="宋体" w:cs="宋体"/>
                <w:sz w:val="21"/>
                <w:szCs w:val="21"/>
              </w:rPr>
            </w:pPr>
            <w:r>
              <w:rPr>
                <w:rFonts w:hint="eastAsia" w:ascii="宋体" w:hAnsi="宋体" w:cs="宋体"/>
                <w:sz w:val="21"/>
                <w:szCs w:val="21"/>
              </w:rPr>
              <w:t>②代码审查包括但不限于代码规范性审查、功能完整性审查、安全性审查、性能审查等方面。具体审查内容如下：</w:t>
            </w:r>
          </w:p>
          <w:p w14:paraId="5CC6E91E">
            <w:pPr>
              <w:pStyle w:val="2"/>
              <w:spacing w:line="400" w:lineRule="exact"/>
              <w:rPr>
                <w:rFonts w:hint="eastAsia" w:ascii="宋体" w:hAnsi="宋体" w:cs="宋体"/>
                <w:sz w:val="21"/>
                <w:szCs w:val="21"/>
              </w:rPr>
            </w:pPr>
            <w:r>
              <w:rPr>
                <w:rFonts w:hint="eastAsia" w:ascii="宋体" w:hAnsi="宋体" w:cs="宋体"/>
                <w:sz w:val="21"/>
                <w:szCs w:val="21"/>
              </w:rPr>
              <w:t>代码规范性审查：检查代码是否符合行业通用的编程规范和采购人的内部编码标准，包括代码格式、命名规范、注释规范等。</w:t>
            </w:r>
          </w:p>
          <w:p w14:paraId="257352B1">
            <w:pPr>
              <w:pStyle w:val="2"/>
              <w:spacing w:line="400" w:lineRule="exact"/>
              <w:rPr>
                <w:rFonts w:hint="eastAsia" w:ascii="宋体" w:hAnsi="宋体" w:cs="宋体"/>
                <w:sz w:val="21"/>
                <w:szCs w:val="21"/>
              </w:rPr>
            </w:pPr>
            <w:r>
              <w:rPr>
                <w:rFonts w:hint="eastAsia" w:ascii="宋体" w:hAnsi="宋体" w:cs="宋体"/>
                <w:sz w:val="21"/>
                <w:szCs w:val="21"/>
              </w:rPr>
              <w:t>功能完整性审查：验证源代码是否实现了项目约定的所有功能，功能实现是否准确无误，是否存在功能缺失或错误的情况。</w:t>
            </w:r>
          </w:p>
          <w:p w14:paraId="255B724D">
            <w:pPr>
              <w:pStyle w:val="2"/>
              <w:spacing w:line="400" w:lineRule="exact"/>
              <w:rPr>
                <w:rFonts w:hint="eastAsia" w:ascii="宋体" w:hAnsi="宋体" w:cs="宋体"/>
                <w:sz w:val="21"/>
                <w:szCs w:val="21"/>
              </w:rPr>
            </w:pPr>
            <w:r>
              <w:rPr>
                <w:rFonts w:hint="eastAsia" w:ascii="宋体" w:hAnsi="宋体" w:cs="宋体"/>
                <w:sz w:val="21"/>
                <w:szCs w:val="21"/>
              </w:rPr>
              <w:t>安全性审查：检查代码是否存在安全漏洞，如 SQL 注入、跨站脚本攻击（XSS）、缓冲区溢出等安全隐患，确保软件系统的安全性。</w:t>
            </w:r>
          </w:p>
          <w:p w14:paraId="73084D7C">
            <w:pPr>
              <w:pStyle w:val="2"/>
              <w:spacing w:line="400" w:lineRule="exact"/>
              <w:rPr>
                <w:rFonts w:hint="eastAsia" w:ascii="宋体" w:hAnsi="宋体" w:cs="宋体"/>
                <w:sz w:val="21"/>
                <w:szCs w:val="21"/>
              </w:rPr>
            </w:pPr>
            <w:r>
              <w:rPr>
                <w:rFonts w:hint="eastAsia" w:ascii="宋体" w:hAnsi="宋体" w:cs="宋体"/>
                <w:sz w:val="21"/>
                <w:szCs w:val="21"/>
              </w:rPr>
              <w:t>性能审查：评估代码的执行效率，检查是否存在性能瓶颈，如算法复杂度过高、资源占用过大等问题，确保软件系统能够满足性能要求。</w:t>
            </w:r>
          </w:p>
          <w:p w14:paraId="2B32BC4D">
            <w:pPr>
              <w:pStyle w:val="2"/>
              <w:spacing w:line="400" w:lineRule="exact"/>
              <w:rPr>
                <w:rFonts w:hint="eastAsia" w:ascii="宋体" w:hAnsi="宋体" w:cs="宋体"/>
                <w:sz w:val="21"/>
                <w:szCs w:val="21"/>
              </w:rPr>
            </w:pPr>
            <w:r>
              <w:rPr>
                <w:rFonts w:hint="eastAsia" w:ascii="宋体" w:hAnsi="宋体" w:cs="宋体"/>
                <w:sz w:val="21"/>
                <w:szCs w:val="21"/>
              </w:rPr>
              <w:t>（3）代码审查方式：</w:t>
            </w:r>
          </w:p>
          <w:p w14:paraId="0793C74C">
            <w:pPr>
              <w:pStyle w:val="2"/>
              <w:spacing w:line="400" w:lineRule="exact"/>
              <w:rPr>
                <w:rFonts w:hint="eastAsia" w:ascii="宋体" w:hAnsi="宋体" w:cs="宋体"/>
                <w:sz w:val="21"/>
                <w:szCs w:val="21"/>
              </w:rPr>
            </w:pPr>
            <w:r>
              <w:rPr>
                <w:rFonts w:hint="eastAsia" w:ascii="宋体" w:hAnsi="宋体" w:cs="宋体"/>
                <w:sz w:val="21"/>
                <w:szCs w:val="21"/>
              </w:rPr>
              <w:t>①源代码分段编译：供应商应按照采购人要求，将源代码进行合理分段，并提供分段编译的说明文档。采购人有权根据分段编译的说明文档，对源代码进行分段编译，并将编译后的程序作为正式生产系统进行测试和验证。供应商应积极配合采购人的分段编译工作，提供必要的技术支持和协助。在分段编译过程中，供应商需确保各分段代码之间的接口定义清晰、稳定，不因分段编译而出现兼容性问题。同时，若采购人在分段编译过程中遇到技术问题，供应商应在接到通知后的2小时内响应，并在1个工作日内协助解决问题。</w:t>
            </w:r>
          </w:p>
          <w:p w14:paraId="66C795BE">
            <w:pPr>
              <w:pStyle w:val="2"/>
              <w:spacing w:line="400" w:lineRule="exact"/>
              <w:rPr>
                <w:rFonts w:hint="eastAsia" w:ascii="宋体" w:hAnsi="宋体" w:cs="宋体"/>
                <w:sz w:val="21"/>
                <w:szCs w:val="21"/>
              </w:rPr>
            </w:pPr>
            <w:r>
              <w:rPr>
                <w:rFonts w:hint="eastAsia" w:ascii="宋体" w:hAnsi="宋体" w:cs="宋体"/>
                <w:sz w:val="21"/>
                <w:szCs w:val="21"/>
              </w:rPr>
              <w:t>②第三方审查：采购人有权聘请具有相关资质和经验的第三方机构对源代码进行审查。供应商应无条件配合第三方机构的审查工作，提供审查所需的所有资料和信息。审查费用由供应商承担，审查通过后，由于采购人需求变更原因导致重复审查的，重复审查的费用由采购人承担。供应商应在第三方机构开展审查工作前，按照要求准备好完整的源代码、相关技术文档、测试环境等资料，并确保资料的真实性、完整性。在审查过程中，供应商应安排专人与第三方机构对接，及时解答疑问、提供必要的技术解释。</w:t>
            </w:r>
          </w:p>
          <w:p w14:paraId="1A08763B">
            <w:pPr>
              <w:pStyle w:val="2"/>
              <w:spacing w:line="400" w:lineRule="exact"/>
              <w:rPr>
                <w:rFonts w:hint="eastAsia" w:ascii="宋体" w:hAnsi="宋体" w:cs="宋体"/>
                <w:sz w:val="21"/>
                <w:szCs w:val="21"/>
              </w:rPr>
            </w:pPr>
            <w:r>
              <w:rPr>
                <w:rFonts w:hint="eastAsia" w:ascii="宋体" w:hAnsi="宋体" w:cs="宋体"/>
                <w:sz w:val="21"/>
                <w:szCs w:val="21"/>
              </w:rPr>
              <w:t>（4）代码审查结果处理：</w:t>
            </w:r>
          </w:p>
          <w:p w14:paraId="7F6B3186">
            <w:pPr>
              <w:pStyle w:val="2"/>
              <w:spacing w:line="400" w:lineRule="exact"/>
              <w:rPr>
                <w:rFonts w:hint="eastAsia" w:ascii="宋体" w:hAnsi="宋体" w:cs="宋体"/>
                <w:sz w:val="21"/>
                <w:szCs w:val="21"/>
              </w:rPr>
            </w:pPr>
            <w:r>
              <w:rPr>
                <w:rFonts w:hint="eastAsia" w:ascii="宋体" w:hAnsi="宋体" w:cs="宋体"/>
                <w:sz w:val="21"/>
                <w:szCs w:val="21"/>
              </w:rPr>
              <w:t>①若代码审查通过，采购人应出具书面审查通过报告，供应商可按照项目约定进行后续工作。</w:t>
            </w:r>
          </w:p>
          <w:p w14:paraId="7BE7B09F">
            <w:pPr>
              <w:pStyle w:val="2"/>
              <w:spacing w:line="400" w:lineRule="exact"/>
              <w:rPr>
                <w:rFonts w:hint="eastAsia" w:ascii="宋体" w:hAnsi="宋体" w:cs="宋体"/>
                <w:sz w:val="21"/>
                <w:szCs w:val="21"/>
              </w:rPr>
            </w:pPr>
            <w:r>
              <w:rPr>
                <w:rFonts w:hint="eastAsia" w:ascii="宋体" w:hAnsi="宋体" w:cs="宋体"/>
                <w:sz w:val="21"/>
                <w:szCs w:val="21"/>
              </w:rPr>
              <w:t>②若代码审查未通过，供应商应根据采购人提出的审查意见，在3个工作日内完成源代码的修改和优化，并重新提交采购人审查。供应商除应承担因代码审查未通过而导致的所有额外费用和损失（包括但不限于审查费用、延期交付违约金等）</w:t>
            </w:r>
          </w:p>
          <w:p w14:paraId="7403499F">
            <w:pPr>
              <w:pStyle w:val="2"/>
              <w:spacing w:line="400" w:lineRule="exact"/>
              <w:rPr>
                <w:rFonts w:hint="eastAsia" w:ascii="宋体" w:hAnsi="宋体" w:cs="宋体"/>
                <w:sz w:val="21"/>
                <w:szCs w:val="21"/>
              </w:rPr>
            </w:pPr>
            <w:r>
              <w:rPr>
                <w:rFonts w:hint="eastAsia" w:ascii="宋体" w:hAnsi="宋体" w:cs="宋体"/>
                <w:sz w:val="21"/>
                <w:szCs w:val="21"/>
              </w:rPr>
              <w:t>（5）第三方产品或供应商自有知识产权产品</w:t>
            </w:r>
          </w:p>
          <w:p w14:paraId="5DA6DE6B">
            <w:pPr>
              <w:pStyle w:val="2"/>
              <w:spacing w:line="400" w:lineRule="exact"/>
              <w:rPr>
                <w:rFonts w:hint="eastAsia" w:ascii="宋体" w:hAnsi="宋体" w:cs="宋体"/>
                <w:sz w:val="21"/>
                <w:szCs w:val="21"/>
              </w:rPr>
            </w:pPr>
            <w:r>
              <w:rPr>
                <w:rFonts w:hint="eastAsia" w:ascii="宋体" w:hAnsi="宋体" w:cs="宋体"/>
                <w:sz w:val="21"/>
                <w:szCs w:val="21"/>
              </w:rPr>
              <w:t>①产品说明：若软件系统开发过程中涉及到供应商提供的第三方产品或供应商自有知识产权产品，供应商应在项目签订前向采购人详细说明相关产品的情况，包括产品名称、版本、功能、授权方式、价格等信息，并提供产品的相关文档和资料。产品文档资料应包括产品使用说明书、技术白皮书、授权许可协议样本等，以便采购人全面了解产品特性、使用方法及授权限制等内容。</w:t>
            </w:r>
          </w:p>
          <w:p w14:paraId="00843B7F">
            <w:pPr>
              <w:pStyle w:val="2"/>
              <w:spacing w:line="400" w:lineRule="exact"/>
              <w:rPr>
                <w:rFonts w:hint="eastAsia" w:ascii="宋体" w:hAnsi="宋体" w:cs="宋体"/>
                <w:sz w:val="21"/>
                <w:szCs w:val="21"/>
              </w:rPr>
            </w:pPr>
            <w:r>
              <w:rPr>
                <w:rFonts w:hint="eastAsia" w:ascii="宋体" w:hAnsi="宋体" w:cs="宋体"/>
                <w:sz w:val="21"/>
                <w:szCs w:val="21"/>
              </w:rPr>
              <w:t>②解耦要求：供应商提供的第三方产品或自有知识产权产品应通过可充分解耦的方式集成到软件系统中，确保在必要的情况下，采购人能够方便地对这些产品进行替换，而不会对软件系统的其他部分造成重大影响。供应商应提供详细的解耦方案和技术文档，说明如何实现产品与系统的解耦，以及解耦后对系统的影响和注意事项。解耦方案应从技术架构层面详细阐述产品与系统的接口设计、数据交互方式、依赖关系等，确保解耦的可行性和有效性。技术文档应包括解耦前后系统架构图对比、接口变更说明、数据迁移指导等内容。</w:t>
            </w:r>
          </w:p>
          <w:p w14:paraId="2E212D81">
            <w:pPr>
              <w:pStyle w:val="2"/>
              <w:spacing w:line="400" w:lineRule="exact"/>
              <w:rPr>
                <w:rFonts w:hint="eastAsia" w:ascii="宋体" w:hAnsi="宋体" w:cs="宋体"/>
                <w:sz w:val="21"/>
                <w:szCs w:val="21"/>
              </w:rPr>
            </w:pPr>
            <w:r>
              <w:rPr>
                <w:rFonts w:hint="eastAsia" w:ascii="宋体" w:hAnsi="宋体" w:cs="宋体"/>
                <w:sz w:val="21"/>
                <w:szCs w:val="21"/>
              </w:rPr>
              <w:t>③耦合性规避：供应商应采取有效措施，避免因必须使用第三方产品或自有知识产权产品与开发的系统产生过度耦合，导致采购人不能完全自主进行二次开发。若因供应商原因导致系统耦合性过高，影响采购人的二次开发权益的，经采购人要求，供应商应在采购人规定的期限内提供降低耦合性的解决方案，并采取措施降低系统耦合性。若无法解决或解决成本过高，经得采购人同意，供应商应免费为采购人提供功能等同的、无知识产权纠纷的替代产品，并确保系统的正常运行。若替代导致采购人成本增加或功能减损，供应商除应承担相应的赔偿责任外，还应承担相应的违约责任。</w:t>
            </w:r>
          </w:p>
          <w:p w14:paraId="243A90B9">
            <w:pPr>
              <w:pStyle w:val="2"/>
              <w:spacing w:line="400" w:lineRule="exact"/>
              <w:rPr>
                <w:rFonts w:hint="eastAsia" w:ascii="宋体" w:hAnsi="宋体" w:cs="宋体"/>
                <w:sz w:val="21"/>
                <w:szCs w:val="21"/>
              </w:rPr>
            </w:pPr>
            <w:r>
              <w:rPr>
                <w:rFonts w:hint="eastAsia" w:ascii="宋体" w:hAnsi="宋体" w:cs="宋体"/>
                <w:sz w:val="21"/>
                <w:szCs w:val="21"/>
              </w:rPr>
              <w:t>④对于供应商提供的第三方产品或自有知识产权产品，供应商须保证：</w:t>
            </w:r>
          </w:p>
          <w:p w14:paraId="0B9DE23A">
            <w:pPr>
              <w:pStyle w:val="2"/>
              <w:spacing w:line="400" w:lineRule="exact"/>
              <w:rPr>
                <w:rFonts w:hint="eastAsia" w:ascii="宋体" w:hAnsi="宋体" w:cs="宋体"/>
                <w:sz w:val="21"/>
                <w:szCs w:val="21"/>
              </w:rPr>
            </w:pPr>
            <w:r>
              <w:rPr>
                <w:rFonts w:hint="eastAsia" w:ascii="宋体" w:hAnsi="宋体" w:cs="宋体"/>
                <w:sz w:val="21"/>
                <w:szCs w:val="21"/>
              </w:rPr>
              <w:t>向采购人提供合法、有效、足额的授权许可，确保采购人在本项目范围内对产品享有永久、不可撤销的使用、运行、维护的权利。</w:t>
            </w:r>
          </w:p>
          <w:p w14:paraId="71605D61">
            <w:pPr>
              <w:pStyle w:val="2"/>
              <w:spacing w:line="400" w:lineRule="exact"/>
              <w:rPr>
                <w:rFonts w:hint="eastAsia" w:ascii="宋体" w:hAnsi="宋体" w:cs="宋体"/>
                <w:sz w:val="21"/>
                <w:szCs w:val="21"/>
              </w:rPr>
            </w:pPr>
            <w:r>
              <w:rPr>
                <w:rFonts w:hint="eastAsia" w:ascii="宋体" w:hAnsi="宋体" w:cs="宋体"/>
                <w:sz w:val="21"/>
                <w:szCs w:val="21"/>
              </w:rPr>
              <w:t>如该产品需要持续支付许可费或服务费，供应商应向采购人披露，并在项目中对未来至少 5年的费用标准进行约定和封顶，已经约定的，未经采购人同意，供应商不得单方面涨价。供应商未披露或未在项目中明确约定的，视为项目总价已包括该部分费用，超出项目总价部分全部由供应商自行承担。因许可费和服务费未按时支付影响采购人生产经营的，采购人有权要求供应商赔偿全部经济损失。</w:t>
            </w:r>
          </w:p>
          <w:p w14:paraId="386D8127">
            <w:pPr>
              <w:pStyle w:val="2"/>
              <w:spacing w:line="400" w:lineRule="exact"/>
              <w:rPr>
                <w:rFonts w:hint="eastAsia" w:ascii="宋体" w:hAnsi="宋体" w:cs="宋体"/>
                <w:sz w:val="21"/>
                <w:szCs w:val="21"/>
              </w:rPr>
            </w:pPr>
            <w:r>
              <w:rPr>
                <w:rFonts w:hint="eastAsia" w:ascii="宋体" w:hAnsi="宋体" w:cs="宋体"/>
                <w:sz w:val="21"/>
                <w:szCs w:val="21"/>
              </w:rPr>
              <w:t>如该产品停止更新或服务，供应商有义务提前6个月通知采购人，并免费提供其他合格产品的解决方案和技术支持。</w:t>
            </w:r>
          </w:p>
          <w:p w14:paraId="7194784C">
            <w:pPr>
              <w:pStyle w:val="2"/>
              <w:spacing w:line="400" w:lineRule="exact"/>
              <w:rPr>
                <w:rFonts w:hint="eastAsia" w:ascii="宋体" w:hAnsi="宋体" w:cs="宋体"/>
                <w:sz w:val="21"/>
                <w:szCs w:val="21"/>
              </w:rPr>
            </w:pPr>
            <w:r>
              <w:rPr>
                <w:rFonts w:hint="eastAsia" w:ascii="宋体" w:hAnsi="宋体" w:cs="宋体"/>
                <w:sz w:val="21"/>
                <w:szCs w:val="21"/>
              </w:rPr>
              <w:t>（6）本项目为交钥匙工程，所有产品送达采购人并安装调试完成直至最终验收合格及质保期内的所有费用，包含但不限于软件平台外购费、数据处理费、基础地理信息数据服务费、人工费、产品价、设计费、交通费、通信费、安全生产费、专家咨询费、会议费、税费、集成费、外协费、保险费、采购人现有软硬件融合及维护等所有费用。因供应商自身原因造成漏报、少报皆由其自行承担责任，采购人不再补偿。在项目实施过程中，若出现因费用问题导致项目进度受阻或质量受影响的情况，供应商应承担全部责任，并采取紧急措施予以解决，确保项目按项目约定推进。</w:t>
            </w:r>
          </w:p>
          <w:p w14:paraId="49C686DA">
            <w:pPr>
              <w:pStyle w:val="2"/>
              <w:spacing w:line="400" w:lineRule="exact"/>
              <w:rPr>
                <w:rFonts w:hint="eastAsia" w:ascii="宋体" w:hAnsi="宋体" w:cs="宋体"/>
                <w:sz w:val="21"/>
                <w:szCs w:val="21"/>
              </w:rPr>
            </w:pPr>
            <w:r>
              <w:rPr>
                <w:rFonts w:hint="eastAsia" w:ascii="宋体" w:hAnsi="宋体" w:cs="宋体"/>
                <w:sz w:val="21"/>
                <w:szCs w:val="21"/>
              </w:rPr>
              <w:t>（7）本项目各系统需严格遵循采购人的总体技术架构实施建设。供应商须按照采购人明确的包含但不限于国产技术栈改造、技术规范、开发流程、接口标准、安全防护机制等统一技术要求进行系统设计、开发与部署，确保系统在技术层面与采购人现有技术体系无缝兼容、高效协同，满足业务连续性及可扩展性需求。同时，供应商应根据数据资源管理要求，包含但不限于无条件提供项目涉及的所有数据，涵盖但不限于数据采集、存储、处理、共享等全生命周期管理，确保数据的准确性、完整性、及时性与安全性，并严格遵循采购人制定的数据格式、数据字典、数据交换标准等统一数据要求，实现数据在各系统间的高效流通与共享。若因供应商原因导致系统在技术兼容性、数据管理等方面不符合采购人要求，供应商应承担由此产生的全部整改费用及相关损失，并在规定时间内完成整改，确保项目顺利通过验收。</w:t>
            </w:r>
          </w:p>
          <w:p w14:paraId="4899CD2B">
            <w:pPr>
              <w:pStyle w:val="2"/>
              <w:spacing w:line="400" w:lineRule="exact"/>
              <w:rPr>
                <w:rFonts w:hint="eastAsia" w:ascii="宋体" w:hAnsi="宋体" w:cs="宋体"/>
                <w:sz w:val="21"/>
                <w:szCs w:val="21"/>
              </w:rPr>
            </w:pPr>
            <w:r>
              <w:rPr>
                <w:rFonts w:hint="eastAsia" w:ascii="宋体" w:hAnsi="宋体" w:cs="宋体"/>
                <w:sz w:val="21"/>
                <w:szCs w:val="21"/>
              </w:rPr>
              <w:t>▲9.数据资料归属及保密要求</w:t>
            </w:r>
          </w:p>
          <w:p w14:paraId="6E8C4E2A">
            <w:pPr>
              <w:pStyle w:val="2"/>
              <w:spacing w:line="400" w:lineRule="exact"/>
              <w:rPr>
                <w:rFonts w:hint="eastAsia" w:ascii="宋体" w:hAnsi="宋体" w:cs="宋体"/>
                <w:sz w:val="21"/>
                <w:szCs w:val="21"/>
              </w:rPr>
            </w:pPr>
            <w:r>
              <w:rPr>
                <w:rFonts w:hint="eastAsia" w:ascii="宋体" w:hAnsi="宋体" w:cs="宋体"/>
                <w:sz w:val="21"/>
                <w:szCs w:val="21"/>
              </w:rPr>
              <w:t>（1）本项目所形成的数据和报告归采购人所有。未经采购人授权，不得将数据和报告发送给任何第三方，严格执行项目实施过程中产生数据和报告等资料保密管理。</w:t>
            </w:r>
          </w:p>
          <w:p w14:paraId="724EFF53">
            <w:pPr>
              <w:pStyle w:val="2"/>
              <w:spacing w:line="400" w:lineRule="exact"/>
              <w:rPr>
                <w:rFonts w:hint="eastAsia" w:ascii="宋体" w:hAnsi="宋体" w:cs="宋体"/>
                <w:sz w:val="21"/>
                <w:szCs w:val="21"/>
              </w:rPr>
            </w:pPr>
            <w:r>
              <w:rPr>
                <w:rFonts w:hint="eastAsia" w:ascii="宋体" w:hAnsi="宋体" w:cs="宋体"/>
                <w:sz w:val="21"/>
                <w:szCs w:val="21"/>
              </w:rPr>
              <w:t>（2）应遵守《中华人民共和国保守国家秘密法》，严格执行保密制度，按照采购单位要求签订保密协议，不得向第三方泄露其在提供服务期间获得采购单位的技术、商业机密，否则须承担因此产生的全部责任。</w:t>
            </w:r>
          </w:p>
          <w:p w14:paraId="5D5CBC3F">
            <w:pPr>
              <w:pStyle w:val="2"/>
              <w:spacing w:line="400" w:lineRule="exact"/>
              <w:rPr>
                <w:rFonts w:hint="eastAsia" w:ascii="宋体" w:hAnsi="宋体" w:cs="宋体"/>
                <w:sz w:val="21"/>
                <w:szCs w:val="21"/>
              </w:rPr>
            </w:pPr>
            <w:r>
              <w:rPr>
                <w:rFonts w:hint="eastAsia" w:ascii="宋体" w:hAnsi="宋体" w:cs="宋体"/>
                <w:sz w:val="21"/>
                <w:szCs w:val="21"/>
              </w:rPr>
              <w:t>（3）中标方不允许自行申报科技奖、工程奖、优秀案例等。</w:t>
            </w:r>
          </w:p>
          <w:p w14:paraId="50A414A7">
            <w:pPr>
              <w:pStyle w:val="2"/>
              <w:spacing w:line="400" w:lineRule="exact"/>
              <w:rPr>
                <w:rFonts w:hint="eastAsia" w:ascii="宋体" w:hAnsi="宋体" w:cs="宋体"/>
                <w:sz w:val="21"/>
                <w:szCs w:val="21"/>
              </w:rPr>
            </w:pPr>
            <w:r>
              <w:rPr>
                <w:rFonts w:hint="eastAsia" w:ascii="宋体" w:hAnsi="宋体" w:cs="宋体"/>
                <w:sz w:val="21"/>
                <w:szCs w:val="21"/>
              </w:rPr>
              <w:t>▲10.成果提交及项目验收</w:t>
            </w:r>
          </w:p>
          <w:p w14:paraId="323E4A4E">
            <w:pPr>
              <w:pStyle w:val="2"/>
              <w:spacing w:line="400" w:lineRule="exact"/>
              <w:rPr>
                <w:rFonts w:hint="eastAsia" w:ascii="宋体" w:hAnsi="宋体" w:cs="宋体"/>
                <w:sz w:val="21"/>
                <w:szCs w:val="21"/>
              </w:rPr>
            </w:pPr>
            <w:r>
              <w:rPr>
                <w:rFonts w:hint="eastAsia" w:ascii="宋体" w:hAnsi="宋体" w:cs="宋体"/>
                <w:sz w:val="21"/>
                <w:szCs w:val="21"/>
              </w:rPr>
              <w:t>（1）根据项目采购需求完成系统建设。</w:t>
            </w:r>
          </w:p>
          <w:p w14:paraId="795168C1">
            <w:pPr>
              <w:pStyle w:val="2"/>
              <w:spacing w:line="400" w:lineRule="exact"/>
              <w:rPr>
                <w:rFonts w:hint="eastAsia" w:ascii="宋体" w:hAnsi="宋体" w:cs="宋体"/>
                <w:sz w:val="21"/>
                <w:szCs w:val="21"/>
              </w:rPr>
            </w:pPr>
            <w:r>
              <w:rPr>
                <w:rFonts w:hint="eastAsia" w:ascii="宋体" w:hAnsi="宋体" w:cs="宋体"/>
                <w:sz w:val="21"/>
                <w:szCs w:val="21"/>
              </w:rPr>
              <w:t>（2）按照《广西壮族自治区环境信息中心采购项目实施过程管理规范》要求完成，项目文件包括但不限于项目团队计划、项目实施方案、密码应用方案、系统安全建设方案、数据迁移方案、项目进度计划、项目需求调研报告、系统需求规格说明书、系统概要设计、系统详细设计、系统数据库设计、部署方案、变更说明（如有）、系统部署安装手册及登记图、测试方案（含计划）、测试用例、测试报告（单元测试、系统测试、验收测试等）、试运行方案、试运行报告、风险评估报告、用户使用手册、系统配置说明、代码文档、接口文档、培训文档等文件编制，同时提交电子版。</w:t>
            </w:r>
          </w:p>
          <w:p w14:paraId="67A05409">
            <w:pPr>
              <w:pStyle w:val="2"/>
              <w:spacing w:line="400" w:lineRule="exact"/>
              <w:rPr>
                <w:rFonts w:hint="eastAsia" w:ascii="宋体" w:hAnsi="宋体" w:cs="宋体"/>
                <w:sz w:val="21"/>
                <w:szCs w:val="21"/>
              </w:rPr>
            </w:pPr>
            <w:r>
              <w:rPr>
                <w:rFonts w:hint="eastAsia" w:ascii="宋体" w:hAnsi="宋体" w:cs="宋体"/>
                <w:sz w:val="21"/>
                <w:szCs w:val="21"/>
              </w:rPr>
              <w:t>▲11.质保期服务要求。质保期间，中标人须保障系统安全稳定正常运行，平均故障间隔时间＞1000小时，平均修复时间＜2.5小时，并完成一定程度的系统优化工作。应定期对服务器、操作系统、数据库、中间件、软件基础平台进行巡检并建立巡检台账；监控服务器‌CPU使用率、‌内存占用率‌、磁盘I/O性能等。</w:t>
            </w:r>
          </w:p>
        </w:tc>
      </w:tr>
    </w:tbl>
    <w:p w14:paraId="414DE69B">
      <w:pPr>
        <w:pStyle w:val="12"/>
      </w:pPr>
    </w:p>
    <w:p w14:paraId="051CBF79">
      <w:pPr>
        <w:pStyle w:val="4"/>
        <w:ind w:left="420" w:leftChars="200"/>
        <w:rPr>
          <w:sz w:val="21"/>
          <w:szCs w:val="21"/>
        </w:rPr>
      </w:pPr>
      <w:r>
        <w:rPr>
          <w:rFonts w:hint="eastAsia"/>
          <w:sz w:val="21"/>
          <w:szCs w:val="21"/>
        </w:rPr>
        <w:t>3.分标3（C分标）：采购预算：185.36万元</w:t>
      </w:r>
    </w:p>
    <w:tbl>
      <w:tblPr>
        <w:tblStyle w:val="18"/>
        <w:tblW w:w="9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3"/>
        <w:gridCol w:w="1275"/>
        <w:gridCol w:w="167"/>
        <w:gridCol w:w="967"/>
        <w:gridCol w:w="851"/>
        <w:gridCol w:w="5512"/>
      </w:tblGrid>
      <w:tr w14:paraId="35262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325" w:type="dxa"/>
            <w:gridSpan w:val="6"/>
            <w:tcBorders>
              <w:top w:val="single" w:color="auto" w:sz="4" w:space="0"/>
              <w:left w:val="single" w:color="auto" w:sz="4" w:space="0"/>
              <w:bottom w:val="nil"/>
              <w:right w:val="single" w:color="auto" w:sz="4" w:space="0"/>
            </w:tcBorders>
            <w:vAlign w:val="center"/>
          </w:tcPr>
          <w:p w14:paraId="1F71E597">
            <w:pPr>
              <w:spacing w:line="400" w:lineRule="exact"/>
              <w:jc w:val="center"/>
              <w:rPr>
                <w:rFonts w:hint="eastAsia" w:ascii="宋体" w:hAnsi="宋体" w:cs="宋体"/>
                <w:b/>
                <w:szCs w:val="21"/>
              </w:rPr>
            </w:pPr>
            <w:r>
              <w:rPr>
                <w:rFonts w:hint="eastAsia" w:ascii="宋体" w:hAnsi="宋体" w:cs="宋体"/>
                <w:b/>
                <w:szCs w:val="21"/>
              </w:rPr>
              <w:t>服务需求一览表</w:t>
            </w:r>
          </w:p>
        </w:tc>
      </w:tr>
      <w:tr w14:paraId="4ABB0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0EB23EC5">
            <w:pPr>
              <w:spacing w:line="400" w:lineRule="exact"/>
              <w:jc w:val="center"/>
              <w:rPr>
                <w:rFonts w:hint="eastAsia" w:ascii="宋体" w:hAnsi="宋体" w:cs="宋体"/>
                <w:szCs w:val="21"/>
              </w:rPr>
            </w:pPr>
            <w:r>
              <w:rPr>
                <w:rFonts w:hint="eastAsia" w:ascii="宋体" w:hAnsi="宋体" w:cs="宋体"/>
                <w:szCs w:val="21"/>
              </w:rPr>
              <w:t>序号</w:t>
            </w:r>
          </w:p>
        </w:tc>
        <w:tc>
          <w:tcPr>
            <w:tcW w:w="1275" w:type="dxa"/>
            <w:tcBorders>
              <w:top w:val="single" w:color="auto" w:sz="4" w:space="0"/>
              <w:left w:val="single" w:color="auto" w:sz="4" w:space="0"/>
              <w:bottom w:val="single" w:color="auto" w:sz="4" w:space="0"/>
              <w:right w:val="single" w:color="auto" w:sz="4" w:space="0"/>
            </w:tcBorders>
            <w:vAlign w:val="center"/>
          </w:tcPr>
          <w:p w14:paraId="729F7104">
            <w:pPr>
              <w:spacing w:line="400" w:lineRule="exact"/>
              <w:jc w:val="center"/>
              <w:rPr>
                <w:rFonts w:hint="eastAsia" w:ascii="宋体" w:hAnsi="宋体" w:cs="宋体"/>
                <w:szCs w:val="21"/>
              </w:rPr>
            </w:pPr>
            <w:r>
              <w:rPr>
                <w:rFonts w:hint="eastAsia" w:ascii="宋体" w:hAnsi="宋体" w:cs="宋体"/>
                <w:szCs w:val="21"/>
              </w:rPr>
              <w:t>标的名称</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1DB4D79D">
            <w:pPr>
              <w:spacing w:line="400" w:lineRule="exact"/>
              <w:jc w:val="center"/>
              <w:rPr>
                <w:rFonts w:hint="eastAsia" w:ascii="宋体" w:hAnsi="宋体" w:cs="宋体"/>
                <w:szCs w:val="21"/>
              </w:rPr>
            </w:pPr>
            <w:r>
              <w:rPr>
                <w:rFonts w:hint="eastAsia" w:ascii="宋体" w:hAnsi="宋体" w:cs="宋体"/>
                <w:szCs w:val="21"/>
              </w:rPr>
              <w:t>建设内容</w:t>
            </w:r>
          </w:p>
        </w:tc>
        <w:tc>
          <w:tcPr>
            <w:tcW w:w="851" w:type="dxa"/>
            <w:tcBorders>
              <w:top w:val="single" w:color="auto" w:sz="4" w:space="0"/>
              <w:left w:val="single" w:color="auto" w:sz="4" w:space="0"/>
              <w:bottom w:val="single" w:color="auto" w:sz="4" w:space="0"/>
              <w:right w:val="single" w:color="auto" w:sz="4" w:space="0"/>
            </w:tcBorders>
            <w:vAlign w:val="center"/>
          </w:tcPr>
          <w:p w14:paraId="4EA1F014">
            <w:pPr>
              <w:spacing w:line="400" w:lineRule="exact"/>
              <w:jc w:val="center"/>
              <w:rPr>
                <w:rFonts w:hint="eastAsia" w:ascii="宋体" w:hAnsi="宋体" w:cs="宋体"/>
                <w:szCs w:val="21"/>
              </w:rPr>
            </w:pPr>
            <w:r>
              <w:rPr>
                <w:rFonts w:hint="eastAsia" w:ascii="宋体" w:hAnsi="宋体" w:cs="宋体"/>
                <w:szCs w:val="21"/>
              </w:rPr>
              <w:t>数量及</w:t>
            </w:r>
          </w:p>
          <w:p w14:paraId="531449B5">
            <w:pPr>
              <w:spacing w:line="400" w:lineRule="exact"/>
              <w:jc w:val="center"/>
              <w:rPr>
                <w:rFonts w:hint="eastAsia" w:ascii="宋体" w:hAnsi="宋体" w:cs="宋体"/>
                <w:szCs w:val="21"/>
              </w:rPr>
            </w:pPr>
            <w:r>
              <w:rPr>
                <w:rFonts w:hint="eastAsia" w:ascii="宋体" w:hAnsi="宋体" w:cs="宋体"/>
                <w:szCs w:val="21"/>
              </w:rPr>
              <w:t>单位</w:t>
            </w:r>
          </w:p>
        </w:tc>
        <w:tc>
          <w:tcPr>
            <w:tcW w:w="5512" w:type="dxa"/>
            <w:tcBorders>
              <w:top w:val="single" w:color="auto" w:sz="4" w:space="0"/>
              <w:left w:val="single" w:color="auto" w:sz="4" w:space="0"/>
              <w:bottom w:val="single" w:color="auto" w:sz="4" w:space="0"/>
              <w:right w:val="single" w:color="auto" w:sz="4" w:space="0"/>
            </w:tcBorders>
            <w:vAlign w:val="center"/>
          </w:tcPr>
          <w:p w14:paraId="7BE14778">
            <w:pPr>
              <w:spacing w:line="400" w:lineRule="exact"/>
              <w:jc w:val="center"/>
              <w:rPr>
                <w:rFonts w:hint="eastAsia" w:ascii="宋体" w:hAnsi="宋体" w:cs="宋体"/>
                <w:szCs w:val="21"/>
              </w:rPr>
            </w:pPr>
            <w:r>
              <w:rPr>
                <w:rFonts w:hint="eastAsia" w:ascii="宋体" w:hAnsi="宋体" w:cs="宋体"/>
                <w:szCs w:val="21"/>
              </w:rPr>
              <w:t>服务需求</w:t>
            </w:r>
          </w:p>
        </w:tc>
      </w:tr>
      <w:tr w14:paraId="22D927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459004B1">
            <w:pPr>
              <w:spacing w:line="400" w:lineRule="exact"/>
              <w:jc w:val="center"/>
              <w:rPr>
                <w:rFonts w:hint="eastAsia" w:ascii="宋体" w:hAnsi="宋体" w:cs="宋体"/>
                <w:szCs w:val="21"/>
              </w:rPr>
            </w:pPr>
            <w:r>
              <w:rPr>
                <w:rFonts w:hint="eastAsia" w:ascii="宋体" w:hAnsi="宋体" w:cs="宋体"/>
                <w:szCs w:val="21"/>
              </w:rPr>
              <w:t>1</w:t>
            </w:r>
          </w:p>
        </w:tc>
        <w:tc>
          <w:tcPr>
            <w:tcW w:w="1275" w:type="dxa"/>
            <w:tcBorders>
              <w:top w:val="single" w:color="auto" w:sz="4" w:space="0"/>
              <w:left w:val="single" w:color="auto" w:sz="4" w:space="0"/>
              <w:bottom w:val="single" w:color="auto" w:sz="4" w:space="0"/>
              <w:right w:val="single" w:color="auto" w:sz="4" w:space="0"/>
            </w:tcBorders>
            <w:vAlign w:val="center"/>
          </w:tcPr>
          <w:p w14:paraId="0215F9CE">
            <w:pPr>
              <w:spacing w:line="400" w:lineRule="exact"/>
              <w:jc w:val="center"/>
              <w:rPr>
                <w:rFonts w:hint="eastAsia" w:ascii="宋体" w:hAnsi="宋体" w:cs="宋体"/>
                <w:szCs w:val="21"/>
              </w:rPr>
            </w:pPr>
            <w:r>
              <w:rPr>
                <w:rFonts w:hint="eastAsia" w:ascii="宋体" w:hAnsi="宋体" w:cs="宋体"/>
                <w:szCs w:val="21"/>
              </w:rPr>
              <w:t>广西生态环境信息化建设项目（</w:t>
            </w:r>
            <w:r>
              <w:rPr>
                <w:rFonts w:ascii="宋体" w:hAnsi="宋体" w:cs="宋体"/>
                <w:szCs w:val="21"/>
              </w:rPr>
              <w:t>C分标</w:t>
            </w:r>
            <w:r>
              <w:rPr>
                <w:rFonts w:hint="eastAsia" w:ascii="宋体" w:hAnsi="宋体" w:cs="宋体"/>
                <w:szCs w:val="21"/>
              </w:rPr>
              <w:t>）</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08A58F24">
            <w:pPr>
              <w:spacing w:line="400" w:lineRule="exact"/>
              <w:jc w:val="left"/>
              <w:rPr>
                <w:rFonts w:hint="eastAsia" w:ascii="宋体" w:hAnsi="宋体" w:cs="宋体"/>
                <w:szCs w:val="21"/>
              </w:rPr>
            </w:pPr>
            <w:r>
              <w:rPr>
                <w:rFonts w:ascii="宋体" w:hAnsi="宋体" w:cs="宋体"/>
                <w:szCs w:val="21"/>
              </w:rPr>
              <w:t>综合业务管理应用（广西生态环境厅内部管理应用重构适配、自治区生态环境厅直属单位内部管理应用、广西壮族自治区生态环境厅电子档案管理应用、内控管理应用、广西壮族自治区环境保护科学研究院网站、广西</w:t>
            </w:r>
            <w:r>
              <w:rPr>
                <w:rFonts w:hint="eastAsia" w:ascii="宋体" w:hAnsi="宋体" w:cs="宋体"/>
                <w:szCs w:val="21"/>
              </w:rPr>
              <w:t>“</w:t>
            </w:r>
            <w:r>
              <w:rPr>
                <w:rFonts w:ascii="宋体" w:hAnsi="宋体" w:cs="宋体"/>
                <w:szCs w:val="21"/>
              </w:rPr>
              <w:t>生态云</w:t>
            </w:r>
            <w:r>
              <w:rPr>
                <w:rFonts w:hint="eastAsia" w:ascii="宋体" w:hAnsi="宋体" w:cs="宋体"/>
                <w:szCs w:val="21"/>
              </w:rPr>
              <w:t>”</w:t>
            </w:r>
            <w:r>
              <w:rPr>
                <w:rFonts w:ascii="宋体" w:hAnsi="宋体" w:cs="宋体"/>
                <w:szCs w:val="21"/>
              </w:rPr>
              <w:t>统一支撑平台升级）</w:t>
            </w:r>
          </w:p>
        </w:tc>
        <w:tc>
          <w:tcPr>
            <w:tcW w:w="851" w:type="dxa"/>
            <w:tcBorders>
              <w:top w:val="single" w:color="auto" w:sz="4" w:space="0"/>
              <w:left w:val="single" w:color="auto" w:sz="4" w:space="0"/>
              <w:bottom w:val="single" w:color="auto" w:sz="4" w:space="0"/>
              <w:right w:val="single" w:color="auto" w:sz="4" w:space="0"/>
            </w:tcBorders>
            <w:vAlign w:val="center"/>
          </w:tcPr>
          <w:p w14:paraId="45BE6055">
            <w:pPr>
              <w:spacing w:line="400" w:lineRule="exact"/>
              <w:jc w:val="center"/>
              <w:rPr>
                <w:rFonts w:hint="eastAsia" w:ascii="宋体" w:hAnsi="宋体" w:cs="宋体"/>
                <w:szCs w:val="21"/>
              </w:rPr>
            </w:pPr>
            <w:r>
              <w:rPr>
                <w:rFonts w:hint="eastAsia" w:ascii="宋体" w:hAnsi="宋体" w:cs="宋体"/>
                <w:szCs w:val="21"/>
              </w:rPr>
              <w:t>1项</w:t>
            </w:r>
          </w:p>
        </w:tc>
        <w:tc>
          <w:tcPr>
            <w:tcW w:w="5512" w:type="dxa"/>
            <w:tcBorders>
              <w:top w:val="single" w:color="auto" w:sz="4" w:space="0"/>
              <w:left w:val="single" w:color="auto" w:sz="4" w:space="0"/>
              <w:bottom w:val="single" w:color="auto" w:sz="4" w:space="0"/>
              <w:right w:val="single" w:color="auto" w:sz="4" w:space="0"/>
            </w:tcBorders>
            <w:vAlign w:val="center"/>
          </w:tcPr>
          <w:p w14:paraId="06F6B7E4">
            <w:pPr>
              <w:pStyle w:val="2"/>
              <w:spacing w:line="400" w:lineRule="exact"/>
              <w:ind w:firstLine="480"/>
              <w:rPr>
                <w:rFonts w:hint="eastAsia" w:ascii="宋体" w:hAnsi="宋体" w:cs="宋体"/>
                <w:sz w:val="21"/>
                <w:szCs w:val="21"/>
              </w:rPr>
            </w:pPr>
            <w:r>
              <w:rPr>
                <w:rFonts w:ascii="宋体" w:hAnsi="宋体" w:cs="宋体"/>
                <w:sz w:val="21"/>
                <w:szCs w:val="21"/>
              </w:rPr>
              <w:t>▲总体要求</w:t>
            </w:r>
          </w:p>
          <w:p w14:paraId="4F3C1ABA">
            <w:pPr>
              <w:pStyle w:val="2"/>
              <w:spacing w:line="400" w:lineRule="exact"/>
              <w:ind w:firstLine="480"/>
              <w:rPr>
                <w:rFonts w:hint="eastAsia" w:ascii="宋体" w:hAnsi="宋体" w:cs="宋体"/>
                <w:sz w:val="21"/>
                <w:szCs w:val="21"/>
              </w:rPr>
            </w:pPr>
            <w:bookmarkStart w:id="66" w:name="OLE_LINK10"/>
            <w:r>
              <w:rPr>
                <w:rFonts w:ascii="宋体" w:hAnsi="宋体" w:cs="宋体"/>
                <w:sz w:val="21"/>
                <w:szCs w:val="21"/>
              </w:rPr>
              <w:t>对原有的自治区</w:t>
            </w:r>
            <w:r>
              <w:rPr>
                <w:rFonts w:hint="eastAsia" w:ascii="宋体" w:hAnsi="宋体" w:cs="宋体"/>
                <w:sz w:val="21"/>
                <w:szCs w:val="21"/>
              </w:rPr>
              <w:t>生</w:t>
            </w:r>
            <w:r>
              <w:rPr>
                <w:rFonts w:ascii="宋体" w:hAnsi="宋体" w:cs="宋体"/>
                <w:sz w:val="21"/>
                <w:szCs w:val="21"/>
              </w:rPr>
              <w:t>态环境厅内部管理应用、自治区生态环境厅直属单位内部管理应用进行重构和功能升级，新建自治区生态环境厅电子档案管理应用，并实现与广西党政机关综合办公平台进行数据对接，与广西“生态云”统一支撑平台进行数据和流程的对接，与广西生态环境数据资源平台主数据对接。定制开发对接内控管理功能，与现有的生态环境厅内控管理系统实现数据对接。改造广西壮族自治区环境保护科学研究院网站，升级广西</w:t>
            </w:r>
            <w:r>
              <w:rPr>
                <w:rFonts w:hint="eastAsia" w:ascii="宋体" w:hAnsi="宋体" w:cs="宋体"/>
                <w:sz w:val="21"/>
                <w:szCs w:val="21"/>
              </w:rPr>
              <w:t>“</w:t>
            </w:r>
            <w:r>
              <w:rPr>
                <w:rFonts w:ascii="宋体" w:hAnsi="宋体" w:cs="宋体"/>
                <w:sz w:val="21"/>
                <w:szCs w:val="21"/>
              </w:rPr>
              <w:t>生态云</w:t>
            </w:r>
            <w:r>
              <w:rPr>
                <w:rFonts w:hint="eastAsia" w:ascii="宋体" w:hAnsi="宋体" w:cs="宋体"/>
                <w:sz w:val="21"/>
                <w:szCs w:val="21"/>
              </w:rPr>
              <w:t>”</w:t>
            </w:r>
            <w:r>
              <w:rPr>
                <w:rFonts w:ascii="宋体" w:hAnsi="宋体" w:cs="宋体"/>
                <w:sz w:val="21"/>
                <w:szCs w:val="21"/>
              </w:rPr>
              <w:t>统一支撑平台。</w:t>
            </w:r>
          </w:p>
          <w:bookmarkEnd w:id="66"/>
          <w:p w14:paraId="2DA3475A">
            <w:pPr>
              <w:pStyle w:val="2"/>
              <w:spacing w:line="400" w:lineRule="exact"/>
              <w:ind w:firstLine="480"/>
              <w:rPr>
                <w:rFonts w:hint="eastAsia" w:ascii="宋体" w:hAnsi="宋体" w:cs="宋体"/>
                <w:sz w:val="21"/>
                <w:szCs w:val="21"/>
              </w:rPr>
            </w:pPr>
            <w:r>
              <w:rPr>
                <w:rFonts w:ascii="宋体" w:hAnsi="宋体" w:cs="宋体"/>
                <w:sz w:val="21"/>
                <w:szCs w:val="21"/>
              </w:rPr>
              <w:t>▲一、广西生态环境厅内部管理应用重构适配</w:t>
            </w:r>
          </w:p>
          <w:p w14:paraId="4F9A48EE">
            <w:pPr>
              <w:pStyle w:val="2"/>
              <w:spacing w:line="400" w:lineRule="exact"/>
              <w:ind w:firstLine="480"/>
              <w:rPr>
                <w:rFonts w:hint="eastAsia" w:ascii="宋体" w:hAnsi="宋体" w:cs="宋体"/>
                <w:sz w:val="21"/>
                <w:szCs w:val="21"/>
              </w:rPr>
            </w:pPr>
          </w:p>
          <w:p w14:paraId="000B1357">
            <w:pPr>
              <w:pStyle w:val="2"/>
              <w:spacing w:line="400" w:lineRule="exact"/>
              <w:ind w:firstLine="480"/>
              <w:rPr>
                <w:rFonts w:hint="eastAsia" w:ascii="宋体" w:hAnsi="宋体" w:cs="宋体"/>
                <w:sz w:val="21"/>
                <w:szCs w:val="21"/>
              </w:rPr>
            </w:pPr>
            <w:r>
              <w:rPr>
                <w:rFonts w:ascii="宋体" w:hAnsi="宋体" w:cs="宋体"/>
                <w:sz w:val="21"/>
                <w:szCs w:val="21"/>
              </w:rPr>
              <w:t>应用需按照广西生态环境业务应用系统的总体架构要求，利用广西“生态云”统一支撑平台的云原生框架能力和工具，以微服务模块的方式将应用功能集成到广西生态环境业务应用系统中，支持将系统的分析数据、展示内容推送到广西生态云应用中。</w:t>
            </w:r>
          </w:p>
          <w:p w14:paraId="3D508702">
            <w:pPr>
              <w:pStyle w:val="2"/>
              <w:spacing w:line="400" w:lineRule="exact"/>
              <w:ind w:firstLine="480"/>
              <w:rPr>
                <w:rFonts w:hint="eastAsia" w:ascii="宋体" w:hAnsi="宋体" w:cs="宋体"/>
                <w:sz w:val="21"/>
                <w:szCs w:val="21"/>
              </w:rPr>
            </w:pPr>
            <w:r>
              <w:rPr>
                <w:rFonts w:ascii="宋体" w:hAnsi="宋体" w:cs="宋体"/>
                <w:sz w:val="21"/>
                <w:szCs w:val="21"/>
              </w:rPr>
              <w:t>1.政务信息子系统重构适配</w:t>
            </w:r>
          </w:p>
          <w:p w14:paraId="1B0A2A54">
            <w:pPr>
              <w:pStyle w:val="2"/>
              <w:spacing w:line="400" w:lineRule="exact"/>
              <w:ind w:firstLine="480"/>
              <w:rPr>
                <w:rFonts w:hint="eastAsia" w:ascii="宋体" w:hAnsi="宋体" w:cs="宋体"/>
                <w:sz w:val="21"/>
                <w:szCs w:val="21"/>
              </w:rPr>
            </w:pPr>
            <w:r>
              <w:rPr>
                <w:rFonts w:ascii="宋体" w:hAnsi="宋体" w:cs="宋体"/>
                <w:sz w:val="21"/>
                <w:szCs w:val="21"/>
              </w:rPr>
              <w:t>对政务信息子系统进行系统重构，面向自治区生态环境厅本级单位用户，提供任务办理、信息查询、政务信息审核、统计查询等功能。</w:t>
            </w:r>
          </w:p>
          <w:p w14:paraId="1C9D1480">
            <w:pPr>
              <w:pStyle w:val="2"/>
              <w:spacing w:line="400" w:lineRule="exact"/>
              <w:ind w:firstLine="480"/>
              <w:rPr>
                <w:rFonts w:hint="eastAsia" w:ascii="宋体" w:hAnsi="宋体" w:cs="宋体"/>
                <w:sz w:val="21"/>
                <w:szCs w:val="21"/>
              </w:rPr>
            </w:pPr>
            <w:r>
              <w:rPr>
                <w:rFonts w:ascii="宋体" w:hAnsi="宋体" w:cs="宋体"/>
                <w:sz w:val="21"/>
                <w:szCs w:val="21"/>
              </w:rPr>
              <w:t>（1）任务办理</w:t>
            </w:r>
          </w:p>
          <w:p w14:paraId="1E343F50">
            <w:pPr>
              <w:pStyle w:val="2"/>
              <w:spacing w:line="400" w:lineRule="exact"/>
              <w:ind w:firstLine="480"/>
              <w:rPr>
                <w:rFonts w:hint="eastAsia" w:ascii="宋体" w:hAnsi="宋体" w:cs="宋体"/>
                <w:sz w:val="21"/>
                <w:szCs w:val="21"/>
              </w:rPr>
            </w:pPr>
            <w:r>
              <w:rPr>
                <w:rFonts w:ascii="宋体" w:hAnsi="宋体" w:cs="宋体"/>
                <w:sz w:val="21"/>
                <w:szCs w:val="21"/>
              </w:rPr>
              <w:t>任务办理台（任务发起、待办任务、已办任务、办结任务、被委托任务）、通知公告、信息约稿、信息报送、动态信息管理等。</w:t>
            </w:r>
          </w:p>
          <w:p w14:paraId="07078E5C">
            <w:pPr>
              <w:pStyle w:val="2"/>
              <w:spacing w:line="400" w:lineRule="exact"/>
              <w:ind w:firstLine="480"/>
              <w:rPr>
                <w:rFonts w:hint="eastAsia" w:ascii="宋体" w:hAnsi="宋体" w:cs="宋体"/>
                <w:sz w:val="21"/>
                <w:szCs w:val="21"/>
              </w:rPr>
            </w:pPr>
            <w:r>
              <w:rPr>
                <w:rFonts w:ascii="宋体" w:hAnsi="宋体" w:cs="宋体"/>
                <w:sz w:val="21"/>
                <w:szCs w:val="21"/>
              </w:rPr>
              <w:t>（2）信息查询：动态信息、约稿信息、调研信息、每日动态、备选库等。</w:t>
            </w:r>
          </w:p>
          <w:p w14:paraId="0320089A">
            <w:pPr>
              <w:pStyle w:val="2"/>
              <w:spacing w:line="400" w:lineRule="exact"/>
              <w:ind w:firstLine="480"/>
              <w:rPr>
                <w:rFonts w:hint="eastAsia" w:ascii="宋体" w:hAnsi="宋体" w:cs="宋体"/>
                <w:sz w:val="21"/>
                <w:szCs w:val="21"/>
              </w:rPr>
            </w:pPr>
            <w:r>
              <w:rPr>
                <w:rFonts w:ascii="宋体" w:hAnsi="宋体" w:cs="宋体"/>
                <w:sz w:val="21"/>
                <w:szCs w:val="21"/>
              </w:rPr>
              <w:t>（3）政务信息审核管理：草拟政务信息、处室待审政务信息、厅办一审待审政务信息、厅办终审政务信息、厅领导待审政务信息、信息中心或宣教中心发布审核管理、个人已审政务信息、所有已审政务信息。</w:t>
            </w:r>
          </w:p>
          <w:p w14:paraId="1979D8BC">
            <w:pPr>
              <w:pStyle w:val="2"/>
              <w:spacing w:line="400" w:lineRule="exact"/>
              <w:ind w:firstLine="480"/>
              <w:rPr>
                <w:rFonts w:hint="eastAsia" w:ascii="宋体" w:hAnsi="宋体" w:cs="宋体"/>
                <w:sz w:val="21"/>
                <w:szCs w:val="21"/>
              </w:rPr>
            </w:pPr>
            <w:r>
              <w:rPr>
                <w:rFonts w:ascii="宋体" w:hAnsi="宋体" w:cs="宋体"/>
                <w:sz w:val="21"/>
                <w:szCs w:val="21"/>
              </w:rPr>
              <w:t>（4）统计查询：个人排名统计、单位排名统计、采用条目查询、采用详情、采用单位、采用通告管理等。</w:t>
            </w:r>
          </w:p>
          <w:p w14:paraId="40BFBD3B">
            <w:pPr>
              <w:pStyle w:val="2"/>
              <w:spacing w:line="400" w:lineRule="exact"/>
              <w:ind w:firstLine="480"/>
              <w:rPr>
                <w:rFonts w:hint="eastAsia" w:ascii="宋体" w:hAnsi="宋体" w:cs="宋体"/>
                <w:sz w:val="21"/>
                <w:szCs w:val="21"/>
              </w:rPr>
            </w:pPr>
            <w:r>
              <w:rPr>
                <w:rFonts w:ascii="宋体" w:hAnsi="宋体" w:cs="宋体"/>
                <w:sz w:val="21"/>
                <w:szCs w:val="21"/>
              </w:rPr>
              <w:t>（5）密码资源池对接</w:t>
            </w:r>
          </w:p>
          <w:p w14:paraId="2B61B909">
            <w:pPr>
              <w:pStyle w:val="2"/>
              <w:spacing w:line="400" w:lineRule="exact"/>
              <w:ind w:firstLine="480"/>
              <w:rPr>
                <w:rFonts w:hint="eastAsia" w:ascii="宋体" w:hAnsi="宋体" w:cs="宋体"/>
                <w:sz w:val="21"/>
                <w:szCs w:val="21"/>
              </w:rPr>
            </w:pPr>
            <w:r>
              <w:rPr>
                <w:rFonts w:ascii="宋体" w:hAnsi="宋体" w:cs="宋体"/>
                <w:sz w:val="21"/>
                <w:szCs w:val="21"/>
              </w:rPr>
              <w:t>与</w:t>
            </w:r>
            <w:r>
              <w:rPr>
                <w:rFonts w:hint="eastAsia" w:ascii="宋体" w:hAnsi="宋体" w:cs="宋体"/>
                <w:sz w:val="21"/>
                <w:szCs w:val="21"/>
              </w:rPr>
              <w:t>云平台</w:t>
            </w:r>
            <w:r>
              <w:rPr>
                <w:rFonts w:ascii="宋体" w:hAnsi="宋体" w:cs="宋体"/>
                <w:sz w:val="21"/>
                <w:szCs w:val="21"/>
              </w:rPr>
              <w:t>的密码资源池进行对接，依托</w:t>
            </w:r>
            <w:r>
              <w:rPr>
                <w:rFonts w:hint="eastAsia" w:ascii="宋体" w:hAnsi="宋体" w:cs="宋体"/>
                <w:sz w:val="21"/>
                <w:szCs w:val="21"/>
              </w:rPr>
              <w:t>云平台</w:t>
            </w:r>
            <w:r>
              <w:rPr>
                <w:rFonts w:ascii="宋体" w:hAnsi="宋体" w:cs="宋体"/>
                <w:sz w:val="21"/>
                <w:szCs w:val="21"/>
              </w:rPr>
              <w:t>提供密码安全防护手段。</w:t>
            </w:r>
          </w:p>
          <w:p w14:paraId="744DF873">
            <w:pPr>
              <w:pStyle w:val="2"/>
              <w:spacing w:line="400" w:lineRule="exact"/>
              <w:ind w:firstLine="480"/>
              <w:rPr>
                <w:rFonts w:hint="eastAsia" w:ascii="宋体" w:hAnsi="宋体" w:cs="宋体"/>
                <w:sz w:val="21"/>
                <w:szCs w:val="21"/>
              </w:rPr>
            </w:pPr>
            <w:r>
              <w:rPr>
                <w:rFonts w:ascii="宋体" w:hAnsi="宋体" w:cs="宋体"/>
                <w:sz w:val="21"/>
                <w:szCs w:val="21"/>
              </w:rPr>
              <w:t>（6）移动端集成</w:t>
            </w:r>
          </w:p>
          <w:p w14:paraId="68C89B7B">
            <w:pPr>
              <w:pStyle w:val="2"/>
              <w:spacing w:line="400" w:lineRule="exact"/>
              <w:ind w:firstLine="480"/>
              <w:rPr>
                <w:rFonts w:hint="eastAsia" w:ascii="宋体" w:hAnsi="宋体" w:cs="宋体"/>
                <w:sz w:val="21"/>
                <w:szCs w:val="21"/>
              </w:rPr>
            </w:pPr>
            <w:r>
              <w:rPr>
                <w:rFonts w:ascii="宋体" w:hAnsi="宋体" w:cs="宋体"/>
                <w:sz w:val="21"/>
                <w:szCs w:val="21"/>
              </w:rPr>
              <w:t>与</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APP进行对接，新增相关功能模块，开展相关功能应用接入测试，确保系统功能可在移动端中实现。</w:t>
            </w:r>
          </w:p>
          <w:p w14:paraId="0195E06F">
            <w:pPr>
              <w:pStyle w:val="2"/>
              <w:spacing w:line="400" w:lineRule="exact"/>
              <w:ind w:firstLine="480"/>
              <w:rPr>
                <w:rFonts w:hint="eastAsia" w:ascii="宋体" w:hAnsi="宋体" w:cs="宋体"/>
                <w:sz w:val="21"/>
                <w:szCs w:val="21"/>
              </w:rPr>
            </w:pPr>
            <w:r>
              <w:rPr>
                <w:rFonts w:ascii="宋体" w:hAnsi="宋体" w:cs="宋体"/>
                <w:sz w:val="21"/>
                <w:szCs w:val="21"/>
              </w:rPr>
              <w:t>2.</w:t>
            </w:r>
            <w:r>
              <w:rPr>
                <w:rFonts w:hint="eastAsia" w:ascii="宋体" w:hAnsi="宋体" w:cs="宋体"/>
                <w:sz w:val="21"/>
                <w:szCs w:val="21"/>
              </w:rPr>
              <w:t>国产技术栈</w:t>
            </w:r>
            <w:r>
              <w:rPr>
                <w:rFonts w:ascii="宋体" w:hAnsi="宋体" w:cs="宋体"/>
                <w:sz w:val="21"/>
                <w:szCs w:val="21"/>
              </w:rPr>
              <w:t>适配改造。</w:t>
            </w:r>
          </w:p>
          <w:p w14:paraId="3D1B134E">
            <w:pPr>
              <w:pStyle w:val="2"/>
              <w:spacing w:line="400" w:lineRule="exact"/>
              <w:ind w:firstLine="480"/>
              <w:rPr>
                <w:rFonts w:hint="eastAsia" w:ascii="宋体" w:hAnsi="宋体" w:cs="宋体"/>
                <w:sz w:val="21"/>
                <w:szCs w:val="21"/>
              </w:rPr>
            </w:pPr>
            <w:r>
              <w:rPr>
                <w:rFonts w:ascii="宋体" w:hAnsi="宋体" w:cs="宋体"/>
                <w:sz w:val="21"/>
                <w:szCs w:val="21"/>
              </w:rPr>
              <w:t>包括浏览器适配（门户快捷入口适配浏览器、待办任务适配浏览器、移动端适配浏览器等）、数据库适配（门户快捷入口适配数据库、待办任务适配数据库、移动端适配数据库等）、操作系统适配、中间件适配等。</w:t>
            </w:r>
          </w:p>
          <w:p w14:paraId="145B95EE">
            <w:pPr>
              <w:pStyle w:val="2"/>
              <w:spacing w:line="400" w:lineRule="exact"/>
              <w:ind w:firstLine="480"/>
              <w:rPr>
                <w:rFonts w:hint="eastAsia" w:ascii="宋体" w:hAnsi="宋体" w:cs="宋体"/>
                <w:sz w:val="21"/>
                <w:szCs w:val="21"/>
              </w:rPr>
            </w:pPr>
            <w:r>
              <w:rPr>
                <w:rFonts w:ascii="宋体" w:hAnsi="宋体" w:cs="宋体"/>
                <w:sz w:val="21"/>
                <w:szCs w:val="21"/>
              </w:rPr>
              <w:t>▲二、自治区生态环境厅直属单位内部管理应用</w:t>
            </w:r>
          </w:p>
          <w:p w14:paraId="7E067930">
            <w:pPr>
              <w:pStyle w:val="2"/>
              <w:spacing w:line="400" w:lineRule="exact"/>
              <w:ind w:firstLine="480"/>
              <w:rPr>
                <w:rFonts w:hint="eastAsia" w:ascii="宋体" w:hAnsi="宋体" w:cs="宋体"/>
                <w:sz w:val="21"/>
                <w:szCs w:val="21"/>
              </w:rPr>
            </w:pPr>
            <w:r>
              <w:rPr>
                <w:rFonts w:ascii="宋体" w:hAnsi="宋体" w:cs="宋体"/>
                <w:sz w:val="21"/>
                <w:szCs w:val="21"/>
              </w:rPr>
              <w:t>在现有广西壮族自治区环境保护科学研究院综合业务管理系统功能基础上开展</w:t>
            </w:r>
            <w:r>
              <w:rPr>
                <w:rFonts w:hint="eastAsia" w:ascii="宋体" w:hAnsi="宋体" w:cs="宋体"/>
                <w:sz w:val="21"/>
                <w:szCs w:val="21"/>
              </w:rPr>
              <w:t>国产技术栈改造</w:t>
            </w:r>
            <w:r>
              <w:rPr>
                <w:rFonts w:ascii="宋体" w:hAnsi="宋体" w:cs="宋体"/>
                <w:sz w:val="21"/>
                <w:szCs w:val="21"/>
              </w:rPr>
              <w:t>及升级。包括基本功能、拓展功能、资产管理、数据分析、投标管理、移动办公等。用户范围为自治区生态环境厅全部直属单位（23个直属单位），满足自治区生态环境厅各直属单位业务开展及内部管理需求。支持多租户模式，租户之间业务数据相对独立</w:t>
            </w:r>
            <w:r>
              <w:rPr>
                <w:rFonts w:hint="eastAsia" w:ascii="宋体" w:hAnsi="宋体" w:cs="宋体"/>
                <w:sz w:val="21"/>
                <w:szCs w:val="21"/>
              </w:rPr>
              <w:t>，</w:t>
            </w:r>
            <w:r>
              <w:rPr>
                <w:rFonts w:ascii="宋体" w:hAnsi="宋体" w:cs="宋体"/>
                <w:sz w:val="21"/>
                <w:szCs w:val="21"/>
              </w:rPr>
              <w:t>支持各直属单位个性化定制管理流程及相关功能。</w:t>
            </w:r>
          </w:p>
          <w:p w14:paraId="2661E357">
            <w:pPr>
              <w:pStyle w:val="2"/>
              <w:spacing w:line="400" w:lineRule="exact"/>
              <w:ind w:firstLine="48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w:t>
            </w:r>
          </w:p>
          <w:p w14:paraId="2FE7C999">
            <w:pPr>
              <w:pStyle w:val="2"/>
              <w:spacing w:line="400" w:lineRule="exact"/>
              <w:ind w:firstLine="480"/>
              <w:rPr>
                <w:rFonts w:hint="eastAsia" w:ascii="宋体" w:hAnsi="宋体" w:cs="宋体"/>
                <w:sz w:val="21"/>
                <w:szCs w:val="21"/>
              </w:rPr>
            </w:pPr>
            <w:r>
              <w:rPr>
                <w:rFonts w:hint="eastAsia" w:ascii="宋体" w:hAnsi="宋体" w:cs="宋体"/>
                <w:sz w:val="21"/>
                <w:szCs w:val="21"/>
              </w:rPr>
              <w:t>（一）</w:t>
            </w:r>
            <w:r>
              <w:rPr>
                <w:rFonts w:ascii="宋体" w:hAnsi="宋体" w:cs="宋体"/>
                <w:sz w:val="21"/>
                <w:szCs w:val="21"/>
              </w:rPr>
              <w:t>基本功能</w:t>
            </w:r>
          </w:p>
          <w:p w14:paraId="7CAD79A8">
            <w:pPr>
              <w:pStyle w:val="2"/>
              <w:spacing w:line="400" w:lineRule="exact"/>
              <w:ind w:firstLine="480"/>
              <w:rPr>
                <w:rFonts w:hint="eastAsia" w:ascii="宋体" w:hAnsi="宋体" w:cs="宋体"/>
                <w:sz w:val="21"/>
                <w:szCs w:val="21"/>
              </w:rPr>
            </w:pPr>
            <w:r>
              <w:rPr>
                <w:rFonts w:hint="eastAsia" w:ascii="宋体" w:hAnsi="宋体" w:cs="宋体"/>
                <w:sz w:val="21"/>
                <w:szCs w:val="21"/>
              </w:rPr>
              <w:t>1.多组织架构管理</w:t>
            </w:r>
          </w:p>
          <w:p w14:paraId="7EB7D9C6">
            <w:pPr>
              <w:pStyle w:val="2"/>
              <w:spacing w:line="400" w:lineRule="exact"/>
              <w:ind w:firstLine="480"/>
              <w:rPr>
                <w:rFonts w:hint="eastAsia" w:ascii="宋体" w:hAnsi="宋体" w:cs="宋体"/>
                <w:sz w:val="21"/>
                <w:szCs w:val="21"/>
              </w:rPr>
            </w:pPr>
            <w:r>
              <w:rPr>
                <w:rFonts w:ascii="宋体" w:hAnsi="宋体" w:cs="宋体"/>
                <w:sz w:val="21"/>
                <w:szCs w:val="21"/>
              </w:rPr>
              <w:t>支持多租户模式，租户之间业务数据相对独立</w:t>
            </w:r>
            <w:r>
              <w:rPr>
                <w:rFonts w:hint="eastAsia" w:ascii="宋体" w:hAnsi="宋体" w:cs="宋体"/>
                <w:sz w:val="21"/>
                <w:szCs w:val="21"/>
              </w:rPr>
              <w:t>，</w:t>
            </w:r>
            <w:r>
              <w:rPr>
                <w:rFonts w:ascii="宋体" w:hAnsi="宋体" w:cs="宋体"/>
                <w:sz w:val="21"/>
                <w:szCs w:val="21"/>
              </w:rPr>
              <w:t>支持</w:t>
            </w:r>
            <w:r>
              <w:rPr>
                <w:rFonts w:hint="eastAsia" w:ascii="宋体" w:hAnsi="宋体" w:cs="宋体"/>
                <w:sz w:val="21"/>
                <w:szCs w:val="21"/>
              </w:rPr>
              <w:t>组织多维度矩阵管理，可</w:t>
            </w:r>
            <w:r>
              <w:rPr>
                <w:rFonts w:ascii="宋体" w:hAnsi="宋体" w:cs="宋体"/>
                <w:sz w:val="21"/>
                <w:szCs w:val="21"/>
              </w:rPr>
              <w:t>构建动态化组织架构，突破传统单一层级结构的限制，</w:t>
            </w:r>
            <w:r>
              <w:rPr>
                <w:rFonts w:hint="eastAsia" w:ascii="宋体" w:hAnsi="宋体" w:cs="宋体"/>
                <w:sz w:val="21"/>
                <w:szCs w:val="21"/>
              </w:rPr>
              <w:t>构建灵活的组织和权限体系，使员工在不同维度中灵活调配，</w:t>
            </w:r>
            <w:r>
              <w:rPr>
                <w:rFonts w:ascii="宋体" w:hAnsi="宋体" w:cs="宋体"/>
                <w:sz w:val="21"/>
                <w:szCs w:val="21"/>
              </w:rPr>
              <w:t>实现资源的灵活分配与跨部门协作</w:t>
            </w:r>
            <w:r>
              <w:rPr>
                <w:rFonts w:hint="eastAsia" w:ascii="宋体" w:hAnsi="宋体" w:cs="宋体"/>
                <w:sz w:val="21"/>
                <w:szCs w:val="21"/>
              </w:rPr>
              <w:t>。</w:t>
            </w:r>
          </w:p>
          <w:p w14:paraId="70478073">
            <w:pPr>
              <w:pStyle w:val="2"/>
              <w:spacing w:line="400" w:lineRule="exact"/>
              <w:ind w:firstLine="480"/>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系统首页</w:t>
            </w:r>
          </w:p>
          <w:p w14:paraId="13CFB716">
            <w:pPr>
              <w:pStyle w:val="2"/>
              <w:spacing w:line="400" w:lineRule="exact"/>
              <w:ind w:firstLine="480"/>
              <w:rPr>
                <w:rFonts w:hint="eastAsia" w:ascii="宋体" w:hAnsi="宋体" w:cs="宋体"/>
                <w:sz w:val="21"/>
                <w:szCs w:val="21"/>
              </w:rPr>
            </w:pPr>
            <w:r>
              <w:rPr>
                <w:rFonts w:ascii="宋体" w:hAnsi="宋体" w:cs="宋体"/>
                <w:sz w:val="21"/>
                <w:szCs w:val="21"/>
              </w:rPr>
              <w:t>门户将各功能模块的快捷入口集中展示在首页，使用户能够快速访问并完成相关操作。门户集成待办任务管理功能，以列表形式展示待办任务的名称、时间等关键信息，并支持自动滚动播放和点击查看详情的功能，具体包括默认首页和自定义首页两个模块。</w:t>
            </w:r>
          </w:p>
          <w:p w14:paraId="65C45B58">
            <w:pPr>
              <w:pStyle w:val="2"/>
              <w:spacing w:line="400" w:lineRule="exact"/>
              <w:ind w:firstLine="480"/>
              <w:rPr>
                <w:rFonts w:hint="eastAsia" w:ascii="宋体" w:hAnsi="宋体" w:cs="宋体"/>
                <w:sz w:val="21"/>
                <w:szCs w:val="21"/>
              </w:rPr>
            </w:pPr>
            <w:r>
              <w:rPr>
                <w:rFonts w:ascii="宋体" w:hAnsi="宋体" w:cs="宋体"/>
                <w:sz w:val="21"/>
                <w:szCs w:val="21"/>
              </w:rPr>
              <w:t>默认首页。包括：通知公告、热点新闻、办公事项、内部邮件、动态栏目、人员动态等，同时在默认首页上展示快捷入口。</w:t>
            </w:r>
          </w:p>
          <w:p w14:paraId="26184BD7">
            <w:pPr>
              <w:pStyle w:val="2"/>
              <w:spacing w:line="400" w:lineRule="exact"/>
              <w:ind w:firstLine="480"/>
              <w:rPr>
                <w:rFonts w:hint="eastAsia" w:ascii="宋体" w:hAnsi="宋体" w:cs="宋体"/>
                <w:sz w:val="21"/>
                <w:szCs w:val="21"/>
              </w:rPr>
            </w:pPr>
            <w:r>
              <w:rPr>
                <w:rFonts w:ascii="宋体" w:hAnsi="宋体" w:cs="宋体"/>
                <w:sz w:val="21"/>
                <w:szCs w:val="21"/>
              </w:rPr>
              <w:t>自定义首页。包括单位首页，可按照各个单位个性化的信息内容展示需求，为各个不同单位单独设置单位首页。支持个性化配置，各级领导、各直属单位可根据需要定制自己的门户。</w:t>
            </w:r>
          </w:p>
          <w:p w14:paraId="3292FF5C">
            <w:pPr>
              <w:pStyle w:val="2"/>
              <w:spacing w:line="400" w:lineRule="exact"/>
              <w:ind w:firstLine="480"/>
              <w:rPr>
                <w:rFonts w:hint="eastAsia" w:ascii="宋体" w:hAnsi="宋体" w:cs="宋体"/>
                <w:sz w:val="21"/>
                <w:szCs w:val="21"/>
              </w:rPr>
            </w:pPr>
            <w:r>
              <w:rPr>
                <w:rFonts w:hint="eastAsia" w:ascii="宋体" w:hAnsi="宋体" w:cs="宋体"/>
                <w:sz w:val="21"/>
                <w:szCs w:val="21"/>
              </w:rPr>
              <w:t>3.</w:t>
            </w:r>
            <w:r>
              <w:rPr>
                <w:rFonts w:ascii="宋体" w:hAnsi="宋体" w:cs="宋体"/>
                <w:sz w:val="21"/>
                <w:szCs w:val="21"/>
              </w:rPr>
              <w:t>我的工作台</w:t>
            </w:r>
          </w:p>
          <w:p w14:paraId="6E2F0821">
            <w:pPr>
              <w:pStyle w:val="2"/>
              <w:spacing w:line="400" w:lineRule="exact"/>
              <w:ind w:firstLine="480"/>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发起任务</w:t>
            </w:r>
            <w:r>
              <w:rPr>
                <w:rFonts w:hint="eastAsia" w:ascii="宋体" w:hAnsi="宋体" w:cs="宋体"/>
                <w:sz w:val="21"/>
                <w:szCs w:val="21"/>
              </w:rPr>
              <w:t>：可根据工作需要发起内部任务，录入任务标题、任务内容、积极程度、期望完成时间等信息后进行流转办理，此外系统能实现任务流转办理包括任务审批、领导签发、修改等操作，当任务发生变化、临期等情况，系统能够发出通知与提醒。流程包括任务发起、任务流转办理、任务通知与提醒。</w:t>
            </w:r>
          </w:p>
          <w:p w14:paraId="2FBC1FC7">
            <w:pPr>
              <w:pStyle w:val="2"/>
              <w:spacing w:line="400" w:lineRule="exact"/>
              <w:ind w:firstLine="480"/>
              <w:rPr>
                <w:rFonts w:hint="eastAsia" w:ascii="宋体" w:hAnsi="宋体" w:cs="宋体"/>
                <w:sz w:val="21"/>
                <w:szCs w:val="21"/>
              </w:rPr>
            </w:pPr>
            <w:r>
              <w:rPr>
                <w:rFonts w:hint="eastAsia" w:ascii="宋体" w:hAnsi="宋体" w:cs="宋体"/>
                <w:sz w:val="21"/>
                <w:szCs w:val="21"/>
              </w:rPr>
              <w:t>支持根据特定事项发起自由流，如领导指派来文的主办人，主办人可对文件进行发起，根据来文工作发起需要各部门或人协同进行的工作流，各协办人收到任务后完成并反馈结果，由主办人汇总上报，同时可根据工作轻重缓急进行督办，最终完成工作闭环，不再需要重新草拟内部通知分配工作。</w:t>
            </w:r>
          </w:p>
          <w:p w14:paraId="5E966215">
            <w:pPr>
              <w:pStyle w:val="2"/>
              <w:spacing w:line="400" w:lineRule="exact"/>
              <w:ind w:firstLine="480"/>
              <w:rPr>
                <w:rFonts w:hint="eastAsia" w:ascii="宋体" w:hAnsi="宋体" w:cs="宋体"/>
                <w:sz w:val="21"/>
                <w:szCs w:val="21"/>
              </w:rPr>
            </w:pPr>
            <w:r>
              <w:rPr>
                <w:rFonts w:ascii="宋体" w:hAnsi="宋体" w:cs="宋体"/>
                <w:sz w:val="21"/>
                <w:szCs w:val="21"/>
              </w:rPr>
              <w:t>待办任务</w:t>
            </w:r>
          </w:p>
          <w:p w14:paraId="1A2D5831">
            <w:pPr>
              <w:pStyle w:val="2"/>
              <w:spacing w:line="400" w:lineRule="exact"/>
              <w:ind w:firstLine="480"/>
              <w:rPr>
                <w:rFonts w:hint="eastAsia" w:ascii="宋体" w:hAnsi="宋体" w:cs="宋体"/>
                <w:sz w:val="21"/>
                <w:szCs w:val="21"/>
              </w:rPr>
            </w:pPr>
            <w:r>
              <w:rPr>
                <w:rFonts w:ascii="宋体" w:hAnsi="宋体" w:cs="宋体"/>
                <w:sz w:val="21"/>
                <w:szCs w:val="21"/>
              </w:rPr>
              <w:t>显示当前待办任务信息列表，按照不同的任务类型分别展示。可对待办任务进行搜索查询，直接输入任意关键字进行检索。</w:t>
            </w:r>
          </w:p>
          <w:p w14:paraId="3EFDCA03">
            <w:pPr>
              <w:pStyle w:val="2"/>
              <w:spacing w:line="400" w:lineRule="exact"/>
              <w:ind w:firstLine="480"/>
              <w:rPr>
                <w:rFonts w:hint="eastAsia" w:ascii="宋体" w:hAnsi="宋体" w:cs="宋体"/>
                <w:sz w:val="21"/>
                <w:szCs w:val="21"/>
              </w:rPr>
            </w:pPr>
            <w:r>
              <w:rPr>
                <w:rFonts w:ascii="宋体" w:hAnsi="宋体" w:cs="宋体"/>
                <w:sz w:val="21"/>
                <w:szCs w:val="21"/>
              </w:rPr>
              <w:t>可以查看详细的待办任务进展情况，包括任务详情、任务办理过程。同时针对具体任务可以进行退回、转办、抄送给相关人员。</w:t>
            </w:r>
          </w:p>
          <w:p w14:paraId="4FE32F16">
            <w:pPr>
              <w:pStyle w:val="2"/>
              <w:spacing w:line="400" w:lineRule="exact"/>
              <w:ind w:firstLine="480"/>
              <w:rPr>
                <w:rFonts w:hint="eastAsia" w:ascii="宋体" w:hAnsi="宋体" w:cs="宋体"/>
                <w:sz w:val="21"/>
                <w:szCs w:val="21"/>
              </w:rPr>
            </w:pPr>
            <w:r>
              <w:rPr>
                <w:rFonts w:ascii="宋体" w:hAnsi="宋体" w:cs="宋体"/>
                <w:sz w:val="21"/>
                <w:szCs w:val="21"/>
              </w:rPr>
              <w:t>形成任务类型列表，一是任务类型分类，按照不同的任务类型进行分类展示，如待审批、待办理、待完成等。这有助于用户快速定位到自己需要处理的任务类型。二是任务信息展示，每个任务在列表中展示关键信息，如任务标题、任务类型、发起人、创建时间、截止时间等。用户可以根据这些信息快速了解任务的概况。</w:t>
            </w:r>
          </w:p>
          <w:p w14:paraId="54AC86D4">
            <w:pPr>
              <w:pStyle w:val="2"/>
              <w:spacing w:line="400" w:lineRule="exact"/>
              <w:ind w:firstLine="480"/>
              <w:rPr>
                <w:rFonts w:hint="eastAsia" w:ascii="宋体" w:hAnsi="宋体" w:cs="宋体"/>
                <w:sz w:val="21"/>
                <w:szCs w:val="21"/>
              </w:rPr>
            </w:pPr>
            <w:r>
              <w:rPr>
                <w:rFonts w:ascii="宋体" w:hAnsi="宋体" w:cs="宋体"/>
                <w:sz w:val="21"/>
                <w:szCs w:val="21"/>
              </w:rPr>
              <w:t>根据需要选择显示优先级及分类，如来文显示，将需要本人协办的、重要的排在前面，只是阅读的放在后面，并且可进行筛选或分类。</w:t>
            </w:r>
          </w:p>
          <w:p w14:paraId="68C94310">
            <w:pPr>
              <w:pStyle w:val="2"/>
              <w:spacing w:line="400" w:lineRule="exact"/>
              <w:ind w:firstLine="480"/>
              <w:rPr>
                <w:rFonts w:hint="eastAsia" w:ascii="宋体" w:hAnsi="宋体" w:cs="宋体"/>
                <w:sz w:val="21"/>
                <w:szCs w:val="21"/>
              </w:rPr>
            </w:pPr>
            <w:r>
              <w:rPr>
                <w:rFonts w:ascii="宋体" w:hAnsi="宋体" w:cs="宋体"/>
                <w:sz w:val="21"/>
                <w:szCs w:val="21"/>
              </w:rPr>
              <w:t>已办任务</w:t>
            </w:r>
          </w:p>
          <w:p w14:paraId="3EDB5AD2">
            <w:pPr>
              <w:pStyle w:val="2"/>
              <w:spacing w:line="400" w:lineRule="exact"/>
              <w:ind w:firstLine="480"/>
              <w:rPr>
                <w:rFonts w:hint="eastAsia" w:ascii="宋体" w:hAnsi="宋体" w:cs="宋体"/>
                <w:sz w:val="21"/>
                <w:szCs w:val="21"/>
              </w:rPr>
            </w:pPr>
            <w:r>
              <w:rPr>
                <w:rFonts w:hint="eastAsia" w:ascii="宋体" w:hAnsi="宋体" w:cs="宋体"/>
                <w:sz w:val="21"/>
                <w:szCs w:val="21"/>
              </w:rPr>
              <w:t>将所有已办任务进行汇总，统一管理和查看。可以通过项目名称、任务类型、办理状态实现已办任务的筛选及查询，对单个任务可以查看详细的任务情况。支持对任务的退回、转办、抄送和有条件撤回等操作。支持对已办任务进行有条件的撤回修改。</w:t>
            </w:r>
          </w:p>
          <w:p w14:paraId="4D2DA7A9">
            <w:pPr>
              <w:pStyle w:val="2"/>
              <w:spacing w:line="400" w:lineRule="exact"/>
              <w:ind w:firstLine="480"/>
              <w:rPr>
                <w:rFonts w:hint="eastAsia" w:ascii="宋体" w:hAnsi="宋体" w:cs="宋体"/>
                <w:sz w:val="21"/>
                <w:szCs w:val="21"/>
              </w:rPr>
            </w:pPr>
            <w:r>
              <w:rPr>
                <w:rFonts w:hint="eastAsia" w:ascii="宋体" w:hAnsi="宋体" w:cs="宋体"/>
                <w:sz w:val="21"/>
                <w:szCs w:val="21"/>
              </w:rPr>
              <w:t>全局</w:t>
            </w:r>
            <w:r>
              <w:rPr>
                <w:rFonts w:ascii="宋体" w:hAnsi="宋体" w:cs="宋体"/>
                <w:sz w:val="21"/>
                <w:szCs w:val="21"/>
              </w:rPr>
              <w:t>搜索查询</w:t>
            </w:r>
            <w:r>
              <w:rPr>
                <w:rFonts w:hint="eastAsia" w:ascii="宋体" w:hAnsi="宋体" w:cs="宋体"/>
                <w:sz w:val="21"/>
                <w:szCs w:val="21"/>
              </w:rPr>
              <w:t>：</w:t>
            </w:r>
          </w:p>
          <w:p w14:paraId="0C73879B">
            <w:pPr>
              <w:pStyle w:val="2"/>
              <w:spacing w:line="400" w:lineRule="exact"/>
              <w:ind w:firstLine="480"/>
              <w:rPr>
                <w:rFonts w:hint="eastAsia" w:ascii="宋体" w:hAnsi="宋体" w:cs="宋体"/>
                <w:sz w:val="21"/>
                <w:szCs w:val="21"/>
              </w:rPr>
            </w:pPr>
            <w:r>
              <w:rPr>
                <w:rFonts w:ascii="宋体" w:hAnsi="宋体" w:cs="宋体"/>
                <w:sz w:val="21"/>
                <w:szCs w:val="21"/>
              </w:rPr>
              <w:t>提供搜索查询功能，用户可以直接输入任意关键字进行检索，快速找到与该项目相关的待办或已办任务。</w:t>
            </w:r>
          </w:p>
          <w:p w14:paraId="1AD473BA">
            <w:pPr>
              <w:pStyle w:val="2"/>
              <w:spacing w:line="400" w:lineRule="exact"/>
              <w:ind w:firstLine="480"/>
              <w:rPr>
                <w:rFonts w:hint="eastAsia" w:ascii="宋体" w:hAnsi="宋体" w:cs="宋体"/>
                <w:sz w:val="21"/>
                <w:szCs w:val="21"/>
              </w:rPr>
            </w:pPr>
            <w:r>
              <w:rPr>
                <w:rFonts w:ascii="宋体" w:hAnsi="宋体" w:cs="宋体"/>
                <w:sz w:val="21"/>
                <w:szCs w:val="21"/>
              </w:rPr>
              <w:t>除了任意关键字外，还可以提供其他高级搜索选项，如任务类型、发起人、创建时间范围等，以满足用户更精确的搜索需求。</w:t>
            </w:r>
          </w:p>
          <w:p w14:paraId="67381DBE">
            <w:pPr>
              <w:pStyle w:val="2"/>
              <w:spacing w:line="400" w:lineRule="exact"/>
              <w:ind w:firstLine="480"/>
              <w:rPr>
                <w:rFonts w:hint="eastAsia" w:ascii="宋体" w:hAnsi="宋体" w:cs="宋体"/>
                <w:sz w:val="21"/>
                <w:szCs w:val="21"/>
              </w:rPr>
            </w:pPr>
            <w:r>
              <w:rPr>
                <w:rFonts w:ascii="宋体" w:hAnsi="宋体" w:cs="宋体"/>
                <w:sz w:val="21"/>
                <w:szCs w:val="21"/>
              </w:rPr>
              <w:t>支持任意关键字查询，也可进行全条件筛选查询，并且查询结果可以进行自定义排序及进一步选择，支持导出excel表。</w:t>
            </w:r>
          </w:p>
          <w:p w14:paraId="20B548E6">
            <w:pPr>
              <w:pStyle w:val="2"/>
              <w:spacing w:line="400" w:lineRule="exact"/>
              <w:ind w:firstLine="480"/>
              <w:rPr>
                <w:rFonts w:hint="eastAsia" w:ascii="宋体" w:hAnsi="宋体" w:cs="宋体"/>
                <w:sz w:val="21"/>
                <w:szCs w:val="21"/>
              </w:rPr>
            </w:pPr>
            <w:r>
              <w:rPr>
                <w:rFonts w:ascii="宋体" w:hAnsi="宋体" w:cs="宋体"/>
                <w:sz w:val="21"/>
                <w:szCs w:val="21"/>
              </w:rPr>
              <w:t>任务详情与办理过程查看</w:t>
            </w:r>
          </w:p>
          <w:p w14:paraId="5767ABAA">
            <w:pPr>
              <w:pStyle w:val="2"/>
              <w:spacing w:line="400" w:lineRule="exact"/>
              <w:ind w:firstLine="480"/>
              <w:rPr>
                <w:rFonts w:hint="eastAsia" w:ascii="宋体" w:hAnsi="宋体" w:cs="宋体"/>
                <w:sz w:val="21"/>
                <w:szCs w:val="21"/>
              </w:rPr>
            </w:pPr>
            <w:r>
              <w:rPr>
                <w:rFonts w:ascii="宋体" w:hAnsi="宋体" w:cs="宋体"/>
                <w:sz w:val="21"/>
                <w:szCs w:val="21"/>
              </w:rPr>
              <w:t>用户可以点击任务列表中的任务项，查看任务的详细信息，包括任务内容、附件、审批意见等。这有助于用户全面了解任务的背景和要求。</w:t>
            </w:r>
          </w:p>
          <w:p w14:paraId="47ED11C3">
            <w:pPr>
              <w:pStyle w:val="2"/>
              <w:spacing w:line="400" w:lineRule="exact"/>
              <w:ind w:firstLine="480"/>
              <w:rPr>
                <w:rFonts w:hint="eastAsia" w:ascii="宋体" w:hAnsi="宋体" w:cs="宋体"/>
                <w:sz w:val="21"/>
                <w:szCs w:val="21"/>
              </w:rPr>
            </w:pPr>
            <w:r>
              <w:rPr>
                <w:rFonts w:ascii="宋体" w:hAnsi="宋体" w:cs="宋体"/>
                <w:sz w:val="21"/>
                <w:szCs w:val="21"/>
              </w:rPr>
              <w:t>系统记录并展示任务的办理过程，包括任务流转的路径、各个环节的处理时间和人员等。这有助于用户了解任务的进展情况和责任分配。</w:t>
            </w:r>
          </w:p>
          <w:p w14:paraId="60DAA29F">
            <w:pPr>
              <w:pStyle w:val="2"/>
              <w:spacing w:line="400" w:lineRule="exact"/>
              <w:ind w:firstLine="480"/>
              <w:rPr>
                <w:rFonts w:hint="eastAsia" w:ascii="宋体" w:hAnsi="宋体" w:cs="宋体"/>
                <w:sz w:val="21"/>
                <w:szCs w:val="21"/>
              </w:rPr>
            </w:pPr>
            <w:r>
              <w:rPr>
                <w:rFonts w:ascii="宋体" w:hAnsi="宋体" w:cs="宋体"/>
                <w:sz w:val="21"/>
                <w:szCs w:val="21"/>
              </w:rPr>
              <w:t>支持在办理页面右侧显示任务办理过程所有人的意见。</w:t>
            </w:r>
          </w:p>
          <w:p w14:paraId="64A72C54">
            <w:pPr>
              <w:pStyle w:val="2"/>
              <w:spacing w:line="400" w:lineRule="exact"/>
              <w:ind w:firstLine="480"/>
              <w:rPr>
                <w:rFonts w:hint="eastAsia" w:ascii="宋体" w:hAnsi="宋体" w:cs="宋体"/>
                <w:sz w:val="21"/>
                <w:szCs w:val="21"/>
              </w:rPr>
            </w:pPr>
            <w:r>
              <w:rPr>
                <w:rFonts w:ascii="宋体" w:hAnsi="宋体" w:cs="宋体"/>
                <w:sz w:val="21"/>
                <w:szCs w:val="21"/>
              </w:rPr>
              <w:t>任务操作</w:t>
            </w:r>
          </w:p>
          <w:p w14:paraId="5F0AA11A">
            <w:pPr>
              <w:pStyle w:val="2"/>
              <w:spacing w:line="400" w:lineRule="exact"/>
              <w:ind w:firstLine="480"/>
              <w:rPr>
                <w:rFonts w:hint="eastAsia" w:ascii="宋体" w:hAnsi="宋体" w:cs="宋体"/>
                <w:sz w:val="21"/>
                <w:szCs w:val="21"/>
              </w:rPr>
            </w:pPr>
            <w:r>
              <w:rPr>
                <w:rFonts w:ascii="宋体" w:hAnsi="宋体" w:cs="宋体"/>
                <w:sz w:val="21"/>
                <w:szCs w:val="21"/>
              </w:rPr>
              <w:t>退回</w:t>
            </w:r>
            <w:r>
              <w:rPr>
                <w:rFonts w:hint="eastAsia" w:ascii="宋体" w:hAnsi="宋体" w:cs="宋体"/>
                <w:sz w:val="21"/>
                <w:szCs w:val="21"/>
              </w:rPr>
              <w:t>：</w:t>
            </w:r>
            <w:r>
              <w:rPr>
                <w:rFonts w:ascii="宋体" w:hAnsi="宋体" w:cs="宋体"/>
                <w:sz w:val="21"/>
                <w:szCs w:val="21"/>
              </w:rPr>
              <w:t>对于当前用户无法完成或需要修改的任务，可以选择退回给上一环节的处理人员。退回时需要填写退回理由，以便上一环节人员了解退回原因并进行相应处理。</w:t>
            </w:r>
          </w:p>
          <w:p w14:paraId="3A41B05D">
            <w:pPr>
              <w:pStyle w:val="2"/>
              <w:spacing w:line="400" w:lineRule="exact"/>
              <w:ind w:firstLine="480"/>
              <w:rPr>
                <w:rFonts w:hint="eastAsia" w:ascii="宋体" w:hAnsi="宋体" w:cs="宋体"/>
                <w:sz w:val="21"/>
                <w:szCs w:val="21"/>
              </w:rPr>
            </w:pPr>
            <w:r>
              <w:rPr>
                <w:rFonts w:ascii="宋体" w:hAnsi="宋体" w:cs="宋体"/>
                <w:sz w:val="21"/>
                <w:szCs w:val="21"/>
              </w:rPr>
              <w:t>可根据实际情况退回特定的节点及处理人，可选择修改后是否需按原流程审批或者修改后直接返回当前办理人。</w:t>
            </w:r>
          </w:p>
          <w:p w14:paraId="29C9331F">
            <w:pPr>
              <w:pStyle w:val="2"/>
              <w:spacing w:line="400" w:lineRule="exact"/>
              <w:ind w:firstLine="480"/>
              <w:rPr>
                <w:rFonts w:hint="eastAsia" w:ascii="宋体" w:hAnsi="宋体" w:cs="宋体"/>
                <w:sz w:val="21"/>
                <w:szCs w:val="21"/>
              </w:rPr>
            </w:pPr>
            <w:r>
              <w:rPr>
                <w:rFonts w:ascii="宋体" w:hAnsi="宋体" w:cs="宋体"/>
                <w:sz w:val="21"/>
                <w:szCs w:val="21"/>
              </w:rPr>
              <w:t>批量流转</w:t>
            </w:r>
            <w:r>
              <w:rPr>
                <w:rFonts w:hint="eastAsia" w:ascii="宋体" w:hAnsi="宋体" w:cs="宋体"/>
                <w:sz w:val="21"/>
                <w:szCs w:val="21"/>
              </w:rPr>
              <w:t>：</w:t>
            </w:r>
            <w:r>
              <w:rPr>
                <w:rFonts w:ascii="宋体" w:hAnsi="宋体" w:cs="宋体"/>
                <w:sz w:val="21"/>
                <w:szCs w:val="21"/>
              </w:rPr>
              <w:t>支持批量流转功能，对于需要批量且意见重复的流程，可全选一键流转。</w:t>
            </w:r>
          </w:p>
          <w:p w14:paraId="0392827A">
            <w:pPr>
              <w:pStyle w:val="2"/>
              <w:spacing w:line="400" w:lineRule="exact"/>
              <w:ind w:firstLine="480"/>
              <w:rPr>
                <w:rFonts w:hint="eastAsia" w:ascii="宋体" w:hAnsi="宋体" w:cs="宋体"/>
                <w:sz w:val="21"/>
                <w:szCs w:val="21"/>
              </w:rPr>
            </w:pPr>
            <w:r>
              <w:rPr>
                <w:rFonts w:ascii="宋体" w:hAnsi="宋体" w:cs="宋体"/>
                <w:sz w:val="21"/>
                <w:szCs w:val="21"/>
              </w:rPr>
              <w:t>转办</w:t>
            </w:r>
            <w:r>
              <w:rPr>
                <w:rFonts w:hint="eastAsia" w:ascii="宋体" w:hAnsi="宋体" w:cs="宋体"/>
                <w:sz w:val="21"/>
                <w:szCs w:val="21"/>
              </w:rPr>
              <w:t>：</w:t>
            </w:r>
            <w:r>
              <w:rPr>
                <w:rFonts w:ascii="宋体" w:hAnsi="宋体" w:cs="宋体"/>
                <w:sz w:val="21"/>
                <w:szCs w:val="21"/>
              </w:rPr>
              <w:t>用户可以将任务转办给其他相关人员处理。转办时需要选择接收人员并填写转办说明，以便接收人员了解任务背景和要求。</w:t>
            </w:r>
          </w:p>
          <w:p w14:paraId="22DB318D">
            <w:pPr>
              <w:pStyle w:val="2"/>
              <w:spacing w:line="400" w:lineRule="exact"/>
              <w:ind w:firstLine="480"/>
              <w:rPr>
                <w:rFonts w:hint="eastAsia" w:ascii="宋体" w:hAnsi="宋体" w:cs="宋体"/>
                <w:sz w:val="21"/>
                <w:szCs w:val="21"/>
              </w:rPr>
            </w:pPr>
            <w:r>
              <w:rPr>
                <w:rFonts w:ascii="宋体" w:hAnsi="宋体" w:cs="宋体"/>
                <w:sz w:val="21"/>
                <w:szCs w:val="21"/>
              </w:rPr>
              <w:t>抄送</w:t>
            </w:r>
            <w:r>
              <w:rPr>
                <w:rFonts w:hint="eastAsia" w:ascii="宋体" w:hAnsi="宋体" w:cs="宋体"/>
                <w:sz w:val="21"/>
                <w:szCs w:val="21"/>
              </w:rPr>
              <w:t>：</w:t>
            </w:r>
            <w:r>
              <w:rPr>
                <w:rFonts w:ascii="宋体" w:hAnsi="宋体" w:cs="宋体"/>
                <w:sz w:val="21"/>
                <w:szCs w:val="21"/>
              </w:rPr>
              <w:t>用户可以将任务的副本抄送给其他相关人员，以便他们了解任务的进展情况和内容。抄送时可以选择抄送人员并发送相应的任务副本。</w:t>
            </w:r>
          </w:p>
          <w:p w14:paraId="09767CD5">
            <w:pPr>
              <w:pStyle w:val="2"/>
              <w:spacing w:line="400" w:lineRule="exact"/>
              <w:ind w:firstLine="480"/>
              <w:rPr>
                <w:rFonts w:hint="eastAsia" w:ascii="宋体" w:hAnsi="宋体" w:cs="宋体"/>
                <w:sz w:val="21"/>
                <w:szCs w:val="21"/>
              </w:rPr>
            </w:pPr>
            <w:r>
              <w:rPr>
                <w:rFonts w:ascii="宋体" w:hAnsi="宋体" w:cs="宋体"/>
                <w:sz w:val="21"/>
                <w:szCs w:val="21"/>
              </w:rPr>
              <w:t>任务统计</w:t>
            </w:r>
          </w:p>
          <w:p w14:paraId="47D70CDB">
            <w:pPr>
              <w:pStyle w:val="2"/>
              <w:spacing w:line="400" w:lineRule="exact"/>
              <w:ind w:firstLine="480"/>
              <w:rPr>
                <w:rFonts w:hint="eastAsia" w:ascii="宋体" w:hAnsi="宋体" w:cs="宋体"/>
                <w:sz w:val="21"/>
                <w:szCs w:val="21"/>
              </w:rPr>
            </w:pPr>
            <w:r>
              <w:rPr>
                <w:rFonts w:ascii="宋体" w:hAnsi="宋体" w:cs="宋体"/>
                <w:sz w:val="21"/>
                <w:szCs w:val="21"/>
              </w:rPr>
              <w:t>对任务统计的待办任务统计、完成情况统计、任务数量统计。</w:t>
            </w:r>
          </w:p>
          <w:p w14:paraId="4373E874">
            <w:pPr>
              <w:pStyle w:val="2"/>
              <w:spacing w:line="400" w:lineRule="exact"/>
              <w:ind w:firstLine="480"/>
              <w:rPr>
                <w:rFonts w:hint="eastAsia" w:ascii="宋体" w:hAnsi="宋体" w:cs="宋体"/>
                <w:sz w:val="21"/>
                <w:szCs w:val="21"/>
              </w:rPr>
            </w:pPr>
            <w:r>
              <w:rPr>
                <w:rFonts w:ascii="宋体" w:hAnsi="宋体" w:cs="宋体"/>
                <w:sz w:val="21"/>
                <w:szCs w:val="21"/>
              </w:rPr>
              <w:t>任务审批流程等功能。</w:t>
            </w:r>
          </w:p>
          <w:p w14:paraId="15B94ED9">
            <w:pPr>
              <w:pStyle w:val="2"/>
              <w:spacing w:line="400" w:lineRule="exact"/>
              <w:ind w:firstLine="480"/>
              <w:rPr>
                <w:rFonts w:hint="eastAsia" w:ascii="宋体" w:hAnsi="宋体" w:cs="宋体"/>
                <w:sz w:val="21"/>
                <w:szCs w:val="21"/>
              </w:rPr>
            </w:pPr>
            <w:r>
              <w:rPr>
                <w:rFonts w:ascii="宋体" w:hAnsi="宋体" w:cs="宋体"/>
                <w:sz w:val="21"/>
                <w:szCs w:val="21"/>
              </w:rPr>
              <w:t>提供</w:t>
            </w:r>
            <w:r>
              <w:rPr>
                <w:rFonts w:hint="eastAsia" w:ascii="宋体" w:hAnsi="宋体" w:cs="宋体"/>
                <w:sz w:val="21"/>
                <w:szCs w:val="21"/>
              </w:rPr>
              <w:t>外部任务</w:t>
            </w:r>
            <w:r>
              <w:rPr>
                <w:rFonts w:ascii="宋体" w:hAnsi="宋体" w:cs="宋体"/>
                <w:sz w:val="21"/>
                <w:szCs w:val="21"/>
              </w:rPr>
              <w:t>办理流程管理功能，可结合发起任务中的自由流功能进行办理</w:t>
            </w:r>
          </w:p>
          <w:p w14:paraId="79545B95">
            <w:pPr>
              <w:pStyle w:val="2"/>
              <w:spacing w:line="400" w:lineRule="exact"/>
              <w:ind w:firstLine="480"/>
              <w:rPr>
                <w:rFonts w:hint="eastAsia" w:ascii="宋体" w:hAnsi="宋体" w:cs="宋体"/>
                <w:sz w:val="21"/>
                <w:szCs w:val="21"/>
              </w:rPr>
            </w:pPr>
            <w:r>
              <w:rPr>
                <w:rFonts w:hint="eastAsia" w:ascii="宋体" w:hAnsi="宋体" w:cs="宋体"/>
                <w:sz w:val="21"/>
                <w:szCs w:val="21"/>
              </w:rPr>
              <w:t>4.</w:t>
            </w:r>
            <w:r>
              <w:rPr>
                <w:rFonts w:ascii="宋体" w:hAnsi="宋体" w:cs="宋体"/>
                <w:sz w:val="21"/>
                <w:szCs w:val="21"/>
              </w:rPr>
              <w:t>内部事项。</w:t>
            </w:r>
          </w:p>
          <w:p w14:paraId="034EA845">
            <w:pPr>
              <w:pStyle w:val="2"/>
              <w:spacing w:line="400" w:lineRule="exact"/>
              <w:ind w:firstLine="480"/>
              <w:rPr>
                <w:rFonts w:hint="eastAsia" w:ascii="宋体" w:hAnsi="宋体" w:cs="宋体"/>
                <w:sz w:val="21"/>
                <w:szCs w:val="21"/>
              </w:rPr>
            </w:pPr>
            <w:r>
              <w:rPr>
                <w:rFonts w:ascii="宋体" w:hAnsi="宋体" w:cs="宋体"/>
                <w:sz w:val="21"/>
                <w:szCs w:val="21"/>
              </w:rPr>
              <w:t>事项办理</w:t>
            </w:r>
            <w:r>
              <w:rPr>
                <w:rFonts w:hint="eastAsia" w:ascii="宋体" w:hAnsi="宋体" w:cs="宋体"/>
                <w:sz w:val="21"/>
                <w:szCs w:val="21"/>
              </w:rPr>
              <w:t>、</w:t>
            </w:r>
            <w:r>
              <w:rPr>
                <w:rFonts w:ascii="宋体" w:hAnsi="宋体" w:cs="宋体"/>
                <w:sz w:val="21"/>
                <w:szCs w:val="21"/>
              </w:rPr>
              <w:t>事项查询</w:t>
            </w:r>
            <w:r>
              <w:rPr>
                <w:rFonts w:hint="eastAsia" w:ascii="宋体" w:hAnsi="宋体" w:cs="宋体"/>
                <w:sz w:val="21"/>
                <w:szCs w:val="21"/>
              </w:rPr>
              <w:t>（支持高级查询及导出）</w:t>
            </w:r>
            <w:r>
              <w:rPr>
                <w:rFonts w:ascii="宋体" w:hAnsi="宋体" w:cs="宋体"/>
                <w:sz w:val="21"/>
                <w:szCs w:val="21"/>
              </w:rPr>
              <w:t>、事项统计、事项申请流程、请示报告、采购申请、用款申请、出差申请</w:t>
            </w:r>
            <w:r>
              <w:rPr>
                <w:rFonts w:hint="eastAsia" w:ascii="宋体" w:hAnsi="宋体" w:cs="宋体"/>
                <w:sz w:val="21"/>
                <w:szCs w:val="21"/>
              </w:rPr>
              <w:t>（支持出差常见场景的变更和审批）</w:t>
            </w:r>
            <w:r>
              <w:rPr>
                <w:rFonts w:ascii="宋体" w:hAnsi="宋体" w:cs="宋体"/>
                <w:sz w:val="21"/>
                <w:szCs w:val="21"/>
              </w:rPr>
              <w:t>、用车申请</w:t>
            </w:r>
            <w:r>
              <w:rPr>
                <w:rFonts w:hint="eastAsia" w:ascii="宋体" w:hAnsi="宋体" w:cs="宋体"/>
                <w:sz w:val="21"/>
                <w:szCs w:val="21"/>
              </w:rPr>
              <w:t>（支持联动出差单进行变更）</w:t>
            </w:r>
            <w:r>
              <w:rPr>
                <w:rFonts w:ascii="宋体" w:hAnsi="宋体" w:cs="宋体"/>
                <w:sz w:val="21"/>
                <w:szCs w:val="21"/>
              </w:rPr>
              <w:t>、请休假流程管理、用章申请、简报专区、资政参考、会议纪要、文印申请、公务接待、用餐申请、临时任务、课题专项、差旅补助、加班管理、数据使用申请、培训管理、短信提醒、年度任务、预算管理、收入管理、支出管理、内部签报、转账申请管理、内部邮件、政务信息、综合事项、工具下载、领导日程、平时考核、文件库、办公用品申请、办公设备管理、意见箱、问卷调查等。</w:t>
            </w:r>
            <w:r>
              <w:rPr>
                <w:rFonts w:hint="eastAsia" w:ascii="宋体" w:hAnsi="宋体" w:cs="宋体"/>
                <w:sz w:val="21"/>
                <w:szCs w:val="21"/>
              </w:rPr>
              <w:t>部分功能特别说明如下：</w:t>
            </w:r>
          </w:p>
          <w:p w14:paraId="56BE8C4C">
            <w:pPr>
              <w:pStyle w:val="2"/>
              <w:spacing w:line="400" w:lineRule="exact"/>
              <w:ind w:firstLine="480"/>
              <w:rPr>
                <w:rFonts w:hint="eastAsia" w:ascii="宋体" w:hAnsi="宋体" w:cs="宋体"/>
                <w:sz w:val="21"/>
                <w:szCs w:val="21"/>
              </w:rPr>
            </w:pPr>
            <w:r>
              <w:rPr>
                <w:rFonts w:hint="eastAsia" w:ascii="宋体" w:hAnsi="宋体" w:cs="宋体"/>
                <w:sz w:val="21"/>
                <w:szCs w:val="21"/>
              </w:rPr>
              <w:t>采购申请</w:t>
            </w:r>
          </w:p>
          <w:p w14:paraId="5F65B28E">
            <w:pPr>
              <w:pStyle w:val="2"/>
              <w:spacing w:line="400" w:lineRule="exact"/>
              <w:ind w:firstLine="480"/>
              <w:rPr>
                <w:rFonts w:hint="eastAsia" w:ascii="宋体" w:hAnsi="宋体" w:cs="宋体"/>
                <w:sz w:val="21"/>
                <w:szCs w:val="21"/>
              </w:rPr>
            </w:pPr>
            <w:r>
              <w:rPr>
                <w:rFonts w:ascii="宋体" w:hAnsi="宋体" w:cs="宋体"/>
                <w:sz w:val="21"/>
                <w:szCs w:val="21"/>
              </w:rPr>
              <w:t>包括采购过程管理</w:t>
            </w:r>
            <w:r>
              <w:rPr>
                <w:rFonts w:hint="eastAsia" w:ascii="宋体" w:hAnsi="宋体" w:cs="宋体"/>
                <w:sz w:val="21"/>
                <w:szCs w:val="21"/>
              </w:rPr>
              <w:t>：实现全过程管理，可按照10个环节设置。1、项目登记，2、编制需求，3、编制采购实施计划，4、审查，5、采购审批，6、执行采购，7合同签订，8进度款支付，9、验收，10、档案归档等。通过流程图形式，当项目经过某个节点的时候可对当前节点以高亮形式表现，让采购人和需求人清晰了解项目进展，及时跟踪项目进度。同时根据规则自动生成台账。</w:t>
            </w:r>
          </w:p>
          <w:p w14:paraId="66DFE339">
            <w:pPr>
              <w:pStyle w:val="2"/>
              <w:spacing w:line="400" w:lineRule="exact"/>
              <w:ind w:firstLine="480"/>
              <w:rPr>
                <w:rFonts w:hint="eastAsia" w:ascii="宋体" w:hAnsi="宋体" w:cs="宋体"/>
                <w:sz w:val="21"/>
                <w:szCs w:val="21"/>
              </w:rPr>
            </w:pPr>
            <w:r>
              <w:rPr>
                <w:rFonts w:ascii="宋体" w:hAnsi="宋体" w:cs="宋体"/>
                <w:sz w:val="21"/>
                <w:szCs w:val="21"/>
              </w:rPr>
              <w:t>预置采购目录清单数据</w:t>
            </w:r>
            <w:r>
              <w:rPr>
                <w:rFonts w:hint="eastAsia" w:ascii="宋体" w:hAnsi="宋体" w:cs="宋体"/>
                <w:sz w:val="21"/>
                <w:szCs w:val="21"/>
              </w:rPr>
              <w:t>：导入和管理可采购的目录清单，采购申请时可从清单中选择。</w:t>
            </w:r>
          </w:p>
          <w:p w14:paraId="4C7642FB">
            <w:pPr>
              <w:pStyle w:val="2"/>
              <w:spacing w:line="400" w:lineRule="exact"/>
              <w:ind w:firstLine="480"/>
              <w:rPr>
                <w:rFonts w:hint="eastAsia" w:ascii="宋体" w:hAnsi="宋体" w:cs="宋体"/>
                <w:sz w:val="21"/>
                <w:szCs w:val="21"/>
              </w:rPr>
            </w:pPr>
            <w:r>
              <w:rPr>
                <w:rFonts w:ascii="宋体" w:hAnsi="宋体" w:cs="宋体"/>
                <w:sz w:val="21"/>
                <w:szCs w:val="21"/>
              </w:rPr>
              <w:t>采购预算关联</w:t>
            </w:r>
            <w:r>
              <w:rPr>
                <w:rFonts w:hint="eastAsia" w:ascii="宋体" w:hAnsi="宋体" w:cs="宋体"/>
                <w:sz w:val="21"/>
                <w:szCs w:val="21"/>
              </w:rPr>
              <w:t>：关联相关预算项目，防止采购超出预算范围。</w:t>
            </w:r>
          </w:p>
          <w:p w14:paraId="5703BD74">
            <w:pPr>
              <w:pStyle w:val="2"/>
              <w:spacing w:line="400" w:lineRule="exact"/>
              <w:ind w:firstLine="480"/>
              <w:rPr>
                <w:rFonts w:hint="eastAsia" w:ascii="宋体" w:hAnsi="宋体" w:cs="宋体"/>
                <w:sz w:val="21"/>
                <w:szCs w:val="21"/>
              </w:rPr>
            </w:pPr>
            <w:r>
              <w:rPr>
                <w:rFonts w:ascii="宋体" w:hAnsi="宋体" w:cs="宋体"/>
                <w:sz w:val="21"/>
                <w:szCs w:val="21"/>
              </w:rPr>
              <w:t>供应商协同</w:t>
            </w:r>
            <w:r>
              <w:rPr>
                <w:rFonts w:hint="eastAsia" w:ascii="宋体" w:hAnsi="宋体" w:cs="宋体"/>
                <w:sz w:val="21"/>
                <w:szCs w:val="21"/>
              </w:rPr>
              <w:t>：一般采购批准后可推送给协议供应商，由供应商根据清单供货。</w:t>
            </w:r>
          </w:p>
          <w:p w14:paraId="1D288025">
            <w:pPr>
              <w:pStyle w:val="2"/>
              <w:spacing w:line="400" w:lineRule="exact"/>
              <w:ind w:firstLine="480"/>
              <w:rPr>
                <w:rFonts w:hint="eastAsia" w:ascii="宋体" w:hAnsi="宋体" w:cs="宋体"/>
                <w:sz w:val="21"/>
                <w:szCs w:val="21"/>
              </w:rPr>
            </w:pPr>
            <w:r>
              <w:rPr>
                <w:rFonts w:ascii="宋体" w:hAnsi="宋体" w:cs="宋体"/>
                <w:sz w:val="21"/>
                <w:szCs w:val="21"/>
              </w:rPr>
              <w:t>提供采购执行流程管理功能，可预制执行流程中可能会发生的环节，如采购文件审核(含招标文件和询价文件)、采购公告发布审核、开评标管理(含预制评标规则、邀请人员评标、评标过程信息登记等)，采购预</w:t>
            </w:r>
            <w:r>
              <w:rPr>
                <w:rFonts w:hint="eastAsia" w:ascii="宋体" w:hAnsi="宋体" w:cs="宋体"/>
                <w:sz w:val="21"/>
                <w:szCs w:val="21"/>
              </w:rPr>
              <w:t>中标（成交）结果</w:t>
            </w:r>
            <w:r>
              <w:rPr>
                <w:rFonts w:ascii="宋体" w:hAnsi="宋体" w:cs="宋体"/>
                <w:sz w:val="21"/>
                <w:szCs w:val="21"/>
              </w:rPr>
              <w:t>登记(根据评标结果排名顺序登记采购预</w:t>
            </w:r>
            <w:r>
              <w:rPr>
                <w:rFonts w:hint="eastAsia" w:ascii="宋体" w:hAnsi="宋体" w:cs="宋体"/>
                <w:sz w:val="21"/>
                <w:szCs w:val="21"/>
              </w:rPr>
              <w:t>中标（成交）结果</w:t>
            </w:r>
            <w:r>
              <w:rPr>
                <w:rFonts w:ascii="宋体" w:hAnsi="宋体" w:cs="宋体"/>
                <w:sz w:val="21"/>
                <w:szCs w:val="21"/>
              </w:rPr>
              <w:t>并报批)</w:t>
            </w:r>
          </w:p>
          <w:p w14:paraId="77B0D032">
            <w:pPr>
              <w:pStyle w:val="2"/>
              <w:spacing w:line="400" w:lineRule="exact"/>
              <w:ind w:firstLine="480"/>
              <w:rPr>
                <w:rFonts w:hint="eastAsia" w:ascii="宋体" w:hAnsi="宋体" w:cs="宋体"/>
                <w:sz w:val="21"/>
                <w:szCs w:val="21"/>
              </w:rPr>
            </w:pPr>
            <w:r>
              <w:rPr>
                <w:rFonts w:ascii="宋体" w:hAnsi="宋体" w:cs="宋体"/>
                <w:sz w:val="21"/>
                <w:szCs w:val="21"/>
              </w:rPr>
              <w:t>请休假流程</w:t>
            </w:r>
          </w:p>
          <w:p w14:paraId="278EB090">
            <w:pPr>
              <w:pStyle w:val="2"/>
              <w:spacing w:line="400" w:lineRule="exact"/>
              <w:ind w:firstLine="480"/>
              <w:rPr>
                <w:rFonts w:hint="eastAsia" w:ascii="宋体" w:hAnsi="宋体" w:cs="宋体"/>
                <w:sz w:val="21"/>
                <w:szCs w:val="21"/>
              </w:rPr>
            </w:pPr>
            <w:r>
              <w:rPr>
                <w:rFonts w:ascii="宋体" w:hAnsi="宋体" w:cs="宋体"/>
                <w:sz w:val="21"/>
                <w:szCs w:val="21"/>
              </w:rPr>
              <w:t>通过请休假实现人员休假的申请、销假等功能，并对单位内部人员休假数据进行统计分析，优化人员休假管理。支持国家法定节假日，劳动法、地方法规规定的各类假期的自动计算和跨年度结转</w:t>
            </w:r>
            <w:r>
              <w:rPr>
                <w:rFonts w:hint="eastAsia" w:ascii="宋体" w:hAnsi="宋体" w:cs="宋体"/>
                <w:sz w:val="21"/>
                <w:szCs w:val="21"/>
              </w:rPr>
              <w:t>，</w:t>
            </w:r>
            <w:r>
              <w:rPr>
                <w:rFonts w:ascii="宋体" w:hAnsi="宋体" w:cs="宋体"/>
                <w:sz w:val="21"/>
                <w:szCs w:val="21"/>
              </w:rPr>
              <w:t>每个人可申请的各类型假期进行独立核算</w:t>
            </w:r>
            <w:r>
              <w:rPr>
                <w:rFonts w:hint="eastAsia" w:ascii="宋体" w:hAnsi="宋体" w:cs="宋体"/>
                <w:sz w:val="21"/>
                <w:szCs w:val="21"/>
              </w:rPr>
              <w:t>。</w:t>
            </w:r>
          </w:p>
          <w:p w14:paraId="1C797EBC">
            <w:pPr>
              <w:pStyle w:val="2"/>
              <w:spacing w:line="400" w:lineRule="exact"/>
              <w:ind w:firstLine="480"/>
              <w:rPr>
                <w:rFonts w:hint="eastAsia" w:ascii="宋体" w:hAnsi="宋体" w:cs="宋体"/>
                <w:sz w:val="21"/>
                <w:szCs w:val="21"/>
              </w:rPr>
            </w:pPr>
            <w:r>
              <w:rPr>
                <w:rFonts w:hint="eastAsia" w:ascii="宋体" w:hAnsi="宋体" w:cs="宋体"/>
                <w:sz w:val="21"/>
                <w:szCs w:val="21"/>
              </w:rPr>
              <w:t>（3）加班管理：进行日常加班登记，经部门领导确认，并联动请休假流程的补休功能。</w:t>
            </w:r>
          </w:p>
          <w:p w14:paraId="014FC32C">
            <w:pPr>
              <w:pStyle w:val="2"/>
              <w:spacing w:line="400" w:lineRule="exact"/>
              <w:ind w:firstLine="480"/>
              <w:rPr>
                <w:rFonts w:hint="eastAsia" w:ascii="宋体" w:hAnsi="宋体" w:cs="宋体"/>
                <w:sz w:val="21"/>
                <w:szCs w:val="21"/>
              </w:rPr>
            </w:pPr>
            <w:r>
              <w:rPr>
                <w:rFonts w:hint="eastAsia" w:ascii="宋体" w:hAnsi="宋体" w:cs="宋体"/>
                <w:sz w:val="21"/>
                <w:szCs w:val="21"/>
              </w:rPr>
              <w:t>（4）</w:t>
            </w:r>
            <w:r>
              <w:rPr>
                <w:rFonts w:ascii="宋体" w:hAnsi="宋体" w:cs="宋体"/>
                <w:sz w:val="21"/>
                <w:szCs w:val="21"/>
              </w:rPr>
              <w:t>预算管理</w:t>
            </w:r>
            <w:r>
              <w:rPr>
                <w:rFonts w:hint="eastAsia" w:ascii="宋体" w:hAnsi="宋体" w:cs="宋体"/>
                <w:sz w:val="21"/>
                <w:szCs w:val="21"/>
              </w:rPr>
              <w:t>：</w:t>
            </w:r>
            <w:r>
              <w:rPr>
                <w:rFonts w:ascii="宋体" w:hAnsi="宋体" w:cs="宋体"/>
                <w:sz w:val="21"/>
                <w:szCs w:val="21"/>
              </w:rPr>
              <w:t>包括基础数据维护、预算任务下发、预算项目</w:t>
            </w:r>
            <w:r>
              <w:rPr>
                <w:rFonts w:hint="eastAsia" w:ascii="宋体" w:hAnsi="宋体" w:cs="宋体"/>
                <w:sz w:val="21"/>
                <w:szCs w:val="21"/>
              </w:rPr>
              <w:t>管理</w:t>
            </w:r>
            <w:r>
              <w:rPr>
                <w:rFonts w:ascii="宋体" w:hAnsi="宋体" w:cs="宋体"/>
                <w:sz w:val="21"/>
                <w:szCs w:val="21"/>
              </w:rPr>
              <w:t>、预算编制、预算批复、指标分解、预算控制、预算调整、调剂、预算释放、预算结转、</w:t>
            </w:r>
            <w:r>
              <w:rPr>
                <w:rFonts w:hint="eastAsia" w:ascii="宋体" w:hAnsi="宋体" w:cs="宋体"/>
                <w:sz w:val="21"/>
                <w:szCs w:val="21"/>
              </w:rPr>
              <w:t>预算执行、</w:t>
            </w:r>
            <w:r>
              <w:rPr>
                <w:rFonts w:ascii="宋体" w:hAnsi="宋体" w:cs="宋体"/>
                <w:sz w:val="21"/>
                <w:szCs w:val="21"/>
              </w:rPr>
              <w:t>预算分析等。</w:t>
            </w:r>
          </w:p>
          <w:p w14:paraId="0381D0A9">
            <w:pPr>
              <w:pStyle w:val="2"/>
              <w:spacing w:line="400" w:lineRule="exact"/>
              <w:ind w:firstLine="480"/>
              <w:rPr>
                <w:rFonts w:hint="eastAsia" w:ascii="宋体" w:hAnsi="宋体" w:cs="宋体"/>
                <w:sz w:val="21"/>
                <w:szCs w:val="21"/>
              </w:rPr>
            </w:pPr>
            <w:r>
              <w:rPr>
                <w:rFonts w:hint="eastAsia" w:ascii="宋体" w:hAnsi="宋体" w:cs="宋体"/>
                <w:sz w:val="21"/>
                <w:szCs w:val="21"/>
              </w:rPr>
              <w:t>（5）</w:t>
            </w:r>
            <w:r>
              <w:rPr>
                <w:rFonts w:ascii="宋体" w:hAnsi="宋体" w:cs="宋体"/>
                <w:sz w:val="21"/>
                <w:szCs w:val="21"/>
              </w:rPr>
              <w:t>收入管理</w:t>
            </w:r>
            <w:r>
              <w:rPr>
                <w:rFonts w:hint="eastAsia" w:ascii="宋体" w:hAnsi="宋体" w:cs="宋体"/>
                <w:sz w:val="21"/>
                <w:szCs w:val="21"/>
              </w:rPr>
              <w:t>：</w:t>
            </w:r>
            <w:r>
              <w:rPr>
                <w:rFonts w:ascii="宋体" w:hAnsi="宋体" w:cs="宋体"/>
                <w:sz w:val="21"/>
                <w:szCs w:val="21"/>
              </w:rPr>
              <w:t>包括用款计划、收入登记、资金分析等。</w:t>
            </w:r>
          </w:p>
          <w:p w14:paraId="12F629DC">
            <w:pPr>
              <w:pStyle w:val="2"/>
              <w:spacing w:line="400" w:lineRule="exact"/>
              <w:ind w:firstLine="480"/>
              <w:rPr>
                <w:rFonts w:hint="eastAsia" w:ascii="宋体" w:hAnsi="宋体" w:cs="宋体"/>
                <w:sz w:val="21"/>
                <w:szCs w:val="21"/>
              </w:rPr>
            </w:pPr>
            <w:r>
              <w:rPr>
                <w:rFonts w:hint="eastAsia" w:ascii="宋体" w:hAnsi="宋体" w:cs="宋体"/>
                <w:sz w:val="21"/>
                <w:szCs w:val="21"/>
              </w:rPr>
              <w:t>（6）</w:t>
            </w:r>
            <w:r>
              <w:rPr>
                <w:rFonts w:ascii="宋体" w:hAnsi="宋体" w:cs="宋体"/>
                <w:sz w:val="21"/>
                <w:szCs w:val="21"/>
              </w:rPr>
              <w:t>支出管理</w:t>
            </w:r>
            <w:r>
              <w:rPr>
                <w:rFonts w:hint="eastAsia" w:ascii="宋体" w:hAnsi="宋体" w:cs="宋体"/>
                <w:sz w:val="21"/>
                <w:szCs w:val="21"/>
              </w:rPr>
              <w:t>：</w:t>
            </w:r>
            <w:r>
              <w:rPr>
                <w:rFonts w:ascii="宋体" w:hAnsi="宋体" w:cs="宋体"/>
                <w:sz w:val="21"/>
                <w:szCs w:val="21"/>
              </w:rPr>
              <w:t>包括支出标准、申请管理、费用报销、电子发票</w:t>
            </w:r>
            <w:r>
              <w:rPr>
                <w:rFonts w:hint="eastAsia" w:ascii="宋体" w:hAnsi="宋体" w:cs="宋体"/>
                <w:sz w:val="21"/>
                <w:szCs w:val="21"/>
              </w:rPr>
              <w:t>（一键采集、自动验真、合规校验、分类管理）</w:t>
            </w:r>
            <w:r>
              <w:rPr>
                <w:rFonts w:ascii="宋体" w:hAnsi="宋体" w:cs="宋体"/>
                <w:sz w:val="21"/>
                <w:szCs w:val="21"/>
              </w:rPr>
              <w:t>、红字报销、汇总报销、报销台账、资金支出跟踪等。</w:t>
            </w:r>
          </w:p>
          <w:p w14:paraId="4107B23F">
            <w:pPr>
              <w:pStyle w:val="2"/>
              <w:spacing w:line="400" w:lineRule="exact"/>
              <w:ind w:firstLine="480"/>
              <w:rPr>
                <w:rFonts w:hint="eastAsia" w:ascii="宋体" w:hAnsi="宋体" w:cs="宋体"/>
                <w:sz w:val="21"/>
                <w:szCs w:val="21"/>
              </w:rPr>
            </w:pPr>
            <w:r>
              <w:rPr>
                <w:rFonts w:hint="eastAsia" w:ascii="宋体" w:hAnsi="宋体" w:cs="宋体"/>
                <w:sz w:val="21"/>
                <w:szCs w:val="21"/>
              </w:rPr>
              <w:t>（7）</w:t>
            </w:r>
            <w:r>
              <w:rPr>
                <w:rFonts w:ascii="宋体" w:hAnsi="宋体" w:cs="宋体"/>
                <w:sz w:val="21"/>
                <w:szCs w:val="21"/>
              </w:rPr>
              <w:t>内部签报</w:t>
            </w:r>
            <w:r>
              <w:rPr>
                <w:rFonts w:hint="eastAsia" w:ascii="宋体" w:hAnsi="宋体" w:cs="宋体"/>
                <w:sz w:val="21"/>
                <w:szCs w:val="21"/>
              </w:rPr>
              <w:t>：</w:t>
            </w:r>
            <w:r>
              <w:rPr>
                <w:rFonts w:ascii="宋体" w:hAnsi="宋体" w:cs="宋体"/>
                <w:sz w:val="21"/>
                <w:szCs w:val="21"/>
              </w:rPr>
              <w:t>包括签报登记、登记功能、详细信息填写、流程发起、特定事项管理、签报办理、待办事项列表、事项查看、审批意见填写、流程流转、签报查询、查询功能、数据导出等。</w:t>
            </w:r>
          </w:p>
          <w:p w14:paraId="44F892FE">
            <w:pPr>
              <w:pStyle w:val="2"/>
              <w:spacing w:line="400" w:lineRule="exact"/>
              <w:ind w:firstLine="480"/>
              <w:rPr>
                <w:rFonts w:hint="eastAsia" w:ascii="宋体" w:hAnsi="宋体" w:cs="宋体"/>
                <w:sz w:val="21"/>
                <w:szCs w:val="21"/>
              </w:rPr>
            </w:pPr>
            <w:r>
              <w:rPr>
                <w:rFonts w:hint="eastAsia" w:ascii="宋体" w:hAnsi="宋体" w:cs="宋体"/>
                <w:sz w:val="21"/>
                <w:szCs w:val="21"/>
              </w:rPr>
              <w:t>（8）</w:t>
            </w:r>
            <w:r>
              <w:rPr>
                <w:rFonts w:ascii="宋体" w:hAnsi="宋体" w:cs="宋体"/>
                <w:sz w:val="21"/>
                <w:szCs w:val="21"/>
              </w:rPr>
              <w:t>转账申请管理</w:t>
            </w:r>
            <w:r>
              <w:rPr>
                <w:rFonts w:hint="eastAsia" w:ascii="宋体" w:hAnsi="宋体" w:cs="宋体"/>
                <w:sz w:val="21"/>
                <w:szCs w:val="21"/>
              </w:rPr>
              <w:t>：</w:t>
            </w:r>
            <w:r>
              <w:rPr>
                <w:rFonts w:ascii="宋体" w:hAnsi="宋体" w:cs="宋体"/>
                <w:sz w:val="21"/>
                <w:szCs w:val="21"/>
              </w:rPr>
              <w:t>包括转账申请、转账审批办理、转账查询统计等。</w:t>
            </w:r>
          </w:p>
          <w:p w14:paraId="0C8843CE">
            <w:pPr>
              <w:pStyle w:val="2"/>
              <w:spacing w:line="400" w:lineRule="exact"/>
              <w:ind w:firstLine="480"/>
              <w:rPr>
                <w:rFonts w:hint="eastAsia" w:ascii="宋体" w:hAnsi="宋体" w:cs="宋体"/>
                <w:sz w:val="21"/>
                <w:szCs w:val="21"/>
              </w:rPr>
            </w:pPr>
            <w:r>
              <w:rPr>
                <w:rFonts w:hint="eastAsia" w:ascii="宋体" w:hAnsi="宋体" w:cs="宋体"/>
                <w:sz w:val="21"/>
                <w:szCs w:val="21"/>
              </w:rPr>
              <w:t>（9）</w:t>
            </w:r>
            <w:r>
              <w:rPr>
                <w:rFonts w:ascii="宋体" w:hAnsi="宋体" w:cs="宋体"/>
                <w:sz w:val="21"/>
                <w:szCs w:val="21"/>
              </w:rPr>
              <w:t>领导日程</w:t>
            </w:r>
            <w:r>
              <w:rPr>
                <w:rFonts w:hint="eastAsia" w:ascii="宋体" w:hAnsi="宋体" w:cs="宋体"/>
                <w:sz w:val="21"/>
                <w:szCs w:val="21"/>
              </w:rPr>
              <w:t>：</w:t>
            </w:r>
            <w:r>
              <w:rPr>
                <w:rFonts w:ascii="宋体" w:hAnsi="宋体" w:cs="宋体"/>
                <w:sz w:val="21"/>
                <w:szCs w:val="21"/>
              </w:rPr>
              <w:t>包括新建领导行程、行程看板、行程管理等</w:t>
            </w:r>
            <w:r>
              <w:rPr>
                <w:rFonts w:hint="eastAsia" w:ascii="宋体" w:hAnsi="宋体" w:cs="宋体"/>
                <w:sz w:val="21"/>
                <w:szCs w:val="21"/>
              </w:rPr>
              <w:t>，联动出差、请假流程</w:t>
            </w:r>
            <w:r>
              <w:rPr>
                <w:rFonts w:ascii="宋体" w:hAnsi="宋体" w:cs="宋体"/>
                <w:sz w:val="21"/>
                <w:szCs w:val="21"/>
              </w:rPr>
              <w:t>。</w:t>
            </w:r>
          </w:p>
          <w:p w14:paraId="30DB9D33">
            <w:pPr>
              <w:pStyle w:val="2"/>
              <w:spacing w:line="400" w:lineRule="exact"/>
              <w:ind w:firstLine="480"/>
              <w:rPr>
                <w:rFonts w:hint="eastAsia" w:ascii="宋体" w:hAnsi="宋体" w:cs="宋体"/>
                <w:sz w:val="21"/>
                <w:szCs w:val="21"/>
              </w:rPr>
            </w:pPr>
            <w:r>
              <w:rPr>
                <w:rFonts w:hint="eastAsia" w:ascii="宋体" w:hAnsi="宋体" w:cs="宋体"/>
                <w:sz w:val="21"/>
                <w:szCs w:val="21"/>
              </w:rPr>
              <w:t>（10）</w:t>
            </w:r>
            <w:r>
              <w:rPr>
                <w:rFonts w:ascii="宋体" w:hAnsi="宋体" w:cs="宋体"/>
                <w:sz w:val="21"/>
                <w:szCs w:val="21"/>
              </w:rPr>
              <w:t>办公用品申请包括办公用品维护、办公用品申请、统计查询等。</w:t>
            </w:r>
          </w:p>
          <w:p w14:paraId="11ABC0D9">
            <w:pPr>
              <w:pStyle w:val="2"/>
              <w:spacing w:line="400" w:lineRule="exact"/>
              <w:ind w:firstLine="480"/>
              <w:rPr>
                <w:rFonts w:hint="eastAsia" w:ascii="宋体" w:hAnsi="宋体" w:cs="宋体"/>
                <w:sz w:val="21"/>
                <w:szCs w:val="21"/>
              </w:rPr>
            </w:pPr>
            <w:r>
              <w:rPr>
                <w:rFonts w:hint="eastAsia" w:ascii="宋体" w:hAnsi="宋体" w:cs="宋体"/>
                <w:sz w:val="21"/>
                <w:szCs w:val="21"/>
              </w:rPr>
              <w:t>（11）</w:t>
            </w:r>
            <w:r>
              <w:rPr>
                <w:rFonts w:ascii="宋体" w:hAnsi="宋体" w:cs="宋体"/>
                <w:sz w:val="21"/>
                <w:szCs w:val="21"/>
              </w:rPr>
              <w:t>办公设备管理包括设备登记、设备申请等。</w:t>
            </w:r>
          </w:p>
          <w:p w14:paraId="3E6812C2">
            <w:pPr>
              <w:pStyle w:val="2"/>
              <w:spacing w:line="400" w:lineRule="exact"/>
              <w:ind w:firstLine="480"/>
              <w:rPr>
                <w:rFonts w:hint="eastAsia" w:ascii="宋体" w:hAnsi="宋体" w:cs="宋体"/>
                <w:sz w:val="21"/>
                <w:szCs w:val="21"/>
              </w:rPr>
            </w:pPr>
            <w:r>
              <w:rPr>
                <w:rFonts w:hint="eastAsia" w:ascii="宋体" w:hAnsi="宋体" w:cs="宋体"/>
                <w:sz w:val="21"/>
                <w:szCs w:val="21"/>
              </w:rPr>
              <w:t>（12）</w:t>
            </w:r>
            <w:r>
              <w:rPr>
                <w:rFonts w:ascii="宋体" w:hAnsi="宋体" w:cs="宋体"/>
                <w:sz w:val="21"/>
                <w:szCs w:val="21"/>
              </w:rPr>
              <w:t>意见箱管理包括提意见、反馈回复、查询意见等。</w:t>
            </w:r>
          </w:p>
          <w:p w14:paraId="6918ECBE">
            <w:pPr>
              <w:pStyle w:val="2"/>
              <w:spacing w:line="400" w:lineRule="exact"/>
              <w:ind w:firstLine="480"/>
              <w:rPr>
                <w:rFonts w:hint="eastAsia" w:ascii="宋体" w:hAnsi="宋体" w:cs="宋体"/>
                <w:sz w:val="21"/>
                <w:szCs w:val="21"/>
              </w:rPr>
            </w:pPr>
            <w:r>
              <w:rPr>
                <w:rFonts w:hint="eastAsia" w:ascii="宋体" w:hAnsi="宋体" w:cs="宋体"/>
                <w:sz w:val="21"/>
                <w:szCs w:val="21"/>
              </w:rPr>
              <w:t>（</w:t>
            </w:r>
            <w:r>
              <w:rPr>
                <w:rFonts w:ascii="宋体" w:hAnsi="宋体" w:cs="宋体"/>
                <w:sz w:val="21"/>
                <w:szCs w:val="21"/>
              </w:rPr>
              <w:t>13</w:t>
            </w:r>
            <w:r>
              <w:rPr>
                <w:rFonts w:hint="eastAsia" w:ascii="宋体" w:hAnsi="宋体" w:cs="宋体"/>
                <w:sz w:val="21"/>
                <w:szCs w:val="21"/>
              </w:rPr>
              <w:t>）问卷调查：包括模板设计、意见征集及结果统计等；提供面向单位内部各类员工的网上调查功能，包括分类设置、问卷模板设置、发起调查、审核、发布、在线参与调查、调查结果查阅等全生命周期管理；可指定人员范围进行问卷调查，可设定用户登录系统时，被邀请参与的用户自动弹出的调查问卷，用户可以直接参与调查，支持问卷填写和或投票，调查的统计结果，可以结合组织架构进行筛选，让统计结果更直观。支持单选、多选、矩阵、问答、评分等题型，并支持题型扩展，可用于各级单位满意度调查、培训效果调查、环境调查等工作。</w:t>
            </w:r>
          </w:p>
          <w:p w14:paraId="53D03F69">
            <w:pPr>
              <w:pStyle w:val="2"/>
              <w:spacing w:line="400" w:lineRule="exact"/>
              <w:ind w:firstLine="480"/>
              <w:rPr>
                <w:rFonts w:hint="eastAsia" w:ascii="宋体" w:hAnsi="宋体" w:cs="宋体"/>
                <w:sz w:val="21"/>
                <w:szCs w:val="21"/>
              </w:rPr>
            </w:pPr>
            <w:r>
              <w:rPr>
                <w:rFonts w:hint="eastAsia" w:ascii="宋体" w:hAnsi="宋体" w:cs="宋体"/>
                <w:sz w:val="21"/>
                <w:szCs w:val="21"/>
              </w:rPr>
              <w:t>（二）</w:t>
            </w:r>
            <w:r>
              <w:rPr>
                <w:rFonts w:ascii="宋体" w:hAnsi="宋体" w:cs="宋体"/>
                <w:sz w:val="21"/>
                <w:szCs w:val="21"/>
              </w:rPr>
              <w:t>扩展功能</w:t>
            </w:r>
          </w:p>
          <w:p w14:paraId="67A25739">
            <w:pPr>
              <w:pStyle w:val="2"/>
              <w:spacing w:line="400" w:lineRule="exact"/>
              <w:ind w:firstLine="480"/>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业务管理。定制项目实施流程，对业务进行全过程管理，实现项目任务计划下达、工作方案编制、工作方案三审、工程类、咨询类项目分类管理流程，对各类数据进行归档形成统一的项目数据库。</w:t>
            </w:r>
          </w:p>
          <w:p w14:paraId="0355677B">
            <w:pPr>
              <w:pStyle w:val="2"/>
              <w:spacing w:line="400" w:lineRule="exact"/>
              <w:ind w:firstLine="480"/>
              <w:rPr>
                <w:rFonts w:hint="eastAsia" w:ascii="宋体" w:hAnsi="宋体" w:cs="宋体"/>
                <w:sz w:val="21"/>
                <w:szCs w:val="21"/>
              </w:rPr>
            </w:pPr>
            <w:r>
              <w:rPr>
                <w:rFonts w:ascii="宋体" w:hAnsi="宋体" w:cs="宋体"/>
                <w:sz w:val="21"/>
                <w:szCs w:val="21"/>
              </w:rPr>
              <w:t>包括项目</w:t>
            </w:r>
            <w:r>
              <w:rPr>
                <w:rFonts w:hint="eastAsia" w:ascii="宋体" w:hAnsi="宋体" w:cs="宋体"/>
                <w:sz w:val="21"/>
                <w:szCs w:val="21"/>
              </w:rPr>
              <w:t>登记</w:t>
            </w:r>
            <w:r>
              <w:rPr>
                <w:rFonts w:ascii="宋体" w:hAnsi="宋体" w:cs="宋体"/>
                <w:sz w:val="21"/>
                <w:szCs w:val="21"/>
              </w:rPr>
              <w:t>、合同标书评审</w:t>
            </w:r>
            <w:r>
              <w:rPr>
                <w:rFonts w:hint="eastAsia" w:ascii="宋体" w:hAnsi="宋体" w:cs="宋体"/>
                <w:sz w:val="21"/>
                <w:szCs w:val="21"/>
              </w:rPr>
              <w:t>、合同审批</w:t>
            </w:r>
            <w:r>
              <w:rPr>
                <w:rFonts w:ascii="宋体" w:hAnsi="宋体" w:cs="宋体"/>
                <w:sz w:val="21"/>
                <w:szCs w:val="21"/>
              </w:rPr>
              <w:t>、项目立项</w:t>
            </w:r>
            <w:r>
              <w:rPr>
                <w:rFonts w:hint="eastAsia" w:ascii="宋体" w:hAnsi="宋体" w:cs="宋体"/>
                <w:sz w:val="21"/>
                <w:szCs w:val="21"/>
              </w:rPr>
              <w:t>、</w:t>
            </w:r>
            <w:r>
              <w:rPr>
                <w:rFonts w:ascii="宋体" w:hAnsi="宋体" w:cs="宋体"/>
                <w:sz w:val="21"/>
                <w:szCs w:val="21"/>
              </w:rPr>
              <w:t>文件三审管理、项目归档管理</w:t>
            </w:r>
            <w:r>
              <w:rPr>
                <w:rFonts w:hint="eastAsia" w:ascii="宋体" w:hAnsi="宋体" w:cs="宋体"/>
                <w:sz w:val="21"/>
                <w:szCs w:val="21"/>
              </w:rPr>
              <w:t>（需对接档案管理应用）</w:t>
            </w:r>
            <w:r>
              <w:rPr>
                <w:rFonts w:ascii="宋体" w:hAnsi="宋体" w:cs="宋体"/>
                <w:sz w:val="21"/>
                <w:szCs w:val="21"/>
              </w:rPr>
              <w:t>、项目进度管理、项目变更管理、合同统计分析、项目统计分析、项目到款统计、部门合作审批、外派专家审批、专家库管理</w:t>
            </w:r>
            <w:r>
              <w:rPr>
                <w:rFonts w:hint="eastAsia" w:ascii="宋体" w:hAnsi="宋体" w:cs="宋体"/>
                <w:sz w:val="21"/>
                <w:szCs w:val="21"/>
              </w:rPr>
              <w:t>（需支持专家相关扫描证件的导入导出）</w:t>
            </w:r>
            <w:r>
              <w:rPr>
                <w:rFonts w:ascii="宋体" w:hAnsi="宋体" w:cs="宋体"/>
                <w:sz w:val="21"/>
                <w:szCs w:val="21"/>
              </w:rPr>
              <w:t>等</w:t>
            </w:r>
            <w:r>
              <w:rPr>
                <w:rFonts w:hint="eastAsia" w:ascii="宋体" w:hAnsi="宋体" w:cs="宋体"/>
                <w:sz w:val="21"/>
                <w:szCs w:val="21"/>
              </w:rPr>
              <w:t>，项目全过程需关联预算管理、项目经费收支</w:t>
            </w:r>
            <w:r>
              <w:rPr>
                <w:rFonts w:ascii="宋体" w:hAnsi="宋体" w:cs="宋体"/>
                <w:sz w:val="21"/>
                <w:szCs w:val="21"/>
              </w:rPr>
              <w:t>。</w:t>
            </w:r>
          </w:p>
          <w:p w14:paraId="536FC29F">
            <w:pPr>
              <w:pStyle w:val="2"/>
              <w:spacing w:line="400" w:lineRule="exact"/>
              <w:ind w:firstLine="480"/>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其他管理。包括绩效管理、实习生管理、临聘管理、论文及专著管理、科技成果管理、知识产权管理、体系文件管理等。</w:t>
            </w:r>
          </w:p>
          <w:p w14:paraId="281C7FBF">
            <w:pPr>
              <w:pStyle w:val="2"/>
              <w:spacing w:line="400" w:lineRule="exact"/>
              <w:ind w:firstLine="480"/>
              <w:rPr>
                <w:rFonts w:hint="eastAsia" w:ascii="宋体" w:hAnsi="宋体" w:cs="宋体"/>
                <w:sz w:val="21"/>
                <w:szCs w:val="21"/>
              </w:rPr>
            </w:pPr>
            <w:r>
              <w:rPr>
                <w:rFonts w:hint="eastAsia" w:ascii="宋体" w:hAnsi="宋体" w:cs="宋体"/>
                <w:sz w:val="21"/>
                <w:szCs w:val="21"/>
              </w:rPr>
              <w:t>3.</w:t>
            </w:r>
            <w:r>
              <w:rPr>
                <w:rFonts w:ascii="宋体" w:hAnsi="宋体" w:cs="宋体"/>
                <w:sz w:val="21"/>
                <w:szCs w:val="21"/>
              </w:rPr>
              <w:t>业务流程配置管理。包括首页配置、</w:t>
            </w:r>
            <w:r>
              <w:rPr>
                <w:rFonts w:hint="eastAsia" w:ascii="宋体" w:hAnsi="宋体" w:cs="宋体"/>
                <w:sz w:val="21"/>
                <w:szCs w:val="21"/>
              </w:rPr>
              <w:t>台账</w:t>
            </w:r>
            <w:r>
              <w:rPr>
                <w:rFonts w:ascii="宋体" w:hAnsi="宋体" w:cs="宋体"/>
                <w:sz w:val="21"/>
                <w:szCs w:val="21"/>
              </w:rPr>
              <w:t>配置、系统参数管理、自由流配置、固定流配置、权限管理、系统流程功能配置、流程关联配置、流程提效模块等。</w:t>
            </w:r>
          </w:p>
          <w:p w14:paraId="577F7BEE">
            <w:pPr>
              <w:pStyle w:val="2"/>
              <w:spacing w:line="400" w:lineRule="exact"/>
              <w:ind w:firstLine="480"/>
              <w:rPr>
                <w:rFonts w:hint="eastAsia" w:ascii="宋体" w:hAnsi="宋体" w:cs="宋体"/>
                <w:sz w:val="21"/>
                <w:szCs w:val="21"/>
              </w:rPr>
            </w:pPr>
            <w:r>
              <w:rPr>
                <w:rFonts w:ascii="宋体" w:hAnsi="宋体" w:cs="宋体"/>
                <w:sz w:val="21"/>
                <w:szCs w:val="21"/>
              </w:rPr>
              <w:t>其中，权限管理包括</w:t>
            </w:r>
            <w:r>
              <w:rPr>
                <w:rFonts w:hint="eastAsia" w:ascii="宋体" w:hAnsi="宋体" w:cs="宋体"/>
                <w:sz w:val="21"/>
                <w:szCs w:val="21"/>
              </w:rPr>
              <w:t>组织机构管理、一站式人员管理、角色管理</w:t>
            </w:r>
            <w:r>
              <w:rPr>
                <w:rFonts w:ascii="宋体" w:hAnsi="宋体" w:cs="宋体"/>
                <w:sz w:val="21"/>
                <w:szCs w:val="21"/>
              </w:rPr>
              <w:t>。同时，系统所有流程的执行人都</w:t>
            </w:r>
            <w:r>
              <w:rPr>
                <w:rFonts w:hint="eastAsia" w:ascii="宋体" w:hAnsi="宋体" w:cs="宋体"/>
                <w:sz w:val="21"/>
                <w:szCs w:val="21"/>
              </w:rPr>
              <w:t>以</w:t>
            </w:r>
            <w:r>
              <w:rPr>
                <w:rFonts w:ascii="宋体" w:hAnsi="宋体" w:cs="宋体"/>
                <w:sz w:val="21"/>
                <w:szCs w:val="21"/>
              </w:rPr>
              <w:t>角色为单位。</w:t>
            </w:r>
          </w:p>
          <w:p w14:paraId="66019D6D">
            <w:pPr>
              <w:pStyle w:val="2"/>
              <w:spacing w:line="400" w:lineRule="exact"/>
              <w:ind w:firstLine="480"/>
              <w:rPr>
                <w:rFonts w:hint="eastAsia" w:ascii="宋体" w:hAnsi="宋体" w:cs="宋体"/>
                <w:sz w:val="21"/>
                <w:szCs w:val="21"/>
              </w:rPr>
            </w:pPr>
            <w:r>
              <w:rPr>
                <w:rFonts w:ascii="宋体" w:hAnsi="宋体" w:cs="宋体"/>
                <w:sz w:val="21"/>
                <w:szCs w:val="21"/>
              </w:rPr>
              <w:t>系统流程功能配置包括配置全文搜索、批量导出和批量流转功能等。</w:t>
            </w:r>
          </w:p>
          <w:p w14:paraId="468D5214">
            <w:pPr>
              <w:pStyle w:val="2"/>
              <w:spacing w:line="400" w:lineRule="exact"/>
              <w:ind w:firstLine="480"/>
              <w:rPr>
                <w:rFonts w:hint="eastAsia" w:ascii="宋体" w:hAnsi="宋体" w:cs="宋体"/>
                <w:sz w:val="21"/>
                <w:szCs w:val="21"/>
              </w:rPr>
            </w:pPr>
            <w:r>
              <w:rPr>
                <w:rFonts w:ascii="宋体" w:hAnsi="宋体" w:cs="宋体"/>
                <w:sz w:val="21"/>
                <w:szCs w:val="21"/>
              </w:rPr>
              <w:t>流程提效模块包括流程灵活定制能力、流程灵动流转能力、流程智能预测能力、流程实时监控能力、开放的BPM技术平台等</w:t>
            </w:r>
            <w:r>
              <w:rPr>
                <w:rFonts w:hint="eastAsia" w:ascii="宋体" w:hAnsi="宋体" w:cs="宋体"/>
                <w:sz w:val="21"/>
                <w:szCs w:val="21"/>
              </w:rPr>
              <w:t>，可进行流程模拟仿真测试</w:t>
            </w:r>
            <w:r>
              <w:rPr>
                <w:rFonts w:ascii="宋体" w:hAnsi="宋体" w:cs="宋体"/>
                <w:sz w:val="21"/>
                <w:szCs w:val="21"/>
              </w:rPr>
              <w:t>。</w:t>
            </w:r>
          </w:p>
          <w:p w14:paraId="60C93746">
            <w:pPr>
              <w:pStyle w:val="2"/>
              <w:spacing w:line="400" w:lineRule="exact"/>
              <w:ind w:firstLine="480"/>
              <w:rPr>
                <w:rFonts w:hint="eastAsia" w:ascii="宋体" w:hAnsi="宋体" w:cs="宋体"/>
                <w:sz w:val="21"/>
                <w:szCs w:val="21"/>
              </w:rPr>
            </w:pPr>
            <w:r>
              <w:rPr>
                <w:rFonts w:ascii="宋体" w:hAnsi="宋体" w:cs="宋体"/>
                <w:sz w:val="21"/>
                <w:szCs w:val="21"/>
              </w:rPr>
              <w:t>低代码平台搭建。支持低代码甚至是零代码开发功能，</w:t>
            </w:r>
            <w:r>
              <w:rPr>
                <w:rFonts w:hint="eastAsia" w:ascii="宋体" w:hAnsi="宋体" w:cs="宋体"/>
                <w:sz w:val="21"/>
                <w:szCs w:val="21"/>
              </w:rPr>
              <w:t>简单直观，</w:t>
            </w:r>
            <w:r>
              <w:rPr>
                <w:rFonts w:ascii="宋体" w:hAnsi="宋体" w:cs="宋体"/>
                <w:sz w:val="21"/>
                <w:szCs w:val="21"/>
              </w:rPr>
              <w:t>用户能快速新增和修改流程</w:t>
            </w:r>
            <w:r>
              <w:rPr>
                <w:rFonts w:hint="eastAsia" w:ascii="宋体" w:hAnsi="宋体" w:cs="宋体"/>
                <w:sz w:val="21"/>
                <w:szCs w:val="21"/>
              </w:rPr>
              <w:t>。</w:t>
            </w:r>
            <w:r>
              <w:rPr>
                <w:rFonts w:ascii="宋体" w:hAnsi="宋体" w:cs="宋体"/>
                <w:sz w:val="21"/>
                <w:szCs w:val="21"/>
              </w:rPr>
              <w:t>操作台形成表单、流程、报表等可视化组件，鼠标</w:t>
            </w:r>
            <w:r>
              <w:rPr>
                <w:rFonts w:hint="eastAsia" w:ascii="宋体" w:hAnsi="宋体" w:cs="宋体"/>
                <w:sz w:val="21"/>
                <w:szCs w:val="21"/>
              </w:rPr>
              <w:t>拖拽</w:t>
            </w:r>
            <w:r>
              <w:rPr>
                <w:rFonts w:ascii="宋体" w:hAnsi="宋体" w:cs="宋体"/>
                <w:sz w:val="21"/>
                <w:szCs w:val="21"/>
              </w:rPr>
              <w:t>式编辑即可完成应用搭建</w:t>
            </w:r>
            <w:r>
              <w:rPr>
                <w:rFonts w:hint="eastAsia" w:ascii="宋体" w:hAnsi="宋体" w:cs="宋体"/>
                <w:sz w:val="21"/>
                <w:szCs w:val="21"/>
              </w:rPr>
              <w:t>，能零代码实现大部分的流程功能和多流程数据的关联。</w:t>
            </w:r>
          </w:p>
          <w:p w14:paraId="40563494">
            <w:pPr>
              <w:pStyle w:val="2"/>
              <w:spacing w:line="400" w:lineRule="exact"/>
              <w:ind w:firstLine="480"/>
              <w:rPr>
                <w:rFonts w:hint="eastAsia" w:ascii="宋体" w:hAnsi="宋体" w:cs="宋体"/>
                <w:sz w:val="21"/>
                <w:szCs w:val="21"/>
              </w:rPr>
            </w:pPr>
            <w:r>
              <w:rPr>
                <w:rFonts w:hint="eastAsia" w:ascii="宋体" w:hAnsi="宋体" w:cs="宋体"/>
                <w:sz w:val="21"/>
                <w:szCs w:val="21"/>
              </w:rPr>
              <w:t>4.</w:t>
            </w:r>
            <w:r>
              <w:rPr>
                <w:rFonts w:ascii="宋体" w:hAnsi="宋体" w:cs="宋体"/>
                <w:sz w:val="21"/>
                <w:szCs w:val="21"/>
              </w:rPr>
              <w:t>业务相关内部管理事项。</w:t>
            </w:r>
          </w:p>
          <w:p w14:paraId="3E7A0B2F">
            <w:pPr>
              <w:pStyle w:val="2"/>
              <w:spacing w:line="400" w:lineRule="exact"/>
              <w:ind w:firstLine="480"/>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验收管理。提供一个高效、便捷的验收</w:t>
            </w:r>
            <w:r>
              <w:rPr>
                <w:rFonts w:hint="eastAsia" w:ascii="宋体" w:hAnsi="宋体" w:cs="宋体"/>
                <w:sz w:val="21"/>
                <w:szCs w:val="21"/>
              </w:rPr>
              <w:t>审批、</w:t>
            </w:r>
            <w:r>
              <w:rPr>
                <w:rFonts w:ascii="宋体" w:hAnsi="宋体" w:cs="宋体"/>
                <w:sz w:val="21"/>
                <w:szCs w:val="21"/>
              </w:rPr>
              <w:t>登记和查询平台，详细功能包括验收单</w:t>
            </w:r>
            <w:r>
              <w:rPr>
                <w:rFonts w:hint="eastAsia" w:ascii="宋体" w:hAnsi="宋体" w:cs="宋体"/>
                <w:sz w:val="21"/>
                <w:szCs w:val="21"/>
              </w:rPr>
              <w:t>审批</w:t>
            </w:r>
            <w:r>
              <w:rPr>
                <w:rFonts w:ascii="宋体" w:hAnsi="宋体" w:cs="宋体"/>
                <w:sz w:val="21"/>
                <w:szCs w:val="21"/>
              </w:rPr>
              <w:t>、详细信息填写、验收单信息查询、查询功能、数据导出等。</w:t>
            </w:r>
          </w:p>
          <w:p w14:paraId="38E03B9A">
            <w:pPr>
              <w:pStyle w:val="2"/>
              <w:spacing w:line="400" w:lineRule="exact"/>
              <w:ind w:firstLine="480"/>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招标管理。包括我的经办、项目与标段管理、招标立项、</w:t>
            </w:r>
            <w:r>
              <w:rPr>
                <w:rFonts w:hint="eastAsia" w:ascii="宋体" w:hAnsi="宋体" w:cs="宋体"/>
                <w:sz w:val="21"/>
                <w:szCs w:val="21"/>
              </w:rPr>
              <w:t>招标文件审查、</w:t>
            </w:r>
            <w:r>
              <w:rPr>
                <w:rFonts w:ascii="宋体" w:hAnsi="宋体" w:cs="宋体"/>
                <w:sz w:val="21"/>
                <w:szCs w:val="21"/>
              </w:rPr>
              <w:t>资格预审、发标管理等。</w:t>
            </w:r>
          </w:p>
          <w:p w14:paraId="17A0EFE6">
            <w:pPr>
              <w:pStyle w:val="2"/>
              <w:spacing w:line="400" w:lineRule="exact"/>
              <w:ind w:firstLine="480"/>
              <w:rPr>
                <w:rFonts w:hint="eastAsia" w:ascii="宋体" w:hAnsi="宋体" w:cs="宋体"/>
                <w:sz w:val="21"/>
                <w:szCs w:val="21"/>
              </w:rPr>
            </w:pPr>
            <w:r>
              <w:rPr>
                <w:rFonts w:hint="eastAsia" w:ascii="宋体" w:hAnsi="宋体" w:cs="宋体"/>
                <w:sz w:val="21"/>
                <w:szCs w:val="21"/>
              </w:rPr>
              <w:t>（3）</w:t>
            </w:r>
            <w:r>
              <w:rPr>
                <w:rFonts w:ascii="宋体" w:hAnsi="宋体" w:cs="宋体"/>
                <w:sz w:val="21"/>
                <w:szCs w:val="21"/>
              </w:rPr>
              <w:t>投标管理。包括投标事项、开评标管理、投标保证金管理、投标单位管理、招投标报表生成等。定制投标实施流程，实现项目登记、投标文件编制、投标文件三审、盖章、外发（线上/线下）、存档（电子版/纸质版）分类管理流程。</w:t>
            </w:r>
          </w:p>
          <w:p w14:paraId="545979BB">
            <w:pPr>
              <w:pStyle w:val="2"/>
              <w:spacing w:line="400" w:lineRule="exact"/>
              <w:ind w:firstLine="480"/>
              <w:rPr>
                <w:rFonts w:hint="eastAsia" w:ascii="宋体" w:hAnsi="宋体" w:cs="宋体"/>
                <w:sz w:val="21"/>
                <w:szCs w:val="21"/>
              </w:rPr>
            </w:pPr>
            <w:r>
              <w:rPr>
                <w:rFonts w:hint="eastAsia" w:ascii="宋体" w:hAnsi="宋体" w:cs="宋体"/>
                <w:sz w:val="21"/>
                <w:szCs w:val="21"/>
              </w:rPr>
              <w:t>（三）全生命周期</w:t>
            </w:r>
            <w:r>
              <w:rPr>
                <w:rFonts w:ascii="宋体" w:hAnsi="宋体" w:cs="宋体"/>
                <w:sz w:val="21"/>
                <w:szCs w:val="21"/>
              </w:rPr>
              <w:t>资产管理。</w:t>
            </w:r>
          </w:p>
          <w:p w14:paraId="6B3C52BA">
            <w:pPr>
              <w:pStyle w:val="2"/>
              <w:spacing w:line="400" w:lineRule="exact"/>
              <w:ind w:firstLine="480"/>
              <w:rPr>
                <w:rFonts w:hint="eastAsia" w:ascii="宋体" w:hAnsi="宋体" w:cs="宋体"/>
                <w:sz w:val="21"/>
                <w:szCs w:val="21"/>
              </w:rPr>
            </w:pPr>
            <w:r>
              <w:rPr>
                <w:rFonts w:ascii="宋体" w:hAnsi="宋体" w:cs="宋体"/>
                <w:sz w:val="21"/>
                <w:szCs w:val="21"/>
              </w:rPr>
              <w:t>包括资产采购申请、资产登记、资产转移管理、资产处置申请、资产数据维护、资产查询、资产标签打印、资产盘点管理、资产借出登记、资产维修管理、资产预警、资产</w:t>
            </w:r>
            <w:r>
              <w:rPr>
                <w:rFonts w:hint="eastAsia" w:ascii="宋体" w:hAnsi="宋体" w:cs="宋体"/>
                <w:sz w:val="21"/>
                <w:szCs w:val="21"/>
              </w:rPr>
              <w:t>自定义模板</w:t>
            </w:r>
            <w:r>
              <w:rPr>
                <w:rFonts w:ascii="宋体" w:hAnsi="宋体" w:cs="宋体"/>
                <w:sz w:val="21"/>
                <w:szCs w:val="21"/>
              </w:rPr>
              <w:t>导出等。</w:t>
            </w:r>
          </w:p>
          <w:p w14:paraId="634B9051">
            <w:pPr>
              <w:pStyle w:val="2"/>
              <w:spacing w:line="400" w:lineRule="exact"/>
              <w:ind w:firstLine="480"/>
              <w:rPr>
                <w:rFonts w:hint="eastAsia" w:ascii="宋体" w:hAnsi="宋体" w:cs="宋体"/>
                <w:sz w:val="21"/>
                <w:szCs w:val="21"/>
              </w:rPr>
            </w:pPr>
            <w:r>
              <w:rPr>
                <w:rFonts w:hint="eastAsia" w:ascii="宋体" w:hAnsi="宋体" w:cs="宋体"/>
                <w:sz w:val="21"/>
                <w:szCs w:val="21"/>
              </w:rPr>
              <w:t>（四）</w:t>
            </w:r>
            <w:r>
              <w:rPr>
                <w:rFonts w:ascii="宋体" w:hAnsi="宋体" w:cs="宋体"/>
                <w:sz w:val="21"/>
                <w:szCs w:val="21"/>
              </w:rPr>
              <w:t>数据分析。提供类似BI数据分析功能，</w:t>
            </w:r>
            <w:r>
              <w:rPr>
                <w:rFonts w:hint="eastAsia" w:ascii="宋体" w:hAnsi="宋体" w:cs="宋体"/>
                <w:sz w:val="21"/>
                <w:szCs w:val="21"/>
              </w:rPr>
              <w:t>通过简单拖拉控件操作即可</w:t>
            </w:r>
            <w:r>
              <w:rPr>
                <w:rFonts w:ascii="宋体" w:hAnsi="宋体" w:cs="宋体"/>
                <w:sz w:val="21"/>
                <w:szCs w:val="21"/>
              </w:rPr>
              <w:t>对系统内所有数据进行抽取进行图表分析和展示，</w:t>
            </w:r>
            <w:r>
              <w:rPr>
                <w:rFonts w:hint="eastAsia" w:ascii="宋体" w:hAnsi="宋体" w:cs="宋体"/>
                <w:sz w:val="21"/>
                <w:szCs w:val="21"/>
              </w:rPr>
              <w:t>不需要用户掌握数据库知识，</w:t>
            </w:r>
            <w:r>
              <w:rPr>
                <w:rFonts w:ascii="宋体" w:hAnsi="宋体" w:cs="宋体"/>
                <w:sz w:val="21"/>
                <w:szCs w:val="21"/>
              </w:rPr>
              <w:t>并在个性化主页和移动端显示，同时可导出excel文件。</w:t>
            </w:r>
          </w:p>
          <w:p w14:paraId="65EC66BB">
            <w:pPr>
              <w:pStyle w:val="2"/>
              <w:spacing w:line="400" w:lineRule="exact"/>
              <w:ind w:firstLine="480"/>
              <w:rPr>
                <w:rFonts w:hint="eastAsia" w:ascii="宋体" w:hAnsi="宋体" w:cs="宋体"/>
                <w:sz w:val="21"/>
                <w:szCs w:val="21"/>
              </w:rPr>
            </w:pPr>
            <w:r>
              <w:rPr>
                <w:rFonts w:hint="eastAsia" w:ascii="宋体" w:hAnsi="宋体" w:cs="宋体"/>
                <w:sz w:val="21"/>
                <w:szCs w:val="21"/>
              </w:rPr>
              <w:t>（五）</w:t>
            </w:r>
            <w:r>
              <w:rPr>
                <w:rFonts w:ascii="宋体" w:hAnsi="宋体" w:cs="宋体"/>
                <w:sz w:val="21"/>
                <w:szCs w:val="21"/>
              </w:rPr>
              <w:t>移动办公。移动端在功能设计需与PC端功能一致，</w:t>
            </w:r>
            <w:r>
              <w:rPr>
                <w:rFonts w:hint="eastAsia" w:ascii="宋体" w:hAnsi="宋体" w:cs="宋体"/>
                <w:sz w:val="21"/>
                <w:szCs w:val="21"/>
              </w:rPr>
              <w:t>PC端构建的功能，自动生成多种界面，适合不同的移动端，</w:t>
            </w:r>
            <w:r>
              <w:rPr>
                <w:rFonts w:ascii="宋体" w:hAnsi="宋体" w:cs="宋体"/>
                <w:sz w:val="21"/>
                <w:szCs w:val="21"/>
              </w:rPr>
              <w:t>确保系统可实现移动办公功能。包含但不限于系统首页、我的工作台、业务管理、内部事项、内部邮件、政务信息、综合事项、资产管理、配置管理、领导日程、政务信息、平时考核、请休假管理、文件库管理、办公用品申请、意见箱</w:t>
            </w:r>
            <w:r>
              <w:rPr>
                <w:rFonts w:hint="eastAsia" w:ascii="宋体" w:hAnsi="宋体" w:cs="宋体"/>
                <w:sz w:val="21"/>
                <w:szCs w:val="21"/>
              </w:rPr>
              <w:t>、问卷调查</w:t>
            </w:r>
            <w:r>
              <w:rPr>
                <w:rFonts w:ascii="宋体" w:hAnsi="宋体" w:cs="宋体"/>
                <w:sz w:val="21"/>
                <w:szCs w:val="21"/>
              </w:rPr>
              <w:t>等功能，管理员可根据实际需要随时调整移动端可使用的功能</w:t>
            </w:r>
            <w:r>
              <w:rPr>
                <w:rFonts w:hint="eastAsia" w:ascii="宋体" w:hAnsi="宋体" w:cs="宋体"/>
                <w:sz w:val="21"/>
                <w:szCs w:val="21"/>
              </w:rPr>
              <w:t>，且支持移动端界面个性化调整</w:t>
            </w:r>
            <w:r>
              <w:rPr>
                <w:rFonts w:ascii="宋体" w:hAnsi="宋体" w:cs="宋体"/>
                <w:sz w:val="21"/>
                <w:szCs w:val="21"/>
              </w:rPr>
              <w:t>。</w:t>
            </w:r>
          </w:p>
          <w:p w14:paraId="77E5F6B6">
            <w:pPr>
              <w:pStyle w:val="2"/>
              <w:spacing w:line="400" w:lineRule="exact"/>
              <w:ind w:firstLine="480"/>
              <w:rPr>
                <w:rFonts w:hint="eastAsia" w:ascii="宋体" w:hAnsi="宋体" w:cs="宋体"/>
                <w:sz w:val="21"/>
                <w:szCs w:val="21"/>
              </w:rPr>
            </w:pPr>
            <w:r>
              <w:rPr>
                <w:rFonts w:hint="eastAsia" w:ascii="宋体" w:hAnsi="宋体" w:cs="宋体"/>
                <w:sz w:val="21"/>
                <w:szCs w:val="21"/>
              </w:rPr>
              <w:t>（六）</w:t>
            </w:r>
            <w:r>
              <w:rPr>
                <w:rFonts w:ascii="宋体" w:hAnsi="宋体" w:cs="宋体"/>
                <w:sz w:val="21"/>
                <w:szCs w:val="21"/>
              </w:rPr>
              <w:t>系统移动端与</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APP集成。实现界面、用户以及任务与数据的全面统一和互通共享。</w:t>
            </w:r>
          </w:p>
          <w:p w14:paraId="7832F8A9">
            <w:pPr>
              <w:pStyle w:val="2"/>
              <w:spacing w:line="400" w:lineRule="exact"/>
              <w:ind w:firstLine="480"/>
              <w:rPr>
                <w:rFonts w:hint="eastAsia" w:ascii="宋体" w:hAnsi="宋体" w:cs="宋体"/>
                <w:sz w:val="21"/>
                <w:szCs w:val="21"/>
              </w:rPr>
            </w:pPr>
            <w:r>
              <w:rPr>
                <w:rFonts w:hint="eastAsia" w:ascii="宋体" w:hAnsi="宋体" w:cs="宋体"/>
                <w:sz w:val="21"/>
                <w:szCs w:val="21"/>
              </w:rPr>
              <w:t>（七）</w:t>
            </w:r>
            <w:r>
              <w:rPr>
                <w:rFonts w:ascii="宋体" w:hAnsi="宋体" w:cs="宋体"/>
                <w:sz w:val="21"/>
                <w:szCs w:val="21"/>
              </w:rPr>
              <w:t>支持AI拓展功能</w:t>
            </w:r>
            <w:r>
              <w:rPr>
                <w:rFonts w:hint="eastAsia" w:ascii="宋体" w:hAnsi="宋体" w:cs="宋体"/>
                <w:sz w:val="21"/>
                <w:szCs w:val="21"/>
              </w:rPr>
              <w:t>：平台底层支持AI功能，可根据需要开发与流程深度结合的AI功能，可对接自有AI能力</w:t>
            </w:r>
            <w:r>
              <w:rPr>
                <w:rFonts w:ascii="宋体" w:hAnsi="宋体" w:cs="宋体"/>
                <w:sz w:val="21"/>
                <w:szCs w:val="21"/>
              </w:rPr>
              <w:t>。</w:t>
            </w:r>
          </w:p>
          <w:p w14:paraId="26407E40">
            <w:pPr>
              <w:pStyle w:val="2"/>
              <w:spacing w:line="400" w:lineRule="exact"/>
              <w:ind w:firstLine="480"/>
              <w:rPr>
                <w:rFonts w:hint="eastAsia" w:ascii="宋体" w:hAnsi="宋体" w:cs="宋体"/>
                <w:sz w:val="21"/>
                <w:szCs w:val="21"/>
              </w:rPr>
            </w:pPr>
            <w:r>
              <w:rPr>
                <w:rFonts w:ascii="宋体" w:hAnsi="宋体" w:cs="宋体"/>
                <w:sz w:val="21"/>
                <w:szCs w:val="21"/>
              </w:rPr>
              <w:t>▲三、广西壮族自治区生态环境厅电子档案管理应用</w:t>
            </w:r>
          </w:p>
          <w:p w14:paraId="1B71C3BC">
            <w:pPr>
              <w:pStyle w:val="2"/>
              <w:spacing w:line="400" w:lineRule="exact"/>
              <w:ind w:firstLine="480"/>
              <w:rPr>
                <w:rFonts w:hint="eastAsia" w:ascii="宋体" w:hAnsi="宋体" w:cs="宋体"/>
                <w:sz w:val="21"/>
                <w:szCs w:val="21"/>
              </w:rPr>
            </w:pPr>
            <w:r>
              <w:rPr>
                <w:rFonts w:ascii="宋体" w:hAnsi="宋体" w:cs="宋体"/>
                <w:sz w:val="21"/>
                <w:szCs w:val="21"/>
              </w:rPr>
              <w:t>实现生态环境厅电子档案管理应用，与综合业务管理系统相关流程无缝对接，与综办系统对接实现文件存档。</w:t>
            </w:r>
          </w:p>
          <w:p w14:paraId="117404FB">
            <w:pPr>
              <w:pStyle w:val="2"/>
              <w:spacing w:line="400" w:lineRule="exact"/>
              <w:ind w:firstLine="48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w:t>
            </w:r>
          </w:p>
          <w:p w14:paraId="62BEDD74">
            <w:pPr>
              <w:pStyle w:val="2"/>
              <w:spacing w:line="400" w:lineRule="exact"/>
              <w:ind w:firstLine="480"/>
              <w:rPr>
                <w:rFonts w:hint="eastAsia" w:ascii="宋体" w:hAnsi="宋体" w:cs="宋体"/>
                <w:sz w:val="21"/>
                <w:szCs w:val="21"/>
              </w:rPr>
            </w:pPr>
            <w:r>
              <w:rPr>
                <w:rFonts w:ascii="宋体" w:hAnsi="宋体" w:cs="宋体"/>
                <w:sz w:val="21"/>
                <w:szCs w:val="21"/>
              </w:rPr>
              <w:t>（一）电子文件推送接口</w:t>
            </w:r>
          </w:p>
          <w:p w14:paraId="56B6B71B">
            <w:pPr>
              <w:pStyle w:val="2"/>
              <w:spacing w:line="400" w:lineRule="exact"/>
              <w:ind w:firstLine="480"/>
              <w:rPr>
                <w:rFonts w:hint="eastAsia" w:ascii="宋体" w:hAnsi="宋体" w:cs="宋体"/>
                <w:sz w:val="21"/>
                <w:szCs w:val="21"/>
              </w:rPr>
            </w:pPr>
            <w:r>
              <w:rPr>
                <w:rFonts w:ascii="宋体" w:hAnsi="宋体" w:cs="宋体"/>
                <w:sz w:val="21"/>
                <w:szCs w:val="21"/>
              </w:rPr>
              <w:t>综合业务管理系统通过归档信息包方式，按批次定时或不定时推至档案管理系统，归档信息包中包含XML及电子原文及其元数据，档案管理系统对归档信息包进行解析、元数据匹配等，档案管理系统接到收集库进行规范化整理。</w:t>
            </w:r>
          </w:p>
          <w:p w14:paraId="3639FD9D">
            <w:pPr>
              <w:pStyle w:val="2"/>
              <w:spacing w:line="400" w:lineRule="exact"/>
              <w:ind w:firstLine="480"/>
              <w:rPr>
                <w:rFonts w:hint="eastAsia" w:ascii="宋体" w:hAnsi="宋体" w:cs="宋体"/>
                <w:sz w:val="21"/>
                <w:szCs w:val="21"/>
              </w:rPr>
            </w:pPr>
            <w:r>
              <w:rPr>
                <w:rFonts w:ascii="宋体" w:hAnsi="宋体" w:cs="宋体"/>
                <w:sz w:val="21"/>
                <w:szCs w:val="21"/>
              </w:rPr>
              <w:t>（二）电子档案归档管理</w:t>
            </w:r>
          </w:p>
          <w:p w14:paraId="7AF54F02">
            <w:pPr>
              <w:pStyle w:val="2"/>
              <w:spacing w:line="400" w:lineRule="exact"/>
              <w:ind w:firstLine="480"/>
              <w:rPr>
                <w:rFonts w:hint="eastAsia" w:ascii="宋体" w:hAnsi="宋体" w:cs="宋体"/>
                <w:sz w:val="21"/>
                <w:szCs w:val="21"/>
              </w:rPr>
            </w:pPr>
            <w:r>
              <w:rPr>
                <w:rFonts w:ascii="宋体" w:hAnsi="宋体" w:cs="宋体"/>
                <w:sz w:val="21"/>
                <w:szCs w:val="21"/>
              </w:rPr>
              <w:t>1.单位信息管理</w:t>
            </w:r>
          </w:p>
          <w:p w14:paraId="456EFF66">
            <w:pPr>
              <w:pStyle w:val="2"/>
              <w:spacing w:line="400" w:lineRule="exact"/>
              <w:ind w:firstLine="480"/>
              <w:rPr>
                <w:rFonts w:hint="eastAsia" w:ascii="宋体" w:hAnsi="宋体" w:cs="宋体"/>
                <w:sz w:val="21"/>
                <w:szCs w:val="21"/>
              </w:rPr>
            </w:pPr>
            <w:r>
              <w:rPr>
                <w:rFonts w:ascii="宋体" w:hAnsi="宋体" w:cs="宋体"/>
                <w:sz w:val="21"/>
                <w:szCs w:val="21"/>
              </w:rPr>
              <w:t>单位信息维护。对单位信息进行增、删、改、查、启用、禁用等管理。包括访问、查看全宗著录、新增单位、编辑单位、删除单位、新增全宗著录、编辑全宗著录、删除全宗著录、更改单位状态等。</w:t>
            </w:r>
          </w:p>
          <w:p w14:paraId="6269AB98">
            <w:pPr>
              <w:pStyle w:val="2"/>
              <w:spacing w:line="400" w:lineRule="exact"/>
              <w:ind w:firstLine="480"/>
              <w:rPr>
                <w:rFonts w:hint="eastAsia" w:ascii="宋体" w:hAnsi="宋体" w:cs="宋体"/>
                <w:sz w:val="21"/>
                <w:szCs w:val="21"/>
              </w:rPr>
            </w:pPr>
            <w:r>
              <w:rPr>
                <w:rFonts w:ascii="宋体" w:hAnsi="宋体" w:cs="宋体"/>
                <w:sz w:val="21"/>
                <w:szCs w:val="21"/>
              </w:rPr>
              <w:t>2.单位资料管理</w:t>
            </w:r>
          </w:p>
          <w:p w14:paraId="679729E5">
            <w:pPr>
              <w:pStyle w:val="2"/>
              <w:spacing w:line="400" w:lineRule="exact"/>
              <w:ind w:firstLine="480"/>
              <w:rPr>
                <w:rFonts w:hint="eastAsia" w:ascii="宋体" w:hAnsi="宋体" w:cs="宋体"/>
                <w:sz w:val="21"/>
                <w:szCs w:val="21"/>
              </w:rPr>
            </w:pPr>
            <w:r>
              <w:rPr>
                <w:rFonts w:ascii="宋体" w:hAnsi="宋体" w:cs="宋体"/>
                <w:sz w:val="21"/>
                <w:szCs w:val="21"/>
              </w:rPr>
              <w:t>（1）文件管理。</w:t>
            </w:r>
          </w:p>
          <w:p w14:paraId="10DD38A3">
            <w:pPr>
              <w:pStyle w:val="2"/>
              <w:spacing w:line="400" w:lineRule="exact"/>
              <w:ind w:firstLine="480"/>
              <w:rPr>
                <w:rFonts w:hint="eastAsia" w:ascii="宋体" w:hAnsi="宋体" w:cs="宋体"/>
                <w:sz w:val="21"/>
                <w:szCs w:val="21"/>
              </w:rPr>
            </w:pPr>
            <w:r>
              <w:rPr>
                <w:rFonts w:ascii="宋体" w:hAnsi="宋体" w:cs="宋体"/>
                <w:sz w:val="21"/>
                <w:szCs w:val="21"/>
              </w:rPr>
              <w:t>手动归档。包括访问、新增、编辑、删除、设置工作目录、取消标记、标记去处、工作目录、移</w:t>
            </w:r>
            <w:r>
              <w:rPr>
                <w:rFonts w:hint="eastAsia" w:ascii="宋体" w:hAnsi="宋体" w:cs="宋体"/>
                <w:sz w:val="21"/>
                <w:szCs w:val="21"/>
              </w:rPr>
              <w:t>动</w:t>
            </w:r>
            <w:r>
              <w:rPr>
                <w:rFonts w:ascii="宋体" w:hAnsi="宋体" w:cs="宋体"/>
                <w:sz w:val="21"/>
                <w:szCs w:val="21"/>
              </w:rPr>
              <w:t>、入库、批量编辑、补充字段、打印目录等。</w:t>
            </w:r>
          </w:p>
          <w:p w14:paraId="3D38DAA0">
            <w:pPr>
              <w:pStyle w:val="2"/>
              <w:spacing w:line="400" w:lineRule="exact"/>
              <w:ind w:firstLine="480"/>
              <w:rPr>
                <w:rFonts w:hint="eastAsia" w:ascii="宋体" w:hAnsi="宋体" w:cs="宋体"/>
                <w:sz w:val="21"/>
                <w:szCs w:val="21"/>
              </w:rPr>
            </w:pPr>
            <w:r>
              <w:rPr>
                <w:rFonts w:ascii="宋体" w:hAnsi="宋体" w:cs="宋体"/>
                <w:sz w:val="21"/>
                <w:szCs w:val="21"/>
              </w:rPr>
              <w:t>提交入库。包括访问、修改、删除、入库、管理密级、一键入库、标记入库、取消入库等。</w:t>
            </w:r>
          </w:p>
          <w:p w14:paraId="1C48054E">
            <w:pPr>
              <w:pStyle w:val="2"/>
              <w:spacing w:line="400" w:lineRule="exact"/>
              <w:ind w:firstLine="480"/>
              <w:rPr>
                <w:rFonts w:hint="eastAsia" w:ascii="宋体" w:hAnsi="宋体" w:cs="宋体"/>
                <w:sz w:val="21"/>
                <w:szCs w:val="21"/>
              </w:rPr>
            </w:pPr>
            <w:r>
              <w:rPr>
                <w:rFonts w:ascii="宋体" w:hAnsi="宋体" w:cs="宋体"/>
                <w:sz w:val="21"/>
                <w:szCs w:val="21"/>
              </w:rPr>
              <w:t>文件管理还包括新增、修改、删除、导入、导出、打印、移交明细、移交、接收、简单查询 、栏目检索、高级查询、设置归档标识、排序设置、按条件删除等功能。</w:t>
            </w:r>
          </w:p>
          <w:p w14:paraId="25AF3C55">
            <w:pPr>
              <w:pStyle w:val="2"/>
              <w:spacing w:line="400" w:lineRule="exact"/>
              <w:ind w:firstLine="480"/>
              <w:rPr>
                <w:rFonts w:hint="eastAsia" w:ascii="宋体" w:hAnsi="宋体" w:cs="宋体"/>
                <w:sz w:val="21"/>
                <w:szCs w:val="21"/>
              </w:rPr>
            </w:pPr>
            <w:r>
              <w:rPr>
                <w:rFonts w:ascii="宋体" w:hAnsi="宋体" w:cs="宋体"/>
                <w:sz w:val="21"/>
                <w:szCs w:val="21"/>
              </w:rPr>
              <w:t>（2）文件归档管理入库</w:t>
            </w:r>
          </w:p>
          <w:p w14:paraId="248E6777">
            <w:pPr>
              <w:pStyle w:val="2"/>
              <w:spacing w:line="400" w:lineRule="exact"/>
              <w:ind w:firstLine="480"/>
              <w:rPr>
                <w:rFonts w:hint="eastAsia" w:ascii="宋体" w:hAnsi="宋体" w:cs="宋体"/>
                <w:sz w:val="21"/>
                <w:szCs w:val="21"/>
              </w:rPr>
            </w:pPr>
            <w:r>
              <w:rPr>
                <w:rFonts w:ascii="宋体" w:hAnsi="宋体" w:cs="宋体"/>
                <w:sz w:val="21"/>
                <w:szCs w:val="21"/>
              </w:rPr>
              <w:t>档案人员可以在该模块对文件进行查看、修改、删除、入库、档案调整排序等操作。</w:t>
            </w:r>
          </w:p>
          <w:p w14:paraId="3EA7B114">
            <w:pPr>
              <w:pStyle w:val="2"/>
              <w:spacing w:line="400" w:lineRule="exact"/>
              <w:ind w:firstLine="480"/>
              <w:rPr>
                <w:rFonts w:hint="eastAsia" w:ascii="宋体" w:hAnsi="宋体" w:cs="宋体"/>
                <w:sz w:val="21"/>
                <w:szCs w:val="21"/>
              </w:rPr>
            </w:pPr>
            <w:r>
              <w:rPr>
                <w:rFonts w:ascii="宋体" w:hAnsi="宋体" w:cs="宋体"/>
                <w:sz w:val="21"/>
                <w:szCs w:val="21"/>
              </w:rPr>
              <w:t>（3）鉴定管理。包括文件密级鉴定和资料密级鉴定。对文件及资料进行访问、密级鉴定、批量鉴定、打印等操作。</w:t>
            </w:r>
          </w:p>
          <w:p w14:paraId="7A439D03">
            <w:pPr>
              <w:pStyle w:val="2"/>
              <w:spacing w:line="400" w:lineRule="exact"/>
              <w:ind w:firstLine="480"/>
              <w:rPr>
                <w:rFonts w:hint="eastAsia" w:ascii="宋体" w:hAnsi="宋体" w:cs="宋体"/>
                <w:sz w:val="21"/>
                <w:szCs w:val="21"/>
              </w:rPr>
            </w:pPr>
            <w:r>
              <w:rPr>
                <w:rFonts w:ascii="宋体" w:hAnsi="宋体" w:cs="宋体"/>
                <w:sz w:val="21"/>
                <w:szCs w:val="21"/>
              </w:rPr>
              <w:t>3.档案管理</w:t>
            </w:r>
          </w:p>
          <w:p w14:paraId="21B7F015">
            <w:pPr>
              <w:pStyle w:val="2"/>
              <w:spacing w:line="400" w:lineRule="exact"/>
              <w:ind w:firstLine="480"/>
              <w:rPr>
                <w:rFonts w:hint="eastAsia" w:ascii="宋体" w:hAnsi="宋体" w:cs="宋体"/>
                <w:sz w:val="21"/>
                <w:szCs w:val="21"/>
              </w:rPr>
            </w:pPr>
            <w:r>
              <w:rPr>
                <w:rFonts w:ascii="宋体" w:hAnsi="宋体" w:cs="宋体"/>
                <w:sz w:val="21"/>
                <w:szCs w:val="21"/>
              </w:rPr>
              <w:t>（1）归档管理。对归档后的档案数据进行管理，包括按新增、修改、删除、高级查询、自定义排序、导入、导出、目录打印、批量修改、编制档号、插件、移交归档、移交明细、档案调整、归档入库等。</w:t>
            </w:r>
          </w:p>
          <w:p w14:paraId="1B41C074">
            <w:pPr>
              <w:pStyle w:val="2"/>
              <w:spacing w:line="400" w:lineRule="exact"/>
              <w:ind w:firstLine="480"/>
              <w:rPr>
                <w:rFonts w:hint="eastAsia" w:ascii="宋体" w:hAnsi="宋体" w:cs="宋体"/>
                <w:sz w:val="21"/>
                <w:szCs w:val="21"/>
              </w:rPr>
            </w:pPr>
            <w:r>
              <w:rPr>
                <w:rFonts w:ascii="宋体" w:hAnsi="宋体" w:cs="宋体"/>
                <w:sz w:val="21"/>
                <w:szCs w:val="21"/>
              </w:rPr>
              <w:t>（2）案卷管理。对案卷的档案数据进行管理，系统支持新增、删除、修改案卷数据，提供组卷、拆卷、合卷、插件、卷内档号更新、卷内文件新增、卷内文件修改、卷内文件-删除、高级检索、复制录入、导入导出、目录打印、批量修改、排序设置、入库等。</w:t>
            </w:r>
          </w:p>
          <w:p w14:paraId="1F35B44F">
            <w:pPr>
              <w:pStyle w:val="2"/>
              <w:spacing w:line="400" w:lineRule="exact"/>
              <w:ind w:firstLine="480"/>
              <w:rPr>
                <w:rFonts w:hint="eastAsia" w:ascii="宋体" w:hAnsi="宋体" w:cs="宋体"/>
                <w:sz w:val="21"/>
                <w:szCs w:val="21"/>
              </w:rPr>
            </w:pPr>
            <w:r>
              <w:rPr>
                <w:rFonts w:ascii="宋体" w:hAnsi="宋体" w:cs="宋体"/>
                <w:sz w:val="21"/>
                <w:szCs w:val="21"/>
              </w:rPr>
              <w:t>（3）鉴定管理。包括访问、密级鉴定、批量鉴定、打印、鉴定记录等。支持对档案进行开放鉴定，在流程审批单中可选择开放或控制，开放后的档案可以被检索和调阅。</w:t>
            </w:r>
          </w:p>
          <w:p w14:paraId="13BE7B10">
            <w:pPr>
              <w:pStyle w:val="2"/>
              <w:spacing w:line="400" w:lineRule="exact"/>
              <w:ind w:firstLine="480"/>
              <w:rPr>
                <w:rFonts w:hint="eastAsia" w:ascii="宋体" w:hAnsi="宋体" w:cs="宋体"/>
                <w:sz w:val="21"/>
                <w:szCs w:val="21"/>
              </w:rPr>
            </w:pPr>
            <w:r>
              <w:rPr>
                <w:rFonts w:ascii="宋体" w:hAnsi="宋体" w:cs="宋体"/>
                <w:sz w:val="21"/>
                <w:szCs w:val="21"/>
              </w:rPr>
              <w:t>4.查询利用。包括档案查询、综合查询、</w:t>
            </w:r>
            <w:r>
              <w:rPr>
                <w:rFonts w:hint="eastAsia" w:ascii="宋体" w:hAnsi="宋体" w:cs="宋体"/>
                <w:sz w:val="21"/>
                <w:szCs w:val="21"/>
              </w:rPr>
              <w:t>电子文件</w:t>
            </w:r>
            <w:r>
              <w:rPr>
                <w:rFonts w:ascii="宋体" w:hAnsi="宋体" w:cs="宋体"/>
                <w:sz w:val="21"/>
                <w:szCs w:val="21"/>
              </w:rPr>
              <w:t>查阅管理、查借阅管理等。</w:t>
            </w:r>
          </w:p>
          <w:p w14:paraId="2C56A225">
            <w:pPr>
              <w:pStyle w:val="2"/>
              <w:spacing w:line="400" w:lineRule="exact"/>
              <w:ind w:firstLine="480"/>
              <w:rPr>
                <w:rFonts w:hint="eastAsia" w:ascii="宋体" w:hAnsi="宋体" w:cs="宋体"/>
                <w:sz w:val="21"/>
                <w:szCs w:val="21"/>
              </w:rPr>
            </w:pPr>
            <w:r>
              <w:rPr>
                <w:rFonts w:ascii="宋体" w:hAnsi="宋体" w:cs="宋体"/>
                <w:sz w:val="21"/>
                <w:szCs w:val="21"/>
              </w:rPr>
              <w:t>5.统计分析。包括归档统计、</w:t>
            </w:r>
            <w:r>
              <w:rPr>
                <w:rFonts w:hint="eastAsia" w:ascii="宋体" w:hAnsi="宋体" w:cs="宋体"/>
                <w:sz w:val="21"/>
                <w:szCs w:val="21"/>
              </w:rPr>
              <w:t>电子文件</w:t>
            </w:r>
            <w:r>
              <w:rPr>
                <w:rFonts w:ascii="宋体" w:hAnsi="宋体" w:cs="宋体"/>
                <w:sz w:val="21"/>
                <w:szCs w:val="21"/>
              </w:rPr>
              <w:t>统计、</w:t>
            </w:r>
            <w:r>
              <w:rPr>
                <w:rFonts w:hint="eastAsia" w:ascii="宋体" w:hAnsi="宋体" w:cs="宋体"/>
                <w:sz w:val="21"/>
                <w:szCs w:val="21"/>
              </w:rPr>
              <w:t>电子文件</w:t>
            </w:r>
            <w:r>
              <w:rPr>
                <w:rFonts w:ascii="宋体" w:hAnsi="宋体" w:cs="宋体"/>
                <w:sz w:val="21"/>
                <w:szCs w:val="21"/>
              </w:rPr>
              <w:t>汇总、</w:t>
            </w:r>
            <w:r>
              <w:rPr>
                <w:rFonts w:hint="eastAsia" w:ascii="宋体" w:hAnsi="宋体" w:cs="宋体"/>
                <w:sz w:val="21"/>
                <w:szCs w:val="21"/>
              </w:rPr>
              <w:t>电子文件</w:t>
            </w:r>
            <w:r>
              <w:rPr>
                <w:rFonts w:ascii="宋体" w:hAnsi="宋体" w:cs="宋体"/>
                <w:sz w:val="21"/>
                <w:szCs w:val="21"/>
              </w:rPr>
              <w:t>利用统计、涉密统计、容量统计、档基表、年度档案存量表</w:t>
            </w:r>
            <w:r>
              <w:rPr>
                <w:rFonts w:hint="eastAsia" w:ascii="宋体" w:hAnsi="宋体" w:cs="宋体"/>
                <w:sz w:val="21"/>
                <w:szCs w:val="21"/>
              </w:rPr>
              <w:t>、国家档案局的统计年报：档案室基本情况年报、档案室电子档案基本情况年报</w:t>
            </w:r>
            <w:r>
              <w:rPr>
                <w:rFonts w:ascii="宋体" w:hAnsi="宋体" w:cs="宋体"/>
                <w:sz w:val="21"/>
                <w:szCs w:val="21"/>
              </w:rPr>
              <w:t>等。</w:t>
            </w:r>
          </w:p>
          <w:p w14:paraId="2BC06CED">
            <w:pPr>
              <w:pStyle w:val="2"/>
              <w:spacing w:line="400" w:lineRule="exact"/>
              <w:ind w:firstLine="480"/>
              <w:rPr>
                <w:rFonts w:hint="eastAsia" w:ascii="宋体" w:hAnsi="宋体" w:cs="宋体"/>
                <w:sz w:val="21"/>
                <w:szCs w:val="21"/>
              </w:rPr>
            </w:pPr>
            <w:r>
              <w:rPr>
                <w:rFonts w:ascii="宋体" w:hAnsi="宋体" w:cs="宋体"/>
                <w:sz w:val="21"/>
                <w:szCs w:val="21"/>
              </w:rPr>
              <w:t>6.系统设置。包括用户管理、档号</w:t>
            </w:r>
            <w:r>
              <w:rPr>
                <w:rFonts w:hint="eastAsia" w:ascii="宋体" w:hAnsi="宋体" w:cs="宋体"/>
                <w:sz w:val="21"/>
                <w:szCs w:val="21"/>
              </w:rPr>
              <w:t>编制规则</w:t>
            </w:r>
            <w:r>
              <w:rPr>
                <w:rFonts w:ascii="宋体" w:hAnsi="宋体" w:cs="宋体"/>
                <w:sz w:val="21"/>
                <w:szCs w:val="21"/>
              </w:rPr>
              <w:t>、</w:t>
            </w:r>
            <w:r>
              <w:rPr>
                <w:rFonts w:hint="eastAsia" w:ascii="宋体" w:hAnsi="宋体" w:cs="宋体"/>
                <w:sz w:val="21"/>
                <w:szCs w:val="21"/>
              </w:rPr>
              <w:t>预</w:t>
            </w:r>
            <w:r>
              <w:rPr>
                <w:rFonts w:ascii="宋体" w:hAnsi="宋体" w:cs="宋体"/>
                <w:sz w:val="21"/>
                <w:szCs w:val="21"/>
              </w:rPr>
              <w:t>归档预设置、报表管理、组织管理、权限管理、分类维护、功能管理、模板维护管理、移交管理、接收管理、字典管理、日志管理、回收站、图标管理、链接管理、四性检测管理、</w:t>
            </w:r>
            <w:r>
              <w:rPr>
                <w:rFonts w:hint="eastAsia" w:ascii="宋体" w:hAnsi="宋体" w:cs="宋体"/>
                <w:sz w:val="21"/>
                <w:szCs w:val="21"/>
              </w:rPr>
              <w:t>保管期限到期档案流程管理,</w:t>
            </w:r>
            <w:r>
              <w:rPr>
                <w:rFonts w:ascii="宋体" w:hAnsi="宋体" w:cs="宋体"/>
                <w:sz w:val="21"/>
                <w:szCs w:val="21"/>
              </w:rPr>
              <w:t>归档范围及保管期限表等。</w:t>
            </w:r>
          </w:p>
          <w:p w14:paraId="78C4D962">
            <w:pPr>
              <w:pStyle w:val="2"/>
              <w:spacing w:line="400" w:lineRule="exact"/>
              <w:ind w:firstLine="480"/>
              <w:rPr>
                <w:rFonts w:hint="eastAsia" w:ascii="宋体" w:hAnsi="宋体" w:cs="宋体"/>
                <w:sz w:val="21"/>
                <w:szCs w:val="21"/>
              </w:rPr>
            </w:pPr>
            <w:r>
              <w:rPr>
                <w:rFonts w:ascii="宋体" w:hAnsi="宋体" w:cs="宋体"/>
                <w:sz w:val="21"/>
                <w:szCs w:val="21"/>
              </w:rPr>
              <w:t>（三）电子文件数据包管理</w:t>
            </w:r>
          </w:p>
          <w:p w14:paraId="2F0A0CE5">
            <w:pPr>
              <w:pStyle w:val="2"/>
              <w:spacing w:line="400" w:lineRule="exact"/>
              <w:ind w:firstLine="480"/>
              <w:rPr>
                <w:rFonts w:hint="eastAsia" w:ascii="宋体" w:hAnsi="宋体" w:cs="宋体"/>
                <w:sz w:val="21"/>
                <w:szCs w:val="21"/>
              </w:rPr>
            </w:pPr>
            <w:r>
              <w:rPr>
                <w:rFonts w:ascii="宋体" w:hAnsi="宋体" w:cs="宋体"/>
                <w:sz w:val="21"/>
                <w:szCs w:val="21"/>
              </w:rPr>
              <w:t>1.数据</w:t>
            </w:r>
            <w:r>
              <w:rPr>
                <w:rFonts w:hint="eastAsia" w:ascii="宋体" w:hAnsi="宋体" w:cs="宋体"/>
                <w:sz w:val="21"/>
                <w:szCs w:val="21"/>
              </w:rPr>
              <w:t>防篡改</w:t>
            </w:r>
          </w:p>
          <w:p w14:paraId="3617D3DA">
            <w:pPr>
              <w:pStyle w:val="2"/>
              <w:spacing w:line="400" w:lineRule="exact"/>
              <w:ind w:firstLine="480"/>
              <w:rPr>
                <w:rFonts w:hint="eastAsia" w:ascii="宋体" w:hAnsi="宋体" w:cs="宋体"/>
                <w:sz w:val="21"/>
                <w:szCs w:val="21"/>
              </w:rPr>
            </w:pPr>
            <w:r>
              <w:rPr>
                <w:rFonts w:ascii="宋体" w:hAnsi="宋体" w:cs="宋体"/>
                <w:sz w:val="21"/>
                <w:szCs w:val="21"/>
              </w:rPr>
              <w:t>利用多种技术手段确保档案数据安全，通过数字水印、权限控制、传输加密、分级授权等安全措施防止数据丢失和信息扩散,防止数据包文件被篡改。</w:t>
            </w:r>
          </w:p>
          <w:p w14:paraId="0DD84670">
            <w:pPr>
              <w:pStyle w:val="2"/>
              <w:spacing w:line="400" w:lineRule="exact"/>
              <w:ind w:firstLine="480"/>
              <w:rPr>
                <w:rFonts w:hint="eastAsia" w:ascii="宋体" w:hAnsi="宋体" w:cs="宋体"/>
                <w:sz w:val="21"/>
                <w:szCs w:val="21"/>
              </w:rPr>
            </w:pPr>
            <w:r>
              <w:rPr>
                <w:rFonts w:ascii="宋体" w:hAnsi="宋体" w:cs="宋体"/>
                <w:sz w:val="21"/>
                <w:szCs w:val="21"/>
              </w:rPr>
              <w:t>2.数据</w:t>
            </w:r>
            <w:r>
              <w:rPr>
                <w:rFonts w:hint="eastAsia" w:ascii="宋体" w:hAnsi="宋体" w:cs="宋体"/>
                <w:sz w:val="21"/>
                <w:szCs w:val="21"/>
              </w:rPr>
              <w:t>导出</w:t>
            </w:r>
          </w:p>
          <w:p w14:paraId="695EA1DD">
            <w:pPr>
              <w:pStyle w:val="2"/>
              <w:spacing w:line="400" w:lineRule="exact"/>
              <w:ind w:firstLine="480"/>
              <w:rPr>
                <w:rFonts w:hint="eastAsia" w:ascii="宋体" w:hAnsi="宋体" w:cs="宋体"/>
                <w:sz w:val="21"/>
                <w:szCs w:val="21"/>
              </w:rPr>
            </w:pPr>
            <w:r>
              <w:rPr>
                <w:rFonts w:ascii="宋体" w:hAnsi="宋体" w:cs="宋体"/>
                <w:sz w:val="21"/>
                <w:szCs w:val="21"/>
              </w:rPr>
              <w:t>支持档案条目和电子原文直接导出，条目信息导出为Excel，电子原文导出到文件夹中（支持按卷导出或按件导出），并整体打包为数据包,可将数据包移交至档案馆。</w:t>
            </w:r>
          </w:p>
          <w:p w14:paraId="75299EEA">
            <w:pPr>
              <w:pStyle w:val="2"/>
              <w:spacing w:line="400" w:lineRule="exact"/>
              <w:ind w:firstLine="480"/>
              <w:rPr>
                <w:rFonts w:hint="eastAsia" w:ascii="宋体" w:hAnsi="宋体" w:cs="宋体"/>
                <w:sz w:val="21"/>
                <w:szCs w:val="21"/>
              </w:rPr>
            </w:pPr>
            <w:r>
              <w:rPr>
                <w:rFonts w:ascii="宋体" w:hAnsi="宋体" w:cs="宋体"/>
                <w:sz w:val="21"/>
                <w:szCs w:val="21"/>
              </w:rPr>
              <w:t>（四）</w:t>
            </w:r>
            <w:bookmarkStart w:id="67" w:name="OLE_LINK12"/>
            <w:r>
              <w:rPr>
                <w:rFonts w:ascii="宋体" w:hAnsi="宋体" w:cs="宋体"/>
                <w:sz w:val="21"/>
                <w:szCs w:val="21"/>
              </w:rPr>
              <w:t>四性检测</w:t>
            </w:r>
            <w:bookmarkEnd w:id="67"/>
          </w:p>
          <w:p w14:paraId="727ABF17">
            <w:pPr>
              <w:pStyle w:val="2"/>
              <w:spacing w:line="400" w:lineRule="exact"/>
              <w:ind w:firstLine="480"/>
              <w:rPr>
                <w:rFonts w:hint="eastAsia" w:ascii="宋体" w:hAnsi="宋体" w:cs="宋体"/>
                <w:sz w:val="21"/>
                <w:szCs w:val="21"/>
              </w:rPr>
            </w:pPr>
            <w:r>
              <w:rPr>
                <w:rFonts w:ascii="宋体" w:hAnsi="宋体" w:cs="宋体"/>
                <w:sz w:val="21"/>
                <w:szCs w:val="21"/>
              </w:rPr>
              <w:t>1.四性检测指标项设置</w:t>
            </w:r>
          </w:p>
          <w:p w14:paraId="1DDBDEC4">
            <w:pPr>
              <w:pStyle w:val="2"/>
              <w:spacing w:line="400" w:lineRule="exact"/>
              <w:ind w:firstLine="480"/>
              <w:rPr>
                <w:rFonts w:hint="eastAsia" w:ascii="宋体" w:hAnsi="宋体" w:cs="宋体"/>
                <w:sz w:val="21"/>
                <w:szCs w:val="21"/>
              </w:rPr>
            </w:pPr>
            <w:r>
              <w:rPr>
                <w:rFonts w:hint="eastAsia" w:ascii="宋体" w:hAnsi="宋体" w:cs="宋体"/>
                <w:sz w:val="21"/>
                <w:szCs w:val="21"/>
              </w:rPr>
              <w:t>可根据</w:t>
            </w:r>
            <w:r>
              <w:rPr>
                <w:rFonts w:ascii="宋体" w:hAnsi="宋体" w:cs="宋体"/>
                <w:sz w:val="21"/>
                <w:szCs w:val="21"/>
              </w:rPr>
              <w:t>《文书类电子档案检测一般要求》DA/T 70 - 2018设置各环节四性检测指标，并对指标进行增、删、改、查等管理。</w:t>
            </w:r>
          </w:p>
          <w:p w14:paraId="06072F95">
            <w:pPr>
              <w:pStyle w:val="2"/>
              <w:spacing w:line="400" w:lineRule="exact"/>
              <w:ind w:firstLine="480"/>
              <w:rPr>
                <w:rFonts w:hint="eastAsia" w:ascii="宋体" w:hAnsi="宋体" w:cs="宋体"/>
                <w:sz w:val="21"/>
                <w:szCs w:val="21"/>
              </w:rPr>
            </w:pPr>
            <w:r>
              <w:rPr>
                <w:rFonts w:ascii="宋体" w:hAnsi="宋体" w:cs="宋体"/>
                <w:sz w:val="21"/>
                <w:szCs w:val="21"/>
              </w:rPr>
              <w:t>2.四性检测及报告导出</w:t>
            </w:r>
          </w:p>
          <w:p w14:paraId="176FFB47">
            <w:pPr>
              <w:pStyle w:val="2"/>
              <w:spacing w:line="400" w:lineRule="exact"/>
              <w:ind w:firstLine="480"/>
              <w:rPr>
                <w:rFonts w:hint="eastAsia" w:ascii="宋体" w:hAnsi="宋体" w:cs="宋体"/>
                <w:sz w:val="21"/>
                <w:szCs w:val="21"/>
              </w:rPr>
            </w:pPr>
            <w:r>
              <w:rPr>
                <w:rFonts w:ascii="宋体" w:hAnsi="宋体" w:cs="宋体"/>
                <w:sz w:val="21"/>
                <w:szCs w:val="21"/>
              </w:rPr>
              <w:t>对检测的内容生成四性检测报告并可对检测报告进行导出、打印等操作。</w:t>
            </w:r>
          </w:p>
          <w:p w14:paraId="7EC7B357">
            <w:pPr>
              <w:pStyle w:val="2"/>
              <w:spacing w:line="400" w:lineRule="exact"/>
              <w:ind w:firstLine="480"/>
              <w:rPr>
                <w:rFonts w:hint="eastAsia" w:ascii="宋体" w:hAnsi="宋体" w:cs="宋体"/>
                <w:sz w:val="21"/>
                <w:szCs w:val="21"/>
              </w:rPr>
            </w:pPr>
            <w:r>
              <w:rPr>
                <w:rFonts w:ascii="宋体" w:hAnsi="宋体" w:cs="宋体"/>
                <w:sz w:val="21"/>
                <w:szCs w:val="21"/>
              </w:rPr>
              <w:t>3.四性检测日志查看及导出</w:t>
            </w:r>
          </w:p>
          <w:p w14:paraId="4D731617">
            <w:pPr>
              <w:pStyle w:val="2"/>
              <w:spacing w:line="400" w:lineRule="exact"/>
              <w:ind w:firstLine="480"/>
              <w:rPr>
                <w:rFonts w:hint="eastAsia" w:ascii="宋体" w:hAnsi="宋体" w:cs="宋体"/>
                <w:sz w:val="21"/>
                <w:szCs w:val="21"/>
              </w:rPr>
            </w:pPr>
            <w:r>
              <w:rPr>
                <w:rFonts w:ascii="宋体" w:hAnsi="宋体" w:cs="宋体"/>
                <w:sz w:val="21"/>
                <w:szCs w:val="21"/>
              </w:rPr>
              <w:t>对四性检测操作生成四性检测日志，并可对日志进行导出等操作。</w:t>
            </w:r>
          </w:p>
          <w:p w14:paraId="076FDBFE">
            <w:pPr>
              <w:pStyle w:val="2"/>
              <w:spacing w:line="400" w:lineRule="exact"/>
              <w:ind w:firstLine="480"/>
              <w:rPr>
                <w:rFonts w:hint="eastAsia" w:ascii="宋体" w:hAnsi="宋体" w:cs="宋体"/>
                <w:sz w:val="21"/>
                <w:szCs w:val="21"/>
              </w:rPr>
            </w:pPr>
            <w:r>
              <w:rPr>
                <w:rFonts w:ascii="宋体" w:hAnsi="宋体" w:cs="宋体"/>
                <w:sz w:val="21"/>
                <w:szCs w:val="21"/>
              </w:rPr>
              <w:t>（五）电子档案OCR</w:t>
            </w:r>
          </w:p>
          <w:p w14:paraId="3CEF0B28">
            <w:pPr>
              <w:pStyle w:val="2"/>
              <w:spacing w:line="400" w:lineRule="exact"/>
              <w:ind w:firstLine="480"/>
              <w:rPr>
                <w:rFonts w:hint="eastAsia" w:ascii="宋体" w:hAnsi="宋体" w:cs="宋体"/>
                <w:sz w:val="21"/>
                <w:szCs w:val="21"/>
              </w:rPr>
            </w:pPr>
            <w:r>
              <w:rPr>
                <w:rFonts w:ascii="宋体" w:hAnsi="宋体" w:cs="宋体"/>
                <w:sz w:val="21"/>
                <w:szCs w:val="21"/>
              </w:rPr>
              <w:t>支持识别全文信息，执行OCR全文识别。保存全文信息，保存识别到的OCR全文信息。全文信息关联，通过检索识别到的全文信息内容找到对应的档案条目及电子文件。</w:t>
            </w:r>
          </w:p>
          <w:p w14:paraId="1A3B2E20">
            <w:pPr>
              <w:pStyle w:val="2"/>
              <w:spacing w:line="400" w:lineRule="exact"/>
              <w:ind w:firstLine="480"/>
              <w:rPr>
                <w:rFonts w:hint="eastAsia" w:ascii="宋体" w:hAnsi="宋体" w:cs="宋体"/>
                <w:sz w:val="21"/>
                <w:szCs w:val="21"/>
              </w:rPr>
            </w:pPr>
            <w:r>
              <w:rPr>
                <w:rFonts w:ascii="宋体" w:hAnsi="宋体" w:cs="宋体"/>
                <w:sz w:val="21"/>
                <w:szCs w:val="21"/>
              </w:rPr>
              <w:t>（六）全文检索</w:t>
            </w:r>
          </w:p>
          <w:p w14:paraId="03B73B6F">
            <w:pPr>
              <w:pStyle w:val="2"/>
              <w:spacing w:line="400" w:lineRule="exact"/>
              <w:ind w:firstLine="480"/>
              <w:rPr>
                <w:rFonts w:hint="eastAsia" w:ascii="宋体" w:hAnsi="宋体" w:cs="宋体"/>
                <w:sz w:val="21"/>
                <w:szCs w:val="21"/>
              </w:rPr>
            </w:pPr>
            <w:r>
              <w:rPr>
                <w:rFonts w:ascii="宋体" w:hAnsi="宋体" w:cs="宋体"/>
                <w:sz w:val="21"/>
                <w:szCs w:val="21"/>
              </w:rPr>
              <w:t>1.支持关键词检索，支持检索联想。支持对图片类型、office文件进行ocr识别后实现全文检索。</w:t>
            </w:r>
          </w:p>
          <w:p w14:paraId="481042B5">
            <w:pPr>
              <w:pStyle w:val="2"/>
              <w:spacing w:line="400" w:lineRule="exact"/>
              <w:ind w:firstLine="480"/>
              <w:rPr>
                <w:rFonts w:hint="eastAsia" w:ascii="宋体" w:hAnsi="宋体" w:cs="宋体"/>
                <w:sz w:val="21"/>
                <w:szCs w:val="21"/>
              </w:rPr>
            </w:pPr>
            <w:r>
              <w:rPr>
                <w:rFonts w:ascii="宋体" w:hAnsi="宋体" w:cs="宋体"/>
                <w:sz w:val="21"/>
                <w:szCs w:val="21"/>
              </w:rPr>
              <w:t>2.支持跨门类、跨字段检索；支持同步进行原文检索。支持结果中检索，支持按照全宗、门类、日期等条件进行二次筛选。</w:t>
            </w:r>
          </w:p>
          <w:p w14:paraId="06BF4854">
            <w:pPr>
              <w:pStyle w:val="2"/>
              <w:spacing w:line="400" w:lineRule="exact"/>
              <w:ind w:firstLine="480"/>
              <w:rPr>
                <w:rFonts w:hint="eastAsia" w:ascii="宋体" w:hAnsi="宋体" w:cs="宋体"/>
                <w:sz w:val="21"/>
                <w:szCs w:val="21"/>
              </w:rPr>
            </w:pPr>
            <w:r>
              <w:rPr>
                <w:rFonts w:ascii="宋体" w:hAnsi="宋体" w:cs="宋体"/>
                <w:sz w:val="21"/>
                <w:szCs w:val="21"/>
              </w:rPr>
              <w:t>3.支持按照预归档库、接收库、管理库分库检索。支持相关度、创建日期、文件日期进行排序。</w:t>
            </w:r>
          </w:p>
          <w:p w14:paraId="57D76C36">
            <w:pPr>
              <w:pStyle w:val="2"/>
              <w:spacing w:line="400" w:lineRule="exact"/>
              <w:ind w:firstLine="480"/>
              <w:rPr>
                <w:rFonts w:hint="eastAsia" w:ascii="宋体" w:hAnsi="宋体" w:cs="宋体"/>
                <w:sz w:val="21"/>
                <w:szCs w:val="21"/>
              </w:rPr>
            </w:pPr>
            <w:r>
              <w:rPr>
                <w:rFonts w:ascii="宋体" w:hAnsi="宋体" w:cs="宋体"/>
                <w:sz w:val="21"/>
                <w:szCs w:val="21"/>
              </w:rPr>
              <w:t>4.系统管理。包括用户管理、权限管理、日志管理。</w:t>
            </w:r>
          </w:p>
          <w:p w14:paraId="2A408200">
            <w:pPr>
              <w:pStyle w:val="2"/>
              <w:spacing w:line="400" w:lineRule="exact"/>
              <w:ind w:firstLine="480"/>
              <w:rPr>
                <w:rFonts w:hint="eastAsia" w:ascii="宋体" w:hAnsi="宋体" w:cs="宋体"/>
                <w:sz w:val="21"/>
                <w:szCs w:val="21"/>
              </w:rPr>
            </w:pPr>
            <w:r>
              <w:rPr>
                <w:rFonts w:ascii="宋体" w:hAnsi="宋体" w:cs="宋体"/>
                <w:sz w:val="21"/>
                <w:szCs w:val="21"/>
              </w:rPr>
              <w:t>（七）采购软件</w:t>
            </w:r>
          </w:p>
          <w:p w14:paraId="5D1E4193">
            <w:pPr>
              <w:pStyle w:val="2"/>
              <w:spacing w:line="400" w:lineRule="exact"/>
              <w:ind w:firstLine="480"/>
              <w:rPr>
                <w:rFonts w:hint="eastAsia" w:ascii="宋体" w:hAnsi="宋体" w:cs="宋体"/>
                <w:sz w:val="21"/>
                <w:szCs w:val="21"/>
              </w:rPr>
            </w:pPr>
            <w:r>
              <w:rPr>
                <w:rFonts w:ascii="宋体" w:hAnsi="宋体" w:cs="宋体"/>
                <w:sz w:val="21"/>
                <w:szCs w:val="21"/>
              </w:rPr>
              <w:t>OFD格式转换软件1套、在线预览及在线编辑软件1套。</w:t>
            </w:r>
          </w:p>
          <w:p w14:paraId="5EB0872A">
            <w:pPr>
              <w:pStyle w:val="2"/>
              <w:spacing w:line="400" w:lineRule="exact"/>
              <w:ind w:firstLine="480"/>
              <w:rPr>
                <w:rFonts w:hint="eastAsia" w:ascii="宋体" w:hAnsi="宋体" w:cs="宋体"/>
                <w:sz w:val="21"/>
                <w:szCs w:val="21"/>
              </w:rPr>
            </w:pPr>
            <w:r>
              <w:rPr>
                <w:rFonts w:ascii="宋体" w:hAnsi="宋体" w:cs="宋体"/>
                <w:sz w:val="21"/>
                <w:szCs w:val="21"/>
              </w:rPr>
              <w:t>OFD格式转换软件：支持将TXT、RTF、WPS、DPS、UOS、UOP、PDF、DOC/DOCX、XLS/XLSX、PPT/PPTX、HTML、XLSM、DWG、CEB/CEBX、各类图片等多种格式文档转换为OFD格式。</w:t>
            </w:r>
          </w:p>
          <w:p w14:paraId="6239B12D">
            <w:pPr>
              <w:pStyle w:val="2"/>
              <w:spacing w:line="400" w:lineRule="exact"/>
              <w:ind w:firstLine="480"/>
              <w:rPr>
                <w:rFonts w:hint="eastAsia" w:ascii="宋体" w:hAnsi="宋体" w:cs="宋体"/>
                <w:sz w:val="21"/>
                <w:szCs w:val="21"/>
              </w:rPr>
            </w:pPr>
            <w:r>
              <w:rPr>
                <w:rFonts w:ascii="宋体" w:hAnsi="宋体" w:cs="宋体"/>
                <w:sz w:val="21"/>
                <w:szCs w:val="21"/>
              </w:rPr>
              <w:t>在线预览及在线编辑软件：提供在线预览、在线编辑、多人协同编辑、动态水印保护、文件拆分合并等一体化文档基础服务。可嵌入系统，支持多人、多设备同时在线编辑文档，支持主流流式文档格式，满足了个人以及企业用户流式文档的在线预览、编辑等文档协作的需求。</w:t>
            </w:r>
          </w:p>
          <w:p w14:paraId="7E14A99F">
            <w:pPr>
              <w:pStyle w:val="2"/>
              <w:spacing w:line="400" w:lineRule="exact"/>
              <w:ind w:firstLine="480"/>
              <w:rPr>
                <w:rFonts w:hint="eastAsia" w:ascii="宋体" w:hAnsi="宋体" w:cs="宋体"/>
                <w:sz w:val="21"/>
                <w:szCs w:val="21"/>
              </w:rPr>
            </w:pPr>
            <w:r>
              <w:rPr>
                <w:rFonts w:ascii="宋体" w:hAnsi="宋体" w:cs="宋体"/>
                <w:sz w:val="21"/>
                <w:szCs w:val="21"/>
              </w:rPr>
              <w:t>所支持文件格式</w:t>
            </w:r>
          </w:p>
          <w:p w14:paraId="282DF5DD">
            <w:pPr>
              <w:pStyle w:val="2"/>
              <w:spacing w:line="400" w:lineRule="exact"/>
              <w:ind w:firstLine="480"/>
              <w:rPr>
                <w:rFonts w:hint="eastAsia" w:ascii="宋体" w:hAnsi="宋体" w:cs="宋体"/>
                <w:sz w:val="21"/>
                <w:szCs w:val="21"/>
              </w:rPr>
            </w:pPr>
            <w:r>
              <w:rPr>
                <w:rFonts w:ascii="宋体" w:hAnsi="宋体" w:cs="宋体"/>
                <w:sz w:val="21"/>
                <w:szCs w:val="21"/>
              </w:rPr>
              <w:t>文字文件：docx、doc、wps、dot、wpt、docx、dotx、docm、dotm、pdf</w:t>
            </w:r>
          </w:p>
          <w:p w14:paraId="08E0624A">
            <w:pPr>
              <w:pStyle w:val="2"/>
              <w:spacing w:line="400" w:lineRule="exact"/>
              <w:ind w:firstLine="480"/>
              <w:rPr>
                <w:rFonts w:hint="eastAsia" w:ascii="宋体" w:hAnsi="宋体" w:cs="宋体"/>
                <w:sz w:val="21"/>
                <w:szCs w:val="21"/>
              </w:rPr>
            </w:pPr>
            <w:r>
              <w:rPr>
                <w:rFonts w:ascii="宋体" w:hAnsi="宋体" w:cs="宋体"/>
                <w:sz w:val="21"/>
                <w:szCs w:val="21"/>
              </w:rPr>
              <w:t>表格文件：xls、xlsx、xltx、xlsm、xltm、et</w:t>
            </w:r>
          </w:p>
          <w:p w14:paraId="3AB45C21">
            <w:pPr>
              <w:pStyle w:val="2"/>
              <w:spacing w:line="400" w:lineRule="exact"/>
              <w:ind w:firstLine="480"/>
              <w:rPr>
                <w:rFonts w:hint="eastAsia" w:ascii="宋体" w:hAnsi="宋体" w:cs="宋体"/>
                <w:sz w:val="21"/>
                <w:szCs w:val="21"/>
              </w:rPr>
            </w:pPr>
            <w:r>
              <w:rPr>
                <w:rFonts w:ascii="宋体" w:hAnsi="宋体" w:cs="宋体"/>
                <w:sz w:val="21"/>
                <w:szCs w:val="21"/>
              </w:rPr>
              <w:t>演示文件：ppt、pptx、pot、potm、potx、ppsm、pptm、ppsx、dps。</w:t>
            </w:r>
          </w:p>
          <w:p w14:paraId="78B5218C">
            <w:pPr>
              <w:pStyle w:val="2"/>
              <w:spacing w:line="400" w:lineRule="exact"/>
              <w:ind w:firstLine="480"/>
              <w:rPr>
                <w:rFonts w:hint="eastAsia" w:ascii="宋体" w:hAnsi="宋体" w:cs="宋体"/>
                <w:sz w:val="21"/>
                <w:szCs w:val="21"/>
              </w:rPr>
            </w:pPr>
            <w:r>
              <w:rPr>
                <w:rFonts w:ascii="宋体" w:hAnsi="宋体" w:cs="宋体"/>
                <w:sz w:val="21"/>
                <w:szCs w:val="21"/>
              </w:rPr>
              <w:t>（八）建设标准</w:t>
            </w:r>
          </w:p>
          <w:p w14:paraId="5CF093B1">
            <w:pPr>
              <w:pStyle w:val="2"/>
              <w:spacing w:line="400" w:lineRule="exact"/>
              <w:ind w:firstLine="480"/>
              <w:rPr>
                <w:rFonts w:hint="eastAsia" w:ascii="宋体" w:hAnsi="宋体" w:cs="宋体"/>
                <w:sz w:val="21"/>
                <w:szCs w:val="21"/>
              </w:rPr>
            </w:pPr>
            <w:r>
              <w:rPr>
                <w:rFonts w:ascii="宋体" w:hAnsi="宋体" w:cs="宋体"/>
                <w:sz w:val="21"/>
                <w:szCs w:val="21"/>
              </w:rPr>
              <w:t>电子档案管理应用架构及功能，需符合国家档案局、自治区档案局关于电子档案管理系统的相关标准和要求</w:t>
            </w:r>
            <w:r>
              <w:rPr>
                <w:rFonts w:hint="eastAsia" w:ascii="宋体" w:hAnsi="宋体" w:cs="宋体"/>
                <w:sz w:val="21"/>
                <w:szCs w:val="21"/>
              </w:rPr>
              <w:t>，确保满足自治区档案局相关检查考核要求</w:t>
            </w:r>
            <w:r>
              <w:rPr>
                <w:rFonts w:ascii="宋体" w:hAnsi="宋体" w:cs="宋体"/>
                <w:sz w:val="21"/>
                <w:szCs w:val="21"/>
              </w:rPr>
              <w:t>。</w:t>
            </w:r>
          </w:p>
          <w:p w14:paraId="5600B54C">
            <w:pPr>
              <w:pStyle w:val="2"/>
              <w:spacing w:line="400" w:lineRule="exact"/>
              <w:ind w:firstLine="480"/>
              <w:rPr>
                <w:rFonts w:hint="eastAsia" w:ascii="宋体" w:hAnsi="宋体" w:cs="宋体"/>
                <w:sz w:val="21"/>
                <w:szCs w:val="21"/>
              </w:rPr>
            </w:pPr>
            <w:r>
              <w:rPr>
                <w:rFonts w:ascii="宋体" w:hAnsi="宋体" w:cs="宋体"/>
                <w:sz w:val="21"/>
                <w:szCs w:val="21"/>
              </w:rPr>
              <w:t>▲四、内控管理应用</w:t>
            </w:r>
          </w:p>
          <w:p w14:paraId="2C9482D3">
            <w:pPr>
              <w:pStyle w:val="2"/>
              <w:spacing w:line="400" w:lineRule="exact"/>
              <w:ind w:firstLine="480"/>
              <w:rPr>
                <w:rFonts w:hint="eastAsia" w:ascii="宋体" w:hAnsi="宋体" w:cs="宋体"/>
                <w:sz w:val="21"/>
                <w:szCs w:val="21"/>
              </w:rPr>
            </w:pPr>
            <w:r>
              <w:rPr>
                <w:rFonts w:ascii="宋体" w:hAnsi="宋体" w:cs="宋体"/>
                <w:sz w:val="21"/>
                <w:szCs w:val="21"/>
              </w:rPr>
              <w:t>基于新的综合业务管理平台新增内控管理功能，与现有的内控管理系统实现数据对接，具体包括单点登录、身份鉴别、</w:t>
            </w:r>
            <w:r>
              <w:rPr>
                <w:rFonts w:hint="eastAsia" w:ascii="宋体" w:hAnsi="宋体" w:cs="宋体"/>
                <w:sz w:val="21"/>
                <w:szCs w:val="21"/>
              </w:rPr>
              <w:t>流程数据对接</w:t>
            </w:r>
            <w:r>
              <w:rPr>
                <w:rFonts w:ascii="宋体" w:hAnsi="宋体" w:cs="宋体"/>
                <w:sz w:val="21"/>
                <w:szCs w:val="21"/>
              </w:rPr>
              <w:t>等功能。</w:t>
            </w:r>
          </w:p>
          <w:p w14:paraId="1A7103BA">
            <w:pPr>
              <w:pStyle w:val="2"/>
              <w:spacing w:line="400" w:lineRule="exact"/>
              <w:ind w:firstLine="480"/>
              <w:rPr>
                <w:rFonts w:hint="eastAsia" w:ascii="宋体" w:hAnsi="宋体" w:cs="宋体"/>
                <w:sz w:val="21"/>
                <w:szCs w:val="21"/>
              </w:rPr>
            </w:pPr>
            <w:r>
              <w:rPr>
                <w:rFonts w:ascii="宋体" w:hAnsi="宋体" w:cs="宋体"/>
                <w:sz w:val="21"/>
                <w:szCs w:val="21"/>
              </w:rPr>
              <w:t>（一）单点登录</w:t>
            </w:r>
          </w:p>
          <w:p w14:paraId="4568CB8E">
            <w:pPr>
              <w:pStyle w:val="2"/>
              <w:spacing w:line="400" w:lineRule="exact"/>
              <w:ind w:firstLine="480"/>
              <w:rPr>
                <w:rFonts w:hint="eastAsia" w:ascii="宋体" w:hAnsi="宋体" w:cs="宋体"/>
                <w:sz w:val="21"/>
                <w:szCs w:val="21"/>
              </w:rPr>
            </w:pPr>
            <w:r>
              <w:rPr>
                <w:rFonts w:ascii="宋体" w:hAnsi="宋体" w:cs="宋体"/>
                <w:sz w:val="21"/>
                <w:szCs w:val="21"/>
              </w:rPr>
              <w:t>用户登录综合业务管理平台后，点击</w:t>
            </w:r>
            <w:r>
              <w:rPr>
                <w:rFonts w:hint="eastAsia" w:ascii="宋体" w:hAnsi="宋体" w:cs="宋体"/>
                <w:sz w:val="21"/>
                <w:szCs w:val="21"/>
              </w:rPr>
              <w:t>“</w:t>
            </w:r>
            <w:r>
              <w:rPr>
                <w:rFonts w:ascii="宋体" w:hAnsi="宋体" w:cs="宋体"/>
                <w:sz w:val="21"/>
                <w:szCs w:val="21"/>
              </w:rPr>
              <w:t>内控管理</w:t>
            </w:r>
            <w:r>
              <w:rPr>
                <w:rFonts w:hint="eastAsia" w:ascii="宋体" w:hAnsi="宋体" w:cs="宋体"/>
                <w:sz w:val="21"/>
                <w:szCs w:val="21"/>
              </w:rPr>
              <w:t>”</w:t>
            </w:r>
            <w:r>
              <w:rPr>
                <w:rFonts w:ascii="宋体" w:hAnsi="宋体" w:cs="宋体"/>
                <w:sz w:val="21"/>
                <w:szCs w:val="21"/>
              </w:rPr>
              <w:t>可直接登录内控管理系统。</w:t>
            </w:r>
          </w:p>
          <w:p w14:paraId="5E413CAD">
            <w:pPr>
              <w:pStyle w:val="2"/>
              <w:spacing w:line="400" w:lineRule="exact"/>
              <w:ind w:firstLine="480"/>
              <w:rPr>
                <w:rFonts w:hint="eastAsia" w:ascii="宋体" w:hAnsi="宋体" w:cs="宋体"/>
                <w:sz w:val="21"/>
                <w:szCs w:val="21"/>
              </w:rPr>
            </w:pPr>
            <w:r>
              <w:rPr>
                <w:rFonts w:ascii="宋体" w:hAnsi="宋体" w:cs="宋体"/>
                <w:sz w:val="21"/>
                <w:szCs w:val="21"/>
              </w:rPr>
              <w:t>1.用户身份鉴别认证</w:t>
            </w:r>
          </w:p>
          <w:p w14:paraId="313BC2B9">
            <w:pPr>
              <w:pStyle w:val="2"/>
              <w:spacing w:line="400" w:lineRule="exact"/>
              <w:ind w:firstLine="480"/>
              <w:rPr>
                <w:rFonts w:hint="eastAsia" w:ascii="宋体" w:hAnsi="宋体" w:cs="宋体"/>
                <w:sz w:val="21"/>
                <w:szCs w:val="21"/>
              </w:rPr>
            </w:pPr>
            <w:r>
              <w:rPr>
                <w:rFonts w:ascii="宋体" w:hAnsi="宋体" w:cs="宋体"/>
                <w:sz w:val="21"/>
                <w:szCs w:val="21"/>
              </w:rPr>
              <w:t>内控应用系统与统一身份管理认证平台对接口，验证用户身份信息，实现统一平台成功登陆跳转内控系统首页的过程认证。</w:t>
            </w:r>
          </w:p>
          <w:p w14:paraId="0ED7A855">
            <w:pPr>
              <w:pStyle w:val="2"/>
              <w:spacing w:line="400" w:lineRule="exact"/>
              <w:ind w:firstLine="480"/>
              <w:rPr>
                <w:rFonts w:hint="eastAsia" w:ascii="宋体" w:hAnsi="宋体" w:cs="宋体"/>
                <w:sz w:val="21"/>
                <w:szCs w:val="21"/>
              </w:rPr>
            </w:pPr>
            <w:r>
              <w:rPr>
                <w:rFonts w:ascii="宋体" w:hAnsi="宋体" w:cs="宋体"/>
                <w:sz w:val="21"/>
                <w:szCs w:val="21"/>
              </w:rPr>
              <w:t>2.单点用户对照功能</w:t>
            </w:r>
          </w:p>
          <w:p w14:paraId="649FD4D7">
            <w:pPr>
              <w:pStyle w:val="2"/>
              <w:spacing w:line="400" w:lineRule="exact"/>
              <w:ind w:firstLine="480"/>
              <w:rPr>
                <w:rFonts w:hint="eastAsia" w:ascii="宋体" w:hAnsi="宋体" w:cs="宋体"/>
                <w:sz w:val="21"/>
                <w:szCs w:val="21"/>
              </w:rPr>
            </w:pPr>
            <w:r>
              <w:rPr>
                <w:rFonts w:ascii="宋体" w:hAnsi="宋体" w:cs="宋体"/>
                <w:sz w:val="21"/>
                <w:szCs w:val="21"/>
              </w:rPr>
              <w:t>内控系统的用户信息与外部平台的用户信息绑定，通过手机号或者账号匹配绑定，实现单点登陆。</w:t>
            </w:r>
          </w:p>
          <w:p w14:paraId="450B8ECD">
            <w:pPr>
              <w:pStyle w:val="2"/>
              <w:spacing w:line="400" w:lineRule="exact"/>
              <w:ind w:firstLine="480"/>
              <w:rPr>
                <w:rFonts w:hint="eastAsia" w:ascii="宋体" w:hAnsi="宋体" w:cs="宋体"/>
                <w:sz w:val="21"/>
                <w:szCs w:val="21"/>
              </w:rPr>
            </w:pPr>
            <w:r>
              <w:rPr>
                <w:rFonts w:ascii="宋体" w:hAnsi="宋体" w:cs="宋体"/>
                <w:sz w:val="21"/>
                <w:szCs w:val="21"/>
              </w:rPr>
              <w:t>3.单点登录退出</w:t>
            </w:r>
          </w:p>
          <w:p w14:paraId="15643FDB">
            <w:pPr>
              <w:pStyle w:val="2"/>
              <w:spacing w:line="400" w:lineRule="exact"/>
              <w:ind w:firstLine="480"/>
              <w:rPr>
                <w:rFonts w:hint="eastAsia" w:ascii="宋体" w:hAnsi="宋体" w:cs="宋体"/>
                <w:sz w:val="21"/>
                <w:szCs w:val="21"/>
              </w:rPr>
            </w:pPr>
            <w:r>
              <w:rPr>
                <w:rFonts w:ascii="宋体" w:hAnsi="宋体" w:cs="宋体"/>
                <w:sz w:val="21"/>
                <w:szCs w:val="21"/>
              </w:rPr>
              <w:t>实现外部平台用户退出后同步退出内控系统。</w:t>
            </w:r>
          </w:p>
          <w:p w14:paraId="625C6862">
            <w:pPr>
              <w:pStyle w:val="2"/>
              <w:spacing w:line="400" w:lineRule="exact"/>
              <w:ind w:firstLine="480"/>
              <w:rPr>
                <w:rFonts w:hint="eastAsia" w:ascii="宋体" w:hAnsi="宋体" w:cs="宋体"/>
                <w:sz w:val="21"/>
                <w:szCs w:val="21"/>
              </w:rPr>
            </w:pPr>
            <w:r>
              <w:rPr>
                <w:rFonts w:ascii="宋体" w:hAnsi="宋体" w:cs="宋体"/>
                <w:sz w:val="21"/>
                <w:szCs w:val="21"/>
              </w:rPr>
              <w:t>4.待办信息推送。包括验证签名、发送待办、更新待办、</w:t>
            </w:r>
            <w:r>
              <w:rPr>
                <w:rFonts w:hint="eastAsia" w:ascii="宋体" w:hAnsi="宋体" w:cs="宋体"/>
                <w:sz w:val="21"/>
                <w:szCs w:val="21"/>
              </w:rPr>
              <w:t>设</w:t>
            </w:r>
            <w:r>
              <w:rPr>
                <w:rFonts w:ascii="宋体" w:hAnsi="宋体" w:cs="宋体"/>
                <w:sz w:val="21"/>
                <w:szCs w:val="21"/>
              </w:rPr>
              <w:t>置为已办、删除待办等。</w:t>
            </w:r>
          </w:p>
          <w:p w14:paraId="09EB355B">
            <w:pPr>
              <w:pStyle w:val="2"/>
              <w:spacing w:line="400" w:lineRule="exact"/>
              <w:ind w:firstLine="480"/>
              <w:rPr>
                <w:rFonts w:hint="eastAsia" w:ascii="宋体" w:hAnsi="宋体" w:cs="宋体"/>
                <w:sz w:val="21"/>
                <w:szCs w:val="21"/>
              </w:rPr>
            </w:pPr>
            <w:r>
              <w:rPr>
                <w:rFonts w:ascii="宋体" w:hAnsi="宋体" w:cs="宋体"/>
                <w:sz w:val="21"/>
                <w:szCs w:val="21"/>
              </w:rPr>
              <w:t>5.拉取模式</w:t>
            </w:r>
          </w:p>
          <w:p w14:paraId="3344AA84">
            <w:pPr>
              <w:pStyle w:val="2"/>
              <w:spacing w:line="400" w:lineRule="exact"/>
              <w:ind w:firstLine="480"/>
              <w:rPr>
                <w:rFonts w:hint="eastAsia" w:ascii="宋体" w:hAnsi="宋体" w:cs="宋体"/>
                <w:sz w:val="21"/>
                <w:szCs w:val="21"/>
              </w:rPr>
            </w:pPr>
            <w:r>
              <w:rPr>
                <w:rFonts w:ascii="宋体" w:hAnsi="宋体" w:cs="宋体"/>
                <w:sz w:val="21"/>
                <w:szCs w:val="21"/>
              </w:rPr>
              <w:t>拉取模式为外部平台主动拉取外部平台待办，外部平台开发者必须按照文档入参出参格式开发接口，并提供拉取待办接口地址供外部平台调用。包括获取待办列表、获取待办数量。</w:t>
            </w:r>
          </w:p>
          <w:p w14:paraId="4B62B726">
            <w:pPr>
              <w:pStyle w:val="2"/>
              <w:spacing w:line="400" w:lineRule="exact"/>
              <w:ind w:firstLine="480"/>
              <w:rPr>
                <w:rFonts w:hint="eastAsia" w:ascii="宋体" w:hAnsi="宋体" w:cs="宋体"/>
                <w:sz w:val="21"/>
                <w:szCs w:val="21"/>
              </w:rPr>
            </w:pPr>
            <w:r>
              <w:rPr>
                <w:rFonts w:ascii="宋体" w:hAnsi="宋体" w:cs="宋体"/>
                <w:sz w:val="21"/>
                <w:szCs w:val="21"/>
              </w:rPr>
              <w:t>（二）身份鉴别</w:t>
            </w:r>
          </w:p>
          <w:p w14:paraId="6091E271">
            <w:pPr>
              <w:pStyle w:val="2"/>
              <w:spacing w:line="400" w:lineRule="exact"/>
              <w:ind w:firstLine="480"/>
              <w:rPr>
                <w:rFonts w:hint="eastAsia" w:ascii="宋体" w:hAnsi="宋体" w:cs="宋体"/>
                <w:sz w:val="21"/>
                <w:szCs w:val="21"/>
              </w:rPr>
            </w:pPr>
            <w:r>
              <w:rPr>
                <w:rFonts w:ascii="宋体" w:hAnsi="宋体" w:cs="宋体"/>
                <w:sz w:val="21"/>
                <w:szCs w:val="21"/>
              </w:rPr>
              <w:t>获取授权码、获取Token、获取用户信息。</w:t>
            </w:r>
          </w:p>
          <w:p w14:paraId="479848E4">
            <w:pPr>
              <w:pStyle w:val="2"/>
              <w:spacing w:line="400" w:lineRule="exact"/>
              <w:ind w:firstLine="480"/>
              <w:rPr>
                <w:rFonts w:hint="eastAsia" w:ascii="宋体" w:hAnsi="宋体" w:cs="宋体"/>
                <w:sz w:val="21"/>
                <w:szCs w:val="21"/>
              </w:rPr>
            </w:pPr>
            <w:r>
              <w:rPr>
                <w:rFonts w:ascii="宋体" w:hAnsi="宋体" w:cs="宋体"/>
                <w:sz w:val="21"/>
                <w:szCs w:val="21"/>
              </w:rPr>
              <w:t>（三）待办信息推送</w:t>
            </w:r>
          </w:p>
          <w:p w14:paraId="320E5943">
            <w:pPr>
              <w:pStyle w:val="2"/>
              <w:spacing w:line="400" w:lineRule="exact"/>
              <w:ind w:firstLine="480"/>
              <w:rPr>
                <w:rFonts w:hint="eastAsia" w:ascii="宋体" w:hAnsi="宋体" w:cs="宋体"/>
                <w:sz w:val="21"/>
                <w:szCs w:val="21"/>
              </w:rPr>
            </w:pPr>
            <w:r>
              <w:rPr>
                <w:rFonts w:ascii="宋体" w:hAnsi="宋体" w:cs="宋体"/>
                <w:sz w:val="21"/>
                <w:szCs w:val="21"/>
              </w:rPr>
              <w:t>新增待办信息处理功能，可在综办平台展示具体待办的数量及待办的业务名称登信息，与内控管理系统实现数据互通。</w:t>
            </w:r>
          </w:p>
          <w:p w14:paraId="4CAB102B">
            <w:pPr>
              <w:pStyle w:val="2"/>
              <w:spacing w:line="400" w:lineRule="exact"/>
              <w:ind w:firstLine="480"/>
              <w:rPr>
                <w:rFonts w:hint="eastAsia" w:ascii="宋体" w:hAnsi="宋体" w:cs="宋体"/>
                <w:sz w:val="21"/>
                <w:szCs w:val="21"/>
              </w:rPr>
            </w:pPr>
            <w:r>
              <w:rPr>
                <w:rFonts w:ascii="宋体" w:hAnsi="宋体" w:cs="宋体"/>
                <w:sz w:val="21"/>
                <w:szCs w:val="21"/>
              </w:rPr>
              <w:t>（四）移动端</w:t>
            </w:r>
          </w:p>
          <w:p w14:paraId="78E7CDE9">
            <w:pPr>
              <w:pStyle w:val="2"/>
              <w:spacing w:line="400" w:lineRule="exact"/>
              <w:ind w:firstLine="480"/>
              <w:rPr>
                <w:rFonts w:hint="eastAsia" w:ascii="宋体" w:hAnsi="宋体" w:cs="宋体"/>
                <w:sz w:val="21"/>
                <w:szCs w:val="21"/>
              </w:rPr>
            </w:pPr>
            <w:r>
              <w:rPr>
                <w:rFonts w:ascii="宋体" w:hAnsi="宋体" w:cs="宋体"/>
                <w:sz w:val="21"/>
                <w:szCs w:val="21"/>
              </w:rPr>
              <w:t>将移动端功能集成到</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APP中。</w:t>
            </w:r>
          </w:p>
          <w:p w14:paraId="4AA021BD">
            <w:pPr>
              <w:pStyle w:val="2"/>
              <w:spacing w:line="400" w:lineRule="exact"/>
              <w:ind w:firstLine="480"/>
              <w:rPr>
                <w:rFonts w:hint="eastAsia" w:ascii="宋体" w:hAnsi="宋体" w:cs="宋体"/>
                <w:sz w:val="21"/>
                <w:szCs w:val="21"/>
              </w:rPr>
            </w:pPr>
          </w:p>
          <w:p w14:paraId="49E307F0">
            <w:pPr>
              <w:pStyle w:val="2"/>
              <w:spacing w:line="400" w:lineRule="exact"/>
              <w:ind w:firstLine="480"/>
              <w:rPr>
                <w:rFonts w:hint="eastAsia" w:ascii="宋体" w:hAnsi="宋体" w:cs="宋体"/>
                <w:sz w:val="21"/>
                <w:szCs w:val="21"/>
              </w:rPr>
            </w:pPr>
            <w:r>
              <w:rPr>
                <w:rFonts w:ascii="宋体" w:hAnsi="宋体" w:cs="宋体"/>
                <w:sz w:val="21"/>
                <w:szCs w:val="21"/>
              </w:rPr>
              <w:t>五、广西壮族自治区环境保护科学研究院网站</w:t>
            </w:r>
          </w:p>
          <w:p w14:paraId="31ACE5F8">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2BFFF184">
            <w:pPr>
              <w:pStyle w:val="2"/>
              <w:spacing w:line="400" w:lineRule="exact"/>
              <w:ind w:firstLine="480"/>
              <w:rPr>
                <w:rFonts w:hint="eastAsia" w:ascii="宋体" w:hAnsi="宋体" w:cs="宋体"/>
                <w:sz w:val="21"/>
                <w:szCs w:val="21"/>
              </w:rPr>
            </w:pPr>
            <w:r>
              <w:rPr>
                <w:rFonts w:ascii="宋体" w:hAnsi="宋体" w:cs="宋体"/>
                <w:sz w:val="21"/>
                <w:szCs w:val="21"/>
              </w:rPr>
              <w:t>对广西壮族自治区环境保护科学研究院网站开展</w:t>
            </w:r>
            <w:r>
              <w:rPr>
                <w:rFonts w:hint="eastAsia" w:ascii="宋体" w:hAnsi="宋体" w:cs="宋体"/>
                <w:sz w:val="21"/>
                <w:szCs w:val="21"/>
              </w:rPr>
              <w:t>国产技术栈</w:t>
            </w:r>
            <w:r>
              <w:rPr>
                <w:rFonts w:ascii="宋体" w:hAnsi="宋体" w:cs="宋体"/>
                <w:sz w:val="21"/>
                <w:szCs w:val="21"/>
              </w:rPr>
              <w:t>改造，新增一套英文子站系统，对应中文主站的所有内容进行英文版信息发布。</w:t>
            </w:r>
          </w:p>
          <w:p w14:paraId="03AF43E1">
            <w:pPr>
              <w:pStyle w:val="2"/>
              <w:spacing w:line="400" w:lineRule="exact"/>
              <w:ind w:firstLine="480"/>
              <w:rPr>
                <w:rFonts w:hint="eastAsia" w:ascii="宋体" w:hAnsi="宋体" w:cs="宋体"/>
                <w:sz w:val="21"/>
                <w:szCs w:val="21"/>
              </w:rPr>
            </w:pPr>
            <w:r>
              <w:rPr>
                <w:rFonts w:ascii="宋体" w:hAnsi="宋体" w:cs="宋体"/>
                <w:sz w:val="21"/>
                <w:szCs w:val="21"/>
              </w:rPr>
              <w:t>▲（二）现有功能适配改造</w:t>
            </w:r>
          </w:p>
          <w:p w14:paraId="483BB120">
            <w:pPr>
              <w:pStyle w:val="2"/>
              <w:spacing w:line="400" w:lineRule="exact"/>
              <w:ind w:firstLine="480"/>
              <w:rPr>
                <w:rFonts w:hint="eastAsia" w:ascii="宋体" w:hAnsi="宋体" w:cs="宋体"/>
                <w:sz w:val="21"/>
                <w:szCs w:val="21"/>
              </w:rPr>
            </w:pPr>
            <w:r>
              <w:rPr>
                <w:rFonts w:ascii="宋体" w:hAnsi="宋体" w:cs="宋体"/>
                <w:sz w:val="21"/>
                <w:szCs w:val="21"/>
              </w:rPr>
              <w:t>1.适配浏览器</w:t>
            </w:r>
          </w:p>
          <w:p w14:paraId="794022AA">
            <w:pPr>
              <w:pStyle w:val="2"/>
              <w:spacing w:line="400" w:lineRule="exact"/>
              <w:ind w:firstLine="480"/>
              <w:rPr>
                <w:rFonts w:hint="eastAsia" w:ascii="宋体" w:hAnsi="宋体" w:cs="宋体"/>
                <w:sz w:val="21"/>
                <w:szCs w:val="21"/>
              </w:rPr>
            </w:pPr>
            <w:r>
              <w:rPr>
                <w:rFonts w:ascii="宋体" w:hAnsi="宋体" w:cs="宋体"/>
                <w:sz w:val="21"/>
                <w:szCs w:val="21"/>
              </w:rPr>
              <w:t>各模块功能适配国产浏览器。</w:t>
            </w:r>
          </w:p>
          <w:p w14:paraId="2DA14491">
            <w:pPr>
              <w:pStyle w:val="2"/>
              <w:spacing w:line="400" w:lineRule="exact"/>
              <w:ind w:firstLine="480"/>
              <w:rPr>
                <w:rFonts w:hint="eastAsia" w:ascii="宋体" w:hAnsi="宋体" w:cs="宋体"/>
                <w:sz w:val="21"/>
                <w:szCs w:val="21"/>
              </w:rPr>
            </w:pPr>
            <w:r>
              <w:rPr>
                <w:rFonts w:ascii="宋体" w:hAnsi="宋体" w:cs="宋体"/>
                <w:sz w:val="21"/>
                <w:szCs w:val="21"/>
              </w:rPr>
              <w:t>（1）首页模块适配浏览器</w:t>
            </w:r>
          </w:p>
          <w:p w14:paraId="18C5FB0A">
            <w:pPr>
              <w:pStyle w:val="2"/>
              <w:spacing w:line="400" w:lineRule="exact"/>
              <w:ind w:firstLine="480"/>
              <w:rPr>
                <w:rFonts w:hint="eastAsia" w:ascii="宋体" w:hAnsi="宋体" w:cs="宋体"/>
                <w:sz w:val="21"/>
                <w:szCs w:val="21"/>
              </w:rPr>
            </w:pPr>
            <w:r>
              <w:rPr>
                <w:rFonts w:ascii="宋体" w:hAnsi="宋体" w:cs="宋体"/>
                <w:sz w:val="21"/>
                <w:szCs w:val="21"/>
              </w:rPr>
              <w:t>（2）工作动态模块适配浏览器</w:t>
            </w:r>
          </w:p>
          <w:p w14:paraId="3650013E">
            <w:pPr>
              <w:pStyle w:val="2"/>
              <w:spacing w:line="400" w:lineRule="exact"/>
              <w:ind w:firstLine="480"/>
              <w:rPr>
                <w:rFonts w:hint="eastAsia" w:ascii="宋体" w:hAnsi="宋体" w:cs="宋体"/>
                <w:sz w:val="21"/>
                <w:szCs w:val="21"/>
              </w:rPr>
            </w:pPr>
            <w:r>
              <w:rPr>
                <w:rFonts w:ascii="宋体" w:hAnsi="宋体" w:cs="宋体"/>
                <w:sz w:val="21"/>
                <w:szCs w:val="21"/>
              </w:rPr>
              <w:t>（3）通知公告模块适配浏览器</w:t>
            </w:r>
          </w:p>
          <w:p w14:paraId="0D048750">
            <w:pPr>
              <w:pStyle w:val="2"/>
              <w:spacing w:line="400" w:lineRule="exact"/>
              <w:ind w:firstLine="480"/>
              <w:rPr>
                <w:rFonts w:hint="eastAsia" w:ascii="宋体" w:hAnsi="宋体" w:cs="宋体"/>
                <w:sz w:val="21"/>
                <w:szCs w:val="21"/>
              </w:rPr>
            </w:pPr>
            <w:r>
              <w:rPr>
                <w:rFonts w:ascii="宋体" w:hAnsi="宋体" w:cs="宋体"/>
                <w:sz w:val="21"/>
                <w:szCs w:val="21"/>
              </w:rPr>
              <w:t>（4）信息公开模块适配浏览器</w:t>
            </w:r>
          </w:p>
          <w:p w14:paraId="6F9CA6D0">
            <w:pPr>
              <w:pStyle w:val="2"/>
              <w:spacing w:line="400" w:lineRule="exact"/>
              <w:ind w:firstLine="480"/>
              <w:rPr>
                <w:rFonts w:hint="eastAsia" w:ascii="宋体" w:hAnsi="宋体" w:cs="宋体"/>
                <w:sz w:val="21"/>
                <w:szCs w:val="21"/>
              </w:rPr>
            </w:pPr>
            <w:r>
              <w:rPr>
                <w:rFonts w:ascii="宋体" w:hAnsi="宋体" w:cs="宋体"/>
                <w:sz w:val="21"/>
                <w:szCs w:val="21"/>
              </w:rPr>
              <w:t>（5）环境科研模块适配浏览器：环境政策与规划研究适配浏览器、大气环境研究适配浏览器、水环境研究适配浏览器、土壤环境研究适配浏览器、环境咨询服务适配浏览器、环境分析测试适配浏览器、生态环境研究适配浏览器、环境执法研究适配浏览器、环境保护技术评估适配浏览器。</w:t>
            </w:r>
          </w:p>
          <w:p w14:paraId="669C2DD2">
            <w:pPr>
              <w:pStyle w:val="2"/>
              <w:spacing w:line="400" w:lineRule="exact"/>
              <w:ind w:firstLine="480"/>
              <w:rPr>
                <w:rFonts w:hint="eastAsia" w:ascii="宋体" w:hAnsi="宋体" w:cs="宋体"/>
                <w:sz w:val="21"/>
                <w:szCs w:val="21"/>
              </w:rPr>
            </w:pPr>
            <w:r>
              <w:rPr>
                <w:rFonts w:ascii="宋体" w:hAnsi="宋体" w:cs="宋体"/>
                <w:sz w:val="21"/>
                <w:szCs w:val="21"/>
              </w:rPr>
              <w:t>（6）污水处理适配浏览器：垃圾低温热解适配浏览器、大气颗粒物来源适配浏览器、环境损害鉴定适配浏览器、土壤污染修复适配浏览器、环境监理适配浏览器、生态环境与遥感适配浏览器。</w:t>
            </w:r>
          </w:p>
          <w:p w14:paraId="4F6EB1C7">
            <w:pPr>
              <w:pStyle w:val="2"/>
              <w:spacing w:line="400" w:lineRule="exact"/>
              <w:ind w:firstLine="480"/>
              <w:rPr>
                <w:rFonts w:hint="eastAsia" w:ascii="宋体" w:hAnsi="宋体" w:cs="宋体"/>
                <w:sz w:val="21"/>
                <w:szCs w:val="21"/>
              </w:rPr>
            </w:pPr>
            <w:r>
              <w:rPr>
                <w:rFonts w:ascii="宋体" w:hAnsi="宋体" w:cs="宋体"/>
                <w:sz w:val="21"/>
                <w:szCs w:val="21"/>
              </w:rPr>
              <w:t>（7）党群园地模块适配浏览器</w:t>
            </w:r>
          </w:p>
          <w:p w14:paraId="3E6CFBB1">
            <w:pPr>
              <w:pStyle w:val="2"/>
              <w:spacing w:line="400" w:lineRule="exact"/>
              <w:ind w:firstLine="480"/>
              <w:rPr>
                <w:rFonts w:hint="eastAsia" w:ascii="宋体" w:hAnsi="宋体" w:cs="宋体"/>
                <w:sz w:val="21"/>
                <w:szCs w:val="21"/>
              </w:rPr>
            </w:pPr>
            <w:r>
              <w:rPr>
                <w:rFonts w:ascii="宋体" w:hAnsi="宋体" w:cs="宋体"/>
                <w:sz w:val="21"/>
                <w:szCs w:val="21"/>
              </w:rPr>
              <w:t>（8）合作交流模块适配浏览器</w:t>
            </w:r>
          </w:p>
          <w:p w14:paraId="3DA33995">
            <w:pPr>
              <w:pStyle w:val="2"/>
              <w:spacing w:line="400" w:lineRule="exact"/>
              <w:ind w:firstLine="480"/>
              <w:rPr>
                <w:rFonts w:hint="eastAsia" w:ascii="宋体" w:hAnsi="宋体" w:cs="宋体"/>
                <w:sz w:val="21"/>
                <w:szCs w:val="21"/>
              </w:rPr>
            </w:pPr>
            <w:r>
              <w:rPr>
                <w:rFonts w:ascii="宋体" w:hAnsi="宋体" w:cs="宋体"/>
                <w:sz w:val="21"/>
                <w:szCs w:val="21"/>
              </w:rPr>
              <w:t>（9）科普园地模块适配浏览器</w:t>
            </w:r>
          </w:p>
          <w:p w14:paraId="6F6B6580">
            <w:pPr>
              <w:pStyle w:val="2"/>
              <w:spacing w:line="400" w:lineRule="exact"/>
              <w:ind w:firstLine="480"/>
              <w:rPr>
                <w:rFonts w:hint="eastAsia" w:ascii="宋体" w:hAnsi="宋体" w:cs="宋体"/>
                <w:sz w:val="21"/>
                <w:szCs w:val="21"/>
              </w:rPr>
            </w:pPr>
            <w:r>
              <w:rPr>
                <w:rFonts w:ascii="宋体" w:hAnsi="宋体" w:cs="宋体"/>
                <w:sz w:val="21"/>
                <w:szCs w:val="21"/>
              </w:rPr>
              <w:t>2.适配数据库</w:t>
            </w:r>
          </w:p>
          <w:p w14:paraId="16756ECE">
            <w:pPr>
              <w:pStyle w:val="2"/>
              <w:spacing w:line="400" w:lineRule="exact"/>
              <w:ind w:firstLine="480"/>
              <w:rPr>
                <w:rFonts w:hint="eastAsia" w:ascii="宋体" w:hAnsi="宋体" w:cs="宋体"/>
                <w:sz w:val="21"/>
                <w:szCs w:val="21"/>
              </w:rPr>
            </w:pPr>
            <w:r>
              <w:rPr>
                <w:rFonts w:ascii="宋体" w:hAnsi="宋体" w:cs="宋体"/>
                <w:sz w:val="21"/>
                <w:szCs w:val="21"/>
              </w:rPr>
              <w:t>各模块功能适配国产数据库</w:t>
            </w:r>
            <w:r>
              <w:rPr>
                <w:rFonts w:hint="eastAsia" w:ascii="宋体" w:hAnsi="宋体" w:cs="宋体"/>
                <w:sz w:val="21"/>
                <w:szCs w:val="21"/>
              </w:rPr>
              <w:t>。</w:t>
            </w:r>
          </w:p>
          <w:p w14:paraId="0F868CD3">
            <w:pPr>
              <w:pStyle w:val="2"/>
              <w:spacing w:line="400" w:lineRule="exact"/>
              <w:ind w:firstLine="480"/>
              <w:rPr>
                <w:rFonts w:hint="eastAsia" w:ascii="宋体" w:hAnsi="宋体" w:cs="宋体"/>
                <w:sz w:val="21"/>
                <w:szCs w:val="21"/>
              </w:rPr>
            </w:pPr>
            <w:r>
              <w:rPr>
                <w:rFonts w:ascii="宋体" w:hAnsi="宋体" w:cs="宋体"/>
                <w:sz w:val="21"/>
                <w:szCs w:val="21"/>
              </w:rPr>
              <w:t>（1）首页模块适配数据库</w:t>
            </w:r>
          </w:p>
          <w:p w14:paraId="4ADFF0D0">
            <w:pPr>
              <w:pStyle w:val="2"/>
              <w:spacing w:line="400" w:lineRule="exact"/>
              <w:ind w:firstLine="480"/>
              <w:rPr>
                <w:rFonts w:hint="eastAsia" w:ascii="宋体" w:hAnsi="宋体" w:cs="宋体"/>
                <w:sz w:val="21"/>
                <w:szCs w:val="21"/>
              </w:rPr>
            </w:pPr>
            <w:r>
              <w:rPr>
                <w:rFonts w:ascii="宋体" w:hAnsi="宋体" w:cs="宋体"/>
                <w:sz w:val="21"/>
                <w:szCs w:val="21"/>
              </w:rPr>
              <w:t>（2）工作动态模块适配数据库</w:t>
            </w:r>
          </w:p>
          <w:p w14:paraId="1CEAD238">
            <w:pPr>
              <w:pStyle w:val="2"/>
              <w:spacing w:line="400" w:lineRule="exact"/>
              <w:ind w:firstLine="480"/>
              <w:rPr>
                <w:rFonts w:hint="eastAsia" w:ascii="宋体" w:hAnsi="宋体" w:cs="宋体"/>
                <w:sz w:val="21"/>
                <w:szCs w:val="21"/>
              </w:rPr>
            </w:pPr>
            <w:r>
              <w:rPr>
                <w:rFonts w:ascii="宋体" w:hAnsi="宋体" w:cs="宋体"/>
                <w:sz w:val="21"/>
                <w:szCs w:val="21"/>
              </w:rPr>
              <w:t>（3）通知公告模块适配数据库</w:t>
            </w:r>
          </w:p>
          <w:p w14:paraId="79960F2B">
            <w:pPr>
              <w:pStyle w:val="2"/>
              <w:spacing w:line="400" w:lineRule="exact"/>
              <w:ind w:firstLine="480"/>
              <w:rPr>
                <w:rFonts w:hint="eastAsia" w:ascii="宋体" w:hAnsi="宋体" w:cs="宋体"/>
                <w:sz w:val="21"/>
                <w:szCs w:val="21"/>
              </w:rPr>
            </w:pPr>
            <w:r>
              <w:rPr>
                <w:rFonts w:ascii="宋体" w:hAnsi="宋体" w:cs="宋体"/>
                <w:sz w:val="21"/>
                <w:szCs w:val="21"/>
              </w:rPr>
              <w:t>（4）信息公开模块适配数据库</w:t>
            </w:r>
          </w:p>
          <w:p w14:paraId="4097D16A">
            <w:pPr>
              <w:pStyle w:val="2"/>
              <w:spacing w:line="400" w:lineRule="exact"/>
              <w:ind w:firstLine="480"/>
              <w:rPr>
                <w:rFonts w:hint="eastAsia" w:ascii="宋体" w:hAnsi="宋体" w:cs="宋体"/>
                <w:sz w:val="21"/>
                <w:szCs w:val="21"/>
              </w:rPr>
            </w:pPr>
            <w:r>
              <w:rPr>
                <w:rFonts w:ascii="宋体" w:hAnsi="宋体" w:cs="宋体"/>
                <w:sz w:val="21"/>
                <w:szCs w:val="21"/>
              </w:rPr>
              <w:t>（5）环境科研模块适配数据库：环境政策与规划研究适配数据库、大气环境研究适配数据库、水环境研究适配数据库、土壤环境研究适配数据库、环境咨询服务适配数据库、环境分析测试适配数据库、生态环境研究适配数据库、环境执法研究适配数据库、环境保护技术评估适配数据库。</w:t>
            </w:r>
          </w:p>
          <w:p w14:paraId="0E2557DD">
            <w:pPr>
              <w:pStyle w:val="2"/>
              <w:spacing w:line="400" w:lineRule="exact"/>
              <w:ind w:firstLine="480"/>
              <w:rPr>
                <w:rFonts w:hint="eastAsia" w:ascii="宋体" w:hAnsi="宋体" w:cs="宋体"/>
                <w:sz w:val="21"/>
                <w:szCs w:val="21"/>
              </w:rPr>
            </w:pPr>
            <w:r>
              <w:rPr>
                <w:rFonts w:ascii="宋体" w:hAnsi="宋体" w:cs="宋体"/>
                <w:sz w:val="21"/>
                <w:szCs w:val="21"/>
              </w:rPr>
              <w:t>（6）核心技术模块适配数据库：污水处理适配数据库、垃圾低温热解适配数据库、大气颗粒物来源适配数据库、环境损害鉴定适配数据库、土壤污染修复适配数据库、环境监理适配数据库、生态环境与遥感适配数据库。</w:t>
            </w:r>
          </w:p>
          <w:p w14:paraId="18184826">
            <w:pPr>
              <w:pStyle w:val="2"/>
              <w:spacing w:line="400" w:lineRule="exact"/>
              <w:ind w:firstLine="480"/>
              <w:rPr>
                <w:rFonts w:hint="eastAsia" w:ascii="宋体" w:hAnsi="宋体" w:cs="宋体"/>
                <w:sz w:val="21"/>
                <w:szCs w:val="21"/>
              </w:rPr>
            </w:pPr>
            <w:r>
              <w:rPr>
                <w:rFonts w:ascii="宋体" w:hAnsi="宋体" w:cs="宋体"/>
                <w:sz w:val="21"/>
                <w:szCs w:val="21"/>
              </w:rPr>
              <w:t>（7）党群园地模块适配数据库</w:t>
            </w:r>
          </w:p>
          <w:p w14:paraId="1C2B6277">
            <w:pPr>
              <w:pStyle w:val="2"/>
              <w:spacing w:line="400" w:lineRule="exact"/>
              <w:ind w:firstLine="480"/>
              <w:rPr>
                <w:rFonts w:hint="eastAsia" w:ascii="宋体" w:hAnsi="宋体" w:cs="宋体"/>
                <w:sz w:val="21"/>
                <w:szCs w:val="21"/>
              </w:rPr>
            </w:pPr>
            <w:r>
              <w:rPr>
                <w:rFonts w:ascii="宋体" w:hAnsi="宋体" w:cs="宋体"/>
                <w:sz w:val="21"/>
                <w:szCs w:val="21"/>
              </w:rPr>
              <w:t>（8）合作交流模块适配数据库</w:t>
            </w:r>
          </w:p>
          <w:p w14:paraId="678FD31E">
            <w:pPr>
              <w:pStyle w:val="2"/>
              <w:spacing w:line="400" w:lineRule="exact"/>
              <w:ind w:firstLine="480"/>
              <w:rPr>
                <w:rFonts w:hint="eastAsia" w:ascii="宋体" w:hAnsi="宋体" w:cs="宋体"/>
                <w:sz w:val="21"/>
                <w:szCs w:val="21"/>
              </w:rPr>
            </w:pPr>
            <w:r>
              <w:rPr>
                <w:rFonts w:ascii="宋体" w:hAnsi="宋体" w:cs="宋体"/>
                <w:sz w:val="21"/>
                <w:szCs w:val="21"/>
              </w:rPr>
              <w:t>（9）科普园地模块适配数据库</w:t>
            </w:r>
          </w:p>
          <w:p w14:paraId="0EF78AA1">
            <w:pPr>
              <w:pStyle w:val="2"/>
              <w:spacing w:line="400" w:lineRule="exact"/>
              <w:ind w:firstLine="480"/>
              <w:rPr>
                <w:rFonts w:hint="eastAsia" w:ascii="宋体" w:hAnsi="宋体" w:cs="宋体"/>
                <w:sz w:val="21"/>
                <w:szCs w:val="21"/>
              </w:rPr>
            </w:pPr>
            <w:r>
              <w:rPr>
                <w:rFonts w:ascii="宋体" w:hAnsi="宋体" w:cs="宋体"/>
                <w:sz w:val="21"/>
                <w:szCs w:val="21"/>
              </w:rPr>
              <w:t>3.操作系统适配</w:t>
            </w:r>
          </w:p>
          <w:p w14:paraId="3533E07E">
            <w:pPr>
              <w:pStyle w:val="2"/>
              <w:spacing w:line="400" w:lineRule="exact"/>
              <w:ind w:firstLine="480"/>
              <w:rPr>
                <w:rFonts w:hint="eastAsia" w:ascii="宋体" w:hAnsi="宋体" w:cs="宋体"/>
                <w:sz w:val="21"/>
                <w:szCs w:val="21"/>
              </w:rPr>
            </w:pPr>
            <w:r>
              <w:rPr>
                <w:rFonts w:ascii="宋体" w:hAnsi="宋体" w:cs="宋体"/>
                <w:sz w:val="21"/>
                <w:szCs w:val="21"/>
              </w:rPr>
              <w:t>包括处理系统命令和环境变量、中间件适配、密码资源池对接等。</w:t>
            </w:r>
          </w:p>
          <w:p w14:paraId="2949FF12">
            <w:pPr>
              <w:pStyle w:val="2"/>
              <w:spacing w:line="400" w:lineRule="exact"/>
              <w:ind w:firstLine="480"/>
              <w:rPr>
                <w:rFonts w:hint="eastAsia" w:ascii="宋体" w:hAnsi="宋体" w:cs="宋体"/>
                <w:sz w:val="21"/>
                <w:szCs w:val="21"/>
              </w:rPr>
            </w:pPr>
            <w:r>
              <w:rPr>
                <w:rFonts w:ascii="宋体" w:hAnsi="宋体" w:cs="宋体"/>
                <w:sz w:val="21"/>
                <w:szCs w:val="21"/>
              </w:rPr>
              <w:t>（三）应用功能升级</w:t>
            </w:r>
          </w:p>
          <w:p w14:paraId="1C815099">
            <w:pPr>
              <w:pStyle w:val="2"/>
              <w:spacing w:line="400" w:lineRule="exact"/>
              <w:ind w:firstLine="480"/>
              <w:rPr>
                <w:rFonts w:hint="eastAsia" w:ascii="宋体" w:hAnsi="宋体" w:cs="宋体"/>
                <w:sz w:val="21"/>
                <w:szCs w:val="21"/>
              </w:rPr>
            </w:pPr>
            <w:r>
              <w:rPr>
                <w:rFonts w:ascii="宋体" w:hAnsi="宋体" w:cs="宋体"/>
                <w:sz w:val="21"/>
                <w:szCs w:val="21"/>
              </w:rPr>
              <w:t>包括英文版子站首页、英文版子站栏目、英文版子站内容样式模板、英文版子站内容发布、中文版主站增加英文版子站链接，并对安全防护模块、模板管理模块、用户权限模块、编辑器模块、文件上传模块、内容审核模块进行升级。</w:t>
            </w:r>
          </w:p>
          <w:p w14:paraId="556AFAE2">
            <w:pPr>
              <w:pStyle w:val="2"/>
              <w:spacing w:line="400" w:lineRule="exact"/>
              <w:ind w:firstLine="480"/>
              <w:rPr>
                <w:rFonts w:hint="eastAsia" w:ascii="宋体" w:hAnsi="宋体" w:cs="宋体"/>
                <w:sz w:val="21"/>
                <w:szCs w:val="21"/>
              </w:rPr>
            </w:pPr>
            <w:r>
              <w:rPr>
                <w:rFonts w:ascii="宋体" w:hAnsi="宋体" w:cs="宋体"/>
                <w:sz w:val="21"/>
                <w:szCs w:val="21"/>
              </w:rPr>
              <w:t>1.安全防护模块升级</w:t>
            </w:r>
          </w:p>
          <w:p w14:paraId="1EAB4995">
            <w:pPr>
              <w:pStyle w:val="2"/>
              <w:spacing w:line="400" w:lineRule="exact"/>
              <w:ind w:firstLine="480"/>
              <w:rPr>
                <w:rFonts w:hint="eastAsia" w:ascii="宋体" w:hAnsi="宋体" w:cs="宋体"/>
                <w:sz w:val="21"/>
                <w:szCs w:val="21"/>
              </w:rPr>
            </w:pPr>
            <w:r>
              <w:rPr>
                <w:rFonts w:ascii="宋体" w:hAnsi="宋体" w:cs="宋体"/>
                <w:sz w:val="21"/>
                <w:szCs w:val="21"/>
              </w:rPr>
              <w:t>提供一个安全模块，集中展现和配置所有和安全相关的功能。安全模块应至少包括“系统体检、内容体检、IP访问限定配置、安全配置、内容恢复、操作日志、数据备份”等几大模块。</w:t>
            </w:r>
          </w:p>
          <w:p w14:paraId="0CBB08F8">
            <w:pPr>
              <w:pStyle w:val="2"/>
              <w:spacing w:line="400" w:lineRule="exact"/>
              <w:ind w:firstLine="480"/>
              <w:rPr>
                <w:rFonts w:hint="eastAsia" w:ascii="宋体" w:hAnsi="宋体" w:cs="宋体"/>
                <w:sz w:val="21"/>
                <w:szCs w:val="21"/>
              </w:rPr>
            </w:pPr>
            <w:r>
              <w:rPr>
                <w:rFonts w:ascii="宋体" w:hAnsi="宋体" w:cs="宋体"/>
                <w:sz w:val="21"/>
                <w:szCs w:val="21"/>
              </w:rPr>
              <w:t>2.模板管理模块升级</w:t>
            </w:r>
          </w:p>
          <w:p w14:paraId="1B7A128E">
            <w:pPr>
              <w:pStyle w:val="2"/>
              <w:spacing w:line="400" w:lineRule="exact"/>
              <w:ind w:firstLine="480"/>
              <w:rPr>
                <w:rFonts w:hint="eastAsia" w:ascii="宋体" w:hAnsi="宋体" w:cs="宋体"/>
                <w:sz w:val="21"/>
                <w:szCs w:val="21"/>
              </w:rPr>
            </w:pPr>
            <w:r>
              <w:rPr>
                <w:rFonts w:ascii="宋体" w:hAnsi="宋体" w:cs="宋体"/>
                <w:sz w:val="21"/>
                <w:szCs w:val="21"/>
              </w:rPr>
              <w:t>升级网站系统应内置对模板文件和风格文件的管理功能。支持按站点对模板/风格文件进行逻辑隔离。模板文件应支持预览、编辑、删除、重命名、移动、复制、查看绑定此模板的节点/内容等操作。</w:t>
            </w:r>
          </w:p>
          <w:p w14:paraId="6BFE20ED">
            <w:pPr>
              <w:pStyle w:val="2"/>
              <w:spacing w:line="400" w:lineRule="exact"/>
              <w:ind w:firstLine="480"/>
              <w:rPr>
                <w:rFonts w:hint="eastAsia" w:ascii="宋体" w:hAnsi="宋体" w:cs="宋体"/>
                <w:sz w:val="21"/>
                <w:szCs w:val="21"/>
              </w:rPr>
            </w:pPr>
            <w:r>
              <w:rPr>
                <w:rFonts w:ascii="宋体" w:hAnsi="宋体" w:cs="宋体"/>
                <w:sz w:val="21"/>
                <w:szCs w:val="21"/>
              </w:rPr>
              <w:t>网站系统对模板的编辑应同时支持代码编辑和可视化编辑两种模式。代码模式编辑模板时，应支持类似常用的代码编辑器一样的代码语法高亮显示，应支持在代码编辑区的当前光标位置插入组件、系统对象和方法，对于代码编辑区中的组件、系统对象及方法应支持可视化设置参数。可视化编辑模板时，应展现模板解析后的最终效果，以实现所见即所得的编辑效果，应支持从拖拽组件或HTML元素到模板效果编辑区中的指定位置，对于模板中调用的组件应支持删除和可视化设置组件参数。</w:t>
            </w:r>
          </w:p>
          <w:p w14:paraId="57B8D4F7">
            <w:pPr>
              <w:pStyle w:val="2"/>
              <w:spacing w:line="400" w:lineRule="exact"/>
              <w:ind w:firstLine="480"/>
              <w:rPr>
                <w:rFonts w:hint="eastAsia" w:ascii="宋体" w:hAnsi="宋体" w:cs="宋体"/>
                <w:sz w:val="21"/>
                <w:szCs w:val="21"/>
              </w:rPr>
            </w:pPr>
            <w:r>
              <w:rPr>
                <w:rFonts w:ascii="宋体" w:hAnsi="宋体" w:cs="宋体"/>
                <w:sz w:val="21"/>
                <w:szCs w:val="21"/>
              </w:rPr>
              <w:t>3.用户权限模块升级</w:t>
            </w:r>
          </w:p>
          <w:p w14:paraId="5F4D37C3">
            <w:pPr>
              <w:pStyle w:val="2"/>
              <w:spacing w:line="400" w:lineRule="exact"/>
              <w:ind w:firstLine="480"/>
              <w:rPr>
                <w:rFonts w:hint="eastAsia" w:ascii="宋体" w:hAnsi="宋体" w:cs="宋体"/>
                <w:sz w:val="21"/>
                <w:szCs w:val="21"/>
              </w:rPr>
            </w:pPr>
            <w:r>
              <w:rPr>
                <w:rFonts w:ascii="宋体" w:hAnsi="宋体" w:cs="宋体"/>
                <w:sz w:val="21"/>
                <w:szCs w:val="21"/>
              </w:rPr>
              <w:t>应支持按节点批量设置权限和按管理员批量设置权限两种操作方式，按节点批量设置权限指可以批量添加或替换指定节点的各节点角色的管理员，按管理员批量设置权限指可以批量添加或替换指定管理员在各节点中的节点角色。</w:t>
            </w:r>
          </w:p>
          <w:p w14:paraId="6B55E80A">
            <w:pPr>
              <w:pStyle w:val="2"/>
              <w:spacing w:line="400" w:lineRule="exact"/>
              <w:ind w:firstLine="480"/>
              <w:rPr>
                <w:rFonts w:hint="eastAsia" w:ascii="宋体" w:hAnsi="宋体" w:cs="宋体"/>
                <w:sz w:val="21"/>
                <w:szCs w:val="21"/>
              </w:rPr>
            </w:pPr>
            <w:r>
              <w:rPr>
                <w:rFonts w:ascii="宋体" w:hAnsi="宋体" w:cs="宋体"/>
                <w:sz w:val="21"/>
                <w:szCs w:val="21"/>
              </w:rPr>
              <w:t>4.编辑器模块升级</w:t>
            </w:r>
          </w:p>
          <w:p w14:paraId="03ACA9EA">
            <w:pPr>
              <w:pStyle w:val="2"/>
              <w:spacing w:line="400" w:lineRule="exact"/>
              <w:ind w:firstLine="480"/>
              <w:rPr>
                <w:rFonts w:hint="eastAsia" w:ascii="宋体" w:hAnsi="宋体" w:cs="宋体"/>
                <w:sz w:val="21"/>
                <w:szCs w:val="21"/>
              </w:rPr>
            </w:pPr>
            <w:r>
              <w:rPr>
                <w:rFonts w:ascii="宋体" w:hAnsi="宋体" w:cs="宋体"/>
                <w:sz w:val="21"/>
                <w:szCs w:val="21"/>
              </w:rPr>
              <w:t>应支持整合错别字和敏感字检查，对于发现的每个错别字和敏感字，点击时编辑器中的内容中同步定位相应位置并标记显示，编辑人员可以人工确认，确认是错别字和敏感字时可点击“更正”按钮让系统自动更正。</w:t>
            </w:r>
          </w:p>
          <w:p w14:paraId="7D4D142B">
            <w:pPr>
              <w:pStyle w:val="2"/>
              <w:spacing w:line="400" w:lineRule="exact"/>
              <w:ind w:firstLine="480"/>
              <w:rPr>
                <w:rFonts w:hint="eastAsia" w:ascii="宋体" w:hAnsi="宋体" w:cs="宋体"/>
                <w:sz w:val="21"/>
                <w:szCs w:val="21"/>
              </w:rPr>
            </w:pPr>
            <w:r>
              <w:rPr>
                <w:rFonts w:ascii="宋体" w:hAnsi="宋体" w:cs="宋体"/>
                <w:sz w:val="21"/>
                <w:szCs w:val="21"/>
              </w:rPr>
              <w:t>在编辑器左侧显示目录结构，可以自动根据内容中的标题来生成文档目录结构，并在内容目录结构发生变化时同步更新。</w:t>
            </w:r>
          </w:p>
          <w:p w14:paraId="0D954D0F">
            <w:pPr>
              <w:pStyle w:val="2"/>
              <w:spacing w:line="400" w:lineRule="exact"/>
              <w:ind w:firstLine="480"/>
              <w:rPr>
                <w:rFonts w:hint="eastAsia" w:ascii="宋体" w:hAnsi="宋体" w:cs="宋体"/>
                <w:sz w:val="21"/>
                <w:szCs w:val="21"/>
              </w:rPr>
            </w:pPr>
            <w:r>
              <w:rPr>
                <w:rFonts w:ascii="宋体" w:hAnsi="宋体" w:cs="宋体"/>
                <w:sz w:val="21"/>
                <w:szCs w:val="21"/>
              </w:rPr>
              <w:t>5.文件上传模块升级</w:t>
            </w:r>
          </w:p>
          <w:p w14:paraId="1CC4F2B2">
            <w:pPr>
              <w:pStyle w:val="2"/>
              <w:spacing w:line="400" w:lineRule="exact"/>
              <w:ind w:firstLine="480"/>
              <w:rPr>
                <w:rFonts w:hint="eastAsia" w:ascii="宋体" w:hAnsi="宋体" w:cs="宋体"/>
                <w:sz w:val="21"/>
                <w:szCs w:val="21"/>
              </w:rPr>
            </w:pPr>
            <w:r>
              <w:rPr>
                <w:rFonts w:ascii="宋体" w:hAnsi="宋体" w:cs="宋体"/>
                <w:sz w:val="21"/>
                <w:szCs w:val="21"/>
              </w:rPr>
              <w:t>应支持在“文件内容中搜索”功能。对于常用的办公文档（比如Word、Excel、PPT、TXT、PDF文件），可以搜索文件内容中存在搜索关键字的文件，搜索时支持区分大小写、全字匹配、使用正则表达式，支持限定搜索范围。应支持搜索任务队列设计，以支持多人同时搜索且不过高占用服务器资源。应支持在文件内容搜索结果页可以直接预览文件内容并定位搜索结果。</w:t>
            </w:r>
          </w:p>
          <w:p w14:paraId="10DB7E9E">
            <w:pPr>
              <w:pStyle w:val="2"/>
              <w:spacing w:line="400" w:lineRule="exact"/>
              <w:ind w:firstLine="480"/>
              <w:rPr>
                <w:rFonts w:hint="eastAsia" w:ascii="宋体" w:hAnsi="宋体" w:cs="宋体"/>
                <w:sz w:val="21"/>
                <w:szCs w:val="21"/>
              </w:rPr>
            </w:pPr>
            <w:r>
              <w:rPr>
                <w:rFonts w:ascii="宋体" w:hAnsi="宋体" w:cs="宋体"/>
                <w:sz w:val="21"/>
                <w:szCs w:val="21"/>
              </w:rPr>
              <w:t>6.内容审核模块升级</w:t>
            </w:r>
          </w:p>
          <w:p w14:paraId="328C3C18">
            <w:pPr>
              <w:pStyle w:val="2"/>
              <w:spacing w:line="400" w:lineRule="exact"/>
              <w:ind w:firstLine="480"/>
              <w:rPr>
                <w:rFonts w:hint="eastAsia" w:ascii="宋体" w:hAnsi="宋体" w:cs="宋体"/>
                <w:sz w:val="21"/>
                <w:szCs w:val="21"/>
              </w:rPr>
            </w:pPr>
            <w:r>
              <w:rPr>
                <w:rFonts w:ascii="宋体" w:hAnsi="宋体" w:cs="宋体"/>
                <w:sz w:val="21"/>
                <w:szCs w:val="21"/>
              </w:rPr>
              <w:t>应支持逐级审核和跨级审核两种模式。当设置成“逐级审核”时，则对于同一篇待审信息，下一步骤的管理员必须等待上一步骤的管理员审核通过后才能在“待我审核的信息”列表中看到并进行审核操作。当设置成“允许跨级审核”时，对于同一篇待审信息，流程中的所有步骤的管理员都可以在“待我审核的信息”列表中看到并进行审核操作，后面步骤的管理员可以跳过前面步骤直接审核通过。</w:t>
            </w:r>
          </w:p>
          <w:p w14:paraId="6EDBC66B">
            <w:pPr>
              <w:pStyle w:val="2"/>
              <w:spacing w:line="400" w:lineRule="exact"/>
              <w:ind w:firstLine="480"/>
              <w:rPr>
                <w:rFonts w:hint="eastAsia" w:ascii="宋体" w:hAnsi="宋体" w:cs="宋体"/>
                <w:sz w:val="21"/>
                <w:szCs w:val="21"/>
              </w:rPr>
            </w:pPr>
            <w:r>
              <w:rPr>
                <w:rFonts w:ascii="宋体" w:hAnsi="宋体" w:cs="宋体"/>
                <w:sz w:val="21"/>
                <w:szCs w:val="21"/>
              </w:rPr>
              <w:t>▲六、广西“生态云”统一支撑平台升级</w:t>
            </w:r>
          </w:p>
          <w:p w14:paraId="31334571">
            <w:pPr>
              <w:pStyle w:val="2"/>
              <w:spacing w:line="400" w:lineRule="exact"/>
              <w:ind w:firstLine="480"/>
              <w:rPr>
                <w:rFonts w:hint="eastAsia" w:ascii="宋体" w:hAnsi="宋体" w:cs="宋体"/>
                <w:sz w:val="21"/>
                <w:szCs w:val="21"/>
              </w:rPr>
            </w:pPr>
            <w:r>
              <w:rPr>
                <w:rFonts w:ascii="宋体" w:hAnsi="宋体" w:cs="宋体"/>
                <w:sz w:val="21"/>
                <w:szCs w:val="21"/>
              </w:rPr>
              <w:t>对广西</w:t>
            </w:r>
            <w:r>
              <w:rPr>
                <w:rFonts w:hint="eastAsia" w:ascii="宋体" w:hAnsi="宋体" w:cs="宋体"/>
                <w:sz w:val="21"/>
                <w:szCs w:val="21"/>
              </w:rPr>
              <w:t>“</w:t>
            </w:r>
            <w:r>
              <w:rPr>
                <w:rFonts w:ascii="宋体" w:hAnsi="宋体" w:cs="宋体"/>
                <w:sz w:val="21"/>
                <w:szCs w:val="21"/>
              </w:rPr>
              <w:t>生态云</w:t>
            </w:r>
            <w:r>
              <w:rPr>
                <w:rFonts w:hint="eastAsia" w:ascii="宋体" w:hAnsi="宋体" w:cs="宋体"/>
                <w:sz w:val="21"/>
                <w:szCs w:val="21"/>
              </w:rPr>
              <w:t>”</w:t>
            </w:r>
            <w:r>
              <w:rPr>
                <w:rFonts w:ascii="宋体" w:hAnsi="宋体" w:cs="宋体"/>
                <w:sz w:val="21"/>
                <w:szCs w:val="21"/>
              </w:rPr>
              <w:t>统一支撑平台进行升级，购置400个隐写溯源授权，授权服务可提供以下功能：</w:t>
            </w:r>
          </w:p>
          <w:p w14:paraId="554D555D">
            <w:pPr>
              <w:pStyle w:val="2"/>
              <w:spacing w:line="400" w:lineRule="exact"/>
              <w:ind w:firstLine="480"/>
              <w:rPr>
                <w:rFonts w:hint="eastAsia" w:ascii="宋体" w:hAnsi="宋体" w:cs="宋体"/>
                <w:sz w:val="21"/>
                <w:szCs w:val="21"/>
              </w:rPr>
            </w:pPr>
            <w:r>
              <w:rPr>
                <w:rFonts w:ascii="宋体" w:hAnsi="宋体" w:cs="宋体"/>
                <w:sz w:val="21"/>
                <w:szCs w:val="21"/>
              </w:rPr>
              <w:t>（一）隐形网页水印</w:t>
            </w:r>
          </w:p>
          <w:p w14:paraId="184F0A5D">
            <w:pPr>
              <w:pStyle w:val="2"/>
              <w:spacing w:line="400" w:lineRule="exact"/>
              <w:ind w:firstLine="480"/>
              <w:rPr>
                <w:rFonts w:hint="eastAsia" w:ascii="宋体" w:hAnsi="宋体" w:cs="宋体"/>
                <w:sz w:val="21"/>
                <w:szCs w:val="21"/>
              </w:rPr>
            </w:pPr>
            <w:r>
              <w:rPr>
                <w:rFonts w:ascii="宋体" w:hAnsi="宋体" w:cs="宋体"/>
                <w:sz w:val="21"/>
                <w:szCs w:val="21"/>
              </w:rPr>
              <w:t>通过服务端集成隐形水印功能，用户登录系统后，通过浏览器 URL 获取的页面插入用户单位 ID、用户 ID、用户姓名、当前时间等隐形水印信息。可设置针对特定用户 ID 开启水印溯源功能，并支持自定义配置水印信息。</w:t>
            </w:r>
          </w:p>
          <w:p w14:paraId="402B7A33">
            <w:pPr>
              <w:pStyle w:val="2"/>
              <w:spacing w:line="400" w:lineRule="exact"/>
              <w:ind w:firstLine="480"/>
              <w:rPr>
                <w:rFonts w:hint="eastAsia" w:ascii="宋体" w:hAnsi="宋体" w:cs="宋体"/>
                <w:sz w:val="21"/>
                <w:szCs w:val="21"/>
              </w:rPr>
            </w:pPr>
            <w:r>
              <w:rPr>
                <w:rFonts w:ascii="宋体" w:hAnsi="宋体" w:cs="宋体"/>
                <w:sz w:val="21"/>
                <w:szCs w:val="21"/>
              </w:rPr>
              <w:t>（二）溯源取证</w:t>
            </w:r>
          </w:p>
          <w:p w14:paraId="0854619B">
            <w:pPr>
              <w:pStyle w:val="2"/>
              <w:spacing w:line="400" w:lineRule="exact"/>
              <w:ind w:firstLine="480"/>
              <w:rPr>
                <w:rFonts w:hint="eastAsia" w:ascii="宋体" w:hAnsi="宋体" w:cs="宋体"/>
                <w:sz w:val="21"/>
                <w:szCs w:val="21"/>
              </w:rPr>
            </w:pPr>
            <w:r>
              <w:rPr>
                <w:rFonts w:ascii="宋体" w:hAnsi="宋体" w:cs="宋体"/>
                <w:sz w:val="21"/>
                <w:szCs w:val="21"/>
              </w:rPr>
              <w:t>系统部署完毕后，发布溯源取证登录地址，系统完成授权后，可以实现溯源取证功能。包括上传图片、自助取证、重新取证、查看报告等功能。</w:t>
            </w:r>
          </w:p>
          <w:p w14:paraId="52C2A385">
            <w:pPr>
              <w:pStyle w:val="2"/>
              <w:spacing w:line="400" w:lineRule="exact"/>
              <w:ind w:firstLine="480"/>
              <w:rPr>
                <w:rFonts w:hint="eastAsia" w:ascii="宋体" w:hAnsi="宋体" w:cs="宋体"/>
                <w:sz w:val="21"/>
                <w:szCs w:val="21"/>
              </w:rPr>
            </w:pPr>
            <w:r>
              <w:rPr>
                <w:rFonts w:ascii="宋体" w:hAnsi="宋体" w:cs="宋体"/>
                <w:sz w:val="21"/>
                <w:szCs w:val="21"/>
              </w:rPr>
              <w:t>（三）性能和配置</w:t>
            </w:r>
          </w:p>
          <w:p w14:paraId="1125AE75">
            <w:pPr>
              <w:pStyle w:val="2"/>
              <w:spacing w:line="400" w:lineRule="exact"/>
              <w:ind w:firstLine="480"/>
              <w:rPr>
                <w:rFonts w:hint="eastAsia" w:ascii="宋体" w:hAnsi="宋体" w:cs="宋体"/>
                <w:sz w:val="21"/>
                <w:szCs w:val="21"/>
              </w:rPr>
            </w:pPr>
            <w:r>
              <w:rPr>
                <w:rFonts w:ascii="宋体" w:hAnsi="宋体" w:cs="宋体"/>
                <w:sz w:val="21"/>
                <w:szCs w:val="21"/>
              </w:rPr>
              <w:t>1.软件功能：</w:t>
            </w:r>
          </w:p>
          <w:p w14:paraId="0273C976">
            <w:pPr>
              <w:pStyle w:val="2"/>
              <w:spacing w:line="400" w:lineRule="exact"/>
              <w:ind w:firstLine="480"/>
              <w:rPr>
                <w:rFonts w:hint="eastAsia" w:ascii="宋体" w:hAnsi="宋体" w:cs="宋体"/>
                <w:sz w:val="21"/>
                <w:szCs w:val="21"/>
              </w:rPr>
            </w:pPr>
            <w:r>
              <w:rPr>
                <w:rFonts w:ascii="宋体" w:hAnsi="宋体" w:cs="宋体"/>
                <w:sz w:val="21"/>
                <w:szCs w:val="21"/>
              </w:rPr>
              <w:t>（1）终端屏幕隐形水印嵌入，终端屏幕的每一帧显示画面都实时嵌入唯一的隐形水印，屏幕显示内容均可通过水印进行保护，包括各类网页、文档、代码、设计图等；</w:t>
            </w:r>
          </w:p>
          <w:p w14:paraId="358AA973">
            <w:pPr>
              <w:pStyle w:val="2"/>
              <w:spacing w:line="400" w:lineRule="exact"/>
              <w:ind w:firstLine="480"/>
              <w:rPr>
                <w:rFonts w:hint="eastAsia" w:ascii="宋体" w:hAnsi="宋体" w:cs="宋体"/>
                <w:sz w:val="21"/>
                <w:szCs w:val="21"/>
              </w:rPr>
            </w:pPr>
            <w:r>
              <w:rPr>
                <w:rFonts w:ascii="宋体" w:hAnsi="宋体" w:cs="宋体"/>
                <w:sz w:val="21"/>
                <w:szCs w:val="21"/>
              </w:rPr>
              <w:t>（2）终端文档隐形水印嵌入，对终端硬盘各类文档读写进行监控，为新建、编辑、拷贝、接收的各类文档自动嵌入隐形水印和流转标记信息；</w:t>
            </w:r>
          </w:p>
          <w:p w14:paraId="547A2010">
            <w:pPr>
              <w:pStyle w:val="2"/>
              <w:spacing w:line="400" w:lineRule="exact"/>
              <w:ind w:firstLine="480"/>
              <w:rPr>
                <w:rFonts w:hint="eastAsia" w:ascii="宋体" w:hAnsi="宋体" w:cs="宋体"/>
                <w:sz w:val="21"/>
                <w:szCs w:val="21"/>
              </w:rPr>
            </w:pPr>
            <w:r>
              <w:rPr>
                <w:rFonts w:ascii="宋体" w:hAnsi="宋体" w:cs="宋体"/>
                <w:sz w:val="21"/>
                <w:szCs w:val="21"/>
              </w:rPr>
              <w:t>（3）终端网页隐形水印嵌入，web系统在终端浏览器中的显示页面每次访问都会实时嵌入唯一的隐形水印，页面显示内容均可通过水印进行保护；</w:t>
            </w:r>
          </w:p>
          <w:p w14:paraId="6EE911B3">
            <w:pPr>
              <w:pStyle w:val="2"/>
              <w:spacing w:line="400" w:lineRule="exact"/>
              <w:ind w:firstLine="480"/>
              <w:rPr>
                <w:rFonts w:hint="eastAsia" w:ascii="宋体" w:hAnsi="宋体" w:cs="宋体"/>
                <w:sz w:val="21"/>
                <w:szCs w:val="21"/>
              </w:rPr>
            </w:pPr>
            <w:r>
              <w:rPr>
                <w:rFonts w:ascii="宋体" w:hAnsi="宋体" w:cs="宋体"/>
                <w:sz w:val="21"/>
                <w:szCs w:val="21"/>
              </w:rPr>
              <w:t>（4）隐形水印溯源，对已嵌入屏幕/文档/网页隐形水印的终端屏幕进行截屏或拍照产生的泄密图片进行检测分析，提取图片中的隐形水印信息，追溯到泄密终端、泄密用户、泄密时间等信息；</w:t>
            </w:r>
          </w:p>
          <w:p w14:paraId="4CF9F57A">
            <w:pPr>
              <w:pStyle w:val="2"/>
              <w:spacing w:line="400" w:lineRule="exact"/>
              <w:ind w:firstLine="480"/>
              <w:rPr>
                <w:rFonts w:hint="eastAsia" w:ascii="宋体" w:hAnsi="宋体" w:cs="宋体"/>
                <w:sz w:val="21"/>
                <w:szCs w:val="21"/>
              </w:rPr>
            </w:pPr>
            <w:r>
              <w:rPr>
                <w:rFonts w:ascii="宋体" w:hAnsi="宋体" w:cs="宋体"/>
                <w:sz w:val="21"/>
                <w:szCs w:val="21"/>
              </w:rPr>
              <w:t>（5）隐形水印终端管理，对终端进行授权以及下发水印策略，并监控各终端水印服务运行状态；</w:t>
            </w:r>
          </w:p>
          <w:p w14:paraId="6D4A6587">
            <w:pPr>
              <w:pStyle w:val="2"/>
              <w:spacing w:line="400" w:lineRule="exact"/>
              <w:ind w:firstLine="480"/>
              <w:rPr>
                <w:rFonts w:hint="eastAsia" w:ascii="宋体" w:hAnsi="宋体" w:cs="宋体"/>
                <w:sz w:val="21"/>
                <w:szCs w:val="21"/>
              </w:rPr>
            </w:pPr>
            <w:r>
              <w:rPr>
                <w:rFonts w:ascii="宋体" w:hAnsi="宋体" w:cs="宋体"/>
                <w:sz w:val="21"/>
                <w:szCs w:val="21"/>
              </w:rPr>
              <w:t>2.部署要求：</w:t>
            </w:r>
          </w:p>
          <w:p w14:paraId="60BEFF19">
            <w:pPr>
              <w:pStyle w:val="2"/>
              <w:spacing w:line="400" w:lineRule="exact"/>
              <w:ind w:firstLine="480"/>
              <w:rPr>
                <w:rFonts w:hint="eastAsia" w:ascii="宋体" w:hAnsi="宋体" w:cs="宋体"/>
                <w:sz w:val="21"/>
                <w:szCs w:val="21"/>
              </w:rPr>
            </w:pPr>
            <w:r>
              <w:rPr>
                <w:rFonts w:ascii="宋体" w:hAnsi="宋体" w:cs="宋体"/>
                <w:sz w:val="21"/>
                <w:szCs w:val="21"/>
              </w:rPr>
              <w:t>（1）终端水印软件支持安装在各类国产</w:t>
            </w:r>
            <w:r>
              <w:rPr>
                <w:rFonts w:hint="eastAsia" w:ascii="宋体" w:hAnsi="宋体" w:cs="宋体"/>
                <w:sz w:val="21"/>
                <w:szCs w:val="21"/>
              </w:rPr>
              <w:t>操作系统</w:t>
            </w:r>
            <w:r>
              <w:rPr>
                <w:rFonts w:ascii="宋体" w:hAnsi="宋体" w:cs="宋体"/>
                <w:sz w:val="21"/>
                <w:szCs w:val="21"/>
              </w:rPr>
              <w:t>环境，支持龙芯、飞腾、鲲鹏等国产CPU；系统支持UOS、麒麟等国产操作系统；</w:t>
            </w:r>
          </w:p>
          <w:p w14:paraId="0E4BD800">
            <w:pPr>
              <w:pStyle w:val="2"/>
              <w:spacing w:line="400" w:lineRule="exact"/>
              <w:ind w:firstLine="480"/>
              <w:rPr>
                <w:rFonts w:hint="eastAsia" w:ascii="宋体" w:hAnsi="宋体" w:cs="宋体"/>
                <w:sz w:val="21"/>
                <w:szCs w:val="21"/>
              </w:rPr>
            </w:pPr>
            <w:r>
              <w:rPr>
                <w:rFonts w:ascii="宋体" w:hAnsi="宋体" w:cs="宋体"/>
                <w:sz w:val="21"/>
                <w:szCs w:val="21"/>
              </w:rPr>
              <w:t>（2）服务端水印系统支持部署在各类国产服务器环境，支持x86和arm架构芯片，支持UOS、麒麟等国产操作系统；</w:t>
            </w:r>
          </w:p>
          <w:p w14:paraId="471FA071">
            <w:pPr>
              <w:pStyle w:val="2"/>
              <w:spacing w:line="400" w:lineRule="exact"/>
              <w:ind w:firstLine="480"/>
              <w:rPr>
                <w:rFonts w:hint="eastAsia" w:ascii="宋体" w:hAnsi="宋体" w:cs="宋体"/>
                <w:sz w:val="21"/>
                <w:szCs w:val="21"/>
              </w:rPr>
            </w:pPr>
            <w:r>
              <w:rPr>
                <w:rFonts w:ascii="宋体" w:hAnsi="宋体" w:cs="宋体"/>
                <w:sz w:val="21"/>
                <w:szCs w:val="21"/>
              </w:rPr>
              <w:t>（3）服务器支持负载均衡和集群部署，支持多台服务器全功能满负荷同时服务；</w:t>
            </w:r>
          </w:p>
          <w:p w14:paraId="7347BA0B">
            <w:pPr>
              <w:pStyle w:val="2"/>
              <w:spacing w:line="400" w:lineRule="exact"/>
              <w:ind w:firstLine="480"/>
              <w:rPr>
                <w:rFonts w:hint="eastAsia" w:ascii="宋体" w:hAnsi="宋体" w:cs="宋体"/>
                <w:sz w:val="21"/>
                <w:szCs w:val="21"/>
              </w:rPr>
            </w:pPr>
            <w:r>
              <w:rPr>
                <w:rFonts w:ascii="宋体" w:hAnsi="宋体" w:cs="宋体"/>
                <w:sz w:val="21"/>
                <w:szCs w:val="21"/>
              </w:rPr>
              <w:t>3.性能要求：</w:t>
            </w:r>
          </w:p>
          <w:p w14:paraId="6BDA0A9E">
            <w:pPr>
              <w:pStyle w:val="2"/>
              <w:spacing w:line="400" w:lineRule="exact"/>
              <w:ind w:firstLine="480"/>
              <w:rPr>
                <w:rFonts w:hint="eastAsia" w:ascii="宋体" w:hAnsi="宋体" w:cs="宋体"/>
                <w:sz w:val="21"/>
                <w:szCs w:val="21"/>
              </w:rPr>
            </w:pPr>
            <w:r>
              <w:rPr>
                <w:rFonts w:ascii="宋体" w:hAnsi="宋体" w:cs="宋体"/>
                <w:sz w:val="21"/>
                <w:szCs w:val="21"/>
              </w:rPr>
              <w:t>（1）嵌入水印后的图像视觉保真度高，通过视觉观察不会有明显的色差和色块；</w:t>
            </w:r>
          </w:p>
          <w:p w14:paraId="2B09C2D7">
            <w:pPr>
              <w:pStyle w:val="2"/>
              <w:spacing w:line="400" w:lineRule="exact"/>
              <w:ind w:firstLine="480"/>
              <w:rPr>
                <w:rFonts w:hint="eastAsia" w:ascii="宋体" w:hAnsi="宋体" w:cs="宋体"/>
                <w:sz w:val="21"/>
                <w:szCs w:val="21"/>
              </w:rPr>
            </w:pPr>
            <w:r>
              <w:rPr>
                <w:rFonts w:ascii="宋体" w:hAnsi="宋体" w:cs="宋体"/>
                <w:sz w:val="21"/>
                <w:szCs w:val="21"/>
              </w:rPr>
              <w:t>（2）水印中的数字信息能够应对每个用户具有唯一标识；</w:t>
            </w:r>
          </w:p>
          <w:p w14:paraId="5896760D">
            <w:pPr>
              <w:pStyle w:val="2"/>
              <w:spacing w:line="400" w:lineRule="exact"/>
              <w:ind w:firstLine="480"/>
              <w:rPr>
                <w:rFonts w:hint="eastAsia" w:ascii="宋体" w:hAnsi="宋体" w:cs="宋体"/>
                <w:sz w:val="21"/>
                <w:szCs w:val="21"/>
              </w:rPr>
            </w:pPr>
            <w:r>
              <w:rPr>
                <w:rFonts w:ascii="宋体" w:hAnsi="宋体" w:cs="宋体"/>
                <w:sz w:val="21"/>
                <w:szCs w:val="21"/>
              </w:rPr>
              <w:t>（3）水印中的数字信息具有时间信息，精确到分钟；</w:t>
            </w:r>
          </w:p>
          <w:p w14:paraId="19019098">
            <w:pPr>
              <w:pStyle w:val="2"/>
              <w:spacing w:line="400" w:lineRule="exact"/>
              <w:ind w:firstLine="480"/>
              <w:rPr>
                <w:rFonts w:hint="eastAsia" w:ascii="宋体" w:hAnsi="宋体" w:cs="宋体"/>
                <w:sz w:val="21"/>
                <w:szCs w:val="21"/>
              </w:rPr>
            </w:pPr>
            <w:r>
              <w:rPr>
                <w:rFonts w:ascii="宋体" w:hAnsi="宋体" w:cs="宋体"/>
                <w:sz w:val="21"/>
                <w:szCs w:val="21"/>
              </w:rPr>
              <w:t>（4）对终端屏幕局部进行截屏/拍照产生的图片屏占比不低于25%的条件下可溯源；</w:t>
            </w:r>
          </w:p>
          <w:p w14:paraId="06B8CD7A">
            <w:pPr>
              <w:pStyle w:val="2"/>
              <w:spacing w:line="400" w:lineRule="exact"/>
              <w:ind w:firstLine="480"/>
              <w:rPr>
                <w:rFonts w:hint="eastAsia" w:ascii="宋体" w:hAnsi="宋体" w:cs="宋体"/>
                <w:sz w:val="21"/>
                <w:szCs w:val="21"/>
              </w:rPr>
            </w:pPr>
            <w:r>
              <w:rPr>
                <w:rFonts w:ascii="宋体" w:hAnsi="宋体" w:cs="宋体"/>
                <w:sz w:val="21"/>
                <w:szCs w:val="21"/>
              </w:rPr>
              <w:t>（5）对终端屏幕局部进行截屏/拍照产生的图片经过数字变换攻击，仍能被检出；缩放：+-50%；旋转：+-45%；水平/垂直扭曲：+-20；亮度：+-20%；</w:t>
            </w:r>
          </w:p>
          <w:p w14:paraId="435E62D5">
            <w:pPr>
              <w:pStyle w:val="2"/>
              <w:spacing w:line="400" w:lineRule="exact"/>
              <w:ind w:firstLine="480"/>
              <w:rPr>
                <w:rFonts w:hint="eastAsia" w:ascii="宋体" w:hAnsi="宋体" w:cs="宋体"/>
                <w:sz w:val="21"/>
                <w:szCs w:val="21"/>
              </w:rPr>
            </w:pPr>
            <w:r>
              <w:rPr>
                <w:rFonts w:ascii="宋体" w:hAnsi="宋体" w:cs="宋体"/>
                <w:sz w:val="21"/>
                <w:szCs w:val="21"/>
              </w:rPr>
              <w:t>（6）对终端屏幕局部进行截屏/拍照产生的图片灰度处理后可溯源；</w:t>
            </w:r>
          </w:p>
          <w:p w14:paraId="39FC90C5">
            <w:pPr>
              <w:pStyle w:val="2"/>
              <w:spacing w:line="400" w:lineRule="exact"/>
              <w:ind w:firstLine="480"/>
              <w:rPr>
                <w:rFonts w:hint="eastAsia" w:ascii="宋体" w:hAnsi="宋体" w:cs="宋体"/>
                <w:sz w:val="21"/>
                <w:szCs w:val="21"/>
              </w:rPr>
            </w:pPr>
            <w:r>
              <w:rPr>
                <w:rFonts w:ascii="宋体" w:hAnsi="宋体" w:cs="宋体"/>
                <w:sz w:val="21"/>
                <w:szCs w:val="21"/>
              </w:rPr>
              <w:t>（7）对终端屏幕局部进行截屏/拍照产生的图片经过通讯工具或社交媒体转发后可溯源；</w:t>
            </w:r>
          </w:p>
          <w:p w14:paraId="4F1CCDA8">
            <w:pPr>
              <w:pStyle w:val="2"/>
              <w:spacing w:line="400" w:lineRule="exact"/>
              <w:ind w:firstLine="480"/>
              <w:rPr>
                <w:rFonts w:hint="eastAsia" w:ascii="宋体" w:hAnsi="宋体" w:cs="宋体"/>
                <w:sz w:val="21"/>
                <w:szCs w:val="21"/>
              </w:rPr>
            </w:pPr>
            <w:r>
              <w:rPr>
                <w:rFonts w:ascii="宋体" w:hAnsi="宋体" w:cs="宋体"/>
                <w:sz w:val="21"/>
                <w:szCs w:val="21"/>
              </w:rPr>
              <w:t>（8）两个水印叠加显示时可分别进行溯源；</w:t>
            </w:r>
          </w:p>
          <w:p w14:paraId="5471A550">
            <w:pPr>
              <w:pStyle w:val="2"/>
              <w:spacing w:line="400" w:lineRule="exact"/>
              <w:ind w:firstLine="480"/>
              <w:rPr>
                <w:rFonts w:hint="eastAsia" w:ascii="宋体" w:hAnsi="宋体" w:cs="宋体"/>
                <w:sz w:val="21"/>
                <w:szCs w:val="21"/>
              </w:rPr>
            </w:pPr>
            <w:r>
              <w:rPr>
                <w:rFonts w:ascii="宋体" w:hAnsi="宋体" w:cs="宋体"/>
                <w:sz w:val="21"/>
                <w:szCs w:val="21"/>
              </w:rPr>
              <w:t>（9）终端嵌入水印的性能负载：CPU占用率2%</w:t>
            </w:r>
            <w:r>
              <w:rPr>
                <w:rFonts w:hint="eastAsia" w:ascii="宋体" w:hAnsi="宋体" w:cs="宋体"/>
                <w:sz w:val="21"/>
                <w:szCs w:val="21"/>
                <w:lang w:val="en-US" w:eastAsia="zh-CN"/>
              </w:rPr>
              <w:t>及</w:t>
            </w:r>
            <w:r>
              <w:rPr>
                <w:rFonts w:ascii="宋体" w:hAnsi="宋体" w:cs="宋体"/>
                <w:sz w:val="21"/>
                <w:szCs w:val="21"/>
              </w:rPr>
              <w:t>以下，且用户高频操作无感知；</w:t>
            </w:r>
          </w:p>
          <w:p w14:paraId="3DF3EDAE">
            <w:pPr>
              <w:pStyle w:val="2"/>
              <w:spacing w:line="400" w:lineRule="exact"/>
              <w:ind w:firstLine="480"/>
              <w:rPr>
                <w:rFonts w:hint="eastAsia" w:ascii="宋体" w:hAnsi="宋体" w:cs="宋体"/>
                <w:sz w:val="21"/>
                <w:szCs w:val="21"/>
              </w:rPr>
            </w:pPr>
            <w:r>
              <w:rPr>
                <w:rFonts w:ascii="宋体" w:hAnsi="宋体" w:cs="宋体"/>
                <w:sz w:val="21"/>
                <w:szCs w:val="21"/>
              </w:rPr>
              <w:t>（10）溯源可以溯源定位终端计算机的型号、MAC地址、IP和操作系统用户名，可以具体定位具体的计算机和用户。</w:t>
            </w:r>
          </w:p>
          <w:p w14:paraId="658C2424">
            <w:pPr>
              <w:pStyle w:val="2"/>
              <w:spacing w:line="400" w:lineRule="exact"/>
              <w:ind w:firstLine="480"/>
              <w:rPr>
                <w:rFonts w:hint="eastAsia" w:ascii="宋体" w:hAnsi="宋体" w:cs="宋体"/>
                <w:sz w:val="21"/>
                <w:szCs w:val="21"/>
              </w:rPr>
            </w:pPr>
            <w:r>
              <w:rPr>
                <w:rFonts w:ascii="宋体" w:hAnsi="宋体" w:cs="宋体"/>
                <w:sz w:val="21"/>
                <w:szCs w:val="21"/>
              </w:rPr>
              <w:t>七、数据工程</w:t>
            </w:r>
          </w:p>
          <w:p w14:paraId="56105600">
            <w:pPr>
              <w:pStyle w:val="2"/>
              <w:spacing w:line="400" w:lineRule="exact"/>
              <w:ind w:firstLine="480"/>
              <w:rPr>
                <w:rFonts w:hint="eastAsia" w:ascii="宋体" w:hAnsi="宋体" w:cs="宋体"/>
                <w:sz w:val="21"/>
                <w:szCs w:val="21"/>
              </w:rPr>
            </w:pPr>
            <w:r>
              <w:rPr>
                <w:rFonts w:ascii="宋体" w:hAnsi="宋体" w:cs="宋体"/>
                <w:sz w:val="21"/>
                <w:szCs w:val="21"/>
              </w:rPr>
              <w:t>▲（一）总体要求</w:t>
            </w:r>
          </w:p>
          <w:p w14:paraId="4103F7A7">
            <w:pPr>
              <w:pStyle w:val="2"/>
              <w:spacing w:line="400" w:lineRule="exact"/>
              <w:ind w:firstLine="480"/>
              <w:rPr>
                <w:rFonts w:hint="eastAsia" w:ascii="宋体" w:hAnsi="宋体" w:cs="宋体"/>
                <w:sz w:val="21"/>
                <w:szCs w:val="21"/>
              </w:rPr>
            </w:pPr>
            <w:r>
              <w:rPr>
                <w:rFonts w:ascii="宋体" w:hAnsi="宋体" w:cs="宋体"/>
                <w:sz w:val="21"/>
                <w:szCs w:val="21"/>
              </w:rPr>
              <w:t>依托生态环境数据资源平台能力，根据本标包实际建设的情况，并根据生态环境数据资源平台的数据资源体系对历史数据进行治理，搭建应用的专题数据库。</w:t>
            </w:r>
          </w:p>
          <w:p w14:paraId="78514BD5">
            <w:pPr>
              <w:pStyle w:val="2"/>
              <w:spacing w:line="400" w:lineRule="exact"/>
              <w:ind w:firstLine="480"/>
              <w:rPr>
                <w:rFonts w:hint="eastAsia" w:ascii="宋体" w:hAnsi="宋体" w:cs="宋体"/>
                <w:sz w:val="21"/>
                <w:szCs w:val="21"/>
              </w:rPr>
            </w:pPr>
            <w:r>
              <w:rPr>
                <w:rFonts w:ascii="宋体" w:hAnsi="宋体" w:cs="宋体"/>
                <w:sz w:val="21"/>
                <w:szCs w:val="21"/>
              </w:rPr>
              <w:t>▲（二）数据工程建设内容</w:t>
            </w:r>
          </w:p>
          <w:p w14:paraId="6D25106B">
            <w:pPr>
              <w:pStyle w:val="2"/>
              <w:spacing w:line="400" w:lineRule="exact"/>
              <w:ind w:firstLine="480"/>
              <w:rPr>
                <w:rFonts w:hint="eastAsia" w:ascii="宋体" w:hAnsi="宋体" w:cs="宋体"/>
                <w:sz w:val="21"/>
                <w:szCs w:val="21"/>
              </w:rPr>
            </w:pPr>
            <w:r>
              <w:rPr>
                <w:rFonts w:ascii="宋体" w:hAnsi="宋体" w:cs="宋体"/>
                <w:sz w:val="21"/>
                <w:szCs w:val="21"/>
              </w:rPr>
              <w:t>1.数据迁移</w:t>
            </w:r>
          </w:p>
          <w:p w14:paraId="6C35D69F">
            <w:pPr>
              <w:pStyle w:val="2"/>
              <w:spacing w:line="400" w:lineRule="exact"/>
              <w:ind w:firstLine="480"/>
              <w:rPr>
                <w:rFonts w:hint="eastAsia" w:ascii="宋体" w:hAnsi="宋体" w:cs="宋体"/>
                <w:sz w:val="21"/>
                <w:szCs w:val="21"/>
              </w:rPr>
            </w:pPr>
            <w:r>
              <w:rPr>
                <w:rFonts w:ascii="宋体" w:hAnsi="宋体" w:cs="宋体"/>
                <w:sz w:val="21"/>
                <w:szCs w:val="21"/>
              </w:rPr>
              <w:t>（1）迁移数据源识别和评估</w:t>
            </w:r>
          </w:p>
          <w:p w14:paraId="48FBD88A">
            <w:pPr>
              <w:pStyle w:val="2"/>
              <w:spacing w:line="400" w:lineRule="exact"/>
              <w:ind w:firstLine="480"/>
              <w:rPr>
                <w:rFonts w:hint="eastAsia" w:ascii="宋体" w:hAnsi="宋体" w:cs="宋体"/>
                <w:sz w:val="21"/>
                <w:szCs w:val="21"/>
              </w:rPr>
            </w:pPr>
            <w:r>
              <w:rPr>
                <w:rFonts w:hint="eastAsia" w:ascii="宋体" w:hAnsi="宋体" w:cs="宋体"/>
                <w:sz w:val="21"/>
                <w:szCs w:val="21"/>
              </w:rPr>
              <w:t>广西生态环境信息化建设项目</w:t>
            </w:r>
            <w:r>
              <w:rPr>
                <w:rFonts w:ascii="宋体" w:hAnsi="宋体" w:cs="宋体"/>
                <w:sz w:val="21"/>
                <w:szCs w:val="21"/>
              </w:rPr>
              <w:t>应用系统进行相关数据迁移部署。</w:t>
            </w:r>
          </w:p>
          <w:p w14:paraId="18A8E6B9">
            <w:pPr>
              <w:pStyle w:val="2"/>
              <w:spacing w:line="400" w:lineRule="exact"/>
              <w:ind w:firstLine="480"/>
              <w:rPr>
                <w:rFonts w:hint="eastAsia" w:ascii="宋体" w:hAnsi="宋体" w:cs="宋体"/>
                <w:sz w:val="21"/>
                <w:szCs w:val="21"/>
              </w:rPr>
            </w:pPr>
            <w:r>
              <w:rPr>
                <w:rFonts w:hint="eastAsia" w:ascii="宋体" w:hAnsi="宋体" w:cs="宋体"/>
                <w:sz w:val="21"/>
                <w:szCs w:val="21"/>
              </w:rPr>
              <w:t>（2）数据迁移目标：采用分步试点验证，风险最小化，安全回滚保障等措施确保实现迁移目标。</w:t>
            </w:r>
          </w:p>
          <w:p w14:paraId="580D4C69">
            <w:pPr>
              <w:pStyle w:val="2"/>
              <w:spacing w:line="400" w:lineRule="exact"/>
              <w:ind w:firstLine="480"/>
              <w:rPr>
                <w:rFonts w:hint="eastAsia" w:ascii="宋体" w:hAnsi="宋体" w:cs="宋体"/>
                <w:sz w:val="21"/>
                <w:szCs w:val="21"/>
              </w:rPr>
            </w:pPr>
            <w:r>
              <w:rPr>
                <w:rFonts w:hint="eastAsia" w:ascii="宋体" w:hAnsi="宋体" w:cs="宋体"/>
                <w:sz w:val="21"/>
                <w:szCs w:val="21"/>
              </w:rPr>
              <w:t>（3）数据迁移计划编制：包含发布公告、原平台停用、原应用备份、原数据备份、原平台网络策略备份等内容</w:t>
            </w:r>
          </w:p>
          <w:p w14:paraId="772B9609">
            <w:pPr>
              <w:pStyle w:val="2"/>
              <w:spacing w:line="400" w:lineRule="exact"/>
              <w:ind w:firstLine="480"/>
              <w:rPr>
                <w:rFonts w:hint="eastAsia" w:ascii="宋体" w:hAnsi="宋体" w:cs="宋体"/>
                <w:sz w:val="21"/>
                <w:szCs w:val="21"/>
              </w:rPr>
            </w:pPr>
            <w:r>
              <w:rPr>
                <w:rFonts w:ascii="宋体" w:hAnsi="宋体" w:cs="宋体"/>
                <w:sz w:val="21"/>
                <w:szCs w:val="21"/>
              </w:rPr>
              <w:t>（4）数据迁移实施。根据业务实际需求可包括基础硬件、基础网络、基础安全、业务软件部署等。其中，业务软件部署包括系统适配测试流程、系统性能验证、测试结果分析及调优、适配测试用例、国产JDK适配、前端页面适配改造、服务端代码重构适配、业务逻辑代码重构适配等。</w:t>
            </w:r>
          </w:p>
          <w:p w14:paraId="4DF99C9B">
            <w:pPr>
              <w:pStyle w:val="2"/>
              <w:spacing w:line="400" w:lineRule="exact"/>
              <w:ind w:firstLine="480"/>
              <w:rPr>
                <w:rFonts w:hint="eastAsia" w:ascii="宋体" w:hAnsi="宋体" w:cs="宋体"/>
                <w:sz w:val="21"/>
                <w:szCs w:val="21"/>
              </w:rPr>
            </w:pPr>
            <w:r>
              <w:rPr>
                <w:rFonts w:ascii="宋体" w:hAnsi="宋体" w:cs="宋体"/>
                <w:sz w:val="21"/>
                <w:szCs w:val="21"/>
              </w:rPr>
              <w:t>（5）数据迁移部署。涉及的数据库包括基础数据库、专题库、共享库、主题库等，根据业务实际需要迁移部署，用于存储本项目涉及的各种业务数据、管理数据等。流程包括数据迁移工具准备、迁移前评估分析、迁移前数据检查处理、存量数据迁移等。</w:t>
            </w:r>
          </w:p>
          <w:p w14:paraId="1813AD46">
            <w:pPr>
              <w:pStyle w:val="2"/>
              <w:spacing w:line="400" w:lineRule="exact"/>
              <w:ind w:firstLine="480"/>
              <w:rPr>
                <w:rFonts w:hint="eastAsia" w:ascii="宋体" w:hAnsi="宋体" w:cs="宋体"/>
                <w:sz w:val="21"/>
                <w:szCs w:val="21"/>
              </w:rPr>
            </w:pPr>
            <w:r>
              <w:rPr>
                <w:rFonts w:ascii="宋体" w:hAnsi="宋体" w:cs="宋体"/>
                <w:sz w:val="21"/>
                <w:szCs w:val="21"/>
              </w:rPr>
              <w:t>（6）迁移后数据验证：空间数据检查与处理、属性数据检查与处理等。</w:t>
            </w:r>
          </w:p>
          <w:p w14:paraId="13BCE44C">
            <w:pPr>
              <w:pStyle w:val="2"/>
              <w:spacing w:line="400" w:lineRule="exact"/>
              <w:ind w:firstLine="480"/>
              <w:rPr>
                <w:rFonts w:hint="eastAsia" w:ascii="宋体" w:hAnsi="宋体" w:cs="宋体"/>
                <w:sz w:val="21"/>
                <w:szCs w:val="21"/>
              </w:rPr>
            </w:pPr>
            <w:r>
              <w:rPr>
                <w:rFonts w:hint="eastAsia" w:ascii="宋体" w:hAnsi="宋体" w:cs="宋体"/>
                <w:sz w:val="21"/>
                <w:szCs w:val="21"/>
              </w:rPr>
              <w:t>（7）迁移后数据测试和优化：包含数据库适配测试、数据库调优等内容</w:t>
            </w:r>
          </w:p>
          <w:p w14:paraId="3E5AD7B5">
            <w:pPr>
              <w:pStyle w:val="2"/>
              <w:spacing w:line="400" w:lineRule="exact"/>
              <w:ind w:firstLine="480"/>
              <w:rPr>
                <w:rFonts w:hint="eastAsia" w:ascii="宋体" w:hAnsi="宋体" w:cs="宋体"/>
                <w:sz w:val="21"/>
                <w:szCs w:val="21"/>
              </w:rPr>
            </w:pPr>
            <w:r>
              <w:rPr>
                <w:rFonts w:ascii="宋体" w:hAnsi="宋体" w:cs="宋体"/>
                <w:sz w:val="21"/>
                <w:szCs w:val="21"/>
              </w:rPr>
              <w:t>（8）平台回滚方案。包括回滚目标和原则、回滚触发条件、回滚前数据备份策略、回滚流程、各方主要职责、测试策略、测试流程、测试方法、测试内容、回滚组织计划等。</w:t>
            </w:r>
          </w:p>
          <w:p w14:paraId="2125874A">
            <w:pPr>
              <w:pStyle w:val="2"/>
              <w:spacing w:line="400" w:lineRule="exact"/>
              <w:ind w:firstLine="480"/>
              <w:rPr>
                <w:rFonts w:hint="eastAsia" w:ascii="宋体" w:hAnsi="宋体" w:cs="宋体"/>
                <w:sz w:val="21"/>
                <w:szCs w:val="21"/>
              </w:rPr>
            </w:pPr>
            <w:r>
              <w:rPr>
                <w:rFonts w:ascii="宋体" w:hAnsi="宋体" w:cs="宋体"/>
                <w:sz w:val="21"/>
                <w:szCs w:val="21"/>
              </w:rPr>
              <w:t>2.数据治理</w:t>
            </w:r>
          </w:p>
          <w:p w14:paraId="03F6AFA7">
            <w:pPr>
              <w:pStyle w:val="2"/>
              <w:spacing w:line="400" w:lineRule="exact"/>
              <w:ind w:firstLine="480"/>
              <w:rPr>
                <w:rFonts w:hint="eastAsia" w:ascii="宋体" w:hAnsi="宋体" w:cs="宋体"/>
                <w:sz w:val="21"/>
                <w:szCs w:val="21"/>
              </w:rPr>
            </w:pPr>
            <w:r>
              <w:rPr>
                <w:rFonts w:ascii="宋体" w:hAnsi="宋体" w:cs="宋体"/>
                <w:sz w:val="21"/>
                <w:szCs w:val="21"/>
              </w:rPr>
              <w:t>利用生态环境数据资源平台能力，实现相关数据的采集、治理、管理与共享交换，从制度、标准、监控、流程结果方面提升数据信息管理能力，解决目前所面临的数据标准问题、数据质量问题、元数据管理问题。建立统一、规范并且唯一的数据标准来解决信息交互、集成、统计、决策等诸多难题，有效地提高检验管理过程控制和质量。</w:t>
            </w:r>
          </w:p>
          <w:p w14:paraId="191BB863">
            <w:pPr>
              <w:pStyle w:val="2"/>
              <w:spacing w:line="400" w:lineRule="exact"/>
              <w:ind w:firstLine="480"/>
              <w:rPr>
                <w:rFonts w:hint="eastAsia" w:ascii="宋体" w:hAnsi="宋体" w:cs="宋体"/>
                <w:sz w:val="21"/>
                <w:szCs w:val="21"/>
              </w:rPr>
            </w:pPr>
            <w:r>
              <w:rPr>
                <w:rFonts w:ascii="宋体" w:hAnsi="宋体" w:cs="宋体"/>
                <w:sz w:val="21"/>
                <w:szCs w:val="21"/>
              </w:rPr>
              <w:t>（1）数据标准建设。含标准概览、数据元、标准代码、常用规则、标准文件、数据模型、标准治理实施等。</w:t>
            </w:r>
          </w:p>
          <w:p w14:paraId="2CBD5D3B">
            <w:pPr>
              <w:pStyle w:val="2"/>
              <w:spacing w:line="400" w:lineRule="exact"/>
              <w:ind w:firstLine="480"/>
              <w:rPr>
                <w:rFonts w:hint="eastAsia" w:ascii="宋体" w:hAnsi="宋体" w:cs="宋体"/>
                <w:sz w:val="21"/>
                <w:szCs w:val="21"/>
              </w:rPr>
            </w:pPr>
            <w:r>
              <w:rPr>
                <w:rFonts w:ascii="宋体" w:hAnsi="宋体" w:cs="宋体"/>
                <w:sz w:val="21"/>
                <w:szCs w:val="21"/>
              </w:rPr>
              <w:t>（2）数据离线治理。包括数据探查、数据定义、数据融合、数据发布、集成对账、数据质量工单等。</w:t>
            </w:r>
          </w:p>
          <w:p w14:paraId="57CD3F2B">
            <w:pPr>
              <w:pStyle w:val="2"/>
              <w:spacing w:line="400" w:lineRule="exact"/>
              <w:ind w:firstLine="480"/>
              <w:rPr>
                <w:rFonts w:hint="eastAsia" w:ascii="宋体" w:hAnsi="宋体" w:cs="宋体"/>
                <w:sz w:val="21"/>
                <w:szCs w:val="21"/>
              </w:rPr>
            </w:pPr>
            <w:r>
              <w:rPr>
                <w:rFonts w:ascii="宋体" w:hAnsi="宋体" w:cs="宋体"/>
                <w:sz w:val="21"/>
                <w:szCs w:val="21"/>
              </w:rPr>
              <w:t>（3）数据实时治理。主要针对业务生产单位生产数据后实时进行治理并对外即时发布。含编辑任务、提交任务。</w:t>
            </w:r>
          </w:p>
          <w:p w14:paraId="430524BA">
            <w:pPr>
              <w:pStyle w:val="2"/>
              <w:spacing w:line="400" w:lineRule="exact"/>
              <w:ind w:firstLine="480"/>
              <w:rPr>
                <w:rFonts w:hint="eastAsia" w:ascii="宋体" w:hAnsi="宋体" w:cs="宋体"/>
                <w:sz w:val="21"/>
                <w:szCs w:val="21"/>
              </w:rPr>
            </w:pPr>
            <w:r>
              <w:rPr>
                <w:rFonts w:ascii="宋体" w:hAnsi="宋体" w:cs="宋体"/>
                <w:sz w:val="21"/>
                <w:szCs w:val="21"/>
              </w:rPr>
              <w:t>（4）数据质量。对数据完整性、准确性、鲜活性、权威性的分析和管理，并对数据质量问题进行跟踪、处理和解决，实现数据质量的全程管理。含数据质检、质检工单。</w:t>
            </w:r>
          </w:p>
          <w:p w14:paraId="55EAADE6">
            <w:pPr>
              <w:pStyle w:val="2"/>
              <w:spacing w:line="400" w:lineRule="exact"/>
              <w:ind w:firstLine="480"/>
              <w:rPr>
                <w:rFonts w:hint="eastAsia" w:ascii="宋体" w:hAnsi="宋体" w:cs="宋体"/>
                <w:sz w:val="21"/>
                <w:szCs w:val="21"/>
              </w:rPr>
            </w:pPr>
            <w:r>
              <w:rPr>
                <w:rFonts w:hint="eastAsia" w:ascii="宋体" w:hAnsi="宋体" w:cs="宋体"/>
                <w:sz w:val="21"/>
                <w:szCs w:val="21"/>
              </w:rPr>
              <w:t>（5）形成数据治理报告：以数据治理报告的形式，清晰呈现现阶段数据治理的整体情况，便于快速发现隐藏问题，为后续的重点推进工作提供信息支撑。</w:t>
            </w:r>
          </w:p>
          <w:p w14:paraId="3EC6E951">
            <w:pPr>
              <w:pStyle w:val="2"/>
              <w:spacing w:line="400" w:lineRule="exact"/>
              <w:ind w:firstLine="480"/>
              <w:rPr>
                <w:rFonts w:hint="eastAsia" w:ascii="宋体" w:hAnsi="宋体" w:cs="宋体"/>
                <w:sz w:val="21"/>
                <w:szCs w:val="21"/>
              </w:rPr>
            </w:pPr>
            <w:r>
              <w:rPr>
                <w:rFonts w:hint="eastAsia" w:ascii="宋体" w:hAnsi="宋体" w:cs="宋体"/>
                <w:sz w:val="21"/>
                <w:szCs w:val="21"/>
              </w:rPr>
              <w:t>（6）数据治理平台配置：支持对数据治理平台进行个性化配置，包括部门配置、编码配置、字段类型配置、元数据类型配置等内容。</w:t>
            </w:r>
          </w:p>
          <w:p w14:paraId="58EB3D8E">
            <w:pPr>
              <w:pStyle w:val="2"/>
              <w:spacing w:line="400" w:lineRule="exact"/>
              <w:ind w:firstLine="480"/>
              <w:rPr>
                <w:rFonts w:hint="eastAsia" w:ascii="宋体" w:hAnsi="宋体" w:cs="宋体"/>
                <w:sz w:val="21"/>
                <w:szCs w:val="21"/>
              </w:rPr>
            </w:pPr>
            <w:r>
              <w:rPr>
                <w:rFonts w:ascii="宋体" w:hAnsi="宋体" w:cs="宋体"/>
                <w:sz w:val="21"/>
                <w:szCs w:val="21"/>
              </w:rPr>
              <w:t>（7）治理底座构建。提供分布式异构数据源之间数据转换能力，将数据治理平台的业务配置转化成底层的数据流转实现。包括节点域管理、数据源管理、治理作业开发、消息队列管理、数据监听管理、告警配置等。</w:t>
            </w:r>
          </w:p>
          <w:p w14:paraId="3F555C36">
            <w:pPr>
              <w:pStyle w:val="2"/>
              <w:spacing w:line="400" w:lineRule="exact"/>
              <w:ind w:firstLine="480"/>
              <w:rPr>
                <w:rFonts w:hint="eastAsia" w:ascii="宋体" w:hAnsi="宋体" w:cs="宋体"/>
                <w:sz w:val="21"/>
                <w:szCs w:val="21"/>
              </w:rPr>
            </w:pPr>
            <w:r>
              <w:rPr>
                <w:rFonts w:ascii="宋体" w:hAnsi="宋体" w:cs="宋体"/>
                <w:sz w:val="21"/>
                <w:szCs w:val="21"/>
              </w:rPr>
              <w:t>（8）数据治理指标管理。包括数据质量指标、数据安全指标、数据合规性指标、数据可用性指标、数据使用指标等。</w:t>
            </w:r>
          </w:p>
          <w:p w14:paraId="59E61273">
            <w:pPr>
              <w:pStyle w:val="2"/>
              <w:spacing w:line="400" w:lineRule="exact"/>
              <w:ind w:firstLine="480"/>
              <w:rPr>
                <w:rFonts w:hint="eastAsia" w:ascii="宋体" w:hAnsi="宋体" w:cs="宋体"/>
                <w:sz w:val="21"/>
                <w:szCs w:val="21"/>
              </w:rPr>
            </w:pPr>
            <w:r>
              <w:rPr>
                <w:rFonts w:ascii="宋体" w:hAnsi="宋体" w:cs="宋体"/>
                <w:sz w:val="21"/>
                <w:szCs w:val="21"/>
              </w:rPr>
              <w:t>3.专题数据库建设</w:t>
            </w:r>
          </w:p>
          <w:p w14:paraId="572DE516">
            <w:pPr>
              <w:pStyle w:val="2"/>
              <w:spacing w:line="400" w:lineRule="exact"/>
              <w:ind w:firstLine="480"/>
              <w:rPr>
                <w:rFonts w:hint="eastAsia" w:ascii="宋体" w:hAnsi="宋体" w:cs="宋体"/>
                <w:sz w:val="21"/>
                <w:szCs w:val="21"/>
              </w:rPr>
            </w:pPr>
            <w:r>
              <w:rPr>
                <w:rFonts w:hint="eastAsia" w:ascii="宋体" w:hAnsi="宋体" w:cs="宋体"/>
                <w:sz w:val="21"/>
                <w:szCs w:val="21"/>
              </w:rPr>
              <w:t>（1）信息资源规划：采用统一的信息资源体系架构，信息编码设计规范。</w:t>
            </w:r>
          </w:p>
          <w:p w14:paraId="464695BB">
            <w:pPr>
              <w:pStyle w:val="2"/>
              <w:spacing w:line="400" w:lineRule="exact"/>
              <w:ind w:firstLine="480"/>
              <w:rPr>
                <w:rFonts w:hint="eastAsia" w:ascii="宋体" w:hAnsi="宋体" w:cs="宋体"/>
                <w:sz w:val="21"/>
                <w:szCs w:val="21"/>
              </w:rPr>
            </w:pPr>
            <w:r>
              <w:rPr>
                <w:rFonts w:hint="eastAsia" w:ascii="宋体" w:hAnsi="宋体" w:cs="宋体"/>
                <w:sz w:val="21"/>
                <w:szCs w:val="21"/>
              </w:rPr>
              <w:t>（2）数据源管理：提供了多种结构化数据源配置管理，支持采集的数据库类型包括国内外主流的关系型数据库，提供数据源的增删改查与连接测试的能力。</w:t>
            </w:r>
          </w:p>
          <w:p w14:paraId="6581DCD6">
            <w:pPr>
              <w:pStyle w:val="2"/>
              <w:spacing w:line="400" w:lineRule="exact"/>
              <w:ind w:firstLine="480"/>
              <w:rPr>
                <w:rFonts w:hint="eastAsia" w:ascii="宋体" w:hAnsi="宋体" w:cs="宋体"/>
                <w:sz w:val="21"/>
                <w:szCs w:val="21"/>
              </w:rPr>
            </w:pPr>
            <w:r>
              <w:rPr>
                <w:rFonts w:ascii="宋体" w:hAnsi="宋体" w:cs="宋体"/>
                <w:sz w:val="21"/>
                <w:szCs w:val="21"/>
              </w:rPr>
              <w:t>（3）元数据管理。含元数据监控、元数据安全配置、数据分类、用户分类等。</w:t>
            </w:r>
          </w:p>
          <w:p w14:paraId="3B8C5B89">
            <w:pPr>
              <w:pStyle w:val="2"/>
              <w:spacing w:line="400" w:lineRule="exact"/>
              <w:ind w:firstLine="480"/>
              <w:rPr>
                <w:rFonts w:hint="eastAsia" w:ascii="宋体" w:hAnsi="宋体" w:cs="宋体"/>
                <w:sz w:val="21"/>
                <w:szCs w:val="21"/>
              </w:rPr>
            </w:pPr>
            <w:r>
              <w:rPr>
                <w:rFonts w:ascii="宋体" w:hAnsi="宋体" w:cs="宋体"/>
                <w:sz w:val="21"/>
                <w:szCs w:val="21"/>
              </w:rPr>
              <w:t>（4）数据库建设。建设内容根据业务需要包括应用数据库、生产库、分析库、交换库、元数据库、平台库、日志库、信息库、采样库等。</w:t>
            </w:r>
          </w:p>
          <w:p w14:paraId="225BB744">
            <w:pPr>
              <w:pStyle w:val="2"/>
              <w:spacing w:line="400" w:lineRule="exact"/>
              <w:ind w:firstLine="480"/>
              <w:rPr>
                <w:rFonts w:hint="eastAsia" w:ascii="宋体" w:hAnsi="宋体" w:cs="宋体"/>
                <w:sz w:val="21"/>
                <w:szCs w:val="21"/>
              </w:rPr>
            </w:pPr>
            <w:r>
              <w:rPr>
                <w:rFonts w:ascii="宋体" w:hAnsi="宋体" w:cs="宋体"/>
                <w:sz w:val="21"/>
                <w:szCs w:val="21"/>
              </w:rPr>
              <w:t>（5）数据安全建设。实现数据访问安全、数据传输安全、建立数据库管理系统，统一管理和维护数据库、形成有效的数据更新机制、灾难恢复、系统备份、数据库加密等。</w:t>
            </w:r>
          </w:p>
          <w:p w14:paraId="5214C760">
            <w:pPr>
              <w:pStyle w:val="2"/>
              <w:spacing w:line="400" w:lineRule="exact"/>
              <w:ind w:firstLine="480"/>
              <w:rPr>
                <w:rFonts w:hint="eastAsia" w:ascii="宋体" w:hAnsi="宋体" w:cs="宋体"/>
                <w:sz w:val="21"/>
                <w:szCs w:val="21"/>
              </w:rPr>
            </w:pPr>
            <w:r>
              <w:rPr>
                <w:rFonts w:ascii="宋体" w:hAnsi="宋体" w:cs="宋体"/>
                <w:sz w:val="21"/>
                <w:szCs w:val="21"/>
              </w:rPr>
              <w:t>4.数据可视化管理。实现自助数据分析，通过勾选或拖拽即可生成数据。建设数据报表平台实现报表的统一访问和管理。根据采购人需要建设数据可视化大屏。</w:t>
            </w:r>
          </w:p>
          <w:p w14:paraId="7D6E36A0">
            <w:pPr>
              <w:pStyle w:val="2"/>
              <w:spacing w:line="400" w:lineRule="exact"/>
              <w:ind w:firstLine="480"/>
              <w:rPr>
                <w:rFonts w:hint="eastAsia" w:ascii="宋体" w:hAnsi="宋体" w:cs="宋体"/>
                <w:sz w:val="21"/>
                <w:szCs w:val="21"/>
              </w:rPr>
            </w:pPr>
            <w:r>
              <w:rPr>
                <w:rFonts w:ascii="宋体" w:hAnsi="宋体" w:cs="宋体"/>
                <w:sz w:val="21"/>
                <w:szCs w:val="21"/>
              </w:rPr>
              <w:t>八、其他要求</w:t>
            </w:r>
          </w:p>
          <w:p w14:paraId="565CBAD3">
            <w:pPr>
              <w:pStyle w:val="2"/>
              <w:spacing w:line="400" w:lineRule="exact"/>
              <w:ind w:firstLine="480"/>
              <w:rPr>
                <w:rFonts w:hint="eastAsia" w:ascii="宋体" w:hAnsi="宋体" w:cs="宋体"/>
                <w:sz w:val="21"/>
                <w:szCs w:val="21"/>
              </w:rPr>
            </w:pPr>
            <w:r>
              <w:rPr>
                <w:rFonts w:ascii="宋体" w:hAnsi="宋体" w:cs="宋体"/>
                <w:sz w:val="21"/>
                <w:szCs w:val="21"/>
              </w:rPr>
              <w:t>本分标所建设应用需对接采购人提供的统一身份认证体系、统一消息平台、统一流量入口、统一应用配置管理等核心模块，实现将各自业务统一推送到应用门户，有效打通信息孤岛，显著提升业务协同效率。</w:t>
            </w:r>
          </w:p>
          <w:p w14:paraId="7C6D7517">
            <w:pPr>
              <w:pStyle w:val="2"/>
              <w:spacing w:line="400" w:lineRule="exact"/>
              <w:ind w:firstLine="480"/>
              <w:rPr>
                <w:rFonts w:hint="eastAsia" w:ascii="宋体" w:hAnsi="宋体" w:cs="宋体"/>
                <w:sz w:val="21"/>
                <w:szCs w:val="21"/>
              </w:rPr>
            </w:pPr>
            <w:r>
              <w:rPr>
                <w:rFonts w:ascii="宋体" w:hAnsi="宋体" w:cs="宋体"/>
                <w:sz w:val="21"/>
                <w:szCs w:val="21"/>
              </w:rPr>
              <w:t>本分标所建设的数据治理成果需使用采购人提供的</w:t>
            </w:r>
            <w:r>
              <w:rPr>
                <w:rFonts w:hint="eastAsia" w:ascii="宋体" w:hAnsi="宋体" w:cs="宋体"/>
                <w:sz w:val="21"/>
                <w:szCs w:val="21"/>
              </w:rPr>
              <w:t>数据资源平台</w:t>
            </w:r>
            <w:r>
              <w:rPr>
                <w:rFonts w:ascii="宋体" w:hAnsi="宋体" w:cs="宋体"/>
                <w:sz w:val="21"/>
                <w:szCs w:val="21"/>
              </w:rPr>
              <w:t>建设数据库，系统建设前需将数据库设计方案提交采购人审核，建立元数据，规范化数据库字段与设计之后，才可在数据平台建设生产环境数据库。不允许独立数据平台外建设数据库。</w:t>
            </w:r>
          </w:p>
        </w:tc>
      </w:tr>
      <w:tr w14:paraId="33CFAB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2AE17D64">
            <w:pPr>
              <w:topLinePunct/>
              <w:snapToGrid w:val="0"/>
              <w:spacing w:line="400" w:lineRule="exact"/>
              <w:jc w:val="left"/>
              <w:rPr>
                <w:rFonts w:hint="eastAsia" w:ascii="宋体" w:hAnsi="宋体" w:cs="宋体"/>
                <w:b/>
                <w:szCs w:val="21"/>
              </w:rPr>
            </w:pPr>
            <w:r>
              <w:rPr>
                <w:rFonts w:hint="eastAsia" w:ascii="宋体" w:hAnsi="宋体" w:cs="宋体"/>
                <w:b/>
                <w:bCs/>
                <w:szCs w:val="21"/>
              </w:rPr>
              <w:t>商务条款</w:t>
            </w:r>
          </w:p>
        </w:tc>
      </w:tr>
      <w:tr w14:paraId="16C27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04B189A">
            <w:pPr>
              <w:spacing w:line="400" w:lineRule="exact"/>
              <w:jc w:val="center"/>
              <w:rPr>
                <w:rFonts w:hint="eastAsia" w:ascii="宋体" w:hAnsi="宋体" w:cs="宋体"/>
                <w:b/>
                <w:bCs/>
                <w:szCs w:val="21"/>
              </w:rPr>
            </w:pPr>
            <w:r>
              <w:rPr>
                <w:rFonts w:hint="eastAsia" w:ascii="宋体" w:hAnsi="宋体" w:cs="宋体"/>
                <w:b/>
                <w:bCs/>
                <w:szCs w:val="21"/>
              </w:rPr>
              <w:t>▲（一）合同签订及交付要求</w:t>
            </w:r>
          </w:p>
          <w:p w14:paraId="5D9DADE9">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5D747ADF">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合同签订期：自中标通知书发出之日起25日内。</w:t>
            </w:r>
          </w:p>
          <w:p w14:paraId="5A25A79B">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服务时间：从合同签订之日起，至服务成果通过项目竣工验收之日止。</w:t>
            </w:r>
          </w:p>
          <w:p w14:paraId="173F7848">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交付地点：采购人指定地点。</w:t>
            </w:r>
          </w:p>
          <w:p w14:paraId="262EBE22">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交付成果：按照采购需求完成建设，并按照</w:t>
            </w:r>
            <w:r>
              <w:rPr>
                <w:rFonts w:hint="eastAsia" w:hAnsi="宋体"/>
                <w:color w:val="auto"/>
                <w:sz w:val="21"/>
                <w:szCs w:val="21"/>
              </w:rPr>
              <w:t>合同和采购人同意的实施方案要求</w:t>
            </w:r>
            <w:r>
              <w:rPr>
                <w:rFonts w:hAnsi="宋体"/>
                <w:color w:val="auto"/>
                <w:sz w:val="21"/>
                <w:szCs w:val="21"/>
              </w:rPr>
              <w:t>提交完整的项目材料。</w:t>
            </w:r>
          </w:p>
        </w:tc>
      </w:tr>
      <w:tr w14:paraId="16A9EC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0D927F32">
            <w:pPr>
              <w:spacing w:line="400" w:lineRule="exact"/>
              <w:jc w:val="center"/>
              <w:rPr>
                <w:rFonts w:hint="eastAsia" w:ascii="宋体" w:hAnsi="宋体" w:cs="宋体"/>
                <w:b/>
                <w:bCs/>
                <w:szCs w:val="21"/>
              </w:rPr>
            </w:pPr>
            <w:r>
              <w:rPr>
                <w:rFonts w:hint="eastAsia" w:ascii="宋体" w:hAnsi="宋体" w:cs="宋体"/>
                <w:b/>
                <w:bCs/>
                <w:szCs w:val="21"/>
              </w:rPr>
              <w:t>▲（二）报价要求</w:t>
            </w:r>
          </w:p>
          <w:p w14:paraId="51195DD8">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16006A45">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本项目实行总承包报价，报价为采购人指定服务范围内的全部价格，至少包括：</w:t>
            </w:r>
          </w:p>
          <w:p w14:paraId="5B280F8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服务的价格（包括人工、材料、成果打印等）；</w:t>
            </w:r>
          </w:p>
          <w:p w14:paraId="02ECC7F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必要的保险费用和各项税金；</w:t>
            </w:r>
          </w:p>
          <w:p w14:paraId="3A9B5F1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验收及专家评估费用等。</w:t>
            </w:r>
          </w:p>
          <w:p w14:paraId="105EE63B">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与本项目有关的其他一切费用。采购人不再支付中标价格以外的任何费用。</w:t>
            </w:r>
          </w:p>
        </w:tc>
      </w:tr>
      <w:tr w14:paraId="1FA40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4B393FDB">
            <w:pPr>
              <w:pStyle w:val="2"/>
              <w:spacing w:line="400" w:lineRule="exact"/>
              <w:jc w:val="center"/>
              <w:rPr>
                <w:rFonts w:hint="eastAsia" w:ascii="宋体" w:hAnsi="宋体" w:cs="宋体"/>
                <w:b/>
                <w:bCs/>
                <w:sz w:val="21"/>
                <w:szCs w:val="21"/>
              </w:rPr>
            </w:pPr>
            <w:r>
              <w:rPr>
                <w:rFonts w:hint="eastAsia" w:ascii="宋体" w:hAnsi="宋体" w:cs="宋体"/>
                <w:b/>
                <w:bCs/>
                <w:sz w:val="21"/>
                <w:szCs w:val="21"/>
              </w:rPr>
              <w:t>▲（三）建设周期</w:t>
            </w:r>
          </w:p>
        </w:tc>
        <w:tc>
          <w:tcPr>
            <w:tcW w:w="7330" w:type="dxa"/>
            <w:gridSpan w:val="3"/>
            <w:tcBorders>
              <w:top w:val="single" w:color="auto" w:sz="4" w:space="0"/>
              <w:left w:val="single" w:color="auto" w:sz="4" w:space="0"/>
              <w:bottom w:val="single" w:color="auto" w:sz="4" w:space="0"/>
              <w:right w:val="single" w:color="auto" w:sz="4" w:space="0"/>
            </w:tcBorders>
          </w:tcPr>
          <w:p w14:paraId="146F80F0">
            <w:pPr>
              <w:spacing w:line="400" w:lineRule="exact"/>
              <w:ind w:firstLine="480"/>
              <w:jc w:val="left"/>
              <w:rPr>
                <w:rFonts w:hint="eastAsia" w:ascii="宋体" w:hAnsi="宋体" w:cs="宋体"/>
                <w:kern w:val="0"/>
                <w:szCs w:val="21"/>
              </w:rPr>
            </w:pPr>
            <w:r>
              <w:rPr>
                <w:rFonts w:ascii="宋体" w:hAnsi="宋体" w:cs="宋体"/>
                <w:kern w:val="0"/>
                <w:szCs w:val="21"/>
              </w:rPr>
              <w:t>本项目建设周期为</w:t>
            </w:r>
            <w:r>
              <w:rPr>
                <w:rFonts w:hint="eastAsia" w:ascii="宋体" w:hAnsi="宋体" w:cs="宋体"/>
                <w:kern w:val="0"/>
                <w:szCs w:val="21"/>
              </w:rPr>
              <w:t>9</w:t>
            </w:r>
            <w:r>
              <w:rPr>
                <w:rFonts w:ascii="宋体" w:hAnsi="宋体" w:cs="宋体"/>
                <w:kern w:val="0"/>
                <w:szCs w:val="21"/>
              </w:rPr>
              <w:t>个月，包含四个阶段：需求分析和系统设计、系统建设阶段、试运行阶段和项目验收。</w:t>
            </w:r>
          </w:p>
          <w:p w14:paraId="0EF18AAF">
            <w:pPr>
              <w:spacing w:line="400" w:lineRule="exact"/>
              <w:jc w:val="left"/>
              <w:rPr>
                <w:rFonts w:hint="eastAsia" w:ascii="宋体" w:hAnsi="宋体" w:cs="宋体"/>
                <w:kern w:val="0"/>
                <w:szCs w:val="21"/>
              </w:rPr>
            </w:pPr>
            <w:r>
              <w:rPr>
                <w:rFonts w:ascii="宋体" w:hAnsi="宋体" w:cs="宋体"/>
                <w:kern w:val="0"/>
                <w:szCs w:val="21"/>
              </w:rPr>
              <w:t>第一阶段：完成系统的需求分析和系统设计。周期2个月。</w:t>
            </w:r>
          </w:p>
          <w:p w14:paraId="4A04FBDE">
            <w:pPr>
              <w:spacing w:line="400" w:lineRule="exact"/>
              <w:jc w:val="left"/>
              <w:rPr>
                <w:rFonts w:hint="eastAsia" w:ascii="宋体" w:hAnsi="宋体" w:cs="宋体"/>
                <w:kern w:val="0"/>
                <w:szCs w:val="21"/>
              </w:rPr>
            </w:pPr>
            <w:r>
              <w:rPr>
                <w:rFonts w:ascii="宋体" w:hAnsi="宋体" w:cs="宋体"/>
                <w:kern w:val="0"/>
                <w:szCs w:val="21"/>
              </w:rPr>
              <w:t>第二阶段：完成系统的应用建设、测试。周期</w:t>
            </w:r>
            <w:r>
              <w:rPr>
                <w:rFonts w:hint="eastAsia" w:ascii="宋体" w:hAnsi="宋体" w:cs="宋体"/>
                <w:kern w:val="0"/>
                <w:szCs w:val="21"/>
              </w:rPr>
              <w:t>6</w:t>
            </w:r>
            <w:r>
              <w:rPr>
                <w:rFonts w:ascii="宋体" w:hAnsi="宋体" w:cs="宋体"/>
                <w:kern w:val="0"/>
                <w:szCs w:val="21"/>
              </w:rPr>
              <w:t>个月。</w:t>
            </w:r>
          </w:p>
          <w:p w14:paraId="2D74CDFF">
            <w:pPr>
              <w:spacing w:line="400" w:lineRule="exact"/>
              <w:jc w:val="left"/>
              <w:rPr>
                <w:rFonts w:hint="eastAsia" w:ascii="宋体" w:hAnsi="宋体" w:cs="宋体"/>
                <w:kern w:val="0"/>
                <w:szCs w:val="21"/>
              </w:rPr>
            </w:pPr>
            <w:r>
              <w:rPr>
                <w:rFonts w:ascii="宋体" w:hAnsi="宋体" w:cs="宋体"/>
                <w:kern w:val="0"/>
                <w:szCs w:val="21"/>
              </w:rPr>
              <w:t>第三阶段：完成系统试运行和调优。周期1个月。</w:t>
            </w:r>
          </w:p>
          <w:p w14:paraId="1D9DC61E">
            <w:pPr>
              <w:spacing w:line="400" w:lineRule="exact"/>
              <w:jc w:val="left"/>
              <w:rPr>
                <w:rFonts w:hint="eastAsia" w:ascii="宋体" w:hAnsi="宋体" w:cs="宋体"/>
                <w:kern w:val="0"/>
                <w:szCs w:val="21"/>
              </w:rPr>
            </w:pPr>
            <w:r>
              <w:rPr>
                <w:rFonts w:ascii="宋体" w:hAnsi="宋体" w:cs="宋体"/>
                <w:kern w:val="0"/>
                <w:szCs w:val="21"/>
              </w:rPr>
              <w:t>第四阶段：项目初步验收、竣工验收。</w:t>
            </w:r>
          </w:p>
        </w:tc>
      </w:tr>
      <w:tr w14:paraId="2CC65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493D5775">
            <w:pPr>
              <w:spacing w:line="400" w:lineRule="exact"/>
              <w:jc w:val="center"/>
              <w:rPr>
                <w:rFonts w:hint="eastAsia" w:ascii="宋体" w:hAnsi="宋体" w:cs="宋体"/>
                <w:b/>
                <w:bCs/>
                <w:szCs w:val="21"/>
              </w:rPr>
            </w:pPr>
            <w:r>
              <w:rPr>
                <w:rFonts w:hint="eastAsia" w:ascii="宋体" w:hAnsi="宋体" w:cs="宋体"/>
                <w:b/>
                <w:bCs/>
                <w:szCs w:val="21"/>
              </w:rPr>
              <w:t>▲（四）付款条件</w:t>
            </w:r>
          </w:p>
          <w:p w14:paraId="1F2D3FF5">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02FCA87F">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1.合同签订后10个工作日内，采购人向中标人支付合同总金额的</w:t>
            </w:r>
            <w:r>
              <w:rPr>
                <w:rFonts w:hint="eastAsia" w:ascii="宋体" w:hAnsi="宋体" w:eastAsia="宋体" w:cs="宋体"/>
                <w:sz w:val="21"/>
                <w:szCs w:val="21"/>
              </w:rPr>
              <w:t>50</w:t>
            </w:r>
            <w:r>
              <w:rPr>
                <w:rFonts w:ascii="宋体" w:hAnsi="宋体" w:eastAsia="宋体" w:cs="宋体"/>
                <w:sz w:val="21"/>
                <w:szCs w:val="21"/>
              </w:rPr>
              <w:t>%。</w:t>
            </w:r>
          </w:p>
          <w:p w14:paraId="1517EAA7">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完成系统的需求分析和系统设计</w:t>
            </w:r>
            <w:r>
              <w:rPr>
                <w:rFonts w:hint="eastAsia" w:ascii="宋体" w:hAnsi="宋体" w:eastAsia="宋体" w:cs="宋体"/>
                <w:sz w:val="21"/>
                <w:szCs w:val="21"/>
              </w:rPr>
              <w:t>，提交需求分析报告和系统设计方案，</w:t>
            </w:r>
            <w:r>
              <w:rPr>
                <w:rFonts w:ascii="宋体" w:hAnsi="宋体" w:eastAsia="宋体" w:cs="宋体"/>
                <w:sz w:val="21"/>
                <w:szCs w:val="21"/>
              </w:rPr>
              <w:t>经采购人书面确认后10个工作日内，采购人向中标人支付合同总金额的</w:t>
            </w:r>
            <w:r>
              <w:rPr>
                <w:rFonts w:hint="eastAsia" w:ascii="宋体" w:hAnsi="宋体" w:eastAsia="宋体" w:cs="宋体"/>
                <w:sz w:val="21"/>
                <w:szCs w:val="21"/>
              </w:rPr>
              <w:t>30</w:t>
            </w:r>
            <w:r>
              <w:rPr>
                <w:rFonts w:ascii="宋体" w:hAnsi="宋体" w:eastAsia="宋体" w:cs="宋体"/>
                <w:sz w:val="21"/>
                <w:szCs w:val="21"/>
              </w:rPr>
              <w:t>%。</w:t>
            </w:r>
          </w:p>
          <w:p w14:paraId="2A7E4AED">
            <w:pPr>
              <w:pStyle w:val="10"/>
              <w:spacing w:line="400" w:lineRule="exact"/>
              <w:ind w:firstLine="0" w:firstLineChars="0"/>
              <w:rPr>
                <w:rFonts w:ascii="宋体" w:hAnsi="宋体" w:eastAsia="宋体" w:cs="宋体"/>
                <w:sz w:val="21"/>
                <w:szCs w:val="21"/>
              </w:rPr>
            </w:pPr>
            <w:r>
              <w:rPr>
                <w:rFonts w:hint="eastAsia" w:ascii="宋体" w:hAnsi="宋体" w:eastAsia="宋体" w:cs="宋体"/>
                <w:sz w:val="21"/>
                <w:szCs w:val="21"/>
              </w:rPr>
              <w:t>3.项目投入试运行，中标人提交试运行报告，经采购人书面确认后10个工作日内，采购人向中标人支付合同总金额的10%。</w:t>
            </w:r>
          </w:p>
          <w:p w14:paraId="6C721C1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4.项目初步验收通过，经采购人书面确认后10个工作日内，采购人向中标人支付合同总金额的10%</w:t>
            </w:r>
            <w:r>
              <w:rPr>
                <w:rFonts w:ascii="宋体" w:hAnsi="宋体" w:eastAsia="宋体" w:cs="宋体"/>
                <w:sz w:val="21"/>
                <w:szCs w:val="21"/>
              </w:rPr>
              <w:t>。</w:t>
            </w:r>
          </w:p>
          <w:p w14:paraId="4EFD437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.支付每一笔合同款前，中标人须向采购人开具合法、有效等额发票，中标人未及时向采购人开具发票、付款申请书的，采购人有权顺延付款时间，且不承担任何逾期付款违约责任</w:t>
            </w:r>
          </w:p>
        </w:tc>
      </w:tr>
      <w:tr w14:paraId="4D5C8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26EDB3DE">
            <w:pPr>
              <w:spacing w:line="400" w:lineRule="exact"/>
              <w:jc w:val="center"/>
              <w:rPr>
                <w:rFonts w:hint="eastAsia" w:ascii="宋体" w:hAnsi="宋体" w:cs="宋体"/>
                <w:b/>
                <w:bCs/>
                <w:szCs w:val="21"/>
              </w:rPr>
            </w:pPr>
            <w:r>
              <w:rPr>
                <w:rFonts w:hint="eastAsia" w:ascii="宋体" w:hAnsi="宋体" w:cs="宋体"/>
                <w:b/>
                <w:bCs/>
                <w:szCs w:val="21"/>
              </w:rPr>
              <w:t>▲（五）履约保证金</w:t>
            </w:r>
          </w:p>
          <w:p w14:paraId="20C01717">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0F520BC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中标人须于签订合同后5个工作日内，将本项目成交总金额5%的履约保证金（中小企业缴纳数额为成交总金额的2%）递交到采购人指定账户。履约保证金递交方式：银行转账、支票、汇票、本票或者金融机构出具的保函等非现金方式。</w:t>
            </w:r>
          </w:p>
          <w:p w14:paraId="31A219C4">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项目按照合同约定及招标文件要求完成项目建设，通过竣工验收并收到竣工验收批复后，项目进入质保期，在质保期间，中标人无违约情形的，质保期过后</w:t>
            </w:r>
            <w:r>
              <w:rPr>
                <w:rFonts w:hint="eastAsia" w:ascii="宋体" w:hAnsi="宋体" w:eastAsia="宋体" w:cs="宋体"/>
                <w:sz w:val="21"/>
                <w:szCs w:val="21"/>
              </w:rPr>
              <w:t>5</w:t>
            </w:r>
            <w:r>
              <w:rPr>
                <w:rFonts w:ascii="宋体" w:hAnsi="宋体" w:eastAsia="宋体" w:cs="宋体"/>
                <w:sz w:val="21"/>
                <w:szCs w:val="21"/>
              </w:rPr>
              <w:t>个工作日内采购人将无息返还履约保证金。</w:t>
            </w:r>
          </w:p>
        </w:tc>
      </w:tr>
      <w:tr w14:paraId="56263F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3EF33DA1">
            <w:pPr>
              <w:spacing w:line="400" w:lineRule="exact"/>
              <w:jc w:val="center"/>
              <w:rPr>
                <w:rFonts w:hint="eastAsia" w:ascii="宋体" w:hAnsi="宋体" w:cs="宋体"/>
                <w:b/>
                <w:bCs/>
                <w:szCs w:val="21"/>
              </w:rPr>
            </w:pPr>
            <w:r>
              <w:rPr>
                <w:rFonts w:hint="eastAsia" w:ascii="宋体" w:hAnsi="宋体" w:cs="宋体"/>
                <w:b/>
                <w:bCs/>
                <w:szCs w:val="21"/>
              </w:rPr>
              <w:t>▲（六）质保期服务要求</w:t>
            </w:r>
          </w:p>
          <w:p w14:paraId="096DBCB0">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2D7C4937">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提供为期一年的质保服务。质保期内，中标人须根据采购人要求进行日常运维服务。质保期从项目竣工验收合格之日起开始计算，质保期内提供免费维护和技术支持服务。</w:t>
            </w:r>
          </w:p>
          <w:p w14:paraId="0F5F8D3B">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服务响应时间要求：（1）提供7×24小时电话或电子邮件服务，中标人接到采购人的通知后立即响应，在</w:t>
            </w:r>
            <w:r>
              <w:rPr>
                <w:rFonts w:hint="eastAsia" w:hAnsi="宋体"/>
                <w:color w:val="auto"/>
                <w:sz w:val="21"/>
                <w:szCs w:val="21"/>
              </w:rPr>
              <w:t>≤</w:t>
            </w:r>
            <w:r>
              <w:rPr>
                <w:rFonts w:hAnsi="宋体"/>
                <w:color w:val="auto"/>
                <w:sz w:val="21"/>
                <w:szCs w:val="21"/>
              </w:rPr>
              <w:t>1小时内做出明确响应和安排，在</w:t>
            </w:r>
            <w:r>
              <w:rPr>
                <w:rFonts w:hint="eastAsia" w:hAnsi="宋体"/>
                <w:color w:val="auto"/>
                <w:sz w:val="21"/>
                <w:szCs w:val="21"/>
              </w:rPr>
              <w:t>≤</w:t>
            </w:r>
            <w:r>
              <w:rPr>
                <w:rFonts w:hAnsi="宋体"/>
                <w:color w:val="auto"/>
                <w:sz w:val="21"/>
                <w:szCs w:val="21"/>
              </w:rPr>
              <w:t>2小时内做出故障诊断报告，如需现场服务的，具有解决故障能力的工程师应在</w:t>
            </w:r>
            <w:r>
              <w:rPr>
                <w:rFonts w:hint="eastAsia" w:hAnsi="宋体"/>
                <w:color w:val="auto"/>
                <w:sz w:val="21"/>
                <w:szCs w:val="21"/>
              </w:rPr>
              <w:t>≤</w:t>
            </w:r>
            <w:r>
              <w:rPr>
                <w:rFonts w:hAnsi="宋体"/>
                <w:color w:val="auto"/>
                <w:sz w:val="21"/>
                <w:szCs w:val="21"/>
              </w:rPr>
              <w:t>2小时内到达现场解决问题，以保证系统正常运行，并承担一切相关费用；（2）定期回访、走访采购人；（3）服务期内免费上门提供服务，免费提供应用软件升级；（4）其余按承诺进行；</w:t>
            </w:r>
          </w:p>
          <w:p w14:paraId="4112BA3B">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服务的范围包括：系统、设备的正常运行和维护；</w:t>
            </w:r>
          </w:p>
          <w:p w14:paraId="05ECA46F">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中标人提供的服务应符合国家标准、行业标准、地方标准或者其他标准、规范；</w:t>
            </w:r>
          </w:p>
          <w:p w14:paraId="4CF0FB8A">
            <w:pPr>
              <w:pStyle w:val="24"/>
              <w:spacing w:line="400" w:lineRule="exact"/>
              <w:rPr>
                <w:rFonts w:hint="eastAsia" w:hAnsi="宋体"/>
                <w:color w:val="auto"/>
                <w:sz w:val="21"/>
                <w:szCs w:val="21"/>
              </w:rPr>
            </w:pPr>
            <w:r>
              <w:rPr>
                <w:rFonts w:hint="eastAsia" w:hAnsi="宋体"/>
                <w:color w:val="auto"/>
                <w:sz w:val="21"/>
                <w:szCs w:val="21"/>
              </w:rPr>
              <w:t>5.</w:t>
            </w:r>
            <w:r>
              <w:rPr>
                <w:rFonts w:hAnsi="宋体"/>
                <w:color w:val="auto"/>
                <w:sz w:val="21"/>
                <w:szCs w:val="21"/>
              </w:rPr>
              <w:t>免费安装调试：中标人负责本项目所有货物及软件的安装，中标人整理验收材料提交采购人验收；</w:t>
            </w:r>
          </w:p>
          <w:p w14:paraId="6BCFF5C8">
            <w:pPr>
              <w:pStyle w:val="24"/>
              <w:spacing w:line="400" w:lineRule="exact"/>
              <w:rPr>
                <w:rFonts w:hint="eastAsia" w:hAnsi="宋体"/>
                <w:color w:val="auto"/>
                <w:sz w:val="21"/>
                <w:szCs w:val="21"/>
              </w:rPr>
            </w:pPr>
            <w:r>
              <w:rPr>
                <w:rFonts w:hint="eastAsia" w:hAnsi="宋体"/>
                <w:color w:val="auto"/>
                <w:sz w:val="21"/>
                <w:szCs w:val="21"/>
              </w:rPr>
              <w:t>6.</w:t>
            </w:r>
            <w:r>
              <w:rPr>
                <w:rFonts w:hAnsi="宋体"/>
                <w:color w:val="auto"/>
                <w:sz w:val="21"/>
                <w:szCs w:val="21"/>
              </w:rPr>
              <w:t>技术支持与服务：提供每周7×24小时技术响应服务，中标人应负责所售产品的售后服务；质保期内货物或软件发生故障，维修或更换配件所需的全部费用由中标人承担；</w:t>
            </w:r>
          </w:p>
          <w:p w14:paraId="215F9171">
            <w:pPr>
              <w:pStyle w:val="24"/>
              <w:spacing w:line="400" w:lineRule="exact"/>
              <w:rPr>
                <w:rFonts w:hint="eastAsia" w:hAnsi="宋体"/>
                <w:color w:val="auto"/>
                <w:sz w:val="21"/>
                <w:szCs w:val="21"/>
              </w:rPr>
            </w:pPr>
            <w:r>
              <w:rPr>
                <w:rFonts w:hint="eastAsia" w:hAnsi="宋体"/>
                <w:color w:val="auto"/>
                <w:sz w:val="21"/>
                <w:szCs w:val="21"/>
              </w:rPr>
              <w:t>7.</w:t>
            </w:r>
            <w:r>
              <w:rPr>
                <w:rFonts w:hAnsi="宋体"/>
                <w:color w:val="auto"/>
                <w:sz w:val="21"/>
                <w:szCs w:val="21"/>
              </w:rPr>
              <w:t>中标人在投标文件中提供针对本项目的服务方案（内容包括但不限于：明确服务期、服务响应时间、售后服务技术人员名单和联系方式、定期回访/走访采购人具体时间、本地化服务能力等）；</w:t>
            </w:r>
          </w:p>
          <w:p w14:paraId="4A4AF95B">
            <w:pPr>
              <w:pStyle w:val="24"/>
              <w:spacing w:line="400" w:lineRule="exact"/>
              <w:rPr>
                <w:rFonts w:hint="eastAsia" w:hAnsi="宋体"/>
                <w:color w:val="auto"/>
                <w:sz w:val="21"/>
                <w:szCs w:val="21"/>
              </w:rPr>
            </w:pPr>
            <w:r>
              <w:rPr>
                <w:rFonts w:hint="eastAsia" w:hAnsi="宋体"/>
                <w:color w:val="auto"/>
                <w:sz w:val="21"/>
                <w:szCs w:val="21"/>
              </w:rPr>
              <w:t>8.</w:t>
            </w:r>
            <w:r>
              <w:rPr>
                <w:rFonts w:hAnsi="宋体"/>
                <w:color w:val="auto"/>
                <w:sz w:val="21"/>
                <w:szCs w:val="21"/>
              </w:rPr>
              <w:t>在服务期内免费提供系统培训服务和系统数据迁移服务，需免费配合采购人通过第三方软件测评、系统安全等保测评及密码应用评估等工作。</w:t>
            </w:r>
          </w:p>
          <w:p w14:paraId="679C777D">
            <w:pPr>
              <w:pStyle w:val="24"/>
              <w:spacing w:line="400" w:lineRule="exact"/>
              <w:rPr>
                <w:rFonts w:hint="eastAsia" w:hAnsi="宋体"/>
                <w:color w:val="auto"/>
                <w:sz w:val="21"/>
                <w:szCs w:val="21"/>
              </w:rPr>
            </w:pPr>
            <w:r>
              <w:rPr>
                <w:rFonts w:hint="eastAsia" w:hAnsi="宋体"/>
                <w:color w:val="auto"/>
                <w:sz w:val="21"/>
                <w:szCs w:val="21"/>
              </w:rPr>
              <w:t>9.</w:t>
            </w:r>
            <w:r>
              <w:rPr>
                <w:rFonts w:hAnsi="宋体"/>
                <w:color w:val="auto"/>
                <w:sz w:val="21"/>
                <w:szCs w:val="21"/>
              </w:rPr>
              <w:t>采购人在软件使用过程中，如果要增加协议附件（功能设计书）之外的其它功能，在不超过功能总量的10%的前提下，中标人须为采购人提供不少于三次的免费修改服务。</w:t>
            </w:r>
          </w:p>
        </w:tc>
      </w:tr>
      <w:tr w14:paraId="0E4BF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50C92FD6">
            <w:pPr>
              <w:spacing w:line="400" w:lineRule="exact"/>
              <w:jc w:val="center"/>
              <w:rPr>
                <w:rFonts w:hint="eastAsia" w:ascii="宋体" w:hAnsi="宋体" w:cs="宋体"/>
                <w:b/>
                <w:bCs/>
                <w:szCs w:val="21"/>
              </w:rPr>
            </w:pPr>
            <w:r>
              <w:rPr>
                <w:rFonts w:hint="eastAsia" w:ascii="宋体" w:hAnsi="宋体" w:cs="宋体"/>
                <w:b/>
                <w:bCs/>
                <w:szCs w:val="21"/>
              </w:rPr>
              <w:t>▲（七）培训要求</w:t>
            </w:r>
          </w:p>
          <w:p w14:paraId="77D34103">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12747F8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提供免费技术培训，包括用户培训和系统后台维护技术培训、系统技术培训资料包。</w:t>
            </w:r>
          </w:p>
          <w:p w14:paraId="32A06912">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用户培训：为采购人提供上门培训，使用户能够掌握系统的使用方法；</w:t>
            </w:r>
          </w:p>
          <w:p w14:paraId="02BFCDED">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系统后台维护技术培训包括：数据库安装维护、数据备份等，使受训人员能够独立安装数据库和整套应用。</w:t>
            </w:r>
          </w:p>
          <w:p w14:paraId="79FFF5C7">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系统技术培训资料包：为采购人提供系统使用手册、日常维护手册等成套资料。</w:t>
            </w:r>
          </w:p>
        </w:tc>
      </w:tr>
      <w:tr w14:paraId="5AA288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5E8AFBD">
            <w:pPr>
              <w:pStyle w:val="10"/>
              <w:spacing w:line="400" w:lineRule="exact"/>
              <w:ind w:firstLine="0" w:firstLineChars="0"/>
              <w:rPr>
                <w:rFonts w:hint="eastAsia" w:ascii="宋体" w:hAnsi="宋体" w:eastAsia="宋体" w:cs="宋体"/>
                <w:b/>
                <w:bCs/>
                <w:sz w:val="21"/>
                <w:szCs w:val="21"/>
              </w:rPr>
            </w:pPr>
            <w:r>
              <w:rPr>
                <w:rFonts w:hint="eastAsia" w:ascii="宋体" w:hAnsi="宋体" w:eastAsia="宋体" w:cs="宋体"/>
                <w:b/>
                <w:bCs/>
                <w:sz w:val="21"/>
                <w:szCs w:val="21"/>
              </w:rPr>
              <w:t>▲（八）知识产权保护要求</w:t>
            </w:r>
          </w:p>
          <w:p w14:paraId="10112717">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1CA0FE10">
            <w:pPr>
              <w:pStyle w:val="2"/>
              <w:spacing w:line="400" w:lineRule="exact"/>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中标人为采购人开发的软件，</w:t>
            </w:r>
            <w:r>
              <w:rPr>
                <w:rFonts w:hint="eastAsia" w:ascii="宋体" w:hAnsi="宋体" w:cs="宋体"/>
                <w:sz w:val="21"/>
                <w:szCs w:val="21"/>
              </w:rPr>
              <w:t>如项目采用成熟平台产品实施的，中标供应商应交付基于本项目的全部二次开发代码及系统接口代码（含接口文档），并向采购人授予平台软件在本项目范围内长期使用、维护、升级所需的权利许可，保障采购人对交付成果的自主可控与后续扩展能力。</w:t>
            </w:r>
            <w:r>
              <w:rPr>
                <w:rFonts w:ascii="宋体" w:hAnsi="宋体" w:cs="宋体"/>
                <w:sz w:val="21"/>
                <w:szCs w:val="21"/>
              </w:rPr>
              <w:t>在开发完成以后，一次性将该软件产品的开发源代码（含开发手册）、接口协议</w:t>
            </w:r>
            <w:r>
              <w:rPr>
                <w:rFonts w:hint="eastAsia" w:ascii="宋体" w:hAnsi="宋体" w:cs="宋体"/>
                <w:sz w:val="21"/>
                <w:szCs w:val="21"/>
              </w:rPr>
              <w:t>移交</w:t>
            </w:r>
            <w:r>
              <w:rPr>
                <w:rFonts w:ascii="宋体" w:hAnsi="宋体" w:cs="宋体"/>
                <w:sz w:val="21"/>
                <w:szCs w:val="21"/>
              </w:rPr>
              <w:t>采购人。该软件的一切权利归采购人所有。中标人应尊重采购人所有的版权等一切权利，</w:t>
            </w:r>
            <w:r>
              <w:rPr>
                <w:rFonts w:hint="eastAsia" w:ascii="宋体" w:hAnsi="宋体" w:cs="宋体"/>
                <w:sz w:val="21"/>
                <w:szCs w:val="21"/>
              </w:rPr>
              <w:t>在交付的</w:t>
            </w:r>
            <w:r>
              <w:rPr>
                <w:rFonts w:ascii="宋体" w:hAnsi="宋体" w:cs="宋体"/>
                <w:sz w:val="21"/>
                <w:szCs w:val="21"/>
              </w:rPr>
              <w:t>软件产品</w:t>
            </w:r>
            <w:r>
              <w:rPr>
                <w:rFonts w:hint="eastAsia" w:ascii="宋体" w:hAnsi="宋体" w:cs="宋体"/>
                <w:sz w:val="21"/>
                <w:szCs w:val="21"/>
              </w:rPr>
              <w:t>及源代码内不得存在采购人不知道的功能和接口</w:t>
            </w:r>
            <w:r>
              <w:rPr>
                <w:rFonts w:ascii="宋体" w:hAnsi="宋体" w:cs="宋体"/>
                <w:sz w:val="21"/>
                <w:szCs w:val="21"/>
              </w:rPr>
              <w:t>，</w:t>
            </w:r>
            <w:r>
              <w:rPr>
                <w:rFonts w:hint="eastAsia" w:ascii="宋体" w:hAnsi="宋体" w:cs="宋体"/>
                <w:sz w:val="21"/>
                <w:szCs w:val="21"/>
              </w:rPr>
              <w:t>不得</w:t>
            </w:r>
            <w:r>
              <w:rPr>
                <w:rFonts w:ascii="宋体" w:hAnsi="宋体" w:cs="宋体"/>
                <w:sz w:val="21"/>
                <w:szCs w:val="21"/>
              </w:rPr>
              <w:t>出租、出让等。否则中标人承担由此给采购人带来的一切损失，采购人保留追究中标人法律责任的权利。</w:t>
            </w:r>
          </w:p>
          <w:p w14:paraId="07AA6356">
            <w:pPr>
              <w:pStyle w:val="2"/>
              <w:spacing w:line="400" w:lineRule="exact"/>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中标人对项目建设中所涉及的专利承担责任，并负责保护采购人的利益不受任何损害。一切由于文字、商标、技术和软件专利授权引起的法律裁决、诉讼和赔偿费用均由中标人负责。</w:t>
            </w:r>
          </w:p>
          <w:p w14:paraId="0735E854">
            <w:pPr>
              <w:pStyle w:val="2"/>
              <w:spacing w:line="400" w:lineRule="exact"/>
              <w:ind w:firstLine="480"/>
              <w:rPr>
                <w:rFonts w:hint="eastAsia" w:ascii="宋体" w:hAnsi="宋体" w:cs="宋体"/>
                <w:sz w:val="21"/>
                <w:szCs w:val="21"/>
              </w:rPr>
            </w:pPr>
            <w:r>
              <w:rPr>
                <w:rFonts w:ascii="宋体" w:hAnsi="宋体" w:cs="宋体"/>
                <w:sz w:val="21"/>
                <w:szCs w:val="21"/>
              </w:rPr>
              <w:t>本项目成果及其相关知识产权权利归采购单位所有。</w:t>
            </w:r>
          </w:p>
        </w:tc>
      </w:tr>
      <w:tr w14:paraId="0101DA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53772A8D">
            <w:pPr>
              <w:pStyle w:val="2"/>
              <w:spacing w:line="400" w:lineRule="exact"/>
              <w:jc w:val="center"/>
              <w:rPr>
                <w:rFonts w:hint="eastAsia" w:ascii="宋体" w:hAnsi="宋体" w:cs="宋体"/>
                <w:b/>
                <w:bCs/>
                <w:sz w:val="21"/>
                <w:szCs w:val="21"/>
              </w:rPr>
            </w:pPr>
            <w:r>
              <w:rPr>
                <w:rFonts w:hint="eastAsia" w:ascii="宋体" w:hAnsi="宋体" w:cs="宋体"/>
                <w:b/>
                <w:bCs/>
                <w:sz w:val="21"/>
                <w:szCs w:val="21"/>
              </w:rPr>
              <w:t>▲（九）其他要求</w:t>
            </w:r>
          </w:p>
        </w:tc>
        <w:tc>
          <w:tcPr>
            <w:tcW w:w="7330" w:type="dxa"/>
            <w:gridSpan w:val="3"/>
            <w:tcBorders>
              <w:top w:val="single" w:color="auto" w:sz="4" w:space="0"/>
              <w:left w:val="single" w:color="auto" w:sz="4" w:space="0"/>
              <w:bottom w:val="single" w:color="auto" w:sz="4" w:space="0"/>
              <w:right w:val="single" w:color="auto" w:sz="4" w:space="0"/>
            </w:tcBorders>
          </w:tcPr>
          <w:p w14:paraId="5CCE528F">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本项目中标人提供的服务应符合国家相关标准、行业标准、地方标准或者其他标准。</w:t>
            </w:r>
          </w:p>
          <w:p w14:paraId="2903451A">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中标人所提供的资料必须是真实的，所作出的承诺必须是切实可行的，如提供虚假资料或作出虚假承诺，一经查实，将取消其中标人中标资格，并按照相关法律法规进行处理，采购人保留进一步追究责任的权利。</w:t>
            </w:r>
          </w:p>
          <w:p w14:paraId="33209FF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中标人必须承诺自行提供本项目的所有服务内容，不得分包或转包，不允许委托任何第三方负责本项目的建设、维护。</w:t>
            </w:r>
          </w:p>
          <w:p w14:paraId="1667E3AA">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在项目竣工验收后，采购人有权委托政府审计机构或中介机构对项目建设进行第三方审计。</w:t>
            </w:r>
          </w:p>
          <w:p w14:paraId="671C1940">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中标人派遣到采购人的服务人员应符合采购人要求，需是本单位在职人员，保证服务人员的稳定性，人员不允许频繁更换。如不符合采购人要求，应及时更换。如项目人员队伍发生重大变更导致无法按要求开展项目任务或者发生重大责任事故的，采购人有权终止委托。</w:t>
            </w:r>
          </w:p>
          <w:p w14:paraId="32E07A5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6.</w:t>
            </w:r>
            <w:r>
              <w:rPr>
                <w:rFonts w:ascii="宋体" w:hAnsi="宋体" w:eastAsia="宋体" w:cs="宋体"/>
                <w:sz w:val="21"/>
                <w:szCs w:val="21"/>
              </w:rPr>
              <w:t>在</w:t>
            </w:r>
            <w:r>
              <w:rPr>
                <w:rFonts w:hint="eastAsia" w:ascii="宋体" w:hAnsi="宋体" w:eastAsia="宋体" w:cs="宋体"/>
                <w:sz w:val="21"/>
                <w:szCs w:val="21"/>
              </w:rPr>
              <w:t>投标文件</w:t>
            </w:r>
            <w:r>
              <w:rPr>
                <w:rFonts w:ascii="宋体" w:hAnsi="宋体" w:eastAsia="宋体" w:cs="宋体"/>
                <w:sz w:val="21"/>
                <w:szCs w:val="21"/>
              </w:rPr>
              <w:t>中提供针对本项目的技术方案、实施方案、售后服务方案等。</w:t>
            </w:r>
          </w:p>
          <w:p w14:paraId="440E4E50">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7.</w:t>
            </w:r>
            <w:r>
              <w:rPr>
                <w:rFonts w:ascii="宋体" w:hAnsi="宋体" w:eastAsia="宋体" w:cs="宋体"/>
                <w:sz w:val="21"/>
                <w:szCs w:val="21"/>
              </w:rPr>
              <w:t>因本项目需求需根据实际建设情况进一步优化调整，最终按照项目实际开展要求进行调整确定，中标人必须按照采购人要求配合完成全部工作。</w:t>
            </w:r>
          </w:p>
          <w:p w14:paraId="14A39B23">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8.</w:t>
            </w:r>
            <w:r>
              <w:rPr>
                <w:rFonts w:ascii="宋体" w:hAnsi="宋体" w:eastAsia="宋体" w:cs="宋体"/>
                <w:sz w:val="21"/>
                <w:szCs w:val="21"/>
              </w:rPr>
              <w:t>提供相应培训服务。中标人免费为采购人提供国家主管部门认证的</w:t>
            </w:r>
            <w:r>
              <w:rPr>
                <w:rFonts w:hint="eastAsia" w:ascii="宋体" w:hAnsi="宋体" w:eastAsia="宋体" w:cs="宋体"/>
                <w:sz w:val="21"/>
                <w:szCs w:val="21"/>
              </w:rPr>
              <w:t>计算机类</w:t>
            </w:r>
            <w:r>
              <w:rPr>
                <w:rFonts w:ascii="宋体" w:hAnsi="宋体" w:eastAsia="宋体" w:cs="宋体"/>
                <w:sz w:val="21"/>
                <w:szCs w:val="21"/>
              </w:rPr>
              <w:t>中级及以上专业技术职业资格</w:t>
            </w:r>
            <w:r>
              <w:rPr>
                <w:rFonts w:hint="eastAsia" w:ascii="宋体" w:hAnsi="宋体" w:eastAsia="宋体" w:cs="宋体"/>
                <w:sz w:val="21"/>
                <w:szCs w:val="21"/>
              </w:rPr>
              <w:t>或行业认可的数据治理认证相关</w:t>
            </w:r>
            <w:r>
              <w:rPr>
                <w:rFonts w:ascii="宋体" w:hAnsi="宋体" w:eastAsia="宋体" w:cs="宋体"/>
                <w:sz w:val="21"/>
                <w:szCs w:val="21"/>
              </w:rPr>
              <w:t>培训（含线下培训和认证服务）培训，培训和认证费含在项目整体报价中。</w:t>
            </w:r>
          </w:p>
          <w:p w14:paraId="621A71F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9.</w:t>
            </w:r>
            <w:r>
              <w:rPr>
                <w:rFonts w:ascii="宋体" w:hAnsi="宋体" w:eastAsia="宋体" w:cs="宋体"/>
                <w:sz w:val="21"/>
                <w:szCs w:val="21"/>
              </w:rPr>
              <w:t>中标人须安排至少5名人员驻点开发系统</w:t>
            </w:r>
            <w:r>
              <w:rPr>
                <w:rFonts w:hint="eastAsia" w:ascii="宋体" w:hAnsi="宋体" w:eastAsia="宋体" w:cs="宋体"/>
                <w:sz w:val="21"/>
                <w:szCs w:val="21"/>
              </w:rPr>
              <w:t>，质保期安排至少2人驻点运维</w:t>
            </w:r>
            <w:r>
              <w:rPr>
                <w:rFonts w:ascii="宋体" w:hAnsi="宋体" w:eastAsia="宋体" w:cs="宋体"/>
                <w:sz w:val="21"/>
                <w:szCs w:val="21"/>
              </w:rPr>
              <w:t>。</w:t>
            </w:r>
            <w:r>
              <w:rPr>
                <w:rFonts w:hint="eastAsia" w:ascii="宋体" w:hAnsi="宋体" w:eastAsia="宋体" w:cs="宋体"/>
                <w:sz w:val="21"/>
                <w:szCs w:val="21"/>
              </w:rPr>
              <w:t>在驻点过程中，</w:t>
            </w:r>
            <w:r>
              <w:rPr>
                <w:rFonts w:ascii="宋体" w:hAnsi="宋体" w:eastAsia="宋体" w:cs="宋体"/>
                <w:sz w:val="21"/>
                <w:szCs w:val="21"/>
              </w:rPr>
              <w:t>中标人</w:t>
            </w:r>
            <w:r>
              <w:rPr>
                <w:rFonts w:hint="eastAsia" w:ascii="宋体" w:hAnsi="宋体" w:eastAsia="宋体" w:cs="宋体"/>
                <w:sz w:val="21"/>
                <w:szCs w:val="21"/>
              </w:rPr>
              <w:t>应</w:t>
            </w:r>
            <w:r>
              <w:rPr>
                <w:rFonts w:ascii="宋体" w:hAnsi="宋体" w:eastAsia="宋体" w:cs="宋体"/>
                <w:sz w:val="21"/>
                <w:szCs w:val="21"/>
              </w:rPr>
              <w:t>提供完成本项服务所需要的车辆、通讯设备、办公</w:t>
            </w:r>
            <w:r>
              <w:rPr>
                <w:rFonts w:hint="eastAsia" w:ascii="宋体" w:hAnsi="宋体" w:eastAsia="宋体" w:cs="宋体"/>
                <w:sz w:val="21"/>
                <w:szCs w:val="21"/>
              </w:rPr>
              <w:t>设施</w:t>
            </w:r>
            <w:r>
              <w:rPr>
                <w:rFonts w:ascii="宋体" w:hAnsi="宋体" w:eastAsia="宋体" w:cs="宋体"/>
                <w:sz w:val="21"/>
                <w:szCs w:val="21"/>
              </w:rPr>
              <w:t>等一切物资以辅助本项目</w:t>
            </w:r>
            <w:r>
              <w:rPr>
                <w:rFonts w:hint="eastAsia" w:ascii="宋体" w:hAnsi="宋体" w:eastAsia="宋体" w:cs="宋体"/>
                <w:sz w:val="21"/>
                <w:szCs w:val="21"/>
              </w:rPr>
              <w:t>相关</w:t>
            </w:r>
            <w:r>
              <w:rPr>
                <w:rFonts w:ascii="宋体" w:hAnsi="宋体" w:eastAsia="宋体" w:cs="宋体"/>
                <w:sz w:val="21"/>
                <w:szCs w:val="21"/>
              </w:rPr>
              <w:t>工作</w:t>
            </w:r>
            <w:r>
              <w:rPr>
                <w:rFonts w:hint="eastAsia" w:ascii="宋体" w:hAnsi="宋体" w:eastAsia="宋体" w:cs="宋体"/>
                <w:sz w:val="21"/>
                <w:szCs w:val="21"/>
              </w:rPr>
              <w:t>。</w:t>
            </w:r>
          </w:p>
        </w:tc>
      </w:tr>
      <w:tr w14:paraId="258A76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32E286B3">
            <w:pPr>
              <w:pStyle w:val="2"/>
              <w:spacing w:line="400" w:lineRule="exact"/>
              <w:jc w:val="center"/>
              <w:rPr>
                <w:rFonts w:hint="eastAsia" w:ascii="宋体" w:hAnsi="宋体" w:cs="宋体"/>
                <w:b/>
                <w:bCs/>
                <w:sz w:val="21"/>
                <w:szCs w:val="21"/>
              </w:rPr>
            </w:pPr>
            <w:r>
              <w:rPr>
                <w:rFonts w:hint="eastAsia" w:ascii="宋体" w:hAnsi="宋体" w:cs="宋体"/>
                <w:b/>
                <w:bCs/>
                <w:sz w:val="21"/>
                <w:szCs w:val="21"/>
              </w:rPr>
              <w:t>（十）演示要求及事项</w:t>
            </w:r>
          </w:p>
        </w:tc>
        <w:tc>
          <w:tcPr>
            <w:tcW w:w="7330" w:type="dxa"/>
            <w:gridSpan w:val="3"/>
            <w:tcBorders>
              <w:top w:val="single" w:color="auto" w:sz="4" w:space="0"/>
              <w:left w:val="single" w:color="auto" w:sz="4" w:space="0"/>
              <w:bottom w:val="single" w:color="auto" w:sz="4" w:space="0"/>
              <w:right w:val="single" w:color="auto" w:sz="4" w:space="0"/>
            </w:tcBorders>
          </w:tcPr>
          <w:p w14:paraId="05119363">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（1）请投标人结合本项目需求及“评标方法及评标标准”演示内容要求，提前做好演示设计及准备。</w:t>
            </w:r>
          </w:p>
          <w:p w14:paraId="02A82B6F">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投标人自备演示所需的设备、工具和网络环境。每家投标人演示时间20分钟（不含调试）。具体演示时间另行通知，届时将在广西政府采购云平台视频会议系统通过共享屏幕方式进行演示，请各投标人提前做好调试准备。若投标人放弃演示，则演示评分项计0分。</w:t>
            </w:r>
          </w:p>
          <w:p w14:paraId="28ADEF29">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（3）注意事项</w:t>
            </w:r>
          </w:p>
          <w:p w14:paraId="4582376F">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①演示顺序按广西政府采购云平台的排列顺序。演示通过广西政府采购云平台视频会议形式进行，投标人通过共享电脑桌面的形式展现，投标人应自行配制符合广西政府采购云平台视频会议要求的软硬件和确保投标人自身网络顺畅。</w:t>
            </w:r>
          </w:p>
          <w:p w14:paraId="77C66A58">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②演示前，代理机构工作人员会至少提前10分钟电话通知各参加演示的投标人，请各投标人保持通讯工具畅通；并由评委或代理机构工作人员通过广西政府采购云平台线上发起询问或通知的方式进行演示确认，投标人应在广西政府采购云平台线上回复是否参加演示。</w:t>
            </w:r>
          </w:p>
          <w:p w14:paraId="17C67618">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③各投标人应登录广西政府采购云平台等候演示，代理机构发出视频会议邀请后1分钟内无回应的，将顺延下一个投标人进行演示，待其他投标人演示完毕后再次发出视频会议邀请，反复3次仍无回应的或无法联系的，评标委员会可视为无法演示。</w:t>
            </w:r>
          </w:p>
          <w:p w14:paraId="38C404C9">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④由于政采云系统原因造成演示中断的，政采云系统恢复后组织重新演示。</w:t>
            </w:r>
          </w:p>
        </w:tc>
      </w:tr>
      <w:tr w14:paraId="43E7A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225FA5BD">
            <w:pPr>
              <w:pStyle w:val="2"/>
              <w:spacing w:line="400" w:lineRule="exact"/>
              <w:rPr>
                <w:rFonts w:hint="eastAsia" w:ascii="宋体" w:hAnsi="宋体" w:cs="宋体"/>
                <w:sz w:val="21"/>
                <w:szCs w:val="21"/>
              </w:rPr>
            </w:pPr>
            <w:r>
              <w:rPr>
                <w:rFonts w:hint="eastAsia" w:ascii="宋体" w:hAnsi="宋体" w:cs="宋体"/>
                <w:sz w:val="21"/>
                <w:szCs w:val="21"/>
              </w:rPr>
              <w:t>▲（三）其他要求（“▲”为实质性要求，供应商必须响应，不允许负偏离）</w:t>
            </w:r>
          </w:p>
          <w:p w14:paraId="3B0AD138">
            <w:pPr>
              <w:pStyle w:val="2"/>
              <w:spacing w:line="400" w:lineRule="exact"/>
              <w:rPr>
                <w:rFonts w:hint="eastAsia" w:ascii="宋体" w:hAnsi="宋体" w:cs="宋体"/>
                <w:sz w:val="21"/>
                <w:szCs w:val="21"/>
              </w:rPr>
            </w:pPr>
            <w:r>
              <w:rPr>
                <w:rFonts w:hint="eastAsia" w:ascii="宋体" w:hAnsi="宋体" w:cs="宋体"/>
                <w:sz w:val="21"/>
                <w:szCs w:val="21"/>
              </w:rPr>
              <w:t>1.开发体系要求。</w:t>
            </w:r>
          </w:p>
          <w:p w14:paraId="650BA50D">
            <w:pPr>
              <w:pStyle w:val="2"/>
              <w:spacing w:line="400" w:lineRule="exact"/>
              <w:rPr>
                <w:rFonts w:hint="eastAsia" w:ascii="宋体" w:hAnsi="宋体" w:cs="宋体"/>
                <w:sz w:val="21"/>
                <w:szCs w:val="21"/>
              </w:rPr>
            </w:pPr>
            <w:r>
              <w:rPr>
                <w:rFonts w:hint="eastAsia" w:ascii="宋体" w:hAnsi="宋体" w:cs="宋体"/>
                <w:sz w:val="21"/>
                <w:szCs w:val="21"/>
              </w:rPr>
              <w:t>（1）技术中台</w:t>
            </w:r>
          </w:p>
          <w:p w14:paraId="029DCFEC">
            <w:pPr>
              <w:pStyle w:val="2"/>
              <w:spacing w:line="400" w:lineRule="exact"/>
              <w:rPr>
                <w:rFonts w:hint="eastAsia" w:ascii="宋体" w:hAnsi="宋体" w:cs="宋体"/>
                <w:sz w:val="21"/>
                <w:szCs w:val="21"/>
              </w:rPr>
            </w:pPr>
            <w:r>
              <w:rPr>
                <w:rFonts w:hint="eastAsia" w:ascii="宋体" w:hAnsi="宋体" w:cs="宋体"/>
                <w:sz w:val="21"/>
                <w:szCs w:val="21"/>
              </w:rPr>
              <w:t>各业务应用需基于采购人广西“生态云”统一支撑平台提供的能力进行建设，需遵循统一的建设要求。</w:t>
            </w:r>
          </w:p>
          <w:p w14:paraId="204767BC">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\o\ac(○,1)</w:instrText>
            </w:r>
            <w:r>
              <w:rPr>
                <w:rFonts w:hint="eastAsia" w:ascii="宋体" w:hAnsi="宋体" w:cs="宋体"/>
                <w:sz w:val="21"/>
                <w:szCs w:val="21"/>
              </w:rPr>
              <w:fldChar w:fldCharType="end"/>
            </w:r>
            <w:r>
              <w:rPr>
                <w:rFonts w:hint="eastAsia" w:ascii="宋体" w:hAnsi="宋体" w:cs="宋体"/>
                <w:sz w:val="21"/>
                <w:szCs w:val="21"/>
              </w:rPr>
              <w:t xml:space="preserve"> 应用容器化要求：业务应用系统需提供用于构建镜像的相关脚本，需以镜像的形式上传至统一的私有镜像仓库，并遵循统一的镜像命名规范。镜像应遵循最佳实践，保持最小化和无状态化。</w:t>
            </w:r>
          </w:p>
          <w:p w14:paraId="366DDEB0">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\o\ac(○,2)</w:instrText>
            </w:r>
            <w:r>
              <w:rPr>
                <w:rFonts w:hint="eastAsia" w:ascii="宋体" w:hAnsi="宋体" w:cs="宋体"/>
                <w:sz w:val="21"/>
                <w:szCs w:val="21"/>
              </w:rPr>
              <w:fldChar w:fldCharType="end"/>
            </w:r>
            <w:r>
              <w:rPr>
                <w:rFonts w:hint="eastAsia" w:ascii="宋体" w:hAnsi="宋体" w:cs="宋体"/>
                <w:sz w:val="21"/>
                <w:szCs w:val="21"/>
              </w:rPr>
              <w:t xml:space="preserve"> 部署与发布要求：业务应用系统需提供适配广西“生态云”统一支撑平台的部署文件，其中需包含平台所需的各类资源定义。</w:t>
            </w:r>
          </w:p>
          <w:p w14:paraId="0A48842D">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\o\ac(○,3)</w:instrText>
            </w:r>
            <w:r>
              <w:rPr>
                <w:rFonts w:hint="eastAsia" w:ascii="宋体" w:hAnsi="宋体" w:cs="宋体"/>
                <w:sz w:val="21"/>
                <w:szCs w:val="21"/>
              </w:rPr>
              <w:fldChar w:fldCharType="end"/>
            </w:r>
            <w:r>
              <w:rPr>
                <w:rFonts w:hint="eastAsia" w:ascii="宋体" w:hAnsi="宋体" w:cs="宋体"/>
                <w:sz w:val="21"/>
                <w:szCs w:val="21"/>
              </w:rPr>
              <w:t xml:space="preserve"> 统一流量入口要求：业务应用系统相关的接口和服务需通过统一应用网关对外暴露，需按平台统一的路由配置规范设置访问路径。</w:t>
            </w:r>
          </w:p>
          <w:p w14:paraId="746832E5">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\o\ac(○,4)</w:instrText>
            </w:r>
            <w:r>
              <w:rPr>
                <w:rFonts w:hint="eastAsia" w:ascii="宋体" w:hAnsi="宋体" w:cs="宋体"/>
                <w:sz w:val="21"/>
                <w:szCs w:val="21"/>
              </w:rPr>
              <w:fldChar w:fldCharType="end"/>
            </w:r>
            <w:r>
              <w:rPr>
                <w:rFonts w:hint="eastAsia" w:ascii="宋体" w:hAnsi="宋体" w:cs="宋体"/>
                <w:sz w:val="21"/>
                <w:szCs w:val="21"/>
              </w:rPr>
              <w:t xml:space="preserve"> 统一身份认证要求：业务应用系统需支持平台提供的统一身份认证协议，与平台提供的统一单点登录系统对接，通过解析平台签发的密钥来获取用户身份信息，并以此为依据进行系统内部的权限判断和控制。</w:t>
            </w:r>
          </w:p>
          <w:p w14:paraId="07F90AD6">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\o\ac(○,5)</w:instrText>
            </w:r>
            <w:r>
              <w:rPr>
                <w:rFonts w:hint="eastAsia" w:ascii="宋体" w:hAnsi="宋体" w:cs="宋体"/>
                <w:sz w:val="21"/>
                <w:szCs w:val="21"/>
              </w:rPr>
              <w:fldChar w:fldCharType="end"/>
            </w:r>
            <w:r>
              <w:rPr>
                <w:rFonts w:hint="eastAsia" w:ascii="宋体" w:hAnsi="宋体" w:cs="宋体"/>
                <w:sz w:val="21"/>
                <w:szCs w:val="21"/>
              </w:rPr>
              <w:t xml:space="preserve"> 统一消息中心接入要求：业务应用系统内需要触达用户的通知（如事项办理、业务告警、状态变更等），需按平台定义的消息模板规范，调用统一消息中心的接口实现消息的接入。</w:t>
            </w:r>
          </w:p>
          <w:p w14:paraId="25335172">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\o\ac(○,6)</w:instrText>
            </w:r>
            <w:r>
              <w:rPr>
                <w:rFonts w:hint="eastAsia" w:ascii="宋体" w:hAnsi="宋体" w:cs="宋体"/>
                <w:sz w:val="21"/>
                <w:szCs w:val="21"/>
              </w:rPr>
              <w:fldChar w:fldCharType="end"/>
            </w:r>
            <w:r>
              <w:rPr>
                <w:rFonts w:hint="eastAsia" w:ascii="宋体" w:hAnsi="宋体" w:cs="宋体"/>
                <w:sz w:val="21"/>
                <w:szCs w:val="21"/>
              </w:rPr>
              <w:t xml:space="preserve"> 统一日志规范要求：业务应用系统的日志需输出到标准输出和标准错误，建议输出结构化日志，并对接统一的日志管理模块，便于后续的日志检索和分析。</w:t>
            </w:r>
          </w:p>
          <w:p w14:paraId="054C49CD">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\o\ac(○,7)</w:instrText>
            </w:r>
            <w:r>
              <w:rPr>
                <w:rFonts w:hint="eastAsia" w:ascii="宋体" w:hAnsi="宋体" w:cs="宋体"/>
                <w:sz w:val="21"/>
                <w:szCs w:val="21"/>
              </w:rPr>
              <w:fldChar w:fldCharType="end"/>
            </w:r>
            <w:r>
              <w:rPr>
                <w:rFonts w:hint="eastAsia" w:ascii="宋体" w:hAnsi="宋体" w:cs="宋体"/>
                <w:sz w:val="21"/>
                <w:szCs w:val="21"/>
              </w:rPr>
              <w:t xml:space="preserve"> 统一可观测性要求：业务应用系统需实现符合容器平台规范的存活探针、就绪探针等健康检查端点，并按广西“生态云”统一支撑平台的格式要求暴露其内部的关键性能指标。</w:t>
            </w:r>
          </w:p>
          <w:p w14:paraId="153F77CB">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\o\ac(○,8)</w:instrText>
            </w:r>
            <w:r>
              <w:rPr>
                <w:rFonts w:hint="eastAsia" w:ascii="宋体" w:hAnsi="宋体" w:cs="宋体"/>
                <w:sz w:val="21"/>
                <w:szCs w:val="21"/>
              </w:rPr>
              <w:fldChar w:fldCharType="end"/>
            </w:r>
            <w:r>
              <w:rPr>
                <w:rFonts w:hint="eastAsia" w:ascii="宋体" w:hAnsi="宋体" w:cs="宋体"/>
                <w:sz w:val="21"/>
                <w:szCs w:val="21"/>
              </w:rPr>
              <w:t xml:space="preserve"> 统一配置管理要求：业务应用系统的环境相关配置项（如数据库地址、密码、第三方密钥等）严禁硬编码在代码或镜像中，需能够通过环境变量、挂载配置文件、对接统一配置平台等方式来读取配置。</w:t>
            </w:r>
          </w:p>
          <w:p w14:paraId="5CAAF7AF">
            <w:pPr>
              <w:pStyle w:val="2"/>
              <w:spacing w:line="400" w:lineRule="exact"/>
              <w:rPr>
                <w:rFonts w:hint="eastAsia" w:ascii="宋体" w:hAnsi="宋体" w:cs="宋体"/>
                <w:sz w:val="21"/>
                <w:szCs w:val="21"/>
              </w:rPr>
            </w:pPr>
            <w:r>
              <w:rPr>
                <w:rFonts w:hint="eastAsia" w:ascii="宋体" w:hAnsi="宋体" w:cs="宋体"/>
                <w:sz w:val="21"/>
                <w:szCs w:val="21"/>
              </w:rPr>
              <w:t>（2）数据资源平台</w:t>
            </w:r>
          </w:p>
          <w:p w14:paraId="24CC2452">
            <w:pPr>
              <w:pStyle w:val="2"/>
              <w:spacing w:line="400" w:lineRule="exact"/>
              <w:rPr>
                <w:rFonts w:hint="eastAsia" w:ascii="宋体" w:hAnsi="宋体" w:cs="宋体"/>
                <w:sz w:val="21"/>
                <w:szCs w:val="21"/>
              </w:rPr>
            </w:pPr>
            <w:r>
              <w:rPr>
                <w:rFonts w:hint="eastAsia" w:ascii="宋体" w:hAnsi="宋体" w:cs="宋体"/>
                <w:sz w:val="21"/>
                <w:szCs w:val="21"/>
              </w:rPr>
              <w:t>必须在采购人提供的广西生态环境数据资源平台上实现数据接入、调用和共享，严格遵循统一的数据标准、接口规范和安全策略。所有跨标段的交互（如数据交换、数据接口调用、目录共享等），确保平台整体的一致性与连贯性。</w:t>
            </w:r>
          </w:p>
          <w:p w14:paraId="3903B0C7">
            <w:pPr>
              <w:pStyle w:val="2"/>
              <w:spacing w:line="400" w:lineRule="exact"/>
              <w:rPr>
                <w:rFonts w:hint="eastAsia" w:ascii="宋体" w:hAnsi="宋体" w:cs="宋体"/>
                <w:sz w:val="21"/>
                <w:szCs w:val="21"/>
              </w:rPr>
            </w:pPr>
            <w:r>
              <w:rPr>
                <w:rFonts w:hint="eastAsia" w:ascii="宋体" w:hAnsi="宋体" w:cs="宋体"/>
                <w:sz w:val="21"/>
                <w:szCs w:val="21"/>
              </w:rPr>
              <w:t>各系统在建设过程，应严格执行统一数据接口文档和测试流程，确保接口互认、认证一致和数据安全；须接受数据平台的统一接入测试、安全评估和性能认证。系统建设应坚持模块化、服务化思路，以便于后期运维升级和持续扩展，确保全区生态环境智慧监管体系的统一性和长效运行。</w:t>
            </w:r>
          </w:p>
          <w:p w14:paraId="280B3A3F">
            <w:pPr>
              <w:pStyle w:val="2"/>
              <w:spacing w:line="400" w:lineRule="exact"/>
              <w:rPr>
                <w:rFonts w:hint="eastAsia" w:ascii="宋体" w:hAnsi="宋体" w:cs="宋体"/>
                <w:sz w:val="21"/>
                <w:szCs w:val="21"/>
              </w:rPr>
            </w:pPr>
            <w:r>
              <w:rPr>
                <w:rFonts w:hint="eastAsia" w:ascii="宋体" w:hAnsi="宋体" w:cs="宋体"/>
                <w:sz w:val="21"/>
                <w:szCs w:val="21"/>
              </w:rPr>
              <w:t>2.需满足政务信息共享开放系统设计要求。</w:t>
            </w:r>
          </w:p>
          <w:p w14:paraId="5D36A04D">
            <w:pPr>
              <w:pStyle w:val="2"/>
              <w:spacing w:line="400" w:lineRule="exact"/>
              <w:rPr>
                <w:rFonts w:hint="eastAsia" w:ascii="宋体" w:hAnsi="宋体" w:cs="宋体"/>
                <w:sz w:val="21"/>
                <w:szCs w:val="21"/>
              </w:rPr>
            </w:pPr>
            <w:r>
              <w:rPr>
                <w:rFonts w:hint="eastAsia" w:ascii="宋体" w:hAnsi="宋体" w:cs="宋体"/>
                <w:sz w:val="21"/>
                <w:szCs w:val="21"/>
              </w:rPr>
              <w:t>（1）须实现通过广西一体化智能化公共数据平台与各厅局单位进行数据共享。统一标准接口服务，统一标准接口服务应按照自治区政务信息资源共享平台服务接口开发和使用规范进行设计及实施。针对接口服务过程建立异常跟踪、日志跟踪及处理机制，确保接口程序稳定、健康运行。</w:t>
            </w:r>
          </w:p>
          <w:p w14:paraId="61CAC545">
            <w:pPr>
              <w:pStyle w:val="2"/>
              <w:spacing w:line="400" w:lineRule="exact"/>
              <w:rPr>
                <w:rFonts w:hint="eastAsia" w:ascii="宋体" w:hAnsi="宋体" w:cs="宋体"/>
                <w:sz w:val="21"/>
                <w:szCs w:val="21"/>
              </w:rPr>
            </w:pPr>
            <w:r>
              <w:rPr>
                <w:rFonts w:hint="eastAsia" w:ascii="宋体" w:hAnsi="宋体" w:cs="宋体"/>
                <w:sz w:val="21"/>
                <w:szCs w:val="21"/>
              </w:rPr>
              <w:t>根据《广西壮族自治区政务信息化公共组件管理办法（试行）》，需结合场景设计和业务需求，与自治区统一身份认证平台、统一电子印章平台等对接，充分复用自治区政务信息化可共享组件资源，避免重复开发建设。</w:t>
            </w:r>
          </w:p>
          <w:p w14:paraId="19B632BF">
            <w:pPr>
              <w:pStyle w:val="2"/>
              <w:spacing w:line="400" w:lineRule="exact"/>
              <w:rPr>
                <w:rFonts w:hint="eastAsia" w:ascii="宋体" w:hAnsi="宋体" w:cs="宋体"/>
                <w:sz w:val="21"/>
                <w:szCs w:val="21"/>
              </w:rPr>
            </w:pPr>
            <w:r>
              <w:rPr>
                <w:rFonts w:hint="eastAsia" w:ascii="宋体" w:hAnsi="宋体" w:cs="宋体"/>
                <w:sz w:val="21"/>
                <w:szCs w:val="21"/>
              </w:rPr>
              <w:t>▲3.信息资源目录要求。根据《国务院关于印发政务信息资源共享管理暂行办法的通知》（国发〔2016〕51号）及相关法律法规和等规定，加快推动政务信息系统互联和公共数据共享，要求按照《政务信息资源目录编制指南》编制、维护本项目政务信息资源目录，基于数据共享需求清单100%梳理、挂载并发布数据资源目录，明确数据来源、格式、更新、共享和开放等属性，确保信息资源共享开放。</w:t>
            </w:r>
          </w:p>
          <w:p w14:paraId="6C993505">
            <w:pPr>
              <w:pStyle w:val="2"/>
              <w:spacing w:line="400" w:lineRule="exact"/>
              <w:rPr>
                <w:rFonts w:hint="eastAsia" w:ascii="宋体" w:hAnsi="宋体" w:cs="宋体"/>
                <w:sz w:val="21"/>
                <w:szCs w:val="21"/>
              </w:rPr>
            </w:pPr>
            <w:r>
              <w:rPr>
                <w:rFonts w:hint="eastAsia" w:ascii="宋体" w:hAnsi="宋体" w:cs="宋体"/>
                <w:sz w:val="21"/>
                <w:szCs w:val="21"/>
              </w:rPr>
              <w:t>▲4.建立维护信息共享开放长效机制。</w:t>
            </w:r>
          </w:p>
          <w:p w14:paraId="60AE7F3B">
            <w:pPr>
              <w:pStyle w:val="2"/>
              <w:spacing w:line="400" w:lineRule="exact"/>
              <w:rPr>
                <w:rFonts w:hint="eastAsia" w:ascii="宋体" w:hAnsi="宋体" w:cs="宋体"/>
                <w:sz w:val="21"/>
                <w:szCs w:val="21"/>
              </w:rPr>
            </w:pPr>
            <w:r>
              <w:rPr>
                <w:rFonts w:hint="eastAsia" w:ascii="宋体" w:hAnsi="宋体" w:cs="宋体"/>
                <w:sz w:val="21"/>
                <w:szCs w:val="21"/>
              </w:rPr>
              <w:t>根据采购人要求，建立信息资源的采集管理机制、采集技术机制、统一存储管理机制、统一存储技术机制、统一利用管理机制、统一利用技术机制。保障稳定的数据更新频率、数据推送模式和数据推送周期。</w:t>
            </w:r>
          </w:p>
          <w:p w14:paraId="5C0A5B9C">
            <w:pPr>
              <w:pStyle w:val="2"/>
              <w:spacing w:line="400" w:lineRule="exact"/>
              <w:rPr>
                <w:rFonts w:hint="eastAsia" w:ascii="宋体" w:hAnsi="宋体" w:cs="宋体"/>
                <w:sz w:val="21"/>
                <w:szCs w:val="21"/>
              </w:rPr>
            </w:pPr>
            <w:r>
              <w:rPr>
                <w:rFonts w:hint="eastAsia" w:ascii="宋体" w:hAnsi="宋体" w:cs="宋体"/>
                <w:sz w:val="21"/>
                <w:szCs w:val="21"/>
              </w:rPr>
              <w:t>5.遵循总体安全建设原则。</w:t>
            </w:r>
          </w:p>
          <w:p w14:paraId="59C90A6C">
            <w:pPr>
              <w:pStyle w:val="2"/>
              <w:spacing w:line="400" w:lineRule="exact"/>
              <w:rPr>
                <w:rFonts w:hint="eastAsia" w:ascii="宋体" w:hAnsi="宋体" w:cs="宋体"/>
                <w:sz w:val="21"/>
                <w:szCs w:val="21"/>
              </w:rPr>
            </w:pPr>
            <w:r>
              <w:rPr>
                <w:rFonts w:hint="eastAsia" w:ascii="宋体" w:hAnsi="宋体" w:cs="宋体"/>
                <w:sz w:val="21"/>
                <w:szCs w:val="21"/>
              </w:rPr>
              <w:t>（1）整个网络平台与应用平台建设遵循信息安全等级保护二级体系（广西核应急指挥应用、广西生态环境厅内部管理应用、自治区生态环境厅直属单位内部管理应用、广西壮族自治区生态环境厅电子档案管理应用、内控管理应用开发应用遵循信息安全等级保护三级体系）进行建设。满足GBT 22239-2019《信息安全技术 网络安全等级保护基本要求》，并配合完成等保备案、通过等保测评等相关工作。遵循GB/T39786-2021《信息安全技术 信息系统密码应用基本要求》及相关国家标准、行业标准开展密码应用建设，系统使用壮美广西·政务云环境商用密码资源，通过密码应用安全性评估等相关工作。</w:t>
            </w:r>
          </w:p>
          <w:p w14:paraId="2FF3D2B2">
            <w:pPr>
              <w:pStyle w:val="2"/>
              <w:spacing w:line="400" w:lineRule="exact"/>
              <w:rPr>
                <w:rFonts w:hint="eastAsia" w:ascii="宋体" w:hAnsi="宋体" w:cs="宋体"/>
                <w:sz w:val="21"/>
                <w:szCs w:val="21"/>
              </w:rPr>
            </w:pPr>
            <w:r>
              <w:rPr>
                <w:rFonts w:hint="eastAsia" w:ascii="宋体" w:hAnsi="宋体" w:cs="宋体"/>
                <w:sz w:val="21"/>
                <w:szCs w:val="21"/>
              </w:rPr>
              <w:t>（2）依托现有安全设施进行安全防护体系建设，配合采购人开展安全评估、渗透测试、漏洞修复、弱密码整改等安全保障工作。</w:t>
            </w:r>
          </w:p>
          <w:p w14:paraId="3F0110F3">
            <w:pPr>
              <w:pStyle w:val="2"/>
              <w:spacing w:line="400" w:lineRule="exact"/>
              <w:rPr>
                <w:rFonts w:hint="eastAsia" w:ascii="宋体" w:hAnsi="宋体" w:cs="宋体"/>
                <w:sz w:val="21"/>
                <w:szCs w:val="21"/>
              </w:rPr>
            </w:pPr>
            <w:r>
              <w:rPr>
                <w:rFonts w:hint="eastAsia" w:ascii="宋体" w:hAnsi="宋体" w:cs="宋体"/>
                <w:sz w:val="21"/>
                <w:szCs w:val="21"/>
              </w:rPr>
              <w:t>（3）对存储在电子政务外网上的数据进行加密存储，系统应具备数据加密脱敏能力，并对系统内部个人信息等敏感数据采取安全保障措施。</w:t>
            </w:r>
          </w:p>
          <w:p w14:paraId="35E4BAA2">
            <w:pPr>
              <w:pStyle w:val="2"/>
              <w:spacing w:line="400" w:lineRule="exact"/>
              <w:rPr>
                <w:rFonts w:hint="eastAsia" w:ascii="宋体" w:hAnsi="宋体" w:cs="宋体"/>
                <w:sz w:val="21"/>
                <w:szCs w:val="21"/>
              </w:rPr>
            </w:pPr>
            <w:r>
              <w:rPr>
                <w:rFonts w:hint="eastAsia" w:ascii="宋体" w:hAnsi="宋体" w:cs="宋体"/>
                <w:sz w:val="21"/>
                <w:szCs w:val="21"/>
              </w:rPr>
              <w:t>（4）用户登录采用CA身份认证方式；</w:t>
            </w:r>
          </w:p>
          <w:p w14:paraId="31DC4A11">
            <w:pPr>
              <w:pStyle w:val="2"/>
              <w:spacing w:line="400" w:lineRule="exact"/>
              <w:rPr>
                <w:rFonts w:hint="eastAsia" w:ascii="宋体" w:hAnsi="宋体" w:cs="宋体"/>
                <w:sz w:val="21"/>
                <w:szCs w:val="21"/>
              </w:rPr>
            </w:pPr>
            <w:r>
              <w:rPr>
                <w:rFonts w:hint="eastAsia" w:ascii="宋体" w:hAnsi="宋体" w:cs="宋体"/>
                <w:sz w:val="21"/>
                <w:szCs w:val="21"/>
              </w:rPr>
              <w:t>（5）对数据维护、查询访问的各环节都进行监控和“留痕”，便于审计。中标人应配合采购人或第三方进行安全审计，提供必要的审计数据和资料。</w:t>
            </w:r>
          </w:p>
          <w:p w14:paraId="30D05BF8">
            <w:pPr>
              <w:pStyle w:val="2"/>
              <w:spacing w:line="400" w:lineRule="exact"/>
              <w:rPr>
                <w:rFonts w:hint="eastAsia" w:ascii="宋体" w:hAnsi="宋体" w:cs="宋体"/>
                <w:sz w:val="21"/>
                <w:szCs w:val="21"/>
              </w:rPr>
            </w:pPr>
            <w:r>
              <w:rPr>
                <w:rFonts w:hint="eastAsia" w:ascii="宋体" w:hAnsi="宋体" w:cs="宋体"/>
                <w:sz w:val="21"/>
                <w:szCs w:val="21"/>
              </w:rPr>
              <w:t>（6）依托壮美广西·政务云的云平台建设本项目灾备体系。中标人应制定网络和数据安全事件应急预案，并开展演练。</w:t>
            </w:r>
          </w:p>
          <w:p w14:paraId="7D3A1866">
            <w:pPr>
              <w:pStyle w:val="2"/>
              <w:spacing w:line="400" w:lineRule="exact"/>
              <w:rPr>
                <w:rFonts w:hint="eastAsia" w:ascii="宋体" w:hAnsi="宋体" w:cs="宋体"/>
                <w:sz w:val="21"/>
                <w:szCs w:val="21"/>
              </w:rPr>
            </w:pPr>
            <w:r>
              <w:rPr>
                <w:rFonts w:hint="eastAsia" w:ascii="宋体" w:hAnsi="宋体" w:cs="宋体"/>
                <w:sz w:val="21"/>
                <w:szCs w:val="21"/>
              </w:rPr>
              <w:t>（7）在应用系统上线试运行前按照《自治区生态环境厅信息系统上线技术规范（试行）》要求进行自评，并提交《信息系统上线运行技术报告》，获得采购人批准后方可上线。</w:t>
            </w:r>
          </w:p>
          <w:p w14:paraId="2B7F19F4">
            <w:pPr>
              <w:pStyle w:val="2"/>
              <w:spacing w:line="400" w:lineRule="exact"/>
              <w:rPr>
                <w:rFonts w:hint="eastAsia" w:ascii="宋体" w:hAnsi="宋体" w:cs="宋体"/>
                <w:sz w:val="21"/>
                <w:szCs w:val="21"/>
              </w:rPr>
            </w:pPr>
            <w:r>
              <w:rPr>
                <w:rFonts w:hint="eastAsia" w:ascii="宋体" w:hAnsi="宋体" w:cs="宋体"/>
                <w:sz w:val="21"/>
                <w:szCs w:val="21"/>
              </w:rPr>
              <w:t>▲6.实施保障要求。</w:t>
            </w:r>
          </w:p>
          <w:p w14:paraId="35441EB0">
            <w:pPr>
              <w:pStyle w:val="2"/>
              <w:spacing w:line="400" w:lineRule="exact"/>
              <w:rPr>
                <w:rFonts w:hint="eastAsia" w:ascii="宋体" w:hAnsi="宋体" w:cs="宋体"/>
                <w:sz w:val="21"/>
                <w:szCs w:val="21"/>
              </w:rPr>
            </w:pPr>
            <w:r>
              <w:rPr>
                <w:rFonts w:hint="eastAsia" w:ascii="宋体" w:hAnsi="宋体" w:cs="宋体"/>
                <w:sz w:val="21"/>
                <w:szCs w:val="21"/>
              </w:rPr>
              <w:t>（1）密码应用采用统一协调的密码应用方案，包括但不限于密码技术应用、密码支持总体架构、密码基础设施建设部署、密钥管理体系构建、密码产品部署以及管理等。提供密码服务和身份认证服务，密码安全应用贯穿业务始终，即从传输链路、身份鉴别、数据加密、电子签名、数据完整性保护等。</w:t>
            </w:r>
          </w:p>
          <w:p w14:paraId="5815C2D7">
            <w:pPr>
              <w:pStyle w:val="2"/>
              <w:spacing w:line="400" w:lineRule="exact"/>
              <w:rPr>
                <w:rFonts w:hint="eastAsia" w:ascii="宋体" w:hAnsi="宋体" w:cs="宋体"/>
                <w:sz w:val="21"/>
                <w:szCs w:val="21"/>
              </w:rPr>
            </w:pPr>
            <w:r>
              <w:rPr>
                <w:rFonts w:hint="eastAsia" w:ascii="宋体" w:hAnsi="宋体" w:cs="宋体"/>
                <w:sz w:val="21"/>
                <w:szCs w:val="21"/>
              </w:rPr>
              <w:t>（2）实施计划要求。编制《项目建设实施方案》，组织进行评审论证，并报请采购人批准；在《项目建设实施方案》被批准后，将严格按照实施方案、时间进度要求和人员安排等，组织工程建设，完成工程建设任务，组织工程验收，系统投入运行。实施内容包括方案设计阶段、系统集成、系统调试、试运行、最终验收、风险点及应对措施六个方面。</w:t>
            </w:r>
          </w:p>
          <w:p w14:paraId="6B52961E">
            <w:pPr>
              <w:pStyle w:val="2"/>
              <w:spacing w:line="400" w:lineRule="exact"/>
              <w:rPr>
                <w:rFonts w:hint="eastAsia" w:ascii="宋体" w:hAnsi="宋体" w:cs="宋体"/>
                <w:sz w:val="21"/>
                <w:szCs w:val="21"/>
              </w:rPr>
            </w:pPr>
            <w:r>
              <w:rPr>
                <w:rFonts w:hint="eastAsia" w:ascii="宋体" w:hAnsi="宋体" w:cs="宋体"/>
                <w:sz w:val="21"/>
                <w:szCs w:val="21"/>
              </w:rPr>
              <w:t>（3）遵循项目进度基准、范围基准、质量标准等，承建单位对项目的进度、质量、范围、变更等进行统筹管理。供应商对应用功能、服务器配置等参数进行变更应及时传达采购单位，并评估变更带来的安全风险，采取措施对风险进行控制；供应商须建立系统资产清单台账（包括但不限于服务器、操作系统、数据库、中间件、软件基础平台、网络策略开通和数据备份情况等信息），并定期更新。</w:t>
            </w:r>
          </w:p>
          <w:p w14:paraId="2A00E96D">
            <w:pPr>
              <w:pStyle w:val="2"/>
              <w:spacing w:line="400" w:lineRule="exact"/>
              <w:rPr>
                <w:rFonts w:hint="eastAsia" w:ascii="宋体" w:hAnsi="宋体" w:cs="宋体"/>
                <w:sz w:val="21"/>
                <w:szCs w:val="21"/>
              </w:rPr>
            </w:pPr>
            <w:r>
              <w:rPr>
                <w:rFonts w:hint="eastAsia" w:ascii="宋体" w:hAnsi="宋体" w:cs="宋体"/>
                <w:sz w:val="21"/>
                <w:szCs w:val="21"/>
              </w:rPr>
              <w:t>▲7.技术要求。</w:t>
            </w:r>
          </w:p>
          <w:p w14:paraId="6960E217">
            <w:pPr>
              <w:pStyle w:val="2"/>
              <w:spacing w:line="400" w:lineRule="exact"/>
              <w:rPr>
                <w:rFonts w:hint="eastAsia" w:ascii="宋体" w:hAnsi="宋体" w:cs="宋体"/>
                <w:sz w:val="21"/>
                <w:szCs w:val="21"/>
              </w:rPr>
            </w:pPr>
            <w:r>
              <w:rPr>
                <w:rFonts w:hint="eastAsia" w:ascii="宋体" w:hAnsi="宋体" w:cs="宋体"/>
                <w:sz w:val="21"/>
                <w:szCs w:val="21"/>
              </w:rPr>
              <w:t>（1）部署要求</w:t>
            </w:r>
          </w:p>
          <w:p w14:paraId="728734EA">
            <w:pPr>
              <w:pStyle w:val="2"/>
              <w:spacing w:line="400" w:lineRule="exact"/>
              <w:rPr>
                <w:rFonts w:hint="eastAsia" w:ascii="宋体" w:hAnsi="宋体" w:cs="宋体"/>
                <w:sz w:val="21"/>
                <w:szCs w:val="21"/>
              </w:rPr>
            </w:pPr>
            <w:r>
              <w:rPr>
                <w:rFonts w:hint="eastAsia" w:ascii="宋体" w:hAnsi="宋体" w:cs="宋体"/>
                <w:sz w:val="21"/>
                <w:szCs w:val="21"/>
              </w:rPr>
              <w:t>本项目所用服务器、中间件、操作系统、数据库等均应使用国产技术栈产品，并按要求部署在壮美广西·云平台，确保能在国产技术栈终端环境下稳定运行。</w:t>
            </w:r>
          </w:p>
          <w:p w14:paraId="1B2313A2">
            <w:pPr>
              <w:pStyle w:val="2"/>
              <w:spacing w:line="400" w:lineRule="exact"/>
              <w:rPr>
                <w:rFonts w:hint="eastAsia" w:ascii="宋体" w:hAnsi="宋体" w:cs="宋体"/>
                <w:sz w:val="21"/>
                <w:szCs w:val="21"/>
              </w:rPr>
            </w:pPr>
            <w:r>
              <w:rPr>
                <w:rFonts w:hint="eastAsia" w:ascii="宋体" w:hAnsi="宋体" w:cs="宋体"/>
                <w:sz w:val="21"/>
                <w:szCs w:val="21"/>
              </w:rPr>
              <w:t>本项目应用系统的开发须基于国产技术栈开发，系统在国产操作系统下运行，支持国产浏览器访问。</w:t>
            </w:r>
          </w:p>
          <w:p w14:paraId="746A7DDB">
            <w:pPr>
              <w:pStyle w:val="2"/>
              <w:spacing w:line="400" w:lineRule="exact"/>
              <w:rPr>
                <w:rFonts w:hint="eastAsia" w:ascii="宋体" w:hAnsi="宋体" w:cs="宋体"/>
                <w:sz w:val="21"/>
                <w:szCs w:val="21"/>
              </w:rPr>
            </w:pPr>
            <w:r>
              <w:rPr>
                <w:rFonts w:hint="eastAsia" w:ascii="宋体" w:hAnsi="宋体" w:cs="宋体"/>
                <w:sz w:val="21"/>
                <w:szCs w:val="21"/>
              </w:rPr>
              <w:t>本项目所建设的应用系统均应基于壮美广西·政务云提供的银河麒麟、统信UOS等国产操作系统，鲲鹏、飞腾服务器等国产服务器部署要求进行开发；业务系统数据库采用主流的国产关系型数据库管理系统，主要采用开源组件，开源许可协议符合GPL3.0协议。</w:t>
            </w:r>
          </w:p>
          <w:p w14:paraId="724F3AED">
            <w:pPr>
              <w:pStyle w:val="2"/>
              <w:spacing w:line="400" w:lineRule="exact"/>
              <w:rPr>
                <w:rFonts w:hint="eastAsia" w:ascii="宋体" w:hAnsi="宋体" w:cs="宋体"/>
                <w:sz w:val="21"/>
                <w:szCs w:val="21"/>
              </w:rPr>
            </w:pPr>
            <w:r>
              <w:rPr>
                <w:rFonts w:hint="eastAsia" w:ascii="宋体" w:hAnsi="宋体" w:cs="宋体"/>
                <w:sz w:val="21"/>
                <w:szCs w:val="21"/>
              </w:rPr>
              <w:t>（2）性能要求</w:t>
            </w:r>
          </w:p>
          <w:p w14:paraId="646BE223">
            <w:pPr>
              <w:pStyle w:val="2"/>
              <w:spacing w:line="400" w:lineRule="exact"/>
              <w:rPr>
                <w:rFonts w:hint="eastAsia" w:ascii="宋体" w:hAnsi="宋体" w:cs="宋体"/>
                <w:sz w:val="21"/>
                <w:szCs w:val="21"/>
              </w:rPr>
            </w:pPr>
            <w:r>
              <w:rPr>
                <w:rFonts w:hint="eastAsia" w:ascii="宋体" w:hAnsi="宋体" w:cs="宋体"/>
                <w:sz w:val="21"/>
                <w:szCs w:val="21"/>
              </w:rPr>
              <w:t>应用系统须支持至少1000人同时在线，并发数据流处理能力&gt;1000,并支持未来扩展；</w:t>
            </w:r>
          </w:p>
          <w:p w14:paraId="3E9231D9">
            <w:pPr>
              <w:pStyle w:val="2"/>
              <w:spacing w:line="400" w:lineRule="exact"/>
              <w:rPr>
                <w:rFonts w:hint="eastAsia" w:ascii="宋体" w:hAnsi="宋体" w:cs="宋体"/>
                <w:sz w:val="21"/>
                <w:szCs w:val="21"/>
              </w:rPr>
            </w:pPr>
            <w:r>
              <w:rPr>
                <w:rFonts w:hint="eastAsia" w:ascii="宋体" w:hAnsi="宋体" w:cs="宋体"/>
                <w:sz w:val="21"/>
                <w:szCs w:val="21"/>
              </w:rPr>
              <w:t>应用系统架构应支持高可用性要求，需保证平台7*24小时不间断工作；</w:t>
            </w:r>
          </w:p>
          <w:p w14:paraId="04CD3451">
            <w:pPr>
              <w:pStyle w:val="2"/>
              <w:spacing w:line="400" w:lineRule="exact"/>
              <w:rPr>
                <w:rFonts w:hint="eastAsia" w:ascii="宋体" w:hAnsi="宋体" w:cs="宋体"/>
                <w:sz w:val="21"/>
                <w:szCs w:val="21"/>
              </w:rPr>
            </w:pPr>
            <w:r>
              <w:rPr>
                <w:rFonts w:hint="eastAsia" w:ascii="宋体" w:hAnsi="宋体" w:cs="宋体"/>
                <w:sz w:val="21"/>
                <w:szCs w:val="21"/>
              </w:rPr>
              <w:t>应用系统在网络稳定（带宽大于100MB/s）的环境下，登录响应时间小于3秒，用户访问应用系统页面的平均响应时间小于5秒；</w:t>
            </w:r>
          </w:p>
          <w:p w14:paraId="60DDC12A">
            <w:pPr>
              <w:pStyle w:val="2"/>
              <w:spacing w:line="400" w:lineRule="exact"/>
              <w:rPr>
                <w:rFonts w:hint="eastAsia" w:ascii="宋体" w:hAnsi="宋体" w:cs="宋体"/>
                <w:sz w:val="21"/>
                <w:szCs w:val="21"/>
              </w:rPr>
            </w:pPr>
            <w:r>
              <w:rPr>
                <w:rFonts w:hint="eastAsia" w:ascii="宋体" w:hAnsi="宋体" w:cs="宋体"/>
                <w:sz w:val="21"/>
                <w:szCs w:val="21"/>
              </w:rPr>
              <w:t>应用系统查询检索时间不超过3秒，页面访问延迟小于5秒，报表统计时间不超过5秒。</w:t>
            </w:r>
          </w:p>
          <w:p w14:paraId="5D8C526B">
            <w:pPr>
              <w:pStyle w:val="2"/>
              <w:spacing w:line="400" w:lineRule="exact"/>
              <w:rPr>
                <w:rFonts w:hint="eastAsia" w:ascii="宋体" w:hAnsi="宋体" w:cs="宋体"/>
                <w:sz w:val="21"/>
                <w:szCs w:val="21"/>
              </w:rPr>
            </w:pPr>
            <w:r>
              <w:rPr>
                <w:rFonts w:hint="eastAsia" w:ascii="宋体" w:hAnsi="宋体" w:cs="宋体"/>
                <w:sz w:val="21"/>
                <w:szCs w:val="21"/>
              </w:rPr>
              <w:t>（3）数据安全要求</w:t>
            </w:r>
          </w:p>
          <w:p w14:paraId="40422C71">
            <w:pPr>
              <w:pStyle w:val="2"/>
              <w:spacing w:line="400" w:lineRule="exact"/>
              <w:rPr>
                <w:rFonts w:hint="eastAsia" w:ascii="宋体" w:hAnsi="宋体" w:cs="宋体"/>
                <w:sz w:val="21"/>
                <w:szCs w:val="21"/>
              </w:rPr>
            </w:pPr>
            <w:r>
              <w:rPr>
                <w:rFonts w:hint="eastAsia" w:ascii="宋体" w:hAnsi="宋体" w:cs="宋体"/>
                <w:sz w:val="21"/>
                <w:szCs w:val="21"/>
              </w:rPr>
              <w:t>数据梳理成果须进行分级保护，属于涉密数据的参照《中华人民共和国保守国家秘密法》《中华人民共和国保守国家秘密法实施条例》《涉密信息系统集成资质管理办法》《中华人民共和国测绘成果管理条例》等相关法律法规进行处理，数据传输须确保已通过网络安全审查。</w:t>
            </w:r>
          </w:p>
          <w:p w14:paraId="6FB8B6B5">
            <w:pPr>
              <w:pStyle w:val="2"/>
              <w:spacing w:line="400" w:lineRule="exact"/>
              <w:rPr>
                <w:rFonts w:hint="eastAsia" w:ascii="宋体" w:hAnsi="宋体" w:cs="宋体"/>
                <w:sz w:val="21"/>
                <w:szCs w:val="21"/>
              </w:rPr>
            </w:pPr>
            <w:r>
              <w:rPr>
                <w:rFonts w:hint="eastAsia" w:ascii="宋体" w:hAnsi="宋体" w:cs="宋体"/>
                <w:sz w:val="21"/>
                <w:szCs w:val="21"/>
              </w:rPr>
              <w:t>（4）文档要求</w:t>
            </w:r>
          </w:p>
          <w:p w14:paraId="17E9667E">
            <w:pPr>
              <w:pStyle w:val="2"/>
              <w:spacing w:line="400" w:lineRule="exact"/>
              <w:rPr>
                <w:rFonts w:hint="eastAsia" w:ascii="宋体" w:hAnsi="宋体" w:cs="宋体"/>
                <w:sz w:val="21"/>
                <w:szCs w:val="21"/>
              </w:rPr>
            </w:pPr>
            <w:r>
              <w:rPr>
                <w:rFonts w:hint="eastAsia" w:ascii="宋体" w:hAnsi="宋体" w:cs="宋体"/>
                <w:sz w:val="21"/>
                <w:szCs w:val="21"/>
              </w:rPr>
              <w:t>按照《科学技术档案案卷构成的一般要求》（GBT11822-2008）及《广西壮族自治区环境信息中心采购项目实施过程管理规范》等档案管理规定中项目文档要求，编制、整理项目采购、实施、验收等阶段所产生的全部纸质及电子文档，并保障项目文档材料通过档案验收。</w:t>
            </w:r>
          </w:p>
          <w:p w14:paraId="4F6B2FD7">
            <w:pPr>
              <w:pStyle w:val="2"/>
              <w:spacing w:line="400" w:lineRule="exact"/>
              <w:rPr>
                <w:rFonts w:hint="eastAsia" w:ascii="宋体" w:hAnsi="宋体" w:cs="宋体"/>
                <w:sz w:val="21"/>
                <w:szCs w:val="21"/>
              </w:rPr>
            </w:pPr>
            <w:r>
              <w:rPr>
                <w:rFonts w:hint="eastAsia" w:ascii="宋体" w:hAnsi="宋体" w:cs="宋体"/>
                <w:sz w:val="21"/>
                <w:szCs w:val="21"/>
              </w:rPr>
              <w:t>▲8.实施交付要求</w:t>
            </w:r>
          </w:p>
          <w:p w14:paraId="01800521">
            <w:pPr>
              <w:pStyle w:val="2"/>
              <w:spacing w:line="400" w:lineRule="exact"/>
              <w:rPr>
                <w:rFonts w:hint="eastAsia" w:ascii="宋体" w:hAnsi="宋体" w:cs="宋体"/>
                <w:sz w:val="21"/>
                <w:szCs w:val="21"/>
              </w:rPr>
            </w:pPr>
            <w:r>
              <w:rPr>
                <w:rFonts w:hint="eastAsia" w:ascii="宋体" w:hAnsi="宋体" w:cs="宋体"/>
                <w:sz w:val="21"/>
                <w:szCs w:val="21"/>
              </w:rPr>
              <w:t>（1）源代码交付</w:t>
            </w:r>
          </w:p>
          <w:p w14:paraId="5E089FFC">
            <w:pPr>
              <w:pStyle w:val="2"/>
              <w:spacing w:line="400" w:lineRule="exact"/>
              <w:rPr>
                <w:rFonts w:hint="eastAsia" w:ascii="宋体" w:hAnsi="宋体" w:cs="宋体"/>
                <w:sz w:val="21"/>
                <w:szCs w:val="21"/>
              </w:rPr>
            </w:pPr>
            <w:r>
              <w:rPr>
                <w:rFonts w:hint="eastAsia" w:ascii="宋体" w:hAnsi="宋体" w:cs="宋体"/>
                <w:sz w:val="21"/>
                <w:szCs w:val="21"/>
              </w:rPr>
              <w:t>①供应商应在本项目约定的交付节点，向采购人完整交付所开发软件系统的全部源代码，源代码应涵盖系统所有功能模块，包括但不限于前端界面代码、后端业务逻辑代码、数据库访问代码等。交付的源代码应采用行业通用的、可读的编程语言及编码规范编写，确保采购人技术人员能够顺利理解和使用。</w:t>
            </w:r>
          </w:p>
          <w:p w14:paraId="1302E225">
            <w:pPr>
              <w:pStyle w:val="2"/>
              <w:spacing w:line="400" w:lineRule="exact"/>
              <w:rPr>
                <w:rFonts w:hint="eastAsia" w:ascii="宋体" w:hAnsi="宋体" w:cs="宋体"/>
                <w:sz w:val="21"/>
                <w:szCs w:val="21"/>
              </w:rPr>
            </w:pPr>
            <w:r>
              <w:rPr>
                <w:rFonts w:hint="eastAsia" w:ascii="宋体" w:hAnsi="宋体" w:cs="宋体"/>
                <w:sz w:val="21"/>
                <w:szCs w:val="21"/>
              </w:rPr>
              <w:t>②源代码应以电子文档形式交付，存储于采购人指定的存储介质或通过采购人认可的在线传输方式提交。交付时应同时提供详细的代码文档，包括代码架构说明、模块功能介绍、关键算法说明等，以便采购人进行后续的维护和开发工作。代码文档应采用清晰、易懂的格式编写，且文档中的术语、符号等应与源代码保持一致。</w:t>
            </w:r>
          </w:p>
          <w:p w14:paraId="063FAE7D">
            <w:pPr>
              <w:pStyle w:val="2"/>
              <w:spacing w:line="400" w:lineRule="exact"/>
              <w:rPr>
                <w:rFonts w:hint="eastAsia" w:ascii="宋体" w:hAnsi="宋体" w:cs="宋体"/>
                <w:sz w:val="21"/>
                <w:szCs w:val="21"/>
              </w:rPr>
            </w:pPr>
            <w:r>
              <w:rPr>
                <w:rFonts w:hint="eastAsia" w:ascii="宋体" w:hAnsi="宋体" w:cs="宋体"/>
                <w:sz w:val="21"/>
                <w:szCs w:val="21"/>
              </w:rPr>
              <w:t>③供应商保证所交付的源代码是可真实运行的，能够在采购人指定的运行环境中，按照项目约定的功能和性能要求正常工作。供应商应在交付源代码时，提供在采购人指定环境和地点下成功编译运行的测试报告及相关测试数据，作为源代码可运行的初步证明。测试报告应详细记录测试环境配置、测试用例、测试步骤、测试结果等信息，确保测试过程的可重复性和测试结果的可信度，但成功的测试报告不可被视为交付的源代码质量完全符合要求，应以最终验收结果为准。</w:t>
            </w:r>
          </w:p>
          <w:p w14:paraId="3452EEA7">
            <w:pPr>
              <w:pStyle w:val="2"/>
              <w:spacing w:line="400" w:lineRule="exact"/>
              <w:rPr>
                <w:rFonts w:hint="eastAsia" w:ascii="宋体" w:hAnsi="宋体" w:cs="宋体"/>
                <w:sz w:val="21"/>
                <w:szCs w:val="21"/>
              </w:rPr>
            </w:pPr>
            <w:r>
              <w:rPr>
                <w:rFonts w:hint="eastAsia" w:ascii="宋体" w:hAnsi="宋体" w:cs="宋体"/>
                <w:sz w:val="21"/>
                <w:szCs w:val="21"/>
              </w:rPr>
              <w:t>④供应商保证其交付的源代码及其所有部分（包括但不限于算法、模块、接口）均为其原创或已获得充分、合法、有效的授权，不存在任何侵犯第三方知识产权（包括但不限于著作权、专利权、商业秘密）的情形。若因源代码侵犯第三方知识产权导致采购人遭受任何损失（包括但不限于索赔、诉讼、行政处罚、系统停运），供应商应负责解决并承担全部法律责任及采购人的直接和间接经济损失。</w:t>
            </w:r>
          </w:p>
          <w:p w14:paraId="08672DBC">
            <w:pPr>
              <w:pStyle w:val="2"/>
              <w:spacing w:line="400" w:lineRule="exact"/>
              <w:rPr>
                <w:rFonts w:hint="eastAsia" w:ascii="宋体" w:hAnsi="宋体" w:cs="宋体"/>
                <w:sz w:val="21"/>
                <w:szCs w:val="21"/>
              </w:rPr>
            </w:pPr>
            <w:r>
              <w:rPr>
                <w:rFonts w:hint="eastAsia" w:ascii="宋体" w:hAnsi="宋体" w:cs="宋体"/>
                <w:sz w:val="21"/>
                <w:szCs w:val="21"/>
              </w:rPr>
              <w:t>⑤供应商交付的所有源代码及相关文档，均需提供详细的交付物清单。采购人有权根据清单进行逐项核对和验收，并签署书面交付确认书。该确认书仅代表采购人收到符合清单数量的交付物，不视为对交付物质量、合规性及知识产权的认可。</w:t>
            </w:r>
          </w:p>
          <w:p w14:paraId="62BE6CDF">
            <w:pPr>
              <w:pStyle w:val="2"/>
              <w:spacing w:line="400" w:lineRule="exact"/>
              <w:rPr>
                <w:rFonts w:hint="eastAsia" w:ascii="宋体" w:hAnsi="宋体" w:cs="宋体"/>
                <w:sz w:val="21"/>
                <w:szCs w:val="21"/>
              </w:rPr>
            </w:pPr>
            <w:r>
              <w:rPr>
                <w:rFonts w:hint="eastAsia" w:ascii="宋体" w:hAnsi="宋体" w:cs="宋体"/>
                <w:sz w:val="21"/>
                <w:szCs w:val="21"/>
              </w:rPr>
              <w:t>（2）代码审查条款</w:t>
            </w:r>
          </w:p>
          <w:p w14:paraId="28105182">
            <w:pPr>
              <w:pStyle w:val="2"/>
              <w:spacing w:line="400" w:lineRule="exact"/>
              <w:rPr>
                <w:rFonts w:hint="eastAsia" w:ascii="宋体" w:hAnsi="宋体" w:cs="宋体"/>
                <w:sz w:val="21"/>
                <w:szCs w:val="21"/>
              </w:rPr>
            </w:pPr>
            <w:r>
              <w:rPr>
                <w:rFonts w:hint="eastAsia" w:ascii="宋体" w:hAnsi="宋体" w:cs="宋体"/>
                <w:sz w:val="21"/>
                <w:szCs w:val="21"/>
              </w:rPr>
              <w:t>①为确保供应商交付的源代码符合项目要求，保证源代码的质量、安全性和可维护性，采购人有权对供应商交付的源代码进行审查。</w:t>
            </w:r>
          </w:p>
          <w:p w14:paraId="76785FA4">
            <w:pPr>
              <w:pStyle w:val="2"/>
              <w:spacing w:line="400" w:lineRule="exact"/>
              <w:rPr>
                <w:rFonts w:hint="eastAsia" w:ascii="宋体" w:hAnsi="宋体" w:cs="宋体"/>
                <w:sz w:val="21"/>
                <w:szCs w:val="21"/>
              </w:rPr>
            </w:pPr>
            <w:r>
              <w:rPr>
                <w:rFonts w:hint="eastAsia" w:ascii="宋体" w:hAnsi="宋体" w:cs="宋体"/>
                <w:sz w:val="21"/>
                <w:szCs w:val="21"/>
              </w:rPr>
              <w:t>②代码审查包括但不限于代码规范性审查、功能完整性审查、安全性审查、性能审查等方面。具体审查内容如下：</w:t>
            </w:r>
          </w:p>
          <w:p w14:paraId="7DA309F3">
            <w:pPr>
              <w:pStyle w:val="2"/>
              <w:spacing w:line="400" w:lineRule="exact"/>
              <w:rPr>
                <w:rFonts w:hint="eastAsia" w:ascii="宋体" w:hAnsi="宋体" w:cs="宋体"/>
                <w:sz w:val="21"/>
                <w:szCs w:val="21"/>
              </w:rPr>
            </w:pPr>
            <w:r>
              <w:rPr>
                <w:rFonts w:hint="eastAsia" w:ascii="宋体" w:hAnsi="宋体" w:cs="宋体"/>
                <w:sz w:val="21"/>
                <w:szCs w:val="21"/>
              </w:rPr>
              <w:t>代码规范性审查：检查代码是否符合行业通用的编程规范和采购人的内部编码标准，包括代码格式、命名规范、注释规范等。</w:t>
            </w:r>
          </w:p>
          <w:p w14:paraId="005B85BA">
            <w:pPr>
              <w:pStyle w:val="2"/>
              <w:spacing w:line="400" w:lineRule="exact"/>
              <w:rPr>
                <w:rFonts w:hint="eastAsia" w:ascii="宋体" w:hAnsi="宋体" w:cs="宋体"/>
                <w:sz w:val="21"/>
                <w:szCs w:val="21"/>
              </w:rPr>
            </w:pPr>
            <w:r>
              <w:rPr>
                <w:rFonts w:hint="eastAsia" w:ascii="宋体" w:hAnsi="宋体" w:cs="宋体"/>
                <w:sz w:val="21"/>
                <w:szCs w:val="21"/>
              </w:rPr>
              <w:t>功能完整性审查：验证源代码是否实现了项目约定的所有功能，功能实现是否准确无误，是否存在功能缺失或错误的情况。</w:t>
            </w:r>
          </w:p>
          <w:p w14:paraId="12519599">
            <w:pPr>
              <w:pStyle w:val="2"/>
              <w:spacing w:line="400" w:lineRule="exact"/>
              <w:rPr>
                <w:rFonts w:hint="eastAsia" w:ascii="宋体" w:hAnsi="宋体" w:cs="宋体"/>
                <w:sz w:val="21"/>
                <w:szCs w:val="21"/>
              </w:rPr>
            </w:pPr>
            <w:r>
              <w:rPr>
                <w:rFonts w:hint="eastAsia" w:ascii="宋体" w:hAnsi="宋体" w:cs="宋体"/>
                <w:sz w:val="21"/>
                <w:szCs w:val="21"/>
              </w:rPr>
              <w:t>安全性审查：检查代码是否存在安全漏洞，如 SQL 注入、跨站脚本攻击（XSS）、缓冲区溢出等安全隐患，确保软件系统的安全性。</w:t>
            </w:r>
          </w:p>
          <w:p w14:paraId="726C636E">
            <w:pPr>
              <w:pStyle w:val="2"/>
              <w:spacing w:line="400" w:lineRule="exact"/>
              <w:rPr>
                <w:rFonts w:hint="eastAsia" w:ascii="宋体" w:hAnsi="宋体" w:cs="宋体"/>
                <w:sz w:val="21"/>
                <w:szCs w:val="21"/>
              </w:rPr>
            </w:pPr>
            <w:r>
              <w:rPr>
                <w:rFonts w:hint="eastAsia" w:ascii="宋体" w:hAnsi="宋体" w:cs="宋体"/>
                <w:sz w:val="21"/>
                <w:szCs w:val="21"/>
              </w:rPr>
              <w:t>性能审查：评估代码的执行效率，检查是否存在性能瓶颈，如算法复杂度过高、资源占用过大等问题，确保软件系统能够满足性能要求。</w:t>
            </w:r>
          </w:p>
          <w:p w14:paraId="0FE86BBC">
            <w:pPr>
              <w:pStyle w:val="2"/>
              <w:spacing w:line="400" w:lineRule="exact"/>
              <w:rPr>
                <w:rFonts w:hint="eastAsia" w:ascii="宋体" w:hAnsi="宋体" w:cs="宋体"/>
                <w:sz w:val="21"/>
                <w:szCs w:val="21"/>
              </w:rPr>
            </w:pPr>
            <w:r>
              <w:rPr>
                <w:rFonts w:hint="eastAsia" w:ascii="宋体" w:hAnsi="宋体" w:cs="宋体"/>
                <w:sz w:val="21"/>
                <w:szCs w:val="21"/>
              </w:rPr>
              <w:t>（3）代码审查方式：</w:t>
            </w:r>
          </w:p>
          <w:p w14:paraId="6A25C50B">
            <w:pPr>
              <w:pStyle w:val="2"/>
              <w:spacing w:line="400" w:lineRule="exact"/>
              <w:rPr>
                <w:rFonts w:hint="eastAsia" w:ascii="宋体" w:hAnsi="宋体" w:cs="宋体"/>
                <w:sz w:val="21"/>
                <w:szCs w:val="21"/>
              </w:rPr>
            </w:pPr>
            <w:r>
              <w:rPr>
                <w:rFonts w:hint="eastAsia" w:ascii="宋体" w:hAnsi="宋体" w:cs="宋体"/>
                <w:sz w:val="21"/>
                <w:szCs w:val="21"/>
              </w:rPr>
              <w:t>①源代码分段编译：供应商应按照采购人要求，将源代码进行合理分段，并提供分段编译的说明文档。采购人有权根据分段编译的说明文档，对源代码进行分段编译，并将编译后的程序作为正式生产系统进行测试和验证。供应商应积极配合采购人的分段编译工作，提供必要的技术支持和协助。在分段编译过程中，供应商需确保各分段代码之间的接口定义清晰、稳定，不因分段编译而出现兼容性问题。同时，若采购人在分段编译过程中遇到技术问题，供应商应在接到通知后的2小时内响应，并在1个工作日内协助解决问题。</w:t>
            </w:r>
          </w:p>
          <w:p w14:paraId="2985BD80">
            <w:pPr>
              <w:pStyle w:val="2"/>
              <w:spacing w:line="400" w:lineRule="exact"/>
              <w:rPr>
                <w:rFonts w:hint="eastAsia" w:ascii="宋体" w:hAnsi="宋体" w:cs="宋体"/>
                <w:sz w:val="21"/>
                <w:szCs w:val="21"/>
              </w:rPr>
            </w:pPr>
            <w:r>
              <w:rPr>
                <w:rFonts w:hint="eastAsia" w:ascii="宋体" w:hAnsi="宋体" w:cs="宋体"/>
                <w:sz w:val="21"/>
                <w:szCs w:val="21"/>
              </w:rPr>
              <w:t>②第三方审查：采购人有权聘请具有相关资质和经验的第三方机构对源代码进行审查。供应商应无条件配合第三方机构的审查工作，提供审查所需的所有资料和信息。审查费用由供应商承担，审查通过后，由于采购人需求变更原因导致重复审查的，重复审查的费用由采购人承担。供应商应在第三方机构开展审查工作前，按照要求准备好完整的源代码、相关技术文档、测试环境等资料，并确保资料的真实性、完整性。在审查过程中，供应商应安排专人与第三方机构对接，及时解答疑问、提供必要的技术解释。</w:t>
            </w:r>
          </w:p>
          <w:p w14:paraId="0C630AE5">
            <w:pPr>
              <w:pStyle w:val="2"/>
              <w:spacing w:line="400" w:lineRule="exact"/>
              <w:rPr>
                <w:rFonts w:hint="eastAsia" w:ascii="宋体" w:hAnsi="宋体" w:cs="宋体"/>
                <w:sz w:val="21"/>
                <w:szCs w:val="21"/>
              </w:rPr>
            </w:pPr>
            <w:r>
              <w:rPr>
                <w:rFonts w:hint="eastAsia" w:ascii="宋体" w:hAnsi="宋体" w:cs="宋体"/>
                <w:sz w:val="21"/>
                <w:szCs w:val="21"/>
              </w:rPr>
              <w:t>（4）代码审查结果处理：</w:t>
            </w:r>
          </w:p>
          <w:p w14:paraId="28699B73">
            <w:pPr>
              <w:pStyle w:val="2"/>
              <w:spacing w:line="400" w:lineRule="exact"/>
              <w:rPr>
                <w:rFonts w:hint="eastAsia" w:ascii="宋体" w:hAnsi="宋体" w:cs="宋体"/>
                <w:sz w:val="21"/>
                <w:szCs w:val="21"/>
              </w:rPr>
            </w:pPr>
            <w:r>
              <w:rPr>
                <w:rFonts w:hint="eastAsia" w:ascii="宋体" w:hAnsi="宋体" w:cs="宋体"/>
                <w:sz w:val="21"/>
                <w:szCs w:val="21"/>
              </w:rPr>
              <w:t>①若代码审查通过，采购人应出具书面审查通过报告，供应商可按照项目约定进行后续工作。</w:t>
            </w:r>
          </w:p>
          <w:p w14:paraId="2E1ED287">
            <w:pPr>
              <w:pStyle w:val="2"/>
              <w:spacing w:line="400" w:lineRule="exact"/>
              <w:rPr>
                <w:rFonts w:hint="eastAsia" w:ascii="宋体" w:hAnsi="宋体" w:cs="宋体"/>
                <w:sz w:val="21"/>
                <w:szCs w:val="21"/>
              </w:rPr>
            </w:pPr>
            <w:r>
              <w:rPr>
                <w:rFonts w:hint="eastAsia" w:ascii="宋体" w:hAnsi="宋体" w:cs="宋体"/>
                <w:sz w:val="21"/>
                <w:szCs w:val="21"/>
              </w:rPr>
              <w:t>②若代码审查未通过，供应商应根据采购人提出的审查意见，在3个工作日内完成源代码的修改和优化，并重新提交采购人审查。供应商除应承担因代码审查未通过而导致的所有额外费用和损失（包括但不限于审查费用、延期交付违约金等）</w:t>
            </w:r>
          </w:p>
          <w:p w14:paraId="16AA56BB">
            <w:pPr>
              <w:pStyle w:val="2"/>
              <w:spacing w:line="400" w:lineRule="exact"/>
              <w:rPr>
                <w:rFonts w:hint="eastAsia" w:ascii="宋体" w:hAnsi="宋体" w:cs="宋体"/>
                <w:sz w:val="21"/>
                <w:szCs w:val="21"/>
              </w:rPr>
            </w:pPr>
            <w:r>
              <w:rPr>
                <w:rFonts w:hint="eastAsia" w:ascii="宋体" w:hAnsi="宋体" w:cs="宋体"/>
                <w:sz w:val="21"/>
                <w:szCs w:val="21"/>
              </w:rPr>
              <w:t>（5）第三方产品或供应商自有知识产权产品</w:t>
            </w:r>
          </w:p>
          <w:p w14:paraId="409100ED">
            <w:pPr>
              <w:pStyle w:val="2"/>
              <w:spacing w:line="400" w:lineRule="exact"/>
              <w:rPr>
                <w:rFonts w:hint="eastAsia" w:ascii="宋体" w:hAnsi="宋体" w:cs="宋体"/>
                <w:sz w:val="21"/>
                <w:szCs w:val="21"/>
              </w:rPr>
            </w:pPr>
            <w:r>
              <w:rPr>
                <w:rFonts w:hint="eastAsia" w:ascii="宋体" w:hAnsi="宋体" w:cs="宋体"/>
                <w:sz w:val="21"/>
                <w:szCs w:val="21"/>
              </w:rPr>
              <w:t>①产品说明：若软件系统开发过程中涉及到供应商提供的第三方产品或供应商自有知识产权产品，供应商应在项目签订前向采购人详细说明相关产品的情况，包括产品名称、版本、功能、授权方式、价格等信息，并提供产品的相关文档和资料。产品文档资料应包括产品使用说明书、技术白皮书、授权许可协议样本等，以便采购人全面了解产品特性、使用方法及授权限制等内容。</w:t>
            </w:r>
          </w:p>
          <w:p w14:paraId="4C15F827">
            <w:pPr>
              <w:pStyle w:val="2"/>
              <w:spacing w:line="400" w:lineRule="exact"/>
              <w:rPr>
                <w:rFonts w:hint="eastAsia" w:ascii="宋体" w:hAnsi="宋体" w:cs="宋体"/>
                <w:sz w:val="21"/>
                <w:szCs w:val="21"/>
              </w:rPr>
            </w:pPr>
            <w:r>
              <w:rPr>
                <w:rFonts w:hint="eastAsia" w:ascii="宋体" w:hAnsi="宋体" w:cs="宋体"/>
                <w:sz w:val="21"/>
                <w:szCs w:val="21"/>
              </w:rPr>
              <w:t>②解耦要求：供应商提供的第三方产品或自有知识产权产品应通过可充分解耦的方式集成到软件系统中，确保在必要的情况下，采购人能够方便地对这些产品进行替换，而不会对软件系统的其他部分造成重大影响。供应商应提供详细的解耦方案和技术文档，说明如何实现产品与系统的解耦，以及解耦后对系统的影响和注意事项。解耦方案应从技术架构层面详细阐述产品与系统的接口设计、数据交互方式、依赖关系等，确保解耦的可行性和有效性。技术文档应包括解耦前后系统架构图对比、接口变更说明、数据迁移指导等内容。</w:t>
            </w:r>
          </w:p>
          <w:p w14:paraId="074FA3B2">
            <w:pPr>
              <w:pStyle w:val="2"/>
              <w:spacing w:line="400" w:lineRule="exact"/>
              <w:rPr>
                <w:rFonts w:hint="eastAsia" w:ascii="宋体" w:hAnsi="宋体" w:cs="宋体"/>
                <w:sz w:val="21"/>
                <w:szCs w:val="21"/>
              </w:rPr>
            </w:pPr>
            <w:r>
              <w:rPr>
                <w:rFonts w:hint="eastAsia" w:ascii="宋体" w:hAnsi="宋体" w:cs="宋体"/>
                <w:sz w:val="21"/>
                <w:szCs w:val="21"/>
              </w:rPr>
              <w:t>③耦合性规避：供应商应采取有效措施，避免因必须使用第三方产品或自有知识产权产品与开发的系统产生过度耦合，导致采购人不能完全自主进行二次开发。若因供应商原因导致系统耦合性过高，影响采购人的二次开发权益的，经采购人要求，供应商应在采购人规定的期限内提供降低耦合性的解决方案，并采取措施降低系统耦合性。若无法解决或解决成本过高，经得采购人同意，供应商应免费为采购人提供功能等同的、无知识产权纠纷的替代产品，并确保系统的正常运行。若替代导致采购人成本增加或功能减损，供应商除应承担相应的赔偿责任外，还应承担相应的违约责任。</w:t>
            </w:r>
          </w:p>
          <w:p w14:paraId="03DB3492">
            <w:pPr>
              <w:pStyle w:val="2"/>
              <w:spacing w:line="400" w:lineRule="exact"/>
              <w:rPr>
                <w:rFonts w:hint="eastAsia" w:ascii="宋体" w:hAnsi="宋体" w:cs="宋体"/>
                <w:sz w:val="21"/>
                <w:szCs w:val="21"/>
              </w:rPr>
            </w:pPr>
            <w:r>
              <w:rPr>
                <w:rFonts w:hint="eastAsia" w:ascii="宋体" w:hAnsi="宋体" w:cs="宋体"/>
                <w:sz w:val="21"/>
                <w:szCs w:val="21"/>
              </w:rPr>
              <w:t>④对于供应商提供的第三方产品或自有知识产权产品，供应商须保证：</w:t>
            </w:r>
          </w:p>
          <w:p w14:paraId="6C9F7FA3">
            <w:pPr>
              <w:pStyle w:val="2"/>
              <w:spacing w:line="400" w:lineRule="exact"/>
              <w:rPr>
                <w:rFonts w:hint="eastAsia" w:ascii="宋体" w:hAnsi="宋体" w:cs="宋体"/>
                <w:sz w:val="21"/>
                <w:szCs w:val="21"/>
              </w:rPr>
            </w:pPr>
            <w:r>
              <w:rPr>
                <w:rFonts w:hint="eastAsia" w:ascii="宋体" w:hAnsi="宋体" w:cs="宋体"/>
                <w:sz w:val="21"/>
                <w:szCs w:val="21"/>
              </w:rPr>
              <w:t>向采购人提供合法、有效、足额的授权许可，确保采购人在本项目范围内对产品享有永久、不可撤销的使用、运行、维护的权利。</w:t>
            </w:r>
          </w:p>
          <w:p w14:paraId="32E7884C">
            <w:pPr>
              <w:pStyle w:val="2"/>
              <w:spacing w:line="400" w:lineRule="exact"/>
              <w:rPr>
                <w:rFonts w:hint="eastAsia" w:ascii="宋体" w:hAnsi="宋体" w:cs="宋体"/>
                <w:sz w:val="21"/>
                <w:szCs w:val="21"/>
              </w:rPr>
            </w:pPr>
            <w:r>
              <w:rPr>
                <w:rFonts w:hint="eastAsia" w:ascii="宋体" w:hAnsi="宋体" w:cs="宋体"/>
                <w:sz w:val="21"/>
                <w:szCs w:val="21"/>
              </w:rPr>
              <w:t>如该产品需要持续支付许可费或服务费，供应商应向采购人披露，并在项目中对未来至少 5年的费用标准进行约定和封顶，已经约定的，未经采购人同意，供应商不得单方面涨价。供应商未披露或未在项目中明确约定的，视为项目总价已包括该部分费用，超出项目总价部分全部由供应商自行承担。因许可费和服务费未按时支付影响采购人生产经营的，采购人有权要求供应商赔偿全部经济损失。</w:t>
            </w:r>
          </w:p>
          <w:p w14:paraId="69C72316">
            <w:pPr>
              <w:pStyle w:val="2"/>
              <w:spacing w:line="400" w:lineRule="exact"/>
              <w:rPr>
                <w:rFonts w:hint="eastAsia" w:ascii="宋体" w:hAnsi="宋体" w:cs="宋体"/>
                <w:sz w:val="21"/>
                <w:szCs w:val="21"/>
              </w:rPr>
            </w:pPr>
            <w:r>
              <w:rPr>
                <w:rFonts w:hint="eastAsia" w:ascii="宋体" w:hAnsi="宋体" w:cs="宋体"/>
                <w:sz w:val="21"/>
                <w:szCs w:val="21"/>
              </w:rPr>
              <w:t>如该产品停止更新或服务，供应商有义务提前6个月通知采购人，并免费提供其他合格产品的解决方案和技术支持。</w:t>
            </w:r>
          </w:p>
          <w:p w14:paraId="251FD2A3">
            <w:pPr>
              <w:pStyle w:val="2"/>
              <w:spacing w:line="400" w:lineRule="exact"/>
              <w:rPr>
                <w:rFonts w:hint="eastAsia" w:ascii="宋体" w:hAnsi="宋体" w:cs="宋体"/>
                <w:sz w:val="21"/>
                <w:szCs w:val="21"/>
              </w:rPr>
            </w:pPr>
            <w:r>
              <w:rPr>
                <w:rFonts w:hint="eastAsia" w:ascii="宋体" w:hAnsi="宋体" w:cs="宋体"/>
                <w:sz w:val="21"/>
                <w:szCs w:val="21"/>
              </w:rPr>
              <w:t>（6）本项目为交钥匙工程，所有产品送达采购人并安装调试完成直至最终验收合格及质保期内的所有费用，包含但不限于软件平台外购费、数据处理费、基础地理信息数据服务费、人工费、产品价、设计费、交通费、通信费、安全生产费、专家咨询费、会议费、税费、集成费、外协费、保险费、采购人现有软硬件融合及维护等所有费用。因供应商自身原因造成漏报、少报皆由其自行承担责任，采购人不再补偿。在项目实施过程中，若出现因费用问题导致项目进度受阻或质量受影响的情况，供应商应承担全部责任，并采取紧急措施予以解决，确保项目按项目约定推进。</w:t>
            </w:r>
          </w:p>
          <w:p w14:paraId="51FC32C6">
            <w:pPr>
              <w:pStyle w:val="2"/>
              <w:spacing w:line="400" w:lineRule="exact"/>
              <w:rPr>
                <w:rFonts w:hint="eastAsia" w:ascii="宋体" w:hAnsi="宋体" w:cs="宋体"/>
                <w:sz w:val="21"/>
                <w:szCs w:val="21"/>
              </w:rPr>
            </w:pPr>
            <w:r>
              <w:rPr>
                <w:rFonts w:hint="eastAsia" w:ascii="宋体" w:hAnsi="宋体" w:cs="宋体"/>
                <w:sz w:val="21"/>
                <w:szCs w:val="21"/>
              </w:rPr>
              <w:t>（7）本项目各系统需严格遵循采购人的总体技术架构实施建设。供应商须按照采购人明确的包含但不限于国产技术栈改造、技术规范、开发流程、接口标准、安全防护机制等统一技术要求进行系统设计、开发与部署，确保系统在技术层面与采购人现有技术体系无缝兼容、高效协同，满足业务连续性及可扩展性需求。同时，供应商应根据数据资源管理要求，包含但不限于无条件提供项目涉及的所有数据，涵盖但不限于数据采集、存储、处理、共享等全生命周期管理，确保数据的准确性、完整性、及时性与安全性，并严格遵循采购人制定的数据格式、数据字典、数据交换标准等统一数据要求，实现数据在各系统间的高效流通与共享。若因供应商原因导致系统在技术兼容性、数据管理等方面不符合采购人要求，供应商应承担由此产生的全部整改费用及相关损失，并在规定时间内完成整改，确保项目顺利通过验收。</w:t>
            </w:r>
          </w:p>
          <w:p w14:paraId="65EEF9A9">
            <w:pPr>
              <w:pStyle w:val="2"/>
              <w:spacing w:line="400" w:lineRule="exact"/>
              <w:rPr>
                <w:rFonts w:hint="eastAsia" w:ascii="宋体" w:hAnsi="宋体" w:cs="宋体"/>
                <w:sz w:val="21"/>
                <w:szCs w:val="21"/>
              </w:rPr>
            </w:pPr>
            <w:r>
              <w:rPr>
                <w:rFonts w:hint="eastAsia" w:ascii="宋体" w:hAnsi="宋体" w:cs="宋体"/>
                <w:sz w:val="21"/>
                <w:szCs w:val="21"/>
              </w:rPr>
              <w:t>▲9.数据资料归属及保密要求</w:t>
            </w:r>
          </w:p>
          <w:p w14:paraId="6DD86700">
            <w:pPr>
              <w:pStyle w:val="2"/>
              <w:spacing w:line="400" w:lineRule="exact"/>
              <w:rPr>
                <w:rFonts w:hint="eastAsia" w:ascii="宋体" w:hAnsi="宋体" w:cs="宋体"/>
                <w:sz w:val="21"/>
                <w:szCs w:val="21"/>
              </w:rPr>
            </w:pPr>
            <w:r>
              <w:rPr>
                <w:rFonts w:hint="eastAsia" w:ascii="宋体" w:hAnsi="宋体" w:cs="宋体"/>
                <w:sz w:val="21"/>
                <w:szCs w:val="21"/>
              </w:rPr>
              <w:t>（1）本项目所形成的数据和报告归采购人所有。未经采购人授权，不得将数据和报告发送给任何第三方，严格执行项目实施过程中产生数据和报告等资料保密管理。</w:t>
            </w:r>
          </w:p>
          <w:p w14:paraId="77FFD354">
            <w:pPr>
              <w:pStyle w:val="2"/>
              <w:spacing w:line="400" w:lineRule="exact"/>
              <w:rPr>
                <w:rFonts w:hint="eastAsia" w:ascii="宋体" w:hAnsi="宋体" w:cs="宋体"/>
                <w:sz w:val="21"/>
                <w:szCs w:val="21"/>
              </w:rPr>
            </w:pPr>
            <w:r>
              <w:rPr>
                <w:rFonts w:hint="eastAsia" w:ascii="宋体" w:hAnsi="宋体" w:cs="宋体"/>
                <w:sz w:val="21"/>
                <w:szCs w:val="21"/>
              </w:rPr>
              <w:t>（2）应遵守《中华人民共和国保守国家秘密法》，严格执行保密制度，按照采购单位要求签订保密协议，不得向第三方泄露其在提供服务期间获得采购单位的技术、商业机密，否则须承担因此产生的全部责任。</w:t>
            </w:r>
          </w:p>
          <w:p w14:paraId="4D379483">
            <w:pPr>
              <w:pStyle w:val="2"/>
              <w:spacing w:line="400" w:lineRule="exact"/>
              <w:rPr>
                <w:rFonts w:hint="eastAsia" w:ascii="宋体" w:hAnsi="宋体" w:cs="宋体"/>
                <w:sz w:val="21"/>
                <w:szCs w:val="21"/>
              </w:rPr>
            </w:pPr>
            <w:r>
              <w:rPr>
                <w:rFonts w:hint="eastAsia" w:ascii="宋体" w:hAnsi="宋体" w:cs="宋体"/>
                <w:sz w:val="21"/>
                <w:szCs w:val="21"/>
              </w:rPr>
              <w:t>（3）中标方不允许自行申报科技奖、工程奖、优秀案例等。</w:t>
            </w:r>
          </w:p>
          <w:p w14:paraId="2445E63B">
            <w:pPr>
              <w:pStyle w:val="2"/>
              <w:spacing w:line="400" w:lineRule="exact"/>
              <w:rPr>
                <w:rFonts w:hint="eastAsia" w:ascii="宋体" w:hAnsi="宋体" w:cs="宋体"/>
                <w:sz w:val="21"/>
                <w:szCs w:val="21"/>
              </w:rPr>
            </w:pPr>
            <w:r>
              <w:rPr>
                <w:rFonts w:hint="eastAsia" w:ascii="宋体" w:hAnsi="宋体" w:cs="宋体"/>
                <w:sz w:val="21"/>
                <w:szCs w:val="21"/>
              </w:rPr>
              <w:t>▲10.成果提交及项目验收</w:t>
            </w:r>
          </w:p>
          <w:p w14:paraId="1BE2D3CE">
            <w:pPr>
              <w:pStyle w:val="2"/>
              <w:spacing w:line="400" w:lineRule="exact"/>
              <w:rPr>
                <w:rFonts w:hint="eastAsia" w:ascii="宋体" w:hAnsi="宋体" w:cs="宋体"/>
                <w:sz w:val="21"/>
                <w:szCs w:val="21"/>
              </w:rPr>
            </w:pPr>
            <w:r>
              <w:rPr>
                <w:rFonts w:hint="eastAsia" w:ascii="宋体" w:hAnsi="宋体" w:cs="宋体"/>
                <w:sz w:val="21"/>
                <w:szCs w:val="21"/>
              </w:rPr>
              <w:t>（1）根据项目采购需求完成系统建设。</w:t>
            </w:r>
          </w:p>
          <w:p w14:paraId="09FD0682">
            <w:pPr>
              <w:pStyle w:val="2"/>
              <w:spacing w:line="400" w:lineRule="exact"/>
              <w:rPr>
                <w:rFonts w:hint="eastAsia" w:ascii="宋体" w:hAnsi="宋体" w:cs="宋体"/>
                <w:sz w:val="21"/>
                <w:szCs w:val="21"/>
              </w:rPr>
            </w:pPr>
            <w:r>
              <w:rPr>
                <w:rFonts w:hint="eastAsia" w:ascii="宋体" w:hAnsi="宋体" w:cs="宋体"/>
                <w:sz w:val="21"/>
                <w:szCs w:val="21"/>
              </w:rPr>
              <w:t>（2）按照《广西壮族自治区环境信息中心采购项目实施过程管理规范》要求完成，项目文件包括但不限于项目团队计划、项目实施方案、密码应用方案、系统安全建设方案、数据迁移方案、项目进度计划、项目需求调研报告、系统需求规格说明书、系统概要设计、系统详细设计、系统数据库设计、部署方案、变更说明（如有）、系统部署安装手册及登记图、测试方案（含计划）、测试用例、测试报告（单元测试、系统测试、验收测试等）、试运行方案、试运行报告、风险评估报告、用户使用手册、系统配置说明、代码文档、接口文档、培训文档等文件编制，同时提交电子版。</w:t>
            </w:r>
          </w:p>
          <w:p w14:paraId="072B2F47">
            <w:pPr>
              <w:pStyle w:val="2"/>
              <w:spacing w:line="400" w:lineRule="exact"/>
              <w:rPr>
                <w:rFonts w:hint="eastAsia" w:ascii="宋体" w:hAnsi="宋体" w:cs="宋体"/>
                <w:sz w:val="21"/>
                <w:szCs w:val="21"/>
              </w:rPr>
            </w:pPr>
            <w:r>
              <w:rPr>
                <w:rFonts w:hint="eastAsia" w:ascii="宋体" w:hAnsi="宋体" w:cs="宋体"/>
                <w:sz w:val="21"/>
                <w:szCs w:val="21"/>
              </w:rPr>
              <w:t>▲11.质保期服务要求。质保期间，中标人须保障系统安全稳定正常运行，平均故障间隔时间＞1000小时，平均修复时间＜2.5小时，并完成一定程度的系统优化工作。应定期对服务器、操作系统、数据库、中间件、软件基础平台进行巡检并建立巡检台账；监控服务器‌CPU使用率、‌内存占用率‌、磁盘I/O性能等。</w:t>
            </w:r>
          </w:p>
        </w:tc>
      </w:tr>
    </w:tbl>
    <w:p w14:paraId="507153AA">
      <w:pPr>
        <w:pStyle w:val="4"/>
        <w:rPr>
          <w:sz w:val="21"/>
          <w:szCs w:val="21"/>
        </w:rPr>
      </w:pPr>
      <w:r>
        <w:rPr>
          <w:rFonts w:hint="eastAsia"/>
          <w:sz w:val="21"/>
          <w:szCs w:val="21"/>
        </w:rPr>
        <w:t>4.分标4（D分标）：采购预算：210.03万元</w:t>
      </w:r>
    </w:p>
    <w:tbl>
      <w:tblPr>
        <w:tblStyle w:val="18"/>
        <w:tblW w:w="9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3"/>
        <w:gridCol w:w="1275"/>
        <w:gridCol w:w="167"/>
        <w:gridCol w:w="967"/>
        <w:gridCol w:w="851"/>
        <w:gridCol w:w="5512"/>
      </w:tblGrid>
      <w:tr w14:paraId="4B749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325" w:type="dxa"/>
            <w:gridSpan w:val="6"/>
            <w:tcBorders>
              <w:top w:val="single" w:color="auto" w:sz="4" w:space="0"/>
              <w:left w:val="single" w:color="auto" w:sz="4" w:space="0"/>
              <w:bottom w:val="nil"/>
              <w:right w:val="single" w:color="auto" w:sz="4" w:space="0"/>
            </w:tcBorders>
            <w:vAlign w:val="center"/>
          </w:tcPr>
          <w:p w14:paraId="0EE46DDE">
            <w:pPr>
              <w:spacing w:line="400" w:lineRule="exact"/>
              <w:ind w:firstLine="422"/>
              <w:jc w:val="center"/>
              <w:rPr>
                <w:rFonts w:hint="eastAsia" w:ascii="宋体" w:hAnsi="宋体" w:cs="宋体"/>
                <w:b/>
                <w:szCs w:val="21"/>
              </w:rPr>
            </w:pPr>
            <w:r>
              <w:rPr>
                <w:rFonts w:hint="eastAsia" w:ascii="宋体" w:hAnsi="宋体" w:cs="宋体"/>
                <w:b/>
                <w:szCs w:val="21"/>
              </w:rPr>
              <w:t>服务需求一览表</w:t>
            </w:r>
          </w:p>
        </w:tc>
      </w:tr>
      <w:tr w14:paraId="165B9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7CB9718F">
            <w:pPr>
              <w:spacing w:line="400" w:lineRule="exact"/>
              <w:rPr>
                <w:rFonts w:hint="eastAsia" w:ascii="宋体" w:hAnsi="宋体" w:cs="宋体"/>
                <w:szCs w:val="21"/>
              </w:rPr>
            </w:pPr>
            <w:r>
              <w:rPr>
                <w:rFonts w:hint="eastAsia" w:ascii="宋体" w:hAnsi="宋体" w:cs="宋体"/>
                <w:szCs w:val="21"/>
              </w:rPr>
              <w:t>序号</w:t>
            </w:r>
          </w:p>
        </w:tc>
        <w:tc>
          <w:tcPr>
            <w:tcW w:w="1275" w:type="dxa"/>
            <w:tcBorders>
              <w:top w:val="single" w:color="auto" w:sz="4" w:space="0"/>
              <w:left w:val="single" w:color="auto" w:sz="4" w:space="0"/>
              <w:bottom w:val="single" w:color="auto" w:sz="4" w:space="0"/>
              <w:right w:val="single" w:color="auto" w:sz="4" w:space="0"/>
            </w:tcBorders>
            <w:vAlign w:val="center"/>
          </w:tcPr>
          <w:p w14:paraId="1AF00854">
            <w:pPr>
              <w:spacing w:line="400" w:lineRule="exact"/>
              <w:rPr>
                <w:rFonts w:hint="eastAsia" w:ascii="宋体" w:hAnsi="宋体" w:cs="宋体"/>
                <w:szCs w:val="21"/>
              </w:rPr>
            </w:pPr>
            <w:r>
              <w:rPr>
                <w:rFonts w:hint="eastAsia" w:ascii="宋体" w:hAnsi="宋体" w:cs="宋体"/>
                <w:szCs w:val="21"/>
              </w:rPr>
              <w:t>标的名称</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3626A349">
            <w:pPr>
              <w:spacing w:line="400" w:lineRule="exact"/>
              <w:rPr>
                <w:rFonts w:hint="eastAsia" w:ascii="宋体" w:hAnsi="宋体" w:cs="宋体"/>
                <w:szCs w:val="21"/>
              </w:rPr>
            </w:pPr>
            <w:r>
              <w:rPr>
                <w:rFonts w:hint="eastAsia" w:ascii="宋体" w:hAnsi="宋体" w:cs="宋体"/>
                <w:szCs w:val="21"/>
              </w:rPr>
              <w:t>建设内容</w:t>
            </w:r>
          </w:p>
        </w:tc>
        <w:tc>
          <w:tcPr>
            <w:tcW w:w="851" w:type="dxa"/>
            <w:tcBorders>
              <w:top w:val="single" w:color="auto" w:sz="4" w:space="0"/>
              <w:left w:val="single" w:color="auto" w:sz="4" w:space="0"/>
              <w:bottom w:val="single" w:color="auto" w:sz="4" w:space="0"/>
              <w:right w:val="single" w:color="auto" w:sz="4" w:space="0"/>
            </w:tcBorders>
            <w:vAlign w:val="center"/>
          </w:tcPr>
          <w:p w14:paraId="5A79A07A">
            <w:pPr>
              <w:spacing w:line="400" w:lineRule="exact"/>
              <w:rPr>
                <w:rFonts w:hint="eastAsia" w:ascii="宋体" w:hAnsi="宋体" w:cs="宋体"/>
                <w:szCs w:val="21"/>
              </w:rPr>
            </w:pPr>
            <w:r>
              <w:rPr>
                <w:rFonts w:hint="eastAsia" w:ascii="宋体" w:hAnsi="宋体" w:cs="宋体"/>
                <w:szCs w:val="21"/>
              </w:rPr>
              <w:t>数量及</w:t>
            </w:r>
          </w:p>
          <w:p w14:paraId="48D2BB35">
            <w:pPr>
              <w:spacing w:line="400" w:lineRule="exact"/>
              <w:rPr>
                <w:rFonts w:hint="eastAsia" w:ascii="宋体" w:hAnsi="宋体" w:cs="宋体"/>
                <w:szCs w:val="21"/>
              </w:rPr>
            </w:pPr>
            <w:r>
              <w:rPr>
                <w:rFonts w:hint="eastAsia" w:ascii="宋体" w:hAnsi="宋体" w:cs="宋体"/>
                <w:szCs w:val="21"/>
              </w:rPr>
              <w:t>单位</w:t>
            </w:r>
          </w:p>
        </w:tc>
        <w:tc>
          <w:tcPr>
            <w:tcW w:w="5512" w:type="dxa"/>
            <w:tcBorders>
              <w:top w:val="single" w:color="auto" w:sz="4" w:space="0"/>
              <w:left w:val="single" w:color="auto" w:sz="4" w:space="0"/>
              <w:bottom w:val="single" w:color="auto" w:sz="4" w:space="0"/>
              <w:right w:val="single" w:color="auto" w:sz="4" w:space="0"/>
            </w:tcBorders>
            <w:vAlign w:val="center"/>
          </w:tcPr>
          <w:p w14:paraId="3CC4349B">
            <w:pPr>
              <w:spacing w:line="400" w:lineRule="exact"/>
              <w:ind w:firstLine="420"/>
              <w:jc w:val="center"/>
              <w:rPr>
                <w:rFonts w:hint="eastAsia" w:ascii="宋体" w:hAnsi="宋体" w:cs="宋体"/>
                <w:szCs w:val="21"/>
              </w:rPr>
            </w:pPr>
            <w:r>
              <w:rPr>
                <w:rFonts w:hint="eastAsia" w:ascii="宋体" w:hAnsi="宋体" w:cs="宋体"/>
                <w:szCs w:val="21"/>
              </w:rPr>
              <w:t>服务需求</w:t>
            </w:r>
          </w:p>
        </w:tc>
      </w:tr>
      <w:tr w14:paraId="5B51D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4C16F555">
            <w:pPr>
              <w:spacing w:line="400" w:lineRule="exact"/>
              <w:ind w:firstLine="420"/>
              <w:jc w:val="center"/>
              <w:rPr>
                <w:rFonts w:hint="eastAsia" w:ascii="宋体" w:hAnsi="宋体" w:cs="宋体"/>
                <w:szCs w:val="21"/>
              </w:rPr>
            </w:pPr>
            <w:r>
              <w:rPr>
                <w:rFonts w:hint="eastAsia" w:ascii="宋体" w:hAnsi="宋体" w:cs="宋体"/>
                <w:szCs w:val="21"/>
              </w:rPr>
              <w:t>1</w:t>
            </w:r>
          </w:p>
        </w:tc>
        <w:tc>
          <w:tcPr>
            <w:tcW w:w="1275" w:type="dxa"/>
            <w:tcBorders>
              <w:top w:val="single" w:color="auto" w:sz="4" w:space="0"/>
              <w:left w:val="single" w:color="auto" w:sz="4" w:space="0"/>
              <w:bottom w:val="single" w:color="auto" w:sz="4" w:space="0"/>
              <w:right w:val="single" w:color="auto" w:sz="4" w:space="0"/>
            </w:tcBorders>
            <w:vAlign w:val="center"/>
          </w:tcPr>
          <w:p w14:paraId="3B5C7906">
            <w:pPr>
              <w:spacing w:line="400" w:lineRule="exact"/>
              <w:rPr>
                <w:rFonts w:hint="eastAsia" w:ascii="宋体" w:hAnsi="宋体" w:cs="宋体"/>
                <w:szCs w:val="21"/>
              </w:rPr>
            </w:pPr>
            <w:r>
              <w:rPr>
                <w:rFonts w:hint="eastAsia" w:ascii="宋体" w:hAnsi="宋体" w:cs="宋体"/>
                <w:szCs w:val="21"/>
              </w:rPr>
              <w:t>广西生态环境信息化建设项目（</w:t>
            </w:r>
            <w:r>
              <w:rPr>
                <w:rFonts w:ascii="宋体" w:hAnsi="宋体" w:cs="宋体"/>
                <w:szCs w:val="21"/>
              </w:rPr>
              <w:t>D分标</w:t>
            </w:r>
            <w:r>
              <w:rPr>
                <w:rFonts w:hint="eastAsia" w:ascii="宋体" w:hAnsi="宋体" w:cs="宋体"/>
                <w:szCs w:val="21"/>
              </w:rPr>
              <w:t>）</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7C3E77D1">
            <w:pPr>
              <w:adjustRightInd w:val="0"/>
              <w:snapToGrid w:val="0"/>
              <w:spacing w:line="400" w:lineRule="exact"/>
              <w:rPr>
                <w:rFonts w:hint="eastAsia" w:ascii="宋体" w:hAnsi="宋体" w:cs="宋体"/>
                <w:kern w:val="0"/>
                <w:szCs w:val="21"/>
              </w:rPr>
            </w:pPr>
            <w:r>
              <w:rPr>
                <w:rFonts w:ascii="宋体" w:hAnsi="宋体" w:cs="宋体"/>
                <w:kern w:val="0"/>
                <w:szCs w:val="21"/>
              </w:rPr>
              <w:t>生态环境质量分析应用（广西移动源综合管控应用、梧州市环境质量分析应用、北海生态环境监测中心综合信息应用、海洋监测综合分析应用）</w:t>
            </w:r>
          </w:p>
        </w:tc>
        <w:tc>
          <w:tcPr>
            <w:tcW w:w="851" w:type="dxa"/>
            <w:tcBorders>
              <w:top w:val="single" w:color="auto" w:sz="4" w:space="0"/>
              <w:left w:val="single" w:color="auto" w:sz="4" w:space="0"/>
              <w:bottom w:val="single" w:color="auto" w:sz="4" w:space="0"/>
              <w:right w:val="single" w:color="auto" w:sz="4" w:space="0"/>
            </w:tcBorders>
            <w:vAlign w:val="center"/>
          </w:tcPr>
          <w:p w14:paraId="44D4ECDB">
            <w:pPr>
              <w:spacing w:line="400" w:lineRule="exact"/>
              <w:rPr>
                <w:rFonts w:hint="eastAsia" w:ascii="宋体" w:hAnsi="宋体" w:cs="宋体"/>
                <w:szCs w:val="21"/>
              </w:rPr>
            </w:pPr>
            <w:r>
              <w:rPr>
                <w:rFonts w:hint="eastAsia" w:ascii="宋体" w:hAnsi="宋体" w:cs="宋体"/>
                <w:szCs w:val="21"/>
              </w:rPr>
              <w:t>1项</w:t>
            </w:r>
          </w:p>
        </w:tc>
        <w:tc>
          <w:tcPr>
            <w:tcW w:w="5512" w:type="dxa"/>
            <w:tcBorders>
              <w:top w:val="single" w:color="auto" w:sz="4" w:space="0"/>
              <w:left w:val="single" w:color="auto" w:sz="4" w:space="0"/>
              <w:bottom w:val="single" w:color="auto" w:sz="4" w:space="0"/>
              <w:right w:val="single" w:color="auto" w:sz="4" w:space="0"/>
            </w:tcBorders>
            <w:vAlign w:val="center"/>
          </w:tcPr>
          <w:p w14:paraId="5736518B">
            <w:pPr>
              <w:pStyle w:val="2"/>
              <w:spacing w:line="400" w:lineRule="exact"/>
              <w:ind w:firstLine="420"/>
              <w:rPr>
                <w:rFonts w:hint="eastAsia" w:ascii="宋体" w:hAnsi="宋体" w:cs="宋体"/>
                <w:sz w:val="21"/>
                <w:szCs w:val="21"/>
              </w:rPr>
            </w:pPr>
            <w:r>
              <w:rPr>
                <w:rFonts w:ascii="宋体" w:hAnsi="宋体" w:cs="宋体"/>
                <w:sz w:val="21"/>
                <w:szCs w:val="21"/>
              </w:rPr>
              <w:t>一、广西移动源综合管控应用</w:t>
            </w:r>
          </w:p>
          <w:p w14:paraId="17DB71CC">
            <w:pPr>
              <w:pStyle w:val="2"/>
              <w:spacing w:line="400" w:lineRule="exact"/>
              <w:ind w:firstLine="420"/>
              <w:rPr>
                <w:rFonts w:hint="eastAsia" w:ascii="宋体" w:hAnsi="宋体" w:cs="宋体"/>
                <w:sz w:val="21"/>
                <w:szCs w:val="21"/>
              </w:rPr>
            </w:pPr>
            <w:r>
              <w:rPr>
                <w:rFonts w:ascii="宋体" w:hAnsi="宋体" w:cs="宋体"/>
                <w:sz w:val="21"/>
                <w:szCs w:val="21"/>
              </w:rPr>
              <w:t>▲（一）总体要求</w:t>
            </w:r>
          </w:p>
          <w:p w14:paraId="462F54F1">
            <w:pPr>
              <w:pStyle w:val="2"/>
              <w:spacing w:line="400" w:lineRule="exact"/>
              <w:ind w:firstLine="420"/>
              <w:rPr>
                <w:rFonts w:hint="eastAsia" w:ascii="宋体" w:hAnsi="宋体" w:cs="宋体"/>
                <w:sz w:val="21"/>
                <w:szCs w:val="21"/>
              </w:rPr>
            </w:pPr>
            <w:r>
              <w:rPr>
                <w:rFonts w:ascii="宋体" w:hAnsi="宋体" w:cs="宋体"/>
                <w:sz w:val="21"/>
                <w:szCs w:val="21"/>
              </w:rPr>
              <w:t>对现有的广西机动车排放检验三级联网系统、广西机动车遥感监测平台、I/M业务综合数据管理平台进行功能重构，并</w:t>
            </w:r>
            <w:r>
              <w:rPr>
                <w:rFonts w:hint="eastAsia" w:ascii="宋体" w:hAnsi="宋体" w:cs="宋体"/>
                <w:sz w:val="21"/>
                <w:szCs w:val="21"/>
              </w:rPr>
              <w:t>对</w:t>
            </w:r>
            <w:r>
              <w:rPr>
                <w:rFonts w:ascii="宋体" w:hAnsi="宋体" w:cs="宋体"/>
                <w:sz w:val="21"/>
                <w:szCs w:val="21"/>
              </w:rPr>
              <w:t>数据进行整合，建设广西移动源综合管控应用</w:t>
            </w:r>
            <w:r>
              <w:rPr>
                <w:rFonts w:hint="eastAsia" w:ascii="宋体" w:hAnsi="宋体" w:cs="宋体"/>
                <w:sz w:val="21"/>
                <w:szCs w:val="21"/>
              </w:rPr>
              <w:t>。</w:t>
            </w:r>
          </w:p>
          <w:p w14:paraId="712A5AEB">
            <w:pPr>
              <w:pStyle w:val="2"/>
              <w:spacing w:line="400" w:lineRule="exact"/>
              <w:ind w:firstLine="42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的云原生框架能力和工具，以微服务模块的方式将应用功能集成到广西生态环境业务应用系统中，支持将系统的分析数据、展示内容推送到广西生态云应用中。视频监控摄像头应支持接入统一技术平台。</w:t>
            </w:r>
          </w:p>
          <w:p w14:paraId="73952D85">
            <w:pPr>
              <w:pStyle w:val="2"/>
              <w:spacing w:line="400" w:lineRule="exact"/>
              <w:ind w:firstLine="420"/>
              <w:rPr>
                <w:rFonts w:hint="eastAsia" w:ascii="宋体" w:hAnsi="宋体" w:cs="宋体"/>
                <w:sz w:val="21"/>
                <w:szCs w:val="21"/>
              </w:rPr>
            </w:pPr>
            <w:r>
              <w:rPr>
                <w:rFonts w:ascii="宋体" w:hAnsi="宋体" w:cs="宋体"/>
                <w:sz w:val="21"/>
                <w:szCs w:val="21"/>
              </w:rPr>
              <w:t>▲（二）移动源管控门户</w:t>
            </w:r>
          </w:p>
          <w:p w14:paraId="70686200">
            <w:pPr>
              <w:pStyle w:val="2"/>
              <w:spacing w:line="400" w:lineRule="exact"/>
              <w:ind w:firstLine="420"/>
              <w:rPr>
                <w:rFonts w:hint="eastAsia" w:ascii="宋体" w:hAnsi="宋体" w:cs="宋体"/>
                <w:sz w:val="21"/>
                <w:szCs w:val="21"/>
              </w:rPr>
            </w:pPr>
            <w:r>
              <w:rPr>
                <w:rFonts w:ascii="宋体" w:hAnsi="宋体" w:cs="宋体"/>
                <w:sz w:val="21"/>
                <w:szCs w:val="21"/>
              </w:rPr>
              <w:t>1.门户总览：集成展示系统中主要功能模块的概要信息及需办理的个性化信息，支持自定义展示个性化模块。</w:t>
            </w:r>
          </w:p>
          <w:p w14:paraId="6302B8B5">
            <w:pPr>
              <w:pStyle w:val="2"/>
              <w:spacing w:line="400" w:lineRule="exact"/>
              <w:ind w:firstLine="420"/>
              <w:rPr>
                <w:rFonts w:hint="eastAsia" w:ascii="宋体" w:hAnsi="宋体" w:cs="宋体"/>
                <w:sz w:val="21"/>
                <w:szCs w:val="21"/>
              </w:rPr>
            </w:pPr>
            <w:r>
              <w:rPr>
                <w:rFonts w:ascii="宋体" w:hAnsi="宋体" w:cs="宋体"/>
                <w:sz w:val="21"/>
                <w:szCs w:val="21"/>
              </w:rPr>
              <w:t>2.机动车及重点监管车辆运行状况</w:t>
            </w:r>
          </w:p>
          <w:p w14:paraId="24622BED">
            <w:pPr>
              <w:pStyle w:val="2"/>
              <w:spacing w:line="400" w:lineRule="exact"/>
              <w:ind w:firstLine="420"/>
              <w:rPr>
                <w:rFonts w:hint="eastAsia" w:ascii="宋体" w:hAnsi="宋体" w:cs="宋体"/>
                <w:sz w:val="21"/>
                <w:szCs w:val="21"/>
              </w:rPr>
            </w:pPr>
            <w:r>
              <w:rPr>
                <w:rFonts w:ascii="宋体" w:hAnsi="宋体" w:cs="宋体"/>
                <w:sz w:val="21"/>
                <w:szCs w:val="21"/>
              </w:rPr>
              <w:t>展示机动车保有量、汽油车及柴油车数量、重点监管车辆信息、最近列入重点监管的车辆等，可链接至机动车及重点监管车辆模块</w:t>
            </w:r>
            <w:r>
              <w:rPr>
                <w:rFonts w:hint="eastAsia" w:ascii="宋体" w:hAnsi="宋体" w:cs="宋体"/>
                <w:sz w:val="21"/>
                <w:szCs w:val="21"/>
              </w:rPr>
              <w:t>。</w:t>
            </w:r>
          </w:p>
          <w:p w14:paraId="6EF5A35C">
            <w:pPr>
              <w:pStyle w:val="2"/>
              <w:spacing w:line="400" w:lineRule="exact"/>
              <w:ind w:firstLine="420"/>
              <w:rPr>
                <w:rFonts w:hint="eastAsia" w:ascii="宋体" w:hAnsi="宋体" w:cs="宋体"/>
                <w:sz w:val="21"/>
                <w:szCs w:val="21"/>
              </w:rPr>
            </w:pPr>
            <w:r>
              <w:rPr>
                <w:rFonts w:ascii="宋体" w:hAnsi="宋体" w:cs="宋体"/>
                <w:sz w:val="21"/>
                <w:szCs w:val="21"/>
              </w:rPr>
              <w:t>3.用车大户运行状况</w:t>
            </w:r>
          </w:p>
          <w:p w14:paraId="132A1351">
            <w:pPr>
              <w:pStyle w:val="2"/>
              <w:spacing w:line="400" w:lineRule="exact"/>
              <w:ind w:firstLine="420"/>
              <w:rPr>
                <w:rFonts w:hint="eastAsia" w:ascii="宋体" w:hAnsi="宋体" w:cs="宋体"/>
                <w:sz w:val="21"/>
                <w:szCs w:val="21"/>
              </w:rPr>
            </w:pPr>
            <w:r>
              <w:rPr>
                <w:rFonts w:ascii="宋体" w:hAnsi="宋体" w:cs="宋体"/>
                <w:sz w:val="21"/>
                <w:szCs w:val="21"/>
              </w:rPr>
              <w:t>展示用车大户数量、机动车数量、重点监管车辆数量、监督检查数量、用车大户按车辆数的排序名单等，可链接至用车大户管理模块。</w:t>
            </w:r>
          </w:p>
          <w:p w14:paraId="1254845D">
            <w:pPr>
              <w:pStyle w:val="2"/>
              <w:spacing w:line="400" w:lineRule="exact"/>
              <w:ind w:firstLine="420"/>
              <w:rPr>
                <w:rFonts w:hint="eastAsia" w:ascii="宋体" w:hAnsi="宋体" w:cs="宋体"/>
                <w:sz w:val="21"/>
                <w:szCs w:val="21"/>
              </w:rPr>
            </w:pPr>
            <w:r>
              <w:rPr>
                <w:rFonts w:ascii="宋体" w:hAnsi="宋体" w:cs="宋体"/>
                <w:sz w:val="21"/>
                <w:szCs w:val="21"/>
              </w:rPr>
              <w:t>4.各专题子系统运行概况</w:t>
            </w:r>
          </w:p>
          <w:p w14:paraId="75FD098C">
            <w:pPr>
              <w:pStyle w:val="2"/>
              <w:spacing w:line="400" w:lineRule="exact"/>
              <w:ind w:firstLine="420"/>
              <w:rPr>
                <w:rFonts w:hint="eastAsia" w:ascii="宋体" w:hAnsi="宋体" w:cs="宋体"/>
                <w:sz w:val="21"/>
                <w:szCs w:val="21"/>
              </w:rPr>
            </w:pPr>
            <w:r>
              <w:rPr>
                <w:rFonts w:ascii="宋体" w:hAnsi="宋体" w:cs="宋体"/>
                <w:sz w:val="21"/>
                <w:szCs w:val="21"/>
              </w:rPr>
              <w:t>显示各移动源专题子系统的关键数据，用户可了解到各专题子系统的运行情况。</w:t>
            </w:r>
          </w:p>
          <w:p w14:paraId="2B826535">
            <w:pPr>
              <w:pStyle w:val="2"/>
              <w:spacing w:line="400" w:lineRule="exact"/>
              <w:ind w:firstLine="420"/>
              <w:rPr>
                <w:rFonts w:hint="eastAsia" w:ascii="宋体" w:hAnsi="宋体" w:cs="宋体"/>
                <w:sz w:val="21"/>
                <w:szCs w:val="21"/>
              </w:rPr>
            </w:pPr>
            <w:r>
              <w:rPr>
                <w:rFonts w:ascii="宋体" w:hAnsi="宋体" w:cs="宋体"/>
                <w:sz w:val="21"/>
                <w:szCs w:val="21"/>
              </w:rPr>
              <w:t>可单点登录至移动源专题子系统，包括：机动车遥感监测系统、机动车排放检验三级联网系统、I/M业务综合数据管理平台等。</w:t>
            </w:r>
          </w:p>
          <w:p w14:paraId="3ACCE110">
            <w:pPr>
              <w:pStyle w:val="2"/>
              <w:spacing w:line="400" w:lineRule="exact"/>
              <w:ind w:firstLine="420"/>
              <w:rPr>
                <w:rFonts w:hint="eastAsia" w:ascii="宋体" w:hAnsi="宋体" w:cs="宋体"/>
                <w:sz w:val="21"/>
                <w:szCs w:val="21"/>
              </w:rPr>
            </w:pPr>
            <w:r>
              <w:rPr>
                <w:rFonts w:ascii="宋体" w:hAnsi="宋体" w:cs="宋体"/>
                <w:sz w:val="21"/>
                <w:szCs w:val="21"/>
              </w:rPr>
              <w:t>5.任务中心</w:t>
            </w:r>
          </w:p>
          <w:p w14:paraId="05DB6DD8">
            <w:pPr>
              <w:pStyle w:val="2"/>
              <w:spacing w:line="400" w:lineRule="exact"/>
              <w:ind w:firstLine="420"/>
              <w:rPr>
                <w:rFonts w:hint="eastAsia" w:ascii="宋体" w:hAnsi="宋体" w:cs="宋体"/>
                <w:sz w:val="21"/>
                <w:szCs w:val="21"/>
              </w:rPr>
            </w:pPr>
            <w:r>
              <w:rPr>
                <w:rFonts w:ascii="宋体" w:hAnsi="宋体" w:cs="宋体"/>
                <w:sz w:val="21"/>
                <w:szCs w:val="21"/>
              </w:rPr>
              <w:t>展示办理中任务数量、已完成任务数量、最近办理中的任务等，可链接至任务管理模块。</w:t>
            </w:r>
          </w:p>
          <w:p w14:paraId="03CE5BC6">
            <w:pPr>
              <w:pStyle w:val="2"/>
              <w:spacing w:line="400" w:lineRule="exact"/>
              <w:ind w:firstLine="420"/>
              <w:rPr>
                <w:rFonts w:hint="eastAsia" w:ascii="宋体" w:hAnsi="宋体" w:cs="宋体"/>
                <w:sz w:val="21"/>
                <w:szCs w:val="21"/>
              </w:rPr>
            </w:pPr>
            <w:r>
              <w:rPr>
                <w:rFonts w:ascii="宋体" w:hAnsi="宋体" w:cs="宋体"/>
                <w:sz w:val="21"/>
                <w:szCs w:val="21"/>
              </w:rPr>
              <w:t>6.情报中心</w:t>
            </w:r>
          </w:p>
          <w:p w14:paraId="0BFFF0B9">
            <w:pPr>
              <w:pStyle w:val="2"/>
              <w:spacing w:line="400" w:lineRule="exact"/>
              <w:ind w:firstLine="420"/>
              <w:rPr>
                <w:rFonts w:hint="eastAsia" w:ascii="宋体" w:hAnsi="宋体" w:cs="宋体"/>
                <w:sz w:val="21"/>
                <w:szCs w:val="21"/>
              </w:rPr>
            </w:pPr>
            <w:r>
              <w:rPr>
                <w:rFonts w:ascii="宋体" w:hAnsi="宋体" w:cs="宋体"/>
                <w:sz w:val="21"/>
                <w:szCs w:val="21"/>
              </w:rPr>
              <w:t>展示生成的情报数量、最近研判生成的情报等，可链接至情报管理模块。</w:t>
            </w:r>
          </w:p>
          <w:p w14:paraId="4A39A6BA">
            <w:pPr>
              <w:pStyle w:val="2"/>
              <w:spacing w:line="400" w:lineRule="exact"/>
              <w:ind w:firstLine="420"/>
              <w:rPr>
                <w:rFonts w:hint="eastAsia" w:ascii="宋体" w:hAnsi="宋体" w:cs="宋体"/>
                <w:sz w:val="21"/>
                <w:szCs w:val="21"/>
              </w:rPr>
            </w:pPr>
            <w:r>
              <w:rPr>
                <w:rFonts w:ascii="宋体" w:hAnsi="宋体" w:cs="宋体"/>
                <w:sz w:val="21"/>
                <w:szCs w:val="21"/>
              </w:rPr>
              <w:t>7.地市移动源概览</w:t>
            </w:r>
          </w:p>
          <w:p w14:paraId="42BE317A">
            <w:pPr>
              <w:pStyle w:val="2"/>
              <w:spacing w:line="400" w:lineRule="exact"/>
              <w:ind w:firstLine="420"/>
              <w:rPr>
                <w:rFonts w:hint="eastAsia" w:ascii="宋体" w:hAnsi="宋体" w:cs="宋体"/>
                <w:sz w:val="21"/>
                <w:szCs w:val="21"/>
              </w:rPr>
            </w:pPr>
            <w:r>
              <w:rPr>
                <w:rFonts w:ascii="宋体" w:hAnsi="宋体" w:cs="宋体"/>
                <w:sz w:val="21"/>
                <w:szCs w:val="21"/>
              </w:rPr>
              <w:t>展示各地市机动车、非道机械设备、重点监管车辆等移动源设备数量，汇总各地市移动源污染排放总体情况，环检站、维修站、OBD、遥感监测、油气回收等设备在线联网情况。</w:t>
            </w:r>
          </w:p>
          <w:p w14:paraId="4A37D7EF">
            <w:pPr>
              <w:pStyle w:val="2"/>
              <w:spacing w:line="400" w:lineRule="exact"/>
              <w:ind w:firstLine="420"/>
              <w:rPr>
                <w:rFonts w:hint="eastAsia" w:ascii="宋体" w:hAnsi="宋体" w:cs="宋体"/>
                <w:sz w:val="21"/>
                <w:szCs w:val="21"/>
              </w:rPr>
            </w:pPr>
            <w:r>
              <w:rPr>
                <w:rFonts w:ascii="宋体" w:hAnsi="宋体" w:cs="宋体"/>
                <w:sz w:val="21"/>
                <w:szCs w:val="21"/>
              </w:rPr>
              <w:t>8.系统管理</w:t>
            </w:r>
          </w:p>
          <w:p w14:paraId="215D56EC">
            <w:pPr>
              <w:pStyle w:val="2"/>
              <w:spacing w:line="400" w:lineRule="exact"/>
              <w:ind w:firstLine="420"/>
              <w:rPr>
                <w:rFonts w:hint="eastAsia" w:ascii="宋体" w:hAnsi="宋体" w:cs="宋体"/>
                <w:sz w:val="21"/>
                <w:szCs w:val="21"/>
              </w:rPr>
            </w:pPr>
            <w:r>
              <w:rPr>
                <w:rFonts w:ascii="宋体" w:hAnsi="宋体" w:cs="宋体"/>
                <w:sz w:val="21"/>
                <w:szCs w:val="21"/>
              </w:rPr>
              <w:t>（1）用户管理</w:t>
            </w:r>
            <w:r>
              <w:rPr>
                <w:rFonts w:hint="eastAsia" w:ascii="宋体" w:hAnsi="宋体" w:cs="宋体"/>
                <w:sz w:val="21"/>
                <w:szCs w:val="21"/>
              </w:rPr>
              <w:t>：用户管理、角色管理、权限管理。</w:t>
            </w:r>
          </w:p>
          <w:p w14:paraId="57CB418B">
            <w:pPr>
              <w:pStyle w:val="2"/>
              <w:spacing w:line="400" w:lineRule="exact"/>
              <w:ind w:firstLine="420"/>
              <w:rPr>
                <w:rFonts w:hint="eastAsia" w:ascii="宋体" w:hAnsi="宋体" w:cs="宋体"/>
                <w:sz w:val="21"/>
                <w:szCs w:val="21"/>
              </w:rPr>
            </w:pPr>
            <w:r>
              <w:rPr>
                <w:rFonts w:ascii="宋体" w:hAnsi="宋体" w:cs="宋体"/>
                <w:sz w:val="21"/>
                <w:szCs w:val="21"/>
              </w:rPr>
              <w:t>（2）系统日志</w:t>
            </w:r>
            <w:r>
              <w:rPr>
                <w:rFonts w:hint="eastAsia" w:ascii="宋体" w:hAnsi="宋体" w:cs="宋体"/>
                <w:sz w:val="21"/>
                <w:szCs w:val="21"/>
              </w:rPr>
              <w:t>：日志管理主要包括日志记录和日志查询。</w:t>
            </w:r>
          </w:p>
          <w:p w14:paraId="374433F0">
            <w:pPr>
              <w:pStyle w:val="2"/>
              <w:spacing w:line="400" w:lineRule="exact"/>
              <w:ind w:firstLine="420"/>
              <w:rPr>
                <w:rFonts w:hint="eastAsia" w:ascii="宋体" w:hAnsi="宋体" w:cs="宋体"/>
                <w:sz w:val="21"/>
                <w:szCs w:val="21"/>
              </w:rPr>
            </w:pPr>
            <w:r>
              <w:rPr>
                <w:rFonts w:ascii="宋体" w:hAnsi="宋体" w:cs="宋体"/>
                <w:sz w:val="21"/>
                <w:szCs w:val="21"/>
              </w:rPr>
              <w:t>（3）系统配置</w:t>
            </w:r>
            <w:r>
              <w:rPr>
                <w:rFonts w:hint="eastAsia" w:ascii="宋体" w:hAnsi="宋体" w:cs="宋体"/>
                <w:sz w:val="21"/>
                <w:szCs w:val="21"/>
              </w:rPr>
              <w:t>：菜单模块配置、综合服务配置。</w:t>
            </w:r>
          </w:p>
          <w:p w14:paraId="5026CA71">
            <w:pPr>
              <w:pStyle w:val="2"/>
              <w:spacing w:line="400" w:lineRule="exact"/>
              <w:ind w:firstLine="420"/>
              <w:rPr>
                <w:rFonts w:hint="eastAsia" w:ascii="宋体" w:hAnsi="宋体" w:cs="宋体"/>
                <w:sz w:val="21"/>
                <w:szCs w:val="21"/>
              </w:rPr>
            </w:pPr>
            <w:r>
              <w:rPr>
                <w:rFonts w:ascii="宋体" w:hAnsi="宋体" w:cs="宋体"/>
                <w:sz w:val="21"/>
                <w:szCs w:val="21"/>
              </w:rPr>
              <w:t>▲（三）移动源专题监控</w:t>
            </w:r>
          </w:p>
          <w:p w14:paraId="3A5957B9">
            <w:pPr>
              <w:pStyle w:val="2"/>
              <w:spacing w:line="400" w:lineRule="exact"/>
              <w:ind w:firstLine="420"/>
              <w:rPr>
                <w:rFonts w:hint="eastAsia" w:ascii="宋体" w:hAnsi="宋体" w:cs="宋体"/>
                <w:sz w:val="21"/>
                <w:szCs w:val="21"/>
              </w:rPr>
            </w:pPr>
            <w:r>
              <w:rPr>
                <w:rFonts w:ascii="宋体" w:hAnsi="宋体" w:cs="宋体"/>
                <w:sz w:val="21"/>
                <w:szCs w:val="21"/>
              </w:rPr>
              <w:t>1.机动车排放检验三级联网模块</w:t>
            </w:r>
          </w:p>
          <w:p w14:paraId="4F0E7CC7">
            <w:pPr>
              <w:pStyle w:val="2"/>
              <w:spacing w:line="400" w:lineRule="exact"/>
              <w:ind w:firstLine="420"/>
              <w:rPr>
                <w:rFonts w:hint="eastAsia" w:ascii="宋体" w:hAnsi="宋体" w:cs="宋体"/>
                <w:sz w:val="21"/>
                <w:szCs w:val="21"/>
              </w:rPr>
            </w:pPr>
            <w:r>
              <w:rPr>
                <w:rFonts w:ascii="宋体" w:hAnsi="宋体" w:cs="宋体"/>
                <w:sz w:val="21"/>
                <w:szCs w:val="21"/>
              </w:rPr>
              <w:t>（1）展示门户。基于GIS平台，实现各类分析统计的直观展示：检测站分布展示、检测站设备分布展示、检测站各检测类型展示、检测站行政状态展示、检测站检测数据展示、检测站视频监控展示、检测站监测超标报警展示、检测站信用度评价展示等。</w:t>
            </w:r>
          </w:p>
          <w:p w14:paraId="2C590F79">
            <w:pPr>
              <w:pStyle w:val="2"/>
              <w:spacing w:line="400" w:lineRule="exact"/>
              <w:ind w:firstLine="420"/>
              <w:rPr>
                <w:rFonts w:hint="eastAsia" w:ascii="宋体" w:hAnsi="宋体" w:cs="宋体"/>
                <w:sz w:val="21"/>
                <w:szCs w:val="21"/>
              </w:rPr>
            </w:pPr>
            <w:r>
              <w:rPr>
                <w:rFonts w:ascii="宋体" w:hAnsi="宋体" w:cs="宋体"/>
                <w:sz w:val="21"/>
                <w:szCs w:val="21"/>
              </w:rPr>
              <w:t>（2）检验机构管理。系统实现对检验机构、检测线、检验设备和检验耗材基本信息，日常运行、维护、检查信息，以及检验人员信息登记备案管理。</w:t>
            </w:r>
          </w:p>
          <w:p w14:paraId="6E076E11">
            <w:pPr>
              <w:pStyle w:val="2"/>
              <w:spacing w:line="400" w:lineRule="exact"/>
              <w:ind w:firstLine="420"/>
              <w:rPr>
                <w:rFonts w:hint="eastAsia" w:ascii="宋体" w:hAnsi="宋体" w:cs="宋体"/>
                <w:sz w:val="21"/>
                <w:szCs w:val="21"/>
              </w:rPr>
            </w:pPr>
            <w:r>
              <w:rPr>
                <w:rFonts w:ascii="宋体" w:hAnsi="宋体" w:cs="宋体"/>
                <w:sz w:val="21"/>
                <w:szCs w:val="21"/>
              </w:rPr>
              <w:t>（3）检验数据和检验报告编码管理。系统在确认接收到完整的检验数据后生成并返回接收凭证。</w:t>
            </w:r>
          </w:p>
          <w:p w14:paraId="0C710F8A">
            <w:pPr>
              <w:pStyle w:val="2"/>
              <w:spacing w:line="400" w:lineRule="exact"/>
              <w:ind w:firstLine="420"/>
              <w:rPr>
                <w:rFonts w:hint="eastAsia" w:ascii="宋体" w:hAnsi="宋体" w:cs="宋体"/>
                <w:sz w:val="21"/>
                <w:szCs w:val="21"/>
              </w:rPr>
            </w:pPr>
            <w:r>
              <w:rPr>
                <w:rFonts w:ascii="宋体" w:hAnsi="宋体" w:cs="宋体"/>
                <w:sz w:val="21"/>
                <w:szCs w:val="21"/>
              </w:rPr>
              <w:t>（4）违规记录管理。对违规车辆、检验机构进行记录管理。</w:t>
            </w:r>
          </w:p>
          <w:p w14:paraId="38CB84EE">
            <w:pPr>
              <w:pStyle w:val="2"/>
              <w:spacing w:line="400" w:lineRule="exact"/>
              <w:ind w:firstLine="420"/>
              <w:rPr>
                <w:rFonts w:hint="eastAsia" w:ascii="宋体" w:hAnsi="宋体" w:cs="宋体"/>
                <w:sz w:val="21"/>
                <w:szCs w:val="21"/>
              </w:rPr>
            </w:pPr>
            <w:r>
              <w:rPr>
                <w:rFonts w:ascii="宋体" w:hAnsi="宋体" w:cs="宋体"/>
                <w:sz w:val="21"/>
                <w:szCs w:val="21"/>
              </w:rPr>
              <w:t>（5）异地车辆管理。</w:t>
            </w:r>
          </w:p>
          <w:p w14:paraId="340E21FB">
            <w:pPr>
              <w:pStyle w:val="2"/>
              <w:spacing w:line="400" w:lineRule="exact"/>
              <w:ind w:firstLine="420"/>
              <w:rPr>
                <w:rFonts w:hint="eastAsia" w:ascii="宋体" w:hAnsi="宋体" w:cs="宋体"/>
                <w:sz w:val="21"/>
                <w:szCs w:val="21"/>
              </w:rPr>
            </w:pPr>
            <w:r>
              <w:rPr>
                <w:rFonts w:ascii="宋体" w:hAnsi="宋体" w:cs="宋体"/>
                <w:sz w:val="21"/>
                <w:szCs w:val="21"/>
              </w:rPr>
              <w:t>（6）检验限值管理。按标准设定适用的检验方法及检验限值，与上级环境保护主管部门定期同步更新，并确保全区各地市检测机构按照统一的检测标准来进行车辆排气检测</w:t>
            </w:r>
          </w:p>
          <w:p w14:paraId="3DD6198B">
            <w:pPr>
              <w:pStyle w:val="2"/>
              <w:spacing w:line="400" w:lineRule="exact"/>
              <w:ind w:firstLine="420"/>
              <w:rPr>
                <w:rFonts w:hint="eastAsia" w:ascii="宋体" w:hAnsi="宋体" w:cs="宋体"/>
                <w:sz w:val="21"/>
                <w:szCs w:val="21"/>
              </w:rPr>
            </w:pPr>
            <w:r>
              <w:rPr>
                <w:rFonts w:ascii="宋体" w:hAnsi="宋体" w:cs="宋体"/>
                <w:sz w:val="21"/>
                <w:szCs w:val="21"/>
              </w:rPr>
              <w:t>（7）车辆档案管理</w:t>
            </w:r>
          </w:p>
          <w:p w14:paraId="01F1AFCB">
            <w:pPr>
              <w:pStyle w:val="2"/>
              <w:spacing w:line="400" w:lineRule="exact"/>
              <w:ind w:firstLine="420"/>
              <w:rPr>
                <w:rFonts w:hint="eastAsia" w:ascii="宋体" w:hAnsi="宋体" w:cs="宋体"/>
                <w:sz w:val="21"/>
                <w:szCs w:val="21"/>
              </w:rPr>
            </w:pPr>
            <w:r>
              <w:rPr>
                <w:rFonts w:ascii="宋体" w:hAnsi="宋体" w:cs="宋体"/>
                <w:sz w:val="21"/>
                <w:szCs w:val="21"/>
              </w:rPr>
              <w:t>（8）车型环保目录集成管理</w:t>
            </w:r>
          </w:p>
          <w:p w14:paraId="73C39299">
            <w:pPr>
              <w:pStyle w:val="2"/>
              <w:spacing w:line="400" w:lineRule="exact"/>
              <w:ind w:firstLine="420"/>
              <w:rPr>
                <w:rFonts w:hint="eastAsia" w:ascii="宋体" w:hAnsi="宋体" w:cs="宋体"/>
                <w:sz w:val="21"/>
                <w:szCs w:val="21"/>
              </w:rPr>
            </w:pPr>
            <w:r>
              <w:rPr>
                <w:rFonts w:ascii="宋体" w:hAnsi="宋体" w:cs="宋体"/>
                <w:sz w:val="21"/>
                <w:szCs w:val="21"/>
              </w:rPr>
              <w:t>（9）状态监控。监测检测场内部检测设备、检测线和各个节点的工作状态。</w:t>
            </w:r>
          </w:p>
          <w:p w14:paraId="0D333088">
            <w:pPr>
              <w:pStyle w:val="2"/>
              <w:spacing w:line="400" w:lineRule="exact"/>
              <w:ind w:firstLine="420"/>
              <w:rPr>
                <w:rFonts w:hint="eastAsia" w:ascii="宋体" w:hAnsi="宋体" w:cs="宋体"/>
                <w:sz w:val="21"/>
                <w:szCs w:val="21"/>
              </w:rPr>
            </w:pPr>
            <w:r>
              <w:rPr>
                <w:rFonts w:ascii="宋体" w:hAnsi="宋体" w:cs="宋体"/>
                <w:sz w:val="21"/>
                <w:szCs w:val="21"/>
              </w:rPr>
              <w:t>（10）视频监控。与视频监控设备进行集成。</w:t>
            </w:r>
          </w:p>
          <w:p w14:paraId="47A6A427">
            <w:pPr>
              <w:pStyle w:val="2"/>
              <w:spacing w:line="400" w:lineRule="exact"/>
              <w:ind w:firstLine="420"/>
              <w:rPr>
                <w:rFonts w:hint="eastAsia" w:ascii="宋体" w:hAnsi="宋体" w:cs="宋体"/>
                <w:sz w:val="21"/>
                <w:szCs w:val="21"/>
              </w:rPr>
            </w:pPr>
            <w:r>
              <w:rPr>
                <w:rFonts w:ascii="宋体" w:hAnsi="宋体" w:cs="宋体"/>
                <w:sz w:val="21"/>
                <w:szCs w:val="21"/>
              </w:rPr>
              <w:t>（11）综合查询</w:t>
            </w:r>
          </w:p>
          <w:p w14:paraId="0C962FCE">
            <w:pPr>
              <w:pStyle w:val="2"/>
              <w:spacing w:line="400" w:lineRule="exact"/>
              <w:ind w:firstLine="420"/>
              <w:rPr>
                <w:rFonts w:hint="eastAsia" w:ascii="宋体" w:hAnsi="宋体" w:cs="宋体"/>
                <w:sz w:val="21"/>
                <w:szCs w:val="21"/>
              </w:rPr>
            </w:pPr>
            <w:r>
              <w:rPr>
                <w:rFonts w:ascii="宋体" w:hAnsi="宋体" w:cs="宋体"/>
                <w:sz w:val="21"/>
                <w:szCs w:val="21"/>
              </w:rPr>
              <w:t>（12）统计分析</w:t>
            </w:r>
          </w:p>
          <w:p w14:paraId="20F55323">
            <w:pPr>
              <w:pStyle w:val="2"/>
              <w:spacing w:line="400" w:lineRule="exact"/>
              <w:ind w:firstLine="420"/>
              <w:rPr>
                <w:rFonts w:hint="eastAsia" w:ascii="宋体" w:hAnsi="宋体" w:cs="宋体"/>
                <w:sz w:val="21"/>
                <w:szCs w:val="21"/>
              </w:rPr>
            </w:pPr>
            <w:r>
              <w:rPr>
                <w:rFonts w:ascii="宋体" w:hAnsi="宋体" w:cs="宋体"/>
                <w:sz w:val="21"/>
                <w:szCs w:val="21"/>
              </w:rPr>
              <w:t>分为通用业务统计分析和专题业务统计分析。通用业务统计分析包括检测情况分析统计、按检测方法分类合格率统计、按使用类别统计、检测线检测通过率对比分析、排放量及分担率统计、机动车环保检验量同比、环比对比分析、排放水平劣化分析、自定义统计分析。专题业务统计分析包括按车辆燃油类型保有量统计、按车辆类别保有量统计、按使用类别保有量统计、按车辆排放标准保有量统计、黄标车及老旧车辆统计、检测数据按车型统计、检测合格率异常分析、车辆控制技术分析、外地车检测量分析、转入车检测量分析、不同排放阶段的车辆各排放因子排放均值分析、污染排放分担率前五名的车型分析。</w:t>
            </w:r>
          </w:p>
          <w:p w14:paraId="5DFDC0C1">
            <w:pPr>
              <w:pStyle w:val="2"/>
              <w:spacing w:line="400" w:lineRule="exact"/>
              <w:ind w:firstLine="420"/>
              <w:rPr>
                <w:rFonts w:hint="eastAsia" w:ascii="宋体" w:hAnsi="宋体" w:cs="宋体"/>
                <w:sz w:val="21"/>
                <w:szCs w:val="21"/>
              </w:rPr>
            </w:pPr>
            <w:r>
              <w:rPr>
                <w:rFonts w:ascii="宋体" w:hAnsi="宋体" w:cs="宋体"/>
                <w:sz w:val="21"/>
                <w:szCs w:val="21"/>
              </w:rPr>
              <w:t>（13）检验机构画像。包括画像标签、画像生成、画像应用。</w:t>
            </w:r>
          </w:p>
          <w:p w14:paraId="293EA081">
            <w:pPr>
              <w:pStyle w:val="2"/>
              <w:spacing w:line="400" w:lineRule="exact"/>
              <w:ind w:firstLine="420"/>
              <w:rPr>
                <w:rFonts w:hint="eastAsia" w:ascii="宋体" w:hAnsi="宋体" w:cs="宋体"/>
                <w:sz w:val="21"/>
                <w:szCs w:val="21"/>
              </w:rPr>
            </w:pPr>
            <w:r>
              <w:rPr>
                <w:rFonts w:ascii="宋体" w:hAnsi="宋体" w:cs="宋体"/>
                <w:sz w:val="21"/>
                <w:szCs w:val="21"/>
              </w:rPr>
              <w:t>（14）数据共享交换：数据联网对接、与市级系统实现数据联网对接、与其他省机动车环检系统数据对接、与公安、交通等其他部门系统数据对接。</w:t>
            </w:r>
          </w:p>
          <w:p w14:paraId="1995F2DA">
            <w:pPr>
              <w:pStyle w:val="2"/>
              <w:spacing w:line="400" w:lineRule="exact"/>
              <w:ind w:firstLine="420"/>
              <w:rPr>
                <w:rFonts w:hint="eastAsia" w:ascii="宋体" w:hAnsi="宋体" w:cs="宋体"/>
                <w:sz w:val="21"/>
                <w:szCs w:val="21"/>
              </w:rPr>
            </w:pPr>
            <w:r>
              <w:rPr>
                <w:rFonts w:ascii="宋体" w:hAnsi="宋体" w:cs="宋体"/>
                <w:sz w:val="21"/>
                <w:szCs w:val="21"/>
              </w:rPr>
              <w:t>2.机动车遥感监测模块</w:t>
            </w:r>
          </w:p>
          <w:p w14:paraId="6C6A4B8E">
            <w:pPr>
              <w:pStyle w:val="2"/>
              <w:spacing w:line="400" w:lineRule="exact"/>
              <w:ind w:firstLine="420"/>
              <w:rPr>
                <w:rFonts w:hint="eastAsia" w:ascii="宋体" w:hAnsi="宋体" w:cs="宋体"/>
                <w:sz w:val="21"/>
                <w:szCs w:val="21"/>
              </w:rPr>
            </w:pPr>
            <w:r>
              <w:rPr>
                <w:rFonts w:ascii="宋体" w:hAnsi="宋体" w:cs="宋体"/>
                <w:sz w:val="21"/>
                <w:szCs w:val="21"/>
              </w:rPr>
              <w:t>（1）数据采集</w:t>
            </w:r>
          </w:p>
          <w:p w14:paraId="30B8D1B0">
            <w:pPr>
              <w:pStyle w:val="2"/>
              <w:spacing w:line="400" w:lineRule="exact"/>
              <w:ind w:firstLine="420"/>
              <w:rPr>
                <w:rFonts w:hint="eastAsia" w:ascii="宋体" w:hAnsi="宋体" w:cs="宋体"/>
                <w:sz w:val="21"/>
                <w:szCs w:val="21"/>
              </w:rPr>
            </w:pPr>
            <w:r>
              <w:rPr>
                <w:rFonts w:ascii="宋体" w:hAnsi="宋体" w:cs="宋体"/>
                <w:sz w:val="21"/>
                <w:szCs w:val="21"/>
              </w:rPr>
              <w:t>分为前端数据采集和数据共享交换。前端采集系统主要部署在全区14个地市环境保护主管部门或受委托机构端，用于采集各地市遥感监测及黑烟车抓拍信息数据。主要采集机动车轨迹信息、环境信息、位置信息、车辆数据库、视频监控、车辆识别、遥感监测、黑烟抓拍、车辆抓拍、标定检查等信息。数据共享交换要求满足国家、省、市三级联网要求。</w:t>
            </w:r>
          </w:p>
          <w:p w14:paraId="58209146">
            <w:pPr>
              <w:pStyle w:val="2"/>
              <w:spacing w:line="400" w:lineRule="exact"/>
              <w:ind w:firstLine="420"/>
              <w:rPr>
                <w:rFonts w:hint="eastAsia" w:ascii="宋体" w:hAnsi="宋体" w:cs="宋体"/>
                <w:sz w:val="21"/>
                <w:szCs w:val="21"/>
              </w:rPr>
            </w:pPr>
            <w:r>
              <w:rPr>
                <w:rFonts w:ascii="宋体" w:hAnsi="宋体" w:cs="宋体"/>
                <w:sz w:val="21"/>
                <w:szCs w:val="21"/>
              </w:rPr>
              <w:t>（2）遥感监测监管。包括实时数据显示、数据查询、电子地图、视频监控、统计分析（日监测车流量统计分析、车流量车辆类型分布分析、车流量燃油类型分布分析、车流量归属地分析、超标车点位检测分析、超标车车辆类型分析、超标车燃油类型分析、数据有效率统计分析、遥感检测合格率统计分析、不合格占比率统计分析、空气质量统计分析）、现场端设备运行监控、不合格车辆溯源分析、遥感点位画像。</w:t>
            </w:r>
          </w:p>
          <w:p w14:paraId="2431F3E3">
            <w:pPr>
              <w:pStyle w:val="2"/>
              <w:spacing w:line="400" w:lineRule="exact"/>
              <w:ind w:firstLine="420"/>
              <w:rPr>
                <w:rFonts w:hint="eastAsia" w:ascii="宋体" w:hAnsi="宋体" w:cs="宋体"/>
                <w:sz w:val="21"/>
                <w:szCs w:val="21"/>
              </w:rPr>
            </w:pPr>
            <w:r>
              <w:rPr>
                <w:rFonts w:ascii="宋体" w:hAnsi="宋体" w:cs="宋体"/>
                <w:sz w:val="21"/>
                <w:szCs w:val="21"/>
              </w:rPr>
              <w:t>（3）黑烟车抓拍监管。包括视频监控、电子地图、信息查询、抓拍证据链管理（以黑烟车为单元对其黑烟视频、图片和整改通知书等证据档案进行管理）、黑名单管理、设备管理（支持对抓拍点设备信息进行远程配置和维护，支持在GIS地图显示每个设备的在线联网情况）、统计分析（概况统计、点位分布分析、机牌号统计分析、抓拍结果分析、抓拍时间分布分析、多次抓拍统计分析、归属地分析、车辆类型分布分析）、黑烟车点位画像等。</w:t>
            </w:r>
          </w:p>
          <w:p w14:paraId="742B96DB">
            <w:pPr>
              <w:pStyle w:val="2"/>
              <w:spacing w:line="400" w:lineRule="exact"/>
              <w:ind w:firstLine="420"/>
              <w:rPr>
                <w:rFonts w:hint="eastAsia" w:ascii="宋体" w:hAnsi="宋体" w:cs="宋体"/>
                <w:sz w:val="21"/>
                <w:szCs w:val="21"/>
              </w:rPr>
            </w:pPr>
            <w:r>
              <w:rPr>
                <w:rFonts w:ascii="宋体" w:hAnsi="宋体" w:cs="宋体"/>
                <w:sz w:val="21"/>
                <w:szCs w:val="21"/>
              </w:rPr>
              <w:t>3.I/M业务综合数据管理模块</w:t>
            </w:r>
          </w:p>
          <w:p w14:paraId="78ADD1A3">
            <w:pPr>
              <w:pStyle w:val="2"/>
              <w:spacing w:line="400" w:lineRule="exact"/>
              <w:ind w:firstLine="420"/>
              <w:rPr>
                <w:rFonts w:hint="eastAsia" w:ascii="宋体" w:hAnsi="宋体" w:cs="宋体"/>
                <w:sz w:val="21"/>
                <w:szCs w:val="21"/>
              </w:rPr>
            </w:pPr>
            <w:r>
              <w:rPr>
                <w:rFonts w:ascii="宋体" w:hAnsi="宋体" w:cs="宋体"/>
                <w:sz w:val="21"/>
                <w:szCs w:val="21"/>
              </w:rPr>
              <w:t>（1）I/M地市数据交换</w:t>
            </w:r>
            <w:r>
              <w:rPr>
                <w:rFonts w:hint="eastAsia" w:ascii="宋体" w:hAnsi="宋体" w:cs="宋体"/>
                <w:sz w:val="21"/>
                <w:szCs w:val="21"/>
              </w:rPr>
              <w:t>：与14个市的系统实现数据共享交换。</w:t>
            </w:r>
          </w:p>
          <w:p w14:paraId="697D2865">
            <w:pPr>
              <w:pStyle w:val="2"/>
              <w:spacing w:line="400" w:lineRule="exact"/>
              <w:ind w:firstLine="420"/>
              <w:rPr>
                <w:rFonts w:hint="eastAsia" w:ascii="宋体" w:hAnsi="宋体" w:cs="宋体"/>
                <w:sz w:val="21"/>
                <w:szCs w:val="21"/>
              </w:rPr>
            </w:pPr>
            <w:r>
              <w:rPr>
                <w:rFonts w:ascii="宋体" w:hAnsi="宋体" w:cs="宋体"/>
                <w:sz w:val="21"/>
                <w:szCs w:val="21"/>
              </w:rPr>
              <w:t>（2）I/M信息查询</w:t>
            </w:r>
            <w:r>
              <w:rPr>
                <w:rFonts w:hint="eastAsia" w:ascii="宋体" w:hAnsi="宋体" w:cs="宋体"/>
                <w:sz w:val="21"/>
                <w:szCs w:val="21"/>
              </w:rPr>
              <w:t>：可以查看车辆检测/维修IM全过程信息，主要包括车辆车牌号码、车架号、维修故障描述、维修企业名称、车辆维修结果、车辆复检结果、复检时间、复检检验机构名称等信息。</w:t>
            </w:r>
          </w:p>
          <w:p w14:paraId="15624E82">
            <w:pPr>
              <w:pStyle w:val="2"/>
              <w:spacing w:line="400" w:lineRule="exact"/>
              <w:ind w:firstLine="420"/>
              <w:rPr>
                <w:rFonts w:hint="eastAsia" w:ascii="宋体" w:hAnsi="宋体" w:cs="宋体"/>
                <w:sz w:val="21"/>
                <w:szCs w:val="21"/>
              </w:rPr>
            </w:pPr>
            <w:r>
              <w:rPr>
                <w:rFonts w:ascii="宋体" w:hAnsi="宋体" w:cs="宋体"/>
                <w:sz w:val="21"/>
                <w:szCs w:val="21"/>
              </w:rPr>
              <w:t>（3）机动车维修治理档案：I/M站点基本信息、M站分布、车辆检测信息、车辆维修信息、超标车辆展示、维修情况、检测复检前获取维修信息、尾气治理前获取检测信息等。</w:t>
            </w:r>
          </w:p>
          <w:p w14:paraId="7F11B387">
            <w:pPr>
              <w:pStyle w:val="2"/>
              <w:spacing w:line="400" w:lineRule="exact"/>
              <w:ind w:firstLine="420"/>
              <w:rPr>
                <w:rFonts w:hint="eastAsia" w:ascii="宋体" w:hAnsi="宋体" w:cs="宋体"/>
                <w:sz w:val="21"/>
                <w:szCs w:val="21"/>
              </w:rPr>
            </w:pPr>
            <w:r>
              <w:rPr>
                <w:rFonts w:ascii="宋体" w:hAnsi="宋体" w:cs="宋体"/>
                <w:sz w:val="21"/>
                <w:szCs w:val="21"/>
              </w:rPr>
              <w:t>（4）治理统计分析：维修车辆统计、维修项目统计、M站合格率统计、维修治理车辆数量统计、维修治理车辆复检合格率统计、高排放车辆统计分析、违规治理智能分析、站点规划决策分析等。</w:t>
            </w:r>
          </w:p>
          <w:p w14:paraId="0FFFCEBA">
            <w:pPr>
              <w:pStyle w:val="2"/>
              <w:spacing w:line="400" w:lineRule="exact"/>
              <w:ind w:firstLine="420"/>
              <w:rPr>
                <w:rFonts w:hint="eastAsia" w:ascii="宋体" w:hAnsi="宋体" w:cs="宋体"/>
                <w:sz w:val="21"/>
                <w:szCs w:val="21"/>
              </w:rPr>
            </w:pPr>
            <w:r>
              <w:rPr>
                <w:rFonts w:ascii="宋体" w:hAnsi="宋体" w:cs="宋体"/>
                <w:sz w:val="21"/>
                <w:szCs w:val="21"/>
              </w:rPr>
              <w:t>（5）维修治理机构画像</w:t>
            </w:r>
            <w:r>
              <w:rPr>
                <w:rFonts w:hint="eastAsia" w:ascii="宋体" w:hAnsi="宋体" w:cs="宋体"/>
                <w:sz w:val="21"/>
                <w:szCs w:val="21"/>
              </w:rPr>
              <w:t>：调用画像模型，整合维修机构的维修数据、维修车辆信息、维修报告等相关业务信息，构建维修机构画像。对M站修理车辆、修理时长、所修车辆复检次数等进行分析，判断M站特征</w:t>
            </w:r>
            <w:r>
              <w:rPr>
                <w:rFonts w:ascii="宋体" w:hAnsi="宋体" w:cs="宋体"/>
                <w:sz w:val="21"/>
                <w:szCs w:val="21"/>
              </w:rPr>
              <w:t>。</w:t>
            </w:r>
          </w:p>
          <w:p w14:paraId="4E03D7D3">
            <w:pPr>
              <w:pStyle w:val="2"/>
              <w:spacing w:line="400" w:lineRule="exact"/>
              <w:ind w:firstLine="420"/>
              <w:rPr>
                <w:rFonts w:hint="eastAsia" w:ascii="宋体" w:hAnsi="宋体" w:cs="宋体"/>
                <w:sz w:val="21"/>
                <w:szCs w:val="21"/>
              </w:rPr>
            </w:pPr>
            <w:r>
              <w:rPr>
                <w:rFonts w:ascii="宋体" w:hAnsi="宋体" w:cs="宋体"/>
                <w:sz w:val="21"/>
                <w:szCs w:val="21"/>
              </w:rPr>
              <w:t>4.非道路移动机械监控</w:t>
            </w:r>
          </w:p>
          <w:p w14:paraId="2FF0E5DE">
            <w:pPr>
              <w:pStyle w:val="2"/>
              <w:spacing w:line="400" w:lineRule="exact"/>
              <w:ind w:firstLine="420"/>
              <w:rPr>
                <w:rFonts w:hint="eastAsia" w:ascii="宋体" w:hAnsi="宋体" w:cs="宋体"/>
                <w:sz w:val="21"/>
                <w:szCs w:val="21"/>
              </w:rPr>
            </w:pPr>
            <w:r>
              <w:rPr>
                <w:rFonts w:ascii="宋体" w:hAnsi="宋体" w:cs="宋体"/>
                <w:sz w:val="21"/>
                <w:szCs w:val="21"/>
              </w:rPr>
              <w:t>包括非道路移动机械保有量分析、非道路移动机械抽查档案、检测数据查看、检测数据分析、非道路移动机械台账管理、重点监管名单管理、工地台账。</w:t>
            </w:r>
          </w:p>
          <w:p w14:paraId="43ED8BD4">
            <w:pPr>
              <w:pStyle w:val="2"/>
              <w:spacing w:line="400" w:lineRule="exact"/>
              <w:ind w:firstLine="420"/>
              <w:rPr>
                <w:rFonts w:hint="eastAsia" w:ascii="宋体" w:hAnsi="宋体" w:cs="宋体"/>
                <w:sz w:val="21"/>
                <w:szCs w:val="21"/>
              </w:rPr>
            </w:pPr>
            <w:r>
              <w:rPr>
                <w:rFonts w:ascii="宋体" w:hAnsi="宋体" w:cs="宋体"/>
                <w:sz w:val="21"/>
                <w:szCs w:val="21"/>
              </w:rPr>
              <w:t>5.路检路查模块</w:t>
            </w:r>
          </w:p>
          <w:p w14:paraId="1E327147">
            <w:pPr>
              <w:pStyle w:val="2"/>
              <w:spacing w:line="400" w:lineRule="exact"/>
              <w:ind w:firstLine="420"/>
              <w:rPr>
                <w:rFonts w:hint="eastAsia" w:ascii="宋体" w:hAnsi="宋体" w:cs="宋体"/>
                <w:sz w:val="21"/>
                <w:szCs w:val="21"/>
              </w:rPr>
            </w:pPr>
            <w:r>
              <w:rPr>
                <w:rFonts w:ascii="宋体" w:hAnsi="宋体" w:cs="宋体"/>
                <w:sz w:val="21"/>
                <w:szCs w:val="21"/>
              </w:rPr>
              <w:t>（1）基础信息管理：非道路移动机械基础信息、用车大户基础信息、柴油车基础信息、加油站基础信息等打通。</w:t>
            </w:r>
          </w:p>
          <w:p w14:paraId="53CBB0D7">
            <w:pPr>
              <w:pStyle w:val="2"/>
              <w:spacing w:line="400" w:lineRule="exact"/>
              <w:ind w:firstLine="420"/>
              <w:rPr>
                <w:rFonts w:hint="eastAsia" w:ascii="宋体" w:hAnsi="宋体" w:cs="宋体"/>
                <w:sz w:val="21"/>
                <w:szCs w:val="21"/>
              </w:rPr>
            </w:pPr>
            <w:r>
              <w:rPr>
                <w:rFonts w:ascii="宋体" w:hAnsi="宋体" w:cs="宋体"/>
                <w:sz w:val="21"/>
                <w:szCs w:val="21"/>
              </w:rPr>
              <w:t>（2）不合格车辆跟踪</w:t>
            </w:r>
            <w:r>
              <w:rPr>
                <w:rFonts w:hint="eastAsia" w:ascii="宋体" w:hAnsi="宋体" w:cs="宋体"/>
                <w:sz w:val="21"/>
                <w:szCs w:val="21"/>
              </w:rPr>
              <w:t>：支持关联分析遥感、黑烟车抓拍、路检超标车辆的抽检、年检信息，查看复检闭环情况。</w:t>
            </w:r>
          </w:p>
          <w:p w14:paraId="068E0F40">
            <w:pPr>
              <w:pStyle w:val="2"/>
              <w:spacing w:line="400" w:lineRule="exact"/>
              <w:ind w:firstLine="420"/>
              <w:rPr>
                <w:rFonts w:hint="eastAsia" w:ascii="宋体" w:hAnsi="宋体" w:cs="宋体"/>
                <w:sz w:val="21"/>
                <w:szCs w:val="21"/>
              </w:rPr>
            </w:pPr>
            <w:r>
              <w:rPr>
                <w:rFonts w:ascii="宋体" w:hAnsi="宋体" w:cs="宋体"/>
                <w:sz w:val="21"/>
                <w:szCs w:val="21"/>
              </w:rPr>
              <w:t>（3）机动车路检路查档案管理</w:t>
            </w:r>
            <w:r>
              <w:rPr>
                <w:rFonts w:hint="eastAsia" w:ascii="宋体" w:hAnsi="宋体" w:cs="宋体"/>
                <w:sz w:val="21"/>
                <w:szCs w:val="21"/>
              </w:rPr>
              <w:t>：形成路检路查检测报告、检测情况的档案，符合监测规范要求。支持调阅与查询。</w:t>
            </w:r>
          </w:p>
          <w:p w14:paraId="7AE9A54C">
            <w:pPr>
              <w:pStyle w:val="2"/>
              <w:spacing w:line="400" w:lineRule="exact"/>
              <w:ind w:firstLine="420"/>
              <w:rPr>
                <w:rFonts w:hint="eastAsia" w:ascii="宋体" w:hAnsi="宋体" w:cs="宋体"/>
                <w:sz w:val="21"/>
                <w:szCs w:val="21"/>
              </w:rPr>
            </w:pPr>
            <w:r>
              <w:rPr>
                <w:rFonts w:ascii="宋体" w:hAnsi="宋体" w:cs="宋体"/>
                <w:sz w:val="21"/>
                <w:szCs w:val="21"/>
              </w:rPr>
              <w:t>（4）路检路查统计分析：路检点位运行情况分析、辖区数据对比分析、通过率统、车辆排放水平分析、超标率分析、统计分析报表等。</w:t>
            </w:r>
          </w:p>
          <w:p w14:paraId="1BEBDCE4">
            <w:pPr>
              <w:pStyle w:val="2"/>
              <w:spacing w:line="400" w:lineRule="exact"/>
              <w:ind w:firstLine="420"/>
              <w:rPr>
                <w:rFonts w:hint="eastAsia" w:ascii="宋体" w:hAnsi="宋体" w:cs="宋体"/>
                <w:sz w:val="21"/>
                <w:szCs w:val="21"/>
              </w:rPr>
            </w:pPr>
            <w:r>
              <w:rPr>
                <w:rFonts w:ascii="宋体" w:hAnsi="宋体" w:cs="宋体"/>
                <w:sz w:val="21"/>
                <w:szCs w:val="21"/>
              </w:rPr>
              <w:t>（5）路检路查点位画像</w:t>
            </w:r>
            <w:r>
              <w:rPr>
                <w:rFonts w:hint="eastAsia" w:ascii="宋体" w:hAnsi="宋体" w:cs="宋体"/>
                <w:sz w:val="21"/>
                <w:szCs w:val="21"/>
              </w:rPr>
              <w:t>：调用画像模型，整合路检路查点位的监测数据、车辆基本信息档案、路检路查（含入户）抽查记录等相关业务信息，构建路检点位画像。</w:t>
            </w:r>
          </w:p>
          <w:p w14:paraId="4EE78624">
            <w:pPr>
              <w:pStyle w:val="2"/>
              <w:spacing w:line="400" w:lineRule="exact"/>
              <w:ind w:firstLine="420"/>
              <w:rPr>
                <w:rFonts w:hint="eastAsia" w:ascii="宋体" w:hAnsi="宋体" w:cs="宋体"/>
                <w:sz w:val="21"/>
                <w:szCs w:val="21"/>
              </w:rPr>
            </w:pPr>
            <w:r>
              <w:rPr>
                <w:rFonts w:ascii="宋体" w:hAnsi="宋体" w:cs="宋体"/>
                <w:sz w:val="21"/>
                <w:szCs w:val="21"/>
              </w:rPr>
              <w:t>6.船舶黑烟抓拍管理模块</w:t>
            </w:r>
          </w:p>
          <w:p w14:paraId="774C8076">
            <w:pPr>
              <w:pStyle w:val="2"/>
              <w:spacing w:line="400" w:lineRule="exact"/>
              <w:ind w:firstLine="420"/>
              <w:rPr>
                <w:rFonts w:hint="eastAsia" w:ascii="宋体" w:hAnsi="宋体" w:cs="宋体"/>
                <w:sz w:val="21"/>
                <w:szCs w:val="21"/>
              </w:rPr>
            </w:pPr>
            <w:r>
              <w:rPr>
                <w:rFonts w:ascii="宋体" w:hAnsi="宋体" w:cs="宋体"/>
                <w:sz w:val="21"/>
                <w:szCs w:val="21"/>
              </w:rPr>
              <w:t>（1）抓拍概览。抓拍概览展示各个点位上的黑烟船抓拍数据情况。</w:t>
            </w:r>
          </w:p>
          <w:p w14:paraId="40A62400">
            <w:pPr>
              <w:pStyle w:val="2"/>
              <w:spacing w:line="400" w:lineRule="exact"/>
              <w:ind w:firstLine="420"/>
              <w:rPr>
                <w:rFonts w:hint="eastAsia" w:ascii="宋体" w:hAnsi="宋体" w:cs="宋体"/>
                <w:sz w:val="21"/>
                <w:szCs w:val="21"/>
              </w:rPr>
            </w:pPr>
            <w:r>
              <w:rPr>
                <w:rFonts w:ascii="宋体" w:hAnsi="宋体" w:cs="宋体"/>
                <w:sz w:val="21"/>
                <w:szCs w:val="21"/>
              </w:rPr>
              <w:t>（2）消息提醒。对抓拍点位的预警预报信息（数据缺失信息、点位在线离线状态）实时推送。</w:t>
            </w:r>
          </w:p>
          <w:p w14:paraId="1423547D">
            <w:pPr>
              <w:pStyle w:val="2"/>
              <w:spacing w:line="400" w:lineRule="exact"/>
              <w:ind w:firstLine="420"/>
              <w:rPr>
                <w:rFonts w:hint="eastAsia" w:ascii="宋体" w:hAnsi="宋体" w:cs="宋体"/>
                <w:sz w:val="21"/>
                <w:szCs w:val="21"/>
              </w:rPr>
            </w:pPr>
            <w:r>
              <w:rPr>
                <w:rFonts w:ascii="宋体" w:hAnsi="宋体" w:cs="宋体"/>
                <w:sz w:val="21"/>
                <w:szCs w:val="21"/>
              </w:rPr>
              <w:t>（3）视频监控</w:t>
            </w:r>
            <w:r>
              <w:rPr>
                <w:rFonts w:hint="eastAsia" w:ascii="宋体" w:hAnsi="宋体" w:cs="宋体"/>
                <w:sz w:val="21"/>
                <w:szCs w:val="21"/>
              </w:rPr>
              <w:t>：用户可以查看摄像机的实时视频，也可以调用NVR上存储的视频录像。</w:t>
            </w:r>
          </w:p>
          <w:p w14:paraId="4C316C5B">
            <w:pPr>
              <w:pStyle w:val="2"/>
              <w:spacing w:line="400" w:lineRule="exact"/>
              <w:ind w:firstLine="420"/>
              <w:rPr>
                <w:rFonts w:hint="eastAsia" w:ascii="宋体" w:hAnsi="宋体" w:cs="宋体"/>
                <w:sz w:val="21"/>
                <w:szCs w:val="21"/>
              </w:rPr>
            </w:pPr>
            <w:r>
              <w:rPr>
                <w:rFonts w:ascii="宋体" w:hAnsi="宋体" w:cs="宋体"/>
                <w:sz w:val="21"/>
                <w:szCs w:val="21"/>
              </w:rPr>
              <w:t>（4）证据链管理。生成证据链并可下载。</w:t>
            </w:r>
          </w:p>
          <w:p w14:paraId="04FF8592">
            <w:pPr>
              <w:pStyle w:val="2"/>
              <w:spacing w:line="400" w:lineRule="exact"/>
              <w:ind w:firstLine="420"/>
              <w:rPr>
                <w:rFonts w:hint="eastAsia" w:ascii="宋体" w:hAnsi="宋体" w:cs="宋体"/>
                <w:sz w:val="21"/>
                <w:szCs w:val="21"/>
              </w:rPr>
            </w:pPr>
            <w:r>
              <w:rPr>
                <w:rFonts w:ascii="宋体" w:hAnsi="宋体" w:cs="宋体"/>
                <w:sz w:val="21"/>
                <w:szCs w:val="21"/>
              </w:rPr>
              <w:t>（5）抓拍审核。系统可实现黑烟船证据链的多级审核。</w:t>
            </w:r>
          </w:p>
          <w:p w14:paraId="4E7D926C">
            <w:pPr>
              <w:pStyle w:val="2"/>
              <w:spacing w:line="400" w:lineRule="exact"/>
              <w:ind w:firstLine="420"/>
              <w:rPr>
                <w:rFonts w:hint="eastAsia" w:ascii="宋体" w:hAnsi="宋体" w:cs="宋体"/>
                <w:sz w:val="21"/>
                <w:szCs w:val="21"/>
              </w:rPr>
            </w:pPr>
            <w:r>
              <w:rPr>
                <w:rFonts w:ascii="宋体" w:hAnsi="宋体" w:cs="宋体"/>
                <w:sz w:val="21"/>
                <w:szCs w:val="21"/>
              </w:rPr>
              <w:t>（6）数据查询</w:t>
            </w:r>
            <w:r>
              <w:rPr>
                <w:rFonts w:hint="eastAsia" w:ascii="宋体" w:hAnsi="宋体" w:cs="宋体"/>
                <w:sz w:val="21"/>
                <w:szCs w:val="21"/>
              </w:rPr>
              <w:t>：可以用抓拍时间、抓拍点位、抓拍结果等组合查询条件查询黑烟船抓拍信息。</w:t>
            </w:r>
          </w:p>
          <w:p w14:paraId="46AB0DFF">
            <w:pPr>
              <w:pStyle w:val="2"/>
              <w:spacing w:line="400" w:lineRule="exact"/>
              <w:ind w:firstLine="420"/>
              <w:rPr>
                <w:rFonts w:hint="eastAsia" w:ascii="宋体" w:hAnsi="宋体" w:cs="宋体"/>
                <w:sz w:val="21"/>
                <w:szCs w:val="21"/>
              </w:rPr>
            </w:pPr>
            <w:r>
              <w:rPr>
                <w:rFonts w:ascii="宋体" w:hAnsi="宋体" w:cs="宋体"/>
                <w:sz w:val="21"/>
                <w:szCs w:val="21"/>
              </w:rPr>
              <w:t>（7）统计分析。分析结果可采用图形或表格形式展示，并可打印。</w:t>
            </w:r>
          </w:p>
          <w:p w14:paraId="2FE510E4">
            <w:pPr>
              <w:pStyle w:val="2"/>
              <w:spacing w:line="400" w:lineRule="exact"/>
              <w:ind w:firstLine="420"/>
              <w:rPr>
                <w:rFonts w:hint="eastAsia" w:ascii="宋体" w:hAnsi="宋体" w:cs="宋体"/>
                <w:sz w:val="21"/>
                <w:szCs w:val="21"/>
              </w:rPr>
            </w:pPr>
            <w:r>
              <w:rPr>
                <w:rFonts w:ascii="宋体" w:hAnsi="宋体" w:cs="宋体"/>
                <w:sz w:val="21"/>
                <w:szCs w:val="21"/>
              </w:rPr>
              <w:t>（8）点位监控。对黑烟船抓拍仪的工作状态进行监控。</w:t>
            </w:r>
          </w:p>
          <w:p w14:paraId="40518986">
            <w:pPr>
              <w:pStyle w:val="2"/>
              <w:spacing w:line="400" w:lineRule="exact"/>
              <w:ind w:firstLine="420"/>
              <w:rPr>
                <w:rFonts w:hint="eastAsia" w:ascii="宋体" w:hAnsi="宋体" w:cs="宋体"/>
                <w:sz w:val="21"/>
                <w:szCs w:val="21"/>
              </w:rPr>
            </w:pPr>
            <w:r>
              <w:rPr>
                <w:rFonts w:ascii="宋体" w:hAnsi="宋体" w:cs="宋体"/>
                <w:sz w:val="21"/>
                <w:szCs w:val="21"/>
              </w:rPr>
              <w:t>（9）与AIS系统的对接。与当地海事部门的船舶自动识别系统（AIS）系统对接。</w:t>
            </w:r>
          </w:p>
          <w:p w14:paraId="75433AD9">
            <w:pPr>
              <w:pStyle w:val="2"/>
              <w:spacing w:line="400" w:lineRule="exact"/>
              <w:ind w:firstLine="420"/>
              <w:rPr>
                <w:rFonts w:hint="eastAsia" w:ascii="宋体" w:hAnsi="宋体" w:cs="宋体"/>
                <w:sz w:val="21"/>
                <w:szCs w:val="21"/>
              </w:rPr>
            </w:pPr>
            <w:r>
              <w:rPr>
                <w:rFonts w:ascii="宋体" w:hAnsi="宋体" w:cs="宋体"/>
                <w:sz w:val="21"/>
                <w:szCs w:val="21"/>
              </w:rPr>
              <w:t>7.船舶环境空气质量监测模块</w:t>
            </w:r>
          </w:p>
          <w:p w14:paraId="6F414482">
            <w:pPr>
              <w:pStyle w:val="2"/>
              <w:spacing w:line="400" w:lineRule="exact"/>
              <w:ind w:firstLine="420"/>
              <w:rPr>
                <w:rFonts w:hint="eastAsia" w:ascii="宋体" w:hAnsi="宋体" w:cs="宋体"/>
                <w:sz w:val="21"/>
                <w:szCs w:val="21"/>
              </w:rPr>
            </w:pPr>
            <w:r>
              <w:rPr>
                <w:rFonts w:ascii="宋体" w:hAnsi="宋体" w:cs="宋体"/>
                <w:sz w:val="21"/>
                <w:szCs w:val="21"/>
              </w:rPr>
              <w:t>（1）数据采集。系统自动采集港口环境空气质量自动监测站的数据。</w:t>
            </w:r>
          </w:p>
          <w:p w14:paraId="531B8193">
            <w:pPr>
              <w:pStyle w:val="2"/>
              <w:spacing w:line="400" w:lineRule="exact"/>
              <w:ind w:firstLine="420"/>
              <w:rPr>
                <w:rFonts w:hint="eastAsia" w:ascii="宋体" w:hAnsi="宋体" w:cs="宋体"/>
                <w:sz w:val="21"/>
                <w:szCs w:val="21"/>
              </w:rPr>
            </w:pPr>
            <w:r>
              <w:rPr>
                <w:rFonts w:ascii="宋体" w:hAnsi="宋体" w:cs="宋体"/>
                <w:sz w:val="21"/>
                <w:szCs w:val="21"/>
              </w:rPr>
              <w:t>（2）综合看板。综合展示所关注监测点在某个时间段内的空气质量状况及设备运行的总览情况。</w:t>
            </w:r>
          </w:p>
          <w:p w14:paraId="3D320B3C">
            <w:pPr>
              <w:pStyle w:val="2"/>
              <w:spacing w:line="400" w:lineRule="exact"/>
              <w:ind w:firstLine="420"/>
              <w:rPr>
                <w:rFonts w:hint="eastAsia" w:ascii="宋体" w:hAnsi="宋体" w:cs="宋体"/>
                <w:sz w:val="21"/>
                <w:szCs w:val="21"/>
              </w:rPr>
            </w:pPr>
            <w:r>
              <w:rPr>
                <w:rFonts w:ascii="宋体" w:hAnsi="宋体" w:cs="宋体"/>
                <w:sz w:val="21"/>
                <w:szCs w:val="21"/>
              </w:rPr>
              <w:t>（3）实时监测</w:t>
            </w:r>
          </w:p>
          <w:p w14:paraId="09E2E656">
            <w:pPr>
              <w:pStyle w:val="2"/>
              <w:spacing w:line="400" w:lineRule="exact"/>
              <w:ind w:firstLine="420"/>
              <w:rPr>
                <w:rFonts w:hint="eastAsia" w:ascii="宋体" w:hAnsi="宋体" w:cs="宋体"/>
                <w:sz w:val="21"/>
                <w:szCs w:val="21"/>
              </w:rPr>
            </w:pPr>
            <w:r>
              <w:rPr>
                <w:rFonts w:ascii="宋体" w:hAnsi="宋体" w:cs="宋体"/>
                <w:sz w:val="21"/>
                <w:szCs w:val="21"/>
              </w:rPr>
              <w:t>包括实时一览（以实时一览表的形式集中监控所有自动监测站的联网状况、最新监测数据及数据状态）和地图监测展示（展示所有自动站的点位分布、联网状况、运行状态、最新监测数据及数据状态、监控详情等）。</w:t>
            </w:r>
          </w:p>
          <w:p w14:paraId="1FEDFD0D">
            <w:pPr>
              <w:pStyle w:val="2"/>
              <w:spacing w:line="400" w:lineRule="exact"/>
              <w:ind w:firstLine="420"/>
              <w:rPr>
                <w:rFonts w:hint="eastAsia" w:ascii="宋体" w:hAnsi="宋体" w:cs="宋体"/>
                <w:sz w:val="21"/>
                <w:szCs w:val="21"/>
              </w:rPr>
            </w:pPr>
            <w:r>
              <w:rPr>
                <w:rFonts w:ascii="宋体" w:hAnsi="宋体" w:cs="宋体"/>
                <w:sz w:val="21"/>
                <w:szCs w:val="21"/>
              </w:rPr>
              <w:t>（4）数据处理。数据审核、数据补遗等。</w:t>
            </w:r>
          </w:p>
          <w:p w14:paraId="2F7BEB2A">
            <w:pPr>
              <w:pStyle w:val="2"/>
              <w:spacing w:line="400" w:lineRule="exact"/>
              <w:ind w:firstLine="420"/>
              <w:rPr>
                <w:rFonts w:hint="eastAsia" w:ascii="宋体" w:hAnsi="宋体" w:cs="宋体"/>
                <w:sz w:val="21"/>
                <w:szCs w:val="21"/>
              </w:rPr>
            </w:pPr>
            <w:r>
              <w:rPr>
                <w:rFonts w:ascii="宋体" w:hAnsi="宋体" w:cs="宋体"/>
                <w:sz w:val="21"/>
                <w:szCs w:val="21"/>
              </w:rPr>
              <w:t>（5）报警管理。实时报警、报警查询、报警统计等。</w:t>
            </w:r>
          </w:p>
          <w:p w14:paraId="57352183">
            <w:pPr>
              <w:pStyle w:val="2"/>
              <w:spacing w:line="400" w:lineRule="exact"/>
              <w:ind w:firstLine="420"/>
              <w:rPr>
                <w:rFonts w:hint="eastAsia" w:ascii="宋体" w:hAnsi="宋体" w:cs="宋体"/>
                <w:sz w:val="21"/>
                <w:szCs w:val="21"/>
              </w:rPr>
            </w:pPr>
            <w:r>
              <w:rPr>
                <w:rFonts w:ascii="宋体" w:hAnsi="宋体" w:cs="宋体"/>
                <w:sz w:val="21"/>
                <w:szCs w:val="21"/>
              </w:rPr>
              <w:t>（6</w:t>
            </w:r>
            <w:r>
              <w:rPr>
                <w:rFonts w:hint="eastAsia" w:ascii="宋体" w:hAnsi="宋体" w:cs="宋体"/>
                <w:sz w:val="21"/>
                <w:szCs w:val="21"/>
              </w:rPr>
              <w:t>）</w:t>
            </w:r>
            <w:r>
              <w:rPr>
                <w:rFonts w:ascii="宋体" w:hAnsi="宋体" w:cs="宋体"/>
                <w:sz w:val="21"/>
                <w:szCs w:val="21"/>
              </w:rPr>
              <w:t>数据查询</w:t>
            </w:r>
            <w:r>
              <w:rPr>
                <w:rFonts w:hint="eastAsia" w:ascii="宋体" w:hAnsi="宋体" w:cs="宋体"/>
                <w:sz w:val="21"/>
                <w:szCs w:val="21"/>
              </w:rPr>
              <w:t>：按站点、数据类型（原始数据、有效数据、日均值数据）、时间段查询自动监测站点的历史监测数据，查询结果以表格的方式展示，也可通过折线图展示单个站点多个因子的历史变化趋势；同时可导出为Excel文件</w:t>
            </w:r>
            <w:r>
              <w:rPr>
                <w:rFonts w:ascii="宋体" w:hAnsi="宋体" w:cs="宋体"/>
                <w:sz w:val="21"/>
                <w:szCs w:val="21"/>
              </w:rPr>
              <w:t>。</w:t>
            </w:r>
          </w:p>
          <w:p w14:paraId="20EF9810">
            <w:pPr>
              <w:pStyle w:val="2"/>
              <w:spacing w:line="400" w:lineRule="exact"/>
              <w:ind w:firstLine="420"/>
              <w:rPr>
                <w:rFonts w:hint="eastAsia" w:ascii="宋体" w:hAnsi="宋体" w:cs="宋体"/>
                <w:sz w:val="21"/>
                <w:szCs w:val="21"/>
              </w:rPr>
            </w:pPr>
            <w:r>
              <w:rPr>
                <w:rFonts w:ascii="宋体" w:hAnsi="宋体" w:cs="宋体"/>
                <w:sz w:val="21"/>
                <w:szCs w:val="21"/>
              </w:rPr>
              <w:t>数据分析。实时污染分析、实时污染排名、空气质量污染预警提醒、实时数据排名统计、小时数据排名统计、自定义统计报表等。</w:t>
            </w:r>
          </w:p>
          <w:p w14:paraId="3FD4A430">
            <w:pPr>
              <w:pStyle w:val="2"/>
              <w:spacing w:line="400" w:lineRule="exact"/>
              <w:ind w:firstLine="420"/>
              <w:rPr>
                <w:rFonts w:hint="eastAsia" w:ascii="宋体" w:hAnsi="宋体" w:cs="宋体"/>
                <w:sz w:val="21"/>
                <w:szCs w:val="21"/>
              </w:rPr>
            </w:pPr>
            <w:r>
              <w:rPr>
                <w:rFonts w:ascii="宋体" w:hAnsi="宋体" w:cs="宋体"/>
                <w:sz w:val="21"/>
                <w:szCs w:val="21"/>
              </w:rPr>
              <w:t>8.油品储运销环节油气回收监测模块</w:t>
            </w:r>
          </w:p>
          <w:p w14:paraId="5571CB0B">
            <w:pPr>
              <w:pStyle w:val="2"/>
              <w:spacing w:line="400" w:lineRule="exact"/>
              <w:ind w:firstLine="420"/>
              <w:rPr>
                <w:rFonts w:hint="eastAsia" w:ascii="宋体" w:hAnsi="宋体" w:cs="宋体"/>
                <w:sz w:val="21"/>
                <w:szCs w:val="21"/>
              </w:rPr>
            </w:pPr>
            <w:r>
              <w:rPr>
                <w:rFonts w:ascii="宋体" w:hAnsi="宋体" w:cs="宋体"/>
                <w:sz w:val="21"/>
                <w:szCs w:val="21"/>
              </w:rPr>
              <w:t>（1）系统总览。主要包括企业基础信息专题、油气在线数据专题、监管风险等级专题、监督检查行动专题。</w:t>
            </w:r>
          </w:p>
          <w:p w14:paraId="4151033A">
            <w:pPr>
              <w:pStyle w:val="2"/>
              <w:spacing w:line="400" w:lineRule="exact"/>
              <w:ind w:firstLine="420"/>
              <w:rPr>
                <w:rFonts w:hint="eastAsia" w:ascii="宋体" w:hAnsi="宋体" w:cs="宋体"/>
                <w:sz w:val="21"/>
                <w:szCs w:val="21"/>
              </w:rPr>
            </w:pPr>
            <w:r>
              <w:rPr>
                <w:rFonts w:ascii="宋体" w:hAnsi="宋体" w:cs="宋体"/>
                <w:sz w:val="21"/>
                <w:szCs w:val="21"/>
              </w:rPr>
              <w:t>（2）实时监控。加油站点的全面定位展示、实时监测数据、工作状态数据、预报预警数据、联网数据。</w:t>
            </w:r>
          </w:p>
          <w:p w14:paraId="32C0FCB1">
            <w:pPr>
              <w:pStyle w:val="2"/>
              <w:spacing w:line="400" w:lineRule="exact"/>
              <w:ind w:firstLine="420"/>
              <w:rPr>
                <w:rFonts w:hint="eastAsia" w:ascii="宋体" w:hAnsi="宋体" w:cs="宋体"/>
                <w:sz w:val="21"/>
                <w:szCs w:val="21"/>
              </w:rPr>
            </w:pPr>
            <w:r>
              <w:rPr>
                <w:rFonts w:ascii="宋体" w:hAnsi="宋体" w:cs="宋体"/>
                <w:sz w:val="21"/>
                <w:szCs w:val="21"/>
              </w:rPr>
              <w:t>（3）预警报警。气液比预警报警、油气回收系统密闭性预警、油气浓度监测预警。</w:t>
            </w:r>
          </w:p>
          <w:p w14:paraId="49AAE6B0">
            <w:pPr>
              <w:pStyle w:val="2"/>
              <w:spacing w:line="400" w:lineRule="exact"/>
              <w:ind w:firstLine="420"/>
              <w:rPr>
                <w:rFonts w:hint="eastAsia" w:ascii="宋体" w:hAnsi="宋体" w:cs="宋体"/>
                <w:sz w:val="21"/>
                <w:szCs w:val="21"/>
              </w:rPr>
            </w:pPr>
            <w:r>
              <w:rPr>
                <w:rFonts w:ascii="宋体" w:hAnsi="宋体" w:cs="宋体"/>
                <w:sz w:val="21"/>
                <w:szCs w:val="21"/>
              </w:rPr>
              <w:t>（4）监督检查管理。监督检查过程中的过程数据、检测报告、图片资料等录入到系统中，并上传到后台。对于不规范的录入数据，系统发出提示，要求规范录入。</w:t>
            </w:r>
          </w:p>
          <w:p w14:paraId="26EDB0B4">
            <w:pPr>
              <w:pStyle w:val="2"/>
              <w:spacing w:line="400" w:lineRule="exact"/>
              <w:ind w:firstLine="420"/>
              <w:rPr>
                <w:rFonts w:hint="eastAsia" w:ascii="宋体" w:hAnsi="宋体" w:cs="宋体"/>
                <w:sz w:val="21"/>
                <w:szCs w:val="21"/>
              </w:rPr>
            </w:pPr>
            <w:r>
              <w:rPr>
                <w:rFonts w:ascii="宋体" w:hAnsi="宋体" w:cs="宋体"/>
                <w:sz w:val="21"/>
                <w:szCs w:val="21"/>
              </w:rPr>
              <w:t>（5）查询统计。行政区域内加油站、储油库的数量及主要分布、监测数据及预报预警、报警通知数据、加油数据（加油量、回气量、气液比、流速等）、环境数据（油罐压力、油罐温度、管线压力、油气浓度）、监测点位信息、控制级别等信息）。</w:t>
            </w:r>
          </w:p>
          <w:p w14:paraId="1FBE1944">
            <w:pPr>
              <w:pStyle w:val="2"/>
              <w:spacing w:line="400" w:lineRule="exact"/>
              <w:ind w:firstLine="420"/>
              <w:rPr>
                <w:rFonts w:hint="eastAsia" w:ascii="宋体" w:hAnsi="宋体" w:cs="宋体"/>
                <w:sz w:val="21"/>
                <w:szCs w:val="21"/>
              </w:rPr>
            </w:pPr>
            <w:r>
              <w:rPr>
                <w:rFonts w:ascii="宋体" w:hAnsi="宋体" w:cs="宋体"/>
                <w:sz w:val="21"/>
                <w:szCs w:val="21"/>
              </w:rPr>
              <w:t>▲（四）移动源综合管控</w:t>
            </w:r>
          </w:p>
          <w:p w14:paraId="017C5CCF">
            <w:pPr>
              <w:pStyle w:val="2"/>
              <w:spacing w:line="400" w:lineRule="exact"/>
              <w:ind w:firstLine="420"/>
              <w:rPr>
                <w:rFonts w:hint="eastAsia" w:ascii="宋体" w:hAnsi="宋体" w:cs="宋体"/>
                <w:sz w:val="21"/>
                <w:szCs w:val="21"/>
              </w:rPr>
            </w:pPr>
            <w:r>
              <w:rPr>
                <w:rFonts w:ascii="宋体" w:hAnsi="宋体" w:cs="宋体"/>
                <w:sz w:val="21"/>
                <w:szCs w:val="21"/>
              </w:rPr>
              <w:t>1.机动车档案管理。（1）机动车信息生成。从机动车定期检验系统或公安交管部门，导入在本行政区注册或检验的机动车的详细信息。（2）机动车列表排序。（3）机动车信息查询。（4）机动车信息维护。（5）机动车动态跟踪。（6）机动车统计分析。</w:t>
            </w:r>
          </w:p>
          <w:p w14:paraId="75C2C6CF">
            <w:pPr>
              <w:pStyle w:val="2"/>
              <w:spacing w:line="400" w:lineRule="exact"/>
              <w:ind w:firstLine="420"/>
              <w:rPr>
                <w:rFonts w:hint="eastAsia" w:ascii="宋体" w:hAnsi="宋体" w:cs="宋体"/>
                <w:sz w:val="21"/>
                <w:szCs w:val="21"/>
              </w:rPr>
            </w:pPr>
            <w:r>
              <w:rPr>
                <w:rFonts w:ascii="宋体" w:hAnsi="宋体" w:cs="宋体"/>
                <w:sz w:val="21"/>
                <w:szCs w:val="21"/>
              </w:rPr>
              <w:t>2.重点监管车辆管理。包括重点监管车辆信息生成、重点监管车辆问题排序、重点监管车辆查询、重点监管车辆维护、重点监管车辆名单下发、重点监管车辆动态跟踪、重点监管车辆维修复检管理、重点监管车辆车厂溯源、重点监管车辆统计分析等。</w:t>
            </w:r>
          </w:p>
          <w:p w14:paraId="1EE5594C">
            <w:pPr>
              <w:pStyle w:val="2"/>
              <w:spacing w:line="400" w:lineRule="exact"/>
              <w:ind w:firstLine="420"/>
              <w:rPr>
                <w:rFonts w:hint="eastAsia" w:ascii="宋体" w:hAnsi="宋体" w:cs="宋体"/>
                <w:sz w:val="21"/>
                <w:szCs w:val="21"/>
              </w:rPr>
            </w:pPr>
            <w:r>
              <w:rPr>
                <w:rFonts w:ascii="宋体" w:hAnsi="宋体" w:cs="宋体"/>
                <w:sz w:val="21"/>
                <w:szCs w:val="21"/>
              </w:rPr>
              <w:t>3.智能情报研判。包括检测站情报研判、用车大户情报研判、监测点位情报研判、情报确认、情报统计分析等。</w:t>
            </w:r>
          </w:p>
          <w:p w14:paraId="76520D3B">
            <w:pPr>
              <w:pStyle w:val="2"/>
              <w:spacing w:line="400" w:lineRule="exact"/>
              <w:ind w:firstLine="420"/>
              <w:rPr>
                <w:rFonts w:hint="eastAsia" w:ascii="宋体" w:hAnsi="宋体" w:cs="宋体"/>
                <w:sz w:val="21"/>
                <w:szCs w:val="21"/>
              </w:rPr>
            </w:pPr>
            <w:r>
              <w:rPr>
                <w:rFonts w:ascii="宋体" w:hAnsi="宋体" w:cs="宋体"/>
                <w:sz w:val="21"/>
                <w:szCs w:val="21"/>
              </w:rPr>
              <w:t>4.行政处罚管理。行政处罚录入、行政处罚查询、行政处罚修改与删除等。</w:t>
            </w:r>
          </w:p>
          <w:p w14:paraId="06DC2007">
            <w:pPr>
              <w:pStyle w:val="2"/>
              <w:spacing w:line="400" w:lineRule="exact"/>
              <w:ind w:firstLine="420"/>
              <w:rPr>
                <w:rFonts w:hint="eastAsia" w:ascii="宋体" w:hAnsi="宋体" w:cs="宋体"/>
                <w:sz w:val="21"/>
                <w:szCs w:val="21"/>
              </w:rPr>
            </w:pPr>
            <w:r>
              <w:rPr>
                <w:rFonts w:ascii="宋体" w:hAnsi="宋体" w:cs="宋体"/>
                <w:sz w:val="21"/>
                <w:szCs w:val="21"/>
              </w:rPr>
              <w:t>5.监管任务管理。监管任务生成、监管任务分派、监管任务执行、监管任务表单管理、监管任务统计等。</w:t>
            </w:r>
          </w:p>
          <w:p w14:paraId="6B1B70A2">
            <w:pPr>
              <w:pStyle w:val="2"/>
              <w:spacing w:line="400" w:lineRule="exact"/>
              <w:ind w:firstLine="420"/>
              <w:rPr>
                <w:rFonts w:hint="eastAsia" w:ascii="宋体" w:hAnsi="宋体" w:cs="宋体"/>
                <w:sz w:val="21"/>
                <w:szCs w:val="21"/>
              </w:rPr>
            </w:pPr>
            <w:r>
              <w:rPr>
                <w:rFonts w:ascii="宋体" w:hAnsi="宋体" w:cs="宋体"/>
                <w:sz w:val="21"/>
                <w:szCs w:val="21"/>
              </w:rPr>
              <w:t>（6）用车大户管理。用车大户信息生成、用车大户问题排序、用车大户信息维护、用车大户车辆管理、用车大户非道路移动机械管理、排放超标车辆名单和管控策略下发、大宗货物清洁运输比例统计、用车大户查询、用车大户台账管理、维修台账管理、用车大户动态跟踪、用车大户统计分析等。</w:t>
            </w:r>
          </w:p>
          <w:p w14:paraId="49C5D789">
            <w:pPr>
              <w:pStyle w:val="2"/>
              <w:spacing w:line="400" w:lineRule="exact"/>
              <w:ind w:firstLine="420"/>
              <w:rPr>
                <w:rFonts w:hint="eastAsia" w:ascii="宋体" w:hAnsi="宋体" w:cs="宋体"/>
                <w:sz w:val="21"/>
                <w:szCs w:val="21"/>
              </w:rPr>
            </w:pPr>
            <w:r>
              <w:rPr>
                <w:rFonts w:ascii="宋体" w:hAnsi="宋体" w:cs="宋体"/>
                <w:sz w:val="21"/>
                <w:szCs w:val="21"/>
              </w:rPr>
              <w:t>（7）监管报告管理。</w:t>
            </w:r>
          </w:p>
          <w:p w14:paraId="461C927E">
            <w:pPr>
              <w:pStyle w:val="2"/>
              <w:spacing w:line="400" w:lineRule="exact"/>
              <w:ind w:firstLine="420"/>
              <w:rPr>
                <w:rFonts w:hint="eastAsia" w:ascii="宋体" w:hAnsi="宋体" w:cs="宋体"/>
                <w:sz w:val="21"/>
                <w:szCs w:val="21"/>
              </w:rPr>
            </w:pPr>
            <w:r>
              <w:rPr>
                <w:rFonts w:ascii="宋体" w:hAnsi="宋体" w:cs="宋体"/>
                <w:sz w:val="21"/>
                <w:szCs w:val="21"/>
              </w:rPr>
              <w:t>系统可以一键生成监管月报。监管月报以固定的模板生成，系统通过数据分析，自动关联相关的文字与数字，生成相关的图表，并以PDF或WORD格式导出。</w:t>
            </w:r>
          </w:p>
          <w:p w14:paraId="3E8A1FEB">
            <w:pPr>
              <w:pStyle w:val="2"/>
              <w:spacing w:line="400" w:lineRule="exact"/>
              <w:ind w:firstLine="420"/>
              <w:rPr>
                <w:rFonts w:hint="eastAsia" w:ascii="宋体" w:hAnsi="宋体" w:cs="宋体"/>
                <w:sz w:val="21"/>
                <w:szCs w:val="21"/>
              </w:rPr>
            </w:pPr>
            <w:r>
              <w:rPr>
                <w:rFonts w:ascii="宋体" w:hAnsi="宋体" w:cs="宋体"/>
                <w:sz w:val="21"/>
                <w:szCs w:val="21"/>
              </w:rPr>
              <w:t>▲（五）移动源综合决策</w:t>
            </w:r>
          </w:p>
          <w:p w14:paraId="7C4F8854">
            <w:pPr>
              <w:pStyle w:val="2"/>
              <w:spacing w:line="400" w:lineRule="exact"/>
              <w:ind w:firstLine="420"/>
              <w:rPr>
                <w:rFonts w:hint="eastAsia" w:ascii="宋体" w:hAnsi="宋体" w:cs="宋体"/>
                <w:sz w:val="21"/>
                <w:szCs w:val="21"/>
              </w:rPr>
            </w:pPr>
            <w:r>
              <w:rPr>
                <w:rFonts w:ascii="宋体" w:hAnsi="宋体" w:cs="宋体"/>
                <w:sz w:val="21"/>
                <w:szCs w:val="21"/>
              </w:rPr>
              <w:t>1.大屏决策管理</w:t>
            </w:r>
          </w:p>
          <w:p w14:paraId="6B98451A">
            <w:pPr>
              <w:pStyle w:val="2"/>
              <w:spacing w:line="400" w:lineRule="exact"/>
              <w:ind w:firstLine="420"/>
              <w:rPr>
                <w:rFonts w:hint="eastAsia" w:ascii="宋体" w:hAnsi="宋体" w:cs="宋体"/>
                <w:sz w:val="21"/>
                <w:szCs w:val="21"/>
              </w:rPr>
            </w:pPr>
            <w:r>
              <w:rPr>
                <w:rFonts w:ascii="宋体" w:hAnsi="宋体" w:cs="宋体"/>
                <w:sz w:val="21"/>
                <w:szCs w:val="21"/>
              </w:rPr>
              <w:t>（1）辖区综合图展示。将全区机动车检验机构、遥感监测点、黑烟车抓拍点位、维修治理机构等数据综合分布与实时监控数据结合展示。包括车辆保有量数据、环检信息展示、维修治理信息展示、遥感监测信息展示、非道路机械监管信息展示、路检路查信息展示、船舶冒黑烟监管信息展示、任务执行情况、内部工作整体展示等。</w:t>
            </w:r>
          </w:p>
          <w:p w14:paraId="49D8EA24">
            <w:pPr>
              <w:pStyle w:val="2"/>
              <w:spacing w:line="400" w:lineRule="exact"/>
              <w:ind w:firstLine="420"/>
              <w:rPr>
                <w:rFonts w:hint="eastAsia" w:ascii="宋体" w:hAnsi="宋体" w:cs="宋体"/>
                <w:sz w:val="21"/>
                <w:szCs w:val="21"/>
              </w:rPr>
            </w:pPr>
            <w:r>
              <w:rPr>
                <w:rFonts w:ascii="宋体" w:hAnsi="宋体" w:cs="宋体"/>
                <w:sz w:val="21"/>
                <w:szCs w:val="21"/>
              </w:rPr>
              <w:t>（2）遥感黑烟抓拍一张图展示。</w:t>
            </w:r>
          </w:p>
          <w:p w14:paraId="7FBA7EE1">
            <w:pPr>
              <w:pStyle w:val="2"/>
              <w:spacing w:line="400" w:lineRule="exact"/>
              <w:ind w:firstLine="420"/>
              <w:rPr>
                <w:rFonts w:hint="eastAsia" w:ascii="宋体" w:hAnsi="宋体" w:cs="宋体"/>
                <w:sz w:val="21"/>
                <w:szCs w:val="21"/>
              </w:rPr>
            </w:pPr>
            <w:r>
              <w:rPr>
                <w:rFonts w:ascii="宋体" w:hAnsi="宋体" w:cs="宋体"/>
                <w:sz w:val="21"/>
                <w:szCs w:val="21"/>
              </w:rPr>
              <w:t>根据遥感、黑烟车抓拍点位画像，呈现道路排放差异、车流量、超标车数量、黑烟车抓拍点运行状态、抓拍基本情况等。包括区域地图展示、检测信息展示、点位检测排行榜、车流量分布情况、不合格车辆分布等。</w:t>
            </w:r>
          </w:p>
          <w:p w14:paraId="4C5CEA06">
            <w:pPr>
              <w:pStyle w:val="2"/>
              <w:spacing w:line="400" w:lineRule="exact"/>
              <w:ind w:firstLine="420"/>
              <w:rPr>
                <w:rFonts w:hint="eastAsia" w:ascii="宋体" w:hAnsi="宋体" w:cs="宋体"/>
                <w:sz w:val="21"/>
                <w:szCs w:val="21"/>
              </w:rPr>
            </w:pPr>
            <w:r>
              <w:rPr>
                <w:rFonts w:ascii="宋体" w:hAnsi="宋体" w:cs="宋体"/>
                <w:sz w:val="21"/>
                <w:szCs w:val="21"/>
              </w:rPr>
              <w:t>（3）年检业务一张图展示。区域地图展示、检验机构信息、检验机构检测排行榜等。</w:t>
            </w:r>
          </w:p>
          <w:p w14:paraId="7552B54E">
            <w:pPr>
              <w:pStyle w:val="2"/>
              <w:spacing w:line="400" w:lineRule="exact"/>
              <w:ind w:firstLine="420"/>
              <w:rPr>
                <w:rFonts w:hint="eastAsia" w:ascii="宋体" w:hAnsi="宋体" w:cs="宋体"/>
                <w:sz w:val="21"/>
                <w:szCs w:val="21"/>
              </w:rPr>
            </w:pPr>
            <w:r>
              <w:rPr>
                <w:rFonts w:ascii="宋体" w:hAnsi="宋体" w:cs="宋体"/>
                <w:sz w:val="21"/>
                <w:szCs w:val="21"/>
              </w:rPr>
              <w:t>（4）路检路查一张图展示。区域地图展示、当月路检点检测统计、当月用车大户检测统计、车辆品牌统计、路检通过率排名TOP5等。</w:t>
            </w:r>
          </w:p>
          <w:p w14:paraId="59A7D292">
            <w:pPr>
              <w:pStyle w:val="2"/>
              <w:spacing w:line="400" w:lineRule="exact"/>
              <w:ind w:firstLine="420"/>
              <w:rPr>
                <w:rFonts w:hint="eastAsia" w:ascii="宋体" w:hAnsi="宋体" w:cs="宋体"/>
                <w:sz w:val="21"/>
                <w:szCs w:val="21"/>
              </w:rPr>
            </w:pPr>
            <w:r>
              <w:rPr>
                <w:rFonts w:ascii="宋体" w:hAnsi="宋体" w:cs="宋体"/>
                <w:sz w:val="21"/>
                <w:szCs w:val="21"/>
              </w:rPr>
              <w:t>（5）非道路机械监管一张图展示。区域地图展示机械在线情况、机械登记情况、工地机械数量排名TOP5、各区域巡检次数及超标次数等。</w:t>
            </w:r>
          </w:p>
          <w:p w14:paraId="4AC5F41C">
            <w:pPr>
              <w:pStyle w:val="2"/>
              <w:spacing w:line="400" w:lineRule="exact"/>
              <w:ind w:firstLine="420"/>
              <w:rPr>
                <w:rFonts w:hint="eastAsia" w:ascii="宋体" w:hAnsi="宋体" w:cs="宋体"/>
                <w:sz w:val="21"/>
                <w:szCs w:val="21"/>
              </w:rPr>
            </w:pPr>
            <w:r>
              <w:rPr>
                <w:rFonts w:ascii="宋体" w:hAnsi="宋体" w:cs="宋体"/>
                <w:sz w:val="21"/>
                <w:szCs w:val="21"/>
              </w:rPr>
              <w:t>（6）船舶监管一张图展示。区域地图展示点位信息、点位检测排行榜、抓拍流量分布情况等。</w:t>
            </w:r>
          </w:p>
          <w:p w14:paraId="753D2CE5">
            <w:pPr>
              <w:pStyle w:val="2"/>
              <w:spacing w:line="400" w:lineRule="exact"/>
              <w:ind w:firstLine="420"/>
              <w:rPr>
                <w:rFonts w:hint="eastAsia" w:ascii="宋体" w:hAnsi="宋体" w:cs="宋体"/>
                <w:sz w:val="21"/>
                <w:szCs w:val="21"/>
              </w:rPr>
            </w:pPr>
            <w:r>
              <w:rPr>
                <w:rFonts w:ascii="宋体" w:hAnsi="宋体" w:cs="宋体"/>
                <w:sz w:val="21"/>
                <w:szCs w:val="21"/>
              </w:rPr>
              <w:t>（7）尾气治理一张图展示。区域地图展示、治理信息、治理机构信息展示、治理车辆信息展示等。</w:t>
            </w:r>
          </w:p>
          <w:p w14:paraId="0C1F0366">
            <w:pPr>
              <w:pStyle w:val="2"/>
              <w:spacing w:line="400" w:lineRule="exact"/>
              <w:ind w:firstLine="420"/>
              <w:rPr>
                <w:rFonts w:hint="eastAsia" w:ascii="宋体" w:hAnsi="宋体" w:cs="宋体"/>
                <w:sz w:val="21"/>
                <w:szCs w:val="21"/>
              </w:rPr>
            </w:pPr>
            <w:r>
              <w:rPr>
                <w:rFonts w:ascii="宋体" w:hAnsi="宋体" w:cs="宋体"/>
                <w:sz w:val="21"/>
                <w:szCs w:val="21"/>
              </w:rPr>
              <w:t>（8）数据可视化配置</w:t>
            </w:r>
            <w:r>
              <w:rPr>
                <w:rFonts w:hint="eastAsia" w:ascii="宋体" w:hAnsi="宋体" w:cs="宋体"/>
                <w:sz w:val="21"/>
                <w:szCs w:val="21"/>
              </w:rPr>
              <w:t>：系统支持自定义内容的大屏展示内容，提供展示内容的配置平台，通过拖拽方式实现大屏展示内容设计。在多维分析工具中由业务人员自行拖拽创建维度，支持拖拽调整层次内各字段顺序。支持多种展示图表内容：除传统的饼图、柱图、线图外，还支持玫瑰花图、事件河流图、桑基图等大量高级数据可视化表现形式</w:t>
            </w:r>
            <w:r>
              <w:rPr>
                <w:rFonts w:ascii="宋体" w:hAnsi="宋体" w:cs="宋体"/>
                <w:sz w:val="21"/>
                <w:szCs w:val="21"/>
              </w:rPr>
              <w:t>。</w:t>
            </w:r>
          </w:p>
          <w:p w14:paraId="10909E68">
            <w:pPr>
              <w:pStyle w:val="2"/>
              <w:spacing w:line="400" w:lineRule="exact"/>
              <w:ind w:firstLine="420"/>
              <w:rPr>
                <w:rFonts w:hint="eastAsia" w:ascii="宋体" w:hAnsi="宋体" w:cs="宋体"/>
                <w:sz w:val="21"/>
                <w:szCs w:val="21"/>
              </w:rPr>
            </w:pPr>
            <w:r>
              <w:rPr>
                <w:rFonts w:ascii="宋体" w:hAnsi="宋体" w:cs="宋体"/>
                <w:sz w:val="21"/>
                <w:szCs w:val="21"/>
              </w:rPr>
              <w:t>2.排放清单管理</w:t>
            </w:r>
          </w:p>
          <w:p w14:paraId="5A566F14">
            <w:pPr>
              <w:pStyle w:val="2"/>
              <w:spacing w:line="400" w:lineRule="exact"/>
              <w:ind w:firstLine="420"/>
              <w:rPr>
                <w:rFonts w:hint="eastAsia" w:ascii="宋体" w:hAnsi="宋体" w:cs="宋体"/>
                <w:sz w:val="21"/>
                <w:szCs w:val="21"/>
              </w:rPr>
            </w:pPr>
            <w:r>
              <w:rPr>
                <w:rFonts w:ascii="宋体" w:hAnsi="宋体" w:cs="宋体"/>
                <w:sz w:val="21"/>
                <w:szCs w:val="21"/>
              </w:rPr>
              <w:t>包括机动车排放清单分析、排放概况、排放量分析、分担率统计分析、非道路移动机械排放清单分析、监测点位排放实况（计算每小时五种污染物CO、HC、NOX、PM2.5和PM10排放强度）等。</w:t>
            </w:r>
          </w:p>
          <w:p w14:paraId="595C526D">
            <w:pPr>
              <w:pStyle w:val="2"/>
              <w:spacing w:line="400" w:lineRule="exact"/>
              <w:ind w:firstLine="420"/>
              <w:rPr>
                <w:rFonts w:hint="eastAsia" w:ascii="宋体" w:hAnsi="宋体" w:cs="宋体"/>
                <w:sz w:val="21"/>
                <w:szCs w:val="21"/>
              </w:rPr>
            </w:pPr>
            <w:r>
              <w:rPr>
                <w:rFonts w:ascii="宋体" w:hAnsi="宋体" w:cs="宋体"/>
                <w:sz w:val="21"/>
                <w:szCs w:val="21"/>
              </w:rPr>
              <w:t>▲（六）移动端综合管控</w:t>
            </w:r>
          </w:p>
          <w:p w14:paraId="6ACDF8D6">
            <w:pPr>
              <w:pStyle w:val="2"/>
              <w:spacing w:line="400" w:lineRule="exact"/>
              <w:ind w:firstLine="420"/>
              <w:rPr>
                <w:rFonts w:hint="eastAsia" w:ascii="宋体" w:hAnsi="宋体" w:cs="宋体"/>
                <w:sz w:val="21"/>
                <w:szCs w:val="21"/>
              </w:rPr>
            </w:pPr>
            <w:r>
              <w:rPr>
                <w:rFonts w:ascii="宋体" w:hAnsi="宋体" w:cs="宋体"/>
                <w:sz w:val="21"/>
                <w:szCs w:val="21"/>
              </w:rPr>
              <w:t>移动端基于</w:t>
            </w:r>
            <w:r>
              <w:rPr>
                <w:rFonts w:hint="eastAsia" w:ascii="宋体" w:hAnsi="宋体" w:cs="宋体"/>
                <w:sz w:val="21"/>
                <w:szCs w:val="21"/>
              </w:rPr>
              <w:t>“</w:t>
            </w:r>
            <w:r>
              <w:rPr>
                <w:rFonts w:ascii="宋体" w:hAnsi="宋体" w:cs="宋体"/>
                <w:sz w:val="21"/>
                <w:szCs w:val="21"/>
              </w:rPr>
              <w:t>广西生态环境</w:t>
            </w:r>
            <w:r>
              <w:rPr>
                <w:rFonts w:hint="eastAsia" w:ascii="宋体" w:hAnsi="宋体" w:cs="宋体"/>
                <w:sz w:val="21"/>
                <w:szCs w:val="21"/>
              </w:rPr>
              <w:t>”</w:t>
            </w:r>
            <w:r>
              <w:rPr>
                <w:rFonts w:ascii="宋体" w:hAnsi="宋体" w:cs="宋体"/>
                <w:sz w:val="21"/>
                <w:szCs w:val="21"/>
              </w:rPr>
              <w:t>APP进行建设。</w:t>
            </w:r>
          </w:p>
          <w:p w14:paraId="25F3379D">
            <w:pPr>
              <w:pStyle w:val="2"/>
              <w:spacing w:line="400" w:lineRule="exact"/>
              <w:ind w:firstLine="420"/>
              <w:rPr>
                <w:rFonts w:hint="eastAsia" w:ascii="宋体" w:hAnsi="宋体" w:cs="宋体"/>
                <w:sz w:val="21"/>
                <w:szCs w:val="21"/>
              </w:rPr>
            </w:pPr>
            <w:r>
              <w:rPr>
                <w:rFonts w:ascii="宋体" w:hAnsi="宋体" w:cs="宋体"/>
                <w:sz w:val="21"/>
                <w:szCs w:val="21"/>
              </w:rPr>
              <w:t>1.监管端。包括公告信息、法律法规、机动车数据查询、重点监管车辆查询、用车大户信息查询、检测站信息查询、监测点位信息查询、任务管理、任务办理、任务统计等。</w:t>
            </w:r>
          </w:p>
          <w:p w14:paraId="6971D55D">
            <w:pPr>
              <w:pStyle w:val="2"/>
              <w:spacing w:line="400" w:lineRule="exact"/>
              <w:ind w:firstLine="420"/>
              <w:rPr>
                <w:rFonts w:hint="eastAsia" w:ascii="宋体" w:hAnsi="宋体" w:cs="宋体"/>
                <w:sz w:val="21"/>
                <w:szCs w:val="21"/>
              </w:rPr>
            </w:pPr>
            <w:r>
              <w:rPr>
                <w:rFonts w:ascii="宋体" w:hAnsi="宋体" w:cs="宋体"/>
                <w:sz w:val="21"/>
                <w:szCs w:val="21"/>
              </w:rPr>
              <w:t>2.企业端。包括信息公告、任务查看、任务办理、企业信息查询、企业信息更新、企业意见反馈等。</w:t>
            </w:r>
          </w:p>
          <w:p w14:paraId="498B22CB">
            <w:pPr>
              <w:pStyle w:val="2"/>
              <w:spacing w:line="400" w:lineRule="exact"/>
              <w:ind w:firstLine="420"/>
              <w:rPr>
                <w:rFonts w:hint="eastAsia" w:ascii="宋体" w:hAnsi="宋体" w:cs="宋体"/>
                <w:sz w:val="21"/>
                <w:szCs w:val="21"/>
              </w:rPr>
            </w:pPr>
            <w:r>
              <w:rPr>
                <w:rFonts w:ascii="宋体" w:hAnsi="宋体" w:cs="宋体"/>
                <w:sz w:val="21"/>
                <w:szCs w:val="21"/>
              </w:rPr>
              <w:t>二、梧州市环境质量分析应用</w:t>
            </w:r>
          </w:p>
          <w:p w14:paraId="6D7466B7">
            <w:pPr>
              <w:pStyle w:val="2"/>
              <w:spacing w:line="400" w:lineRule="exact"/>
              <w:ind w:firstLine="420"/>
              <w:rPr>
                <w:rFonts w:hint="eastAsia" w:ascii="宋体" w:hAnsi="宋体" w:cs="宋体"/>
                <w:sz w:val="21"/>
                <w:szCs w:val="21"/>
              </w:rPr>
            </w:pPr>
            <w:r>
              <w:rPr>
                <w:rFonts w:ascii="宋体" w:hAnsi="宋体" w:cs="宋体"/>
                <w:sz w:val="21"/>
                <w:szCs w:val="21"/>
              </w:rPr>
              <w:t>▲（一）总体要求</w:t>
            </w:r>
          </w:p>
          <w:p w14:paraId="4D728F4C">
            <w:pPr>
              <w:pStyle w:val="2"/>
              <w:spacing w:line="400" w:lineRule="exact"/>
              <w:ind w:firstLine="420"/>
              <w:rPr>
                <w:rFonts w:hint="eastAsia" w:ascii="宋体" w:hAnsi="宋体" w:cs="宋体"/>
                <w:sz w:val="21"/>
                <w:szCs w:val="21"/>
              </w:rPr>
            </w:pPr>
            <w:r>
              <w:rPr>
                <w:rFonts w:ascii="宋体" w:hAnsi="宋体" w:cs="宋体"/>
                <w:sz w:val="21"/>
                <w:szCs w:val="21"/>
              </w:rPr>
              <w:t>以系统功能重构的方式对梧州市环境质量分析系统现有功能开展</w:t>
            </w:r>
            <w:r>
              <w:rPr>
                <w:rFonts w:hint="eastAsia" w:ascii="宋体" w:hAnsi="宋体" w:cs="宋体"/>
                <w:sz w:val="21"/>
                <w:szCs w:val="21"/>
              </w:rPr>
              <w:t>国产技术栈</w:t>
            </w:r>
            <w:r>
              <w:rPr>
                <w:rFonts w:ascii="宋体" w:hAnsi="宋体" w:cs="宋体"/>
                <w:sz w:val="21"/>
                <w:szCs w:val="21"/>
              </w:rPr>
              <w:t>改造工作，不涉及新增系统功能。</w:t>
            </w:r>
          </w:p>
          <w:p w14:paraId="6BA41F71">
            <w:pPr>
              <w:pStyle w:val="2"/>
              <w:spacing w:line="400" w:lineRule="exact"/>
              <w:ind w:firstLine="42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的云原生框架能力和工具，以微服务模块的方式将应用功能集成到广西生态环境业务应用系统中，支持将系统的分析数据、展示内容推送到广西生态云应用中。视频监控摄像头应支持接入统一技术平台。</w:t>
            </w:r>
          </w:p>
          <w:p w14:paraId="4BC2BA3C">
            <w:pPr>
              <w:pStyle w:val="2"/>
              <w:spacing w:line="400" w:lineRule="exact"/>
              <w:ind w:firstLine="420"/>
              <w:rPr>
                <w:rFonts w:hint="eastAsia" w:ascii="宋体" w:hAnsi="宋体" w:cs="宋体"/>
                <w:sz w:val="21"/>
                <w:szCs w:val="21"/>
              </w:rPr>
            </w:pPr>
            <w:r>
              <w:rPr>
                <w:rFonts w:ascii="宋体" w:hAnsi="宋体" w:cs="宋体"/>
                <w:sz w:val="21"/>
                <w:szCs w:val="21"/>
              </w:rPr>
              <w:t>▲（二）应用功能</w:t>
            </w:r>
          </w:p>
          <w:p w14:paraId="418359FA">
            <w:pPr>
              <w:pStyle w:val="2"/>
              <w:spacing w:line="400" w:lineRule="exact"/>
              <w:ind w:firstLine="420"/>
              <w:rPr>
                <w:rFonts w:hint="eastAsia" w:ascii="宋体" w:hAnsi="宋体" w:cs="宋体"/>
                <w:sz w:val="21"/>
                <w:szCs w:val="21"/>
              </w:rPr>
            </w:pPr>
            <w:r>
              <w:rPr>
                <w:rFonts w:ascii="宋体" w:hAnsi="宋体" w:cs="宋体"/>
                <w:sz w:val="21"/>
                <w:szCs w:val="21"/>
              </w:rPr>
              <w:t>1.实时监控</w:t>
            </w:r>
          </w:p>
          <w:p w14:paraId="233A961F">
            <w:pPr>
              <w:pStyle w:val="2"/>
              <w:spacing w:line="400" w:lineRule="exact"/>
              <w:ind w:firstLine="420"/>
              <w:rPr>
                <w:rFonts w:hint="eastAsia" w:ascii="宋体" w:hAnsi="宋体" w:cs="宋体"/>
                <w:sz w:val="21"/>
                <w:szCs w:val="21"/>
              </w:rPr>
            </w:pPr>
            <w:r>
              <w:rPr>
                <w:rFonts w:ascii="宋体" w:hAnsi="宋体" w:cs="宋体"/>
                <w:sz w:val="21"/>
                <w:szCs w:val="21"/>
              </w:rPr>
              <w:t>实时污染排名，主要显示点位的实时排名情况，统计结果以柱图或列表的方式显示，并根据指标不同设置各个监测指标的标准线。</w:t>
            </w:r>
          </w:p>
          <w:p w14:paraId="0D77A10A">
            <w:pPr>
              <w:pStyle w:val="2"/>
              <w:spacing w:line="400" w:lineRule="exact"/>
              <w:ind w:firstLine="420"/>
              <w:rPr>
                <w:rFonts w:hint="eastAsia" w:ascii="宋体" w:hAnsi="宋体" w:cs="宋体"/>
                <w:sz w:val="21"/>
                <w:szCs w:val="21"/>
              </w:rPr>
            </w:pPr>
            <w:r>
              <w:rPr>
                <w:rFonts w:ascii="宋体" w:hAnsi="宋体" w:cs="宋体"/>
                <w:sz w:val="21"/>
                <w:szCs w:val="21"/>
              </w:rPr>
              <w:t>2.数据查询</w:t>
            </w:r>
          </w:p>
          <w:p w14:paraId="03B862E0">
            <w:pPr>
              <w:pStyle w:val="2"/>
              <w:spacing w:line="400" w:lineRule="exact"/>
              <w:ind w:firstLine="420"/>
              <w:rPr>
                <w:rFonts w:hint="eastAsia" w:ascii="宋体" w:hAnsi="宋体" w:cs="宋体"/>
                <w:sz w:val="21"/>
                <w:szCs w:val="21"/>
              </w:rPr>
            </w:pPr>
            <w:r>
              <w:rPr>
                <w:rFonts w:ascii="宋体" w:hAnsi="宋体" w:cs="宋体"/>
                <w:sz w:val="21"/>
                <w:szCs w:val="21"/>
              </w:rPr>
              <w:t>选择站点、数据类型和时间段后，可生成对应时间段数据，支持将统计报表导出成excel文件。</w:t>
            </w:r>
          </w:p>
          <w:p w14:paraId="71048D8F">
            <w:pPr>
              <w:pStyle w:val="2"/>
              <w:spacing w:line="400" w:lineRule="exact"/>
              <w:ind w:firstLine="420"/>
              <w:rPr>
                <w:rFonts w:hint="eastAsia" w:ascii="宋体" w:hAnsi="宋体" w:cs="宋体"/>
                <w:sz w:val="21"/>
                <w:szCs w:val="21"/>
              </w:rPr>
            </w:pPr>
            <w:r>
              <w:rPr>
                <w:rFonts w:ascii="宋体" w:hAnsi="宋体" w:cs="宋体"/>
                <w:sz w:val="21"/>
                <w:szCs w:val="21"/>
              </w:rPr>
              <w:t>3.综合指数贡献</w:t>
            </w:r>
          </w:p>
          <w:p w14:paraId="1BB79AB3">
            <w:pPr>
              <w:pStyle w:val="2"/>
              <w:spacing w:line="400" w:lineRule="exact"/>
              <w:ind w:firstLine="420"/>
              <w:rPr>
                <w:rFonts w:hint="eastAsia" w:ascii="宋体" w:hAnsi="宋体" w:cs="宋体"/>
                <w:sz w:val="21"/>
                <w:szCs w:val="21"/>
              </w:rPr>
            </w:pPr>
            <w:r>
              <w:rPr>
                <w:rFonts w:ascii="宋体" w:hAnsi="宋体" w:cs="宋体"/>
                <w:sz w:val="21"/>
                <w:szCs w:val="21"/>
              </w:rPr>
              <w:t>可计算某个时间段内各个点位的污染物综合指数贡献分布情况。</w:t>
            </w:r>
          </w:p>
          <w:p w14:paraId="18D31B13">
            <w:pPr>
              <w:pStyle w:val="2"/>
              <w:spacing w:line="400" w:lineRule="exact"/>
              <w:ind w:firstLine="420"/>
              <w:rPr>
                <w:rFonts w:hint="eastAsia" w:ascii="宋体" w:hAnsi="宋体" w:cs="宋体"/>
                <w:sz w:val="21"/>
                <w:szCs w:val="21"/>
              </w:rPr>
            </w:pPr>
            <w:r>
              <w:rPr>
                <w:rFonts w:ascii="宋体" w:hAnsi="宋体" w:cs="宋体"/>
                <w:sz w:val="21"/>
                <w:szCs w:val="21"/>
              </w:rPr>
              <w:t>4.优良率</w:t>
            </w:r>
          </w:p>
          <w:p w14:paraId="1314D1CE">
            <w:pPr>
              <w:pStyle w:val="2"/>
              <w:spacing w:line="400" w:lineRule="exact"/>
              <w:ind w:firstLine="420"/>
              <w:rPr>
                <w:rFonts w:hint="eastAsia" w:ascii="宋体" w:hAnsi="宋体" w:cs="宋体"/>
                <w:sz w:val="21"/>
                <w:szCs w:val="21"/>
              </w:rPr>
            </w:pPr>
            <w:r>
              <w:rPr>
                <w:rFonts w:ascii="宋体" w:hAnsi="宋体" w:cs="宋体"/>
                <w:sz w:val="21"/>
                <w:szCs w:val="21"/>
              </w:rPr>
              <w:t>选择站点、数据类型和时间段后，可生成对应时间段数据，支持将统计报表导出成excel文件。</w:t>
            </w:r>
          </w:p>
          <w:p w14:paraId="463AE43E">
            <w:pPr>
              <w:pStyle w:val="2"/>
              <w:spacing w:line="400" w:lineRule="exact"/>
              <w:ind w:firstLine="420"/>
              <w:rPr>
                <w:rFonts w:hint="eastAsia" w:ascii="宋体" w:hAnsi="宋体" w:cs="宋体"/>
                <w:sz w:val="21"/>
                <w:szCs w:val="21"/>
              </w:rPr>
            </w:pPr>
            <w:r>
              <w:rPr>
                <w:rFonts w:ascii="宋体" w:hAnsi="宋体" w:cs="宋体"/>
                <w:sz w:val="21"/>
                <w:szCs w:val="21"/>
              </w:rPr>
              <w:t>5.统计分析</w:t>
            </w:r>
          </w:p>
          <w:p w14:paraId="7B0468FB">
            <w:pPr>
              <w:pStyle w:val="2"/>
              <w:spacing w:line="400" w:lineRule="exact"/>
              <w:ind w:firstLine="420"/>
              <w:rPr>
                <w:rFonts w:hint="eastAsia" w:ascii="宋体" w:hAnsi="宋体" w:cs="宋体"/>
                <w:sz w:val="21"/>
                <w:szCs w:val="21"/>
              </w:rPr>
            </w:pPr>
            <w:r>
              <w:rPr>
                <w:rFonts w:ascii="宋体" w:hAnsi="宋体" w:cs="宋体"/>
                <w:sz w:val="21"/>
                <w:szCs w:val="21"/>
              </w:rPr>
              <w:t>选择站点、数据类型和时间段后，可生成对应时间段数据，支持将统计报表导出成excel文件。</w:t>
            </w:r>
          </w:p>
          <w:p w14:paraId="539B48E7">
            <w:pPr>
              <w:pStyle w:val="2"/>
              <w:spacing w:line="400" w:lineRule="exact"/>
              <w:ind w:firstLine="420"/>
              <w:rPr>
                <w:rFonts w:hint="eastAsia" w:ascii="宋体" w:hAnsi="宋体" w:cs="宋体"/>
                <w:sz w:val="21"/>
                <w:szCs w:val="21"/>
              </w:rPr>
            </w:pPr>
            <w:r>
              <w:rPr>
                <w:rFonts w:ascii="宋体" w:hAnsi="宋体" w:cs="宋体"/>
                <w:sz w:val="21"/>
                <w:szCs w:val="21"/>
              </w:rPr>
              <w:t>统计分析功能包括：AQI小时报、空气质量日报、空气质量月报、预警浓度天数。</w:t>
            </w:r>
          </w:p>
          <w:p w14:paraId="59A49107">
            <w:pPr>
              <w:pStyle w:val="2"/>
              <w:spacing w:line="400" w:lineRule="exact"/>
              <w:ind w:firstLine="420"/>
              <w:rPr>
                <w:rFonts w:hint="eastAsia" w:ascii="宋体" w:hAnsi="宋体" w:cs="宋体"/>
                <w:sz w:val="21"/>
                <w:szCs w:val="21"/>
              </w:rPr>
            </w:pPr>
            <w:r>
              <w:rPr>
                <w:rFonts w:ascii="宋体" w:hAnsi="宋体" w:cs="宋体"/>
                <w:sz w:val="21"/>
                <w:szCs w:val="21"/>
              </w:rPr>
              <w:t>6.报表</w:t>
            </w:r>
          </w:p>
          <w:p w14:paraId="21F8BC15">
            <w:pPr>
              <w:pStyle w:val="2"/>
              <w:spacing w:line="400" w:lineRule="exact"/>
              <w:ind w:firstLine="420"/>
              <w:rPr>
                <w:rFonts w:hint="eastAsia" w:ascii="宋体" w:hAnsi="宋体" w:cs="宋体"/>
                <w:sz w:val="21"/>
                <w:szCs w:val="21"/>
              </w:rPr>
            </w:pPr>
            <w:r>
              <w:rPr>
                <w:rFonts w:ascii="宋体" w:hAnsi="宋体" w:cs="宋体"/>
                <w:sz w:val="21"/>
                <w:szCs w:val="21"/>
              </w:rPr>
              <w:t>选择站点、数据类型和时间段后，可生成对应时间段数据，支持将统计报表导出成excel文件。</w:t>
            </w:r>
          </w:p>
          <w:p w14:paraId="114CCDCF">
            <w:pPr>
              <w:pStyle w:val="2"/>
              <w:spacing w:line="400" w:lineRule="exact"/>
              <w:ind w:firstLine="420"/>
              <w:rPr>
                <w:rFonts w:hint="eastAsia" w:ascii="宋体" w:hAnsi="宋体" w:cs="宋体"/>
                <w:sz w:val="21"/>
                <w:szCs w:val="21"/>
              </w:rPr>
            </w:pPr>
            <w:r>
              <w:rPr>
                <w:rFonts w:ascii="宋体" w:hAnsi="宋体" w:cs="宋体"/>
                <w:sz w:val="21"/>
                <w:szCs w:val="21"/>
              </w:rPr>
              <w:t>统计分析功能包括：空气质量环比、月度累计同比、城市日报、时段均值报、月度累计报、空气预警报告、颗粒物浓度日报、区县报。</w:t>
            </w:r>
          </w:p>
          <w:p w14:paraId="36EBC297">
            <w:pPr>
              <w:pStyle w:val="2"/>
              <w:spacing w:line="400" w:lineRule="exact"/>
              <w:ind w:firstLine="420"/>
              <w:rPr>
                <w:rFonts w:hint="eastAsia" w:ascii="宋体" w:hAnsi="宋体" w:cs="宋体"/>
                <w:sz w:val="21"/>
                <w:szCs w:val="21"/>
              </w:rPr>
            </w:pPr>
            <w:r>
              <w:rPr>
                <w:rFonts w:ascii="宋体" w:hAnsi="宋体" w:cs="宋体"/>
                <w:sz w:val="21"/>
                <w:szCs w:val="21"/>
              </w:rPr>
              <w:t>7.其他系统辅助性功能</w:t>
            </w:r>
          </w:p>
          <w:p w14:paraId="0FA18E0C">
            <w:pPr>
              <w:pStyle w:val="2"/>
              <w:spacing w:line="400" w:lineRule="exact"/>
              <w:ind w:firstLine="420"/>
              <w:rPr>
                <w:rFonts w:hint="eastAsia" w:ascii="宋体" w:hAnsi="宋体" w:cs="宋体"/>
                <w:sz w:val="21"/>
                <w:szCs w:val="21"/>
              </w:rPr>
            </w:pPr>
            <w:r>
              <w:rPr>
                <w:rFonts w:ascii="宋体" w:hAnsi="宋体" w:cs="宋体"/>
                <w:sz w:val="21"/>
                <w:szCs w:val="21"/>
              </w:rPr>
              <w:t>其他系统辅助性功能模块主要包括系统各项配置、权限管理、用户管理、菜单管理、字典表管理等，这些功能模块都是辅助功能。</w:t>
            </w:r>
          </w:p>
          <w:p w14:paraId="7E575E06">
            <w:pPr>
              <w:pStyle w:val="2"/>
              <w:spacing w:line="400" w:lineRule="exact"/>
              <w:ind w:firstLine="420"/>
              <w:rPr>
                <w:rFonts w:hint="eastAsia" w:ascii="宋体" w:hAnsi="宋体" w:cs="宋体"/>
                <w:sz w:val="21"/>
                <w:szCs w:val="21"/>
              </w:rPr>
            </w:pPr>
            <w:r>
              <w:rPr>
                <w:rFonts w:ascii="宋体" w:hAnsi="宋体" w:cs="宋体"/>
                <w:sz w:val="21"/>
                <w:szCs w:val="21"/>
              </w:rPr>
              <w:t>对以上功能的代码进行改造适配，使得能够支持国产数据库、国产操作系统、国产浏览器的运行环境。</w:t>
            </w:r>
          </w:p>
          <w:p w14:paraId="1351B4FA">
            <w:pPr>
              <w:pStyle w:val="2"/>
              <w:spacing w:line="400" w:lineRule="exact"/>
              <w:ind w:firstLine="420"/>
              <w:rPr>
                <w:rFonts w:hint="eastAsia" w:ascii="宋体" w:hAnsi="宋体" w:cs="宋体"/>
                <w:sz w:val="21"/>
                <w:szCs w:val="21"/>
              </w:rPr>
            </w:pPr>
            <w:r>
              <w:rPr>
                <w:rFonts w:ascii="宋体" w:hAnsi="宋体" w:cs="宋体"/>
                <w:sz w:val="21"/>
                <w:szCs w:val="21"/>
              </w:rPr>
              <w:t>三、北海生态环境监测中心综合信息应用</w:t>
            </w:r>
          </w:p>
          <w:p w14:paraId="6C8D0A53">
            <w:pPr>
              <w:pStyle w:val="2"/>
              <w:spacing w:line="400" w:lineRule="exact"/>
              <w:ind w:firstLine="420"/>
              <w:rPr>
                <w:rFonts w:hint="eastAsia" w:ascii="宋体" w:hAnsi="宋体" w:cs="宋体"/>
                <w:sz w:val="21"/>
                <w:szCs w:val="21"/>
              </w:rPr>
            </w:pPr>
            <w:r>
              <w:rPr>
                <w:rFonts w:ascii="宋体" w:hAnsi="宋体" w:cs="宋体"/>
                <w:sz w:val="21"/>
                <w:szCs w:val="21"/>
              </w:rPr>
              <w:t>▲（一）总体要求</w:t>
            </w:r>
          </w:p>
          <w:p w14:paraId="2BEFE431">
            <w:pPr>
              <w:pStyle w:val="2"/>
              <w:spacing w:line="400" w:lineRule="exact"/>
              <w:ind w:firstLine="420"/>
              <w:rPr>
                <w:rFonts w:hint="eastAsia" w:ascii="宋体" w:hAnsi="宋体" w:cs="宋体"/>
                <w:sz w:val="21"/>
                <w:szCs w:val="21"/>
              </w:rPr>
            </w:pPr>
            <w:r>
              <w:rPr>
                <w:rFonts w:ascii="宋体" w:hAnsi="宋体" w:cs="宋体"/>
                <w:sz w:val="21"/>
                <w:szCs w:val="21"/>
              </w:rPr>
              <w:t>以系统功能重构的方式对北海生态环境监测中心综合信息系统现有功能开展</w:t>
            </w:r>
            <w:r>
              <w:rPr>
                <w:rFonts w:hint="eastAsia" w:ascii="宋体" w:hAnsi="宋体" w:cs="宋体"/>
                <w:sz w:val="21"/>
                <w:szCs w:val="21"/>
              </w:rPr>
              <w:t>国产技术栈</w:t>
            </w:r>
            <w:r>
              <w:rPr>
                <w:rFonts w:ascii="宋体" w:hAnsi="宋体" w:cs="宋体"/>
                <w:sz w:val="21"/>
                <w:szCs w:val="21"/>
              </w:rPr>
              <w:t>改造工作，不涉及新增系统功能。</w:t>
            </w:r>
          </w:p>
          <w:p w14:paraId="1741C00A">
            <w:pPr>
              <w:pStyle w:val="2"/>
              <w:spacing w:line="400" w:lineRule="exact"/>
              <w:ind w:firstLine="42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的云原生框架能力和工具，以微服务模块的方式将应用功能集成到广西生态环境业务应用系统中，支持将系统的分析数据、展示内容推送到广西生态云应用中。视频监控摄像头应支持接入统一技术平台。</w:t>
            </w:r>
          </w:p>
          <w:p w14:paraId="23B79EB0">
            <w:pPr>
              <w:pStyle w:val="2"/>
              <w:spacing w:line="400" w:lineRule="exact"/>
              <w:ind w:firstLine="420"/>
              <w:rPr>
                <w:rFonts w:hint="eastAsia" w:ascii="宋体" w:hAnsi="宋体" w:cs="宋体"/>
                <w:sz w:val="21"/>
                <w:szCs w:val="21"/>
              </w:rPr>
            </w:pPr>
            <w:r>
              <w:rPr>
                <w:rFonts w:ascii="宋体" w:hAnsi="宋体" w:cs="宋体"/>
                <w:sz w:val="21"/>
                <w:szCs w:val="21"/>
              </w:rPr>
              <w:t>▲（二）应用功能</w:t>
            </w:r>
          </w:p>
          <w:p w14:paraId="3C314A0E">
            <w:pPr>
              <w:pStyle w:val="2"/>
              <w:spacing w:line="400" w:lineRule="exact"/>
              <w:ind w:firstLine="420"/>
              <w:rPr>
                <w:rFonts w:hint="eastAsia" w:ascii="宋体" w:hAnsi="宋体" w:cs="宋体"/>
                <w:sz w:val="21"/>
                <w:szCs w:val="21"/>
              </w:rPr>
            </w:pPr>
            <w:r>
              <w:rPr>
                <w:rFonts w:ascii="宋体" w:hAnsi="宋体" w:cs="宋体"/>
                <w:sz w:val="21"/>
                <w:szCs w:val="21"/>
              </w:rPr>
              <w:t>1.综合分析</w:t>
            </w:r>
          </w:p>
          <w:p w14:paraId="6DB2E59F">
            <w:pPr>
              <w:pStyle w:val="2"/>
              <w:spacing w:line="400" w:lineRule="exact"/>
              <w:ind w:firstLine="420"/>
              <w:rPr>
                <w:rFonts w:hint="eastAsia" w:ascii="宋体" w:hAnsi="宋体" w:cs="宋体"/>
                <w:sz w:val="21"/>
                <w:szCs w:val="21"/>
              </w:rPr>
            </w:pPr>
            <w:r>
              <w:rPr>
                <w:rFonts w:ascii="宋体" w:hAnsi="宋体" w:cs="宋体"/>
                <w:sz w:val="21"/>
                <w:szCs w:val="21"/>
              </w:rPr>
              <w:t>该模块可以对北海市的环境质量监测数据进行导入并对导入数据进行归类、分析等。</w:t>
            </w:r>
          </w:p>
          <w:p w14:paraId="7EE7D3EE">
            <w:pPr>
              <w:pStyle w:val="2"/>
              <w:spacing w:line="400" w:lineRule="exact"/>
              <w:ind w:firstLine="420"/>
              <w:rPr>
                <w:rFonts w:hint="eastAsia" w:ascii="宋体" w:hAnsi="宋体" w:cs="宋体"/>
                <w:sz w:val="21"/>
                <w:szCs w:val="21"/>
              </w:rPr>
            </w:pPr>
            <w:r>
              <w:rPr>
                <w:rFonts w:ascii="宋体" w:hAnsi="宋体" w:cs="宋体"/>
                <w:sz w:val="21"/>
                <w:szCs w:val="21"/>
              </w:rPr>
              <w:t>（1）大气环境监测数据分析</w:t>
            </w:r>
          </w:p>
          <w:p w14:paraId="1D460F4D">
            <w:pPr>
              <w:pStyle w:val="2"/>
              <w:spacing w:line="400" w:lineRule="exact"/>
              <w:ind w:firstLine="420"/>
              <w:rPr>
                <w:rFonts w:hint="eastAsia" w:ascii="宋体" w:hAnsi="宋体" w:cs="宋体"/>
                <w:sz w:val="21"/>
                <w:szCs w:val="21"/>
              </w:rPr>
            </w:pPr>
            <w:r>
              <w:rPr>
                <w:rFonts w:ascii="宋体" w:hAnsi="宋体" w:cs="宋体"/>
                <w:sz w:val="21"/>
                <w:szCs w:val="21"/>
              </w:rPr>
              <w:t>支持选择监测点位、监测项目、监测日期和监测数据类型，以站点、项目、数据来源、数据类型、计划类型、时间范围为条件，进行数据查询及统计分析。含数据查询、AQI日报、AQI日历、综合指数、污染物浓度、污染物百分位浓度、优良率、小时分析等。</w:t>
            </w:r>
          </w:p>
          <w:p w14:paraId="69D119DE">
            <w:pPr>
              <w:pStyle w:val="2"/>
              <w:spacing w:line="400" w:lineRule="exact"/>
              <w:ind w:firstLine="420"/>
              <w:rPr>
                <w:rFonts w:hint="eastAsia" w:ascii="宋体" w:hAnsi="宋体" w:cs="宋体"/>
                <w:sz w:val="21"/>
                <w:szCs w:val="21"/>
              </w:rPr>
            </w:pPr>
            <w:r>
              <w:rPr>
                <w:rFonts w:ascii="宋体" w:hAnsi="宋体" w:cs="宋体"/>
                <w:sz w:val="21"/>
                <w:szCs w:val="21"/>
              </w:rPr>
              <w:t>①AQI日报：统计各个监测站点一段时间内的日AQI级别分布情况，统计结果以堆叠图和数据列表的方式显示。</w:t>
            </w:r>
          </w:p>
          <w:p w14:paraId="4AFAA067">
            <w:pPr>
              <w:pStyle w:val="2"/>
              <w:spacing w:line="400" w:lineRule="exact"/>
              <w:ind w:firstLine="420"/>
              <w:rPr>
                <w:rFonts w:hint="eastAsia" w:ascii="宋体" w:hAnsi="宋体" w:cs="宋体"/>
                <w:sz w:val="21"/>
                <w:szCs w:val="21"/>
              </w:rPr>
            </w:pPr>
            <w:r>
              <w:rPr>
                <w:rFonts w:ascii="宋体" w:hAnsi="宋体" w:cs="宋体"/>
                <w:sz w:val="21"/>
                <w:szCs w:val="21"/>
              </w:rPr>
              <w:t>②AQI日历：统计6参数及AQI指数数据，以日历形式展示。</w:t>
            </w:r>
          </w:p>
          <w:p w14:paraId="19D7BABF">
            <w:pPr>
              <w:pStyle w:val="2"/>
              <w:spacing w:line="400" w:lineRule="exact"/>
              <w:ind w:firstLine="420"/>
              <w:rPr>
                <w:rFonts w:hint="eastAsia" w:ascii="宋体" w:hAnsi="宋体" w:cs="宋体"/>
                <w:sz w:val="21"/>
                <w:szCs w:val="21"/>
              </w:rPr>
            </w:pPr>
            <w:r>
              <w:rPr>
                <w:rFonts w:ascii="宋体" w:hAnsi="宋体" w:cs="宋体"/>
                <w:sz w:val="21"/>
                <w:szCs w:val="21"/>
              </w:rPr>
              <w:t>③综合指数：统计平均浓度、单项指数、最大指数、综合指数AQI优良率、环比变化值、同比变化值、同比变化率等信息。</w:t>
            </w:r>
          </w:p>
          <w:p w14:paraId="6B8E1A7A">
            <w:pPr>
              <w:pStyle w:val="2"/>
              <w:spacing w:line="400" w:lineRule="exact"/>
              <w:ind w:firstLine="420"/>
              <w:rPr>
                <w:rFonts w:hint="eastAsia" w:ascii="宋体" w:hAnsi="宋体" w:cs="宋体"/>
                <w:sz w:val="21"/>
                <w:szCs w:val="21"/>
              </w:rPr>
            </w:pPr>
            <w:r>
              <w:rPr>
                <w:rFonts w:ascii="宋体" w:hAnsi="宋体" w:cs="宋体"/>
                <w:sz w:val="21"/>
                <w:szCs w:val="21"/>
              </w:rPr>
              <w:t>④污染物浓度：统计平均浓度、同比浓度、同比变化幅度信息。</w:t>
            </w:r>
          </w:p>
          <w:p w14:paraId="493A52E9">
            <w:pPr>
              <w:pStyle w:val="2"/>
              <w:spacing w:line="400" w:lineRule="exact"/>
              <w:ind w:firstLine="420"/>
              <w:rPr>
                <w:rFonts w:hint="eastAsia" w:ascii="宋体" w:hAnsi="宋体" w:cs="宋体"/>
                <w:sz w:val="21"/>
                <w:szCs w:val="21"/>
              </w:rPr>
            </w:pPr>
            <w:r>
              <w:rPr>
                <w:rFonts w:ascii="宋体" w:hAnsi="宋体" w:cs="宋体"/>
                <w:sz w:val="21"/>
                <w:szCs w:val="21"/>
              </w:rPr>
              <w:t>⑤污染物百分位浓度：统计行政代码、城市名称、站点名称、查询日期、总天数、百分位浓度信息。</w:t>
            </w:r>
          </w:p>
          <w:p w14:paraId="65430665">
            <w:pPr>
              <w:pStyle w:val="2"/>
              <w:spacing w:line="400" w:lineRule="exact"/>
              <w:ind w:firstLine="420"/>
              <w:rPr>
                <w:rFonts w:hint="eastAsia" w:ascii="宋体" w:hAnsi="宋体" w:cs="宋体"/>
                <w:sz w:val="21"/>
                <w:szCs w:val="21"/>
              </w:rPr>
            </w:pPr>
            <w:r>
              <w:rPr>
                <w:rFonts w:ascii="宋体" w:hAnsi="宋体" w:cs="宋体"/>
                <w:sz w:val="21"/>
                <w:szCs w:val="21"/>
              </w:rPr>
              <w:t>⑥优良率：统计行政代码、城市名称、站点名称、监测日期、日报天数、优良天数及比例信息。</w:t>
            </w:r>
          </w:p>
          <w:p w14:paraId="183585C6">
            <w:pPr>
              <w:pStyle w:val="2"/>
              <w:spacing w:line="400" w:lineRule="exact"/>
              <w:ind w:firstLine="420"/>
              <w:rPr>
                <w:rFonts w:hint="eastAsia" w:ascii="宋体" w:hAnsi="宋体" w:cs="宋体"/>
                <w:sz w:val="21"/>
                <w:szCs w:val="21"/>
              </w:rPr>
            </w:pPr>
            <w:r>
              <w:rPr>
                <w:rFonts w:ascii="宋体" w:hAnsi="宋体" w:cs="宋体"/>
                <w:sz w:val="21"/>
                <w:szCs w:val="21"/>
              </w:rPr>
              <w:fldChar w:fldCharType="begin"/>
            </w:r>
            <w:r>
              <w:rPr>
                <w:rFonts w:ascii="宋体" w:hAnsi="宋体" w:cs="宋体"/>
                <w:sz w:val="21"/>
                <w:szCs w:val="21"/>
              </w:rPr>
              <w:instrText xml:space="preserve"> = 7 \* GB3 \* MERGEFORMAT </w:instrText>
            </w:r>
            <w:r>
              <w:rPr>
                <w:rFonts w:ascii="宋体" w:hAnsi="宋体" w:cs="宋体"/>
                <w:sz w:val="21"/>
                <w:szCs w:val="21"/>
              </w:rPr>
              <w:fldChar w:fldCharType="separate"/>
            </w:r>
            <w:r>
              <w:rPr>
                <w:rFonts w:ascii="宋体" w:hAnsi="宋体" w:cs="宋体"/>
                <w:sz w:val="21"/>
                <w:szCs w:val="21"/>
              </w:rPr>
              <w:t>⑦</w:t>
            </w:r>
            <w:r>
              <w:rPr>
                <w:rFonts w:ascii="宋体" w:hAnsi="宋体" w:cs="宋体"/>
                <w:sz w:val="21"/>
                <w:szCs w:val="21"/>
              </w:rPr>
              <w:fldChar w:fldCharType="end"/>
            </w:r>
            <w:r>
              <w:rPr>
                <w:rFonts w:ascii="宋体" w:hAnsi="宋体" w:cs="宋体"/>
                <w:sz w:val="21"/>
                <w:szCs w:val="21"/>
              </w:rPr>
              <w:t>小时分析：统计站点名称、时、AQI、指数级别及6参数小时浓度信息。</w:t>
            </w:r>
          </w:p>
          <w:p w14:paraId="2594C2AA">
            <w:pPr>
              <w:pStyle w:val="2"/>
              <w:spacing w:line="400" w:lineRule="exact"/>
              <w:ind w:firstLine="420"/>
              <w:rPr>
                <w:rFonts w:hint="eastAsia" w:ascii="宋体" w:hAnsi="宋体" w:cs="宋体"/>
                <w:sz w:val="21"/>
                <w:szCs w:val="21"/>
              </w:rPr>
            </w:pPr>
            <w:r>
              <w:rPr>
                <w:rFonts w:ascii="宋体" w:hAnsi="宋体" w:cs="宋体"/>
                <w:sz w:val="21"/>
                <w:szCs w:val="21"/>
              </w:rPr>
              <w:t>（2）水质数据分析</w:t>
            </w:r>
          </w:p>
          <w:p w14:paraId="55FCD17F">
            <w:pPr>
              <w:pStyle w:val="2"/>
              <w:spacing w:line="400" w:lineRule="exact"/>
              <w:ind w:firstLine="420"/>
              <w:rPr>
                <w:rFonts w:hint="eastAsia" w:ascii="宋体" w:hAnsi="宋体" w:cs="宋体"/>
                <w:sz w:val="21"/>
                <w:szCs w:val="21"/>
              </w:rPr>
            </w:pPr>
            <w:r>
              <w:rPr>
                <w:rFonts w:ascii="宋体" w:hAnsi="宋体" w:cs="宋体"/>
                <w:sz w:val="21"/>
                <w:szCs w:val="21"/>
              </w:rPr>
              <w:t>对数据库内的各类水质监测数据实现以时间、标准、监测项目、监测点位或断面及其属性为选择条件，按年、季度、月、特定时间段等方式，进行不同水域区域、不同类型水质监测数据查询，统计样品数、最大值、最小值、平均值、水质类别、超标率、污染指数、污染负荷、各水质等级指标数量、各断面河流水质类别、超标项目和超标倍数及水质达标率等，生成同比、环比等统计报表和统计图形。含饮用水源地水质分析、水质帮扶监测结果及评价、水功能区评价分析、地表水水质评价分析、专项监测查询统计分析等。</w:t>
            </w:r>
          </w:p>
          <w:p w14:paraId="5ED7B2F2">
            <w:pPr>
              <w:pStyle w:val="2"/>
              <w:spacing w:line="400" w:lineRule="exact"/>
              <w:ind w:firstLine="420"/>
              <w:rPr>
                <w:rFonts w:hint="eastAsia" w:ascii="宋体" w:hAnsi="宋体" w:cs="宋体"/>
                <w:sz w:val="21"/>
                <w:szCs w:val="21"/>
              </w:rPr>
            </w:pPr>
            <w:r>
              <w:rPr>
                <w:rFonts w:ascii="宋体" w:hAnsi="宋体" w:cs="宋体"/>
                <w:sz w:val="21"/>
                <w:szCs w:val="21"/>
              </w:rPr>
              <w:t>①饮用水源地水质分析：饮用水源地水质监测结果评价、饮用水源地水质达标率评价、饮用水源地水质平均污染指数评价、饮用水源地水质类别统计分析、饮用水源地富营养化状态评价、饮用水源地水质指数WQI评价等。</w:t>
            </w:r>
          </w:p>
          <w:p w14:paraId="1415E3B0">
            <w:pPr>
              <w:pStyle w:val="2"/>
              <w:spacing w:line="400" w:lineRule="exact"/>
              <w:ind w:firstLine="420"/>
              <w:rPr>
                <w:rFonts w:hint="eastAsia" w:ascii="宋体" w:hAnsi="宋体" w:cs="宋体"/>
                <w:sz w:val="21"/>
                <w:szCs w:val="21"/>
              </w:rPr>
            </w:pPr>
            <w:r>
              <w:rPr>
                <w:rFonts w:ascii="宋体" w:hAnsi="宋体" w:cs="宋体"/>
                <w:sz w:val="21"/>
                <w:szCs w:val="21"/>
              </w:rPr>
              <w:t>②水质帮扶监测结果及评价：水质帮扶监测结果表报表生成及查询、监测结果统计评价报表生成及查询、监测多月统计结果生成及查询、评价多月统计生成及查询、同比与环比分析图表生成等。</w:t>
            </w:r>
          </w:p>
          <w:p w14:paraId="0ECDBBB5">
            <w:pPr>
              <w:pStyle w:val="2"/>
              <w:spacing w:line="400" w:lineRule="exact"/>
              <w:ind w:firstLine="420"/>
              <w:rPr>
                <w:rFonts w:hint="eastAsia" w:ascii="宋体" w:hAnsi="宋体" w:cs="宋体"/>
                <w:sz w:val="21"/>
                <w:szCs w:val="21"/>
              </w:rPr>
            </w:pPr>
            <w:r>
              <w:rPr>
                <w:rFonts w:ascii="宋体" w:hAnsi="宋体" w:cs="宋体"/>
                <w:sz w:val="21"/>
                <w:szCs w:val="21"/>
              </w:rPr>
              <w:t>③水功能区评价分析：水功能区监测结果评价、水功能区达标率评价、水功能区水质类别统计等。</w:t>
            </w:r>
          </w:p>
          <w:p w14:paraId="5AC94A67">
            <w:pPr>
              <w:pStyle w:val="2"/>
              <w:spacing w:line="400" w:lineRule="exact"/>
              <w:ind w:firstLine="420"/>
              <w:rPr>
                <w:rFonts w:hint="eastAsia" w:ascii="宋体" w:hAnsi="宋体" w:cs="宋体"/>
                <w:sz w:val="21"/>
                <w:szCs w:val="21"/>
              </w:rPr>
            </w:pPr>
            <w:r>
              <w:rPr>
                <w:rFonts w:ascii="宋体" w:hAnsi="宋体" w:cs="宋体"/>
                <w:sz w:val="21"/>
                <w:szCs w:val="21"/>
              </w:rPr>
              <w:t>④地表水水质评价分析：地表水水质监测结果评价、地表水水质达标率评价、地表水水质类别统计分析、地表水水质污染统计分析等。</w:t>
            </w:r>
          </w:p>
          <w:p w14:paraId="795BB029">
            <w:pPr>
              <w:pStyle w:val="2"/>
              <w:spacing w:line="400" w:lineRule="exact"/>
              <w:ind w:firstLine="420"/>
              <w:rPr>
                <w:rFonts w:hint="eastAsia" w:ascii="宋体" w:hAnsi="宋体" w:cs="宋体"/>
                <w:sz w:val="21"/>
                <w:szCs w:val="21"/>
              </w:rPr>
            </w:pPr>
            <w:r>
              <w:rPr>
                <w:rFonts w:ascii="宋体" w:hAnsi="宋体" w:cs="宋体"/>
                <w:sz w:val="21"/>
                <w:szCs w:val="21"/>
              </w:rPr>
              <w:t>⑤专项监测查询统计分析：专项监测结果表报表生成及查询、监测结果统计评价报表生成及查询、监测多月统计结果生成及查询、评价多月统计生成及查询、同比与环比分析图表生成等。</w:t>
            </w:r>
          </w:p>
          <w:p w14:paraId="776A8896">
            <w:pPr>
              <w:pStyle w:val="2"/>
              <w:spacing w:line="400" w:lineRule="exact"/>
              <w:ind w:firstLine="420"/>
              <w:rPr>
                <w:rFonts w:hint="eastAsia" w:ascii="宋体" w:hAnsi="宋体" w:cs="宋体"/>
                <w:sz w:val="21"/>
                <w:szCs w:val="21"/>
              </w:rPr>
            </w:pPr>
            <w:r>
              <w:rPr>
                <w:rFonts w:ascii="宋体" w:hAnsi="宋体" w:cs="宋体"/>
                <w:sz w:val="21"/>
                <w:szCs w:val="21"/>
              </w:rPr>
              <w:t>（3）噪声环境监测数据分析</w:t>
            </w:r>
          </w:p>
          <w:p w14:paraId="561CCBA5">
            <w:pPr>
              <w:pStyle w:val="2"/>
              <w:spacing w:line="400" w:lineRule="exact"/>
              <w:ind w:firstLine="420"/>
              <w:rPr>
                <w:rFonts w:hint="eastAsia" w:ascii="宋体" w:hAnsi="宋体" w:cs="宋体"/>
                <w:sz w:val="21"/>
                <w:szCs w:val="21"/>
              </w:rPr>
            </w:pPr>
            <w:r>
              <w:rPr>
                <w:rFonts w:ascii="宋体" w:hAnsi="宋体" w:cs="宋体"/>
                <w:sz w:val="21"/>
                <w:szCs w:val="21"/>
              </w:rPr>
              <w:t>以年度、季度、城市、测点名称、路段名称、监测时间、小时范围为查询条件，实现Leq、L10、L50、L90、最大值、最小值等数据获取，进行噪声数据分析评价。含交通噪声统计分析、区域噪声统计分析、功能区噪声统计分析。</w:t>
            </w:r>
          </w:p>
          <w:p w14:paraId="4597CD92">
            <w:pPr>
              <w:pStyle w:val="2"/>
              <w:spacing w:line="400" w:lineRule="exact"/>
              <w:ind w:firstLine="420"/>
              <w:rPr>
                <w:rFonts w:hint="eastAsia" w:ascii="宋体" w:hAnsi="宋体" w:cs="宋体"/>
                <w:sz w:val="21"/>
                <w:szCs w:val="21"/>
              </w:rPr>
            </w:pPr>
            <w:r>
              <w:rPr>
                <w:rFonts w:ascii="宋体" w:hAnsi="宋体" w:cs="宋体"/>
                <w:sz w:val="21"/>
                <w:szCs w:val="21"/>
              </w:rPr>
              <w:t>①交通噪声统计分析：包括数据查询、声环境质量状况统计、声级排序及与</w:t>
            </w:r>
            <w:r>
              <w:rPr>
                <w:rFonts w:hint="eastAsia" w:ascii="宋体" w:hAnsi="宋体" w:cs="宋体"/>
                <w:sz w:val="21"/>
                <w:szCs w:val="21"/>
              </w:rPr>
              <w:t>（</w:t>
            </w:r>
            <w:r>
              <w:rPr>
                <w:rFonts w:ascii="宋体" w:hAnsi="宋体" w:cs="宋体"/>
                <w:sz w:val="21"/>
                <w:szCs w:val="21"/>
              </w:rPr>
              <w:t>上</w:t>
            </w:r>
            <w:r>
              <w:rPr>
                <w:rFonts w:hint="eastAsia" w:ascii="宋体" w:hAnsi="宋体" w:cs="宋体"/>
                <w:sz w:val="21"/>
                <w:szCs w:val="21"/>
              </w:rPr>
              <w:t>）</w:t>
            </w:r>
            <w:r>
              <w:rPr>
                <w:rFonts w:ascii="宋体" w:hAnsi="宋体" w:cs="宋体"/>
                <w:sz w:val="21"/>
                <w:szCs w:val="21"/>
              </w:rPr>
              <w:t>年比较、声级变化超过±1dB的城市、声环境质量比较、各声级路段长度分布等。</w:t>
            </w:r>
          </w:p>
          <w:p w14:paraId="4CB9773E">
            <w:pPr>
              <w:pStyle w:val="2"/>
              <w:spacing w:line="400" w:lineRule="exact"/>
              <w:ind w:firstLine="420"/>
              <w:rPr>
                <w:rFonts w:hint="eastAsia" w:ascii="宋体" w:hAnsi="宋体" w:cs="宋体"/>
                <w:sz w:val="21"/>
                <w:szCs w:val="21"/>
              </w:rPr>
            </w:pPr>
            <w:r>
              <w:rPr>
                <w:rFonts w:ascii="宋体" w:hAnsi="宋体" w:cs="宋体"/>
                <w:sz w:val="21"/>
                <w:szCs w:val="21"/>
              </w:rPr>
              <w:t>②区域噪声统计分析：包括数据查询、声环境质量状况、噪声监测结果、声环境质量状况统计、声级排序及与变化比较、声级变化超过±1dB的城市等。</w:t>
            </w:r>
          </w:p>
          <w:p w14:paraId="18E26CA2">
            <w:pPr>
              <w:pStyle w:val="2"/>
              <w:spacing w:line="400" w:lineRule="exact"/>
              <w:ind w:firstLine="420"/>
              <w:rPr>
                <w:rFonts w:hint="eastAsia" w:ascii="宋体" w:hAnsi="宋体" w:cs="宋体"/>
                <w:sz w:val="21"/>
                <w:szCs w:val="21"/>
              </w:rPr>
            </w:pPr>
            <w:r>
              <w:rPr>
                <w:rFonts w:ascii="宋体" w:hAnsi="宋体" w:cs="宋体"/>
                <w:sz w:val="21"/>
                <w:szCs w:val="21"/>
              </w:rPr>
              <w:t>③功能区噪声统计分析：包括数据查询、声环境质量状况统计、昼夜声环境质量达标率、当年与上年声环境质量达标状况统计、分时段声环境平均统计、点位季度达标统计、城市季度达标率统计等。</w:t>
            </w:r>
          </w:p>
          <w:p w14:paraId="595E3E4E">
            <w:pPr>
              <w:pStyle w:val="2"/>
              <w:spacing w:line="400" w:lineRule="exact"/>
              <w:ind w:firstLine="420"/>
              <w:rPr>
                <w:rFonts w:hint="eastAsia" w:ascii="宋体" w:hAnsi="宋体" w:cs="宋体"/>
                <w:sz w:val="21"/>
                <w:szCs w:val="21"/>
              </w:rPr>
            </w:pPr>
            <w:r>
              <w:rPr>
                <w:rFonts w:ascii="宋体" w:hAnsi="宋体" w:cs="宋体"/>
                <w:sz w:val="21"/>
                <w:szCs w:val="21"/>
              </w:rPr>
              <w:t>（4）降水环境监测数据分析：以城市名称、站点名称、采样时间、区域类型、时间类型为查询条件，实现对降水监测数据查询及统计分析。含监测数据查询导出、酸雨频率查询导出、当量浓度查询导出、城市酸雨等级分析查询导出、降水场次pH值频数分布查询导出、降水各参数时间变化规律查询导出、降水状况与同期比较查询导出、降水状况与上一年比较查询导出、降水离子项目监测查询导出、城市降水监测查询导出等。</w:t>
            </w:r>
          </w:p>
          <w:p w14:paraId="14D89D12">
            <w:pPr>
              <w:pStyle w:val="2"/>
              <w:spacing w:line="400" w:lineRule="exact"/>
              <w:ind w:firstLine="420"/>
              <w:rPr>
                <w:rFonts w:hint="eastAsia" w:ascii="宋体" w:hAnsi="宋体" w:cs="宋体"/>
                <w:sz w:val="21"/>
                <w:szCs w:val="21"/>
              </w:rPr>
            </w:pPr>
            <w:r>
              <w:rPr>
                <w:rFonts w:ascii="宋体" w:hAnsi="宋体" w:cs="宋体"/>
                <w:sz w:val="21"/>
                <w:szCs w:val="21"/>
              </w:rPr>
              <w:t>（5）农村环境监测数据分析</w:t>
            </w:r>
          </w:p>
          <w:p w14:paraId="7ED81346">
            <w:pPr>
              <w:pStyle w:val="2"/>
              <w:spacing w:line="400" w:lineRule="exact"/>
              <w:ind w:firstLine="420"/>
              <w:rPr>
                <w:rFonts w:hint="eastAsia" w:ascii="宋体" w:hAnsi="宋体" w:cs="宋体"/>
                <w:sz w:val="21"/>
                <w:szCs w:val="21"/>
              </w:rPr>
            </w:pPr>
            <w:r>
              <w:rPr>
                <w:rFonts w:ascii="宋体" w:hAnsi="宋体" w:cs="宋体"/>
                <w:sz w:val="21"/>
                <w:szCs w:val="21"/>
              </w:rPr>
              <w:t>以所属市、区县、村庄名称、监测时间作为查询条件，实现对本年度或历史年份农村环境监测数据查询，统计分析平均数据、质量状况、县域变化情况、超标率等，及对农村监测点位基本信息进行管理。含空气、饮用水</w:t>
            </w:r>
            <w:r>
              <w:rPr>
                <w:rFonts w:hint="eastAsia" w:ascii="宋体" w:hAnsi="宋体" w:cs="宋体"/>
                <w:sz w:val="21"/>
                <w:szCs w:val="21"/>
              </w:rPr>
              <w:t>（</w:t>
            </w:r>
            <w:r>
              <w:rPr>
                <w:rFonts w:ascii="宋体" w:hAnsi="宋体" w:cs="宋体"/>
                <w:sz w:val="21"/>
                <w:szCs w:val="21"/>
              </w:rPr>
              <w:t>地表水</w:t>
            </w:r>
            <w:r>
              <w:rPr>
                <w:rFonts w:hint="eastAsia" w:ascii="宋体" w:hAnsi="宋体" w:cs="宋体"/>
                <w:sz w:val="21"/>
                <w:szCs w:val="21"/>
              </w:rPr>
              <w:t>）</w:t>
            </w:r>
            <w:r>
              <w:rPr>
                <w:rFonts w:ascii="宋体" w:hAnsi="宋体" w:cs="宋体"/>
                <w:sz w:val="21"/>
                <w:szCs w:val="21"/>
              </w:rPr>
              <w:t>、饮用水</w:t>
            </w:r>
            <w:r>
              <w:rPr>
                <w:rFonts w:hint="eastAsia" w:ascii="宋体" w:hAnsi="宋体" w:cs="宋体"/>
                <w:sz w:val="21"/>
                <w:szCs w:val="21"/>
              </w:rPr>
              <w:t>（</w:t>
            </w:r>
            <w:r>
              <w:rPr>
                <w:rFonts w:ascii="宋体" w:hAnsi="宋体" w:cs="宋体"/>
                <w:sz w:val="21"/>
                <w:szCs w:val="21"/>
              </w:rPr>
              <w:t>地下水</w:t>
            </w:r>
            <w:r>
              <w:rPr>
                <w:rFonts w:hint="eastAsia" w:ascii="宋体" w:hAnsi="宋体" w:cs="宋体"/>
                <w:sz w:val="21"/>
                <w:szCs w:val="21"/>
              </w:rPr>
              <w:t>）</w:t>
            </w:r>
            <w:r>
              <w:rPr>
                <w:rFonts w:ascii="宋体" w:hAnsi="宋体" w:cs="宋体"/>
                <w:sz w:val="21"/>
                <w:szCs w:val="21"/>
              </w:rPr>
              <w:t>、地表水（万人千吨）、地下水（万人千吨）、县域地表水、农业面源、土壤等监测数据。</w:t>
            </w:r>
          </w:p>
          <w:p w14:paraId="22CD331B">
            <w:pPr>
              <w:pStyle w:val="2"/>
              <w:spacing w:line="400" w:lineRule="exact"/>
              <w:ind w:firstLine="420"/>
              <w:rPr>
                <w:rFonts w:hint="eastAsia" w:ascii="宋体" w:hAnsi="宋体" w:cs="宋体"/>
                <w:sz w:val="21"/>
                <w:szCs w:val="21"/>
              </w:rPr>
            </w:pPr>
            <w:r>
              <w:rPr>
                <w:rFonts w:ascii="宋体" w:hAnsi="宋体" w:cs="宋体"/>
                <w:sz w:val="21"/>
                <w:szCs w:val="21"/>
              </w:rPr>
              <w:t>2.应急监测</w:t>
            </w:r>
          </w:p>
          <w:p w14:paraId="70AC539C">
            <w:pPr>
              <w:pStyle w:val="2"/>
              <w:spacing w:line="400" w:lineRule="exact"/>
              <w:ind w:firstLine="420"/>
              <w:rPr>
                <w:rFonts w:hint="eastAsia" w:ascii="宋体" w:hAnsi="宋体" w:cs="宋体"/>
                <w:sz w:val="21"/>
                <w:szCs w:val="21"/>
              </w:rPr>
            </w:pPr>
            <w:r>
              <w:rPr>
                <w:rFonts w:ascii="宋体" w:hAnsi="宋体" w:cs="宋体"/>
                <w:sz w:val="21"/>
                <w:szCs w:val="21"/>
              </w:rPr>
              <w:t>应急监测系统功能，是用于监测部门</w:t>
            </w:r>
            <w:r>
              <w:rPr>
                <w:rFonts w:hint="eastAsia" w:ascii="宋体" w:hAnsi="宋体" w:cs="宋体"/>
                <w:sz w:val="21"/>
                <w:szCs w:val="21"/>
              </w:rPr>
              <w:t>对</w:t>
            </w:r>
            <w:r>
              <w:rPr>
                <w:rFonts w:ascii="宋体" w:hAnsi="宋体" w:cs="宋体"/>
                <w:sz w:val="21"/>
                <w:szCs w:val="21"/>
              </w:rPr>
              <w:t>生态环境应急的实时查看和调度环境监测实况。含指挥调度、应急资源管理、系统后台等。</w:t>
            </w:r>
          </w:p>
          <w:p w14:paraId="0894B166">
            <w:pPr>
              <w:pStyle w:val="2"/>
              <w:spacing w:line="400" w:lineRule="exact"/>
              <w:ind w:firstLine="420"/>
              <w:rPr>
                <w:rFonts w:hint="eastAsia" w:ascii="宋体" w:hAnsi="宋体" w:cs="宋体"/>
                <w:sz w:val="21"/>
                <w:szCs w:val="21"/>
              </w:rPr>
            </w:pPr>
            <w:r>
              <w:rPr>
                <w:rFonts w:ascii="宋体" w:hAnsi="宋体" w:cs="宋体"/>
                <w:sz w:val="21"/>
                <w:szCs w:val="21"/>
              </w:rPr>
              <w:t>（1）指挥调度。地图功能、监测方案制定及报告生成功能、风险源信息展示功能、处置物资详情查看功能等。</w:t>
            </w:r>
          </w:p>
          <w:p w14:paraId="4D78A470">
            <w:pPr>
              <w:pStyle w:val="2"/>
              <w:spacing w:line="400" w:lineRule="exact"/>
              <w:ind w:firstLine="420"/>
              <w:rPr>
                <w:rFonts w:hint="eastAsia" w:ascii="宋体" w:hAnsi="宋体" w:cs="宋体"/>
                <w:sz w:val="21"/>
                <w:szCs w:val="21"/>
              </w:rPr>
            </w:pPr>
            <w:r>
              <w:rPr>
                <w:rFonts w:ascii="宋体" w:hAnsi="宋体" w:cs="宋体"/>
                <w:sz w:val="21"/>
                <w:szCs w:val="21"/>
              </w:rPr>
              <w:t>①地图功能：具备地图基础功能，显示范围内的河流、村庄、道路等情况，实现距离测量、面积量算、半径量算、测量坐标。</w:t>
            </w:r>
          </w:p>
          <w:p w14:paraId="43196F7E">
            <w:pPr>
              <w:pStyle w:val="2"/>
              <w:spacing w:line="400" w:lineRule="exact"/>
              <w:ind w:firstLine="420"/>
              <w:rPr>
                <w:rFonts w:hint="eastAsia" w:ascii="宋体" w:hAnsi="宋体" w:cs="宋体"/>
                <w:sz w:val="21"/>
                <w:szCs w:val="21"/>
              </w:rPr>
            </w:pPr>
            <w:r>
              <w:rPr>
                <w:rFonts w:ascii="宋体" w:hAnsi="宋体" w:cs="宋体"/>
                <w:sz w:val="21"/>
                <w:szCs w:val="21"/>
              </w:rPr>
              <w:t>②监测方案制定及报告生成：实现应急监测任务接警、基本信息完善、数据录入等，按指定模板随时生成监测方案及报告。</w:t>
            </w:r>
          </w:p>
          <w:p w14:paraId="1CE7B22E">
            <w:pPr>
              <w:pStyle w:val="2"/>
              <w:spacing w:line="400" w:lineRule="exact"/>
              <w:ind w:firstLine="420"/>
              <w:rPr>
                <w:rFonts w:hint="eastAsia" w:ascii="宋体" w:hAnsi="宋体" w:cs="宋体"/>
                <w:sz w:val="21"/>
                <w:szCs w:val="21"/>
              </w:rPr>
            </w:pPr>
            <w:r>
              <w:rPr>
                <w:rFonts w:ascii="宋体" w:hAnsi="宋体" w:cs="宋体"/>
                <w:sz w:val="21"/>
                <w:szCs w:val="21"/>
              </w:rPr>
              <w:t>③风险源信息展示：在地图中按地理位置标注风险源信息。</w:t>
            </w:r>
          </w:p>
          <w:p w14:paraId="71A3B09A">
            <w:pPr>
              <w:pStyle w:val="2"/>
              <w:spacing w:line="400" w:lineRule="exact"/>
              <w:ind w:firstLine="420"/>
              <w:rPr>
                <w:rFonts w:hint="eastAsia" w:ascii="宋体" w:hAnsi="宋体" w:cs="宋体"/>
                <w:sz w:val="21"/>
                <w:szCs w:val="21"/>
              </w:rPr>
            </w:pPr>
            <w:r>
              <w:rPr>
                <w:rFonts w:ascii="宋体" w:hAnsi="宋体" w:cs="宋体"/>
                <w:sz w:val="21"/>
                <w:szCs w:val="21"/>
              </w:rPr>
              <w:t>④处置物资详情查看：在地图中显示周围半径内处置物资信息。</w:t>
            </w:r>
          </w:p>
          <w:p w14:paraId="03771BEA">
            <w:pPr>
              <w:pStyle w:val="2"/>
              <w:spacing w:line="400" w:lineRule="exact"/>
              <w:ind w:firstLine="420"/>
              <w:rPr>
                <w:rFonts w:hint="eastAsia" w:ascii="宋体" w:hAnsi="宋体" w:cs="宋体"/>
                <w:sz w:val="21"/>
                <w:szCs w:val="21"/>
              </w:rPr>
            </w:pPr>
            <w:r>
              <w:rPr>
                <w:rFonts w:ascii="宋体" w:hAnsi="宋体" w:cs="宋体"/>
                <w:sz w:val="21"/>
                <w:szCs w:val="21"/>
              </w:rPr>
              <w:t>（2）应急资源管理。化学品管理、典型案例库管理、法律法规查询、监测资质管理、重点企业信息管理、应急处置物资分类管理、常用标准入库管理、监测设备管理、应急监测及处置方法管理、应急专家库管理等。</w:t>
            </w:r>
          </w:p>
          <w:p w14:paraId="684D37AD">
            <w:pPr>
              <w:pStyle w:val="2"/>
              <w:spacing w:line="400" w:lineRule="exact"/>
              <w:ind w:firstLine="420"/>
              <w:rPr>
                <w:rFonts w:hint="eastAsia" w:ascii="宋体" w:hAnsi="宋体" w:cs="宋体"/>
                <w:sz w:val="21"/>
                <w:szCs w:val="21"/>
              </w:rPr>
            </w:pPr>
            <w:r>
              <w:rPr>
                <w:rFonts w:ascii="宋体" w:hAnsi="宋体" w:cs="宋体"/>
                <w:sz w:val="21"/>
                <w:szCs w:val="21"/>
              </w:rPr>
              <w:t>①化学品管理：包括环境知识库和危险品管理。环境知识库服务于应急处置技术选择、应急指挥决策等，危险品管理可实现基础信息维护、浏览和查询。</w:t>
            </w:r>
          </w:p>
          <w:p w14:paraId="1C155CFC">
            <w:pPr>
              <w:pStyle w:val="2"/>
              <w:spacing w:line="400" w:lineRule="exact"/>
              <w:ind w:firstLine="420"/>
              <w:rPr>
                <w:rFonts w:hint="eastAsia" w:ascii="宋体" w:hAnsi="宋体" w:cs="宋体"/>
                <w:sz w:val="21"/>
                <w:szCs w:val="21"/>
              </w:rPr>
            </w:pPr>
            <w:r>
              <w:rPr>
                <w:rFonts w:ascii="宋体" w:hAnsi="宋体" w:cs="宋体"/>
                <w:sz w:val="21"/>
                <w:szCs w:val="21"/>
              </w:rPr>
              <w:t>②典型案例库管理：建立突发环境事件应急案例库，提供辅助决策支持。</w:t>
            </w:r>
          </w:p>
          <w:p w14:paraId="0504F8AF">
            <w:pPr>
              <w:pStyle w:val="2"/>
              <w:spacing w:line="400" w:lineRule="exact"/>
              <w:ind w:firstLine="420"/>
              <w:rPr>
                <w:rFonts w:hint="eastAsia" w:ascii="宋体" w:hAnsi="宋体" w:cs="宋体"/>
                <w:sz w:val="21"/>
                <w:szCs w:val="21"/>
              </w:rPr>
            </w:pPr>
            <w:r>
              <w:rPr>
                <w:rFonts w:ascii="宋体" w:hAnsi="宋体" w:cs="宋体"/>
                <w:sz w:val="21"/>
                <w:szCs w:val="21"/>
              </w:rPr>
              <w:t>③法律法规查询：对应急监测法律法规信息维护、查询。</w:t>
            </w:r>
          </w:p>
          <w:p w14:paraId="385EECBF">
            <w:pPr>
              <w:pStyle w:val="2"/>
              <w:spacing w:line="400" w:lineRule="exact"/>
              <w:ind w:firstLine="420"/>
              <w:rPr>
                <w:rFonts w:hint="eastAsia" w:ascii="宋体" w:hAnsi="宋体" w:cs="宋体"/>
                <w:sz w:val="21"/>
                <w:szCs w:val="21"/>
              </w:rPr>
            </w:pPr>
            <w:r>
              <w:rPr>
                <w:rFonts w:ascii="宋体" w:hAnsi="宋体" w:cs="宋体"/>
                <w:sz w:val="21"/>
                <w:szCs w:val="21"/>
              </w:rPr>
              <w:t>④监测资质管理：对本单位监测资质信息进行编辑、修改、查询等，并自动关联系统内的监测方法。</w:t>
            </w:r>
          </w:p>
          <w:p w14:paraId="68876823">
            <w:pPr>
              <w:pStyle w:val="2"/>
              <w:spacing w:line="400" w:lineRule="exact"/>
              <w:ind w:firstLine="420"/>
              <w:rPr>
                <w:rFonts w:hint="eastAsia" w:ascii="宋体" w:hAnsi="宋体" w:cs="宋体"/>
                <w:sz w:val="21"/>
                <w:szCs w:val="21"/>
              </w:rPr>
            </w:pPr>
            <w:r>
              <w:rPr>
                <w:rFonts w:ascii="宋体" w:hAnsi="宋体" w:cs="宋体"/>
                <w:sz w:val="21"/>
                <w:szCs w:val="21"/>
              </w:rPr>
              <w:t>⑤重点企业信息管理：对辖区内重点企业信息进行维护及查询。</w:t>
            </w:r>
          </w:p>
          <w:p w14:paraId="56CDAADE">
            <w:pPr>
              <w:pStyle w:val="2"/>
              <w:spacing w:line="400" w:lineRule="exact"/>
              <w:ind w:firstLine="420"/>
              <w:rPr>
                <w:rFonts w:hint="eastAsia" w:ascii="宋体" w:hAnsi="宋体" w:cs="宋体"/>
                <w:sz w:val="21"/>
                <w:szCs w:val="21"/>
              </w:rPr>
            </w:pPr>
            <w:r>
              <w:rPr>
                <w:rFonts w:ascii="宋体" w:hAnsi="宋体" w:cs="宋体"/>
                <w:sz w:val="21"/>
                <w:szCs w:val="21"/>
              </w:rPr>
              <w:t>⑥应急处置物资分类管理：对应急监测资源按照用途等属性进行集中分类管理。</w:t>
            </w:r>
          </w:p>
          <w:p w14:paraId="3FDAA683">
            <w:pPr>
              <w:pStyle w:val="2"/>
              <w:spacing w:line="400" w:lineRule="exact"/>
              <w:ind w:firstLine="420"/>
              <w:rPr>
                <w:rFonts w:hint="eastAsia" w:ascii="宋体" w:hAnsi="宋体" w:cs="宋体"/>
                <w:sz w:val="21"/>
                <w:szCs w:val="21"/>
              </w:rPr>
            </w:pPr>
            <w:r>
              <w:rPr>
                <w:rFonts w:ascii="宋体" w:hAnsi="宋体" w:cs="宋体"/>
                <w:sz w:val="21"/>
                <w:szCs w:val="21"/>
              </w:rPr>
              <w:fldChar w:fldCharType="begin"/>
            </w:r>
            <w:r>
              <w:rPr>
                <w:rFonts w:ascii="宋体" w:hAnsi="宋体" w:cs="宋体"/>
                <w:sz w:val="21"/>
                <w:szCs w:val="21"/>
              </w:rPr>
              <w:instrText xml:space="preserve"> = 7 \* GB3 \* MERGEFORMAT </w:instrText>
            </w:r>
            <w:r>
              <w:rPr>
                <w:rFonts w:ascii="宋体" w:hAnsi="宋体" w:cs="宋体"/>
                <w:sz w:val="21"/>
                <w:szCs w:val="21"/>
              </w:rPr>
              <w:fldChar w:fldCharType="separate"/>
            </w:r>
            <w:r>
              <w:rPr>
                <w:rFonts w:ascii="宋体" w:hAnsi="宋体" w:cs="宋体"/>
                <w:sz w:val="21"/>
                <w:szCs w:val="21"/>
              </w:rPr>
              <w:t>⑦</w:t>
            </w:r>
            <w:r>
              <w:rPr>
                <w:rFonts w:ascii="宋体" w:hAnsi="宋体" w:cs="宋体"/>
                <w:sz w:val="21"/>
                <w:szCs w:val="21"/>
              </w:rPr>
              <w:fldChar w:fldCharType="end"/>
            </w:r>
            <w:r>
              <w:rPr>
                <w:rFonts w:ascii="宋体" w:hAnsi="宋体" w:cs="宋体"/>
                <w:sz w:val="21"/>
                <w:szCs w:val="21"/>
              </w:rPr>
              <w:t>常用标准入库管理：对应急工作标准信息进行维护及查询。</w:t>
            </w:r>
          </w:p>
          <w:p w14:paraId="14DF51C4">
            <w:pPr>
              <w:pStyle w:val="2"/>
              <w:spacing w:line="400" w:lineRule="exact"/>
              <w:ind w:firstLine="420"/>
              <w:rPr>
                <w:rFonts w:hint="eastAsia" w:ascii="宋体" w:hAnsi="宋体" w:cs="宋体"/>
                <w:sz w:val="21"/>
                <w:szCs w:val="21"/>
              </w:rPr>
            </w:pPr>
            <w:r>
              <w:rPr>
                <w:rFonts w:ascii="宋体" w:hAnsi="宋体" w:cs="宋体"/>
                <w:sz w:val="21"/>
                <w:szCs w:val="21"/>
              </w:rPr>
              <w:fldChar w:fldCharType="begin"/>
            </w:r>
            <w:r>
              <w:rPr>
                <w:rFonts w:ascii="宋体" w:hAnsi="宋体" w:cs="宋体"/>
                <w:sz w:val="21"/>
                <w:szCs w:val="21"/>
              </w:rPr>
              <w:instrText xml:space="preserve"> = 8 \* GB3 \* MERGEFORMAT </w:instrText>
            </w:r>
            <w:r>
              <w:rPr>
                <w:rFonts w:ascii="宋体" w:hAnsi="宋体" w:cs="宋体"/>
                <w:sz w:val="21"/>
                <w:szCs w:val="21"/>
              </w:rPr>
              <w:fldChar w:fldCharType="separate"/>
            </w:r>
            <w:r>
              <w:rPr>
                <w:rFonts w:ascii="宋体" w:hAnsi="宋体" w:cs="宋体"/>
                <w:sz w:val="21"/>
                <w:szCs w:val="21"/>
              </w:rPr>
              <w:t>⑧</w:t>
            </w:r>
            <w:r>
              <w:rPr>
                <w:rFonts w:ascii="宋体" w:hAnsi="宋体" w:cs="宋体"/>
                <w:sz w:val="21"/>
                <w:szCs w:val="21"/>
              </w:rPr>
              <w:fldChar w:fldCharType="end"/>
            </w:r>
            <w:r>
              <w:rPr>
                <w:rFonts w:ascii="宋体" w:hAnsi="宋体" w:cs="宋体"/>
                <w:sz w:val="21"/>
                <w:szCs w:val="21"/>
              </w:rPr>
              <w:t>监测设备管理：实现应急监测设备及监测耗材、库存耗材管理。</w:t>
            </w:r>
          </w:p>
          <w:p w14:paraId="7036C35C">
            <w:pPr>
              <w:pStyle w:val="2"/>
              <w:spacing w:line="400" w:lineRule="exact"/>
              <w:ind w:firstLine="420"/>
              <w:rPr>
                <w:rFonts w:hint="eastAsia" w:ascii="宋体" w:hAnsi="宋体" w:cs="宋体"/>
                <w:sz w:val="21"/>
                <w:szCs w:val="21"/>
              </w:rPr>
            </w:pPr>
            <w:r>
              <w:rPr>
                <w:rFonts w:ascii="宋体" w:hAnsi="宋体" w:cs="宋体"/>
                <w:sz w:val="21"/>
                <w:szCs w:val="21"/>
              </w:rPr>
              <w:fldChar w:fldCharType="begin"/>
            </w:r>
            <w:r>
              <w:rPr>
                <w:rFonts w:ascii="宋体" w:hAnsi="宋体" w:cs="宋体"/>
                <w:sz w:val="21"/>
                <w:szCs w:val="21"/>
              </w:rPr>
              <w:instrText xml:space="preserve"> = 9 \* GB3 \* MERGEFORMAT </w:instrText>
            </w:r>
            <w:r>
              <w:rPr>
                <w:rFonts w:ascii="宋体" w:hAnsi="宋体" w:cs="宋体"/>
                <w:sz w:val="21"/>
                <w:szCs w:val="21"/>
              </w:rPr>
              <w:fldChar w:fldCharType="separate"/>
            </w:r>
            <w:r>
              <w:rPr>
                <w:rFonts w:ascii="宋体" w:hAnsi="宋体" w:cs="宋体"/>
                <w:sz w:val="21"/>
                <w:szCs w:val="21"/>
              </w:rPr>
              <w:t>⑨</w:t>
            </w:r>
            <w:r>
              <w:rPr>
                <w:rFonts w:ascii="宋体" w:hAnsi="宋体" w:cs="宋体"/>
                <w:sz w:val="21"/>
                <w:szCs w:val="21"/>
              </w:rPr>
              <w:fldChar w:fldCharType="end"/>
            </w:r>
            <w:r>
              <w:rPr>
                <w:rFonts w:ascii="宋体" w:hAnsi="宋体" w:cs="宋体"/>
                <w:sz w:val="21"/>
                <w:szCs w:val="21"/>
              </w:rPr>
              <w:t>应急监测及处置方法管理：对应急监测方法、适用范围、适用设备、污染物类别、监测类型及常用处置方法等信息进行维护及管理。</w:t>
            </w:r>
          </w:p>
          <w:p w14:paraId="20269C33">
            <w:pPr>
              <w:pStyle w:val="2"/>
              <w:spacing w:line="400" w:lineRule="exact"/>
              <w:ind w:firstLine="420"/>
              <w:rPr>
                <w:rFonts w:hint="eastAsia" w:ascii="宋体" w:hAnsi="宋体" w:cs="宋体"/>
                <w:sz w:val="21"/>
                <w:szCs w:val="21"/>
              </w:rPr>
            </w:pPr>
            <w:r>
              <w:rPr>
                <w:rFonts w:ascii="宋体" w:hAnsi="宋体" w:cs="宋体"/>
                <w:sz w:val="21"/>
                <w:szCs w:val="21"/>
              </w:rPr>
              <w:fldChar w:fldCharType="begin"/>
            </w:r>
            <w:r>
              <w:rPr>
                <w:rFonts w:ascii="宋体" w:hAnsi="宋体" w:cs="宋体"/>
                <w:sz w:val="21"/>
                <w:szCs w:val="21"/>
              </w:rPr>
              <w:instrText xml:space="preserve"> = 10 \* GB3 \* MERGEFORMAT </w:instrText>
            </w:r>
            <w:r>
              <w:rPr>
                <w:rFonts w:ascii="宋体" w:hAnsi="宋体" w:cs="宋体"/>
                <w:sz w:val="21"/>
                <w:szCs w:val="21"/>
              </w:rPr>
              <w:fldChar w:fldCharType="separate"/>
            </w:r>
            <w:r>
              <w:rPr>
                <w:rFonts w:ascii="宋体" w:hAnsi="宋体" w:cs="宋体"/>
                <w:sz w:val="21"/>
                <w:szCs w:val="21"/>
              </w:rPr>
              <w:t>⑩</w:t>
            </w:r>
            <w:r>
              <w:rPr>
                <w:rFonts w:ascii="宋体" w:hAnsi="宋体" w:cs="宋体"/>
                <w:sz w:val="21"/>
                <w:szCs w:val="21"/>
              </w:rPr>
              <w:fldChar w:fldCharType="end"/>
            </w:r>
            <w:r>
              <w:rPr>
                <w:rFonts w:ascii="宋体" w:hAnsi="宋体" w:cs="宋体"/>
                <w:sz w:val="21"/>
                <w:szCs w:val="21"/>
              </w:rPr>
              <w:t>应急专家库管理：实现应急监测组织信息维护及查询。</w:t>
            </w:r>
          </w:p>
          <w:p w14:paraId="7DD62AE4">
            <w:pPr>
              <w:pStyle w:val="2"/>
              <w:spacing w:line="400" w:lineRule="exact"/>
              <w:ind w:firstLine="420"/>
              <w:rPr>
                <w:rFonts w:hint="eastAsia" w:ascii="宋体" w:hAnsi="宋体" w:cs="宋体"/>
                <w:sz w:val="21"/>
                <w:szCs w:val="21"/>
              </w:rPr>
            </w:pPr>
            <w:r>
              <w:rPr>
                <w:rFonts w:ascii="宋体" w:hAnsi="宋体" w:cs="宋体"/>
                <w:sz w:val="21"/>
                <w:szCs w:val="21"/>
              </w:rPr>
              <w:t>（3）系统后台。包括用户管理、角色管理、部门管理、系统日志等。</w:t>
            </w:r>
          </w:p>
          <w:p w14:paraId="4EDCB5E0">
            <w:pPr>
              <w:pStyle w:val="2"/>
              <w:spacing w:line="400" w:lineRule="exact"/>
              <w:ind w:firstLine="420"/>
              <w:rPr>
                <w:rFonts w:hint="eastAsia" w:ascii="宋体" w:hAnsi="宋体" w:cs="宋体"/>
                <w:sz w:val="21"/>
                <w:szCs w:val="21"/>
              </w:rPr>
            </w:pPr>
            <w:r>
              <w:rPr>
                <w:rFonts w:ascii="宋体" w:hAnsi="宋体" w:cs="宋体"/>
                <w:sz w:val="21"/>
                <w:szCs w:val="21"/>
              </w:rPr>
              <w:t>（三）性能指标</w:t>
            </w:r>
          </w:p>
          <w:p w14:paraId="1B4E6920">
            <w:pPr>
              <w:pStyle w:val="2"/>
              <w:spacing w:line="400" w:lineRule="exact"/>
              <w:ind w:firstLine="420"/>
              <w:rPr>
                <w:rFonts w:hint="eastAsia" w:ascii="宋体" w:hAnsi="宋体" w:cs="宋体"/>
                <w:sz w:val="21"/>
                <w:szCs w:val="21"/>
              </w:rPr>
            </w:pPr>
            <w:r>
              <w:rPr>
                <w:rFonts w:ascii="宋体" w:hAnsi="宋体" w:cs="宋体"/>
                <w:sz w:val="21"/>
                <w:szCs w:val="21"/>
              </w:rPr>
              <w:t>1.支持用户数。基于硬件及网络满足情况下，支持不少于100个在线用户访问及50个用户并发访问。</w:t>
            </w:r>
          </w:p>
          <w:p w14:paraId="4FDCD9C0">
            <w:pPr>
              <w:pStyle w:val="2"/>
              <w:spacing w:line="400" w:lineRule="exact"/>
              <w:ind w:firstLine="420"/>
              <w:rPr>
                <w:rFonts w:hint="eastAsia" w:ascii="宋体" w:hAnsi="宋体" w:cs="宋体"/>
                <w:sz w:val="21"/>
                <w:szCs w:val="21"/>
              </w:rPr>
            </w:pPr>
            <w:r>
              <w:rPr>
                <w:rFonts w:ascii="宋体" w:hAnsi="宋体" w:cs="宋体"/>
                <w:sz w:val="21"/>
                <w:szCs w:val="21"/>
              </w:rPr>
              <w:t>2.响应时间。每次数据浏览、查询时间不超过3秒。</w:t>
            </w:r>
          </w:p>
          <w:p w14:paraId="0F9493E4">
            <w:pPr>
              <w:pStyle w:val="2"/>
              <w:spacing w:line="400" w:lineRule="exact"/>
              <w:ind w:firstLine="420"/>
              <w:rPr>
                <w:rFonts w:hint="eastAsia" w:ascii="宋体" w:hAnsi="宋体" w:cs="宋体"/>
                <w:sz w:val="21"/>
                <w:szCs w:val="21"/>
              </w:rPr>
            </w:pPr>
            <w:r>
              <w:rPr>
                <w:rFonts w:ascii="宋体" w:hAnsi="宋体" w:cs="宋体"/>
                <w:sz w:val="21"/>
                <w:szCs w:val="21"/>
              </w:rPr>
              <w:t>3.资源利用率。服务器CPU占用率及内存占用率不超过50%。</w:t>
            </w:r>
          </w:p>
          <w:p w14:paraId="0446E4ED">
            <w:pPr>
              <w:pStyle w:val="2"/>
              <w:spacing w:line="400" w:lineRule="exact"/>
              <w:ind w:firstLine="420"/>
              <w:rPr>
                <w:rFonts w:hint="eastAsia" w:ascii="宋体" w:hAnsi="宋体" w:cs="宋体"/>
                <w:sz w:val="21"/>
                <w:szCs w:val="21"/>
              </w:rPr>
            </w:pPr>
            <w:r>
              <w:rPr>
                <w:rFonts w:ascii="宋体" w:hAnsi="宋体" w:cs="宋体"/>
                <w:sz w:val="21"/>
                <w:szCs w:val="21"/>
              </w:rPr>
              <w:t>4.稳定性。支持24小时事务成功率大于99%；出现故障恢复不超过4小时；年故障时间累计不超过48小时；软件更新或升级对系统运行影响时间年累计不超过48小时。</w:t>
            </w:r>
          </w:p>
          <w:p w14:paraId="41450344">
            <w:pPr>
              <w:pStyle w:val="2"/>
              <w:spacing w:line="400" w:lineRule="exact"/>
              <w:ind w:firstLine="420"/>
              <w:rPr>
                <w:rFonts w:hint="eastAsia" w:ascii="宋体" w:hAnsi="宋体" w:cs="宋体"/>
                <w:sz w:val="21"/>
                <w:szCs w:val="21"/>
              </w:rPr>
            </w:pPr>
            <w:r>
              <w:rPr>
                <w:rFonts w:ascii="宋体" w:hAnsi="宋体" w:cs="宋体"/>
                <w:sz w:val="21"/>
                <w:szCs w:val="21"/>
              </w:rPr>
              <w:t>5.效率特性。单一用户系统登录响应时间不超过3.5秒；单一用户基础业务数据查询速度不超过5秒。</w:t>
            </w:r>
          </w:p>
          <w:p w14:paraId="66308C18">
            <w:pPr>
              <w:pStyle w:val="2"/>
              <w:spacing w:line="400" w:lineRule="exact"/>
              <w:ind w:firstLine="420"/>
              <w:rPr>
                <w:rFonts w:hint="eastAsia" w:ascii="宋体" w:hAnsi="宋体" w:cs="宋体"/>
                <w:sz w:val="21"/>
                <w:szCs w:val="21"/>
              </w:rPr>
            </w:pPr>
            <w:r>
              <w:rPr>
                <w:rFonts w:ascii="宋体" w:hAnsi="宋体" w:cs="宋体"/>
                <w:sz w:val="21"/>
                <w:szCs w:val="21"/>
              </w:rPr>
              <w:t>四、海洋监测综合分析应用</w:t>
            </w:r>
          </w:p>
          <w:p w14:paraId="4C27C073">
            <w:pPr>
              <w:pStyle w:val="2"/>
              <w:spacing w:line="400" w:lineRule="exact"/>
              <w:ind w:firstLine="420"/>
              <w:rPr>
                <w:rFonts w:hint="eastAsia" w:ascii="宋体" w:hAnsi="宋体" w:cs="宋体"/>
                <w:sz w:val="21"/>
                <w:szCs w:val="21"/>
              </w:rPr>
            </w:pPr>
            <w:r>
              <w:rPr>
                <w:rFonts w:ascii="宋体" w:hAnsi="宋体" w:cs="宋体"/>
                <w:sz w:val="21"/>
                <w:szCs w:val="21"/>
              </w:rPr>
              <w:t>▲（一）总体要求</w:t>
            </w:r>
          </w:p>
          <w:p w14:paraId="1ADD322A">
            <w:pPr>
              <w:pStyle w:val="2"/>
              <w:spacing w:line="400" w:lineRule="exact"/>
              <w:ind w:firstLine="420"/>
              <w:rPr>
                <w:rFonts w:hint="eastAsia" w:ascii="宋体" w:hAnsi="宋体" w:cs="宋体"/>
                <w:sz w:val="21"/>
                <w:szCs w:val="21"/>
              </w:rPr>
            </w:pPr>
            <w:r>
              <w:rPr>
                <w:rFonts w:ascii="宋体" w:hAnsi="宋体" w:cs="宋体"/>
                <w:sz w:val="21"/>
                <w:szCs w:val="21"/>
              </w:rPr>
              <w:t>海洋监测数据综合分析系统升级改造部分共包含对监测数据管理、广西近岸海域水质自动监测网络预警监控等2个子系统开展升级改造工作。其中，需对监测数据管理开展功能重构工作，无新增系统功能；对广西近岸海域水质自动监测网络预警监控开展功能重构工作，并新增部分功能模块。</w:t>
            </w:r>
          </w:p>
          <w:p w14:paraId="35864D3E">
            <w:pPr>
              <w:pStyle w:val="2"/>
              <w:spacing w:line="400" w:lineRule="exact"/>
              <w:ind w:firstLine="420"/>
              <w:rPr>
                <w:rFonts w:hint="eastAsia" w:ascii="宋体" w:hAnsi="宋体" w:cs="宋体"/>
                <w:sz w:val="21"/>
                <w:szCs w:val="21"/>
              </w:rPr>
            </w:pPr>
            <w:r>
              <w:rPr>
                <w:rFonts w:ascii="宋体" w:hAnsi="宋体" w:cs="宋体"/>
                <w:sz w:val="21"/>
                <w:szCs w:val="21"/>
              </w:rPr>
              <w:t>应用需按照广西生态环境业务应用系统的总体架构要求，利用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的云原生框架能力和工具，以微服务模块的方式将应用功能集成到广西生态环境业务应用系统中，支持将系统的分析数据、展示内容推送到广西生态云应用中。视频监控摄像头应支持接入统一技术平台。</w:t>
            </w:r>
          </w:p>
          <w:p w14:paraId="3FA9BC14">
            <w:pPr>
              <w:pStyle w:val="2"/>
              <w:spacing w:line="400" w:lineRule="exact"/>
              <w:ind w:firstLine="420"/>
              <w:rPr>
                <w:rFonts w:hint="eastAsia" w:ascii="宋体" w:hAnsi="宋体" w:cs="宋体"/>
                <w:sz w:val="21"/>
                <w:szCs w:val="21"/>
              </w:rPr>
            </w:pPr>
            <w:r>
              <w:rPr>
                <w:rFonts w:ascii="宋体" w:hAnsi="宋体" w:cs="宋体"/>
                <w:sz w:val="21"/>
                <w:szCs w:val="21"/>
              </w:rPr>
              <w:t>▲（二）监测数据管理</w:t>
            </w:r>
          </w:p>
          <w:p w14:paraId="0FC62780">
            <w:pPr>
              <w:pStyle w:val="2"/>
              <w:spacing w:line="400" w:lineRule="exact"/>
              <w:ind w:firstLine="420"/>
              <w:rPr>
                <w:rFonts w:hint="eastAsia" w:ascii="宋体" w:hAnsi="宋体" w:cs="宋体"/>
                <w:sz w:val="21"/>
                <w:szCs w:val="21"/>
              </w:rPr>
            </w:pPr>
            <w:r>
              <w:rPr>
                <w:rFonts w:ascii="宋体" w:hAnsi="宋体" w:cs="宋体"/>
                <w:sz w:val="21"/>
                <w:szCs w:val="21"/>
              </w:rPr>
              <w:t>按照广西生态环境业务应用系统的总体架构要求，将监测数据管理系统的功能模块进行逻辑分组重建，利用</w:t>
            </w:r>
            <w:r>
              <w:rPr>
                <w:rFonts w:hint="eastAsia" w:ascii="宋体" w:hAnsi="宋体" w:cs="宋体"/>
                <w:sz w:val="21"/>
                <w:szCs w:val="21"/>
              </w:rPr>
              <w:t>广西“生态云”统一支撑平台</w:t>
            </w:r>
            <w:r>
              <w:rPr>
                <w:rFonts w:ascii="宋体" w:hAnsi="宋体" w:cs="宋体"/>
                <w:sz w:val="21"/>
                <w:szCs w:val="21"/>
              </w:rPr>
              <w:t>的云原生框架能力和工具，以微服务模块的方式将应用功能集成到广西生态环境业务应用系统中。</w:t>
            </w:r>
          </w:p>
          <w:p w14:paraId="19850CC6">
            <w:pPr>
              <w:pStyle w:val="2"/>
              <w:spacing w:line="400" w:lineRule="exact"/>
              <w:ind w:firstLine="420"/>
              <w:rPr>
                <w:rFonts w:hint="eastAsia" w:ascii="宋体" w:hAnsi="宋体" w:cs="宋体"/>
                <w:sz w:val="21"/>
                <w:szCs w:val="21"/>
              </w:rPr>
            </w:pPr>
            <w:r>
              <w:rPr>
                <w:rFonts w:ascii="宋体" w:hAnsi="宋体" w:cs="宋体"/>
                <w:sz w:val="21"/>
                <w:szCs w:val="21"/>
              </w:rPr>
              <w:t>1.系统首页</w:t>
            </w:r>
          </w:p>
          <w:p w14:paraId="24D755E7">
            <w:pPr>
              <w:pStyle w:val="2"/>
              <w:spacing w:line="400" w:lineRule="exact"/>
              <w:ind w:firstLine="420"/>
              <w:rPr>
                <w:rFonts w:hint="eastAsia" w:ascii="宋体" w:hAnsi="宋体" w:cs="宋体"/>
                <w:sz w:val="21"/>
                <w:szCs w:val="21"/>
              </w:rPr>
            </w:pPr>
            <w:r>
              <w:rPr>
                <w:rFonts w:ascii="宋体" w:hAnsi="宋体" w:cs="宋体"/>
                <w:sz w:val="21"/>
                <w:szCs w:val="21"/>
              </w:rPr>
              <w:t>展示点位分布图、各要素质量类别、上报情况统计等情况。</w:t>
            </w:r>
          </w:p>
          <w:p w14:paraId="7A59555C">
            <w:pPr>
              <w:pStyle w:val="2"/>
              <w:spacing w:line="400" w:lineRule="exact"/>
              <w:ind w:firstLine="420"/>
              <w:rPr>
                <w:rFonts w:hint="eastAsia" w:ascii="宋体" w:hAnsi="宋体" w:cs="宋体"/>
                <w:sz w:val="21"/>
                <w:szCs w:val="21"/>
              </w:rPr>
            </w:pPr>
            <w:r>
              <w:rPr>
                <w:rFonts w:ascii="宋体" w:hAnsi="宋体" w:cs="宋体"/>
                <w:sz w:val="21"/>
                <w:szCs w:val="21"/>
              </w:rPr>
              <w:t>2.数据评价</w:t>
            </w:r>
          </w:p>
          <w:p w14:paraId="2B267D2D">
            <w:pPr>
              <w:pStyle w:val="2"/>
              <w:spacing w:line="400" w:lineRule="exact"/>
              <w:ind w:firstLine="420"/>
              <w:rPr>
                <w:rFonts w:hint="eastAsia" w:ascii="宋体" w:hAnsi="宋体" w:cs="宋体"/>
                <w:sz w:val="21"/>
                <w:szCs w:val="21"/>
              </w:rPr>
            </w:pPr>
            <w:r>
              <w:rPr>
                <w:rFonts w:ascii="宋体" w:hAnsi="宋体" w:cs="宋体"/>
                <w:sz w:val="21"/>
                <w:szCs w:val="21"/>
              </w:rPr>
              <w:t>根据国家和海洋中心的相关评价标准规范，更新并升级现有系统海洋监测数据评价体系相关功能，包括海水、海洋沉积物、海洋生物质量、海洋富营养化、海洋生态系统健康状况评价、生物多样性评价。</w:t>
            </w:r>
          </w:p>
          <w:p w14:paraId="4C7AF9FA">
            <w:pPr>
              <w:pStyle w:val="2"/>
              <w:spacing w:line="400" w:lineRule="exact"/>
              <w:ind w:firstLine="420"/>
              <w:rPr>
                <w:rFonts w:hint="eastAsia" w:ascii="宋体" w:hAnsi="宋体" w:cs="宋体"/>
                <w:sz w:val="21"/>
                <w:szCs w:val="21"/>
              </w:rPr>
            </w:pPr>
            <w:r>
              <w:rPr>
                <w:rFonts w:ascii="宋体" w:hAnsi="宋体" w:cs="宋体"/>
                <w:sz w:val="21"/>
                <w:szCs w:val="21"/>
              </w:rPr>
              <w:t>3.数据报表</w:t>
            </w:r>
          </w:p>
          <w:p w14:paraId="31F9B518">
            <w:pPr>
              <w:pStyle w:val="2"/>
              <w:spacing w:line="400" w:lineRule="exact"/>
              <w:ind w:firstLine="420"/>
              <w:rPr>
                <w:rFonts w:hint="eastAsia" w:ascii="宋体" w:hAnsi="宋体" w:cs="宋体"/>
                <w:sz w:val="21"/>
                <w:szCs w:val="21"/>
              </w:rPr>
            </w:pPr>
            <w:r>
              <w:rPr>
                <w:rFonts w:ascii="宋体" w:hAnsi="宋体" w:cs="宋体"/>
                <w:sz w:val="21"/>
                <w:szCs w:val="21"/>
              </w:rPr>
              <w:t>以监测结果数据为基础，引用环境监测评价规则，形成等级评价结果、超标数据等数值，按照时间、空间等维度进行综合应用，满足数据查看、评价、分析、导出的需求，可选择不同模板。</w:t>
            </w:r>
          </w:p>
          <w:p w14:paraId="280D0EC8">
            <w:pPr>
              <w:pStyle w:val="2"/>
              <w:spacing w:line="400" w:lineRule="exact"/>
              <w:ind w:firstLine="420"/>
              <w:rPr>
                <w:rFonts w:hint="eastAsia" w:ascii="宋体" w:hAnsi="宋体" w:cs="宋体"/>
                <w:sz w:val="21"/>
                <w:szCs w:val="21"/>
              </w:rPr>
            </w:pPr>
            <w:r>
              <w:rPr>
                <w:rFonts w:ascii="宋体" w:hAnsi="宋体" w:cs="宋体"/>
                <w:sz w:val="21"/>
                <w:szCs w:val="21"/>
              </w:rPr>
              <w:t>包括海水统计表、入海河流统计表、入海污染源统计表、生物质量统计表、沉积物统计表、生物多样性报表、总体水质结果统计表、大气沉降结果统计表、海水浴场结果统计表、海洋垃圾结果统计表、海洋微塑料结果统计表、海洋生态系统数据报表、碳储量数据报表、直排海污染源数据报表。</w:t>
            </w:r>
          </w:p>
          <w:p w14:paraId="01AC80C0">
            <w:pPr>
              <w:pStyle w:val="2"/>
              <w:spacing w:line="400" w:lineRule="exact"/>
              <w:ind w:firstLine="420"/>
              <w:rPr>
                <w:rFonts w:hint="eastAsia" w:ascii="宋体" w:hAnsi="宋体" w:cs="宋体"/>
                <w:sz w:val="21"/>
                <w:szCs w:val="21"/>
              </w:rPr>
            </w:pPr>
            <w:r>
              <w:rPr>
                <w:rFonts w:ascii="宋体" w:hAnsi="宋体" w:cs="宋体"/>
                <w:sz w:val="21"/>
                <w:szCs w:val="21"/>
              </w:rPr>
              <w:t>4.数据采集。包括入海河流数据采集、海水水质数据采集、海水沉积物数据采集、生物质量数据采集、大气沉降监测结果采集、海水浴场监测结果采集、海洋垃圾监测结果采集、海洋微塑料监测结果采集、直排海污染源数据、碳储量数据采集。</w:t>
            </w:r>
          </w:p>
          <w:p w14:paraId="61980166">
            <w:pPr>
              <w:pStyle w:val="2"/>
              <w:spacing w:line="400" w:lineRule="exact"/>
              <w:ind w:firstLine="420"/>
              <w:rPr>
                <w:rFonts w:hint="eastAsia" w:ascii="宋体" w:hAnsi="宋体" w:cs="宋体"/>
                <w:sz w:val="21"/>
                <w:szCs w:val="21"/>
              </w:rPr>
            </w:pPr>
            <w:r>
              <w:rPr>
                <w:rFonts w:ascii="宋体" w:hAnsi="宋体" w:cs="宋体"/>
                <w:sz w:val="21"/>
                <w:szCs w:val="21"/>
              </w:rPr>
              <w:t>5.数据管理</w:t>
            </w:r>
          </w:p>
          <w:p w14:paraId="7C2F1CD7">
            <w:pPr>
              <w:pStyle w:val="2"/>
              <w:spacing w:line="400" w:lineRule="exact"/>
              <w:ind w:firstLine="420"/>
              <w:rPr>
                <w:rFonts w:hint="eastAsia" w:ascii="宋体" w:hAnsi="宋体" w:cs="宋体"/>
                <w:sz w:val="21"/>
                <w:szCs w:val="21"/>
              </w:rPr>
            </w:pPr>
            <w:r>
              <w:rPr>
                <w:rFonts w:ascii="宋体" w:hAnsi="宋体" w:cs="宋体"/>
                <w:sz w:val="21"/>
                <w:szCs w:val="21"/>
              </w:rPr>
              <w:t>各个类型的测点管理和基础数据管理，包括河流点位、入海河流点位、海水点位、海洋沉积物点位、海洋生物质量、直排海污染源信息、海水水质面积、海水水质面积报表、海水浴场、海洋垃圾、海洋微塑料、海洋生态系统。</w:t>
            </w:r>
          </w:p>
          <w:p w14:paraId="5FDED575">
            <w:pPr>
              <w:pStyle w:val="2"/>
              <w:spacing w:line="400" w:lineRule="exact"/>
              <w:ind w:firstLine="420"/>
              <w:rPr>
                <w:rFonts w:hint="eastAsia" w:ascii="宋体" w:hAnsi="宋体" w:cs="宋体"/>
                <w:sz w:val="21"/>
                <w:szCs w:val="21"/>
              </w:rPr>
            </w:pPr>
            <w:r>
              <w:rPr>
                <w:rFonts w:ascii="宋体" w:hAnsi="宋体" w:cs="宋体"/>
                <w:sz w:val="21"/>
                <w:szCs w:val="21"/>
              </w:rPr>
              <w:t>▲（三）广西近岸海域水质自动监测网络预警监控</w:t>
            </w:r>
          </w:p>
          <w:p w14:paraId="23783E1C">
            <w:pPr>
              <w:pStyle w:val="2"/>
              <w:spacing w:line="400" w:lineRule="exact"/>
              <w:ind w:firstLine="420"/>
              <w:rPr>
                <w:rFonts w:hint="eastAsia" w:ascii="宋体" w:hAnsi="宋体" w:cs="宋体"/>
                <w:sz w:val="21"/>
                <w:szCs w:val="21"/>
              </w:rPr>
            </w:pPr>
            <w:r>
              <w:rPr>
                <w:rFonts w:ascii="宋体" w:hAnsi="宋体" w:cs="宋体"/>
                <w:sz w:val="21"/>
                <w:szCs w:val="21"/>
              </w:rPr>
              <w:t>对广西近岸海域水质自动监测网络预警监控子系统进行</w:t>
            </w:r>
            <w:r>
              <w:rPr>
                <w:rFonts w:hint="eastAsia" w:ascii="宋体" w:hAnsi="宋体" w:cs="宋体"/>
                <w:sz w:val="21"/>
                <w:szCs w:val="21"/>
              </w:rPr>
              <w:t>国产技术栈</w:t>
            </w:r>
            <w:r>
              <w:rPr>
                <w:rFonts w:ascii="宋体" w:hAnsi="宋体" w:cs="宋体"/>
                <w:sz w:val="21"/>
                <w:szCs w:val="21"/>
              </w:rPr>
              <w:t>改造工作，改造完成后部署于壮美广西·</w:t>
            </w:r>
            <w:r>
              <w:rPr>
                <w:rFonts w:hint="eastAsia" w:ascii="宋体" w:hAnsi="宋体" w:cs="宋体"/>
                <w:sz w:val="21"/>
                <w:szCs w:val="21"/>
              </w:rPr>
              <w:t>云平台</w:t>
            </w:r>
            <w:r>
              <w:rPr>
                <w:rFonts w:ascii="宋体" w:hAnsi="宋体" w:cs="宋体"/>
                <w:sz w:val="21"/>
                <w:szCs w:val="21"/>
              </w:rPr>
              <w:t>。该部分涉及功能重构与新增功能等2部分工作。</w:t>
            </w:r>
          </w:p>
          <w:p w14:paraId="7527C57A">
            <w:pPr>
              <w:pStyle w:val="2"/>
              <w:spacing w:line="400" w:lineRule="exact"/>
              <w:ind w:firstLine="420"/>
              <w:rPr>
                <w:rFonts w:hint="eastAsia" w:ascii="宋体" w:hAnsi="宋体" w:cs="宋体"/>
                <w:sz w:val="21"/>
                <w:szCs w:val="21"/>
              </w:rPr>
            </w:pPr>
            <w:r>
              <w:rPr>
                <w:rFonts w:ascii="宋体" w:hAnsi="宋体" w:cs="宋体"/>
                <w:sz w:val="21"/>
                <w:szCs w:val="21"/>
              </w:rPr>
              <w:t>1.现有功能重构</w:t>
            </w:r>
          </w:p>
          <w:p w14:paraId="3BB0A451">
            <w:pPr>
              <w:pStyle w:val="2"/>
              <w:spacing w:line="400" w:lineRule="exact"/>
              <w:ind w:firstLine="420"/>
              <w:rPr>
                <w:rFonts w:hint="eastAsia" w:ascii="宋体" w:hAnsi="宋体" w:cs="宋体"/>
                <w:sz w:val="21"/>
                <w:szCs w:val="21"/>
              </w:rPr>
            </w:pPr>
            <w:r>
              <w:rPr>
                <w:rFonts w:ascii="宋体" w:hAnsi="宋体" w:cs="宋体"/>
                <w:sz w:val="21"/>
                <w:szCs w:val="21"/>
              </w:rPr>
              <w:t>（1）地理信息管理。展示浮标自动站、河口水站水质监测数据及监测系统的其他信息，在地图上标记展示保护区专题图管理、敏感点等，以及地图基础功能实现。活动轨迹展示。可以选定站点、时间范围进行查询浮标的移动轨迹，可以在电子地图上显示指定浮标一定时段内的动画移动轨迹。</w:t>
            </w:r>
          </w:p>
          <w:p w14:paraId="5C0E00E1">
            <w:pPr>
              <w:pStyle w:val="2"/>
              <w:spacing w:line="400" w:lineRule="exact"/>
              <w:ind w:firstLine="420"/>
              <w:rPr>
                <w:rFonts w:hint="eastAsia" w:ascii="宋体" w:hAnsi="宋体" w:cs="宋体"/>
                <w:sz w:val="21"/>
                <w:szCs w:val="21"/>
              </w:rPr>
            </w:pPr>
            <w:r>
              <w:rPr>
                <w:rFonts w:ascii="宋体" w:hAnsi="宋体" w:cs="宋体"/>
                <w:sz w:val="21"/>
                <w:szCs w:val="21"/>
              </w:rPr>
              <w:t>（2）视频监控管理。实现对视频监控点位基础信息进行管理，可查看监控实况及录像回放功能。</w:t>
            </w:r>
          </w:p>
          <w:p w14:paraId="4A2E5013">
            <w:pPr>
              <w:pStyle w:val="2"/>
              <w:spacing w:line="400" w:lineRule="exact"/>
              <w:ind w:firstLine="420"/>
              <w:rPr>
                <w:rFonts w:hint="eastAsia" w:ascii="宋体" w:hAnsi="宋体" w:cs="宋体"/>
                <w:sz w:val="21"/>
                <w:szCs w:val="21"/>
              </w:rPr>
            </w:pPr>
            <w:r>
              <w:rPr>
                <w:rFonts w:ascii="宋体" w:hAnsi="宋体" w:cs="宋体"/>
                <w:sz w:val="21"/>
                <w:szCs w:val="21"/>
              </w:rPr>
              <w:t>（3）手工监测数据管理。实现对手工监测数据（海水常规监测、重点海湾、入海河流）数据结合地图信息，在地图上直观标注监测断面地理位置信息及按水质类别。实现对海水常规监测数据、重点海湾数据每个月监测数据、入海河流数据每个月入海河流水质数据进行管理维护，查询导出。</w:t>
            </w:r>
          </w:p>
          <w:p w14:paraId="3F05957E">
            <w:pPr>
              <w:pStyle w:val="2"/>
              <w:spacing w:line="400" w:lineRule="exact"/>
              <w:ind w:firstLine="420"/>
              <w:rPr>
                <w:rFonts w:hint="eastAsia" w:ascii="宋体" w:hAnsi="宋体" w:cs="宋体"/>
                <w:sz w:val="21"/>
                <w:szCs w:val="21"/>
              </w:rPr>
            </w:pPr>
            <w:r>
              <w:rPr>
                <w:rFonts w:ascii="宋体" w:hAnsi="宋体" w:cs="宋体"/>
                <w:sz w:val="21"/>
                <w:szCs w:val="21"/>
              </w:rPr>
              <w:t>（4）断面信息管理。实现维护管理手工监测点位断面基础信息维护及查询等。</w:t>
            </w:r>
          </w:p>
          <w:p w14:paraId="01178669">
            <w:pPr>
              <w:pStyle w:val="2"/>
              <w:spacing w:line="400" w:lineRule="exact"/>
              <w:ind w:firstLine="420"/>
              <w:rPr>
                <w:rFonts w:hint="eastAsia" w:ascii="宋体" w:hAnsi="宋体" w:cs="宋体"/>
                <w:sz w:val="21"/>
                <w:szCs w:val="21"/>
              </w:rPr>
            </w:pPr>
            <w:r>
              <w:rPr>
                <w:rFonts w:ascii="宋体" w:hAnsi="宋体" w:cs="宋体"/>
                <w:sz w:val="21"/>
                <w:szCs w:val="21"/>
              </w:rPr>
              <w:t>（5）数据查询。包括海流值查询、月均值查询、季均值查询、年均值查询、超标值查询等。</w:t>
            </w:r>
          </w:p>
          <w:p w14:paraId="73B909C1">
            <w:pPr>
              <w:pStyle w:val="2"/>
              <w:spacing w:line="400" w:lineRule="exact"/>
              <w:ind w:firstLine="420"/>
              <w:rPr>
                <w:rFonts w:hint="eastAsia" w:ascii="宋体" w:hAnsi="宋体" w:cs="宋体"/>
                <w:sz w:val="21"/>
                <w:szCs w:val="21"/>
              </w:rPr>
            </w:pPr>
            <w:r>
              <w:rPr>
                <w:rFonts w:ascii="宋体" w:hAnsi="宋体" w:cs="宋体"/>
                <w:sz w:val="21"/>
                <w:szCs w:val="21"/>
              </w:rPr>
              <w:t>（6）数据审核。包括数据审核、系统初筛、一级审核、二级审核、三级审核、审核日志、数据标识、判定规则。</w:t>
            </w:r>
          </w:p>
          <w:p w14:paraId="6FB5A12F">
            <w:pPr>
              <w:pStyle w:val="2"/>
              <w:spacing w:line="400" w:lineRule="exact"/>
              <w:ind w:firstLine="420"/>
              <w:rPr>
                <w:rFonts w:hint="eastAsia" w:ascii="宋体" w:hAnsi="宋体" w:cs="宋体"/>
                <w:sz w:val="21"/>
                <w:szCs w:val="21"/>
              </w:rPr>
            </w:pPr>
            <w:r>
              <w:rPr>
                <w:rFonts w:ascii="宋体" w:hAnsi="宋体" w:cs="宋体"/>
                <w:sz w:val="21"/>
                <w:szCs w:val="21"/>
              </w:rPr>
              <w:t>（7）统计分析。包括数据有效率、同比与环比、变化趋势、水质达标率、水质优良天数比例、水质优良率、水质月报、重点海湾监测信息统计分析。</w:t>
            </w:r>
          </w:p>
          <w:p w14:paraId="01278440">
            <w:pPr>
              <w:pStyle w:val="2"/>
              <w:spacing w:line="400" w:lineRule="exact"/>
              <w:ind w:firstLine="420"/>
              <w:rPr>
                <w:rFonts w:hint="eastAsia" w:ascii="宋体" w:hAnsi="宋体" w:cs="宋体"/>
                <w:sz w:val="21"/>
                <w:szCs w:val="21"/>
              </w:rPr>
            </w:pPr>
            <w:r>
              <w:rPr>
                <w:rFonts w:ascii="宋体" w:hAnsi="宋体" w:cs="宋体"/>
                <w:sz w:val="21"/>
                <w:szCs w:val="21"/>
              </w:rPr>
              <w:t>（8）现场核查。数据比对、比对结果汇总、水质异常等。</w:t>
            </w:r>
          </w:p>
          <w:p w14:paraId="48CBA213">
            <w:pPr>
              <w:pStyle w:val="2"/>
              <w:spacing w:line="400" w:lineRule="exact"/>
              <w:ind w:firstLine="420"/>
              <w:rPr>
                <w:rFonts w:hint="eastAsia" w:ascii="宋体" w:hAnsi="宋体" w:cs="宋体"/>
                <w:sz w:val="21"/>
                <w:szCs w:val="21"/>
              </w:rPr>
            </w:pPr>
            <w:r>
              <w:rPr>
                <w:rFonts w:ascii="宋体" w:hAnsi="宋体" w:cs="宋体"/>
                <w:sz w:val="21"/>
                <w:szCs w:val="21"/>
              </w:rPr>
              <w:t>（9）报告出具。根据选定的站点，时间范围，监测项目、数据类型（原始、审核）按照简报模版进行生成报告。报告可直接导出生成Word版本。</w:t>
            </w:r>
          </w:p>
          <w:p w14:paraId="512E637C">
            <w:pPr>
              <w:pStyle w:val="2"/>
              <w:spacing w:line="400" w:lineRule="exact"/>
              <w:ind w:firstLine="420"/>
              <w:rPr>
                <w:rFonts w:hint="eastAsia" w:ascii="宋体" w:hAnsi="宋体" w:cs="宋体"/>
                <w:sz w:val="21"/>
                <w:szCs w:val="21"/>
              </w:rPr>
            </w:pPr>
            <w:r>
              <w:rPr>
                <w:rFonts w:ascii="宋体" w:hAnsi="宋体" w:cs="宋体"/>
                <w:sz w:val="21"/>
                <w:szCs w:val="21"/>
              </w:rPr>
              <w:t>（10）河口水站信息查询。时均值查询、周均值查询、月均值查询、季均值查询、年均值查询、超标值查询、优良率查询、水质状况查询等。</w:t>
            </w:r>
          </w:p>
          <w:p w14:paraId="0CFE6A43">
            <w:pPr>
              <w:pStyle w:val="2"/>
              <w:spacing w:line="400" w:lineRule="exact"/>
              <w:ind w:firstLine="420"/>
              <w:rPr>
                <w:rFonts w:hint="eastAsia" w:ascii="宋体" w:hAnsi="宋体" w:cs="宋体"/>
                <w:sz w:val="21"/>
                <w:szCs w:val="21"/>
              </w:rPr>
            </w:pPr>
            <w:r>
              <w:rPr>
                <w:rFonts w:ascii="宋体" w:hAnsi="宋体" w:cs="宋体"/>
                <w:sz w:val="21"/>
                <w:szCs w:val="21"/>
              </w:rPr>
              <w:t>（11）超标预警。包括预警信息、预警短信、预警配置。</w:t>
            </w:r>
          </w:p>
          <w:p w14:paraId="20A3532E">
            <w:pPr>
              <w:pStyle w:val="2"/>
              <w:spacing w:line="400" w:lineRule="exact"/>
              <w:ind w:firstLine="420"/>
              <w:rPr>
                <w:rFonts w:hint="eastAsia" w:ascii="宋体" w:hAnsi="宋体" w:cs="宋体"/>
                <w:sz w:val="21"/>
                <w:szCs w:val="21"/>
              </w:rPr>
            </w:pPr>
            <w:r>
              <w:rPr>
                <w:rFonts w:ascii="宋体" w:hAnsi="宋体" w:cs="宋体"/>
                <w:sz w:val="21"/>
                <w:szCs w:val="21"/>
              </w:rPr>
              <w:t>（12）运维管理。包括盲样考核、盲样考核结果汇总、设备管理、例行维护、故障维护、设备状态查询、设备位置查询等。</w:t>
            </w:r>
          </w:p>
          <w:p w14:paraId="69CA8DA9">
            <w:pPr>
              <w:pStyle w:val="2"/>
              <w:spacing w:line="400" w:lineRule="exact"/>
              <w:ind w:firstLine="420"/>
              <w:rPr>
                <w:rFonts w:hint="eastAsia" w:ascii="宋体" w:hAnsi="宋体" w:cs="宋体"/>
                <w:sz w:val="21"/>
                <w:szCs w:val="21"/>
              </w:rPr>
            </w:pPr>
            <w:r>
              <w:rPr>
                <w:rFonts w:ascii="宋体" w:hAnsi="宋体" w:cs="宋体"/>
                <w:sz w:val="21"/>
                <w:szCs w:val="21"/>
              </w:rPr>
              <w:t>（13）基础数据管理。包括浮标站点管理、浮标站点权限管理、水质站点管理、水质站点权限管理、监测项目管理。</w:t>
            </w:r>
          </w:p>
          <w:p w14:paraId="648BCDE2">
            <w:pPr>
              <w:pStyle w:val="2"/>
              <w:spacing w:line="400" w:lineRule="exact"/>
              <w:ind w:firstLine="420"/>
              <w:rPr>
                <w:rFonts w:hint="eastAsia" w:ascii="宋体" w:hAnsi="宋体" w:cs="宋体"/>
                <w:sz w:val="21"/>
                <w:szCs w:val="21"/>
              </w:rPr>
            </w:pPr>
            <w:r>
              <w:rPr>
                <w:rFonts w:ascii="宋体" w:hAnsi="宋体" w:cs="宋体"/>
                <w:sz w:val="21"/>
                <w:szCs w:val="21"/>
              </w:rPr>
              <w:t>（14）系统管理。包括用户管理、角色管理、部门管理、系统日志。</w:t>
            </w:r>
          </w:p>
          <w:p w14:paraId="35F13B32">
            <w:pPr>
              <w:pStyle w:val="2"/>
              <w:spacing w:line="400" w:lineRule="exact"/>
              <w:ind w:firstLine="420"/>
              <w:rPr>
                <w:rFonts w:hint="eastAsia" w:ascii="宋体" w:hAnsi="宋体" w:cs="宋体"/>
                <w:sz w:val="21"/>
                <w:szCs w:val="21"/>
              </w:rPr>
            </w:pPr>
            <w:r>
              <w:rPr>
                <w:rFonts w:ascii="宋体" w:hAnsi="宋体" w:cs="宋体"/>
                <w:sz w:val="21"/>
                <w:szCs w:val="21"/>
              </w:rPr>
              <w:t>2.应用功能新增</w:t>
            </w:r>
          </w:p>
          <w:p w14:paraId="063BA2DB">
            <w:pPr>
              <w:pStyle w:val="2"/>
              <w:spacing w:line="400" w:lineRule="exact"/>
              <w:ind w:firstLine="420"/>
              <w:rPr>
                <w:rFonts w:hint="eastAsia" w:ascii="宋体" w:hAnsi="宋体" w:cs="宋体"/>
                <w:sz w:val="21"/>
                <w:szCs w:val="21"/>
              </w:rPr>
            </w:pPr>
            <w:r>
              <w:rPr>
                <w:rFonts w:ascii="宋体" w:hAnsi="宋体" w:cs="宋体"/>
                <w:sz w:val="21"/>
                <w:szCs w:val="21"/>
              </w:rPr>
              <w:t>集成茅尾海生态环境立体智能综合监测站的各监测要素结果展示。</w:t>
            </w:r>
          </w:p>
          <w:p w14:paraId="45AAA1C6">
            <w:pPr>
              <w:pStyle w:val="2"/>
              <w:spacing w:line="400" w:lineRule="exact"/>
              <w:ind w:firstLine="420"/>
              <w:rPr>
                <w:rFonts w:hint="eastAsia" w:ascii="宋体" w:hAnsi="宋体" w:cs="宋体"/>
                <w:sz w:val="21"/>
                <w:szCs w:val="21"/>
              </w:rPr>
            </w:pPr>
            <w:r>
              <w:rPr>
                <w:rFonts w:ascii="宋体" w:hAnsi="宋体" w:cs="宋体"/>
                <w:sz w:val="21"/>
                <w:szCs w:val="21"/>
              </w:rPr>
              <w:t>（1）无人机遥感监测</w:t>
            </w:r>
          </w:p>
          <w:p w14:paraId="440E4834">
            <w:pPr>
              <w:pStyle w:val="2"/>
              <w:spacing w:line="400" w:lineRule="exact"/>
              <w:ind w:firstLine="420"/>
              <w:rPr>
                <w:rFonts w:hint="eastAsia" w:ascii="宋体" w:hAnsi="宋体" w:cs="宋体"/>
                <w:sz w:val="21"/>
                <w:szCs w:val="21"/>
              </w:rPr>
            </w:pPr>
            <w:r>
              <w:rPr>
                <w:rFonts w:ascii="宋体" w:hAnsi="宋体" w:cs="宋体"/>
                <w:sz w:val="21"/>
                <w:szCs w:val="21"/>
              </w:rPr>
              <w:t>①状态监控：设备列表查看、巡检记录显示、巡检计划执行及跟踪、巡检数据统计、图层地图区域显示、自动匹配无人机站飞行等。</w:t>
            </w:r>
          </w:p>
          <w:p w14:paraId="214C458E">
            <w:pPr>
              <w:pStyle w:val="2"/>
              <w:spacing w:line="400" w:lineRule="exact"/>
              <w:ind w:firstLine="420"/>
              <w:rPr>
                <w:rFonts w:hint="eastAsia" w:ascii="宋体" w:hAnsi="宋体" w:cs="宋体"/>
                <w:sz w:val="21"/>
                <w:szCs w:val="21"/>
              </w:rPr>
            </w:pPr>
            <w:r>
              <w:rPr>
                <w:rFonts w:ascii="宋体" w:hAnsi="宋体" w:cs="宋体"/>
                <w:sz w:val="21"/>
                <w:szCs w:val="21"/>
              </w:rPr>
              <w:t>②可视化指挥调度：基站信息监控、任务详情展示、无人机信息监控、基站气象监控、监控模式控制、无人机手控模式控制等。</w:t>
            </w:r>
          </w:p>
          <w:p w14:paraId="65B61951">
            <w:pPr>
              <w:pStyle w:val="2"/>
              <w:spacing w:line="400" w:lineRule="exact"/>
              <w:ind w:firstLine="420"/>
              <w:rPr>
                <w:rFonts w:hint="eastAsia" w:ascii="宋体" w:hAnsi="宋体" w:cs="宋体"/>
                <w:sz w:val="21"/>
                <w:szCs w:val="21"/>
              </w:rPr>
            </w:pPr>
            <w:r>
              <w:rPr>
                <w:rFonts w:ascii="宋体" w:hAnsi="宋体" w:cs="宋体"/>
                <w:sz w:val="21"/>
                <w:szCs w:val="21"/>
              </w:rPr>
              <w:t>③三维航线规划：本地航线解析、全景采集生成、线状巡视、规划航点飞行、动态规划自动生成航线、正射影像数据采集、倾斜摄影数据采集、环绕飞行设置、三维航线规划、大疆航线导入等。</w:t>
            </w:r>
          </w:p>
          <w:p w14:paraId="5599CFBB">
            <w:pPr>
              <w:pStyle w:val="2"/>
              <w:spacing w:line="400" w:lineRule="exact"/>
              <w:ind w:firstLine="420"/>
              <w:rPr>
                <w:rFonts w:hint="eastAsia" w:ascii="宋体" w:hAnsi="宋体" w:cs="宋体"/>
                <w:sz w:val="21"/>
                <w:szCs w:val="21"/>
              </w:rPr>
            </w:pPr>
            <w:r>
              <w:rPr>
                <w:rFonts w:ascii="宋体" w:hAnsi="宋体" w:cs="宋体"/>
                <w:sz w:val="21"/>
                <w:szCs w:val="21"/>
              </w:rPr>
              <w:t>④数据管理：照片管理、视频管理、正射管理、点云管理、倾斜管理、矢量管理、兴趣点管理、设备点管理、数据展示等。</w:t>
            </w:r>
          </w:p>
          <w:p w14:paraId="47770A86">
            <w:pPr>
              <w:pStyle w:val="2"/>
              <w:spacing w:line="400" w:lineRule="exact"/>
              <w:ind w:firstLine="420"/>
              <w:rPr>
                <w:rFonts w:hint="eastAsia" w:ascii="宋体" w:hAnsi="宋体" w:cs="宋体"/>
                <w:sz w:val="21"/>
                <w:szCs w:val="21"/>
              </w:rPr>
            </w:pPr>
            <w:r>
              <w:rPr>
                <w:rFonts w:ascii="宋体" w:hAnsi="宋体" w:cs="宋体"/>
                <w:sz w:val="21"/>
                <w:szCs w:val="21"/>
              </w:rPr>
              <w:t>⑤飞行管理：首页（集合设备管理查看、禁飞区范围查看、距离测量等功能，可为无人机指挥调度提供快速的交互控制）、飞行计划上传、飞行记录查看、人员管理、设备管理等。</w:t>
            </w:r>
          </w:p>
          <w:p w14:paraId="42A3D43C">
            <w:pPr>
              <w:pStyle w:val="2"/>
              <w:spacing w:line="400" w:lineRule="exact"/>
              <w:ind w:firstLine="420"/>
              <w:rPr>
                <w:rFonts w:hint="eastAsia" w:ascii="宋体" w:hAnsi="宋体" w:cs="宋体"/>
                <w:sz w:val="21"/>
                <w:szCs w:val="21"/>
              </w:rPr>
            </w:pPr>
            <w:r>
              <w:rPr>
                <w:rFonts w:ascii="宋体" w:hAnsi="宋体" w:cs="宋体"/>
                <w:sz w:val="21"/>
                <w:szCs w:val="21"/>
              </w:rPr>
              <w:t>⑥基站管理：基站信息管理、状态信息设置、飞行统计、设备维保信息记录、基站日志更新及下载、设备台账绑定。</w:t>
            </w:r>
          </w:p>
          <w:p w14:paraId="72063405">
            <w:pPr>
              <w:pStyle w:val="2"/>
              <w:spacing w:line="400" w:lineRule="exact"/>
              <w:ind w:firstLine="420"/>
              <w:rPr>
                <w:rFonts w:hint="eastAsia" w:ascii="宋体" w:hAnsi="宋体" w:cs="宋体"/>
                <w:sz w:val="21"/>
                <w:szCs w:val="21"/>
              </w:rPr>
            </w:pPr>
            <w:r>
              <w:rPr>
                <w:rFonts w:ascii="宋体" w:hAnsi="宋体" w:cs="宋体"/>
                <w:sz w:val="21"/>
                <w:szCs w:val="21"/>
              </w:rPr>
              <w:t>⑦智能识别。目标实时检测引擎，实现对监测区域内各类目标的实时识别与告警。识别启动、识别告警显示、识别规则判定、识别场景。信息智能引擎提供场景化识别能力，支持用户自定义识别区域、算法模型及告警规则。</w:t>
            </w:r>
          </w:p>
          <w:p w14:paraId="4220715D">
            <w:pPr>
              <w:pStyle w:val="2"/>
              <w:spacing w:line="400" w:lineRule="exact"/>
              <w:ind w:firstLine="420"/>
              <w:rPr>
                <w:rFonts w:hint="eastAsia" w:ascii="宋体" w:hAnsi="宋体" w:cs="宋体"/>
                <w:sz w:val="21"/>
                <w:szCs w:val="21"/>
              </w:rPr>
            </w:pPr>
            <w:r>
              <w:rPr>
                <w:rFonts w:ascii="宋体" w:hAnsi="宋体" w:cs="宋体"/>
                <w:sz w:val="21"/>
                <w:szCs w:val="21"/>
              </w:rPr>
              <w:t>支持按照规则名称新建AI识别场景，支持绘制区域、上传矢量、识别区别配置、区域设置、地理数据标注等，支持AI智能算法自动分析提供的照片是否存在事件问题。支持识别分析面板，识别分析包含AI识别分析、标注核验、行业专题、历史照片。支持AI识别、问题标注、问题待核实管理、历史影像同屏对比。支持问题流转与处理，时空追溯、线索台账管理查询导出、问题统计与地图展示、线索列表管理等。</w:t>
            </w:r>
          </w:p>
          <w:p w14:paraId="4BB6D6B9">
            <w:pPr>
              <w:pStyle w:val="2"/>
              <w:spacing w:line="400" w:lineRule="exact"/>
              <w:ind w:firstLine="420"/>
              <w:rPr>
                <w:rFonts w:hint="eastAsia" w:ascii="宋体" w:hAnsi="宋体" w:cs="宋体"/>
                <w:sz w:val="21"/>
                <w:szCs w:val="21"/>
              </w:rPr>
            </w:pPr>
            <w:r>
              <w:rPr>
                <w:rFonts w:ascii="宋体" w:hAnsi="宋体" w:cs="宋体"/>
                <w:sz w:val="21"/>
                <w:szCs w:val="21"/>
              </w:rPr>
              <w:t>提供基础算法存储功能，通过完善的权限控制算法全流程可追溯、可管控。提供算法仓库和算法服务功能。</w:t>
            </w:r>
          </w:p>
          <w:p w14:paraId="13BEB618">
            <w:pPr>
              <w:pStyle w:val="2"/>
              <w:spacing w:line="400" w:lineRule="exact"/>
              <w:ind w:firstLine="420"/>
              <w:rPr>
                <w:rFonts w:hint="eastAsia" w:ascii="宋体" w:hAnsi="宋体" w:cs="宋体"/>
                <w:sz w:val="21"/>
                <w:szCs w:val="21"/>
              </w:rPr>
            </w:pPr>
            <w:r>
              <w:rPr>
                <w:rFonts w:ascii="宋体" w:hAnsi="宋体" w:cs="宋体"/>
                <w:sz w:val="21"/>
                <w:szCs w:val="21"/>
              </w:rPr>
              <w:t>⑧系统设置：角色配置、账号管理、图层管理、电子围栏、任务配置、气象管理、设备维保、地图参数、系统更新、日志解析、系统公告等。</w:t>
            </w:r>
          </w:p>
          <w:p w14:paraId="21D56121">
            <w:pPr>
              <w:pStyle w:val="2"/>
              <w:spacing w:line="400" w:lineRule="exact"/>
              <w:ind w:firstLine="420"/>
              <w:rPr>
                <w:rFonts w:hint="eastAsia" w:ascii="宋体" w:hAnsi="宋体" w:cs="宋体"/>
                <w:sz w:val="21"/>
                <w:szCs w:val="21"/>
              </w:rPr>
            </w:pPr>
            <w:r>
              <w:rPr>
                <w:rFonts w:ascii="宋体" w:hAnsi="宋体" w:cs="宋体"/>
                <w:sz w:val="21"/>
                <w:szCs w:val="21"/>
              </w:rPr>
              <w:t>（2）反演数据应用</w:t>
            </w:r>
          </w:p>
          <w:p w14:paraId="41A0CFF5">
            <w:pPr>
              <w:pStyle w:val="2"/>
              <w:spacing w:line="400" w:lineRule="exact"/>
              <w:ind w:firstLine="420"/>
              <w:rPr>
                <w:rFonts w:hint="eastAsia" w:ascii="宋体" w:hAnsi="宋体" w:cs="宋体"/>
                <w:sz w:val="21"/>
                <w:szCs w:val="21"/>
              </w:rPr>
            </w:pPr>
            <w:r>
              <w:rPr>
                <w:rFonts w:ascii="宋体" w:hAnsi="宋体" w:cs="宋体"/>
                <w:sz w:val="21"/>
                <w:szCs w:val="21"/>
              </w:rPr>
              <w:t>支持反演数据的在线上传，针对不同的数据建立独立的资源图层，以列表形式呈现, 便于快速选择加载资源。数据可叠加底图显示，直观显示反演数据结果。</w:t>
            </w:r>
          </w:p>
          <w:p w14:paraId="1B063425">
            <w:pPr>
              <w:pStyle w:val="2"/>
              <w:spacing w:line="400" w:lineRule="exact"/>
              <w:ind w:firstLine="420"/>
              <w:rPr>
                <w:rFonts w:hint="eastAsia" w:ascii="宋体" w:hAnsi="宋体" w:cs="宋体"/>
                <w:sz w:val="21"/>
                <w:szCs w:val="21"/>
              </w:rPr>
            </w:pPr>
            <w:r>
              <w:rPr>
                <w:rFonts w:ascii="宋体" w:hAnsi="宋体" w:cs="宋体"/>
                <w:sz w:val="21"/>
                <w:szCs w:val="21"/>
              </w:rPr>
              <w:t>将反演数据存储在数据库中，根据不同的业务需求，可自定义勾选开启或关闭图层，进行多期反演数据结果的可视化展示与对比，直观显示不同水质数据的空间变化趋势。</w:t>
            </w:r>
          </w:p>
          <w:p w14:paraId="11A151A8">
            <w:pPr>
              <w:pStyle w:val="2"/>
              <w:spacing w:line="400" w:lineRule="exact"/>
              <w:ind w:firstLine="420"/>
              <w:rPr>
                <w:rFonts w:hint="eastAsia" w:ascii="宋体" w:hAnsi="宋体" w:cs="宋体"/>
                <w:sz w:val="21"/>
                <w:szCs w:val="21"/>
              </w:rPr>
            </w:pPr>
            <w:r>
              <w:rPr>
                <w:rFonts w:ascii="宋体" w:hAnsi="宋体" w:cs="宋体"/>
                <w:sz w:val="21"/>
                <w:szCs w:val="21"/>
              </w:rPr>
              <w:t>（3）海漂垃圾智能识别</w:t>
            </w:r>
          </w:p>
          <w:p w14:paraId="34515086">
            <w:pPr>
              <w:pStyle w:val="2"/>
              <w:spacing w:line="400" w:lineRule="exact"/>
              <w:ind w:firstLine="420"/>
              <w:rPr>
                <w:rFonts w:hint="eastAsia" w:ascii="宋体" w:hAnsi="宋体" w:cs="宋体"/>
                <w:sz w:val="21"/>
                <w:szCs w:val="21"/>
              </w:rPr>
            </w:pPr>
            <w:r>
              <w:rPr>
                <w:rFonts w:ascii="宋体" w:hAnsi="宋体" w:cs="宋体"/>
                <w:sz w:val="21"/>
                <w:szCs w:val="21"/>
              </w:rPr>
              <w:t>数据信息接收。通过国标或指定数据传输协议，将智能识别视频及信息上传到平台端口。接收到数据后，进行入库存储。同时按识别类型分类存储视频信息，方便调阅下载。</w:t>
            </w:r>
          </w:p>
          <w:p w14:paraId="672AC7CF">
            <w:pPr>
              <w:pStyle w:val="2"/>
              <w:spacing w:line="400" w:lineRule="exact"/>
              <w:ind w:firstLine="420"/>
              <w:rPr>
                <w:rFonts w:hint="eastAsia" w:ascii="宋体" w:hAnsi="宋体" w:cs="宋体"/>
                <w:sz w:val="21"/>
                <w:szCs w:val="21"/>
              </w:rPr>
            </w:pPr>
            <w:r>
              <w:rPr>
                <w:rFonts w:ascii="宋体" w:hAnsi="宋体" w:cs="宋体"/>
                <w:sz w:val="21"/>
                <w:szCs w:val="21"/>
              </w:rPr>
              <w:t>异常提醒。当识别出海漂垃圾物品时，根据提醒级别分别以系统消息、明显标识、手机短信等方式进行提醒。同时系统具备异常数据信息查询功能，可根据提醒级别、时间查询历史数据信息。</w:t>
            </w:r>
          </w:p>
          <w:p w14:paraId="7ADE7483">
            <w:pPr>
              <w:pStyle w:val="2"/>
              <w:spacing w:line="400" w:lineRule="exact"/>
              <w:ind w:firstLine="420"/>
              <w:rPr>
                <w:rFonts w:hint="eastAsia" w:ascii="宋体" w:hAnsi="宋体" w:cs="宋体"/>
                <w:sz w:val="21"/>
                <w:szCs w:val="21"/>
              </w:rPr>
            </w:pPr>
            <w:r>
              <w:rPr>
                <w:rFonts w:ascii="宋体" w:hAnsi="宋体" w:cs="宋体"/>
                <w:sz w:val="21"/>
                <w:szCs w:val="21"/>
              </w:rPr>
              <w:t>视频调阅。以列表的方式罗列出所有异常视频信息，并支持下载。</w:t>
            </w:r>
          </w:p>
          <w:p w14:paraId="2218F6FC">
            <w:pPr>
              <w:pStyle w:val="2"/>
              <w:spacing w:line="400" w:lineRule="exact"/>
              <w:ind w:firstLine="420"/>
              <w:rPr>
                <w:rFonts w:hint="eastAsia" w:ascii="宋体" w:hAnsi="宋体" w:cs="宋体"/>
                <w:sz w:val="21"/>
                <w:szCs w:val="21"/>
              </w:rPr>
            </w:pPr>
            <w:r>
              <w:rPr>
                <w:rFonts w:ascii="宋体" w:hAnsi="宋体" w:cs="宋体"/>
                <w:sz w:val="21"/>
                <w:szCs w:val="21"/>
              </w:rPr>
              <w:t>站点管理。提供能够实现对站点信息的新增、维护及查询功能。</w:t>
            </w:r>
          </w:p>
          <w:p w14:paraId="2B66BCDC">
            <w:pPr>
              <w:pStyle w:val="2"/>
              <w:spacing w:line="400" w:lineRule="exact"/>
              <w:ind w:firstLine="420"/>
              <w:rPr>
                <w:rFonts w:hint="eastAsia" w:ascii="宋体" w:hAnsi="宋体" w:cs="宋体"/>
                <w:sz w:val="21"/>
                <w:szCs w:val="21"/>
              </w:rPr>
            </w:pPr>
            <w:r>
              <w:rPr>
                <w:rFonts w:ascii="宋体" w:hAnsi="宋体" w:cs="宋体"/>
                <w:sz w:val="21"/>
                <w:szCs w:val="21"/>
              </w:rPr>
              <w:t>（4）海水水质在线监测数据管理。含数据接入、数据评价、数据查询、异常查询、站点管理等。</w:t>
            </w:r>
          </w:p>
          <w:p w14:paraId="7595A5DC">
            <w:pPr>
              <w:pStyle w:val="2"/>
              <w:spacing w:line="400" w:lineRule="exact"/>
              <w:ind w:firstLine="420"/>
              <w:rPr>
                <w:rFonts w:hint="eastAsia" w:ascii="宋体" w:hAnsi="宋体" w:cs="宋体"/>
                <w:sz w:val="21"/>
                <w:szCs w:val="21"/>
              </w:rPr>
            </w:pPr>
            <w:r>
              <w:rPr>
                <w:rFonts w:ascii="宋体" w:hAnsi="宋体" w:cs="宋体"/>
                <w:sz w:val="21"/>
                <w:szCs w:val="21"/>
              </w:rPr>
              <w:t>（5）北部湾生态环境天空地海一张图</w:t>
            </w:r>
          </w:p>
          <w:p w14:paraId="1DF4A6A7">
            <w:pPr>
              <w:pStyle w:val="2"/>
              <w:spacing w:line="400" w:lineRule="exact"/>
              <w:ind w:firstLine="420"/>
              <w:rPr>
                <w:rFonts w:hint="eastAsia" w:ascii="宋体" w:hAnsi="宋体" w:cs="宋体"/>
                <w:sz w:val="21"/>
                <w:szCs w:val="21"/>
              </w:rPr>
            </w:pPr>
            <w:r>
              <w:rPr>
                <w:rFonts w:ascii="宋体" w:hAnsi="宋体" w:cs="宋体"/>
                <w:sz w:val="21"/>
                <w:szCs w:val="21"/>
              </w:rPr>
              <w:t>在线水质管理：将浮标站点实时在线情况、数据超标情况、水质变化趋势、水质优良率、数据收集、数据审核情况等信息以图表的形式汇总集中展示在系统内。</w:t>
            </w:r>
          </w:p>
          <w:p w14:paraId="45E5832B">
            <w:pPr>
              <w:pStyle w:val="2"/>
              <w:spacing w:line="400" w:lineRule="exact"/>
              <w:ind w:firstLine="420"/>
              <w:rPr>
                <w:rFonts w:hint="eastAsia" w:ascii="宋体" w:hAnsi="宋体" w:cs="宋体"/>
                <w:sz w:val="21"/>
                <w:szCs w:val="21"/>
              </w:rPr>
            </w:pPr>
            <w:r>
              <w:rPr>
                <w:rFonts w:ascii="宋体" w:hAnsi="宋体" w:cs="宋体"/>
                <w:sz w:val="21"/>
                <w:szCs w:val="21"/>
              </w:rPr>
              <w:t>预警预报：将当日预报结果以饼图的形式展示水质优良率、所有站点水质类别以柱状图的形式展示、将预报出来的超标数据信息罗列出来，同时将昨天所有点水质类别预测结果对比及准确率以数据表格和图表形式展现在系统中。</w:t>
            </w:r>
          </w:p>
          <w:p w14:paraId="7058610E">
            <w:pPr>
              <w:pStyle w:val="2"/>
              <w:spacing w:line="400" w:lineRule="exact"/>
              <w:ind w:firstLine="420"/>
              <w:rPr>
                <w:rFonts w:hint="eastAsia" w:ascii="宋体" w:hAnsi="宋体" w:cs="宋体"/>
                <w:sz w:val="21"/>
                <w:szCs w:val="21"/>
              </w:rPr>
            </w:pPr>
            <w:r>
              <w:rPr>
                <w:rFonts w:ascii="宋体" w:hAnsi="宋体" w:cs="宋体"/>
                <w:sz w:val="21"/>
                <w:szCs w:val="21"/>
              </w:rPr>
              <w:t>应急监测：系统展示应急监测事件内容，归纳出系统内应急监测报告出具份数及应急监测资源设备、专家数据库等信息情况。数据信息以图表的形式展示。</w:t>
            </w:r>
          </w:p>
          <w:p w14:paraId="35107137">
            <w:pPr>
              <w:pStyle w:val="2"/>
              <w:spacing w:line="400" w:lineRule="exact"/>
              <w:ind w:firstLine="420"/>
              <w:rPr>
                <w:rFonts w:hint="eastAsia" w:ascii="宋体" w:hAnsi="宋体" w:cs="宋体"/>
                <w:sz w:val="21"/>
                <w:szCs w:val="21"/>
              </w:rPr>
            </w:pPr>
            <w:r>
              <w:rPr>
                <w:rFonts w:ascii="宋体" w:hAnsi="宋体" w:cs="宋体"/>
                <w:sz w:val="21"/>
                <w:szCs w:val="21"/>
              </w:rPr>
              <w:t>茅尾海基地信息管理：将茅尾海基地数据信息包括仪器设备、基地建设情况、科研成果等信息以图表的形式展示在系统中。同时将无人机遥感、反演数据、海漂垃圾识别、监测数据等信息以图表的形式直观展示在系统中。</w:t>
            </w:r>
          </w:p>
          <w:p w14:paraId="7EEBC5EF">
            <w:pPr>
              <w:pStyle w:val="2"/>
              <w:spacing w:line="400" w:lineRule="exact"/>
              <w:ind w:firstLine="420"/>
              <w:rPr>
                <w:rFonts w:hint="eastAsia" w:ascii="宋体" w:hAnsi="宋体" w:cs="宋体"/>
                <w:sz w:val="21"/>
                <w:szCs w:val="21"/>
              </w:rPr>
            </w:pPr>
            <w:r>
              <w:rPr>
                <w:rFonts w:ascii="宋体" w:hAnsi="宋体" w:cs="宋体"/>
                <w:sz w:val="21"/>
                <w:szCs w:val="21"/>
              </w:rPr>
              <w:t>（6）广西近岸海域水质预测预警模型程序预测结果展示及评价。包括预报预警模型生成、预报结果展示、预报结果评价、预报结果比较、水质日报、质控管理、运维记录管理、气象数据集成、污染源数据集成、潮汐数据集成、海水浴场数据集成等。</w:t>
            </w:r>
          </w:p>
          <w:p w14:paraId="0B915CF5">
            <w:pPr>
              <w:pStyle w:val="2"/>
              <w:spacing w:line="400" w:lineRule="exact"/>
              <w:ind w:firstLine="420"/>
              <w:rPr>
                <w:rFonts w:hint="eastAsia" w:ascii="宋体" w:hAnsi="宋体" w:cs="宋体"/>
                <w:sz w:val="21"/>
                <w:szCs w:val="21"/>
              </w:rPr>
            </w:pPr>
            <w:r>
              <w:rPr>
                <w:rFonts w:ascii="宋体" w:hAnsi="宋体" w:cs="宋体"/>
                <w:sz w:val="21"/>
                <w:szCs w:val="21"/>
              </w:rPr>
              <w:t>（7）海洋应急监测管理。包括海洋应急接警、基本信息、方案管理、方案生成、方案审核、采样分析、监测报告、监测快报、专题报告、数据分析、对接无人机、对接无人船、对接单兵、化学品、典型案例、监测设备、常用标准、监测方法、评价标准、评价项目等全流程管理，以及海洋突发环境污染事故预测。</w:t>
            </w:r>
          </w:p>
          <w:p w14:paraId="6ECC9576">
            <w:pPr>
              <w:pStyle w:val="2"/>
              <w:spacing w:line="400" w:lineRule="exact"/>
              <w:ind w:firstLine="420"/>
              <w:rPr>
                <w:rFonts w:hint="eastAsia" w:ascii="宋体" w:hAnsi="宋体" w:cs="宋体"/>
                <w:sz w:val="21"/>
                <w:szCs w:val="21"/>
              </w:rPr>
            </w:pPr>
            <w:r>
              <w:rPr>
                <w:rFonts w:ascii="宋体" w:hAnsi="宋体" w:cs="宋体"/>
                <w:sz w:val="21"/>
                <w:szCs w:val="21"/>
              </w:rPr>
              <w:t>（8）密码资源池对接。与</w:t>
            </w:r>
            <w:r>
              <w:rPr>
                <w:rFonts w:hint="eastAsia" w:ascii="宋体" w:hAnsi="宋体" w:cs="宋体"/>
                <w:sz w:val="21"/>
                <w:szCs w:val="21"/>
              </w:rPr>
              <w:t>云平台</w:t>
            </w:r>
            <w:r>
              <w:rPr>
                <w:rFonts w:ascii="宋体" w:hAnsi="宋体" w:cs="宋体"/>
                <w:sz w:val="21"/>
                <w:szCs w:val="21"/>
              </w:rPr>
              <w:t>的密码资源池进行对接，依托</w:t>
            </w:r>
            <w:r>
              <w:rPr>
                <w:rFonts w:hint="eastAsia" w:ascii="宋体" w:hAnsi="宋体" w:cs="宋体"/>
                <w:sz w:val="21"/>
                <w:szCs w:val="21"/>
              </w:rPr>
              <w:t>云平台</w:t>
            </w:r>
            <w:r>
              <w:rPr>
                <w:rFonts w:ascii="宋体" w:hAnsi="宋体" w:cs="宋体"/>
                <w:sz w:val="21"/>
                <w:szCs w:val="21"/>
              </w:rPr>
              <w:t>的密码防护能力提供密码安全防护手段。</w:t>
            </w:r>
          </w:p>
          <w:p w14:paraId="7A1A8DD7">
            <w:pPr>
              <w:pStyle w:val="2"/>
              <w:spacing w:line="400" w:lineRule="exact"/>
              <w:ind w:firstLine="420"/>
              <w:rPr>
                <w:rFonts w:hint="eastAsia" w:ascii="宋体" w:hAnsi="宋体" w:cs="宋体"/>
                <w:sz w:val="21"/>
                <w:szCs w:val="21"/>
              </w:rPr>
            </w:pPr>
            <w:r>
              <w:rPr>
                <w:rFonts w:ascii="宋体" w:hAnsi="宋体" w:cs="宋体"/>
                <w:sz w:val="21"/>
                <w:szCs w:val="21"/>
              </w:rPr>
              <w:t>五、数据工程</w:t>
            </w:r>
          </w:p>
          <w:p w14:paraId="3A0C63B3">
            <w:pPr>
              <w:pStyle w:val="2"/>
              <w:spacing w:line="400" w:lineRule="exact"/>
              <w:ind w:firstLine="420"/>
              <w:rPr>
                <w:rFonts w:hint="eastAsia" w:ascii="宋体" w:hAnsi="宋体" w:cs="宋体"/>
                <w:sz w:val="21"/>
                <w:szCs w:val="21"/>
              </w:rPr>
            </w:pPr>
            <w:r>
              <w:rPr>
                <w:rFonts w:ascii="宋体" w:hAnsi="宋体" w:cs="宋体"/>
                <w:sz w:val="21"/>
                <w:szCs w:val="21"/>
              </w:rPr>
              <w:t>▲（一）总体要求</w:t>
            </w:r>
          </w:p>
          <w:p w14:paraId="283BB07E">
            <w:pPr>
              <w:pStyle w:val="2"/>
              <w:spacing w:line="400" w:lineRule="exact"/>
              <w:ind w:firstLine="420"/>
              <w:rPr>
                <w:rFonts w:hint="eastAsia" w:ascii="宋体" w:hAnsi="宋体" w:cs="宋体"/>
                <w:sz w:val="21"/>
                <w:szCs w:val="21"/>
              </w:rPr>
            </w:pPr>
            <w:r>
              <w:rPr>
                <w:rFonts w:ascii="宋体" w:hAnsi="宋体" w:cs="宋体"/>
                <w:sz w:val="21"/>
                <w:szCs w:val="21"/>
              </w:rPr>
              <w:t>依托生态环境数据资源平台能力，根据本标包实际建设的生态环境业务应用的实际情况，迁移历史数据，并根据生态环境数据资源平台的数据资源体系对历史数据进行治理，搭建应用的专题数据库。</w:t>
            </w:r>
          </w:p>
          <w:p w14:paraId="3D17C0DC">
            <w:pPr>
              <w:pStyle w:val="2"/>
              <w:spacing w:line="400" w:lineRule="exact"/>
              <w:ind w:firstLine="420"/>
              <w:rPr>
                <w:rFonts w:hint="eastAsia" w:ascii="宋体" w:hAnsi="宋体" w:cs="宋体"/>
                <w:sz w:val="21"/>
                <w:szCs w:val="21"/>
              </w:rPr>
            </w:pPr>
            <w:r>
              <w:rPr>
                <w:rFonts w:ascii="宋体" w:hAnsi="宋体" w:cs="宋体"/>
                <w:sz w:val="21"/>
                <w:szCs w:val="21"/>
              </w:rPr>
              <w:t>▲（二）数据工程建设内容</w:t>
            </w:r>
          </w:p>
          <w:p w14:paraId="537F4010">
            <w:pPr>
              <w:pStyle w:val="2"/>
              <w:spacing w:line="400" w:lineRule="exact"/>
              <w:ind w:firstLine="420"/>
              <w:rPr>
                <w:rFonts w:hint="eastAsia" w:ascii="宋体" w:hAnsi="宋体" w:cs="宋体"/>
                <w:sz w:val="21"/>
                <w:szCs w:val="21"/>
              </w:rPr>
            </w:pPr>
            <w:r>
              <w:rPr>
                <w:rFonts w:ascii="宋体" w:hAnsi="宋体" w:cs="宋体"/>
                <w:sz w:val="21"/>
                <w:szCs w:val="21"/>
              </w:rPr>
              <w:t>1.数据迁移</w:t>
            </w:r>
          </w:p>
          <w:p w14:paraId="76242541">
            <w:pPr>
              <w:pStyle w:val="2"/>
              <w:spacing w:line="400" w:lineRule="exact"/>
              <w:ind w:firstLine="420"/>
              <w:rPr>
                <w:rFonts w:hint="eastAsia" w:ascii="宋体" w:hAnsi="宋体" w:cs="宋体"/>
                <w:sz w:val="21"/>
                <w:szCs w:val="21"/>
              </w:rPr>
            </w:pPr>
            <w:r>
              <w:rPr>
                <w:rFonts w:ascii="宋体" w:hAnsi="宋体" w:cs="宋体"/>
                <w:sz w:val="21"/>
                <w:szCs w:val="21"/>
              </w:rPr>
              <w:t>（1）迁移数据源识别和评估</w:t>
            </w:r>
          </w:p>
          <w:p w14:paraId="5E53399E">
            <w:pPr>
              <w:pStyle w:val="2"/>
              <w:spacing w:line="400" w:lineRule="exact"/>
              <w:ind w:firstLine="420"/>
              <w:rPr>
                <w:rFonts w:hint="eastAsia" w:ascii="宋体" w:hAnsi="宋体" w:cs="宋体"/>
                <w:sz w:val="21"/>
                <w:szCs w:val="21"/>
              </w:rPr>
            </w:pPr>
            <w:r>
              <w:rPr>
                <w:rFonts w:hint="eastAsia" w:ascii="宋体" w:hAnsi="宋体" w:cs="宋体"/>
                <w:sz w:val="21"/>
                <w:szCs w:val="21"/>
              </w:rPr>
              <w:t>广西生态环境信息化建设项目</w:t>
            </w:r>
            <w:r>
              <w:rPr>
                <w:rFonts w:ascii="宋体" w:hAnsi="宋体" w:cs="宋体"/>
                <w:sz w:val="21"/>
                <w:szCs w:val="21"/>
              </w:rPr>
              <w:t>应用系统进行相关数据迁移部署。</w:t>
            </w:r>
          </w:p>
          <w:p w14:paraId="5C1BD830">
            <w:pPr>
              <w:pStyle w:val="2"/>
              <w:spacing w:line="400" w:lineRule="exact"/>
              <w:ind w:firstLine="420"/>
              <w:rPr>
                <w:rFonts w:hint="eastAsia" w:ascii="宋体" w:hAnsi="宋体" w:cs="宋体"/>
                <w:sz w:val="21"/>
                <w:szCs w:val="21"/>
              </w:rPr>
            </w:pPr>
            <w:r>
              <w:rPr>
                <w:rFonts w:hint="eastAsia" w:ascii="宋体" w:hAnsi="宋体" w:cs="宋体"/>
                <w:sz w:val="21"/>
                <w:szCs w:val="21"/>
              </w:rPr>
              <w:t>（2）数据迁移目标：采用分步试点验证，风险最小化，安全回滚保障等措施确保实现迁移目标。</w:t>
            </w:r>
          </w:p>
          <w:p w14:paraId="080FA4D6">
            <w:pPr>
              <w:pStyle w:val="2"/>
              <w:spacing w:line="400" w:lineRule="exact"/>
              <w:ind w:firstLine="420"/>
              <w:rPr>
                <w:rFonts w:hint="eastAsia" w:ascii="宋体" w:hAnsi="宋体" w:cs="宋体"/>
                <w:sz w:val="21"/>
                <w:szCs w:val="21"/>
              </w:rPr>
            </w:pPr>
            <w:r>
              <w:rPr>
                <w:rFonts w:hint="eastAsia" w:ascii="宋体" w:hAnsi="宋体" w:cs="宋体"/>
                <w:sz w:val="21"/>
                <w:szCs w:val="21"/>
              </w:rPr>
              <w:t>（3）数据迁移计划编制：包含发布公告、原平台停用、原应用备份、原数据备份、原平台网络策略备份等内容</w:t>
            </w:r>
          </w:p>
          <w:p w14:paraId="02CBFCC7">
            <w:pPr>
              <w:pStyle w:val="2"/>
              <w:spacing w:line="400" w:lineRule="exact"/>
              <w:ind w:firstLine="420"/>
              <w:rPr>
                <w:rFonts w:hint="eastAsia" w:ascii="宋体" w:hAnsi="宋体" w:cs="宋体"/>
                <w:sz w:val="21"/>
                <w:szCs w:val="21"/>
              </w:rPr>
            </w:pPr>
            <w:r>
              <w:rPr>
                <w:rFonts w:ascii="宋体" w:hAnsi="宋体" w:cs="宋体"/>
                <w:sz w:val="21"/>
                <w:szCs w:val="21"/>
              </w:rPr>
              <w:t>（4）数据迁移实施。根据业务实际需求可包括基础硬件、基础网络、基础安全、业务软件部署等。其中，业务软件部署包括系统适配测试流程、系统性能验证、测试结果分析及调优、适配测试用例、国产JDK适配、前端页面适配改造、服务端代码重构适配、业务逻辑代码重构适配等。</w:t>
            </w:r>
          </w:p>
          <w:p w14:paraId="00BBD1AF">
            <w:pPr>
              <w:pStyle w:val="2"/>
              <w:spacing w:line="400" w:lineRule="exact"/>
              <w:ind w:firstLine="420"/>
              <w:rPr>
                <w:rFonts w:hint="eastAsia" w:ascii="宋体" w:hAnsi="宋体" w:cs="宋体"/>
                <w:sz w:val="21"/>
                <w:szCs w:val="21"/>
              </w:rPr>
            </w:pPr>
            <w:r>
              <w:rPr>
                <w:rFonts w:ascii="宋体" w:hAnsi="宋体" w:cs="宋体"/>
                <w:sz w:val="21"/>
                <w:szCs w:val="21"/>
              </w:rPr>
              <w:t>（5）数据迁移部署。涉及的数据库包括基础数据库、专题库、共享库、主题库等，根据业务实际需要迁移部署，用于存储本项目涉及的各种业务数据、管理数据等。流程包括数据迁移工具准备、迁移前评估分析、迁移前数据检查处理、存量数据迁移等。</w:t>
            </w:r>
          </w:p>
          <w:p w14:paraId="1E86BDCE">
            <w:pPr>
              <w:pStyle w:val="2"/>
              <w:spacing w:line="400" w:lineRule="exact"/>
              <w:ind w:firstLine="420"/>
              <w:rPr>
                <w:rFonts w:hint="eastAsia" w:ascii="宋体" w:hAnsi="宋体" w:cs="宋体"/>
                <w:sz w:val="21"/>
                <w:szCs w:val="21"/>
              </w:rPr>
            </w:pPr>
            <w:r>
              <w:rPr>
                <w:rFonts w:ascii="宋体" w:hAnsi="宋体" w:cs="宋体"/>
                <w:sz w:val="21"/>
                <w:szCs w:val="21"/>
              </w:rPr>
              <w:t>（6）迁移后数据验证：空间数据检查与处理、属性数据检查与处理等。</w:t>
            </w:r>
          </w:p>
          <w:p w14:paraId="658A91C1">
            <w:pPr>
              <w:pStyle w:val="2"/>
              <w:spacing w:line="400" w:lineRule="exact"/>
              <w:ind w:firstLine="420"/>
              <w:rPr>
                <w:rFonts w:hint="eastAsia" w:ascii="宋体" w:hAnsi="宋体" w:cs="宋体"/>
                <w:sz w:val="21"/>
                <w:szCs w:val="21"/>
              </w:rPr>
            </w:pPr>
            <w:r>
              <w:rPr>
                <w:rFonts w:hint="eastAsia" w:ascii="宋体" w:hAnsi="宋体" w:cs="宋体"/>
                <w:sz w:val="21"/>
                <w:szCs w:val="21"/>
              </w:rPr>
              <w:t>（7）迁移后数据测试和优化：包含数据库适配测试、数据库调优等内容</w:t>
            </w:r>
          </w:p>
          <w:p w14:paraId="5B92D3BB">
            <w:pPr>
              <w:pStyle w:val="2"/>
              <w:spacing w:line="400" w:lineRule="exact"/>
              <w:ind w:firstLine="420"/>
              <w:rPr>
                <w:rFonts w:hint="eastAsia" w:ascii="宋体" w:hAnsi="宋体" w:cs="宋体"/>
                <w:sz w:val="21"/>
                <w:szCs w:val="21"/>
              </w:rPr>
            </w:pPr>
            <w:r>
              <w:rPr>
                <w:rFonts w:ascii="宋体" w:hAnsi="宋体" w:cs="宋体"/>
                <w:sz w:val="21"/>
                <w:szCs w:val="21"/>
              </w:rPr>
              <w:t>（8）平台回滚方案。包括回滚目标和原则、回滚触发条件、回滚前数据备份策略、回滚流程、各方主要职责、测试策略、测试流程、测试方法、测试内容、回滚组织计划等。</w:t>
            </w:r>
          </w:p>
          <w:p w14:paraId="608F64F2">
            <w:pPr>
              <w:pStyle w:val="2"/>
              <w:spacing w:line="400" w:lineRule="exact"/>
              <w:ind w:firstLine="420"/>
              <w:rPr>
                <w:rFonts w:hint="eastAsia" w:ascii="宋体" w:hAnsi="宋体" w:cs="宋体"/>
                <w:sz w:val="21"/>
                <w:szCs w:val="21"/>
              </w:rPr>
            </w:pPr>
            <w:r>
              <w:rPr>
                <w:rFonts w:ascii="宋体" w:hAnsi="宋体" w:cs="宋体"/>
                <w:sz w:val="21"/>
                <w:szCs w:val="21"/>
              </w:rPr>
              <w:t>2.数据治理</w:t>
            </w:r>
          </w:p>
          <w:p w14:paraId="02C4910E">
            <w:pPr>
              <w:pStyle w:val="2"/>
              <w:spacing w:line="400" w:lineRule="exact"/>
              <w:ind w:firstLine="420"/>
              <w:rPr>
                <w:rFonts w:hint="eastAsia" w:ascii="宋体" w:hAnsi="宋体" w:cs="宋体"/>
                <w:sz w:val="21"/>
                <w:szCs w:val="21"/>
              </w:rPr>
            </w:pPr>
            <w:r>
              <w:rPr>
                <w:rFonts w:ascii="宋体" w:hAnsi="宋体" w:cs="宋体"/>
                <w:sz w:val="21"/>
                <w:szCs w:val="21"/>
              </w:rPr>
              <w:t>利用生态环境数据资源平台能力，实现相关数据的采集、治理、管理与共享交换，从制度、标准、监控、流程结果方面提升数据信息管理能力，解决目前所面临的数据标准问题、数据质量问题、元数据管理问题。建立统一、规范并且唯一的数据标准来解决信息交互、集成、统计、决策等诸多难题，有效地提高检验管理过程控制和质量。</w:t>
            </w:r>
          </w:p>
          <w:p w14:paraId="15E43C27">
            <w:pPr>
              <w:pStyle w:val="2"/>
              <w:spacing w:line="400" w:lineRule="exact"/>
              <w:ind w:firstLine="420"/>
              <w:rPr>
                <w:rFonts w:hint="eastAsia" w:ascii="宋体" w:hAnsi="宋体" w:cs="宋体"/>
                <w:sz w:val="21"/>
                <w:szCs w:val="21"/>
              </w:rPr>
            </w:pPr>
            <w:r>
              <w:rPr>
                <w:rFonts w:ascii="宋体" w:hAnsi="宋体" w:cs="宋体"/>
                <w:sz w:val="21"/>
                <w:szCs w:val="21"/>
              </w:rPr>
              <w:t>（1）数据标准建设。含标准概览、数据元、标准代码、常用规则、标准文件、数据模型、标准治理实施等。</w:t>
            </w:r>
          </w:p>
          <w:p w14:paraId="474B2506">
            <w:pPr>
              <w:pStyle w:val="2"/>
              <w:spacing w:line="400" w:lineRule="exact"/>
              <w:ind w:firstLine="420"/>
              <w:rPr>
                <w:rFonts w:hint="eastAsia" w:ascii="宋体" w:hAnsi="宋体" w:cs="宋体"/>
                <w:sz w:val="21"/>
                <w:szCs w:val="21"/>
              </w:rPr>
            </w:pPr>
            <w:r>
              <w:rPr>
                <w:rFonts w:ascii="宋体" w:hAnsi="宋体" w:cs="宋体"/>
                <w:sz w:val="21"/>
                <w:szCs w:val="21"/>
              </w:rPr>
              <w:t>（2）数据离线治理。包括数据探查、数据定义、数据融合、数据发布、集成对账、数据质量工单等。</w:t>
            </w:r>
          </w:p>
          <w:p w14:paraId="730A18C4">
            <w:pPr>
              <w:pStyle w:val="2"/>
              <w:spacing w:line="400" w:lineRule="exact"/>
              <w:ind w:firstLine="420"/>
              <w:rPr>
                <w:rFonts w:hint="eastAsia" w:ascii="宋体" w:hAnsi="宋体" w:cs="宋体"/>
                <w:sz w:val="21"/>
                <w:szCs w:val="21"/>
              </w:rPr>
            </w:pPr>
            <w:r>
              <w:rPr>
                <w:rFonts w:ascii="宋体" w:hAnsi="宋体" w:cs="宋体"/>
                <w:sz w:val="21"/>
                <w:szCs w:val="21"/>
              </w:rPr>
              <w:t>（3）数据实时治理。主要针对业务生产单位生产数据后实时进行治理并对外即时发布。含编辑任务、提交任务。</w:t>
            </w:r>
          </w:p>
          <w:p w14:paraId="0B223F7A">
            <w:pPr>
              <w:pStyle w:val="2"/>
              <w:spacing w:line="400" w:lineRule="exact"/>
              <w:ind w:firstLine="420"/>
              <w:rPr>
                <w:rFonts w:hint="eastAsia" w:ascii="宋体" w:hAnsi="宋体" w:cs="宋体"/>
                <w:sz w:val="21"/>
                <w:szCs w:val="21"/>
              </w:rPr>
            </w:pPr>
            <w:r>
              <w:rPr>
                <w:rFonts w:ascii="宋体" w:hAnsi="宋体" w:cs="宋体"/>
                <w:sz w:val="21"/>
                <w:szCs w:val="21"/>
              </w:rPr>
              <w:t>（4）数据质量。对数据完整性、准确性、鲜活性、权威性的分析和管理，并对数据质量问题进行跟踪、处理和解决，实现数据质量的全程管理。含数据质检、质检工单。</w:t>
            </w:r>
          </w:p>
          <w:p w14:paraId="6B49CE56">
            <w:pPr>
              <w:pStyle w:val="2"/>
              <w:spacing w:line="400" w:lineRule="exact"/>
              <w:ind w:firstLine="420"/>
              <w:rPr>
                <w:rFonts w:hint="eastAsia" w:ascii="宋体" w:hAnsi="宋体" w:cs="宋体"/>
                <w:sz w:val="21"/>
                <w:szCs w:val="21"/>
              </w:rPr>
            </w:pPr>
            <w:r>
              <w:rPr>
                <w:rFonts w:hint="eastAsia" w:ascii="宋体" w:hAnsi="宋体" w:cs="宋体"/>
                <w:sz w:val="21"/>
                <w:szCs w:val="21"/>
              </w:rPr>
              <w:t>（5）形成数据治理报告：以数据治理报告的形式，清晰呈现现阶段数据治理的整体情况，便于快速发现隐藏问题，为后续的重点推进工作提供信息支撑。</w:t>
            </w:r>
          </w:p>
          <w:p w14:paraId="6B86A815">
            <w:pPr>
              <w:pStyle w:val="2"/>
              <w:spacing w:line="400" w:lineRule="exact"/>
              <w:ind w:firstLine="420"/>
              <w:rPr>
                <w:rFonts w:hint="eastAsia" w:ascii="宋体" w:hAnsi="宋体" w:cs="宋体"/>
                <w:sz w:val="21"/>
                <w:szCs w:val="21"/>
              </w:rPr>
            </w:pPr>
            <w:r>
              <w:rPr>
                <w:rFonts w:hint="eastAsia" w:ascii="宋体" w:hAnsi="宋体" w:cs="宋体"/>
                <w:sz w:val="21"/>
                <w:szCs w:val="21"/>
              </w:rPr>
              <w:t>（6）数据治理平台配置：支持对数据治理平台进行个性化配置，包括部门配置、编码配置、字段类型配置、元数据类型配置等内容。</w:t>
            </w:r>
          </w:p>
          <w:p w14:paraId="138A0DE0">
            <w:pPr>
              <w:pStyle w:val="2"/>
              <w:spacing w:line="400" w:lineRule="exact"/>
              <w:ind w:firstLine="420"/>
              <w:rPr>
                <w:rFonts w:hint="eastAsia" w:ascii="宋体" w:hAnsi="宋体" w:cs="宋体"/>
                <w:sz w:val="21"/>
                <w:szCs w:val="21"/>
              </w:rPr>
            </w:pPr>
            <w:r>
              <w:rPr>
                <w:rFonts w:ascii="宋体" w:hAnsi="宋体" w:cs="宋体"/>
                <w:sz w:val="21"/>
                <w:szCs w:val="21"/>
              </w:rPr>
              <w:t>（7）治理底座构建。提供分布式异构数据源之间数据转换能力，将数据治理平台的业务配置转化成底层的数据流转实现。包括节点域管理、数据源管理、治理作业开发、消息队列管理、数据监听管理、告警配置等。</w:t>
            </w:r>
          </w:p>
          <w:p w14:paraId="0AB2E27E">
            <w:pPr>
              <w:pStyle w:val="2"/>
              <w:spacing w:line="400" w:lineRule="exact"/>
              <w:ind w:firstLine="420"/>
              <w:rPr>
                <w:rFonts w:hint="eastAsia" w:ascii="宋体" w:hAnsi="宋体" w:cs="宋体"/>
                <w:sz w:val="21"/>
                <w:szCs w:val="21"/>
              </w:rPr>
            </w:pPr>
            <w:r>
              <w:rPr>
                <w:rFonts w:ascii="宋体" w:hAnsi="宋体" w:cs="宋体"/>
                <w:sz w:val="21"/>
                <w:szCs w:val="21"/>
              </w:rPr>
              <w:t>（8）数据治理指标管理。包括数据质量指标、数据安全指标、数据合规性指标、数据可用性指标、数据使用指标等。</w:t>
            </w:r>
          </w:p>
          <w:p w14:paraId="559E200C">
            <w:pPr>
              <w:pStyle w:val="2"/>
              <w:spacing w:line="400" w:lineRule="exact"/>
              <w:ind w:firstLine="420"/>
              <w:rPr>
                <w:rFonts w:hint="eastAsia" w:ascii="宋体" w:hAnsi="宋体" w:cs="宋体"/>
                <w:sz w:val="21"/>
                <w:szCs w:val="21"/>
              </w:rPr>
            </w:pPr>
            <w:r>
              <w:rPr>
                <w:rFonts w:ascii="宋体" w:hAnsi="宋体" w:cs="宋体"/>
                <w:sz w:val="21"/>
                <w:szCs w:val="21"/>
              </w:rPr>
              <w:t>3.专题数据库建设</w:t>
            </w:r>
          </w:p>
          <w:p w14:paraId="4C909508">
            <w:pPr>
              <w:pStyle w:val="2"/>
              <w:spacing w:line="400" w:lineRule="exact"/>
              <w:ind w:firstLine="420"/>
              <w:rPr>
                <w:rFonts w:hint="eastAsia" w:ascii="宋体" w:hAnsi="宋体" w:cs="宋体"/>
                <w:sz w:val="21"/>
                <w:szCs w:val="21"/>
              </w:rPr>
            </w:pPr>
            <w:r>
              <w:rPr>
                <w:rFonts w:hint="eastAsia" w:ascii="宋体" w:hAnsi="宋体" w:cs="宋体"/>
                <w:sz w:val="21"/>
                <w:szCs w:val="21"/>
              </w:rPr>
              <w:t>（1）信息资源规划：采用统一的信息资源体系架构，信息编码设计规范。</w:t>
            </w:r>
          </w:p>
          <w:p w14:paraId="58CD8ED9">
            <w:pPr>
              <w:pStyle w:val="2"/>
              <w:spacing w:line="400" w:lineRule="exact"/>
              <w:ind w:firstLine="420"/>
              <w:rPr>
                <w:rFonts w:hint="eastAsia" w:ascii="宋体" w:hAnsi="宋体" w:cs="宋体"/>
                <w:sz w:val="21"/>
                <w:szCs w:val="21"/>
              </w:rPr>
            </w:pPr>
            <w:r>
              <w:rPr>
                <w:rFonts w:hint="eastAsia" w:ascii="宋体" w:hAnsi="宋体" w:cs="宋体"/>
                <w:sz w:val="21"/>
                <w:szCs w:val="21"/>
              </w:rPr>
              <w:t>（2）数据源管理：提供了多种结构化数据源配置管理，支持采集的数据库类型包括国内外主流的关系型数据库，提供数据源的增删改查与连接测试的能力。</w:t>
            </w:r>
          </w:p>
          <w:p w14:paraId="0898567E">
            <w:pPr>
              <w:pStyle w:val="2"/>
              <w:spacing w:line="400" w:lineRule="exact"/>
              <w:ind w:firstLine="420"/>
              <w:rPr>
                <w:rFonts w:hint="eastAsia" w:ascii="宋体" w:hAnsi="宋体" w:cs="宋体"/>
                <w:sz w:val="21"/>
                <w:szCs w:val="21"/>
              </w:rPr>
            </w:pPr>
            <w:r>
              <w:rPr>
                <w:rFonts w:ascii="宋体" w:hAnsi="宋体" w:cs="宋体"/>
                <w:sz w:val="21"/>
                <w:szCs w:val="21"/>
              </w:rPr>
              <w:t>（3）元数据管理。含元数据监控、元数据安全配置、数据分类、用户分类等。</w:t>
            </w:r>
          </w:p>
          <w:p w14:paraId="26F10F07">
            <w:pPr>
              <w:pStyle w:val="2"/>
              <w:spacing w:line="400" w:lineRule="exact"/>
              <w:ind w:firstLine="420"/>
              <w:rPr>
                <w:rFonts w:hint="eastAsia" w:ascii="宋体" w:hAnsi="宋体" w:cs="宋体"/>
                <w:sz w:val="21"/>
                <w:szCs w:val="21"/>
              </w:rPr>
            </w:pPr>
            <w:r>
              <w:rPr>
                <w:rFonts w:ascii="宋体" w:hAnsi="宋体" w:cs="宋体"/>
                <w:sz w:val="21"/>
                <w:szCs w:val="21"/>
              </w:rPr>
              <w:t>（4）数据库建设。建设内容根据业务需要包括应用数据库、生产库、分析库、交换库、元数据库、平台库、日志库、信息库、采样库等。</w:t>
            </w:r>
          </w:p>
          <w:p w14:paraId="1AFB8E4C">
            <w:pPr>
              <w:pStyle w:val="2"/>
              <w:spacing w:line="400" w:lineRule="exact"/>
              <w:ind w:firstLine="420"/>
              <w:rPr>
                <w:rFonts w:hint="eastAsia" w:ascii="宋体" w:hAnsi="宋体" w:cs="宋体"/>
                <w:sz w:val="21"/>
                <w:szCs w:val="21"/>
              </w:rPr>
            </w:pPr>
            <w:r>
              <w:rPr>
                <w:rFonts w:ascii="宋体" w:hAnsi="宋体" w:cs="宋体"/>
                <w:sz w:val="21"/>
                <w:szCs w:val="21"/>
              </w:rPr>
              <w:t>（5）数据安全建设。实现数据访问安全、数据传输安全、建立数据库管理系统，统一管理和维护数据库、形成有效的数据更新机制、灾难恢复、系统备份、数据库加密等。</w:t>
            </w:r>
          </w:p>
          <w:p w14:paraId="6C2D91A5">
            <w:pPr>
              <w:pStyle w:val="2"/>
              <w:spacing w:line="400" w:lineRule="exact"/>
              <w:ind w:firstLine="420"/>
              <w:rPr>
                <w:rFonts w:hint="eastAsia" w:ascii="宋体" w:hAnsi="宋体" w:cs="宋体"/>
                <w:sz w:val="21"/>
                <w:szCs w:val="21"/>
              </w:rPr>
            </w:pPr>
            <w:r>
              <w:rPr>
                <w:rFonts w:ascii="宋体" w:hAnsi="宋体" w:cs="宋体"/>
                <w:sz w:val="21"/>
                <w:szCs w:val="21"/>
              </w:rPr>
              <w:t>4.数据可视化管理。实现自助数据分析，通过勾选或拖拽即可生成数据。建设数据报表平台实现报表的统一访问和管理。根据采购人需要建设数据可视化大屏。</w:t>
            </w:r>
          </w:p>
          <w:p w14:paraId="344ED3AB">
            <w:pPr>
              <w:pStyle w:val="2"/>
              <w:spacing w:line="400" w:lineRule="exact"/>
              <w:ind w:firstLine="420"/>
              <w:rPr>
                <w:rFonts w:hint="eastAsia" w:ascii="宋体" w:hAnsi="宋体" w:cs="宋体"/>
                <w:sz w:val="21"/>
                <w:szCs w:val="21"/>
              </w:rPr>
            </w:pPr>
            <w:r>
              <w:rPr>
                <w:rFonts w:ascii="宋体" w:hAnsi="宋体" w:cs="宋体"/>
                <w:sz w:val="21"/>
                <w:szCs w:val="21"/>
              </w:rPr>
              <w:t>六、其他要求</w:t>
            </w:r>
          </w:p>
          <w:p w14:paraId="3F7C30A0">
            <w:pPr>
              <w:pStyle w:val="2"/>
              <w:spacing w:line="400" w:lineRule="exact"/>
              <w:ind w:firstLine="420"/>
              <w:rPr>
                <w:rFonts w:hint="eastAsia" w:ascii="宋体" w:hAnsi="宋体" w:cs="宋体"/>
                <w:sz w:val="21"/>
                <w:szCs w:val="21"/>
              </w:rPr>
            </w:pPr>
            <w:r>
              <w:rPr>
                <w:rFonts w:ascii="宋体" w:hAnsi="宋体" w:cs="宋体"/>
                <w:sz w:val="21"/>
                <w:szCs w:val="21"/>
              </w:rPr>
              <w:t>本分标所建设应用需对接采购人提供的统一身份认证体系、统一消息平台、统一流量入口、统一应用配置管理等核心模块，实现将各自业务统一推送到应用门户，有效打通信息孤岛，显著提升业务协同效率。</w:t>
            </w:r>
          </w:p>
          <w:p w14:paraId="3EC66489">
            <w:pPr>
              <w:pStyle w:val="2"/>
              <w:spacing w:line="400" w:lineRule="exact"/>
              <w:ind w:firstLine="420"/>
              <w:rPr>
                <w:rFonts w:hint="eastAsia" w:ascii="宋体" w:hAnsi="宋体" w:cs="宋体"/>
                <w:sz w:val="21"/>
                <w:szCs w:val="21"/>
              </w:rPr>
            </w:pPr>
            <w:r>
              <w:rPr>
                <w:rFonts w:ascii="宋体" w:hAnsi="宋体" w:cs="宋体"/>
                <w:sz w:val="21"/>
                <w:szCs w:val="21"/>
              </w:rPr>
              <w:t>本分标所建设的数据治理成果需使用采购人提供的</w:t>
            </w:r>
            <w:r>
              <w:rPr>
                <w:rFonts w:hint="eastAsia" w:ascii="宋体" w:hAnsi="宋体" w:cs="宋体"/>
                <w:sz w:val="21"/>
                <w:szCs w:val="21"/>
              </w:rPr>
              <w:t>数据资源平台</w:t>
            </w:r>
            <w:r>
              <w:rPr>
                <w:rFonts w:ascii="宋体" w:hAnsi="宋体" w:cs="宋体"/>
                <w:sz w:val="21"/>
                <w:szCs w:val="21"/>
              </w:rPr>
              <w:t>建设数据库，系统建设前需将数据库设计方案提交采购人审核，建立元数据，规范化数据库字段与设计之后，才可在数据平台建设生产环境数据库。不允许独立数据平台外建设数据库。</w:t>
            </w:r>
          </w:p>
        </w:tc>
      </w:tr>
      <w:tr w14:paraId="265577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410B8617">
            <w:pPr>
              <w:topLinePunct/>
              <w:snapToGrid w:val="0"/>
              <w:spacing w:line="400" w:lineRule="exact"/>
              <w:jc w:val="center"/>
              <w:rPr>
                <w:rFonts w:hint="eastAsia" w:ascii="宋体" w:hAnsi="宋体" w:cs="宋体"/>
                <w:b/>
                <w:szCs w:val="21"/>
              </w:rPr>
            </w:pPr>
            <w:r>
              <w:rPr>
                <w:rFonts w:hint="eastAsia" w:ascii="宋体" w:hAnsi="宋体" w:cs="宋体"/>
                <w:b/>
                <w:bCs/>
                <w:szCs w:val="21"/>
              </w:rPr>
              <w:t>商务条款</w:t>
            </w:r>
          </w:p>
        </w:tc>
      </w:tr>
      <w:tr w14:paraId="42692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E00BBE4">
            <w:pPr>
              <w:spacing w:line="400" w:lineRule="exact"/>
              <w:jc w:val="center"/>
              <w:rPr>
                <w:rFonts w:hint="eastAsia" w:ascii="宋体" w:hAnsi="宋体" w:cs="宋体"/>
                <w:b/>
                <w:bCs/>
                <w:szCs w:val="21"/>
              </w:rPr>
            </w:pPr>
            <w:r>
              <w:rPr>
                <w:rFonts w:hint="eastAsia" w:ascii="宋体" w:hAnsi="宋体" w:cs="宋体"/>
                <w:b/>
                <w:bCs/>
                <w:szCs w:val="21"/>
              </w:rPr>
              <w:t>▲（一）合同签订及交付要求</w:t>
            </w:r>
          </w:p>
          <w:p w14:paraId="1165C7F1">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6BCADD26">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合同签订期：自中标通知书发出之日起25日内。</w:t>
            </w:r>
          </w:p>
          <w:p w14:paraId="4B3A4578">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服务时间：从合同签订之日起，至服务成果通过项目竣工验收之日止。</w:t>
            </w:r>
          </w:p>
          <w:p w14:paraId="7E2DF9DC">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交付地点：采购人指定地点。</w:t>
            </w:r>
          </w:p>
          <w:p w14:paraId="21777F40">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交付成果：按照采购需求完成建设，并按照</w:t>
            </w:r>
            <w:r>
              <w:rPr>
                <w:rFonts w:hint="eastAsia" w:hAnsi="宋体"/>
                <w:color w:val="auto"/>
                <w:sz w:val="21"/>
                <w:szCs w:val="21"/>
              </w:rPr>
              <w:t>合同和采购人同意的实施方案要求</w:t>
            </w:r>
            <w:r>
              <w:rPr>
                <w:rFonts w:hAnsi="宋体"/>
                <w:color w:val="auto"/>
                <w:sz w:val="21"/>
                <w:szCs w:val="21"/>
              </w:rPr>
              <w:t>提交完整的项目材料。</w:t>
            </w:r>
          </w:p>
        </w:tc>
      </w:tr>
      <w:tr w14:paraId="09B6E6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C527032">
            <w:pPr>
              <w:spacing w:line="400" w:lineRule="exact"/>
              <w:jc w:val="center"/>
              <w:rPr>
                <w:rFonts w:hint="eastAsia" w:ascii="宋体" w:hAnsi="宋体" w:cs="宋体"/>
                <w:b/>
                <w:bCs/>
                <w:szCs w:val="21"/>
              </w:rPr>
            </w:pPr>
            <w:r>
              <w:rPr>
                <w:rFonts w:hint="eastAsia" w:ascii="宋体" w:hAnsi="宋体" w:cs="宋体"/>
                <w:b/>
                <w:bCs/>
                <w:szCs w:val="21"/>
              </w:rPr>
              <w:t>▲（二）报价要求</w:t>
            </w:r>
          </w:p>
          <w:p w14:paraId="7F2A4E9E">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574B5FE7">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本项目实行总承包报价，报价为采购人指定服务范围内的全部价格，至少包括：</w:t>
            </w:r>
          </w:p>
          <w:p w14:paraId="2A39117B">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服务的价格（包括人工、材料、成果打印等）；</w:t>
            </w:r>
          </w:p>
          <w:p w14:paraId="65EFACBA">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必要的保险费用和各项税金；</w:t>
            </w:r>
          </w:p>
          <w:p w14:paraId="11F7579F">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验收及专家评估费用等。</w:t>
            </w:r>
          </w:p>
          <w:p w14:paraId="6BA30826">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与本项目有关的其他一切费用。采购人不再支付中标价格以外的任何费用。</w:t>
            </w:r>
          </w:p>
        </w:tc>
      </w:tr>
      <w:tr w14:paraId="351C46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507AB12">
            <w:pPr>
              <w:pStyle w:val="2"/>
              <w:spacing w:line="400" w:lineRule="exact"/>
              <w:jc w:val="center"/>
              <w:rPr>
                <w:rFonts w:hint="eastAsia" w:ascii="宋体" w:hAnsi="宋体" w:cs="宋体"/>
                <w:b/>
                <w:bCs/>
                <w:sz w:val="21"/>
                <w:szCs w:val="21"/>
              </w:rPr>
            </w:pPr>
            <w:r>
              <w:rPr>
                <w:rFonts w:hint="eastAsia" w:ascii="宋体" w:hAnsi="宋体" w:cs="宋体"/>
                <w:b/>
                <w:bCs/>
                <w:sz w:val="21"/>
                <w:szCs w:val="21"/>
              </w:rPr>
              <w:t>▲（三）建设周期</w:t>
            </w:r>
          </w:p>
        </w:tc>
        <w:tc>
          <w:tcPr>
            <w:tcW w:w="7330" w:type="dxa"/>
            <w:gridSpan w:val="3"/>
            <w:tcBorders>
              <w:top w:val="single" w:color="auto" w:sz="4" w:space="0"/>
              <w:left w:val="single" w:color="auto" w:sz="4" w:space="0"/>
              <w:bottom w:val="single" w:color="auto" w:sz="4" w:space="0"/>
              <w:right w:val="single" w:color="auto" w:sz="4" w:space="0"/>
            </w:tcBorders>
          </w:tcPr>
          <w:p w14:paraId="5B6C1C3D">
            <w:pPr>
              <w:spacing w:line="400" w:lineRule="exact"/>
              <w:ind w:firstLine="480"/>
              <w:jc w:val="left"/>
              <w:rPr>
                <w:rFonts w:hint="eastAsia" w:ascii="宋体" w:hAnsi="宋体" w:cs="宋体"/>
                <w:kern w:val="0"/>
                <w:szCs w:val="21"/>
              </w:rPr>
            </w:pPr>
            <w:r>
              <w:rPr>
                <w:rFonts w:ascii="宋体" w:hAnsi="宋体" w:cs="宋体"/>
                <w:kern w:val="0"/>
                <w:szCs w:val="21"/>
              </w:rPr>
              <w:t>本项目建设周期为</w:t>
            </w:r>
            <w:r>
              <w:rPr>
                <w:rFonts w:hint="eastAsia" w:ascii="宋体" w:hAnsi="宋体" w:cs="宋体"/>
                <w:kern w:val="0"/>
                <w:szCs w:val="21"/>
              </w:rPr>
              <w:t>9</w:t>
            </w:r>
            <w:r>
              <w:rPr>
                <w:rFonts w:ascii="宋体" w:hAnsi="宋体" w:cs="宋体"/>
                <w:kern w:val="0"/>
                <w:szCs w:val="21"/>
              </w:rPr>
              <w:t>个月，包含四个阶段：需求分析和系统设计、系统建设阶段、试运行阶段和项目验收。</w:t>
            </w:r>
          </w:p>
          <w:p w14:paraId="149A7133">
            <w:pPr>
              <w:spacing w:line="400" w:lineRule="exact"/>
              <w:jc w:val="left"/>
              <w:rPr>
                <w:rFonts w:hint="eastAsia" w:ascii="宋体" w:hAnsi="宋体" w:cs="宋体"/>
                <w:kern w:val="0"/>
                <w:szCs w:val="21"/>
              </w:rPr>
            </w:pPr>
            <w:r>
              <w:rPr>
                <w:rFonts w:ascii="宋体" w:hAnsi="宋体" w:cs="宋体"/>
                <w:kern w:val="0"/>
                <w:szCs w:val="21"/>
              </w:rPr>
              <w:t>第一阶段：完成系统的需求分析和系统设计。周期2个月。</w:t>
            </w:r>
          </w:p>
          <w:p w14:paraId="35AC9937">
            <w:pPr>
              <w:spacing w:line="400" w:lineRule="exact"/>
              <w:jc w:val="left"/>
              <w:rPr>
                <w:rFonts w:hint="eastAsia" w:ascii="宋体" w:hAnsi="宋体" w:cs="宋体"/>
                <w:kern w:val="0"/>
                <w:szCs w:val="21"/>
              </w:rPr>
            </w:pPr>
            <w:r>
              <w:rPr>
                <w:rFonts w:ascii="宋体" w:hAnsi="宋体" w:cs="宋体"/>
                <w:kern w:val="0"/>
                <w:szCs w:val="21"/>
              </w:rPr>
              <w:t>第二阶段：完成系统的应用建设、测试。周期</w:t>
            </w:r>
            <w:r>
              <w:rPr>
                <w:rFonts w:hint="eastAsia" w:ascii="宋体" w:hAnsi="宋体" w:cs="宋体"/>
                <w:kern w:val="0"/>
                <w:szCs w:val="21"/>
              </w:rPr>
              <w:t>6</w:t>
            </w:r>
            <w:r>
              <w:rPr>
                <w:rFonts w:ascii="宋体" w:hAnsi="宋体" w:cs="宋体"/>
                <w:kern w:val="0"/>
                <w:szCs w:val="21"/>
              </w:rPr>
              <w:t>个月。</w:t>
            </w:r>
          </w:p>
          <w:p w14:paraId="7FEDC98C">
            <w:pPr>
              <w:spacing w:line="400" w:lineRule="exact"/>
              <w:jc w:val="left"/>
              <w:rPr>
                <w:rFonts w:hint="eastAsia" w:ascii="宋体" w:hAnsi="宋体" w:cs="宋体"/>
                <w:kern w:val="0"/>
                <w:szCs w:val="21"/>
              </w:rPr>
            </w:pPr>
            <w:r>
              <w:rPr>
                <w:rFonts w:ascii="宋体" w:hAnsi="宋体" w:cs="宋体"/>
                <w:kern w:val="0"/>
                <w:szCs w:val="21"/>
              </w:rPr>
              <w:t>第三阶段：完成系统试运行和调优。周期1个月。</w:t>
            </w:r>
          </w:p>
          <w:p w14:paraId="5469864A">
            <w:pPr>
              <w:spacing w:line="400" w:lineRule="exact"/>
              <w:jc w:val="left"/>
              <w:rPr>
                <w:rFonts w:hint="eastAsia" w:ascii="宋体" w:hAnsi="宋体" w:cs="宋体"/>
                <w:kern w:val="0"/>
                <w:szCs w:val="21"/>
              </w:rPr>
            </w:pPr>
            <w:r>
              <w:rPr>
                <w:rFonts w:ascii="宋体" w:hAnsi="宋体" w:cs="宋体"/>
                <w:kern w:val="0"/>
                <w:szCs w:val="21"/>
              </w:rPr>
              <w:t>第四阶段：项目初步验收、竣工验收。</w:t>
            </w:r>
          </w:p>
        </w:tc>
      </w:tr>
      <w:tr w14:paraId="2F6CCF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15A28E9">
            <w:pPr>
              <w:spacing w:line="400" w:lineRule="exact"/>
              <w:jc w:val="center"/>
              <w:rPr>
                <w:rFonts w:hint="eastAsia" w:ascii="宋体" w:hAnsi="宋体" w:cs="宋体"/>
                <w:b/>
                <w:bCs/>
                <w:szCs w:val="21"/>
              </w:rPr>
            </w:pPr>
            <w:r>
              <w:rPr>
                <w:rFonts w:hint="eastAsia" w:ascii="宋体" w:hAnsi="宋体" w:cs="宋体"/>
                <w:b/>
                <w:bCs/>
                <w:szCs w:val="21"/>
              </w:rPr>
              <w:t>▲（四）付款条件</w:t>
            </w:r>
          </w:p>
          <w:p w14:paraId="44B9CAD8">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21D94E9E">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1.合同签订后10个工作日内，采购人向中标人支付合同总金额的</w:t>
            </w:r>
            <w:r>
              <w:rPr>
                <w:rFonts w:hint="eastAsia" w:ascii="宋体" w:hAnsi="宋体" w:eastAsia="宋体" w:cs="宋体"/>
                <w:sz w:val="21"/>
                <w:szCs w:val="21"/>
              </w:rPr>
              <w:t>50</w:t>
            </w:r>
            <w:r>
              <w:rPr>
                <w:rFonts w:ascii="宋体" w:hAnsi="宋体" w:eastAsia="宋体" w:cs="宋体"/>
                <w:sz w:val="21"/>
                <w:szCs w:val="21"/>
              </w:rPr>
              <w:t>%。</w:t>
            </w:r>
          </w:p>
          <w:p w14:paraId="378561FF">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完成系统的需求分析和系统设计</w:t>
            </w:r>
            <w:r>
              <w:rPr>
                <w:rFonts w:hint="eastAsia" w:ascii="宋体" w:hAnsi="宋体" w:eastAsia="宋体" w:cs="宋体"/>
                <w:sz w:val="21"/>
                <w:szCs w:val="21"/>
              </w:rPr>
              <w:t>，提交需求分析报告和系统设计方案，</w:t>
            </w:r>
            <w:r>
              <w:rPr>
                <w:rFonts w:ascii="宋体" w:hAnsi="宋体" w:eastAsia="宋体" w:cs="宋体"/>
                <w:sz w:val="21"/>
                <w:szCs w:val="21"/>
              </w:rPr>
              <w:t>经采购人书面确认后10个工作日内，采购人向中标人支付合同总金额的</w:t>
            </w:r>
            <w:r>
              <w:rPr>
                <w:rFonts w:hint="eastAsia" w:ascii="宋体" w:hAnsi="宋体" w:eastAsia="宋体" w:cs="宋体"/>
                <w:sz w:val="21"/>
                <w:szCs w:val="21"/>
              </w:rPr>
              <w:t>30</w:t>
            </w:r>
            <w:r>
              <w:rPr>
                <w:rFonts w:ascii="宋体" w:hAnsi="宋体" w:eastAsia="宋体" w:cs="宋体"/>
                <w:sz w:val="21"/>
                <w:szCs w:val="21"/>
              </w:rPr>
              <w:t>%。</w:t>
            </w:r>
          </w:p>
          <w:p w14:paraId="119346F8">
            <w:pPr>
              <w:pStyle w:val="10"/>
              <w:spacing w:line="400" w:lineRule="exact"/>
              <w:ind w:firstLine="0" w:firstLineChars="0"/>
              <w:rPr>
                <w:rFonts w:ascii="宋体" w:hAnsi="宋体" w:eastAsia="宋体" w:cs="宋体"/>
                <w:sz w:val="21"/>
                <w:szCs w:val="21"/>
              </w:rPr>
            </w:pPr>
            <w:r>
              <w:rPr>
                <w:rFonts w:hint="eastAsia" w:ascii="宋体" w:hAnsi="宋体" w:eastAsia="宋体" w:cs="宋体"/>
                <w:sz w:val="21"/>
                <w:szCs w:val="21"/>
              </w:rPr>
              <w:t>3.项目投入试运行，中标人提交试运行报告，经采购人书面确认后10个工作日内，采购人向中标人支付合同总金额的10%。</w:t>
            </w:r>
          </w:p>
          <w:p w14:paraId="7014C6C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4.项目初步验收通过，经采购人书面确认后10个工作日内，采购人向中标人支付合同总金额的10%</w:t>
            </w:r>
            <w:r>
              <w:rPr>
                <w:rFonts w:ascii="宋体" w:hAnsi="宋体" w:eastAsia="宋体" w:cs="宋体"/>
                <w:sz w:val="21"/>
                <w:szCs w:val="21"/>
              </w:rPr>
              <w:t>。</w:t>
            </w:r>
          </w:p>
          <w:p w14:paraId="4F030D8D">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.支付每一笔合同款前，中标人须向采购人开具合法、有效等额发票，中标人未及时向采购人开具发票、付款申请书的，采购人有权顺延付款时间，且不承担任何逾期付款违约责任</w:t>
            </w:r>
          </w:p>
        </w:tc>
      </w:tr>
      <w:tr w14:paraId="48F82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69770E7D">
            <w:pPr>
              <w:spacing w:line="400" w:lineRule="exact"/>
              <w:jc w:val="center"/>
              <w:rPr>
                <w:rFonts w:hint="eastAsia" w:ascii="宋体" w:hAnsi="宋体" w:cs="宋体"/>
                <w:b/>
                <w:bCs/>
                <w:szCs w:val="21"/>
              </w:rPr>
            </w:pPr>
            <w:r>
              <w:rPr>
                <w:rFonts w:hint="eastAsia" w:ascii="宋体" w:hAnsi="宋体" w:cs="宋体"/>
                <w:b/>
                <w:bCs/>
                <w:szCs w:val="21"/>
              </w:rPr>
              <w:t>▲（五）履约保证金</w:t>
            </w:r>
          </w:p>
          <w:p w14:paraId="4C11A33E">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07C614C2">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中标人须于签订合同后5个工作日内，将本项目成交总金额5%的履约保证金（中小企业缴纳数额为成交总金额的2%）递交到采购人指定账户。履约保证金递交方式：银行转账、支票、汇票、本票或者金融机构出具的保函等非现金方式。</w:t>
            </w:r>
          </w:p>
          <w:p w14:paraId="08BFD122">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项目按照合同约定及招标文件要求完成项目建设，通过竣工验收并收到竣工验收批复后，项目进入质保期，在质保期间，中标人无违约情形的，质保期过后</w:t>
            </w:r>
            <w:r>
              <w:rPr>
                <w:rFonts w:hint="eastAsia" w:ascii="宋体" w:hAnsi="宋体" w:eastAsia="宋体" w:cs="宋体"/>
                <w:sz w:val="21"/>
                <w:szCs w:val="21"/>
              </w:rPr>
              <w:t>5</w:t>
            </w:r>
            <w:r>
              <w:rPr>
                <w:rFonts w:ascii="宋体" w:hAnsi="宋体" w:eastAsia="宋体" w:cs="宋体"/>
                <w:sz w:val="21"/>
                <w:szCs w:val="21"/>
              </w:rPr>
              <w:t>个工作日内采购人将无息返还履约保证金。</w:t>
            </w:r>
          </w:p>
        </w:tc>
      </w:tr>
      <w:tr w14:paraId="21EE00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1E4A88D0">
            <w:pPr>
              <w:spacing w:line="400" w:lineRule="exact"/>
              <w:jc w:val="center"/>
              <w:rPr>
                <w:rFonts w:hint="eastAsia" w:ascii="宋体" w:hAnsi="宋体" w:cs="宋体"/>
                <w:b/>
                <w:bCs/>
                <w:szCs w:val="21"/>
              </w:rPr>
            </w:pPr>
            <w:r>
              <w:rPr>
                <w:rFonts w:hint="eastAsia" w:ascii="宋体" w:hAnsi="宋体" w:cs="宋体"/>
                <w:b/>
                <w:bCs/>
                <w:szCs w:val="21"/>
              </w:rPr>
              <w:t>▲（六）质保期服务要求</w:t>
            </w:r>
          </w:p>
          <w:p w14:paraId="6816578B">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51EDAB2A">
            <w:pPr>
              <w:pStyle w:val="24"/>
              <w:spacing w:line="400" w:lineRule="exact"/>
              <w:rPr>
                <w:rFonts w:hint="eastAsia" w:hAnsi="宋体"/>
                <w:color w:val="auto"/>
                <w:sz w:val="21"/>
                <w:szCs w:val="21"/>
              </w:rPr>
            </w:pPr>
            <w:r>
              <w:rPr>
                <w:rFonts w:hint="eastAsia" w:hAnsi="宋体"/>
                <w:color w:val="auto"/>
                <w:sz w:val="21"/>
                <w:szCs w:val="21"/>
              </w:rPr>
              <w:t>1.</w:t>
            </w:r>
            <w:r>
              <w:rPr>
                <w:rFonts w:hAnsi="宋体"/>
                <w:color w:val="auto"/>
                <w:sz w:val="21"/>
                <w:szCs w:val="21"/>
              </w:rPr>
              <w:t>提供为期一年的质保服务。质保期内，中标人须根据采购人要求进行日常运维服务。质保期从项目竣工验收合格之日起开始计算，质保期内提供免费维护和技术支持服务。</w:t>
            </w:r>
          </w:p>
          <w:p w14:paraId="197ABA39">
            <w:pPr>
              <w:pStyle w:val="24"/>
              <w:spacing w:line="400" w:lineRule="exact"/>
              <w:rPr>
                <w:rFonts w:hint="eastAsia" w:hAnsi="宋体"/>
                <w:color w:val="auto"/>
                <w:sz w:val="21"/>
                <w:szCs w:val="21"/>
              </w:rPr>
            </w:pPr>
            <w:r>
              <w:rPr>
                <w:rFonts w:hint="eastAsia" w:hAnsi="宋体"/>
                <w:color w:val="auto"/>
                <w:sz w:val="21"/>
                <w:szCs w:val="21"/>
              </w:rPr>
              <w:t>2.</w:t>
            </w:r>
            <w:r>
              <w:rPr>
                <w:rFonts w:hAnsi="宋体"/>
                <w:color w:val="auto"/>
                <w:sz w:val="21"/>
                <w:szCs w:val="21"/>
              </w:rPr>
              <w:t>服务响应时间要求：（1）提供7×24小时电话或电子邮件服务，中标人接到采购人的通知后立即响应，在</w:t>
            </w:r>
            <w:r>
              <w:rPr>
                <w:rFonts w:hint="eastAsia" w:hAnsi="宋体"/>
                <w:color w:val="auto"/>
                <w:sz w:val="21"/>
                <w:szCs w:val="21"/>
              </w:rPr>
              <w:t>≤</w:t>
            </w:r>
            <w:r>
              <w:rPr>
                <w:rFonts w:hAnsi="宋体"/>
                <w:color w:val="auto"/>
                <w:sz w:val="21"/>
                <w:szCs w:val="21"/>
              </w:rPr>
              <w:t>1小时内做出明确响应和安排，在</w:t>
            </w:r>
            <w:r>
              <w:rPr>
                <w:rFonts w:hint="eastAsia" w:hAnsi="宋体"/>
                <w:color w:val="auto"/>
                <w:sz w:val="21"/>
                <w:szCs w:val="21"/>
              </w:rPr>
              <w:t>≤</w:t>
            </w:r>
            <w:r>
              <w:rPr>
                <w:rFonts w:hAnsi="宋体"/>
                <w:color w:val="auto"/>
                <w:sz w:val="21"/>
                <w:szCs w:val="21"/>
              </w:rPr>
              <w:t>2小时内做出故障诊断报告，如需现场服务的，具有解决故障能力的工程师应在</w:t>
            </w:r>
            <w:r>
              <w:rPr>
                <w:rFonts w:hint="eastAsia" w:hAnsi="宋体"/>
                <w:color w:val="auto"/>
                <w:sz w:val="21"/>
                <w:szCs w:val="21"/>
              </w:rPr>
              <w:t>≤</w:t>
            </w:r>
            <w:r>
              <w:rPr>
                <w:rFonts w:hAnsi="宋体"/>
                <w:color w:val="auto"/>
                <w:sz w:val="21"/>
                <w:szCs w:val="21"/>
              </w:rPr>
              <w:t>2小时内到达现场解决问题，以保证系统正常运行，并承担一切相关费用；（2）定期回访、走访采购人；（3）服务期内免费上门提供服务，免费提供应用软件升级；（4）其余按承诺进行；</w:t>
            </w:r>
          </w:p>
          <w:p w14:paraId="331B5721">
            <w:pPr>
              <w:pStyle w:val="24"/>
              <w:spacing w:line="400" w:lineRule="exact"/>
              <w:rPr>
                <w:rFonts w:hint="eastAsia" w:hAnsi="宋体"/>
                <w:color w:val="auto"/>
                <w:sz w:val="21"/>
                <w:szCs w:val="21"/>
              </w:rPr>
            </w:pPr>
            <w:r>
              <w:rPr>
                <w:rFonts w:hint="eastAsia" w:hAnsi="宋体"/>
                <w:color w:val="auto"/>
                <w:sz w:val="21"/>
                <w:szCs w:val="21"/>
              </w:rPr>
              <w:t>3.</w:t>
            </w:r>
            <w:r>
              <w:rPr>
                <w:rFonts w:hAnsi="宋体"/>
                <w:color w:val="auto"/>
                <w:sz w:val="21"/>
                <w:szCs w:val="21"/>
              </w:rPr>
              <w:t>服务的范围包括：系统、设备的正常运行和维护；</w:t>
            </w:r>
          </w:p>
          <w:p w14:paraId="1A3C1D29">
            <w:pPr>
              <w:pStyle w:val="24"/>
              <w:spacing w:line="400" w:lineRule="exact"/>
              <w:rPr>
                <w:rFonts w:hint="eastAsia" w:hAnsi="宋体"/>
                <w:color w:val="auto"/>
                <w:sz w:val="21"/>
                <w:szCs w:val="21"/>
              </w:rPr>
            </w:pPr>
            <w:r>
              <w:rPr>
                <w:rFonts w:hint="eastAsia" w:hAnsi="宋体"/>
                <w:color w:val="auto"/>
                <w:sz w:val="21"/>
                <w:szCs w:val="21"/>
              </w:rPr>
              <w:t>4.</w:t>
            </w:r>
            <w:r>
              <w:rPr>
                <w:rFonts w:hAnsi="宋体"/>
                <w:color w:val="auto"/>
                <w:sz w:val="21"/>
                <w:szCs w:val="21"/>
              </w:rPr>
              <w:t>中标人提供的服务应符合国家标准、行业标准、地方标准或者其他标准、规范；</w:t>
            </w:r>
          </w:p>
          <w:p w14:paraId="22C580D8">
            <w:pPr>
              <w:pStyle w:val="24"/>
              <w:spacing w:line="400" w:lineRule="exact"/>
              <w:rPr>
                <w:rFonts w:hint="eastAsia" w:hAnsi="宋体"/>
                <w:color w:val="auto"/>
                <w:sz w:val="21"/>
                <w:szCs w:val="21"/>
              </w:rPr>
            </w:pPr>
            <w:r>
              <w:rPr>
                <w:rFonts w:hint="eastAsia" w:hAnsi="宋体"/>
                <w:color w:val="auto"/>
                <w:sz w:val="21"/>
                <w:szCs w:val="21"/>
              </w:rPr>
              <w:t>5.</w:t>
            </w:r>
            <w:r>
              <w:rPr>
                <w:rFonts w:hAnsi="宋体"/>
                <w:color w:val="auto"/>
                <w:sz w:val="21"/>
                <w:szCs w:val="21"/>
              </w:rPr>
              <w:t>免费安装调试：中标人负责本项目所有货物及软件的安装，中标人整理验收材料提交采购人验收；</w:t>
            </w:r>
          </w:p>
          <w:p w14:paraId="2F72C372">
            <w:pPr>
              <w:pStyle w:val="24"/>
              <w:spacing w:line="400" w:lineRule="exact"/>
              <w:rPr>
                <w:rFonts w:hint="eastAsia" w:hAnsi="宋体"/>
                <w:color w:val="auto"/>
                <w:sz w:val="21"/>
                <w:szCs w:val="21"/>
              </w:rPr>
            </w:pPr>
            <w:r>
              <w:rPr>
                <w:rFonts w:hint="eastAsia" w:hAnsi="宋体"/>
                <w:color w:val="auto"/>
                <w:sz w:val="21"/>
                <w:szCs w:val="21"/>
              </w:rPr>
              <w:t>6.</w:t>
            </w:r>
            <w:r>
              <w:rPr>
                <w:rFonts w:hAnsi="宋体"/>
                <w:color w:val="auto"/>
                <w:sz w:val="21"/>
                <w:szCs w:val="21"/>
              </w:rPr>
              <w:t>技术支持与服务：提供每周7×24小时技术响应服务，中标人应负责所售产品的售后服务；质保期内货物或软件发生故障，维修或更换配件所需的全部费用由中标人承担；</w:t>
            </w:r>
          </w:p>
          <w:p w14:paraId="0245B9C7">
            <w:pPr>
              <w:pStyle w:val="24"/>
              <w:spacing w:line="400" w:lineRule="exact"/>
              <w:rPr>
                <w:rFonts w:hint="eastAsia" w:hAnsi="宋体"/>
                <w:color w:val="auto"/>
                <w:sz w:val="21"/>
                <w:szCs w:val="21"/>
              </w:rPr>
            </w:pPr>
            <w:r>
              <w:rPr>
                <w:rFonts w:hint="eastAsia" w:hAnsi="宋体"/>
                <w:color w:val="auto"/>
                <w:sz w:val="21"/>
                <w:szCs w:val="21"/>
              </w:rPr>
              <w:t>7.</w:t>
            </w:r>
            <w:r>
              <w:rPr>
                <w:rFonts w:hAnsi="宋体"/>
                <w:color w:val="auto"/>
                <w:sz w:val="21"/>
                <w:szCs w:val="21"/>
              </w:rPr>
              <w:t>中标人在投标文件中提供针对本项目的服务方案（内容包括但不限于：明确服务期、服务响应时间、售后服务技术人员名单和联系方式、定期回访/走访采购人具体时间、本地化服务能力等）；</w:t>
            </w:r>
          </w:p>
          <w:p w14:paraId="78B4BDF4">
            <w:pPr>
              <w:pStyle w:val="24"/>
              <w:spacing w:line="400" w:lineRule="exact"/>
              <w:rPr>
                <w:rFonts w:hint="eastAsia" w:hAnsi="宋体"/>
                <w:color w:val="auto"/>
                <w:sz w:val="21"/>
                <w:szCs w:val="21"/>
              </w:rPr>
            </w:pPr>
            <w:r>
              <w:rPr>
                <w:rFonts w:hint="eastAsia" w:hAnsi="宋体"/>
                <w:color w:val="auto"/>
                <w:sz w:val="21"/>
                <w:szCs w:val="21"/>
              </w:rPr>
              <w:t>8.</w:t>
            </w:r>
            <w:r>
              <w:rPr>
                <w:rFonts w:hAnsi="宋体"/>
                <w:color w:val="auto"/>
                <w:sz w:val="21"/>
                <w:szCs w:val="21"/>
              </w:rPr>
              <w:t>在服务期内免费提供系统培训服务和系统数据迁移服务，需免费配合采购人通过第三方软件测评、系统安全等保测评及密码应用评估等工作。</w:t>
            </w:r>
          </w:p>
          <w:p w14:paraId="73846D4F">
            <w:pPr>
              <w:pStyle w:val="24"/>
              <w:spacing w:line="400" w:lineRule="exact"/>
              <w:rPr>
                <w:rFonts w:hint="eastAsia" w:hAnsi="宋体"/>
                <w:color w:val="auto"/>
                <w:sz w:val="21"/>
                <w:szCs w:val="21"/>
              </w:rPr>
            </w:pPr>
            <w:r>
              <w:rPr>
                <w:rFonts w:hint="eastAsia" w:hAnsi="宋体"/>
                <w:color w:val="auto"/>
                <w:sz w:val="21"/>
                <w:szCs w:val="21"/>
              </w:rPr>
              <w:t>9.</w:t>
            </w:r>
            <w:r>
              <w:rPr>
                <w:rFonts w:hAnsi="宋体"/>
                <w:color w:val="auto"/>
                <w:sz w:val="21"/>
                <w:szCs w:val="21"/>
              </w:rPr>
              <w:t>采购人在软件使用过程中，如果要增加协议附件（功能设计书）之外的其它功能，在不超过功能总量的10%的前提下，中标人须为采购人提供不少于三次的免费修改服务。</w:t>
            </w:r>
          </w:p>
        </w:tc>
      </w:tr>
      <w:tr w14:paraId="2770C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608C6630">
            <w:pPr>
              <w:spacing w:line="400" w:lineRule="exact"/>
              <w:jc w:val="center"/>
              <w:rPr>
                <w:rFonts w:hint="eastAsia" w:ascii="宋体" w:hAnsi="宋体" w:cs="宋体"/>
                <w:b/>
                <w:bCs/>
                <w:szCs w:val="21"/>
              </w:rPr>
            </w:pPr>
            <w:r>
              <w:rPr>
                <w:rFonts w:hint="eastAsia" w:ascii="宋体" w:hAnsi="宋体" w:cs="宋体"/>
                <w:b/>
                <w:bCs/>
                <w:szCs w:val="21"/>
              </w:rPr>
              <w:t>▲（七）培训要求</w:t>
            </w:r>
          </w:p>
          <w:p w14:paraId="356376CF">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79D52A34">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提供免费技术培训，包括用户培训和系统后台维护技术培训、系统技术培训资料包。</w:t>
            </w:r>
          </w:p>
          <w:p w14:paraId="41F54AD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用户培训：为采购人提供上门培训，使用户能够掌握系统的使用方法；</w:t>
            </w:r>
          </w:p>
          <w:p w14:paraId="716FE8DD">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系统后台维护技术培训包括：数据库安装维护、数据备份等，使受训人员能够独立安装数据库和整套应用。</w:t>
            </w:r>
          </w:p>
          <w:p w14:paraId="06FC3395">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系统技术培训资料包：为采购人提供系统使用手册、日常维护手册等成套资料。</w:t>
            </w:r>
          </w:p>
        </w:tc>
      </w:tr>
      <w:tr w14:paraId="191DF9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77E0027E">
            <w:pPr>
              <w:pStyle w:val="10"/>
              <w:spacing w:line="400" w:lineRule="exact"/>
              <w:ind w:firstLine="0" w:firstLineChars="0"/>
              <w:rPr>
                <w:rFonts w:hint="eastAsia" w:ascii="宋体" w:hAnsi="宋体" w:eastAsia="宋体" w:cs="宋体"/>
                <w:b/>
                <w:bCs/>
                <w:sz w:val="21"/>
                <w:szCs w:val="21"/>
              </w:rPr>
            </w:pPr>
            <w:r>
              <w:rPr>
                <w:rFonts w:hint="eastAsia" w:ascii="宋体" w:hAnsi="宋体" w:eastAsia="宋体" w:cs="宋体"/>
                <w:b/>
                <w:bCs/>
                <w:sz w:val="21"/>
                <w:szCs w:val="21"/>
              </w:rPr>
              <w:t>▲（八）知识产权保护要求</w:t>
            </w:r>
          </w:p>
          <w:p w14:paraId="5B321582">
            <w:pPr>
              <w:pStyle w:val="2"/>
              <w:spacing w:line="400" w:lineRule="exact"/>
              <w:jc w:val="center"/>
              <w:rPr>
                <w:rFonts w:hint="eastAsia" w:ascii="宋体" w:hAnsi="宋体" w:cs="宋体"/>
                <w:b/>
                <w:bCs/>
                <w:sz w:val="21"/>
                <w:szCs w:val="21"/>
              </w:rPr>
            </w:pPr>
          </w:p>
        </w:tc>
        <w:tc>
          <w:tcPr>
            <w:tcW w:w="7330" w:type="dxa"/>
            <w:gridSpan w:val="3"/>
            <w:tcBorders>
              <w:top w:val="single" w:color="auto" w:sz="4" w:space="0"/>
              <w:left w:val="single" w:color="auto" w:sz="4" w:space="0"/>
              <w:bottom w:val="single" w:color="auto" w:sz="4" w:space="0"/>
              <w:right w:val="single" w:color="auto" w:sz="4" w:space="0"/>
            </w:tcBorders>
          </w:tcPr>
          <w:p w14:paraId="7F362E0B">
            <w:pPr>
              <w:pStyle w:val="2"/>
              <w:spacing w:line="400" w:lineRule="exact"/>
              <w:rPr>
                <w:rFonts w:hint="eastAsia" w:ascii="宋体" w:hAnsi="宋体" w:cs="宋体"/>
                <w:sz w:val="21"/>
                <w:szCs w:val="21"/>
              </w:rPr>
            </w:pPr>
            <w:r>
              <w:rPr>
                <w:rFonts w:hint="eastAsia" w:ascii="宋体" w:hAnsi="宋体" w:cs="宋体"/>
                <w:sz w:val="21"/>
                <w:szCs w:val="21"/>
              </w:rPr>
              <w:t>1.</w:t>
            </w:r>
            <w:r>
              <w:rPr>
                <w:rFonts w:ascii="宋体" w:hAnsi="宋体" w:cs="宋体"/>
                <w:sz w:val="21"/>
                <w:szCs w:val="21"/>
              </w:rPr>
              <w:t>中标人为采购人开发的软件，</w:t>
            </w:r>
            <w:r>
              <w:rPr>
                <w:rFonts w:hint="eastAsia" w:ascii="宋体" w:hAnsi="宋体" w:cs="宋体"/>
                <w:color w:val="auto"/>
                <w:sz w:val="21"/>
                <w:szCs w:val="21"/>
                <w:highlight w:val="none"/>
              </w:rPr>
              <w:t>如项目采用成熟平台产品实施的，中标供应商应交付基于本项目的全部二次开发代码及系统接口代码（含接口文档），并向采购人授予平台软件在本项目范围内长期使用、维护、升级所需的权利许可，保障采购人对交付成果的自主可控与后续扩展能力。</w:t>
            </w:r>
            <w:r>
              <w:rPr>
                <w:rFonts w:ascii="宋体" w:hAnsi="宋体" w:cs="宋体"/>
                <w:sz w:val="21"/>
                <w:szCs w:val="21"/>
              </w:rPr>
              <w:t>在开发完成以后，一次性将该软件产品的开发源代码（含开发手册）、接口协议</w:t>
            </w:r>
            <w:r>
              <w:rPr>
                <w:rFonts w:hint="eastAsia" w:ascii="宋体" w:hAnsi="宋体" w:cs="宋体"/>
                <w:sz w:val="21"/>
                <w:szCs w:val="21"/>
              </w:rPr>
              <w:t>移交</w:t>
            </w:r>
            <w:r>
              <w:rPr>
                <w:rFonts w:ascii="宋体" w:hAnsi="宋体" w:cs="宋体"/>
                <w:sz w:val="21"/>
                <w:szCs w:val="21"/>
              </w:rPr>
              <w:t>采购人。该软件的一切权利归采购人所有。中标人应尊重采购人所有的版权等一切权利，</w:t>
            </w:r>
            <w:r>
              <w:rPr>
                <w:rFonts w:hint="eastAsia" w:ascii="宋体" w:hAnsi="宋体" w:cs="宋体"/>
                <w:sz w:val="21"/>
                <w:szCs w:val="21"/>
              </w:rPr>
              <w:t>在交付的</w:t>
            </w:r>
            <w:r>
              <w:rPr>
                <w:rFonts w:ascii="宋体" w:hAnsi="宋体" w:cs="宋体"/>
                <w:sz w:val="21"/>
                <w:szCs w:val="21"/>
              </w:rPr>
              <w:t>软件产品</w:t>
            </w:r>
            <w:r>
              <w:rPr>
                <w:rFonts w:hint="eastAsia" w:ascii="宋体" w:hAnsi="宋体" w:cs="宋体"/>
                <w:sz w:val="21"/>
                <w:szCs w:val="21"/>
              </w:rPr>
              <w:t>及源代码内不得存在采购人不知道的功能和接口</w:t>
            </w:r>
            <w:r>
              <w:rPr>
                <w:rFonts w:ascii="宋体" w:hAnsi="宋体" w:cs="宋体"/>
                <w:sz w:val="21"/>
                <w:szCs w:val="21"/>
              </w:rPr>
              <w:t>，</w:t>
            </w:r>
            <w:r>
              <w:rPr>
                <w:rFonts w:hint="eastAsia" w:ascii="宋体" w:hAnsi="宋体" w:cs="宋体"/>
                <w:sz w:val="21"/>
                <w:szCs w:val="21"/>
              </w:rPr>
              <w:t>不得</w:t>
            </w:r>
            <w:r>
              <w:rPr>
                <w:rFonts w:ascii="宋体" w:hAnsi="宋体" w:cs="宋体"/>
                <w:sz w:val="21"/>
                <w:szCs w:val="21"/>
              </w:rPr>
              <w:t>出租、出让等。否则中标人承担由此给采购人带来的一切损失，采购人保留追究中标人法律责任的权利。</w:t>
            </w:r>
          </w:p>
          <w:p w14:paraId="56BF6F77">
            <w:pPr>
              <w:pStyle w:val="2"/>
              <w:spacing w:line="400" w:lineRule="exact"/>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中标人对项目建设中所涉及的专利承担责任，并负责保护采购人的利益不受任何损害。一切由于文字、商标、技术和软件专利授权引起的法律裁决、诉讼和赔偿费用均由中标人负责。</w:t>
            </w:r>
          </w:p>
          <w:p w14:paraId="60DAF381">
            <w:pPr>
              <w:pStyle w:val="2"/>
              <w:spacing w:line="400" w:lineRule="exact"/>
              <w:ind w:firstLine="480"/>
              <w:rPr>
                <w:rFonts w:hint="eastAsia" w:ascii="宋体" w:hAnsi="宋体" w:cs="宋体"/>
                <w:sz w:val="21"/>
                <w:szCs w:val="21"/>
              </w:rPr>
            </w:pPr>
            <w:r>
              <w:rPr>
                <w:rFonts w:ascii="宋体" w:hAnsi="宋体" w:cs="宋体"/>
                <w:sz w:val="21"/>
                <w:szCs w:val="21"/>
              </w:rPr>
              <w:t>本项目成果及其相关知识产权权利归采购单位所有。</w:t>
            </w:r>
          </w:p>
        </w:tc>
      </w:tr>
      <w:tr w14:paraId="2B5018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995" w:type="dxa"/>
            <w:gridSpan w:val="3"/>
            <w:tcBorders>
              <w:top w:val="single" w:color="auto" w:sz="4" w:space="0"/>
              <w:left w:val="single" w:color="auto" w:sz="4" w:space="0"/>
              <w:bottom w:val="single" w:color="auto" w:sz="4" w:space="0"/>
              <w:right w:val="single" w:color="auto" w:sz="4" w:space="0"/>
            </w:tcBorders>
            <w:vAlign w:val="center"/>
          </w:tcPr>
          <w:p w14:paraId="42D62A88">
            <w:pPr>
              <w:pStyle w:val="2"/>
              <w:spacing w:line="400" w:lineRule="exact"/>
              <w:jc w:val="center"/>
              <w:rPr>
                <w:rFonts w:hint="eastAsia" w:ascii="宋体" w:hAnsi="宋体" w:cs="宋体"/>
                <w:b/>
                <w:bCs/>
                <w:sz w:val="21"/>
                <w:szCs w:val="21"/>
              </w:rPr>
            </w:pPr>
            <w:r>
              <w:rPr>
                <w:rFonts w:hint="eastAsia" w:ascii="宋体" w:hAnsi="宋体" w:cs="宋体"/>
                <w:b/>
                <w:bCs/>
                <w:sz w:val="21"/>
                <w:szCs w:val="21"/>
              </w:rPr>
              <w:t>▲（九）其他要求</w:t>
            </w:r>
          </w:p>
        </w:tc>
        <w:tc>
          <w:tcPr>
            <w:tcW w:w="7330" w:type="dxa"/>
            <w:gridSpan w:val="3"/>
            <w:tcBorders>
              <w:top w:val="single" w:color="auto" w:sz="4" w:space="0"/>
              <w:left w:val="single" w:color="auto" w:sz="4" w:space="0"/>
              <w:bottom w:val="single" w:color="auto" w:sz="4" w:space="0"/>
              <w:right w:val="single" w:color="auto" w:sz="4" w:space="0"/>
            </w:tcBorders>
          </w:tcPr>
          <w:p w14:paraId="34CF535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ascii="宋体" w:hAnsi="宋体" w:eastAsia="宋体" w:cs="宋体"/>
                <w:sz w:val="21"/>
                <w:szCs w:val="21"/>
              </w:rPr>
              <w:t>本项目中标人提供的服务应符合国家相关标准、行业标准、地方标准或者其他标准。</w:t>
            </w:r>
          </w:p>
          <w:p w14:paraId="5CDAD89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中标人所提供的资料必须是真实的，所作出的承诺必须是切实可行的，如提供虚假资料或作出虚假承诺，一经查实，将取消其中标人中标资格，并按照相关法律法规进行处理，采购人保留进一步追究责任的权利。</w:t>
            </w:r>
          </w:p>
          <w:p w14:paraId="2915AE2E">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中标人必须承诺自行提供本项目的所有服务内容，不得分包或转包，不允许委托任何第三方负责本项目的建设、维护。</w:t>
            </w:r>
          </w:p>
          <w:p w14:paraId="1CD496F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w:t>
            </w:r>
            <w:r>
              <w:rPr>
                <w:rFonts w:ascii="宋体" w:hAnsi="宋体" w:eastAsia="宋体" w:cs="宋体"/>
                <w:sz w:val="21"/>
                <w:szCs w:val="21"/>
              </w:rPr>
              <w:t>在项目竣工验收后，采购人有权委托政府审计机构或中介机构对项目建设进行第三方审计。</w:t>
            </w:r>
          </w:p>
          <w:p w14:paraId="57E7D91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5.</w:t>
            </w:r>
            <w:r>
              <w:rPr>
                <w:rFonts w:ascii="宋体" w:hAnsi="宋体" w:eastAsia="宋体" w:cs="宋体"/>
                <w:sz w:val="21"/>
                <w:szCs w:val="21"/>
              </w:rPr>
              <w:t>中标人派遣到采购人的服务人员应符合采购人要求，需是本单位在职人员，保证服务人员的稳定性，人员不允许频繁更换。如不符合采购人要求，应及时更换。如项目人员队伍发生重大变更导致无法按要求开展项目任务或者发生重大责任事故的，采购人有权终止委托。</w:t>
            </w:r>
          </w:p>
          <w:p w14:paraId="6BE23C4F">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6.</w:t>
            </w:r>
            <w:r>
              <w:rPr>
                <w:rFonts w:ascii="宋体" w:hAnsi="宋体" w:eastAsia="宋体" w:cs="宋体"/>
                <w:sz w:val="21"/>
                <w:szCs w:val="21"/>
              </w:rPr>
              <w:t>在</w:t>
            </w:r>
            <w:r>
              <w:rPr>
                <w:rFonts w:hint="eastAsia" w:ascii="宋体" w:hAnsi="宋体" w:eastAsia="宋体" w:cs="宋体"/>
                <w:sz w:val="21"/>
                <w:szCs w:val="21"/>
              </w:rPr>
              <w:t>投标文件</w:t>
            </w:r>
            <w:r>
              <w:rPr>
                <w:rFonts w:ascii="宋体" w:hAnsi="宋体" w:eastAsia="宋体" w:cs="宋体"/>
                <w:sz w:val="21"/>
                <w:szCs w:val="21"/>
              </w:rPr>
              <w:t>中提供针对本项目的技术方案、实施方案、售后服务方案等。</w:t>
            </w:r>
          </w:p>
          <w:p w14:paraId="28182C2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7.</w:t>
            </w:r>
            <w:r>
              <w:rPr>
                <w:rFonts w:ascii="宋体" w:hAnsi="宋体" w:eastAsia="宋体" w:cs="宋体"/>
                <w:sz w:val="21"/>
                <w:szCs w:val="21"/>
              </w:rPr>
              <w:t>因本项目需求需根据实际建设情况进一步优化调整，最终按照项目实际开展要求进行调整确定，中标人必须按照采购人要求配合完成全部工作。</w:t>
            </w:r>
          </w:p>
          <w:p w14:paraId="64A62FEC">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8.</w:t>
            </w:r>
            <w:r>
              <w:rPr>
                <w:rFonts w:ascii="宋体" w:hAnsi="宋体" w:eastAsia="宋体" w:cs="宋体"/>
                <w:sz w:val="21"/>
                <w:szCs w:val="21"/>
              </w:rPr>
              <w:t>提供相应培训服务。中标人免费为采购人提供国家主管部门认证的</w:t>
            </w:r>
            <w:r>
              <w:rPr>
                <w:rFonts w:hint="eastAsia" w:ascii="宋体" w:hAnsi="宋体" w:eastAsia="宋体" w:cs="宋体"/>
                <w:sz w:val="21"/>
                <w:szCs w:val="21"/>
              </w:rPr>
              <w:t>计算机类</w:t>
            </w:r>
            <w:r>
              <w:rPr>
                <w:rFonts w:ascii="宋体" w:hAnsi="宋体" w:eastAsia="宋体" w:cs="宋体"/>
                <w:sz w:val="21"/>
                <w:szCs w:val="21"/>
              </w:rPr>
              <w:t>中级及以上专业技术职业资格</w:t>
            </w:r>
            <w:r>
              <w:rPr>
                <w:rFonts w:hint="eastAsia" w:ascii="宋体" w:hAnsi="宋体" w:eastAsia="宋体" w:cs="宋体"/>
                <w:sz w:val="21"/>
                <w:szCs w:val="21"/>
              </w:rPr>
              <w:t>或行业认可的数据治理认证相关</w:t>
            </w:r>
            <w:r>
              <w:rPr>
                <w:rFonts w:ascii="宋体" w:hAnsi="宋体" w:eastAsia="宋体" w:cs="宋体"/>
                <w:sz w:val="21"/>
                <w:szCs w:val="21"/>
              </w:rPr>
              <w:t>培训（含线下培训和认证服务）培训，培训和认证费含在项目整体报价中。</w:t>
            </w:r>
          </w:p>
          <w:p w14:paraId="25F96C98">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9.</w:t>
            </w:r>
            <w:r>
              <w:rPr>
                <w:rFonts w:ascii="宋体" w:hAnsi="宋体" w:eastAsia="宋体" w:cs="宋体"/>
                <w:sz w:val="21"/>
                <w:szCs w:val="21"/>
              </w:rPr>
              <w:t>中标人须安排至少5名人员驻点开发系统</w:t>
            </w:r>
            <w:r>
              <w:rPr>
                <w:rFonts w:hint="eastAsia" w:ascii="宋体" w:hAnsi="宋体" w:eastAsia="宋体" w:cs="宋体"/>
                <w:sz w:val="21"/>
                <w:szCs w:val="21"/>
              </w:rPr>
              <w:t>，质保期安排至少2人驻点运维</w:t>
            </w:r>
            <w:r>
              <w:rPr>
                <w:rFonts w:ascii="宋体" w:hAnsi="宋体" w:eastAsia="宋体" w:cs="宋体"/>
                <w:sz w:val="21"/>
                <w:szCs w:val="21"/>
              </w:rPr>
              <w:t>。</w:t>
            </w:r>
            <w:r>
              <w:rPr>
                <w:rFonts w:hint="eastAsia" w:ascii="宋体" w:hAnsi="宋体" w:eastAsia="宋体" w:cs="宋体"/>
                <w:sz w:val="21"/>
                <w:szCs w:val="21"/>
              </w:rPr>
              <w:t>在驻点过程中，</w:t>
            </w:r>
            <w:r>
              <w:rPr>
                <w:rFonts w:ascii="宋体" w:hAnsi="宋体" w:eastAsia="宋体" w:cs="宋体"/>
                <w:sz w:val="21"/>
                <w:szCs w:val="21"/>
              </w:rPr>
              <w:t>中标人</w:t>
            </w:r>
            <w:r>
              <w:rPr>
                <w:rFonts w:hint="eastAsia" w:ascii="宋体" w:hAnsi="宋体" w:eastAsia="宋体" w:cs="宋体"/>
                <w:sz w:val="21"/>
                <w:szCs w:val="21"/>
              </w:rPr>
              <w:t>应</w:t>
            </w:r>
            <w:r>
              <w:rPr>
                <w:rFonts w:ascii="宋体" w:hAnsi="宋体" w:eastAsia="宋体" w:cs="宋体"/>
                <w:sz w:val="21"/>
                <w:szCs w:val="21"/>
              </w:rPr>
              <w:t>提供完成本项服务所需要的车辆、通讯设备、办公</w:t>
            </w:r>
            <w:r>
              <w:rPr>
                <w:rFonts w:hint="eastAsia" w:ascii="宋体" w:hAnsi="宋体" w:eastAsia="宋体" w:cs="宋体"/>
                <w:sz w:val="21"/>
                <w:szCs w:val="21"/>
              </w:rPr>
              <w:t>设施</w:t>
            </w:r>
            <w:r>
              <w:rPr>
                <w:rFonts w:ascii="宋体" w:hAnsi="宋体" w:eastAsia="宋体" w:cs="宋体"/>
                <w:sz w:val="21"/>
                <w:szCs w:val="21"/>
              </w:rPr>
              <w:t>等一切物资以辅助本项目</w:t>
            </w:r>
            <w:r>
              <w:rPr>
                <w:rFonts w:hint="eastAsia" w:ascii="宋体" w:hAnsi="宋体" w:eastAsia="宋体" w:cs="宋体"/>
                <w:sz w:val="21"/>
                <w:szCs w:val="21"/>
              </w:rPr>
              <w:t>相关</w:t>
            </w:r>
            <w:r>
              <w:rPr>
                <w:rFonts w:ascii="宋体" w:hAnsi="宋体" w:eastAsia="宋体" w:cs="宋体"/>
                <w:sz w:val="21"/>
                <w:szCs w:val="21"/>
              </w:rPr>
              <w:t>工作</w:t>
            </w:r>
            <w:r>
              <w:rPr>
                <w:rFonts w:hint="eastAsia" w:ascii="宋体" w:hAnsi="宋体" w:eastAsia="宋体" w:cs="宋体"/>
                <w:sz w:val="21"/>
                <w:szCs w:val="21"/>
              </w:rPr>
              <w:t>。</w:t>
            </w:r>
          </w:p>
        </w:tc>
      </w:tr>
      <w:tr w14:paraId="24E4D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263E75A1">
            <w:pPr>
              <w:pStyle w:val="2"/>
              <w:spacing w:line="400" w:lineRule="exact"/>
              <w:rPr>
                <w:rFonts w:hint="eastAsia" w:ascii="宋体" w:hAnsi="宋体" w:cs="宋体"/>
                <w:sz w:val="21"/>
                <w:szCs w:val="21"/>
              </w:rPr>
            </w:pPr>
            <w:r>
              <w:rPr>
                <w:rFonts w:hint="eastAsia" w:ascii="宋体" w:hAnsi="宋体" w:cs="宋体"/>
                <w:sz w:val="21"/>
                <w:szCs w:val="21"/>
              </w:rPr>
              <w:t>▲（三）其他要求（“▲”为实质性要求，供应商必须响应，不允许负偏离）</w:t>
            </w:r>
          </w:p>
          <w:p w14:paraId="10209C6B">
            <w:pPr>
              <w:pStyle w:val="2"/>
              <w:spacing w:line="400" w:lineRule="exact"/>
              <w:rPr>
                <w:rFonts w:hint="eastAsia" w:ascii="宋体" w:hAnsi="宋体" w:cs="宋体"/>
                <w:sz w:val="21"/>
                <w:szCs w:val="21"/>
              </w:rPr>
            </w:pPr>
            <w:r>
              <w:rPr>
                <w:rFonts w:hint="eastAsia" w:ascii="宋体" w:hAnsi="宋体" w:cs="宋体"/>
                <w:sz w:val="21"/>
                <w:szCs w:val="21"/>
              </w:rPr>
              <w:t>1.开发体系要求。</w:t>
            </w:r>
          </w:p>
          <w:p w14:paraId="13378D73">
            <w:pPr>
              <w:pStyle w:val="2"/>
              <w:spacing w:line="400" w:lineRule="exact"/>
              <w:rPr>
                <w:rFonts w:hint="eastAsia" w:ascii="宋体" w:hAnsi="宋体" w:cs="宋体"/>
                <w:sz w:val="21"/>
                <w:szCs w:val="21"/>
              </w:rPr>
            </w:pPr>
            <w:r>
              <w:rPr>
                <w:rFonts w:hint="eastAsia" w:ascii="宋体" w:hAnsi="宋体" w:cs="宋体"/>
                <w:sz w:val="21"/>
                <w:szCs w:val="21"/>
              </w:rPr>
              <w:t>（1）技术中台</w:t>
            </w:r>
          </w:p>
          <w:p w14:paraId="08C63A0E">
            <w:pPr>
              <w:pStyle w:val="2"/>
              <w:spacing w:line="400" w:lineRule="exact"/>
              <w:rPr>
                <w:rFonts w:hint="eastAsia" w:ascii="宋体" w:hAnsi="宋体" w:cs="宋体"/>
                <w:sz w:val="21"/>
                <w:szCs w:val="21"/>
              </w:rPr>
            </w:pPr>
            <w:r>
              <w:rPr>
                <w:rFonts w:hint="eastAsia" w:ascii="宋体" w:hAnsi="宋体" w:cs="宋体"/>
                <w:sz w:val="21"/>
                <w:szCs w:val="21"/>
              </w:rPr>
              <w:t>各业务应用需基于采购人广西“生态云”统一支撑平台提供的能力进行建设，需遵循统一的建设要求。</w:t>
            </w:r>
          </w:p>
          <w:p w14:paraId="6FCD4AEE">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\o\ac(○,1)</w:instrText>
            </w:r>
            <w:r>
              <w:rPr>
                <w:rFonts w:hint="eastAsia" w:ascii="宋体" w:hAnsi="宋体" w:cs="宋体"/>
                <w:sz w:val="21"/>
                <w:szCs w:val="21"/>
              </w:rPr>
              <w:fldChar w:fldCharType="end"/>
            </w:r>
            <w:r>
              <w:rPr>
                <w:rFonts w:hint="eastAsia" w:ascii="宋体" w:hAnsi="宋体" w:cs="宋体"/>
                <w:sz w:val="21"/>
                <w:szCs w:val="21"/>
              </w:rPr>
              <w:t xml:space="preserve"> 应用容器化要求：业务应用系统需提供用于构建镜像的相关脚本，需以镜像的形式上传至统一的私有镜像仓库，并遵循统一的镜像命名规范。镜像应遵循最佳实践，保持最小化和无状态化。</w:t>
            </w:r>
          </w:p>
          <w:p w14:paraId="7400F743">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\o\ac(○,2)</w:instrText>
            </w:r>
            <w:r>
              <w:rPr>
                <w:rFonts w:hint="eastAsia" w:ascii="宋体" w:hAnsi="宋体" w:cs="宋体"/>
                <w:sz w:val="21"/>
                <w:szCs w:val="21"/>
              </w:rPr>
              <w:fldChar w:fldCharType="end"/>
            </w:r>
            <w:r>
              <w:rPr>
                <w:rFonts w:hint="eastAsia" w:ascii="宋体" w:hAnsi="宋体" w:cs="宋体"/>
                <w:sz w:val="21"/>
                <w:szCs w:val="21"/>
              </w:rPr>
              <w:t xml:space="preserve"> 部署与发布要求：业务应用系统需提供适配广西“生态云”统一支撑平台的部署文件，其中需包含平台所需的各类资源定义。</w:t>
            </w:r>
          </w:p>
          <w:p w14:paraId="42EF1F9A">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\o\ac(○,3)</w:instrText>
            </w:r>
            <w:r>
              <w:rPr>
                <w:rFonts w:hint="eastAsia" w:ascii="宋体" w:hAnsi="宋体" w:cs="宋体"/>
                <w:sz w:val="21"/>
                <w:szCs w:val="21"/>
              </w:rPr>
              <w:fldChar w:fldCharType="end"/>
            </w:r>
            <w:r>
              <w:rPr>
                <w:rFonts w:hint="eastAsia" w:ascii="宋体" w:hAnsi="宋体" w:cs="宋体"/>
                <w:sz w:val="21"/>
                <w:szCs w:val="21"/>
              </w:rPr>
              <w:t xml:space="preserve"> 统一流量入口要求：业务应用系统相关的接口和服务需通过统一应用网关对外暴露，需按平台统一的路由配置规范设置访问路径。</w:t>
            </w:r>
          </w:p>
          <w:p w14:paraId="2F52FDDB">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\o\ac(○,4)</w:instrText>
            </w:r>
            <w:r>
              <w:rPr>
                <w:rFonts w:hint="eastAsia" w:ascii="宋体" w:hAnsi="宋体" w:cs="宋体"/>
                <w:sz w:val="21"/>
                <w:szCs w:val="21"/>
              </w:rPr>
              <w:fldChar w:fldCharType="end"/>
            </w:r>
            <w:r>
              <w:rPr>
                <w:rFonts w:hint="eastAsia" w:ascii="宋体" w:hAnsi="宋体" w:cs="宋体"/>
                <w:sz w:val="21"/>
                <w:szCs w:val="21"/>
              </w:rPr>
              <w:t xml:space="preserve"> 统一身份认证要求：业务应用系统需支持平台提供的统一身份认证协议，与平台提供的统一单点登录系统对接，通过解析平台签发的密钥来获取用户身份信息，并以此为依据进行系统内部的权限判断和控制。</w:t>
            </w:r>
          </w:p>
          <w:p w14:paraId="03405DD0">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\o\ac(○,5)</w:instrText>
            </w:r>
            <w:r>
              <w:rPr>
                <w:rFonts w:hint="eastAsia" w:ascii="宋体" w:hAnsi="宋体" w:cs="宋体"/>
                <w:sz w:val="21"/>
                <w:szCs w:val="21"/>
              </w:rPr>
              <w:fldChar w:fldCharType="end"/>
            </w:r>
            <w:r>
              <w:rPr>
                <w:rFonts w:hint="eastAsia" w:ascii="宋体" w:hAnsi="宋体" w:cs="宋体"/>
                <w:sz w:val="21"/>
                <w:szCs w:val="21"/>
              </w:rPr>
              <w:t xml:space="preserve"> 统一消息中心接入要求：业务应用系统内需要触达用户的通知（如事项办理、业务告警、状态变更等），需按平台定义的消息模板规范，调用统一消息中心的接口实现消息的接入。</w:t>
            </w:r>
          </w:p>
          <w:p w14:paraId="387CF6E7">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\o\ac(○,6)</w:instrText>
            </w:r>
            <w:r>
              <w:rPr>
                <w:rFonts w:hint="eastAsia" w:ascii="宋体" w:hAnsi="宋体" w:cs="宋体"/>
                <w:sz w:val="21"/>
                <w:szCs w:val="21"/>
              </w:rPr>
              <w:fldChar w:fldCharType="end"/>
            </w:r>
            <w:r>
              <w:rPr>
                <w:rFonts w:hint="eastAsia" w:ascii="宋体" w:hAnsi="宋体" w:cs="宋体"/>
                <w:sz w:val="21"/>
                <w:szCs w:val="21"/>
              </w:rPr>
              <w:t xml:space="preserve"> 统一日志规范要求：业务应用系统的日志需输出到标准输出和标准错误，建议输出结构化日志，并对接统一的日志管理模块，便于后续的日志检索和分析。</w:t>
            </w:r>
          </w:p>
          <w:p w14:paraId="36954A65">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\o\ac(○,7)</w:instrText>
            </w:r>
            <w:r>
              <w:rPr>
                <w:rFonts w:hint="eastAsia" w:ascii="宋体" w:hAnsi="宋体" w:cs="宋体"/>
                <w:sz w:val="21"/>
                <w:szCs w:val="21"/>
              </w:rPr>
              <w:fldChar w:fldCharType="end"/>
            </w:r>
            <w:r>
              <w:rPr>
                <w:rFonts w:hint="eastAsia" w:ascii="宋体" w:hAnsi="宋体" w:cs="宋体"/>
                <w:sz w:val="21"/>
                <w:szCs w:val="21"/>
              </w:rPr>
              <w:t xml:space="preserve"> 统一可观测性要求：业务应用系统需实现符合容器平台规范的存活探针、就绪探针等健康检查端点，并按广西“生态云”统一支撑平台的格式要求暴露其内部的关键性能指标。</w:t>
            </w:r>
          </w:p>
          <w:p w14:paraId="2FFADCFB">
            <w:pPr>
              <w:pStyle w:val="2"/>
              <w:spacing w:line="400" w:lineRule="exact"/>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EQ \o\ac(○,8)</w:instrText>
            </w:r>
            <w:r>
              <w:rPr>
                <w:rFonts w:hint="eastAsia" w:ascii="宋体" w:hAnsi="宋体" w:cs="宋体"/>
                <w:sz w:val="21"/>
                <w:szCs w:val="21"/>
              </w:rPr>
              <w:fldChar w:fldCharType="end"/>
            </w:r>
            <w:r>
              <w:rPr>
                <w:rFonts w:hint="eastAsia" w:ascii="宋体" w:hAnsi="宋体" w:cs="宋体"/>
                <w:sz w:val="21"/>
                <w:szCs w:val="21"/>
              </w:rPr>
              <w:t xml:space="preserve"> 统一配置管理要求：业务应用系统的环境相关配置项（如数据库地址、密码、第三方密钥等）严禁硬编码在代码或镜像中，需能够通过环境变量、挂载配置文件、对接统一配置平台等方式来读取配置。</w:t>
            </w:r>
          </w:p>
          <w:p w14:paraId="653574C4">
            <w:pPr>
              <w:pStyle w:val="2"/>
              <w:spacing w:line="400" w:lineRule="exact"/>
              <w:rPr>
                <w:rFonts w:hint="eastAsia" w:ascii="宋体" w:hAnsi="宋体" w:cs="宋体"/>
                <w:sz w:val="21"/>
                <w:szCs w:val="21"/>
              </w:rPr>
            </w:pPr>
            <w:r>
              <w:rPr>
                <w:rFonts w:hint="eastAsia" w:ascii="宋体" w:hAnsi="宋体" w:cs="宋体"/>
                <w:sz w:val="21"/>
                <w:szCs w:val="21"/>
              </w:rPr>
              <w:t>（2）数据资源平台</w:t>
            </w:r>
          </w:p>
          <w:p w14:paraId="2CC19C7C">
            <w:pPr>
              <w:pStyle w:val="2"/>
              <w:spacing w:line="400" w:lineRule="exact"/>
              <w:rPr>
                <w:rFonts w:hint="eastAsia" w:ascii="宋体" w:hAnsi="宋体" w:cs="宋体"/>
                <w:sz w:val="21"/>
                <w:szCs w:val="21"/>
              </w:rPr>
            </w:pPr>
            <w:r>
              <w:rPr>
                <w:rFonts w:hint="eastAsia" w:ascii="宋体" w:hAnsi="宋体" w:cs="宋体"/>
                <w:sz w:val="21"/>
                <w:szCs w:val="21"/>
              </w:rPr>
              <w:t>必须在采购人提供的广西生态环境数据资源平台上实现数据接入、调用和共享，严格遵循统一的数据标准、接口规范和安全策略。所有跨标段的交互（如数据交换、数据接口调用、目录共享等），确保平台整体的一致性与连贯性。</w:t>
            </w:r>
          </w:p>
          <w:p w14:paraId="6C8FE0D0">
            <w:pPr>
              <w:pStyle w:val="2"/>
              <w:spacing w:line="400" w:lineRule="exact"/>
              <w:rPr>
                <w:rFonts w:hint="eastAsia" w:ascii="宋体" w:hAnsi="宋体" w:cs="宋体"/>
                <w:sz w:val="21"/>
                <w:szCs w:val="21"/>
              </w:rPr>
            </w:pPr>
            <w:r>
              <w:rPr>
                <w:rFonts w:hint="eastAsia" w:ascii="宋体" w:hAnsi="宋体" w:cs="宋体"/>
                <w:sz w:val="21"/>
                <w:szCs w:val="21"/>
              </w:rPr>
              <w:t>各系统在建设过程，应严格执行统一数据接口文档和测试流程，确保接口互认、认证一致和数据安全；须接受数据平台的统一接入测试、安全评估和性能认证。系统建设应坚持模块化、服务化思路，以便于后期运维升级和持续扩展，确保全区生态环境智慧监管体系的统一性和长效运行。</w:t>
            </w:r>
          </w:p>
          <w:p w14:paraId="0362A65A">
            <w:pPr>
              <w:pStyle w:val="2"/>
              <w:spacing w:line="400" w:lineRule="exact"/>
              <w:rPr>
                <w:rFonts w:hint="eastAsia" w:ascii="宋体" w:hAnsi="宋体" w:cs="宋体"/>
                <w:sz w:val="21"/>
                <w:szCs w:val="21"/>
              </w:rPr>
            </w:pPr>
            <w:r>
              <w:rPr>
                <w:rFonts w:hint="eastAsia" w:ascii="宋体" w:hAnsi="宋体" w:cs="宋体"/>
                <w:sz w:val="21"/>
                <w:szCs w:val="21"/>
              </w:rPr>
              <w:t>2.需满足政务信息共享开放系统设计要求。</w:t>
            </w:r>
          </w:p>
          <w:p w14:paraId="2F26B4F8">
            <w:pPr>
              <w:pStyle w:val="2"/>
              <w:spacing w:line="400" w:lineRule="exact"/>
              <w:rPr>
                <w:rFonts w:hint="eastAsia" w:ascii="宋体" w:hAnsi="宋体" w:cs="宋体"/>
                <w:sz w:val="21"/>
                <w:szCs w:val="21"/>
              </w:rPr>
            </w:pPr>
            <w:r>
              <w:rPr>
                <w:rFonts w:hint="eastAsia" w:ascii="宋体" w:hAnsi="宋体" w:cs="宋体"/>
                <w:sz w:val="21"/>
                <w:szCs w:val="21"/>
              </w:rPr>
              <w:t>（1）须实现通过广西一体化智能化公共数据平台与各厅局单位进行数据共享。统一标准接口服务，统一标准接口服务应按照自治区政务信息资源共享平台服务接口开发和使用规范进行设计及实施。针对接口服务过程建立异常跟踪、日志跟踪及处理机制，确保接口程序稳定、健康运行。</w:t>
            </w:r>
          </w:p>
          <w:p w14:paraId="1E568D60">
            <w:pPr>
              <w:pStyle w:val="2"/>
              <w:spacing w:line="400" w:lineRule="exact"/>
              <w:rPr>
                <w:rFonts w:hint="eastAsia" w:ascii="宋体" w:hAnsi="宋体" w:cs="宋体"/>
                <w:sz w:val="21"/>
                <w:szCs w:val="21"/>
              </w:rPr>
            </w:pPr>
            <w:r>
              <w:rPr>
                <w:rFonts w:hint="eastAsia" w:ascii="宋体" w:hAnsi="宋体" w:cs="宋体"/>
                <w:sz w:val="21"/>
                <w:szCs w:val="21"/>
              </w:rPr>
              <w:t>根据《广西壮族自治区政务信息化公共组件管理办法（试行）》，需结合场景设计和业务需求，与自治区统一身份认证平台、统一电子印章平台等对接，充分复用自治区政务信息化可共享组件资源，避免重复开发建设。</w:t>
            </w:r>
          </w:p>
          <w:p w14:paraId="61CBF06C">
            <w:pPr>
              <w:pStyle w:val="2"/>
              <w:spacing w:line="400" w:lineRule="exact"/>
              <w:rPr>
                <w:rFonts w:hint="eastAsia" w:ascii="宋体" w:hAnsi="宋体" w:cs="宋体"/>
                <w:sz w:val="21"/>
                <w:szCs w:val="21"/>
              </w:rPr>
            </w:pPr>
            <w:r>
              <w:rPr>
                <w:rFonts w:hint="eastAsia" w:ascii="宋体" w:hAnsi="宋体" w:cs="宋体"/>
                <w:sz w:val="21"/>
                <w:szCs w:val="21"/>
              </w:rPr>
              <w:t>▲3.信息资源目录要求。根据《国务院关于印发政务信息资源共享管理暂行办法的通知》（国发〔2016〕51号）及相关法律法规和等规定，加快推动政务信息系统互联和公共数据共享，要求按照《政务信息资源目录编制指南》编制、维护本项目政务信息资源目录，基于数据共享需求清单100%梳理、挂载并发布数据资源目录，明确数据来源、格式、更新、共享和开放等属性，确保信息资源共享开放。</w:t>
            </w:r>
          </w:p>
          <w:p w14:paraId="1B38B8D3">
            <w:pPr>
              <w:pStyle w:val="2"/>
              <w:spacing w:line="400" w:lineRule="exact"/>
              <w:rPr>
                <w:rFonts w:hint="eastAsia" w:ascii="宋体" w:hAnsi="宋体" w:cs="宋体"/>
                <w:sz w:val="21"/>
                <w:szCs w:val="21"/>
              </w:rPr>
            </w:pPr>
            <w:r>
              <w:rPr>
                <w:rFonts w:hint="eastAsia" w:ascii="宋体" w:hAnsi="宋体" w:cs="宋体"/>
                <w:sz w:val="21"/>
                <w:szCs w:val="21"/>
              </w:rPr>
              <w:t>▲4.建立维护信息共享开放长效机制。</w:t>
            </w:r>
          </w:p>
          <w:p w14:paraId="0D0AC46E">
            <w:pPr>
              <w:pStyle w:val="2"/>
              <w:spacing w:line="400" w:lineRule="exact"/>
              <w:rPr>
                <w:rFonts w:hint="eastAsia" w:ascii="宋体" w:hAnsi="宋体" w:cs="宋体"/>
                <w:sz w:val="21"/>
                <w:szCs w:val="21"/>
              </w:rPr>
            </w:pPr>
            <w:r>
              <w:rPr>
                <w:rFonts w:hint="eastAsia" w:ascii="宋体" w:hAnsi="宋体" w:cs="宋体"/>
                <w:sz w:val="21"/>
                <w:szCs w:val="21"/>
              </w:rPr>
              <w:t>根据采购人要求，建立信息资源的采集管理机制、采集技术机制、统一存储管理机制、统一存储技术机制、统一利用管理机制、统一利用技术机制。保障稳定的数据更新频率、数据推送模式和数据推送周期。</w:t>
            </w:r>
          </w:p>
          <w:p w14:paraId="20522F5A">
            <w:pPr>
              <w:pStyle w:val="2"/>
              <w:spacing w:line="400" w:lineRule="exact"/>
              <w:rPr>
                <w:rFonts w:hint="eastAsia" w:ascii="宋体" w:hAnsi="宋体" w:cs="宋体"/>
                <w:sz w:val="21"/>
                <w:szCs w:val="21"/>
              </w:rPr>
            </w:pPr>
            <w:r>
              <w:rPr>
                <w:rFonts w:hint="eastAsia" w:ascii="宋体" w:hAnsi="宋体" w:cs="宋体"/>
                <w:sz w:val="21"/>
                <w:szCs w:val="21"/>
              </w:rPr>
              <w:t>5.遵循总体安全建设原则。</w:t>
            </w:r>
          </w:p>
          <w:p w14:paraId="05627B25">
            <w:pPr>
              <w:pStyle w:val="2"/>
              <w:spacing w:line="400" w:lineRule="exact"/>
              <w:rPr>
                <w:rFonts w:hint="eastAsia" w:ascii="宋体" w:hAnsi="宋体" w:cs="宋体"/>
                <w:sz w:val="21"/>
                <w:szCs w:val="21"/>
              </w:rPr>
            </w:pPr>
            <w:r>
              <w:rPr>
                <w:rFonts w:hint="eastAsia" w:ascii="宋体" w:hAnsi="宋体" w:cs="宋体"/>
                <w:sz w:val="21"/>
                <w:szCs w:val="21"/>
              </w:rPr>
              <w:t>（1）整个网络平台与应用平台建设遵循信息安全等级保护二级体系（广西核应急指挥应用、广西生态环境厅内部管理应用、自治区生态环境厅直属单位内部管理应用、广西壮族自治区生态环境厅电子档案管理应用、内控管理应用开发应用遵循信息安全等级保护三级体系）进行建设。满足GBT 22239-2019《信息安全技术 网络安全等级保护基本要求》，并配合完成等保备案、通过等保测评等相关工作。遵循GB/T39786-2021《信息安全技术 信息系统密码应用基本要求》及相关国家标准、行业标准开展密码应用建设，系统使用壮美广西·政务云环境商用密码资源，通过密码应用安全性评估等相关工作。</w:t>
            </w:r>
          </w:p>
          <w:p w14:paraId="7939BB1D">
            <w:pPr>
              <w:pStyle w:val="2"/>
              <w:spacing w:line="400" w:lineRule="exact"/>
              <w:rPr>
                <w:rFonts w:hint="eastAsia" w:ascii="宋体" w:hAnsi="宋体" w:cs="宋体"/>
                <w:sz w:val="21"/>
                <w:szCs w:val="21"/>
              </w:rPr>
            </w:pPr>
            <w:r>
              <w:rPr>
                <w:rFonts w:hint="eastAsia" w:ascii="宋体" w:hAnsi="宋体" w:cs="宋体"/>
                <w:sz w:val="21"/>
                <w:szCs w:val="21"/>
              </w:rPr>
              <w:t>（2）依托现有安全设施进行安全防护体系建设，配合采购人开展安全评估、渗透测试、漏洞修复、弱密码整改等安全保障工作。</w:t>
            </w:r>
          </w:p>
          <w:p w14:paraId="49655044">
            <w:pPr>
              <w:pStyle w:val="2"/>
              <w:spacing w:line="400" w:lineRule="exact"/>
              <w:rPr>
                <w:rFonts w:hint="eastAsia" w:ascii="宋体" w:hAnsi="宋体" w:cs="宋体"/>
                <w:sz w:val="21"/>
                <w:szCs w:val="21"/>
              </w:rPr>
            </w:pPr>
            <w:r>
              <w:rPr>
                <w:rFonts w:hint="eastAsia" w:ascii="宋体" w:hAnsi="宋体" w:cs="宋体"/>
                <w:sz w:val="21"/>
                <w:szCs w:val="21"/>
              </w:rPr>
              <w:t>（3）对存储在电子政务外网上的数据进行加密存储，系统应具备数据加密脱敏能力，并对系统内部个人信息等敏感数据采取安全保障措施。</w:t>
            </w:r>
          </w:p>
          <w:p w14:paraId="4428B3BB">
            <w:pPr>
              <w:pStyle w:val="2"/>
              <w:spacing w:line="400" w:lineRule="exact"/>
              <w:rPr>
                <w:rFonts w:hint="eastAsia" w:ascii="宋体" w:hAnsi="宋体" w:cs="宋体"/>
                <w:sz w:val="21"/>
                <w:szCs w:val="21"/>
              </w:rPr>
            </w:pPr>
            <w:r>
              <w:rPr>
                <w:rFonts w:hint="eastAsia" w:ascii="宋体" w:hAnsi="宋体" w:cs="宋体"/>
                <w:sz w:val="21"/>
                <w:szCs w:val="21"/>
              </w:rPr>
              <w:t>（4）用户登录采用CA身份认证方式；</w:t>
            </w:r>
          </w:p>
          <w:p w14:paraId="698907E6">
            <w:pPr>
              <w:pStyle w:val="2"/>
              <w:spacing w:line="400" w:lineRule="exact"/>
              <w:rPr>
                <w:rFonts w:hint="eastAsia" w:ascii="宋体" w:hAnsi="宋体" w:cs="宋体"/>
                <w:sz w:val="21"/>
                <w:szCs w:val="21"/>
              </w:rPr>
            </w:pPr>
            <w:r>
              <w:rPr>
                <w:rFonts w:hint="eastAsia" w:ascii="宋体" w:hAnsi="宋体" w:cs="宋体"/>
                <w:sz w:val="21"/>
                <w:szCs w:val="21"/>
              </w:rPr>
              <w:t>（5）对数据维护、查询访问的各环节都进行监控和“留痕”，便于审计。中标人应配合采购人或第三方进行安全审计，提供必要的审计数据和资料。</w:t>
            </w:r>
          </w:p>
          <w:p w14:paraId="54998D0D">
            <w:pPr>
              <w:pStyle w:val="2"/>
              <w:spacing w:line="400" w:lineRule="exact"/>
              <w:rPr>
                <w:rFonts w:hint="eastAsia" w:ascii="宋体" w:hAnsi="宋体" w:cs="宋体"/>
                <w:sz w:val="21"/>
                <w:szCs w:val="21"/>
              </w:rPr>
            </w:pPr>
            <w:r>
              <w:rPr>
                <w:rFonts w:hint="eastAsia" w:ascii="宋体" w:hAnsi="宋体" w:cs="宋体"/>
                <w:sz w:val="21"/>
                <w:szCs w:val="21"/>
              </w:rPr>
              <w:t>（6）依托壮美广西·政务云的云平台建设本项目灾备体系。中标人应制定网络和数据安全事件应急预案，并开展演练。</w:t>
            </w:r>
          </w:p>
          <w:p w14:paraId="15416DDE">
            <w:pPr>
              <w:pStyle w:val="2"/>
              <w:spacing w:line="400" w:lineRule="exact"/>
              <w:rPr>
                <w:rFonts w:hint="eastAsia" w:ascii="宋体" w:hAnsi="宋体" w:cs="宋体"/>
                <w:sz w:val="21"/>
                <w:szCs w:val="21"/>
              </w:rPr>
            </w:pPr>
            <w:r>
              <w:rPr>
                <w:rFonts w:hint="eastAsia" w:ascii="宋体" w:hAnsi="宋体" w:cs="宋体"/>
                <w:sz w:val="21"/>
                <w:szCs w:val="21"/>
              </w:rPr>
              <w:t>（7）在应用系统上线试运行前按照《自治区生态环境厅信息系统上线技术规范（试行）》要求进行自评，并提交《信息系统上线运行技术报告》，获得采购人批准后方可上线。</w:t>
            </w:r>
          </w:p>
          <w:p w14:paraId="08609252">
            <w:pPr>
              <w:pStyle w:val="2"/>
              <w:spacing w:line="400" w:lineRule="exact"/>
              <w:rPr>
                <w:rFonts w:hint="eastAsia" w:ascii="宋体" w:hAnsi="宋体" w:cs="宋体"/>
                <w:sz w:val="21"/>
                <w:szCs w:val="21"/>
              </w:rPr>
            </w:pPr>
            <w:r>
              <w:rPr>
                <w:rFonts w:hint="eastAsia" w:ascii="宋体" w:hAnsi="宋体" w:cs="宋体"/>
                <w:sz w:val="21"/>
                <w:szCs w:val="21"/>
              </w:rPr>
              <w:t>▲6.实施保障要求。</w:t>
            </w:r>
          </w:p>
          <w:p w14:paraId="2190DFB8">
            <w:pPr>
              <w:pStyle w:val="2"/>
              <w:spacing w:line="400" w:lineRule="exact"/>
              <w:rPr>
                <w:rFonts w:hint="eastAsia" w:ascii="宋体" w:hAnsi="宋体" w:cs="宋体"/>
                <w:sz w:val="21"/>
                <w:szCs w:val="21"/>
              </w:rPr>
            </w:pPr>
            <w:r>
              <w:rPr>
                <w:rFonts w:hint="eastAsia" w:ascii="宋体" w:hAnsi="宋体" w:cs="宋体"/>
                <w:sz w:val="21"/>
                <w:szCs w:val="21"/>
              </w:rPr>
              <w:t>（1）密码应用采用统一协调的密码应用方案，包括但不限于密码技术应用、密码支持总体架构、密码基础设施建设部署、密钥管理体系构建、密码产品部署以及管理等。提供密码服务和身份认证服务，密码安全应用贯穿业务始终，即从传输链路、身份鉴别、数据加密、电子签名、数据完整性保护等。</w:t>
            </w:r>
          </w:p>
          <w:p w14:paraId="1E4C68B9">
            <w:pPr>
              <w:pStyle w:val="2"/>
              <w:spacing w:line="400" w:lineRule="exact"/>
              <w:rPr>
                <w:rFonts w:hint="eastAsia" w:ascii="宋体" w:hAnsi="宋体" w:cs="宋体"/>
                <w:sz w:val="21"/>
                <w:szCs w:val="21"/>
              </w:rPr>
            </w:pPr>
            <w:r>
              <w:rPr>
                <w:rFonts w:hint="eastAsia" w:ascii="宋体" w:hAnsi="宋体" w:cs="宋体"/>
                <w:sz w:val="21"/>
                <w:szCs w:val="21"/>
              </w:rPr>
              <w:t>（2）实施计划要求。编制《项目建设实施方案》，组织进行评审论证，并报请采购人批准；在《项目建设实施方案》被批准后，将严格按照实施方案、时间进度要求和人员安排等，组织工程建设，完成工程建设任务，组织工程验收，系统投入运行。实施内容包括方案设计阶段、系统集成、系统调试、试运行、最终验收、风险点及应对措施六个方面。</w:t>
            </w:r>
          </w:p>
          <w:p w14:paraId="28741A08">
            <w:pPr>
              <w:pStyle w:val="2"/>
              <w:spacing w:line="400" w:lineRule="exact"/>
              <w:rPr>
                <w:rFonts w:hint="eastAsia" w:ascii="宋体" w:hAnsi="宋体" w:cs="宋体"/>
                <w:sz w:val="21"/>
                <w:szCs w:val="21"/>
              </w:rPr>
            </w:pPr>
            <w:r>
              <w:rPr>
                <w:rFonts w:hint="eastAsia" w:ascii="宋体" w:hAnsi="宋体" w:cs="宋体"/>
                <w:sz w:val="21"/>
                <w:szCs w:val="21"/>
              </w:rPr>
              <w:t>（3）遵循项目进度基准、范围基准、质量标准等，承建单位对项目的进度、质量、范围、变更等进行统筹管理。供应商对应用功能、服务器配置等参数进行变更应及时传达采购单位，并评估变更带来的安全风险，采取措施对风险进行控制；供应商须建立系统资产清单台账（包括但不限于服务器、操作系统、数据库、中间件、软件基础平台、网络策略开通和数据备份情况等信息），并定期更新。</w:t>
            </w:r>
          </w:p>
          <w:p w14:paraId="46B2C9BC">
            <w:pPr>
              <w:pStyle w:val="2"/>
              <w:spacing w:line="400" w:lineRule="exact"/>
              <w:rPr>
                <w:rFonts w:hint="eastAsia" w:ascii="宋体" w:hAnsi="宋体" w:cs="宋体"/>
                <w:sz w:val="21"/>
                <w:szCs w:val="21"/>
              </w:rPr>
            </w:pPr>
            <w:r>
              <w:rPr>
                <w:rFonts w:hint="eastAsia" w:ascii="宋体" w:hAnsi="宋体" w:cs="宋体"/>
                <w:sz w:val="21"/>
                <w:szCs w:val="21"/>
              </w:rPr>
              <w:t>▲7.技术要求。</w:t>
            </w:r>
          </w:p>
          <w:p w14:paraId="2A6F7F87">
            <w:pPr>
              <w:pStyle w:val="2"/>
              <w:spacing w:line="400" w:lineRule="exact"/>
              <w:rPr>
                <w:rFonts w:hint="eastAsia" w:ascii="宋体" w:hAnsi="宋体" w:cs="宋体"/>
                <w:sz w:val="21"/>
                <w:szCs w:val="21"/>
              </w:rPr>
            </w:pPr>
            <w:r>
              <w:rPr>
                <w:rFonts w:hint="eastAsia" w:ascii="宋体" w:hAnsi="宋体" w:cs="宋体"/>
                <w:sz w:val="21"/>
                <w:szCs w:val="21"/>
              </w:rPr>
              <w:t>（1）部署要求</w:t>
            </w:r>
          </w:p>
          <w:p w14:paraId="54723FB4">
            <w:pPr>
              <w:pStyle w:val="2"/>
              <w:spacing w:line="400" w:lineRule="exact"/>
              <w:rPr>
                <w:rFonts w:hint="eastAsia" w:ascii="宋体" w:hAnsi="宋体" w:cs="宋体"/>
                <w:sz w:val="21"/>
                <w:szCs w:val="21"/>
              </w:rPr>
            </w:pPr>
            <w:r>
              <w:rPr>
                <w:rFonts w:hint="eastAsia" w:ascii="宋体" w:hAnsi="宋体" w:cs="宋体"/>
                <w:sz w:val="21"/>
                <w:szCs w:val="21"/>
              </w:rPr>
              <w:t>本项目所用服务器、中间件、操作系统、数据库等均应使用国产技术栈产品，并按要求部署在壮美广西·云平台，确保能在国产技术栈终端环境下稳定运行。</w:t>
            </w:r>
          </w:p>
          <w:p w14:paraId="2D163B9E">
            <w:pPr>
              <w:pStyle w:val="2"/>
              <w:spacing w:line="400" w:lineRule="exact"/>
              <w:rPr>
                <w:rFonts w:hint="eastAsia" w:ascii="宋体" w:hAnsi="宋体" w:cs="宋体"/>
                <w:sz w:val="21"/>
                <w:szCs w:val="21"/>
              </w:rPr>
            </w:pPr>
            <w:r>
              <w:rPr>
                <w:rFonts w:hint="eastAsia" w:ascii="宋体" w:hAnsi="宋体" w:cs="宋体"/>
                <w:sz w:val="21"/>
                <w:szCs w:val="21"/>
              </w:rPr>
              <w:t>本项目应用系统的开发须基于国产技术栈开发，系统在国产操作系统下运行，支持国产浏览器访问。</w:t>
            </w:r>
          </w:p>
          <w:p w14:paraId="128AF805">
            <w:pPr>
              <w:pStyle w:val="2"/>
              <w:spacing w:line="400" w:lineRule="exact"/>
              <w:rPr>
                <w:rFonts w:hint="eastAsia" w:ascii="宋体" w:hAnsi="宋体" w:cs="宋体"/>
                <w:sz w:val="21"/>
                <w:szCs w:val="21"/>
              </w:rPr>
            </w:pPr>
            <w:r>
              <w:rPr>
                <w:rFonts w:hint="eastAsia" w:ascii="宋体" w:hAnsi="宋体" w:cs="宋体"/>
                <w:sz w:val="21"/>
                <w:szCs w:val="21"/>
              </w:rPr>
              <w:t>本项目所建设的应用系统均应基于壮美广西·政务云提供的银河麒麟、统信UOS等国产操作系统，鲲鹏、飞腾服务器等国产服务器部署要求进行开发；业务系统数据库采用主流的国产关系型数据库管理系统，主要采用开源组件，开源许可协议符合GPL3.0协议。</w:t>
            </w:r>
          </w:p>
          <w:p w14:paraId="4CBD2D6E">
            <w:pPr>
              <w:pStyle w:val="2"/>
              <w:spacing w:line="400" w:lineRule="exact"/>
              <w:rPr>
                <w:rFonts w:hint="eastAsia" w:ascii="宋体" w:hAnsi="宋体" w:cs="宋体"/>
                <w:sz w:val="21"/>
                <w:szCs w:val="21"/>
              </w:rPr>
            </w:pPr>
            <w:r>
              <w:rPr>
                <w:rFonts w:hint="eastAsia" w:ascii="宋体" w:hAnsi="宋体" w:cs="宋体"/>
                <w:sz w:val="21"/>
                <w:szCs w:val="21"/>
              </w:rPr>
              <w:t>（2）性能要求</w:t>
            </w:r>
          </w:p>
          <w:p w14:paraId="74131998">
            <w:pPr>
              <w:pStyle w:val="2"/>
              <w:spacing w:line="400" w:lineRule="exact"/>
              <w:rPr>
                <w:rFonts w:hint="eastAsia" w:ascii="宋体" w:hAnsi="宋体" w:cs="宋体"/>
                <w:sz w:val="21"/>
                <w:szCs w:val="21"/>
              </w:rPr>
            </w:pPr>
            <w:r>
              <w:rPr>
                <w:rFonts w:hint="eastAsia" w:ascii="宋体" w:hAnsi="宋体" w:cs="宋体"/>
                <w:sz w:val="21"/>
                <w:szCs w:val="21"/>
              </w:rPr>
              <w:t>应用系统须支持至少1000人同时在线，并发数据流处理能力&gt;1000,并支持未来扩展；</w:t>
            </w:r>
          </w:p>
          <w:p w14:paraId="307A007D">
            <w:pPr>
              <w:pStyle w:val="2"/>
              <w:spacing w:line="400" w:lineRule="exact"/>
              <w:rPr>
                <w:rFonts w:hint="eastAsia" w:ascii="宋体" w:hAnsi="宋体" w:cs="宋体"/>
                <w:sz w:val="21"/>
                <w:szCs w:val="21"/>
              </w:rPr>
            </w:pPr>
            <w:r>
              <w:rPr>
                <w:rFonts w:hint="eastAsia" w:ascii="宋体" w:hAnsi="宋体" w:cs="宋体"/>
                <w:sz w:val="21"/>
                <w:szCs w:val="21"/>
              </w:rPr>
              <w:t>应用系统架构应支持高可用性要求，需保证平台7*24小时不间断工作；</w:t>
            </w:r>
          </w:p>
          <w:p w14:paraId="2A92AFD5">
            <w:pPr>
              <w:pStyle w:val="2"/>
              <w:spacing w:line="400" w:lineRule="exact"/>
              <w:rPr>
                <w:rFonts w:hint="eastAsia" w:ascii="宋体" w:hAnsi="宋体" w:cs="宋体"/>
                <w:sz w:val="21"/>
                <w:szCs w:val="21"/>
              </w:rPr>
            </w:pPr>
            <w:r>
              <w:rPr>
                <w:rFonts w:hint="eastAsia" w:ascii="宋体" w:hAnsi="宋体" w:cs="宋体"/>
                <w:sz w:val="21"/>
                <w:szCs w:val="21"/>
              </w:rPr>
              <w:t>应用系统在网络稳定（带宽大于100MB/s）的环境下，登录响应时间小于3秒，用户访问应用系统页面的平均响应时间小于5秒；</w:t>
            </w:r>
          </w:p>
          <w:p w14:paraId="044D95DC">
            <w:pPr>
              <w:pStyle w:val="2"/>
              <w:spacing w:line="400" w:lineRule="exact"/>
              <w:rPr>
                <w:rFonts w:hint="eastAsia" w:ascii="宋体" w:hAnsi="宋体" w:cs="宋体"/>
                <w:sz w:val="21"/>
                <w:szCs w:val="21"/>
              </w:rPr>
            </w:pPr>
            <w:r>
              <w:rPr>
                <w:rFonts w:hint="eastAsia" w:ascii="宋体" w:hAnsi="宋体" w:cs="宋体"/>
                <w:sz w:val="21"/>
                <w:szCs w:val="21"/>
              </w:rPr>
              <w:t>应用系统查询检索时间不超过3秒，页面访问延迟小于5秒，报表统计时间不超过5秒。</w:t>
            </w:r>
          </w:p>
          <w:p w14:paraId="20B223A9">
            <w:pPr>
              <w:pStyle w:val="2"/>
              <w:spacing w:line="400" w:lineRule="exact"/>
              <w:rPr>
                <w:rFonts w:hint="eastAsia" w:ascii="宋体" w:hAnsi="宋体" w:cs="宋体"/>
                <w:sz w:val="21"/>
                <w:szCs w:val="21"/>
              </w:rPr>
            </w:pPr>
            <w:r>
              <w:rPr>
                <w:rFonts w:hint="eastAsia" w:ascii="宋体" w:hAnsi="宋体" w:cs="宋体"/>
                <w:sz w:val="21"/>
                <w:szCs w:val="21"/>
              </w:rPr>
              <w:t>（3）数据安全要求</w:t>
            </w:r>
          </w:p>
          <w:p w14:paraId="172C3DB7">
            <w:pPr>
              <w:pStyle w:val="2"/>
              <w:spacing w:line="400" w:lineRule="exact"/>
              <w:rPr>
                <w:rFonts w:hint="eastAsia" w:ascii="宋体" w:hAnsi="宋体" w:cs="宋体"/>
                <w:sz w:val="21"/>
                <w:szCs w:val="21"/>
              </w:rPr>
            </w:pPr>
            <w:r>
              <w:rPr>
                <w:rFonts w:hint="eastAsia" w:ascii="宋体" w:hAnsi="宋体" w:cs="宋体"/>
                <w:sz w:val="21"/>
                <w:szCs w:val="21"/>
              </w:rPr>
              <w:t>数据梳理成果须进行分级保护，属于涉密数据的参照《中华人民共和国保守国家秘密法》《中华人民共和国保守国家秘密法实施条例》《涉密信息系统集成资质管理办法》《中华人民共和国测绘成果管理条例》等相关法律法规进行处理，数据传输须确保已通过网络安全审查。</w:t>
            </w:r>
          </w:p>
          <w:p w14:paraId="2420B888">
            <w:pPr>
              <w:pStyle w:val="2"/>
              <w:spacing w:line="400" w:lineRule="exact"/>
              <w:rPr>
                <w:rFonts w:hint="eastAsia" w:ascii="宋体" w:hAnsi="宋体" w:cs="宋体"/>
                <w:sz w:val="21"/>
                <w:szCs w:val="21"/>
              </w:rPr>
            </w:pPr>
            <w:r>
              <w:rPr>
                <w:rFonts w:hint="eastAsia" w:ascii="宋体" w:hAnsi="宋体" w:cs="宋体"/>
                <w:sz w:val="21"/>
                <w:szCs w:val="21"/>
              </w:rPr>
              <w:t>（4）文档要求</w:t>
            </w:r>
          </w:p>
          <w:p w14:paraId="102A25DC">
            <w:pPr>
              <w:pStyle w:val="2"/>
              <w:spacing w:line="400" w:lineRule="exact"/>
              <w:rPr>
                <w:rFonts w:hint="eastAsia" w:ascii="宋体" w:hAnsi="宋体" w:cs="宋体"/>
                <w:sz w:val="21"/>
                <w:szCs w:val="21"/>
              </w:rPr>
            </w:pPr>
            <w:r>
              <w:rPr>
                <w:rFonts w:hint="eastAsia" w:ascii="宋体" w:hAnsi="宋体" w:cs="宋体"/>
                <w:sz w:val="21"/>
                <w:szCs w:val="21"/>
              </w:rPr>
              <w:t>按照《科学技术档案案卷构成的一般要求》（GBT11822-2008）及《广西壮族自治区环境信息中心采购项目实施过程管理规范》等档案管理规定中项目文档要求，编制、整理项目采购、实施、验收等阶段所产生的全部纸质及电子文档，并保障项目文档材料通过档案验收。</w:t>
            </w:r>
          </w:p>
          <w:p w14:paraId="071B3ED0">
            <w:pPr>
              <w:pStyle w:val="2"/>
              <w:spacing w:line="400" w:lineRule="exact"/>
              <w:rPr>
                <w:rFonts w:hint="eastAsia" w:ascii="宋体" w:hAnsi="宋体" w:cs="宋体"/>
                <w:sz w:val="21"/>
                <w:szCs w:val="21"/>
              </w:rPr>
            </w:pPr>
            <w:r>
              <w:rPr>
                <w:rFonts w:hint="eastAsia" w:ascii="宋体" w:hAnsi="宋体" w:cs="宋体"/>
                <w:sz w:val="21"/>
                <w:szCs w:val="21"/>
              </w:rPr>
              <w:t>▲8.实施交付要求</w:t>
            </w:r>
          </w:p>
          <w:p w14:paraId="150DF925">
            <w:pPr>
              <w:pStyle w:val="2"/>
              <w:spacing w:line="400" w:lineRule="exact"/>
              <w:rPr>
                <w:rFonts w:hint="eastAsia" w:ascii="宋体" w:hAnsi="宋体" w:cs="宋体"/>
                <w:sz w:val="21"/>
                <w:szCs w:val="21"/>
              </w:rPr>
            </w:pPr>
            <w:r>
              <w:rPr>
                <w:rFonts w:hint="eastAsia" w:ascii="宋体" w:hAnsi="宋体" w:cs="宋体"/>
                <w:sz w:val="21"/>
                <w:szCs w:val="21"/>
              </w:rPr>
              <w:t>（1）源代码交付</w:t>
            </w:r>
          </w:p>
          <w:p w14:paraId="1917AC3F">
            <w:pPr>
              <w:pStyle w:val="2"/>
              <w:spacing w:line="400" w:lineRule="exact"/>
              <w:rPr>
                <w:rFonts w:hint="eastAsia" w:ascii="宋体" w:hAnsi="宋体" w:cs="宋体"/>
                <w:sz w:val="21"/>
                <w:szCs w:val="21"/>
              </w:rPr>
            </w:pPr>
            <w:r>
              <w:rPr>
                <w:rFonts w:hint="eastAsia" w:ascii="宋体" w:hAnsi="宋体" w:cs="宋体"/>
                <w:sz w:val="21"/>
                <w:szCs w:val="21"/>
              </w:rPr>
              <w:t>①供应商应在本项目约定的交付节点，向采购人完整交付所开发软件系统的全部源代码，源代码应涵盖系统所有功能模块，包括但不限于前端界面代码、后端业务逻辑代码、数据库访问代码等。交付的源代码应采用行业通用的、可读的编程语言及编码规范编写，确保采购人技术人员能够顺利理解和使用。</w:t>
            </w:r>
          </w:p>
          <w:p w14:paraId="624D9DED">
            <w:pPr>
              <w:pStyle w:val="2"/>
              <w:spacing w:line="400" w:lineRule="exact"/>
              <w:rPr>
                <w:rFonts w:hint="eastAsia" w:ascii="宋体" w:hAnsi="宋体" w:cs="宋体"/>
                <w:sz w:val="21"/>
                <w:szCs w:val="21"/>
              </w:rPr>
            </w:pPr>
            <w:r>
              <w:rPr>
                <w:rFonts w:hint="eastAsia" w:ascii="宋体" w:hAnsi="宋体" w:cs="宋体"/>
                <w:sz w:val="21"/>
                <w:szCs w:val="21"/>
              </w:rPr>
              <w:t>②源代码应以电子文档形式交付，存储于采购人指定的存储介质或通过采购人认可的在线传输方式提交。交付时应同时提供详细的代码文档，包括代码架构说明、模块功能介绍、关键算法说明等，以便采购人进行后续的维护和开发工作。代码文档应采用清晰、易懂的格式编写，且文档中的术语、符号等应与源代码保持一致。</w:t>
            </w:r>
          </w:p>
          <w:p w14:paraId="56AEC1B2">
            <w:pPr>
              <w:pStyle w:val="2"/>
              <w:spacing w:line="400" w:lineRule="exact"/>
              <w:rPr>
                <w:rFonts w:hint="eastAsia" w:ascii="宋体" w:hAnsi="宋体" w:cs="宋体"/>
                <w:sz w:val="21"/>
                <w:szCs w:val="21"/>
              </w:rPr>
            </w:pPr>
            <w:r>
              <w:rPr>
                <w:rFonts w:hint="eastAsia" w:ascii="宋体" w:hAnsi="宋体" w:cs="宋体"/>
                <w:sz w:val="21"/>
                <w:szCs w:val="21"/>
              </w:rPr>
              <w:t>③供应商保证所交付的源代码是可真实运行的，能够在采购人指定的运行环境中，按照项目约定的功能和性能要求正常工作。供应商应在交付源代码时，提供在采购人指定环境和地点下成功编译运行的测试报告及相关测试数据，作为源代码可运行的初步证明。测试报告应详细记录测试环境配置、测试用例、测试步骤、测试结果等信息，确保测试过程的可重复性和测试结果的可信度，但成功的测试报告不可被视为交付的源代码质量完全符合要求，应以最终验收结果为准。</w:t>
            </w:r>
          </w:p>
          <w:p w14:paraId="2E7E39DB">
            <w:pPr>
              <w:pStyle w:val="2"/>
              <w:spacing w:line="400" w:lineRule="exact"/>
              <w:rPr>
                <w:rFonts w:hint="eastAsia" w:ascii="宋体" w:hAnsi="宋体" w:cs="宋体"/>
                <w:sz w:val="21"/>
                <w:szCs w:val="21"/>
              </w:rPr>
            </w:pPr>
            <w:r>
              <w:rPr>
                <w:rFonts w:hint="eastAsia" w:ascii="宋体" w:hAnsi="宋体" w:cs="宋体"/>
                <w:sz w:val="21"/>
                <w:szCs w:val="21"/>
              </w:rPr>
              <w:t>④供应商保证其交付的源代码及其所有部分（包括但不限于算法、模块、接口）均为其原创或已获得充分、合法、有效的授权，不存在任何侵犯第三方知识产权（包括但不限于著作权、专利权、商业秘密）的情形。若因源代码侵犯第三方知识产权导致采购人遭受任何损失（包括但不限于索赔、诉讼、行政处罚、系统停运），供应商应负责解决并承担全部法律责任及采购人的直接和间接经济损失。</w:t>
            </w:r>
          </w:p>
          <w:p w14:paraId="73C87303">
            <w:pPr>
              <w:pStyle w:val="2"/>
              <w:spacing w:line="400" w:lineRule="exact"/>
              <w:rPr>
                <w:rFonts w:hint="eastAsia" w:ascii="宋体" w:hAnsi="宋体" w:cs="宋体"/>
                <w:sz w:val="21"/>
                <w:szCs w:val="21"/>
              </w:rPr>
            </w:pPr>
            <w:r>
              <w:rPr>
                <w:rFonts w:hint="eastAsia" w:ascii="宋体" w:hAnsi="宋体" w:cs="宋体"/>
                <w:sz w:val="21"/>
                <w:szCs w:val="21"/>
              </w:rPr>
              <w:t>⑤供应商交付的所有源代码及相关文档，均需提供详细的交付物清单。采购人有权根据清单进行逐项核对和验收，并签署书面交付确认书。该确认书仅代表采购人收到符合清单数量的交付物，不视为对交付物质量、合规性及知识产权的认可。</w:t>
            </w:r>
          </w:p>
          <w:p w14:paraId="4465522D">
            <w:pPr>
              <w:pStyle w:val="2"/>
              <w:spacing w:line="400" w:lineRule="exact"/>
              <w:rPr>
                <w:rFonts w:hint="eastAsia" w:ascii="宋体" w:hAnsi="宋体" w:cs="宋体"/>
                <w:sz w:val="21"/>
                <w:szCs w:val="21"/>
              </w:rPr>
            </w:pPr>
            <w:r>
              <w:rPr>
                <w:rFonts w:hint="eastAsia" w:ascii="宋体" w:hAnsi="宋体" w:cs="宋体"/>
                <w:sz w:val="21"/>
                <w:szCs w:val="21"/>
              </w:rPr>
              <w:t>（2）代码审查条款</w:t>
            </w:r>
          </w:p>
          <w:p w14:paraId="0E293598">
            <w:pPr>
              <w:pStyle w:val="2"/>
              <w:spacing w:line="400" w:lineRule="exact"/>
              <w:rPr>
                <w:rFonts w:hint="eastAsia" w:ascii="宋体" w:hAnsi="宋体" w:cs="宋体"/>
                <w:sz w:val="21"/>
                <w:szCs w:val="21"/>
              </w:rPr>
            </w:pPr>
            <w:r>
              <w:rPr>
                <w:rFonts w:hint="eastAsia" w:ascii="宋体" w:hAnsi="宋体" w:cs="宋体"/>
                <w:sz w:val="21"/>
                <w:szCs w:val="21"/>
              </w:rPr>
              <w:t>①为确保供应商交付的源代码符合项目要求，保证源代码的质量、安全性和可维护性，采购人有权对供应商交付的源代码进行审查。</w:t>
            </w:r>
          </w:p>
          <w:p w14:paraId="48354A42">
            <w:pPr>
              <w:pStyle w:val="2"/>
              <w:spacing w:line="400" w:lineRule="exact"/>
              <w:rPr>
                <w:rFonts w:hint="eastAsia" w:ascii="宋体" w:hAnsi="宋体" w:cs="宋体"/>
                <w:sz w:val="21"/>
                <w:szCs w:val="21"/>
              </w:rPr>
            </w:pPr>
            <w:r>
              <w:rPr>
                <w:rFonts w:hint="eastAsia" w:ascii="宋体" w:hAnsi="宋体" w:cs="宋体"/>
                <w:sz w:val="21"/>
                <w:szCs w:val="21"/>
              </w:rPr>
              <w:t>②代码审查包括但不限于代码规范性审查、功能完整性审查、安全性审查、性能审查等方面。具体审查内容如下：</w:t>
            </w:r>
          </w:p>
          <w:p w14:paraId="0516CCCB">
            <w:pPr>
              <w:pStyle w:val="2"/>
              <w:spacing w:line="400" w:lineRule="exact"/>
              <w:rPr>
                <w:rFonts w:hint="eastAsia" w:ascii="宋体" w:hAnsi="宋体" w:cs="宋体"/>
                <w:sz w:val="21"/>
                <w:szCs w:val="21"/>
              </w:rPr>
            </w:pPr>
            <w:r>
              <w:rPr>
                <w:rFonts w:hint="eastAsia" w:ascii="宋体" w:hAnsi="宋体" w:cs="宋体"/>
                <w:sz w:val="21"/>
                <w:szCs w:val="21"/>
              </w:rPr>
              <w:t>代码规范性审查：检查代码是否符合行业通用的编程规范和采购人的内部编码标准，包括代码格式、命名规范、注释规范等。</w:t>
            </w:r>
          </w:p>
          <w:p w14:paraId="605F8097">
            <w:pPr>
              <w:pStyle w:val="2"/>
              <w:spacing w:line="400" w:lineRule="exact"/>
              <w:rPr>
                <w:rFonts w:hint="eastAsia" w:ascii="宋体" w:hAnsi="宋体" w:cs="宋体"/>
                <w:sz w:val="21"/>
                <w:szCs w:val="21"/>
              </w:rPr>
            </w:pPr>
            <w:r>
              <w:rPr>
                <w:rFonts w:hint="eastAsia" w:ascii="宋体" w:hAnsi="宋体" w:cs="宋体"/>
                <w:sz w:val="21"/>
                <w:szCs w:val="21"/>
              </w:rPr>
              <w:t>功能完整性审查：验证源代码是否实现了项目约定的所有功能，功能实现是否准确无误，是否存在功能缺失或错误的情况。</w:t>
            </w:r>
          </w:p>
          <w:p w14:paraId="75FD4C99">
            <w:pPr>
              <w:pStyle w:val="2"/>
              <w:spacing w:line="400" w:lineRule="exact"/>
              <w:rPr>
                <w:rFonts w:hint="eastAsia" w:ascii="宋体" w:hAnsi="宋体" w:cs="宋体"/>
                <w:sz w:val="21"/>
                <w:szCs w:val="21"/>
              </w:rPr>
            </w:pPr>
            <w:r>
              <w:rPr>
                <w:rFonts w:hint="eastAsia" w:ascii="宋体" w:hAnsi="宋体" w:cs="宋体"/>
                <w:sz w:val="21"/>
                <w:szCs w:val="21"/>
              </w:rPr>
              <w:t>安全性审查：检查代码是否存在安全漏洞，如 SQL 注入、跨站脚本攻击（XSS）、缓冲区溢出等安全隐患，确保软件系统的安全性。</w:t>
            </w:r>
          </w:p>
          <w:p w14:paraId="580C3E44">
            <w:pPr>
              <w:pStyle w:val="2"/>
              <w:spacing w:line="400" w:lineRule="exact"/>
              <w:rPr>
                <w:rFonts w:hint="eastAsia" w:ascii="宋体" w:hAnsi="宋体" w:cs="宋体"/>
                <w:sz w:val="21"/>
                <w:szCs w:val="21"/>
              </w:rPr>
            </w:pPr>
            <w:r>
              <w:rPr>
                <w:rFonts w:hint="eastAsia" w:ascii="宋体" w:hAnsi="宋体" w:cs="宋体"/>
                <w:sz w:val="21"/>
                <w:szCs w:val="21"/>
              </w:rPr>
              <w:t>性能审查：评估代码的执行效率，检查是否存在性能瓶颈，如算法复杂度过高、资源占用过大等问题，确保软件系统能够满足性能要求。</w:t>
            </w:r>
          </w:p>
          <w:p w14:paraId="142B9175">
            <w:pPr>
              <w:pStyle w:val="2"/>
              <w:spacing w:line="400" w:lineRule="exact"/>
              <w:rPr>
                <w:rFonts w:hint="eastAsia" w:ascii="宋体" w:hAnsi="宋体" w:cs="宋体"/>
                <w:sz w:val="21"/>
                <w:szCs w:val="21"/>
              </w:rPr>
            </w:pPr>
            <w:r>
              <w:rPr>
                <w:rFonts w:hint="eastAsia" w:ascii="宋体" w:hAnsi="宋体" w:cs="宋体"/>
                <w:sz w:val="21"/>
                <w:szCs w:val="21"/>
              </w:rPr>
              <w:t>（3）代码审查方式：</w:t>
            </w:r>
          </w:p>
          <w:p w14:paraId="7DCD24E5">
            <w:pPr>
              <w:pStyle w:val="2"/>
              <w:spacing w:line="400" w:lineRule="exact"/>
              <w:rPr>
                <w:rFonts w:hint="eastAsia" w:ascii="宋体" w:hAnsi="宋体" w:cs="宋体"/>
                <w:sz w:val="21"/>
                <w:szCs w:val="21"/>
              </w:rPr>
            </w:pPr>
            <w:r>
              <w:rPr>
                <w:rFonts w:hint="eastAsia" w:ascii="宋体" w:hAnsi="宋体" w:cs="宋体"/>
                <w:sz w:val="21"/>
                <w:szCs w:val="21"/>
              </w:rPr>
              <w:t>①源代码分段编译：供应商应按照采购人要求，将源代码进行合理分段，并提供分段编译的说明文档。采购人有权根据分段编译的说明文档，对源代码进行分段编译，并将编译后的程序作为正式生产系统进行测试和验证。供应商应积极配合采购人的分段编译工作，提供必要的技术支持和协助。在分段编译过程中，供应商需确保各分段代码之间的接口定义清晰、稳定，不因分段编译而出现兼容性问题。同时，若采购人在分段编译过程中遇到技术问题，供应商应在接到通知后的2小时内响应，并在1个工作日内协助解决问题。</w:t>
            </w:r>
          </w:p>
          <w:p w14:paraId="564AECD4">
            <w:pPr>
              <w:pStyle w:val="2"/>
              <w:spacing w:line="400" w:lineRule="exact"/>
              <w:rPr>
                <w:rFonts w:hint="eastAsia" w:ascii="宋体" w:hAnsi="宋体" w:cs="宋体"/>
                <w:sz w:val="21"/>
                <w:szCs w:val="21"/>
              </w:rPr>
            </w:pPr>
            <w:r>
              <w:rPr>
                <w:rFonts w:hint="eastAsia" w:ascii="宋体" w:hAnsi="宋体" w:cs="宋体"/>
                <w:sz w:val="21"/>
                <w:szCs w:val="21"/>
              </w:rPr>
              <w:t>②第三方审查：采购人有权聘请具有相关资质和经验的第三方机构对源代码进行审查。供应商应无条件配合第三方机构的审查工作，提供审查所需的所有资料和信息。审查费用由供应商承担，审查通过后，由于采购人需求变更原因导致重复审查的，重复审查的费用由采购人承担。供应商应在第三方机构开展审查工作前，按照要求准备好完整的源代码、相关技术文档、测试环境等资料，并确保资料的真实性、完整性。在审查过程中，供应商应安排专人与第三方机构对接，及时解答疑问、提供必要的技术解释。</w:t>
            </w:r>
          </w:p>
          <w:p w14:paraId="151F2A73">
            <w:pPr>
              <w:pStyle w:val="2"/>
              <w:spacing w:line="400" w:lineRule="exact"/>
              <w:rPr>
                <w:rFonts w:hint="eastAsia" w:ascii="宋体" w:hAnsi="宋体" w:cs="宋体"/>
                <w:sz w:val="21"/>
                <w:szCs w:val="21"/>
              </w:rPr>
            </w:pPr>
            <w:r>
              <w:rPr>
                <w:rFonts w:hint="eastAsia" w:ascii="宋体" w:hAnsi="宋体" w:cs="宋体"/>
                <w:sz w:val="21"/>
                <w:szCs w:val="21"/>
              </w:rPr>
              <w:t>（4）代码审查结果处理：</w:t>
            </w:r>
          </w:p>
          <w:p w14:paraId="1CC7D158">
            <w:pPr>
              <w:pStyle w:val="2"/>
              <w:spacing w:line="400" w:lineRule="exact"/>
              <w:rPr>
                <w:rFonts w:hint="eastAsia" w:ascii="宋体" w:hAnsi="宋体" w:cs="宋体"/>
                <w:sz w:val="21"/>
                <w:szCs w:val="21"/>
              </w:rPr>
            </w:pPr>
            <w:r>
              <w:rPr>
                <w:rFonts w:hint="eastAsia" w:ascii="宋体" w:hAnsi="宋体" w:cs="宋体"/>
                <w:sz w:val="21"/>
                <w:szCs w:val="21"/>
              </w:rPr>
              <w:t>①若代码审查通过，采购人应出具书面审查通过报告，供应商可按照项目约定进行后续工作。</w:t>
            </w:r>
          </w:p>
          <w:p w14:paraId="6506BBA1">
            <w:pPr>
              <w:pStyle w:val="2"/>
              <w:spacing w:line="400" w:lineRule="exact"/>
              <w:rPr>
                <w:rFonts w:hint="eastAsia" w:ascii="宋体" w:hAnsi="宋体" w:cs="宋体"/>
                <w:sz w:val="21"/>
                <w:szCs w:val="21"/>
              </w:rPr>
            </w:pPr>
            <w:r>
              <w:rPr>
                <w:rFonts w:hint="eastAsia" w:ascii="宋体" w:hAnsi="宋体" w:cs="宋体"/>
                <w:sz w:val="21"/>
                <w:szCs w:val="21"/>
              </w:rPr>
              <w:t>②若代码审查未通过，供应商应根据采购人提出的审查意见，在3个工作日内完成源代码的修改和优化，并重新提交采购人审查。供应商除应承担因代码审查未通过而导致的所有额外费用和损失（包括但不限于审查费用、延期交付违约金等）</w:t>
            </w:r>
          </w:p>
          <w:p w14:paraId="069A4D32">
            <w:pPr>
              <w:pStyle w:val="2"/>
              <w:spacing w:line="400" w:lineRule="exact"/>
              <w:rPr>
                <w:rFonts w:hint="eastAsia" w:ascii="宋体" w:hAnsi="宋体" w:cs="宋体"/>
                <w:sz w:val="21"/>
                <w:szCs w:val="21"/>
              </w:rPr>
            </w:pPr>
            <w:r>
              <w:rPr>
                <w:rFonts w:hint="eastAsia" w:ascii="宋体" w:hAnsi="宋体" w:cs="宋体"/>
                <w:sz w:val="21"/>
                <w:szCs w:val="21"/>
              </w:rPr>
              <w:t>（5）第三方产品或供应商自有知识产权产品</w:t>
            </w:r>
          </w:p>
          <w:p w14:paraId="6FA89373">
            <w:pPr>
              <w:pStyle w:val="2"/>
              <w:spacing w:line="400" w:lineRule="exact"/>
              <w:rPr>
                <w:rFonts w:hint="eastAsia" w:ascii="宋体" w:hAnsi="宋体" w:cs="宋体"/>
                <w:sz w:val="21"/>
                <w:szCs w:val="21"/>
              </w:rPr>
            </w:pPr>
            <w:r>
              <w:rPr>
                <w:rFonts w:hint="eastAsia" w:ascii="宋体" w:hAnsi="宋体" w:cs="宋体"/>
                <w:sz w:val="21"/>
                <w:szCs w:val="21"/>
              </w:rPr>
              <w:t>①产品说明：若软件系统开发过程中涉及到供应商提供的第三方产品或供应商自有知识产权产品，供应商应在项目签订前向采购人详细说明相关产品的情况，包括产品名称、版本、功能、授权方式、价格等信息，并提供产品的相关文档和资料。产品文档资料应包括产品使用说明书、技术白皮书、授权许可协议样本等，以便采购人全面了解产品特性、使用方法及授权限制等内容。</w:t>
            </w:r>
          </w:p>
          <w:p w14:paraId="622135D1">
            <w:pPr>
              <w:pStyle w:val="2"/>
              <w:spacing w:line="400" w:lineRule="exact"/>
              <w:rPr>
                <w:rFonts w:hint="eastAsia" w:ascii="宋体" w:hAnsi="宋体" w:cs="宋体"/>
                <w:sz w:val="21"/>
                <w:szCs w:val="21"/>
              </w:rPr>
            </w:pPr>
            <w:r>
              <w:rPr>
                <w:rFonts w:hint="eastAsia" w:ascii="宋体" w:hAnsi="宋体" w:cs="宋体"/>
                <w:sz w:val="21"/>
                <w:szCs w:val="21"/>
              </w:rPr>
              <w:t>②解耦要求：供应商提供的第三方产品或自有知识产权产品应通过可充分解耦的方式集成到软件系统中，确保在必要的情况下，采购人能够方便地对这些产品进行替换，而不会对软件系统的其他部分造成重大影响。供应商应提供详细的解耦方案和技术文档，说明如何实现产品与系统的解耦，以及解耦后对系统的影响和注意事项。解耦方案应从技术架构层面详细阐述产品与系统的接口设计、数据交互方式、依赖关系等，确保解耦的可行性和有效性。技术文档应包括解耦前后系统架构图对比、接口变更说明、数据迁移指导等内容。</w:t>
            </w:r>
          </w:p>
          <w:p w14:paraId="017E6451">
            <w:pPr>
              <w:pStyle w:val="2"/>
              <w:spacing w:line="400" w:lineRule="exact"/>
              <w:rPr>
                <w:rFonts w:hint="eastAsia" w:ascii="宋体" w:hAnsi="宋体" w:cs="宋体"/>
                <w:sz w:val="21"/>
                <w:szCs w:val="21"/>
              </w:rPr>
            </w:pPr>
            <w:r>
              <w:rPr>
                <w:rFonts w:hint="eastAsia" w:ascii="宋体" w:hAnsi="宋体" w:cs="宋体"/>
                <w:sz w:val="21"/>
                <w:szCs w:val="21"/>
              </w:rPr>
              <w:t>③耦合性规避：供应商应采取有效措施，避免因必须使用第三方产品或自有知识产权产品与开发的系统产生过度耦合，导致采购人不能完全自主进行二次开发。若因供应商原因导致系统耦合性过高，影响采购人的二次开发权益的，经采购人要求，供应商应在采购人规定的期限内提供降低耦合性的解决方案，并采取措施降低系统耦合性。若无法解决或解决成本过高，经得采购人同意，供应商应免费为采购人提供功能等同的、无知识产权纠纷的替代产品，并确保系统的正常运行。若替代导致采购人成本增加或功能减损，供应商除应承担相应的赔偿责任外，还应承担相应的违约责任。</w:t>
            </w:r>
          </w:p>
          <w:p w14:paraId="6C1A5A31">
            <w:pPr>
              <w:pStyle w:val="2"/>
              <w:spacing w:line="400" w:lineRule="exact"/>
              <w:rPr>
                <w:rFonts w:hint="eastAsia" w:ascii="宋体" w:hAnsi="宋体" w:cs="宋体"/>
                <w:sz w:val="21"/>
                <w:szCs w:val="21"/>
              </w:rPr>
            </w:pPr>
            <w:r>
              <w:rPr>
                <w:rFonts w:hint="eastAsia" w:ascii="宋体" w:hAnsi="宋体" w:cs="宋体"/>
                <w:sz w:val="21"/>
                <w:szCs w:val="21"/>
              </w:rPr>
              <w:t>④对于供应商提供的第三方产品或自有知识产权产品，供应商须保证：</w:t>
            </w:r>
          </w:p>
          <w:p w14:paraId="525E65AD">
            <w:pPr>
              <w:pStyle w:val="2"/>
              <w:spacing w:line="400" w:lineRule="exact"/>
              <w:rPr>
                <w:rFonts w:hint="eastAsia" w:ascii="宋体" w:hAnsi="宋体" w:cs="宋体"/>
                <w:sz w:val="21"/>
                <w:szCs w:val="21"/>
              </w:rPr>
            </w:pPr>
            <w:r>
              <w:rPr>
                <w:rFonts w:hint="eastAsia" w:ascii="宋体" w:hAnsi="宋体" w:cs="宋体"/>
                <w:sz w:val="21"/>
                <w:szCs w:val="21"/>
              </w:rPr>
              <w:t>向采购人提供合法、有效、足额的授权许可，确保采购人在本项目范围内对产品享有永久、不可撤销的使用、运行、维护的权利。</w:t>
            </w:r>
          </w:p>
          <w:p w14:paraId="07A55D49">
            <w:pPr>
              <w:pStyle w:val="2"/>
              <w:spacing w:line="400" w:lineRule="exact"/>
              <w:rPr>
                <w:rFonts w:hint="eastAsia" w:ascii="宋体" w:hAnsi="宋体" w:cs="宋体"/>
                <w:sz w:val="21"/>
                <w:szCs w:val="21"/>
              </w:rPr>
            </w:pPr>
            <w:r>
              <w:rPr>
                <w:rFonts w:hint="eastAsia" w:ascii="宋体" w:hAnsi="宋体" w:cs="宋体"/>
                <w:sz w:val="21"/>
                <w:szCs w:val="21"/>
              </w:rPr>
              <w:t>如该产品需要持续支付许可费或服务费，供应商应向采购人披露，并在项目中对未来至少 5年的费用标准进行约定和封顶，已经约定的，未经采购人同意，供应商不得单方面涨价。供应商未披露或未在项目中明确约定的，视为项目总价已包括该部分费用，超出项目总价部分全部由供应商自行承担。因许可费和服务费未按时支付影响采购人生产经营的，采购人有权要求供应商赔偿全部经济损失。</w:t>
            </w:r>
          </w:p>
          <w:p w14:paraId="60D8D297">
            <w:pPr>
              <w:pStyle w:val="2"/>
              <w:spacing w:line="400" w:lineRule="exact"/>
              <w:rPr>
                <w:rFonts w:hint="eastAsia" w:ascii="宋体" w:hAnsi="宋体" w:cs="宋体"/>
                <w:sz w:val="21"/>
                <w:szCs w:val="21"/>
              </w:rPr>
            </w:pPr>
            <w:r>
              <w:rPr>
                <w:rFonts w:hint="eastAsia" w:ascii="宋体" w:hAnsi="宋体" w:cs="宋体"/>
                <w:sz w:val="21"/>
                <w:szCs w:val="21"/>
              </w:rPr>
              <w:t>如该产品停止更新或服务，供应商有义务提前6个月通知采购人，并免费提供其他合格产品的解决方案和技术支持。</w:t>
            </w:r>
          </w:p>
          <w:p w14:paraId="11A1F497">
            <w:pPr>
              <w:pStyle w:val="2"/>
              <w:spacing w:line="400" w:lineRule="exact"/>
              <w:rPr>
                <w:rFonts w:hint="eastAsia" w:ascii="宋体" w:hAnsi="宋体" w:cs="宋体"/>
                <w:sz w:val="21"/>
                <w:szCs w:val="21"/>
              </w:rPr>
            </w:pPr>
            <w:r>
              <w:rPr>
                <w:rFonts w:hint="eastAsia" w:ascii="宋体" w:hAnsi="宋体" w:cs="宋体"/>
                <w:sz w:val="21"/>
                <w:szCs w:val="21"/>
              </w:rPr>
              <w:t>（6）本项目为交钥匙工程，所有产品送达采购人并安装调试完成直至最终验收合格及质保期内的所有费用，包含但不限于软件平台外购费、数据处理费、基础地理信息数据服务费、人工费、产品价、设计费、交通费、通信费、安全生产费、专家咨询费、会议费、税费、集成费、外协费、保险费、采购人现有软硬件融合及维护等所有费用。因供应商自身原因造成漏报、少报皆由其自行承担责任，采购人不再补偿。在项目实施过程中，若出现因费用问题导致项目进度受阻或质量受影响的情况，供应商应承担全部责任，并采取紧急措施予以解决，确保项目按项目约定推进。</w:t>
            </w:r>
          </w:p>
          <w:p w14:paraId="720EADB9">
            <w:pPr>
              <w:pStyle w:val="2"/>
              <w:spacing w:line="400" w:lineRule="exact"/>
              <w:rPr>
                <w:rFonts w:hint="eastAsia" w:ascii="宋体" w:hAnsi="宋体" w:cs="宋体"/>
                <w:sz w:val="21"/>
                <w:szCs w:val="21"/>
              </w:rPr>
            </w:pPr>
            <w:r>
              <w:rPr>
                <w:rFonts w:hint="eastAsia" w:ascii="宋体" w:hAnsi="宋体" w:cs="宋体"/>
                <w:sz w:val="21"/>
                <w:szCs w:val="21"/>
              </w:rPr>
              <w:t>（7）本项目各系统需严格遵循采购人的总体技术架构实施建设。供应商须按照采购人明确的包含但不限于国产技术栈改造、技术规范、开发流程、接口标准、安全防护机制等统一技术要求进行系统设计、开发与部署，确保系统在技术层面与采购人现有技术体系无缝兼容、高效协同，满足业务连续性及可扩展性需求。同时，供应商应根据数据资源管理要求，包含但不限于无条件提供项目涉及的所有数据，涵盖但不限于数据采集、存储、处理、共享等全生命周期管理，确保数据的准确性、完整性、及时性与安全性，并严格遵循采购人制定的数据格式、数据字典、数据交换标准等统一数据要求，实现数据在各系统间的高效流通与共享。若因供应商原因导致系统在技术兼容性、数据管理等方面不符合采购人要求，供应商应承担由此产生的全部整改费用及相关损失，并在规定时间内完成整改，确保项目顺利通过验收。</w:t>
            </w:r>
          </w:p>
          <w:p w14:paraId="2F1D9C6F">
            <w:pPr>
              <w:pStyle w:val="2"/>
              <w:spacing w:line="400" w:lineRule="exact"/>
              <w:rPr>
                <w:rFonts w:hint="eastAsia" w:ascii="宋体" w:hAnsi="宋体" w:cs="宋体"/>
                <w:sz w:val="21"/>
                <w:szCs w:val="21"/>
              </w:rPr>
            </w:pPr>
            <w:r>
              <w:rPr>
                <w:rFonts w:hint="eastAsia" w:ascii="宋体" w:hAnsi="宋体" w:cs="宋体"/>
                <w:sz w:val="21"/>
                <w:szCs w:val="21"/>
              </w:rPr>
              <w:t>▲9.数据资料归属及保密要求</w:t>
            </w:r>
          </w:p>
          <w:p w14:paraId="406BEE7C">
            <w:pPr>
              <w:pStyle w:val="2"/>
              <w:spacing w:line="400" w:lineRule="exact"/>
              <w:rPr>
                <w:rFonts w:hint="eastAsia" w:ascii="宋体" w:hAnsi="宋体" w:cs="宋体"/>
                <w:sz w:val="21"/>
                <w:szCs w:val="21"/>
              </w:rPr>
            </w:pPr>
            <w:r>
              <w:rPr>
                <w:rFonts w:hint="eastAsia" w:ascii="宋体" w:hAnsi="宋体" w:cs="宋体"/>
                <w:sz w:val="21"/>
                <w:szCs w:val="21"/>
              </w:rPr>
              <w:t>（1）本项目所形成的数据和报告归采购人所有。未经采购人授权，不得将数据和报告发送给任何第三方，严格执行项目实施过程中产生数据和报告等资料保密管理。</w:t>
            </w:r>
          </w:p>
          <w:p w14:paraId="6E24F79C">
            <w:pPr>
              <w:pStyle w:val="2"/>
              <w:spacing w:line="400" w:lineRule="exact"/>
              <w:rPr>
                <w:rFonts w:hint="eastAsia" w:ascii="宋体" w:hAnsi="宋体" w:cs="宋体"/>
                <w:sz w:val="21"/>
                <w:szCs w:val="21"/>
              </w:rPr>
            </w:pPr>
            <w:r>
              <w:rPr>
                <w:rFonts w:hint="eastAsia" w:ascii="宋体" w:hAnsi="宋体" w:cs="宋体"/>
                <w:sz w:val="21"/>
                <w:szCs w:val="21"/>
              </w:rPr>
              <w:t>（2）应遵守《中华人民共和国保守国家秘密法》，严格执行保密制度，按照采购单位要求签订保密协议，不得向第三方泄露其在提供服务期间获得采购单位的技术、商业机密，否则须承担因此产生的全部责任。</w:t>
            </w:r>
          </w:p>
          <w:p w14:paraId="51FDF851">
            <w:pPr>
              <w:pStyle w:val="2"/>
              <w:spacing w:line="400" w:lineRule="exact"/>
              <w:rPr>
                <w:rFonts w:hint="eastAsia" w:ascii="宋体" w:hAnsi="宋体" w:cs="宋体"/>
                <w:sz w:val="21"/>
                <w:szCs w:val="21"/>
              </w:rPr>
            </w:pPr>
            <w:r>
              <w:rPr>
                <w:rFonts w:hint="eastAsia" w:ascii="宋体" w:hAnsi="宋体" w:cs="宋体"/>
                <w:sz w:val="21"/>
                <w:szCs w:val="21"/>
              </w:rPr>
              <w:t>（3）中标方不允许自行申报科技奖、工程奖、优秀案例等。</w:t>
            </w:r>
          </w:p>
          <w:p w14:paraId="0A29A7E3">
            <w:pPr>
              <w:pStyle w:val="2"/>
              <w:spacing w:line="400" w:lineRule="exact"/>
              <w:rPr>
                <w:rFonts w:hint="eastAsia" w:ascii="宋体" w:hAnsi="宋体" w:cs="宋体"/>
                <w:sz w:val="21"/>
                <w:szCs w:val="21"/>
              </w:rPr>
            </w:pPr>
            <w:r>
              <w:rPr>
                <w:rFonts w:hint="eastAsia" w:ascii="宋体" w:hAnsi="宋体" w:cs="宋体"/>
                <w:sz w:val="21"/>
                <w:szCs w:val="21"/>
              </w:rPr>
              <w:t>▲10.成果提交及项目验收</w:t>
            </w:r>
          </w:p>
          <w:p w14:paraId="34C03E52">
            <w:pPr>
              <w:pStyle w:val="2"/>
              <w:spacing w:line="400" w:lineRule="exact"/>
              <w:rPr>
                <w:rFonts w:hint="eastAsia" w:ascii="宋体" w:hAnsi="宋体" w:cs="宋体"/>
                <w:sz w:val="21"/>
                <w:szCs w:val="21"/>
              </w:rPr>
            </w:pPr>
            <w:r>
              <w:rPr>
                <w:rFonts w:hint="eastAsia" w:ascii="宋体" w:hAnsi="宋体" w:cs="宋体"/>
                <w:sz w:val="21"/>
                <w:szCs w:val="21"/>
              </w:rPr>
              <w:t>（1）根据项目采购需求完成系统建设。</w:t>
            </w:r>
          </w:p>
          <w:p w14:paraId="4FBC33FD">
            <w:pPr>
              <w:pStyle w:val="2"/>
              <w:spacing w:line="400" w:lineRule="exact"/>
              <w:rPr>
                <w:rFonts w:hint="eastAsia" w:ascii="宋体" w:hAnsi="宋体" w:cs="宋体"/>
                <w:sz w:val="21"/>
                <w:szCs w:val="21"/>
              </w:rPr>
            </w:pPr>
            <w:r>
              <w:rPr>
                <w:rFonts w:hint="eastAsia" w:ascii="宋体" w:hAnsi="宋体" w:cs="宋体"/>
                <w:sz w:val="21"/>
                <w:szCs w:val="21"/>
              </w:rPr>
              <w:t>（2）按照《广西壮族自治区环境信息中心采购项目实施过程管理规范》要求完成，项目文件包括但不限于项目团队计划、项目实施方案、密码应用方案、系统安全建设方案、数据迁移方案、项目进度计划、项目需求调研报告、系统需求规格说明书、系统概要设计、系统详细设计、系统数据库设计、部署方案、变更说明（如有）、系统部署安装手册及登记图、测试方案（含计划）、测试用例、测试报告（单元测试、系统测试、验收测试等）、试运行方案、试运行报告、风险评估报告、用户使用手册、系统配置说明、代码文档、接口文档、培训文档等文件编制，同时提交电子版。</w:t>
            </w:r>
          </w:p>
          <w:p w14:paraId="02AEB26A">
            <w:pPr>
              <w:pStyle w:val="2"/>
              <w:spacing w:line="400" w:lineRule="exact"/>
              <w:rPr>
                <w:rFonts w:hint="eastAsia" w:ascii="宋体" w:hAnsi="宋体" w:cs="宋体"/>
                <w:sz w:val="21"/>
                <w:szCs w:val="21"/>
              </w:rPr>
            </w:pPr>
            <w:r>
              <w:rPr>
                <w:rFonts w:hint="eastAsia" w:ascii="宋体" w:hAnsi="宋体" w:cs="宋体"/>
                <w:sz w:val="21"/>
                <w:szCs w:val="21"/>
              </w:rPr>
              <w:t>▲11.质保期服务要求。质保期间，中标人须保障系统安全稳定正常运行，平均故障间隔时间＞1000小时，平均修复时间＜2.5小时，并完成一定程度的系统优化工作。应定期对服务器、操作系统、数据库、中间件、软件基础平台进行巡检并建立巡检台账；监控服务器‌CPU使用率、‌内存占用率‌、磁盘I/O性能等。</w:t>
            </w:r>
          </w:p>
        </w:tc>
      </w:tr>
    </w:tbl>
    <w:p w14:paraId="0B94B703">
      <w:pPr>
        <w:pStyle w:val="4"/>
        <w:rPr>
          <w:sz w:val="21"/>
          <w:szCs w:val="21"/>
        </w:rPr>
      </w:pPr>
      <w:r>
        <w:rPr>
          <w:rFonts w:hint="eastAsia"/>
          <w:sz w:val="21"/>
          <w:szCs w:val="21"/>
        </w:rPr>
        <w:t>5.分标5（E分标）：采购预算：25.07万元</w:t>
      </w:r>
    </w:p>
    <w:tbl>
      <w:tblPr>
        <w:tblStyle w:val="18"/>
        <w:tblW w:w="9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3"/>
        <w:gridCol w:w="1275"/>
        <w:gridCol w:w="208"/>
        <w:gridCol w:w="926"/>
        <w:gridCol w:w="851"/>
        <w:gridCol w:w="5512"/>
      </w:tblGrid>
      <w:tr w14:paraId="3231E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325" w:type="dxa"/>
            <w:gridSpan w:val="6"/>
            <w:tcBorders>
              <w:top w:val="single" w:color="auto" w:sz="4" w:space="0"/>
              <w:left w:val="single" w:color="auto" w:sz="4" w:space="0"/>
              <w:bottom w:val="nil"/>
              <w:right w:val="single" w:color="auto" w:sz="4" w:space="0"/>
            </w:tcBorders>
            <w:vAlign w:val="center"/>
          </w:tcPr>
          <w:p w14:paraId="270DE78E">
            <w:pPr>
              <w:spacing w:line="400" w:lineRule="exact"/>
              <w:ind w:firstLine="422"/>
              <w:jc w:val="center"/>
              <w:rPr>
                <w:rFonts w:hint="eastAsia" w:ascii="宋体" w:hAnsi="宋体" w:cs="宋体"/>
                <w:b/>
                <w:szCs w:val="21"/>
              </w:rPr>
            </w:pPr>
            <w:r>
              <w:rPr>
                <w:rFonts w:hint="eastAsia" w:ascii="宋体" w:hAnsi="宋体" w:cs="宋体"/>
                <w:b/>
                <w:szCs w:val="21"/>
              </w:rPr>
              <w:t>服务需求一览表</w:t>
            </w:r>
          </w:p>
        </w:tc>
      </w:tr>
      <w:tr w14:paraId="0609F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4279981B">
            <w:pPr>
              <w:spacing w:line="400" w:lineRule="exact"/>
              <w:rPr>
                <w:rFonts w:hint="eastAsia" w:ascii="宋体" w:hAnsi="宋体" w:cs="宋体"/>
                <w:szCs w:val="21"/>
              </w:rPr>
            </w:pPr>
            <w:r>
              <w:rPr>
                <w:rFonts w:hint="eastAsia" w:ascii="宋体" w:hAnsi="宋体" w:cs="宋体"/>
                <w:szCs w:val="21"/>
              </w:rPr>
              <w:t>序号</w:t>
            </w:r>
          </w:p>
        </w:tc>
        <w:tc>
          <w:tcPr>
            <w:tcW w:w="1275" w:type="dxa"/>
            <w:tcBorders>
              <w:top w:val="single" w:color="auto" w:sz="4" w:space="0"/>
              <w:left w:val="single" w:color="auto" w:sz="4" w:space="0"/>
              <w:bottom w:val="single" w:color="auto" w:sz="4" w:space="0"/>
              <w:right w:val="single" w:color="auto" w:sz="4" w:space="0"/>
            </w:tcBorders>
            <w:vAlign w:val="center"/>
          </w:tcPr>
          <w:p w14:paraId="21F99541">
            <w:pPr>
              <w:spacing w:line="400" w:lineRule="exact"/>
              <w:rPr>
                <w:rFonts w:hint="eastAsia" w:ascii="宋体" w:hAnsi="宋体" w:cs="宋体"/>
                <w:szCs w:val="21"/>
              </w:rPr>
            </w:pPr>
            <w:r>
              <w:rPr>
                <w:rFonts w:hint="eastAsia" w:ascii="宋体" w:hAnsi="宋体" w:cs="宋体"/>
                <w:szCs w:val="21"/>
              </w:rPr>
              <w:t>标的名称</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56527F15">
            <w:pPr>
              <w:spacing w:line="400" w:lineRule="exact"/>
              <w:rPr>
                <w:rFonts w:hint="eastAsia" w:ascii="宋体" w:hAnsi="宋体" w:cs="宋体"/>
                <w:szCs w:val="21"/>
              </w:rPr>
            </w:pPr>
            <w:r>
              <w:rPr>
                <w:rFonts w:hint="eastAsia" w:ascii="宋体" w:hAnsi="宋体" w:cs="宋体"/>
                <w:szCs w:val="21"/>
              </w:rPr>
              <w:t>建设内容</w:t>
            </w:r>
          </w:p>
        </w:tc>
        <w:tc>
          <w:tcPr>
            <w:tcW w:w="851" w:type="dxa"/>
            <w:tcBorders>
              <w:top w:val="single" w:color="auto" w:sz="4" w:space="0"/>
              <w:left w:val="single" w:color="auto" w:sz="4" w:space="0"/>
              <w:bottom w:val="single" w:color="auto" w:sz="4" w:space="0"/>
              <w:right w:val="single" w:color="auto" w:sz="4" w:space="0"/>
            </w:tcBorders>
            <w:vAlign w:val="center"/>
          </w:tcPr>
          <w:p w14:paraId="57C23F6B">
            <w:pPr>
              <w:spacing w:line="400" w:lineRule="exact"/>
              <w:rPr>
                <w:rFonts w:hint="eastAsia" w:ascii="宋体" w:hAnsi="宋体" w:cs="宋体"/>
                <w:szCs w:val="21"/>
              </w:rPr>
            </w:pPr>
            <w:r>
              <w:rPr>
                <w:rFonts w:hint="eastAsia" w:ascii="宋体" w:hAnsi="宋体" w:cs="宋体"/>
                <w:szCs w:val="21"/>
              </w:rPr>
              <w:t>数量及</w:t>
            </w:r>
          </w:p>
          <w:p w14:paraId="53A94A6F">
            <w:pPr>
              <w:spacing w:line="400" w:lineRule="exact"/>
              <w:rPr>
                <w:rFonts w:hint="eastAsia" w:ascii="宋体" w:hAnsi="宋体" w:cs="宋体"/>
                <w:szCs w:val="21"/>
              </w:rPr>
            </w:pPr>
            <w:r>
              <w:rPr>
                <w:rFonts w:hint="eastAsia" w:ascii="宋体" w:hAnsi="宋体" w:cs="宋体"/>
                <w:szCs w:val="21"/>
              </w:rPr>
              <w:t>单位</w:t>
            </w:r>
          </w:p>
        </w:tc>
        <w:tc>
          <w:tcPr>
            <w:tcW w:w="5512" w:type="dxa"/>
            <w:tcBorders>
              <w:top w:val="single" w:color="auto" w:sz="4" w:space="0"/>
              <w:left w:val="single" w:color="auto" w:sz="4" w:space="0"/>
              <w:bottom w:val="single" w:color="auto" w:sz="4" w:space="0"/>
              <w:right w:val="single" w:color="auto" w:sz="4" w:space="0"/>
            </w:tcBorders>
            <w:vAlign w:val="center"/>
          </w:tcPr>
          <w:p w14:paraId="75CC91E9">
            <w:pPr>
              <w:spacing w:line="400" w:lineRule="exact"/>
              <w:ind w:firstLine="420"/>
              <w:jc w:val="center"/>
              <w:rPr>
                <w:rFonts w:hint="eastAsia" w:ascii="宋体" w:hAnsi="宋体" w:cs="宋体"/>
                <w:szCs w:val="21"/>
              </w:rPr>
            </w:pPr>
            <w:r>
              <w:rPr>
                <w:rFonts w:hint="eastAsia" w:ascii="宋体" w:hAnsi="宋体" w:cs="宋体"/>
                <w:szCs w:val="21"/>
              </w:rPr>
              <w:t>服务需求</w:t>
            </w:r>
          </w:p>
        </w:tc>
      </w:tr>
      <w:tr w14:paraId="47059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14:paraId="050A7C4F">
            <w:pPr>
              <w:spacing w:line="400" w:lineRule="exact"/>
              <w:ind w:firstLine="420"/>
              <w:jc w:val="center"/>
              <w:rPr>
                <w:rFonts w:hint="eastAsia" w:ascii="宋体" w:hAnsi="宋体" w:cs="宋体"/>
                <w:szCs w:val="21"/>
              </w:rPr>
            </w:pPr>
            <w:r>
              <w:rPr>
                <w:rFonts w:hint="eastAsia" w:ascii="宋体" w:hAnsi="宋体" w:cs="宋体"/>
                <w:szCs w:val="21"/>
              </w:rPr>
              <w:t>1</w:t>
            </w:r>
          </w:p>
        </w:tc>
        <w:tc>
          <w:tcPr>
            <w:tcW w:w="1275" w:type="dxa"/>
            <w:tcBorders>
              <w:top w:val="single" w:color="auto" w:sz="4" w:space="0"/>
              <w:left w:val="single" w:color="auto" w:sz="4" w:space="0"/>
              <w:bottom w:val="single" w:color="auto" w:sz="4" w:space="0"/>
              <w:right w:val="single" w:color="auto" w:sz="4" w:space="0"/>
            </w:tcBorders>
            <w:vAlign w:val="center"/>
          </w:tcPr>
          <w:p w14:paraId="57F1B772">
            <w:pPr>
              <w:spacing w:line="400" w:lineRule="exact"/>
              <w:rPr>
                <w:rFonts w:hint="eastAsia" w:ascii="宋体" w:hAnsi="宋体" w:cs="宋体"/>
                <w:szCs w:val="21"/>
              </w:rPr>
            </w:pPr>
            <w:r>
              <w:rPr>
                <w:rFonts w:hint="eastAsia" w:ascii="宋体" w:hAnsi="宋体" w:cs="宋体"/>
                <w:szCs w:val="21"/>
              </w:rPr>
              <w:t>广西生态环境信息化建设项目（E</w:t>
            </w:r>
            <w:r>
              <w:rPr>
                <w:rFonts w:ascii="宋体" w:hAnsi="宋体" w:cs="宋体"/>
                <w:szCs w:val="21"/>
              </w:rPr>
              <w:t>分标</w:t>
            </w:r>
            <w:r>
              <w:rPr>
                <w:rFonts w:hint="eastAsia" w:ascii="宋体" w:hAnsi="宋体" w:cs="宋体"/>
                <w:szCs w:val="21"/>
              </w:rPr>
              <w:t>）</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1D61CCA7">
            <w:pPr>
              <w:adjustRightInd w:val="0"/>
              <w:snapToGrid w:val="0"/>
              <w:spacing w:line="400" w:lineRule="exact"/>
              <w:rPr>
                <w:rFonts w:hint="eastAsia" w:ascii="宋体" w:hAnsi="宋体" w:cs="宋体"/>
                <w:kern w:val="0"/>
                <w:szCs w:val="21"/>
              </w:rPr>
            </w:pPr>
            <w:r>
              <w:rPr>
                <w:rFonts w:ascii="宋体" w:hAnsi="宋体" w:cs="宋体"/>
                <w:kern w:val="0"/>
                <w:szCs w:val="21"/>
              </w:rPr>
              <w:t>专项监理服务</w:t>
            </w:r>
          </w:p>
        </w:tc>
        <w:tc>
          <w:tcPr>
            <w:tcW w:w="851" w:type="dxa"/>
            <w:tcBorders>
              <w:top w:val="single" w:color="auto" w:sz="4" w:space="0"/>
              <w:left w:val="single" w:color="auto" w:sz="4" w:space="0"/>
              <w:bottom w:val="single" w:color="auto" w:sz="4" w:space="0"/>
              <w:right w:val="single" w:color="auto" w:sz="4" w:space="0"/>
            </w:tcBorders>
            <w:vAlign w:val="center"/>
          </w:tcPr>
          <w:p w14:paraId="06D382F6">
            <w:pPr>
              <w:spacing w:line="400" w:lineRule="exact"/>
              <w:rPr>
                <w:rFonts w:hint="eastAsia" w:ascii="宋体" w:hAnsi="宋体" w:cs="宋体"/>
                <w:szCs w:val="21"/>
              </w:rPr>
            </w:pPr>
            <w:r>
              <w:rPr>
                <w:rFonts w:hint="eastAsia" w:ascii="宋体" w:hAnsi="宋体" w:cs="宋体"/>
                <w:szCs w:val="21"/>
              </w:rPr>
              <w:t>1项</w:t>
            </w:r>
          </w:p>
        </w:tc>
        <w:tc>
          <w:tcPr>
            <w:tcW w:w="5512" w:type="dxa"/>
            <w:tcBorders>
              <w:top w:val="single" w:color="auto" w:sz="4" w:space="0"/>
              <w:left w:val="single" w:color="auto" w:sz="4" w:space="0"/>
              <w:bottom w:val="single" w:color="auto" w:sz="4" w:space="0"/>
              <w:right w:val="single" w:color="auto" w:sz="4" w:space="0"/>
            </w:tcBorders>
            <w:vAlign w:val="center"/>
          </w:tcPr>
          <w:p w14:paraId="72A61D1D">
            <w:pPr>
              <w:spacing w:line="400" w:lineRule="exact"/>
              <w:ind w:firstLine="480"/>
              <w:jc w:val="left"/>
              <w:rPr>
                <w:rFonts w:hint="eastAsia" w:ascii="宋体" w:hAnsi="宋体" w:cs="宋体"/>
                <w:szCs w:val="21"/>
              </w:rPr>
            </w:pPr>
            <w:r>
              <w:rPr>
                <w:rFonts w:ascii="宋体" w:hAnsi="宋体" w:cs="宋体"/>
                <w:szCs w:val="21"/>
              </w:rPr>
              <w:t>▲一、总体要求</w:t>
            </w:r>
          </w:p>
          <w:p w14:paraId="34FDEAF0">
            <w:pPr>
              <w:spacing w:line="400" w:lineRule="exact"/>
              <w:ind w:firstLine="480"/>
              <w:jc w:val="left"/>
              <w:rPr>
                <w:rFonts w:hint="eastAsia" w:ascii="宋体" w:hAnsi="宋体" w:cs="宋体"/>
                <w:szCs w:val="21"/>
              </w:rPr>
            </w:pPr>
            <w:r>
              <w:rPr>
                <w:rFonts w:ascii="宋体" w:hAnsi="宋体" w:cs="宋体"/>
                <w:szCs w:val="21"/>
              </w:rPr>
              <w:t>针对</w:t>
            </w:r>
            <w:r>
              <w:rPr>
                <w:rFonts w:hint="eastAsia" w:ascii="宋体" w:hAnsi="宋体" w:cs="宋体"/>
                <w:szCs w:val="21"/>
              </w:rPr>
              <w:t>广西生态环境信息化建设项目</w:t>
            </w:r>
            <w:r>
              <w:rPr>
                <w:rFonts w:ascii="宋体" w:hAnsi="宋体" w:cs="宋体"/>
                <w:szCs w:val="21"/>
              </w:rPr>
              <w:t>依据国家有关法律法规、技术标准和信息系统项目监理合同，对信息化项目实施进行质量控制、进度控制、投资控制、变更控制、合同管理、信息管理、安全管理及协调，协助建设单位全面地对项目的建设内容进行管理和技术监督，对项目承建单位进行全过程管理、监督、指导、评价，确保承建单位的建设行为合法、合理、科学、经济，为建设单位规避建设风险，促进项目总体目标的达成，并根据项目建设过程的监理情况出具相应的项目监理报告。</w:t>
            </w:r>
          </w:p>
          <w:p w14:paraId="0A9DE109">
            <w:pPr>
              <w:spacing w:line="400" w:lineRule="exact"/>
              <w:ind w:firstLine="480"/>
              <w:jc w:val="left"/>
              <w:rPr>
                <w:rFonts w:hint="eastAsia" w:ascii="宋体" w:hAnsi="宋体" w:cs="宋体"/>
                <w:szCs w:val="21"/>
              </w:rPr>
            </w:pPr>
            <w:r>
              <w:rPr>
                <w:rFonts w:ascii="宋体" w:hAnsi="宋体" w:cs="宋体"/>
                <w:szCs w:val="21"/>
              </w:rPr>
              <w:t>▲二、服务内容和技术要求</w:t>
            </w:r>
          </w:p>
          <w:p w14:paraId="7DC01B04">
            <w:pPr>
              <w:spacing w:line="400" w:lineRule="exact"/>
              <w:ind w:firstLine="480"/>
              <w:jc w:val="left"/>
              <w:rPr>
                <w:rFonts w:hint="eastAsia" w:ascii="宋体" w:hAnsi="宋体" w:cs="宋体"/>
                <w:szCs w:val="21"/>
              </w:rPr>
            </w:pPr>
            <w:r>
              <w:rPr>
                <w:rFonts w:ascii="宋体" w:hAnsi="宋体" w:cs="宋体"/>
                <w:szCs w:val="21"/>
              </w:rPr>
              <w:t>1.监理工作依据</w:t>
            </w:r>
          </w:p>
          <w:p w14:paraId="7AA44071">
            <w:pPr>
              <w:spacing w:line="400" w:lineRule="exact"/>
              <w:ind w:firstLine="480"/>
              <w:jc w:val="left"/>
              <w:rPr>
                <w:rFonts w:hint="eastAsia" w:ascii="宋体" w:hAnsi="宋体" w:cs="宋体"/>
                <w:szCs w:val="21"/>
              </w:rPr>
            </w:pPr>
            <w:r>
              <w:rPr>
                <w:rFonts w:ascii="宋体" w:hAnsi="宋体" w:cs="宋体"/>
                <w:szCs w:val="21"/>
              </w:rPr>
              <w:t>（1）监理规范。依据GB/T 19668.1-2014《信息技术服务 监理 第1部分：总则》、GB/T 19668.2-2017《信息技术服务 监理 第2部分：基础设施工程监理规范》、GB/T 19668.3-2017《信息技术服务 监理 第3部分：运行维护监理规范》、GB/T 19668.4-2017《信息技术服务 监理 第4部分：信息安全监理规范》、GB/T 19668.5-2018《信息技术服务 监理 第5部分：软件工程监理规范》、GB/T 19668.6-2019《信息技术服务 监理 第6部分：应用系统：数据中心监理规范》开展项目监理工作。</w:t>
            </w:r>
          </w:p>
          <w:p w14:paraId="6894235B">
            <w:pPr>
              <w:spacing w:line="400" w:lineRule="exact"/>
              <w:ind w:firstLine="480"/>
              <w:jc w:val="left"/>
              <w:rPr>
                <w:rFonts w:hint="eastAsia" w:ascii="宋体" w:hAnsi="宋体" w:cs="宋体"/>
                <w:szCs w:val="21"/>
              </w:rPr>
            </w:pPr>
            <w:r>
              <w:rPr>
                <w:rFonts w:ascii="宋体" w:hAnsi="宋体" w:cs="宋体"/>
                <w:szCs w:val="21"/>
              </w:rPr>
              <w:t>（2）项目实施部分，按以下标准严格执行：</w:t>
            </w:r>
          </w:p>
          <w:p w14:paraId="5B772B90">
            <w:pPr>
              <w:spacing w:line="400" w:lineRule="exact"/>
              <w:ind w:firstLine="480"/>
              <w:jc w:val="left"/>
              <w:rPr>
                <w:rFonts w:hint="eastAsia" w:ascii="宋体" w:hAnsi="宋体" w:cs="宋体"/>
                <w:szCs w:val="21"/>
              </w:rPr>
            </w:pPr>
            <w:r>
              <w:rPr>
                <w:rFonts w:ascii="宋体" w:hAnsi="宋体" w:cs="宋体"/>
                <w:szCs w:val="21"/>
              </w:rPr>
              <w:t>《计算机软件文档编制规范》（GB/T 8567-2006）、《计算机软件需求规格说明规范》（GB/T 9385-2008）、《计算机软件测试文档编制规范》（GB/T 9386-2008）、《</w:t>
            </w:r>
            <w:r>
              <w:rPr>
                <w:rFonts w:hint="eastAsia"/>
              </w:rPr>
              <w:t>系统与软件工程 软件生存周期过程</w:t>
            </w:r>
            <w:r>
              <w:rPr>
                <w:rFonts w:ascii="宋体" w:hAnsi="宋体" w:cs="宋体"/>
                <w:szCs w:val="21"/>
              </w:rPr>
              <w:t>》（</w:t>
            </w:r>
            <w:r>
              <w:rPr>
                <w:rFonts w:hint="eastAsia" w:ascii="宋体" w:hAnsi="宋体" w:cs="宋体"/>
                <w:szCs w:val="21"/>
              </w:rPr>
              <w:t>GB/T 8566‑2022</w:t>
            </w:r>
            <w:r>
              <w:rPr>
                <w:rFonts w:ascii="宋体" w:hAnsi="宋体" w:cs="宋体"/>
                <w:szCs w:val="21"/>
              </w:rPr>
              <w:t>）、《计算机软件测试规范》（GB/T 15532-2008）、《信息技术 软件工程术语》（GB/T 11457-2006）、《信息技术系统及软件完整性级别》（GB/T 18492-2001）、《计算机软件可靠性和可维护性管理》（GB/T 14394-2008）、《信息系统物理安全技术要求》（GB/T 21052－2007）、《电气装置安装工程电缆线路施工及验收标准》 （GB 50168-2018）、《安全防范工程技术标准》（GB 50348-2018）、《安全防范系统验收规则》（GA 308-2001）、《信息安全技术 信息系统安全等级保护实施指南》（GB/T 25058-2010）、《</w:t>
            </w:r>
            <w:r>
              <w:rPr>
                <w:rFonts w:hint="eastAsia"/>
              </w:rPr>
              <w:t>数据中心设计规范</w:t>
            </w:r>
            <w:r>
              <w:rPr>
                <w:rFonts w:ascii="宋体" w:hAnsi="宋体" w:cs="宋体"/>
                <w:szCs w:val="21"/>
              </w:rPr>
              <w:t>》（</w:t>
            </w:r>
            <w:r>
              <w:rPr>
                <w:rFonts w:hint="eastAsia"/>
              </w:rPr>
              <w:t>GB 50174‑2017</w:t>
            </w:r>
            <w:r>
              <w:rPr>
                <w:rFonts w:ascii="宋体" w:hAnsi="宋体" w:cs="宋体"/>
                <w:szCs w:val="21"/>
              </w:rPr>
              <w:t>）、《</w:t>
            </w:r>
            <w:r>
              <w:rPr>
                <w:rFonts w:hint="eastAsia"/>
              </w:rPr>
              <w:t>数据中心基础设施施工及验收标准</w:t>
            </w:r>
            <w:r>
              <w:rPr>
                <w:rFonts w:ascii="宋体" w:hAnsi="宋体" w:cs="宋体"/>
                <w:szCs w:val="21"/>
              </w:rPr>
              <w:t>》（</w:t>
            </w:r>
            <w:r>
              <w:rPr>
                <w:rFonts w:hint="eastAsia"/>
              </w:rPr>
              <w:t>GB 50462‑2024</w:t>
            </w:r>
            <w:r>
              <w:rPr>
                <w:rFonts w:ascii="宋体" w:hAnsi="宋体" w:cs="宋体"/>
                <w:szCs w:val="21"/>
              </w:rPr>
              <w:t>）。</w:t>
            </w:r>
          </w:p>
          <w:p w14:paraId="20324FA6">
            <w:pPr>
              <w:spacing w:line="400" w:lineRule="exact"/>
              <w:ind w:firstLine="480"/>
              <w:jc w:val="left"/>
              <w:rPr>
                <w:rFonts w:hint="eastAsia" w:ascii="宋体" w:hAnsi="宋体" w:cs="宋体"/>
                <w:szCs w:val="21"/>
              </w:rPr>
            </w:pPr>
            <w:r>
              <w:rPr>
                <w:rFonts w:ascii="宋体" w:hAnsi="宋体" w:cs="宋体"/>
                <w:szCs w:val="21"/>
              </w:rPr>
              <w:t>（3）其他监理依据</w:t>
            </w:r>
          </w:p>
          <w:p w14:paraId="4212851F">
            <w:pPr>
              <w:spacing w:line="400" w:lineRule="exact"/>
              <w:ind w:firstLine="480"/>
              <w:jc w:val="left"/>
              <w:rPr>
                <w:rFonts w:hint="eastAsia" w:ascii="宋体" w:hAnsi="宋体" w:cs="宋体"/>
                <w:szCs w:val="21"/>
              </w:rPr>
            </w:pPr>
            <w:r>
              <w:rPr>
                <w:rFonts w:ascii="宋体" w:hAnsi="宋体" w:cs="宋体"/>
                <w:szCs w:val="21"/>
              </w:rPr>
              <w:t>①监理单位合同；</w:t>
            </w:r>
          </w:p>
          <w:p w14:paraId="4095BADE">
            <w:pPr>
              <w:spacing w:line="400" w:lineRule="exact"/>
              <w:ind w:firstLine="480"/>
              <w:jc w:val="left"/>
              <w:rPr>
                <w:rFonts w:hint="eastAsia" w:ascii="宋体" w:hAnsi="宋体" w:cs="宋体"/>
                <w:szCs w:val="21"/>
              </w:rPr>
            </w:pPr>
            <w:r>
              <w:rPr>
                <w:rFonts w:ascii="宋体" w:hAnsi="宋体" w:cs="宋体"/>
                <w:szCs w:val="21"/>
              </w:rPr>
              <w:t>②项目招投标文件；</w:t>
            </w:r>
          </w:p>
          <w:p w14:paraId="7035891C">
            <w:pPr>
              <w:spacing w:line="400" w:lineRule="exact"/>
              <w:ind w:firstLine="480"/>
              <w:jc w:val="left"/>
              <w:rPr>
                <w:rFonts w:hint="eastAsia" w:ascii="宋体" w:hAnsi="宋体" w:cs="宋体"/>
                <w:szCs w:val="21"/>
              </w:rPr>
            </w:pPr>
            <w:r>
              <w:rPr>
                <w:rFonts w:ascii="宋体" w:hAnsi="宋体" w:cs="宋体"/>
                <w:szCs w:val="21"/>
              </w:rPr>
              <w:t>③承建单位合同；</w:t>
            </w:r>
          </w:p>
          <w:p w14:paraId="2EFA5187">
            <w:pPr>
              <w:spacing w:line="400" w:lineRule="exact"/>
              <w:ind w:firstLine="480"/>
              <w:jc w:val="left"/>
              <w:rPr>
                <w:rFonts w:hint="eastAsia" w:ascii="宋体" w:hAnsi="宋体" w:cs="宋体"/>
                <w:szCs w:val="21"/>
              </w:rPr>
            </w:pPr>
            <w:r>
              <w:rPr>
                <w:rFonts w:ascii="宋体" w:hAnsi="宋体" w:cs="宋体"/>
                <w:szCs w:val="21"/>
              </w:rPr>
              <w:t>④项目前期设计文件等。</w:t>
            </w:r>
          </w:p>
          <w:p w14:paraId="70DD79A3">
            <w:pPr>
              <w:spacing w:line="400" w:lineRule="exact"/>
              <w:ind w:firstLine="480"/>
              <w:jc w:val="left"/>
              <w:rPr>
                <w:rFonts w:hint="eastAsia" w:ascii="宋体" w:hAnsi="宋体" w:cs="宋体"/>
                <w:szCs w:val="21"/>
              </w:rPr>
            </w:pPr>
            <w:r>
              <w:rPr>
                <w:rFonts w:ascii="宋体" w:hAnsi="宋体" w:cs="宋体"/>
                <w:szCs w:val="21"/>
              </w:rPr>
              <w:t>2.监理任务与范围</w:t>
            </w:r>
          </w:p>
          <w:p w14:paraId="3CD347D7">
            <w:pPr>
              <w:spacing w:line="400" w:lineRule="exact"/>
              <w:ind w:firstLine="480"/>
              <w:jc w:val="left"/>
              <w:rPr>
                <w:rFonts w:hint="eastAsia" w:ascii="宋体" w:hAnsi="宋体" w:cs="宋体"/>
                <w:szCs w:val="21"/>
              </w:rPr>
            </w:pPr>
            <w:r>
              <w:rPr>
                <w:rFonts w:ascii="宋体" w:hAnsi="宋体" w:cs="宋体"/>
                <w:szCs w:val="21"/>
              </w:rPr>
              <w:t>（1）监理人员要求</w:t>
            </w:r>
          </w:p>
          <w:p w14:paraId="7A369FD6">
            <w:pPr>
              <w:spacing w:line="400" w:lineRule="exact"/>
              <w:ind w:firstLine="480"/>
              <w:jc w:val="left"/>
              <w:rPr>
                <w:rFonts w:hint="eastAsia" w:ascii="宋体" w:hAnsi="宋体" w:cs="宋体"/>
                <w:szCs w:val="21"/>
              </w:rPr>
            </w:pPr>
            <w:r>
              <w:rPr>
                <w:rFonts w:ascii="宋体" w:hAnsi="宋体" w:cs="宋体"/>
                <w:szCs w:val="21"/>
              </w:rPr>
              <w:t>①本监理服务项目要求以现场监理为主要服务方式，所派人员必须是监理单位正式员工，派出参与本监理服务项目的监理人员必须持有有效的《信息系统监理师》证书。拟任的总监理工程师必须持有有效的《信息系统监理师》证书，并具备相关经验；</w:t>
            </w:r>
          </w:p>
          <w:p w14:paraId="7D0ADD00">
            <w:pPr>
              <w:spacing w:line="400" w:lineRule="exact"/>
              <w:ind w:firstLine="480"/>
              <w:jc w:val="left"/>
              <w:rPr>
                <w:rFonts w:hint="eastAsia" w:ascii="宋体" w:hAnsi="宋体" w:cs="宋体"/>
                <w:szCs w:val="21"/>
              </w:rPr>
            </w:pPr>
            <w:r>
              <w:rPr>
                <w:rFonts w:ascii="宋体" w:hAnsi="宋体" w:cs="宋体"/>
                <w:szCs w:val="21"/>
              </w:rPr>
              <w:t>②组织机构：派出参与本监理服务项目的监理人员人数不得少于3人（含3人），且根据各分标项目</w:t>
            </w:r>
            <w:r>
              <w:rPr>
                <w:rFonts w:hint="eastAsia" w:ascii="宋体" w:hAnsi="宋体" w:cs="宋体"/>
                <w:szCs w:val="21"/>
              </w:rPr>
              <w:t>情况</w:t>
            </w:r>
            <w:r>
              <w:rPr>
                <w:rFonts w:ascii="宋体" w:hAnsi="宋体" w:cs="宋体"/>
                <w:szCs w:val="21"/>
              </w:rPr>
              <w:t>派驻符合项目需求的监理人员。</w:t>
            </w:r>
          </w:p>
          <w:p w14:paraId="5486A79F">
            <w:pPr>
              <w:spacing w:line="400" w:lineRule="exact"/>
              <w:ind w:firstLine="480"/>
              <w:jc w:val="left"/>
              <w:rPr>
                <w:rFonts w:hint="eastAsia" w:ascii="宋体" w:hAnsi="宋体" w:cs="宋体"/>
                <w:szCs w:val="21"/>
              </w:rPr>
            </w:pPr>
            <w:r>
              <w:rPr>
                <w:rFonts w:ascii="宋体" w:hAnsi="宋体" w:cs="宋体"/>
                <w:szCs w:val="21"/>
              </w:rPr>
              <w:t>（2）监理范围</w:t>
            </w:r>
          </w:p>
          <w:p w14:paraId="3BC58AD4">
            <w:pPr>
              <w:spacing w:line="400" w:lineRule="exact"/>
              <w:ind w:firstLine="480"/>
              <w:jc w:val="left"/>
              <w:rPr>
                <w:rFonts w:hint="eastAsia" w:ascii="宋体" w:hAnsi="宋体" w:cs="宋体"/>
                <w:szCs w:val="21"/>
              </w:rPr>
            </w:pPr>
            <w:r>
              <w:rPr>
                <w:rFonts w:ascii="宋体" w:hAnsi="宋体" w:cs="宋体"/>
                <w:szCs w:val="21"/>
              </w:rPr>
              <w:t>监理单位需要根据项目实际情况及要素提交包括计划管理、人员管理、质量管理、成本管理、进度管理、变更与风险管理、合同管理、安全管理、知识产权管理、沟通与协调管理、评估与验收管理、文档管理、数据采集及质量管理等要素内容完整的监理计划书。</w:t>
            </w:r>
          </w:p>
          <w:p w14:paraId="5C888A4D">
            <w:pPr>
              <w:spacing w:line="400" w:lineRule="exact"/>
              <w:ind w:firstLine="480"/>
              <w:jc w:val="left"/>
              <w:rPr>
                <w:rFonts w:hint="eastAsia" w:ascii="宋体" w:hAnsi="宋体" w:cs="宋体"/>
                <w:szCs w:val="21"/>
              </w:rPr>
            </w:pPr>
            <w:r>
              <w:rPr>
                <w:rFonts w:ascii="宋体" w:hAnsi="宋体" w:cs="宋体"/>
                <w:szCs w:val="21"/>
              </w:rPr>
              <w:t>监理过程需要覆盖项目全过程监理任务。</w:t>
            </w:r>
          </w:p>
          <w:p w14:paraId="1BC58946">
            <w:pPr>
              <w:spacing w:line="400" w:lineRule="exact"/>
              <w:ind w:firstLine="480"/>
              <w:jc w:val="left"/>
              <w:rPr>
                <w:rFonts w:hint="eastAsia" w:ascii="宋体" w:hAnsi="宋体" w:cs="宋体"/>
                <w:szCs w:val="21"/>
              </w:rPr>
            </w:pPr>
            <w:r>
              <w:rPr>
                <w:rFonts w:ascii="宋体" w:hAnsi="宋体" w:cs="宋体"/>
                <w:szCs w:val="21"/>
              </w:rPr>
              <w:t>（3）监理职责</w:t>
            </w:r>
          </w:p>
          <w:p w14:paraId="0B45CD03">
            <w:pPr>
              <w:spacing w:line="400" w:lineRule="exact"/>
              <w:ind w:firstLine="480"/>
              <w:jc w:val="left"/>
              <w:rPr>
                <w:rFonts w:hint="eastAsia" w:ascii="宋体" w:hAnsi="宋体" w:cs="宋体"/>
                <w:szCs w:val="21"/>
              </w:rPr>
            </w:pPr>
            <w:r>
              <w:rPr>
                <w:rFonts w:ascii="宋体" w:hAnsi="宋体" w:cs="宋体"/>
                <w:szCs w:val="21"/>
              </w:rPr>
              <w:t>按照</w:t>
            </w:r>
            <w:r>
              <w:rPr>
                <w:rFonts w:hint="eastAsia" w:ascii="宋体" w:hAnsi="宋体" w:cs="宋体"/>
                <w:szCs w:val="21"/>
              </w:rPr>
              <w:t>“</w:t>
            </w:r>
            <w:r>
              <w:rPr>
                <w:rFonts w:ascii="宋体" w:hAnsi="宋体" w:cs="宋体"/>
                <w:szCs w:val="21"/>
              </w:rPr>
              <w:t>四控制、三管理、一协调</w:t>
            </w:r>
            <w:r>
              <w:rPr>
                <w:rFonts w:hint="eastAsia" w:ascii="宋体" w:hAnsi="宋体" w:cs="宋体"/>
                <w:szCs w:val="21"/>
              </w:rPr>
              <w:t>”</w:t>
            </w:r>
            <w:r>
              <w:rPr>
                <w:rFonts w:ascii="宋体" w:hAnsi="宋体" w:cs="宋体"/>
                <w:szCs w:val="21"/>
              </w:rPr>
              <w:t>的原则，确保项目在规定的时间内完成，并实现项目建设的目标，本项目监理工作内容应包括但不限于：</w:t>
            </w:r>
          </w:p>
          <w:p w14:paraId="2DDE9329">
            <w:pPr>
              <w:spacing w:line="400" w:lineRule="exact"/>
              <w:ind w:firstLine="480"/>
              <w:jc w:val="left"/>
              <w:rPr>
                <w:rFonts w:hint="eastAsia" w:ascii="宋体" w:hAnsi="宋体" w:cs="宋体"/>
                <w:szCs w:val="21"/>
              </w:rPr>
            </w:pPr>
            <w:r>
              <w:rPr>
                <w:rFonts w:ascii="宋体" w:hAnsi="宋体" w:cs="宋体"/>
                <w:szCs w:val="21"/>
              </w:rPr>
              <w:t>①项目组织及技术实施方案的把关；</w:t>
            </w:r>
          </w:p>
          <w:p w14:paraId="7E717E5D">
            <w:pPr>
              <w:spacing w:line="400" w:lineRule="exact"/>
              <w:ind w:firstLine="480"/>
              <w:jc w:val="left"/>
              <w:rPr>
                <w:rFonts w:hint="eastAsia" w:ascii="宋体" w:hAnsi="宋体" w:cs="宋体"/>
                <w:szCs w:val="21"/>
              </w:rPr>
            </w:pPr>
            <w:r>
              <w:rPr>
                <w:rFonts w:ascii="宋体" w:hAnsi="宋体" w:cs="宋体"/>
                <w:szCs w:val="21"/>
              </w:rPr>
              <w:t>②工程质量控制；</w:t>
            </w:r>
          </w:p>
          <w:p w14:paraId="6183118C">
            <w:pPr>
              <w:spacing w:line="400" w:lineRule="exact"/>
              <w:ind w:firstLine="480"/>
              <w:jc w:val="left"/>
              <w:rPr>
                <w:rFonts w:hint="eastAsia" w:ascii="宋体" w:hAnsi="宋体" w:cs="宋体"/>
                <w:szCs w:val="21"/>
              </w:rPr>
            </w:pPr>
            <w:r>
              <w:rPr>
                <w:rFonts w:ascii="宋体" w:hAnsi="宋体" w:cs="宋体"/>
                <w:szCs w:val="21"/>
              </w:rPr>
              <w:t>③投资控制；</w:t>
            </w:r>
          </w:p>
          <w:p w14:paraId="1EBABEAD">
            <w:pPr>
              <w:spacing w:line="400" w:lineRule="exact"/>
              <w:ind w:firstLine="480"/>
              <w:jc w:val="left"/>
              <w:rPr>
                <w:rFonts w:hint="eastAsia" w:ascii="宋体" w:hAnsi="宋体" w:cs="宋体"/>
                <w:szCs w:val="21"/>
              </w:rPr>
            </w:pPr>
            <w:r>
              <w:rPr>
                <w:rFonts w:ascii="宋体" w:hAnsi="宋体" w:cs="宋体"/>
                <w:szCs w:val="21"/>
              </w:rPr>
              <w:t>④合同管理；</w:t>
            </w:r>
          </w:p>
          <w:p w14:paraId="281EC902">
            <w:pPr>
              <w:spacing w:line="400" w:lineRule="exact"/>
              <w:ind w:firstLine="480"/>
              <w:jc w:val="left"/>
              <w:rPr>
                <w:rFonts w:hint="eastAsia" w:ascii="宋体" w:hAnsi="宋体" w:cs="宋体"/>
                <w:szCs w:val="21"/>
              </w:rPr>
            </w:pPr>
            <w:r>
              <w:rPr>
                <w:rFonts w:ascii="宋体" w:hAnsi="宋体" w:cs="宋体"/>
                <w:szCs w:val="21"/>
              </w:rPr>
              <w:t>⑤信息管理／工程文档管理；</w:t>
            </w:r>
          </w:p>
          <w:p w14:paraId="19752D3B">
            <w:pPr>
              <w:spacing w:line="400" w:lineRule="exact"/>
              <w:ind w:firstLine="480"/>
              <w:jc w:val="left"/>
              <w:rPr>
                <w:rFonts w:hint="eastAsia" w:ascii="宋体" w:hAnsi="宋体" w:cs="宋体"/>
                <w:szCs w:val="21"/>
              </w:rPr>
            </w:pPr>
            <w:r>
              <w:rPr>
                <w:rFonts w:ascii="宋体" w:hAnsi="宋体" w:cs="宋体"/>
                <w:szCs w:val="21"/>
              </w:rPr>
              <w:t>⑥经建设单位委托，负责协调本项目所涉及的各承建单位之间的工作关系，并协调解决项目建设过程中的各类纠纷；</w:t>
            </w:r>
          </w:p>
          <w:p w14:paraId="5710B426">
            <w:pPr>
              <w:spacing w:line="400" w:lineRule="exact"/>
              <w:ind w:firstLine="480"/>
              <w:jc w:val="left"/>
              <w:rPr>
                <w:rFonts w:hint="eastAsia" w:ascii="宋体" w:hAnsi="宋体" w:cs="宋体"/>
                <w:szCs w:val="21"/>
              </w:rPr>
            </w:pPr>
            <w:r>
              <w:rPr>
                <w:rFonts w:ascii="宋体" w:hAnsi="宋体" w:cs="宋体"/>
                <w:szCs w:val="21"/>
              </w:rPr>
              <w:t>⑦项目归档材料标准制定、项目竣工验收等其他与项目管理相关的咨询服务。</w:t>
            </w:r>
          </w:p>
          <w:p w14:paraId="7AA66058">
            <w:pPr>
              <w:spacing w:line="400" w:lineRule="exact"/>
              <w:ind w:firstLine="480"/>
              <w:jc w:val="left"/>
              <w:rPr>
                <w:rFonts w:hint="eastAsia" w:ascii="宋体" w:hAnsi="宋体" w:cs="宋体"/>
                <w:szCs w:val="21"/>
              </w:rPr>
            </w:pPr>
            <w:r>
              <w:rPr>
                <w:rFonts w:ascii="宋体" w:hAnsi="宋体" w:cs="宋体"/>
                <w:szCs w:val="21"/>
              </w:rPr>
              <w:t>（4）项目进行各阶段的监理任务</w:t>
            </w:r>
          </w:p>
          <w:p w14:paraId="32DF9988">
            <w:pPr>
              <w:spacing w:line="400" w:lineRule="exact"/>
              <w:ind w:firstLine="480"/>
              <w:jc w:val="left"/>
              <w:rPr>
                <w:rFonts w:hint="eastAsia" w:ascii="宋体" w:hAnsi="宋体" w:cs="宋体"/>
                <w:szCs w:val="21"/>
              </w:rPr>
            </w:pPr>
            <w:r>
              <w:rPr>
                <w:rFonts w:ascii="宋体" w:hAnsi="宋体" w:cs="宋体"/>
                <w:szCs w:val="21"/>
              </w:rPr>
              <w:t>包括但不限于：</w:t>
            </w:r>
          </w:p>
          <w:p w14:paraId="12FDAAF1">
            <w:pPr>
              <w:spacing w:line="400" w:lineRule="exact"/>
              <w:ind w:firstLine="480"/>
              <w:jc w:val="left"/>
              <w:rPr>
                <w:rFonts w:hint="eastAsia" w:ascii="宋体" w:hAnsi="宋体" w:cs="宋体"/>
                <w:szCs w:val="21"/>
              </w:rPr>
            </w:pPr>
            <w:r>
              <w:rPr>
                <w:rFonts w:ascii="宋体" w:hAnsi="宋体" w:cs="宋体"/>
                <w:szCs w:val="21"/>
              </w:rPr>
              <w:t>①项目实施准备阶段的监理：</w:t>
            </w:r>
          </w:p>
          <w:p w14:paraId="54E1AD7E">
            <w:pPr>
              <w:spacing w:line="400" w:lineRule="exact"/>
              <w:ind w:firstLine="480"/>
              <w:jc w:val="left"/>
              <w:rPr>
                <w:rFonts w:hint="eastAsia" w:ascii="宋体" w:hAnsi="宋体" w:cs="宋体"/>
                <w:szCs w:val="21"/>
              </w:rPr>
            </w:pPr>
            <w:r>
              <w:rPr>
                <w:rFonts w:ascii="宋体" w:hAnsi="宋体" w:cs="宋体"/>
                <w:szCs w:val="21"/>
              </w:rPr>
              <w:t>a.协助采购人审核开工申请，确定开工日期；</w:t>
            </w:r>
          </w:p>
          <w:p w14:paraId="5A172059">
            <w:pPr>
              <w:spacing w:line="400" w:lineRule="exact"/>
              <w:ind w:firstLine="480"/>
              <w:jc w:val="left"/>
              <w:rPr>
                <w:rFonts w:hint="eastAsia" w:ascii="宋体" w:hAnsi="宋体" w:cs="宋体"/>
                <w:szCs w:val="21"/>
              </w:rPr>
            </w:pPr>
            <w:r>
              <w:rPr>
                <w:rFonts w:ascii="宋体" w:hAnsi="宋体" w:cs="宋体"/>
                <w:szCs w:val="21"/>
              </w:rPr>
              <w:t>b.报告承建单位设备订单的订购和运输情况；</w:t>
            </w:r>
          </w:p>
          <w:p w14:paraId="44B0C286">
            <w:pPr>
              <w:spacing w:line="400" w:lineRule="exact"/>
              <w:ind w:firstLine="480"/>
              <w:jc w:val="left"/>
              <w:rPr>
                <w:rFonts w:hint="eastAsia" w:ascii="宋体" w:hAnsi="宋体" w:cs="宋体"/>
                <w:szCs w:val="21"/>
              </w:rPr>
            </w:pPr>
            <w:r>
              <w:rPr>
                <w:rFonts w:ascii="宋体" w:hAnsi="宋体" w:cs="宋体"/>
                <w:szCs w:val="21"/>
              </w:rPr>
              <w:t>c.报告项目实施条件准备情况；</w:t>
            </w:r>
          </w:p>
          <w:p w14:paraId="4F41386E">
            <w:pPr>
              <w:spacing w:line="400" w:lineRule="exact"/>
              <w:ind w:firstLine="480"/>
              <w:jc w:val="left"/>
              <w:rPr>
                <w:rFonts w:hint="eastAsia" w:ascii="宋体" w:hAnsi="宋体" w:cs="宋体"/>
                <w:szCs w:val="21"/>
              </w:rPr>
            </w:pPr>
            <w:r>
              <w:rPr>
                <w:rFonts w:ascii="宋体" w:hAnsi="宋体" w:cs="宋体"/>
                <w:szCs w:val="21"/>
              </w:rPr>
              <w:t>d.报告承建单位项目实施前期的人员组织、施工设备到位情况。</w:t>
            </w:r>
          </w:p>
          <w:p w14:paraId="54340DBB">
            <w:pPr>
              <w:spacing w:line="400" w:lineRule="exact"/>
              <w:ind w:firstLine="480"/>
              <w:jc w:val="left"/>
              <w:rPr>
                <w:rFonts w:hint="eastAsia" w:ascii="宋体" w:hAnsi="宋体" w:cs="宋体"/>
                <w:szCs w:val="21"/>
              </w:rPr>
            </w:pPr>
            <w:r>
              <w:rPr>
                <w:rFonts w:ascii="宋体" w:hAnsi="宋体" w:cs="宋体"/>
                <w:szCs w:val="21"/>
              </w:rPr>
              <w:t>②项目施工阶段的监理</w:t>
            </w:r>
          </w:p>
          <w:p w14:paraId="5B1BAAF9">
            <w:pPr>
              <w:spacing w:line="400" w:lineRule="exact"/>
              <w:ind w:firstLine="480"/>
              <w:jc w:val="left"/>
              <w:rPr>
                <w:rFonts w:hint="eastAsia" w:ascii="宋体" w:hAnsi="宋体" w:cs="宋体"/>
                <w:szCs w:val="21"/>
              </w:rPr>
            </w:pPr>
            <w:r>
              <w:rPr>
                <w:rFonts w:ascii="宋体" w:hAnsi="宋体" w:cs="宋体"/>
                <w:szCs w:val="21"/>
              </w:rPr>
              <w:t>a.按照通过审核的项目实施方案/计划，检查承建单位的实施准备情况、人员投入情况；</w:t>
            </w:r>
          </w:p>
          <w:p w14:paraId="3B543BC5">
            <w:pPr>
              <w:spacing w:line="400" w:lineRule="exact"/>
              <w:ind w:firstLine="480"/>
              <w:jc w:val="left"/>
              <w:rPr>
                <w:rFonts w:hint="eastAsia" w:ascii="宋体" w:hAnsi="宋体" w:cs="宋体"/>
                <w:szCs w:val="21"/>
              </w:rPr>
            </w:pPr>
            <w:r>
              <w:rPr>
                <w:rFonts w:ascii="宋体" w:hAnsi="宋体" w:cs="宋体"/>
                <w:szCs w:val="21"/>
              </w:rPr>
              <w:t>b.督促承建单位提交系统及应用软件或硬件的到货计划，审核承建单位的到货计划，到货计划必须符合合同要求的时间节点，跟进承建单位的到货工作，发现进度滞后或者实际进度可能影响总体进度时，及时在项目例会上提出预警和监理的建议；</w:t>
            </w:r>
          </w:p>
          <w:p w14:paraId="7EB39E08">
            <w:pPr>
              <w:spacing w:line="400" w:lineRule="exact"/>
              <w:ind w:firstLine="480"/>
              <w:jc w:val="left"/>
              <w:rPr>
                <w:rFonts w:hint="eastAsia" w:ascii="宋体" w:hAnsi="宋体" w:cs="宋体"/>
                <w:szCs w:val="21"/>
              </w:rPr>
            </w:pPr>
            <w:r>
              <w:rPr>
                <w:rFonts w:ascii="宋体" w:hAnsi="宋体" w:cs="宋体"/>
                <w:szCs w:val="21"/>
              </w:rPr>
              <w:t>c.依据项目承建合同所约定的工期目标，对网络系统工程、软件工程等实施阶段的质量进行控制，在确保工程质量和安全的原则下，采用动态的控制方法，对工程进度进行主动控制，确保工程按规定的工期完工。并且定期检查承建单位按照进度计划的项目建设情况，促使计划与实际建设的进度保持一致；</w:t>
            </w:r>
          </w:p>
          <w:p w14:paraId="1F161E70">
            <w:pPr>
              <w:spacing w:line="400" w:lineRule="exact"/>
              <w:ind w:firstLine="480"/>
              <w:jc w:val="left"/>
              <w:rPr>
                <w:rFonts w:hint="eastAsia" w:ascii="宋体" w:hAnsi="宋体" w:cs="宋体"/>
                <w:szCs w:val="21"/>
              </w:rPr>
            </w:pPr>
            <w:r>
              <w:rPr>
                <w:rFonts w:ascii="宋体" w:hAnsi="宋体" w:cs="宋体"/>
                <w:szCs w:val="21"/>
              </w:rPr>
              <w:t>d.建立完善的信息与文档管理机制，按照文档管理要求，在建设过程中确保承建单位的文档质量，并对承建单位输出的文档进行审核，及时提出相应的监理意见指导承建单位修改。</w:t>
            </w:r>
          </w:p>
          <w:p w14:paraId="76202DEB">
            <w:pPr>
              <w:spacing w:line="400" w:lineRule="exact"/>
              <w:ind w:firstLine="480"/>
              <w:jc w:val="left"/>
              <w:rPr>
                <w:rFonts w:hint="eastAsia" w:ascii="宋体" w:hAnsi="宋体" w:cs="宋体"/>
                <w:szCs w:val="21"/>
              </w:rPr>
            </w:pPr>
            <w:r>
              <w:rPr>
                <w:rFonts w:ascii="宋体" w:hAnsi="宋体" w:cs="宋体"/>
                <w:szCs w:val="21"/>
              </w:rPr>
              <w:t>e.建立明确的过程质量抽查机制，明确抽查节点、内容、方法及标准。抽查应覆盖项目关键工序，核实项目进展是否符合质量要求。</w:t>
            </w:r>
          </w:p>
          <w:p w14:paraId="14CC4A66">
            <w:pPr>
              <w:spacing w:line="400" w:lineRule="exact"/>
              <w:ind w:firstLine="480"/>
              <w:jc w:val="left"/>
              <w:rPr>
                <w:rFonts w:hint="eastAsia" w:ascii="宋体" w:hAnsi="宋体" w:cs="宋体"/>
                <w:szCs w:val="21"/>
              </w:rPr>
            </w:pPr>
            <w:r>
              <w:rPr>
                <w:rFonts w:ascii="宋体" w:hAnsi="宋体" w:cs="宋体"/>
                <w:szCs w:val="21"/>
              </w:rPr>
              <w:t>发现质量问题后，监理方应签发监理通知单，要求承建方限期整改，并对整改结果进行闭环跟踪和验证。对问题处理进行全程记录留痕，作为后续验收及追究责任的依据。</w:t>
            </w:r>
          </w:p>
          <w:p w14:paraId="1FC48774">
            <w:pPr>
              <w:spacing w:line="400" w:lineRule="exact"/>
              <w:ind w:firstLine="480"/>
              <w:jc w:val="left"/>
              <w:rPr>
                <w:rFonts w:hint="eastAsia" w:ascii="宋体" w:hAnsi="宋体" w:cs="宋体"/>
                <w:szCs w:val="21"/>
              </w:rPr>
            </w:pPr>
            <w:r>
              <w:rPr>
                <w:rFonts w:ascii="宋体" w:hAnsi="宋体" w:cs="宋体"/>
                <w:szCs w:val="21"/>
              </w:rPr>
              <w:t>③系统集成阶段的监理</w:t>
            </w:r>
          </w:p>
          <w:p w14:paraId="4328A7EB">
            <w:pPr>
              <w:spacing w:line="400" w:lineRule="exact"/>
              <w:ind w:firstLine="480"/>
              <w:jc w:val="left"/>
              <w:rPr>
                <w:rFonts w:hint="eastAsia" w:ascii="宋体" w:hAnsi="宋体" w:cs="宋体"/>
                <w:szCs w:val="21"/>
              </w:rPr>
            </w:pPr>
            <w:r>
              <w:rPr>
                <w:rFonts w:ascii="宋体" w:hAnsi="宋体" w:cs="宋体"/>
                <w:szCs w:val="21"/>
              </w:rPr>
              <w:t>a.审核确认承建单位实际到位的项目实施人员与承诺到位的工作人员的一致性；</w:t>
            </w:r>
          </w:p>
          <w:p w14:paraId="2FED84EE">
            <w:pPr>
              <w:spacing w:line="400" w:lineRule="exact"/>
              <w:ind w:firstLine="480"/>
              <w:jc w:val="left"/>
              <w:rPr>
                <w:rFonts w:hint="eastAsia" w:ascii="宋体" w:hAnsi="宋体" w:cs="宋体"/>
                <w:szCs w:val="21"/>
              </w:rPr>
            </w:pPr>
            <w:r>
              <w:rPr>
                <w:rFonts w:ascii="宋体" w:hAnsi="宋体" w:cs="宋体"/>
                <w:szCs w:val="21"/>
              </w:rPr>
              <w:t>b.对现场与异地开发人员的工作内容、进度进行审核、监督；</w:t>
            </w:r>
          </w:p>
          <w:p w14:paraId="0953B5DE">
            <w:pPr>
              <w:spacing w:line="400" w:lineRule="exact"/>
              <w:ind w:firstLine="480"/>
              <w:jc w:val="left"/>
              <w:rPr>
                <w:rFonts w:hint="eastAsia" w:ascii="宋体" w:hAnsi="宋体" w:cs="宋体"/>
                <w:szCs w:val="21"/>
              </w:rPr>
            </w:pPr>
            <w:r>
              <w:rPr>
                <w:rFonts w:ascii="宋体" w:hAnsi="宋体" w:cs="宋体"/>
                <w:szCs w:val="21"/>
              </w:rPr>
              <w:t>c.系统集成、实施和培训等实施阶段的成果质量、进度监理评测和验收。需对照合同及需求文档，对软件功能进行测试核查，对数据质量进行不低于10%的抽查并评定成果质量，确保覆盖所有建设需求。检查系统性能是否达到招标文件和合同要求，并审核承建方的测试用例是否覆盖所有功能点。</w:t>
            </w:r>
          </w:p>
          <w:p w14:paraId="24E527F5">
            <w:pPr>
              <w:spacing w:line="400" w:lineRule="exact"/>
              <w:ind w:firstLine="480"/>
              <w:jc w:val="left"/>
              <w:rPr>
                <w:rFonts w:hint="eastAsia" w:ascii="宋体" w:hAnsi="宋体" w:cs="宋体"/>
                <w:szCs w:val="21"/>
              </w:rPr>
            </w:pPr>
            <w:r>
              <w:rPr>
                <w:rFonts w:ascii="宋体" w:hAnsi="宋体" w:cs="宋体"/>
                <w:szCs w:val="21"/>
              </w:rPr>
              <w:t>④验收阶段的监理</w:t>
            </w:r>
          </w:p>
          <w:p w14:paraId="1839E2A3">
            <w:pPr>
              <w:spacing w:line="400" w:lineRule="exact"/>
              <w:ind w:firstLine="480"/>
              <w:jc w:val="left"/>
              <w:rPr>
                <w:rFonts w:hint="eastAsia" w:ascii="宋体" w:hAnsi="宋体" w:cs="宋体"/>
                <w:szCs w:val="21"/>
              </w:rPr>
            </w:pPr>
            <w:r>
              <w:rPr>
                <w:rFonts w:ascii="宋体" w:hAnsi="宋体" w:cs="宋体"/>
                <w:szCs w:val="21"/>
              </w:rPr>
              <w:t>a.主动配合采购人进行系统验收，做好项目验收会的签到准备工作，协助采购人制定验收流程，确定验收会议程，做好项目验收的保障工作；</w:t>
            </w:r>
          </w:p>
          <w:p w14:paraId="24F2E855">
            <w:pPr>
              <w:spacing w:line="400" w:lineRule="exact"/>
              <w:ind w:firstLine="480"/>
              <w:jc w:val="left"/>
              <w:rPr>
                <w:rFonts w:hint="eastAsia" w:ascii="宋体" w:hAnsi="宋体" w:cs="宋体"/>
                <w:szCs w:val="21"/>
              </w:rPr>
            </w:pPr>
            <w:r>
              <w:rPr>
                <w:rFonts w:ascii="宋体" w:hAnsi="宋体" w:cs="宋体"/>
                <w:szCs w:val="21"/>
              </w:rPr>
              <w:t>b.记录验收意见，监督承建单位按照验收意见完善项目实施工作，形成项目验收报告；</w:t>
            </w:r>
          </w:p>
          <w:p w14:paraId="736260BA">
            <w:pPr>
              <w:spacing w:line="400" w:lineRule="exact"/>
              <w:ind w:firstLine="480"/>
              <w:jc w:val="left"/>
              <w:rPr>
                <w:rFonts w:hint="eastAsia" w:ascii="宋体" w:hAnsi="宋体" w:cs="宋体"/>
                <w:szCs w:val="21"/>
              </w:rPr>
            </w:pPr>
            <w:r>
              <w:rPr>
                <w:rFonts w:ascii="宋体" w:hAnsi="宋体" w:cs="宋体"/>
                <w:szCs w:val="21"/>
              </w:rPr>
              <w:t>c.系统验收完毕进入保修阶段的审核与签发移交证书；</w:t>
            </w:r>
          </w:p>
          <w:p w14:paraId="229BC7EA">
            <w:pPr>
              <w:spacing w:line="400" w:lineRule="exact"/>
              <w:ind w:firstLine="480"/>
              <w:jc w:val="left"/>
              <w:rPr>
                <w:rFonts w:hint="eastAsia" w:ascii="宋体" w:hAnsi="宋体" w:cs="宋体"/>
                <w:szCs w:val="21"/>
              </w:rPr>
            </w:pPr>
            <w:r>
              <w:rPr>
                <w:rFonts w:ascii="宋体" w:hAnsi="宋体" w:cs="宋体"/>
                <w:szCs w:val="21"/>
              </w:rPr>
              <w:t>d.协助采购人向相关部门申报并完成各类测评和测试工作；</w:t>
            </w:r>
          </w:p>
          <w:p w14:paraId="4E4CD0CC">
            <w:pPr>
              <w:spacing w:line="400" w:lineRule="exact"/>
              <w:ind w:firstLine="480"/>
              <w:jc w:val="left"/>
              <w:rPr>
                <w:rFonts w:hint="eastAsia" w:ascii="宋体" w:hAnsi="宋体" w:cs="宋体"/>
                <w:szCs w:val="21"/>
              </w:rPr>
            </w:pPr>
            <w:r>
              <w:rPr>
                <w:rFonts w:ascii="宋体" w:hAnsi="宋体" w:cs="宋体"/>
                <w:szCs w:val="21"/>
              </w:rPr>
              <w:t>e.核实已完成工程的数量、质量，报送采购人做为支付工程价款的依据。</w:t>
            </w:r>
          </w:p>
          <w:p w14:paraId="141F7615">
            <w:pPr>
              <w:spacing w:line="400" w:lineRule="exact"/>
              <w:ind w:firstLine="480"/>
              <w:jc w:val="left"/>
              <w:rPr>
                <w:rFonts w:hint="eastAsia" w:ascii="宋体" w:hAnsi="宋体" w:cs="宋体"/>
                <w:szCs w:val="21"/>
              </w:rPr>
            </w:pPr>
            <w:r>
              <w:rPr>
                <w:rFonts w:ascii="宋体" w:hAnsi="宋体" w:cs="宋体"/>
                <w:szCs w:val="21"/>
              </w:rPr>
              <w:t>⑤工程结束后的移交</w:t>
            </w:r>
          </w:p>
          <w:p w14:paraId="084E7F6B">
            <w:pPr>
              <w:spacing w:line="400" w:lineRule="exact"/>
              <w:ind w:firstLine="480"/>
              <w:jc w:val="left"/>
              <w:rPr>
                <w:rFonts w:hint="eastAsia" w:ascii="宋体" w:hAnsi="宋体" w:cs="宋体"/>
                <w:szCs w:val="21"/>
              </w:rPr>
            </w:pPr>
            <w:r>
              <w:rPr>
                <w:rFonts w:ascii="宋体" w:hAnsi="宋体" w:cs="宋体"/>
                <w:szCs w:val="21"/>
              </w:rPr>
              <w:t>a.系统的设计方案、开发、实施、培训文档以及源代码等全部文档的移交；</w:t>
            </w:r>
          </w:p>
          <w:p w14:paraId="58C3B575">
            <w:pPr>
              <w:spacing w:line="400" w:lineRule="exact"/>
              <w:ind w:firstLine="480"/>
              <w:jc w:val="left"/>
              <w:rPr>
                <w:rFonts w:hint="eastAsia" w:ascii="宋体" w:hAnsi="宋体" w:cs="宋体"/>
                <w:szCs w:val="21"/>
              </w:rPr>
            </w:pPr>
            <w:r>
              <w:rPr>
                <w:rFonts w:ascii="宋体" w:hAnsi="宋体" w:cs="宋体"/>
                <w:szCs w:val="21"/>
              </w:rPr>
              <w:t>b.项目实施文档的移交；</w:t>
            </w:r>
          </w:p>
          <w:p w14:paraId="7EB497F2">
            <w:pPr>
              <w:spacing w:line="400" w:lineRule="exact"/>
              <w:ind w:firstLine="480"/>
              <w:jc w:val="left"/>
              <w:rPr>
                <w:rFonts w:hint="eastAsia" w:ascii="宋体" w:hAnsi="宋体" w:cs="宋体"/>
                <w:szCs w:val="21"/>
              </w:rPr>
            </w:pPr>
            <w:r>
              <w:rPr>
                <w:rFonts w:ascii="宋体" w:hAnsi="宋体" w:cs="宋体"/>
                <w:szCs w:val="21"/>
              </w:rPr>
              <w:t>c.项目竣工文档的移交；</w:t>
            </w:r>
          </w:p>
          <w:p w14:paraId="059B782C">
            <w:pPr>
              <w:spacing w:line="400" w:lineRule="exact"/>
              <w:ind w:firstLine="480"/>
              <w:jc w:val="left"/>
              <w:rPr>
                <w:rFonts w:hint="eastAsia" w:ascii="宋体" w:hAnsi="宋体" w:cs="宋体"/>
                <w:szCs w:val="21"/>
              </w:rPr>
            </w:pPr>
            <w:r>
              <w:rPr>
                <w:rFonts w:ascii="宋体" w:hAnsi="宋体" w:cs="宋体"/>
                <w:szCs w:val="21"/>
              </w:rPr>
              <w:t>d.项目的整体移交；</w:t>
            </w:r>
          </w:p>
          <w:p w14:paraId="10AA4101">
            <w:pPr>
              <w:spacing w:line="400" w:lineRule="exact"/>
              <w:ind w:firstLine="480"/>
              <w:jc w:val="left"/>
              <w:rPr>
                <w:rFonts w:hint="eastAsia" w:ascii="宋体" w:hAnsi="宋体" w:cs="宋体"/>
                <w:szCs w:val="21"/>
              </w:rPr>
            </w:pPr>
            <w:r>
              <w:rPr>
                <w:rFonts w:ascii="宋体" w:hAnsi="宋体" w:cs="宋体"/>
                <w:szCs w:val="21"/>
              </w:rPr>
              <w:t>e.各类档案资料移交。</w:t>
            </w:r>
          </w:p>
          <w:p w14:paraId="6D984FD4">
            <w:pPr>
              <w:spacing w:line="400" w:lineRule="exact"/>
              <w:ind w:firstLine="480"/>
              <w:jc w:val="left"/>
              <w:rPr>
                <w:rFonts w:hint="eastAsia" w:ascii="宋体" w:hAnsi="宋体" w:cs="宋体"/>
                <w:szCs w:val="21"/>
              </w:rPr>
            </w:pPr>
            <w:r>
              <w:rPr>
                <w:rFonts w:ascii="宋体" w:hAnsi="宋体" w:cs="宋体"/>
                <w:szCs w:val="21"/>
              </w:rPr>
              <w:t>⑥文档管理及组织协调</w:t>
            </w:r>
          </w:p>
          <w:p w14:paraId="3E3A1A7A">
            <w:pPr>
              <w:spacing w:line="400" w:lineRule="exact"/>
              <w:ind w:firstLine="480"/>
              <w:jc w:val="left"/>
              <w:rPr>
                <w:rFonts w:hint="eastAsia" w:ascii="宋体" w:hAnsi="宋体" w:cs="宋体"/>
                <w:szCs w:val="21"/>
              </w:rPr>
            </w:pPr>
            <w:r>
              <w:rPr>
                <w:rFonts w:ascii="宋体" w:hAnsi="宋体" w:cs="宋体"/>
                <w:szCs w:val="21"/>
              </w:rPr>
              <w:t>监理单位负责整理记录归档采购人与承建单位来往的文件、合同、协议及会议记录、电话记录等各种文档，监理总结。</w:t>
            </w:r>
          </w:p>
          <w:p w14:paraId="752EA2D9">
            <w:pPr>
              <w:spacing w:line="400" w:lineRule="exact"/>
              <w:ind w:firstLine="480"/>
              <w:jc w:val="left"/>
              <w:rPr>
                <w:rFonts w:hint="eastAsia" w:ascii="宋体" w:hAnsi="宋体" w:cs="宋体"/>
                <w:szCs w:val="21"/>
              </w:rPr>
            </w:pPr>
            <w:r>
              <w:rPr>
                <w:rFonts w:ascii="宋体" w:hAnsi="宋体" w:cs="宋体"/>
                <w:szCs w:val="21"/>
              </w:rPr>
              <w:t>（5）监理要求</w:t>
            </w:r>
          </w:p>
          <w:p w14:paraId="23999EB5">
            <w:pPr>
              <w:spacing w:line="400" w:lineRule="exact"/>
              <w:ind w:firstLine="480"/>
              <w:jc w:val="left"/>
              <w:rPr>
                <w:rFonts w:hint="eastAsia" w:ascii="宋体" w:hAnsi="宋体" w:cs="宋体"/>
                <w:szCs w:val="21"/>
              </w:rPr>
            </w:pPr>
            <w:r>
              <w:rPr>
                <w:rFonts w:ascii="宋体" w:hAnsi="宋体" w:cs="宋体"/>
                <w:szCs w:val="21"/>
              </w:rPr>
              <w:t>本项目监理单位应以第三方立场对采购、安装、测试、验收、实施进行过程监督和把关，以协助采购人圆满完成本工程为目的，协调采购人和承建单位的合作关系，确保监理工作的公正性、公平性、公开性。</w:t>
            </w:r>
          </w:p>
          <w:p w14:paraId="719AEA6F">
            <w:pPr>
              <w:spacing w:line="400" w:lineRule="exact"/>
              <w:ind w:firstLine="480"/>
              <w:jc w:val="left"/>
              <w:rPr>
                <w:rFonts w:hint="eastAsia" w:ascii="宋体" w:hAnsi="宋体" w:cs="宋体"/>
                <w:szCs w:val="21"/>
              </w:rPr>
            </w:pPr>
            <w:r>
              <w:rPr>
                <w:rFonts w:ascii="宋体" w:hAnsi="宋体" w:cs="宋体"/>
                <w:szCs w:val="21"/>
              </w:rPr>
              <w:t>（6）监理组织要求</w:t>
            </w:r>
          </w:p>
          <w:p w14:paraId="045B3E76">
            <w:pPr>
              <w:spacing w:line="400" w:lineRule="exact"/>
              <w:ind w:firstLine="480"/>
              <w:jc w:val="left"/>
              <w:rPr>
                <w:rFonts w:hint="eastAsia" w:ascii="宋体" w:hAnsi="宋体" w:cs="宋体"/>
                <w:szCs w:val="21"/>
              </w:rPr>
            </w:pPr>
            <w:r>
              <w:rPr>
                <w:rFonts w:ascii="宋体" w:hAnsi="宋体" w:cs="宋体"/>
                <w:szCs w:val="21"/>
              </w:rPr>
              <w:t>①监理单位应根据项目需要和投标书承诺，配备满足软件开发和各类硬件等监理工作所需要的人员、设备和工具；</w:t>
            </w:r>
          </w:p>
          <w:p w14:paraId="6DD64BE5">
            <w:pPr>
              <w:spacing w:line="400" w:lineRule="exact"/>
              <w:ind w:firstLine="480"/>
              <w:jc w:val="left"/>
              <w:rPr>
                <w:rFonts w:hint="eastAsia" w:ascii="宋体" w:hAnsi="宋体" w:cs="宋体"/>
                <w:szCs w:val="21"/>
              </w:rPr>
            </w:pPr>
            <w:r>
              <w:rPr>
                <w:rFonts w:ascii="宋体" w:hAnsi="宋体" w:cs="宋体"/>
                <w:szCs w:val="21"/>
              </w:rPr>
              <w:t>②监理过程中，监理组人员应按科学、认真的工作态度开展监理工作，并承担采购人与承建单位的信息保密义务；</w:t>
            </w:r>
          </w:p>
          <w:p w14:paraId="0452BBDF">
            <w:pPr>
              <w:spacing w:line="400" w:lineRule="exact"/>
              <w:ind w:firstLine="480"/>
              <w:jc w:val="left"/>
              <w:rPr>
                <w:rFonts w:hint="eastAsia" w:ascii="宋体" w:hAnsi="宋体" w:cs="宋体"/>
                <w:szCs w:val="21"/>
              </w:rPr>
            </w:pPr>
            <w:r>
              <w:rPr>
                <w:rFonts w:ascii="宋体" w:hAnsi="宋体" w:cs="宋体"/>
                <w:szCs w:val="21"/>
              </w:rPr>
              <w:t>③在采购人本身未提出更换的情况下，监理单位不得以任何理由提出更换总监理师和其它驻场的监理工程师，否则监理单位将首先承担违约罚款，然后才能在征得建设单位的同意下更换总监理师和驻场的监理工程师。</w:t>
            </w:r>
          </w:p>
          <w:p w14:paraId="579211A5">
            <w:pPr>
              <w:spacing w:line="400" w:lineRule="exact"/>
              <w:ind w:firstLine="480"/>
              <w:jc w:val="left"/>
              <w:rPr>
                <w:rFonts w:hint="eastAsia" w:ascii="宋体" w:hAnsi="宋体" w:cs="宋体"/>
                <w:szCs w:val="21"/>
              </w:rPr>
            </w:pPr>
            <w:r>
              <w:rPr>
                <w:rFonts w:ascii="宋体" w:hAnsi="宋体" w:cs="宋体"/>
                <w:szCs w:val="21"/>
              </w:rPr>
              <w:t>（7）监理人员要求</w:t>
            </w:r>
          </w:p>
          <w:p w14:paraId="10715D87">
            <w:pPr>
              <w:spacing w:line="400" w:lineRule="exact"/>
              <w:ind w:firstLine="480"/>
              <w:jc w:val="left"/>
              <w:rPr>
                <w:rFonts w:hint="eastAsia" w:ascii="宋体" w:hAnsi="宋体" w:cs="宋体"/>
                <w:szCs w:val="21"/>
              </w:rPr>
            </w:pPr>
            <w:r>
              <w:rPr>
                <w:rFonts w:ascii="宋体" w:hAnsi="宋体" w:cs="宋体"/>
                <w:szCs w:val="21"/>
              </w:rPr>
              <w:t>监理人员应遵守以下执业规定：</w:t>
            </w:r>
          </w:p>
          <w:p w14:paraId="2A334A57">
            <w:pPr>
              <w:spacing w:line="400" w:lineRule="exact"/>
              <w:ind w:firstLine="480"/>
              <w:jc w:val="left"/>
              <w:rPr>
                <w:rFonts w:hint="eastAsia" w:ascii="宋体" w:hAnsi="宋体" w:cs="宋体"/>
                <w:szCs w:val="21"/>
              </w:rPr>
            </w:pPr>
            <w:r>
              <w:rPr>
                <w:rFonts w:ascii="宋体" w:hAnsi="宋体" w:cs="宋体"/>
                <w:szCs w:val="21"/>
              </w:rPr>
              <w:t>（1）以</w:t>
            </w:r>
            <w:r>
              <w:rPr>
                <w:rFonts w:hint="eastAsia" w:ascii="宋体" w:hAnsi="宋体" w:cs="宋体"/>
                <w:szCs w:val="21"/>
              </w:rPr>
              <w:t>“</w:t>
            </w:r>
            <w:r>
              <w:rPr>
                <w:rFonts w:ascii="宋体" w:hAnsi="宋体" w:cs="宋体"/>
                <w:szCs w:val="21"/>
              </w:rPr>
              <w:t>守法、诚信、公正、科学</w:t>
            </w:r>
            <w:r>
              <w:rPr>
                <w:rFonts w:hint="eastAsia" w:ascii="宋体" w:hAnsi="宋体" w:cs="宋体"/>
                <w:szCs w:val="21"/>
              </w:rPr>
              <w:t>”</w:t>
            </w:r>
            <w:r>
              <w:rPr>
                <w:rFonts w:ascii="宋体" w:hAnsi="宋体" w:cs="宋体"/>
                <w:szCs w:val="21"/>
              </w:rPr>
              <w:t>的准则执业，维护采购人与承建单位的合法权益；</w:t>
            </w:r>
          </w:p>
          <w:p w14:paraId="3E3106F5">
            <w:pPr>
              <w:spacing w:line="400" w:lineRule="exact"/>
              <w:ind w:firstLine="480"/>
              <w:jc w:val="left"/>
              <w:rPr>
                <w:rFonts w:hint="eastAsia" w:ascii="宋体" w:hAnsi="宋体" w:cs="宋体"/>
                <w:szCs w:val="21"/>
              </w:rPr>
            </w:pPr>
            <w:r>
              <w:rPr>
                <w:rFonts w:ascii="宋体" w:hAnsi="宋体" w:cs="宋体"/>
                <w:szCs w:val="21"/>
              </w:rPr>
              <w:t>（2）遵守并执行有关项目建设的法律、法规、规范、标准和制度；</w:t>
            </w:r>
          </w:p>
          <w:p w14:paraId="3740BDFF">
            <w:pPr>
              <w:spacing w:line="400" w:lineRule="exact"/>
              <w:ind w:firstLine="480"/>
              <w:jc w:val="left"/>
              <w:rPr>
                <w:rFonts w:hint="eastAsia" w:ascii="宋体" w:hAnsi="宋体" w:cs="宋体"/>
                <w:szCs w:val="21"/>
              </w:rPr>
            </w:pPr>
            <w:r>
              <w:rPr>
                <w:rFonts w:ascii="宋体" w:hAnsi="宋体" w:cs="宋体"/>
                <w:szCs w:val="21"/>
              </w:rPr>
              <w:t>（3）认真履行监理合同规定的义务和职责；</w:t>
            </w:r>
          </w:p>
          <w:p w14:paraId="28ADD785">
            <w:pPr>
              <w:spacing w:line="400" w:lineRule="exact"/>
              <w:ind w:firstLine="480"/>
              <w:jc w:val="left"/>
              <w:rPr>
                <w:rFonts w:hint="eastAsia" w:ascii="宋体" w:hAnsi="宋体" w:cs="宋体"/>
                <w:szCs w:val="21"/>
              </w:rPr>
            </w:pPr>
            <w:r>
              <w:rPr>
                <w:rFonts w:ascii="宋体" w:hAnsi="宋体" w:cs="宋体"/>
                <w:szCs w:val="21"/>
              </w:rPr>
              <w:t>（4）不收受采购人与承建单位的礼品或礼金；</w:t>
            </w:r>
          </w:p>
          <w:p w14:paraId="63722E21">
            <w:pPr>
              <w:spacing w:line="400" w:lineRule="exact"/>
              <w:ind w:firstLine="480"/>
              <w:jc w:val="left"/>
              <w:rPr>
                <w:rFonts w:hint="eastAsia" w:ascii="宋体" w:hAnsi="宋体" w:cs="宋体"/>
                <w:szCs w:val="21"/>
              </w:rPr>
            </w:pPr>
            <w:r>
              <w:rPr>
                <w:rFonts w:ascii="宋体" w:hAnsi="宋体" w:cs="宋体"/>
                <w:szCs w:val="21"/>
              </w:rPr>
              <w:t>（5）遵守秘密以及其他需要保密的事项；</w:t>
            </w:r>
          </w:p>
          <w:p w14:paraId="3C01CC9C">
            <w:pPr>
              <w:spacing w:line="400" w:lineRule="exact"/>
              <w:ind w:firstLine="480"/>
              <w:jc w:val="left"/>
              <w:rPr>
                <w:rFonts w:hint="eastAsia" w:ascii="宋体" w:hAnsi="宋体" w:cs="宋体"/>
                <w:szCs w:val="21"/>
              </w:rPr>
            </w:pPr>
            <w:r>
              <w:rPr>
                <w:rFonts w:ascii="宋体" w:hAnsi="宋体" w:cs="宋体"/>
                <w:szCs w:val="21"/>
              </w:rPr>
              <w:t>（6）坚持依据相关规则与规定，公正、独立地协调和处理与监理工作相关的争议问题。</w:t>
            </w:r>
          </w:p>
          <w:p w14:paraId="13435F48">
            <w:pPr>
              <w:spacing w:line="400" w:lineRule="exact"/>
              <w:ind w:firstLine="480"/>
              <w:jc w:val="left"/>
              <w:rPr>
                <w:rFonts w:hint="eastAsia" w:ascii="宋体" w:hAnsi="宋体" w:cs="宋体"/>
                <w:szCs w:val="21"/>
              </w:rPr>
            </w:pPr>
            <w:r>
              <w:rPr>
                <w:rFonts w:ascii="宋体" w:hAnsi="宋体" w:cs="宋体"/>
                <w:szCs w:val="21"/>
              </w:rPr>
              <w:t>▲三、成果提交</w:t>
            </w:r>
          </w:p>
          <w:p w14:paraId="26325A45">
            <w:pPr>
              <w:spacing w:line="400" w:lineRule="exact"/>
              <w:ind w:firstLine="480"/>
              <w:jc w:val="left"/>
              <w:rPr>
                <w:rFonts w:hint="eastAsia" w:ascii="宋体" w:hAnsi="宋体" w:cs="宋体"/>
                <w:szCs w:val="21"/>
              </w:rPr>
            </w:pPr>
            <w:r>
              <w:rPr>
                <w:rFonts w:ascii="宋体" w:hAnsi="宋体" w:cs="宋体"/>
                <w:szCs w:val="21"/>
              </w:rPr>
              <w:t>成果要求：必须向采购人提交必要的纸质成果，包括但不限于监理实施类文档、监理回复类文档、监理日志类内部文件等常用监理文件。例：</w:t>
            </w:r>
          </w:p>
          <w:p w14:paraId="404AEFC8">
            <w:pPr>
              <w:spacing w:line="400" w:lineRule="exact"/>
              <w:ind w:firstLine="480"/>
              <w:jc w:val="left"/>
              <w:rPr>
                <w:rFonts w:hint="eastAsia" w:ascii="宋体" w:hAnsi="宋体" w:cs="宋体"/>
                <w:szCs w:val="21"/>
              </w:rPr>
            </w:pPr>
            <w:r>
              <w:rPr>
                <w:rFonts w:ascii="宋体" w:hAnsi="宋体" w:cs="宋体"/>
                <w:szCs w:val="21"/>
              </w:rPr>
              <w:t>1.监理规划、实施细则；</w:t>
            </w:r>
          </w:p>
          <w:p w14:paraId="7CF90B26">
            <w:pPr>
              <w:spacing w:line="400" w:lineRule="exact"/>
              <w:ind w:firstLine="480"/>
              <w:jc w:val="left"/>
              <w:rPr>
                <w:rFonts w:hint="eastAsia" w:ascii="宋体" w:hAnsi="宋体" w:cs="宋体"/>
                <w:szCs w:val="21"/>
              </w:rPr>
            </w:pPr>
            <w:r>
              <w:rPr>
                <w:rFonts w:ascii="宋体" w:hAnsi="宋体" w:cs="宋体"/>
                <w:szCs w:val="21"/>
              </w:rPr>
              <w:t>2.监理工作联系单、通知单；</w:t>
            </w:r>
          </w:p>
          <w:p w14:paraId="72D2BBE9">
            <w:pPr>
              <w:spacing w:line="400" w:lineRule="exact"/>
              <w:ind w:firstLine="480"/>
              <w:jc w:val="left"/>
              <w:rPr>
                <w:rFonts w:hint="eastAsia" w:ascii="宋体" w:hAnsi="宋体" w:cs="宋体"/>
                <w:szCs w:val="21"/>
              </w:rPr>
            </w:pPr>
            <w:r>
              <w:rPr>
                <w:rFonts w:ascii="宋体" w:hAnsi="宋体" w:cs="宋体"/>
                <w:szCs w:val="21"/>
              </w:rPr>
              <w:t>3.会议纪要；</w:t>
            </w:r>
          </w:p>
          <w:p w14:paraId="3801259D">
            <w:pPr>
              <w:spacing w:line="400" w:lineRule="exact"/>
              <w:ind w:firstLine="480"/>
              <w:jc w:val="left"/>
              <w:rPr>
                <w:rFonts w:hint="eastAsia" w:ascii="宋体" w:hAnsi="宋体" w:cs="宋体"/>
                <w:szCs w:val="21"/>
              </w:rPr>
            </w:pPr>
            <w:r>
              <w:rPr>
                <w:rFonts w:ascii="宋体" w:hAnsi="宋体" w:cs="宋体"/>
                <w:szCs w:val="21"/>
              </w:rPr>
              <w:t>4.监理周报/月报；</w:t>
            </w:r>
          </w:p>
          <w:p w14:paraId="644540FA">
            <w:pPr>
              <w:spacing w:line="400" w:lineRule="exact"/>
              <w:ind w:firstLine="480"/>
              <w:jc w:val="left"/>
              <w:rPr>
                <w:rFonts w:hint="eastAsia" w:ascii="宋体" w:hAnsi="宋体" w:cs="宋体"/>
                <w:szCs w:val="21"/>
              </w:rPr>
            </w:pPr>
            <w:r>
              <w:rPr>
                <w:rFonts w:ascii="宋体" w:hAnsi="宋体" w:cs="宋体"/>
                <w:szCs w:val="21"/>
              </w:rPr>
              <w:t>5.监理检查记录；</w:t>
            </w:r>
          </w:p>
          <w:p w14:paraId="20FC194A">
            <w:pPr>
              <w:spacing w:line="400" w:lineRule="exact"/>
              <w:ind w:firstLine="480"/>
              <w:jc w:val="left"/>
              <w:rPr>
                <w:rFonts w:hint="eastAsia" w:ascii="宋体" w:hAnsi="宋体" w:cs="宋体"/>
                <w:szCs w:val="21"/>
              </w:rPr>
            </w:pPr>
            <w:r>
              <w:rPr>
                <w:rFonts w:ascii="宋体" w:hAnsi="宋体" w:cs="宋体"/>
                <w:szCs w:val="21"/>
              </w:rPr>
              <w:t>6.监理审核意见；</w:t>
            </w:r>
          </w:p>
          <w:p w14:paraId="2E52101D">
            <w:pPr>
              <w:spacing w:line="400" w:lineRule="exact"/>
              <w:ind w:firstLine="480"/>
              <w:jc w:val="left"/>
              <w:rPr>
                <w:rFonts w:hint="eastAsia" w:ascii="宋体" w:hAnsi="宋体" w:cs="宋体"/>
                <w:szCs w:val="21"/>
              </w:rPr>
            </w:pPr>
            <w:r>
              <w:rPr>
                <w:rFonts w:ascii="宋体" w:hAnsi="宋体" w:cs="宋体"/>
                <w:szCs w:val="21"/>
              </w:rPr>
              <w:t>7.监理总结报告；</w:t>
            </w:r>
          </w:p>
          <w:p w14:paraId="60A457B1">
            <w:pPr>
              <w:spacing w:line="400" w:lineRule="exact"/>
              <w:ind w:firstLine="480"/>
              <w:jc w:val="left"/>
              <w:rPr>
                <w:rFonts w:hint="eastAsia" w:ascii="宋体" w:hAnsi="宋体" w:cs="宋体"/>
                <w:szCs w:val="21"/>
              </w:rPr>
            </w:pPr>
            <w:r>
              <w:rPr>
                <w:rFonts w:ascii="宋体" w:hAnsi="宋体" w:cs="宋体"/>
                <w:szCs w:val="21"/>
              </w:rPr>
              <w:t>8.验收意见；</w:t>
            </w:r>
          </w:p>
          <w:p w14:paraId="233D141A">
            <w:pPr>
              <w:spacing w:line="400" w:lineRule="exact"/>
              <w:ind w:firstLine="480"/>
              <w:jc w:val="left"/>
              <w:rPr>
                <w:rFonts w:hint="eastAsia" w:ascii="宋体" w:hAnsi="宋体" w:cs="宋体"/>
                <w:szCs w:val="21"/>
              </w:rPr>
            </w:pPr>
            <w:r>
              <w:rPr>
                <w:rFonts w:ascii="宋体" w:hAnsi="宋体" w:cs="宋体"/>
                <w:szCs w:val="21"/>
              </w:rPr>
              <w:t>9.验收报告。</w:t>
            </w:r>
          </w:p>
        </w:tc>
      </w:tr>
      <w:tr w14:paraId="05951B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9325" w:type="dxa"/>
            <w:gridSpan w:val="6"/>
            <w:tcBorders>
              <w:top w:val="single" w:color="auto" w:sz="4" w:space="0"/>
              <w:left w:val="single" w:color="auto" w:sz="4" w:space="0"/>
              <w:bottom w:val="single" w:color="auto" w:sz="4" w:space="0"/>
              <w:right w:val="single" w:color="auto" w:sz="4" w:space="0"/>
            </w:tcBorders>
            <w:vAlign w:val="center"/>
          </w:tcPr>
          <w:p w14:paraId="55DBE742">
            <w:pPr>
              <w:topLinePunct/>
              <w:snapToGrid w:val="0"/>
              <w:spacing w:line="400" w:lineRule="exact"/>
              <w:ind w:firstLine="420"/>
              <w:jc w:val="center"/>
              <w:rPr>
                <w:rFonts w:hint="eastAsia" w:ascii="宋体" w:hAnsi="宋体" w:cs="宋体"/>
                <w:b/>
                <w:szCs w:val="21"/>
              </w:rPr>
            </w:pPr>
            <w:r>
              <w:rPr>
                <w:rFonts w:hint="eastAsia" w:ascii="宋体" w:hAnsi="宋体" w:cs="宋体"/>
                <w:b/>
                <w:bCs/>
                <w:szCs w:val="21"/>
              </w:rPr>
              <w:t>商务条款</w:t>
            </w:r>
          </w:p>
        </w:tc>
      </w:tr>
      <w:tr w14:paraId="16FA8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71A7C37B">
            <w:pPr>
              <w:spacing w:line="400" w:lineRule="exact"/>
              <w:jc w:val="center"/>
              <w:rPr>
                <w:rFonts w:hint="eastAsia" w:ascii="宋体" w:hAnsi="宋体" w:cs="宋体"/>
                <w:b/>
                <w:bCs/>
                <w:szCs w:val="21"/>
              </w:rPr>
            </w:pPr>
            <w:r>
              <w:rPr>
                <w:rFonts w:hint="eastAsia" w:ascii="宋体" w:hAnsi="宋体" w:cs="宋体"/>
                <w:b/>
                <w:bCs/>
                <w:szCs w:val="21"/>
              </w:rPr>
              <w:t>▲（一）合同签订及交付要求</w:t>
            </w:r>
          </w:p>
          <w:p w14:paraId="7F91BD0C">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38416370">
            <w:pPr>
              <w:pStyle w:val="24"/>
              <w:spacing w:line="400" w:lineRule="exact"/>
              <w:rPr>
                <w:rFonts w:hint="eastAsia" w:hAnsi="宋体"/>
                <w:color w:val="auto"/>
                <w:sz w:val="21"/>
                <w:szCs w:val="21"/>
              </w:rPr>
            </w:pPr>
            <w:r>
              <w:rPr>
                <w:rFonts w:hAnsi="宋体"/>
                <w:color w:val="auto"/>
                <w:sz w:val="21"/>
                <w:szCs w:val="21"/>
              </w:rPr>
              <w:t>1.合同签订期：自中标通知书发出之日起25日内。</w:t>
            </w:r>
          </w:p>
          <w:p w14:paraId="5556750D">
            <w:pPr>
              <w:pStyle w:val="24"/>
              <w:spacing w:line="400" w:lineRule="exact"/>
              <w:rPr>
                <w:rFonts w:hint="eastAsia" w:hAnsi="宋体"/>
                <w:color w:val="auto"/>
                <w:sz w:val="21"/>
                <w:szCs w:val="21"/>
              </w:rPr>
            </w:pPr>
            <w:r>
              <w:rPr>
                <w:rFonts w:hAnsi="宋体"/>
                <w:color w:val="auto"/>
                <w:sz w:val="21"/>
                <w:szCs w:val="21"/>
              </w:rPr>
              <w:t>2.服务时间：自合同签订之日起至所监理全部项目完成监理服务并通过完成国家或自治区审批部门立项项目竣工验收结束止。</w:t>
            </w:r>
          </w:p>
          <w:p w14:paraId="09940BBE">
            <w:pPr>
              <w:pStyle w:val="24"/>
              <w:spacing w:line="400" w:lineRule="exact"/>
              <w:rPr>
                <w:rFonts w:hint="eastAsia" w:hAnsi="宋体"/>
                <w:color w:val="auto"/>
                <w:sz w:val="21"/>
                <w:szCs w:val="21"/>
              </w:rPr>
            </w:pPr>
            <w:r>
              <w:rPr>
                <w:rFonts w:hAnsi="宋体"/>
                <w:color w:val="auto"/>
                <w:sz w:val="21"/>
                <w:szCs w:val="21"/>
              </w:rPr>
              <w:t>3.交付地点：采购人指定地点。</w:t>
            </w:r>
          </w:p>
        </w:tc>
      </w:tr>
      <w:tr w14:paraId="022B5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42CA7F51">
            <w:pPr>
              <w:spacing w:line="400" w:lineRule="exact"/>
              <w:jc w:val="center"/>
              <w:rPr>
                <w:rFonts w:hint="eastAsia" w:ascii="宋体" w:hAnsi="宋体" w:cs="宋体"/>
                <w:b/>
                <w:bCs/>
                <w:szCs w:val="21"/>
              </w:rPr>
            </w:pPr>
            <w:r>
              <w:rPr>
                <w:rFonts w:hint="eastAsia" w:ascii="宋体" w:hAnsi="宋体" w:cs="宋体"/>
                <w:b/>
                <w:bCs/>
                <w:szCs w:val="21"/>
              </w:rPr>
              <w:t>▲（二）报价要求</w:t>
            </w:r>
          </w:p>
          <w:p w14:paraId="6EDAF006">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107FCF98">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本项目实行总承包报价，报价为采购人指定服务范围内的全部价格，至少包括：</w:t>
            </w:r>
          </w:p>
          <w:p w14:paraId="68782B62">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1.服务的价格（包括人工、材料、成果打印等）；</w:t>
            </w:r>
          </w:p>
          <w:p w14:paraId="3BF62AA1">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2.必要的保险费用和各项税金；</w:t>
            </w:r>
          </w:p>
          <w:p w14:paraId="7ED1FA06">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3.项目涉及的所有包括但不限于验收、评估、论证等费用。</w:t>
            </w:r>
          </w:p>
          <w:p w14:paraId="4368AB5A">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与本项目有关的其他一切费用。采购人不再支付</w:t>
            </w:r>
            <w:r>
              <w:rPr>
                <w:rFonts w:hint="eastAsia" w:ascii="宋体" w:hAnsi="宋体" w:eastAsia="宋体" w:cs="宋体"/>
                <w:sz w:val="21"/>
                <w:szCs w:val="21"/>
              </w:rPr>
              <w:t>中标</w:t>
            </w:r>
            <w:r>
              <w:rPr>
                <w:rFonts w:ascii="宋体" w:hAnsi="宋体" w:eastAsia="宋体" w:cs="宋体"/>
                <w:sz w:val="21"/>
                <w:szCs w:val="21"/>
              </w:rPr>
              <w:t>价格以外的任何费用。</w:t>
            </w:r>
          </w:p>
        </w:tc>
      </w:tr>
      <w:tr w14:paraId="3D031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33EAF865">
            <w:pPr>
              <w:spacing w:line="400" w:lineRule="exact"/>
              <w:jc w:val="center"/>
              <w:rPr>
                <w:rFonts w:hint="eastAsia" w:ascii="宋体" w:hAnsi="宋体" w:cs="宋体"/>
                <w:b/>
                <w:bCs/>
                <w:szCs w:val="21"/>
              </w:rPr>
            </w:pPr>
            <w:r>
              <w:rPr>
                <w:rFonts w:hint="eastAsia" w:ascii="宋体" w:hAnsi="宋体" w:cs="宋体"/>
                <w:b/>
                <w:bCs/>
                <w:szCs w:val="21"/>
              </w:rPr>
              <w:t>▲（三）付款条件</w:t>
            </w:r>
          </w:p>
          <w:p w14:paraId="2FF5C6E8">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47785ED0">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1.付款</w:t>
            </w:r>
          </w:p>
          <w:p w14:paraId="520A8841">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（1）签订合同后10个工作日内，采购人向中标人支付合同总金额的</w:t>
            </w:r>
            <w:r>
              <w:rPr>
                <w:rFonts w:hint="eastAsia" w:ascii="宋体" w:hAnsi="宋体" w:eastAsia="宋体" w:cs="宋体"/>
                <w:sz w:val="21"/>
                <w:szCs w:val="21"/>
              </w:rPr>
              <w:t>50</w:t>
            </w:r>
            <w:r>
              <w:rPr>
                <w:rFonts w:ascii="宋体" w:hAnsi="宋体" w:eastAsia="宋体" w:cs="宋体"/>
                <w:sz w:val="21"/>
                <w:szCs w:val="21"/>
              </w:rPr>
              <w:t>%。</w:t>
            </w:r>
          </w:p>
          <w:p w14:paraId="0964EF1C">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w:t>
            </w:r>
            <w:r>
              <w:rPr>
                <w:rFonts w:hint="eastAsia" w:ascii="宋体" w:hAnsi="宋体" w:eastAsia="宋体" w:cs="宋体"/>
                <w:sz w:val="21"/>
                <w:szCs w:val="21"/>
              </w:rPr>
              <w:t>2</w:t>
            </w:r>
            <w:r>
              <w:rPr>
                <w:rFonts w:ascii="宋体" w:hAnsi="宋体" w:eastAsia="宋体" w:cs="宋体"/>
                <w:sz w:val="21"/>
                <w:szCs w:val="21"/>
              </w:rPr>
              <w:t>）</w:t>
            </w:r>
            <w:r>
              <w:rPr>
                <w:rFonts w:hint="eastAsia" w:ascii="宋体" w:hAnsi="宋体" w:eastAsia="宋体" w:cs="宋体"/>
                <w:sz w:val="21"/>
                <w:szCs w:val="21"/>
              </w:rPr>
              <w:t>项目完成第一阶段工作，</w:t>
            </w:r>
            <w:r>
              <w:rPr>
                <w:rFonts w:ascii="宋体" w:hAnsi="宋体" w:eastAsia="宋体" w:cs="宋体"/>
                <w:sz w:val="21"/>
                <w:szCs w:val="21"/>
              </w:rPr>
              <w:t>中标人完成</w:t>
            </w:r>
            <w:r>
              <w:rPr>
                <w:rFonts w:hint="eastAsia" w:ascii="宋体" w:hAnsi="宋体" w:eastAsia="宋体" w:cs="宋体"/>
                <w:sz w:val="21"/>
                <w:szCs w:val="21"/>
              </w:rPr>
              <w:t>阶段</w:t>
            </w:r>
            <w:r>
              <w:rPr>
                <w:rFonts w:ascii="宋体" w:hAnsi="宋体" w:eastAsia="宋体" w:cs="宋体"/>
                <w:sz w:val="21"/>
                <w:szCs w:val="21"/>
              </w:rPr>
              <w:t>监理服务，提供阶段性专项监理服务报告并经采购人书面确认后10个工作日内，采购人向中标人支付合同总金额的</w:t>
            </w:r>
            <w:r>
              <w:rPr>
                <w:rFonts w:hint="eastAsia" w:ascii="宋体" w:hAnsi="宋体" w:eastAsia="宋体" w:cs="宋体"/>
                <w:sz w:val="21"/>
                <w:szCs w:val="21"/>
              </w:rPr>
              <w:t>30</w:t>
            </w:r>
            <w:r>
              <w:rPr>
                <w:rFonts w:ascii="宋体" w:hAnsi="宋体" w:eastAsia="宋体" w:cs="宋体"/>
                <w:sz w:val="21"/>
                <w:szCs w:val="21"/>
              </w:rPr>
              <w:t>%</w:t>
            </w:r>
            <w:r>
              <w:rPr>
                <w:rFonts w:hint="eastAsia" w:ascii="宋体" w:hAnsi="宋体" w:eastAsia="宋体" w:cs="宋体"/>
                <w:sz w:val="21"/>
                <w:szCs w:val="21"/>
              </w:rPr>
              <w:t>。</w:t>
            </w:r>
          </w:p>
          <w:p w14:paraId="3D2DC129">
            <w:pPr>
              <w:pStyle w:val="10"/>
              <w:spacing w:line="400" w:lineRule="exact"/>
              <w:ind w:firstLine="0" w:firstLineChars="0"/>
              <w:rPr>
                <w:rFonts w:ascii="宋体" w:hAnsi="宋体" w:eastAsia="宋体" w:cs="宋体"/>
                <w:sz w:val="21"/>
                <w:szCs w:val="21"/>
              </w:rPr>
            </w:pPr>
            <w:r>
              <w:rPr>
                <w:rFonts w:hint="eastAsia" w:ascii="宋体" w:hAnsi="宋体" w:eastAsia="宋体" w:cs="宋体"/>
                <w:sz w:val="21"/>
                <w:szCs w:val="21"/>
              </w:rPr>
              <w:t>（3）项目完成试运行，中标人完成阶段监理服务，提供阶段性专项监理服务报告并经采购人书面确认后10个工作日内，采购人向中标人支付合同总金额的10%。</w:t>
            </w:r>
          </w:p>
          <w:p w14:paraId="4CB2C2C9">
            <w:pPr>
              <w:pStyle w:val="10"/>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（4）项目建设完成经初步验收合格后10个工作日内，采购人向中标人支付合同总金额的10%</w:t>
            </w:r>
            <w:r>
              <w:rPr>
                <w:rFonts w:ascii="宋体" w:hAnsi="宋体" w:eastAsia="宋体" w:cs="宋体"/>
                <w:sz w:val="21"/>
                <w:szCs w:val="21"/>
              </w:rPr>
              <w:t>。</w:t>
            </w:r>
          </w:p>
          <w:p w14:paraId="6989D6E6">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w:t>
            </w:r>
            <w:r>
              <w:rPr>
                <w:rFonts w:hint="eastAsia" w:ascii="宋体" w:hAnsi="宋体" w:eastAsia="宋体" w:cs="宋体"/>
                <w:sz w:val="21"/>
                <w:szCs w:val="21"/>
              </w:rPr>
              <w:t>5</w:t>
            </w:r>
            <w:r>
              <w:rPr>
                <w:rFonts w:ascii="宋体" w:hAnsi="宋体" w:eastAsia="宋体" w:cs="宋体"/>
                <w:sz w:val="21"/>
                <w:szCs w:val="21"/>
              </w:rPr>
              <w:t>）支付每一笔合同款前，中标人须向采购人开具合法、有效等额发票，中标人未及时向采购人开具发票、付款申请书的，采购人有权顺延付款时间，且不承担任何逾期付款违约责任。</w:t>
            </w:r>
          </w:p>
          <w:p w14:paraId="58CED4E5">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2.扣款：本项目将对中标人提供的专项监理服务按季度开展考核，若当期考核未能达到80分及以上，则当期考核应按以下比例扣除履约保证金</w:t>
            </w:r>
            <w:r>
              <w:rPr>
                <w:rFonts w:hint="eastAsia" w:ascii="宋体" w:hAnsi="宋体" w:eastAsia="宋体" w:cs="宋体"/>
                <w:sz w:val="21"/>
                <w:szCs w:val="21"/>
                <w:lang w:eastAsia="zh-CN"/>
              </w:rPr>
              <w:t>，累计扣除金额不超出</w:t>
            </w:r>
            <w:r>
              <w:rPr>
                <w:rFonts w:hint="eastAsia" w:ascii="宋体" w:hAnsi="宋体" w:eastAsia="宋体" w:cs="宋体"/>
                <w:sz w:val="21"/>
                <w:szCs w:val="21"/>
              </w:rPr>
              <w:t>中标</w:t>
            </w:r>
            <w:r>
              <w:rPr>
                <w:rFonts w:ascii="宋体" w:hAnsi="宋体" w:eastAsia="宋体" w:cs="宋体"/>
                <w:sz w:val="21"/>
                <w:szCs w:val="21"/>
              </w:rPr>
              <w:t>总金额</w:t>
            </w:r>
            <w:r>
              <w:rPr>
                <w:rFonts w:hint="eastAsia" w:ascii="宋体" w:hAnsi="宋体" w:eastAsia="宋体" w:cs="宋体"/>
                <w:sz w:val="21"/>
                <w:szCs w:val="21"/>
                <w:lang w:eastAsia="zh-CN"/>
              </w:rPr>
              <w:t>的</w:t>
            </w:r>
            <w:r>
              <w:rPr>
                <w:rFonts w:hint="eastAsia" w:ascii="宋体" w:hAnsi="宋体" w:eastAsia="宋体" w:cs="宋体"/>
                <w:sz w:val="21"/>
                <w:szCs w:val="21"/>
              </w:rPr>
              <w:t>2</w:t>
            </w:r>
            <w:r>
              <w:rPr>
                <w:rFonts w:ascii="宋体" w:hAnsi="宋体" w:eastAsia="宋体" w:cs="宋体"/>
                <w:sz w:val="21"/>
                <w:szCs w:val="21"/>
              </w:rPr>
              <w:t>%：</w:t>
            </w:r>
          </w:p>
          <w:tbl>
            <w:tblPr>
              <w:tblStyle w:val="25"/>
              <w:tblW w:w="69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77"/>
              <w:gridCol w:w="2579"/>
            </w:tblGrid>
            <w:tr w14:paraId="757D7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377" w:type="dxa"/>
                  <w:vAlign w:val="center"/>
                </w:tcPr>
                <w:p w14:paraId="36F362C8">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评分</w:t>
                  </w:r>
                </w:p>
              </w:tc>
              <w:tc>
                <w:tcPr>
                  <w:tcW w:w="2579" w:type="dxa"/>
                  <w:vAlign w:val="center"/>
                </w:tcPr>
                <w:p w14:paraId="42181805">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扣款比例</w:t>
                  </w:r>
                </w:p>
              </w:tc>
            </w:tr>
            <w:tr w14:paraId="50A8F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377" w:type="dxa"/>
                  <w:vAlign w:val="center"/>
                </w:tcPr>
                <w:p w14:paraId="6D6A2BE3">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高于80分（包含80分）</w:t>
                  </w:r>
                </w:p>
              </w:tc>
              <w:tc>
                <w:tcPr>
                  <w:tcW w:w="2579" w:type="dxa"/>
                  <w:vAlign w:val="center"/>
                </w:tcPr>
                <w:p w14:paraId="24E4BF8C">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0%</w:t>
                  </w:r>
                </w:p>
              </w:tc>
            </w:tr>
            <w:tr w14:paraId="3FEED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377" w:type="dxa"/>
                  <w:vAlign w:val="center"/>
                </w:tcPr>
                <w:p w14:paraId="06C5E2E2">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高于60分（包含60分）但低于80分</w:t>
                  </w:r>
                </w:p>
              </w:tc>
              <w:tc>
                <w:tcPr>
                  <w:tcW w:w="2579" w:type="dxa"/>
                  <w:vAlign w:val="center"/>
                </w:tcPr>
                <w:p w14:paraId="1F0592D4">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30%</w:t>
                  </w:r>
                </w:p>
              </w:tc>
            </w:tr>
            <w:tr w14:paraId="4561B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377" w:type="dxa"/>
                  <w:vAlign w:val="center"/>
                </w:tcPr>
                <w:p w14:paraId="08350A33">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低于60分</w:t>
                  </w:r>
                </w:p>
              </w:tc>
              <w:tc>
                <w:tcPr>
                  <w:tcW w:w="2579" w:type="dxa"/>
                  <w:vAlign w:val="center"/>
                </w:tcPr>
                <w:p w14:paraId="2A1E89E8">
                  <w:pPr>
                    <w:pStyle w:val="10"/>
                    <w:spacing w:line="400" w:lineRule="exact"/>
                    <w:ind w:firstLine="420" w:firstLineChars="200"/>
                    <w:rPr>
                      <w:rFonts w:hint="eastAsia" w:ascii="宋体" w:hAnsi="宋体" w:eastAsia="宋体" w:cs="宋体"/>
                      <w:sz w:val="21"/>
                      <w:szCs w:val="21"/>
                      <w:lang w:eastAsia="en-US"/>
                    </w:rPr>
                  </w:pPr>
                  <w:r>
                    <w:rPr>
                      <w:rFonts w:ascii="宋体" w:hAnsi="宋体" w:eastAsia="宋体" w:cs="宋体"/>
                      <w:sz w:val="21"/>
                      <w:szCs w:val="21"/>
                      <w:lang w:eastAsia="en-US"/>
                    </w:rPr>
                    <w:t>60%</w:t>
                  </w:r>
                </w:p>
              </w:tc>
            </w:tr>
          </w:tbl>
          <w:p w14:paraId="7BE60D2F">
            <w:pPr>
              <w:pStyle w:val="1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供应商应自收到考核结果7个工作日内书面向采购人提出异议，并提交相关证明材料，如逾期未提出，视为认可考核结果。</w:t>
            </w:r>
            <w:r>
              <w:rPr>
                <w:rFonts w:ascii="宋体" w:hAnsi="宋体" w:eastAsia="宋体" w:cs="宋体"/>
                <w:sz w:val="21"/>
                <w:szCs w:val="21"/>
              </w:rPr>
              <w:t>如在合同履行期间，采购人因中标人的考核扣减履约保证金的，中标人应在7日内将保证金恢复至原有数额。</w:t>
            </w:r>
          </w:p>
        </w:tc>
      </w:tr>
      <w:tr w14:paraId="3E0CF1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0CD0013A">
            <w:pPr>
              <w:spacing w:line="400" w:lineRule="exact"/>
              <w:rPr>
                <w:rFonts w:hint="eastAsia" w:ascii="宋体" w:hAnsi="宋体" w:cs="宋体"/>
                <w:b/>
                <w:bCs/>
                <w:szCs w:val="21"/>
              </w:rPr>
            </w:pPr>
            <w:r>
              <w:rPr>
                <w:rFonts w:hint="eastAsia" w:ascii="宋体" w:hAnsi="宋体" w:cs="宋体"/>
                <w:b/>
                <w:bCs/>
                <w:szCs w:val="21"/>
              </w:rPr>
              <w:t>▲（四）履约保证金</w:t>
            </w:r>
          </w:p>
          <w:p w14:paraId="0E51A6E2">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27D00B24">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1.中标人须于签订合同前后5个工作日内将本项目</w:t>
            </w:r>
            <w:r>
              <w:rPr>
                <w:rFonts w:hint="eastAsia" w:ascii="宋体" w:hAnsi="宋体" w:eastAsia="宋体" w:cs="宋体"/>
                <w:sz w:val="21"/>
                <w:szCs w:val="21"/>
              </w:rPr>
              <w:t>中标</w:t>
            </w:r>
            <w:r>
              <w:rPr>
                <w:rFonts w:ascii="宋体" w:hAnsi="宋体" w:eastAsia="宋体" w:cs="宋体"/>
                <w:sz w:val="21"/>
                <w:szCs w:val="21"/>
              </w:rPr>
              <w:t>总金额</w:t>
            </w:r>
            <w:r>
              <w:rPr>
                <w:rFonts w:hint="eastAsia" w:ascii="宋体" w:hAnsi="宋体" w:eastAsia="宋体" w:cs="宋体"/>
                <w:sz w:val="21"/>
                <w:szCs w:val="21"/>
              </w:rPr>
              <w:t>2</w:t>
            </w:r>
            <w:r>
              <w:rPr>
                <w:rFonts w:ascii="宋体" w:hAnsi="宋体" w:eastAsia="宋体" w:cs="宋体"/>
                <w:sz w:val="21"/>
                <w:szCs w:val="21"/>
              </w:rPr>
              <w:t>%的履约保证金递交到采购人指定账户。履约保证金递交方式：银行转账、支票、汇票、本票或者金融机构出具的保函等非现金方式。</w:t>
            </w:r>
          </w:p>
          <w:p w14:paraId="28545654">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2.合同履行完毕中标人出具监理总结报告，并顺利通过采购人《</w:t>
            </w:r>
            <w:r>
              <w:rPr>
                <w:rFonts w:hint="eastAsia" w:ascii="宋体" w:hAnsi="宋体" w:eastAsia="宋体" w:cs="宋体"/>
                <w:sz w:val="21"/>
                <w:szCs w:val="21"/>
              </w:rPr>
              <w:t>广西生态环境信息化建设项目</w:t>
            </w:r>
            <w:r>
              <w:rPr>
                <w:rFonts w:ascii="宋体" w:hAnsi="宋体" w:eastAsia="宋体" w:cs="宋体"/>
                <w:sz w:val="21"/>
                <w:szCs w:val="21"/>
              </w:rPr>
              <w:t>专项监理服务考核评分表》的考核（每期考核≥80分即为通过考核），经采购人确认后，履约保证金将于</w:t>
            </w:r>
            <w:r>
              <w:rPr>
                <w:rFonts w:hint="eastAsia" w:ascii="宋体" w:hAnsi="宋体" w:eastAsia="宋体" w:cs="宋体"/>
                <w:sz w:val="21"/>
                <w:szCs w:val="21"/>
              </w:rPr>
              <w:t>5</w:t>
            </w:r>
            <w:r>
              <w:rPr>
                <w:rFonts w:ascii="宋体" w:hAnsi="宋体" w:eastAsia="宋体" w:cs="宋体"/>
                <w:sz w:val="21"/>
                <w:szCs w:val="21"/>
              </w:rPr>
              <w:t>个工作日内无息退还给</w:t>
            </w:r>
            <w:r>
              <w:rPr>
                <w:rFonts w:hint="eastAsia" w:ascii="宋体" w:hAnsi="宋体" w:eastAsia="宋体" w:cs="宋体"/>
                <w:sz w:val="21"/>
                <w:szCs w:val="21"/>
              </w:rPr>
              <w:t>中标</w:t>
            </w:r>
            <w:r>
              <w:rPr>
                <w:rFonts w:ascii="宋体" w:hAnsi="宋体" w:eastAsia="宋体" w:cs="宋体"/>
                <w:sz w:val="21"/>
                <w:szCs w:val="21"/>
              </w:rPr>
              <w:t>供应商。如涉及考核扣款，将从履约保证金中扣减，如在合同履行期间，采购人因中标人的考核扣减履约保证金的，中标人应在7日内将保证金恢复至原有数额。</w:t>
            </w:r>
          </w:p>
        </w:tc>
      </w:tr>
      <w:tr w14:paraId="259944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19974B17">
            <w:pPr>
              <w:spacing w:line="400" w:lineRule="exact"/>
              <w:rPr>
                <w:rFonts w:hint="eastAsia" w:ascii="宋体" w:hAnsi="宋体" w:cs="宋体"/>
                <w:b/>
                <w:bCs/>
                <w:szCs w:val="21"/>
              </w:rPr>
            </w:pPr>
            <w:r>
              <w:rPr>
                <w:rFonts w:hint="eastAsia" w:ascii="宋体" w:hAnsi="宋体" w:cs="宋体"/>
                <w:b/>
                <w:bCs/>
                <w:szCs w:val="21"/>
              </w:rPr>
              <w:t>▲（五）后续服务要求</w:t>
            </w:r>
          </w:p>
          <w:p w14:paraId="70DE53C3">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74483AEC">
            <w:pPr>
              <w:pStyle w:val="24"/>
              <w:spacing w:line="400" w:lineRule="exact"/>
              <w:rPr>
                <w:rFonts w:hint="eastAsia" w:hAnsi="宋体"/>
                <w:color w:val="auto"/>
                <w:sz w:val="21"/>
                <w:szCs w:val="21"/>
              </w:rPr>
            </w:pPr>
            <w:r>
              <w:rPr>
                <w:rFonts w:hAnsi="宋体"/>
                <w:color w:val="auto"/>
                <w:sz w:val="21"/>
                <w:szCs w:val="21"/>
              </w:rPr>
              <w:t>1.签订合同时采购人与中标人签订保密协议，中标人需提供与团队投入人员签订的保密承诺书。中标人应对在提供服务过程中接触到项目相关资料信息安全保密，不得以任何方式复制留存、泄露所接触、知悉项目信息。</w:t>
            </w:r>
          </w:p>
          <w:p w14:paraId="40E576C2">
            <w:pPr>
              <w:pStyle w:val="24"/>
              <w:spacing w:line="400" w:lineRule="exact"/>
              <w:rPr>
                <w:rFonts w:hint="eastAsia" w:hAnsi="宋体"/>
                <w:color w:val="auto"/>
                <w:sz w:val="21"/>
                <w:szCs w:val="21"/>
              </w:rPr>
            </w:pPr>
            <w:r>
              <w:rPr>
                <w:rFonts w:hAnsi="宋体"/>
                <w:color w:val="auto"/>
                <w:sz w:val="21"/>
                <w:szCs w:val="21"/>
              </w:rPr>
              <w:t>2.本项目监理过程中，中标人应提供完成本项服务所需要的车辆、通讯设备、办公设施等一切物资以辅助本项目相关工作。</w:t>
            </w:r>
          </w:p>
        </w:tc>
      </w:tr>
      <w:tr w14:paraId="5809B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2036" w:type="dxa"/>
            <w:gridSpan w:val="3"/>
            <w:tcBorders>
              <w:top w:val="single" w:color="auto" w:sz="4" w:space="0"/>
              <w:left w:val="single" w:color="auto" w:sz="4" w:space="0"/>
              <w:bottom w:val="single" w:color="auto" w:sz="4" w:space="0"/>
              <w:right w:val="single" w:color="auto" w:sz="4" w:space="0"/>
            </w:tcBorders>
            <w:vAlign w:val="center"/>
          </w:tcPr>
          <w:p w14:paraId="2C21D5AC">
            <w:pPr>
              <w:spacing w:line="400" w:lineRule="exact"/>
              <w:jc w:val="center"/>
              <w:rPr>
                <w:rFonts w:hint="eastAsia" w:ascii="宋体" w:hAnsi="宋体" w:cs="宋体"/>
                <w:b/>
                <w:bCs/>
                <w:szCs w:val="21"/>
              </w:rPr>
            </w:pPr>
            <w:r>
              <w:rPr>
                <w:rFonts w:hint="eastAsia" w:ascii="宋体" w:hAnsi="宋体" w:cs="宋体"/>
                <w:b/>
                <w:bCs/>
                <w:szCs w:val="21"/>
              </w:rPr>
              <w:t>▲（六）其他要求</w:t>
            </w:r>
          </w:p>
          <w:p w14:paraId="68B61E6F">
            <w:pPr>
              <w:pStyle w:val="2"/>
              <w:spacing w:line="400" w:lineRule="exact"/>
              <w:jc w:val="center"/>
              <w:rPr>
                <w:rFonts w:hint="eastAsia" w:ascii="宋体" w:hAnsi="宋体" w:cs="宋体"/>
                <w:b/>
                <w:bCs/>
                <w:sz w:val="21"/>
                <w:szCs w:val="21"/>
              </w:rPr>
            </w:pPr>
          </w:p>
        </w:tc>
        <w:tc>
          <w:tcPr>
            <w:tcW w:w="7289" w:type="dxa"/>
            <w:gridSpan w:val="3"/>
            <w:tcBorders>
              <w:top w:val="single" w:color="auto" w:sz="4" w:space="0"/>
              <w:left w:val="single" w:color="auto" w:sz="4" w:space="0"/>
              <w:bottom w:val="single" w:color="auto" w:sz="4" w:space="0"/>
              <w:right w:val="single" w:color="auto" w:sz="4" w:space="0"/>
            </w:tcBorders>
          </w:tcPr>
          <w:p w14:paraId="073EB074">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1.本项目投标报价包含完成上述服务内容所需的费用。如提供服务过程中产生额外费用，由中标人自行负责。</w:t>
            </w:r>
          </w:p>
          <w:p w14:paraId="1C668614">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2.中标人不得以任何形式向与本项目无关的其他单位或人员提供询价文件及所附的有关资料，如违反，必须赔偿采购人的所有损失，且采购人保留追究法律责任的权利。</w:t>
            </w:r>
          </w:p>
          <w:p w14:paraId="124E46E4">
            <w:pPr>
              <w:pStyle w:val="10"/>
              <w:spacing w:line="400" w:lineRule="exact"/>
              <w:ind w:firstLine="0" w:firstLineChars="0"/>
              <w:rPr>
                <w:rFonts w:hint="eastAsia" w:ascii="宋体" w:hAnsi="宋体" w:eastAsia="宋体" w:cs="宋体"/>
                <w:sz w:val="21"/>
                <w:szCs w:val="21"/>
              </w:rPr>
            </w:pPr>
            <w:r>
              <w:rPr>
                <w:rFonts w:ascii="宋体" w:hAnsi="宋体" w:eastAsia="宋体" w:cs="宋体"/>
                <w:sz w:val="21"/>
                <w:szCs w:val="21"/>
              </w:rPr>
              <w:t>3.中标人不得承担本项目工程建设的系统集成及相关实施工作。</w:t>
            </w:r>
          </w:p>
        </w:tc>
      </w:tr>
    </w:tbl>
    <w:p w14:paraId="46C1EA76">
      <w:pPr>
        <w:pStyle w:val="12"/>
        <w:rPr>
          <w:rFonts w:hint="eastAsia" w:ascii="宋体" w:hAnsi="宋体" w:cs="宋体"/>
          <w:b/>
          <w:bCs/>
          <w:sz w:val="24"/>
          <w:szCs w:val="24"/>
        </w:rPr>
      </w:pPr>
    </w:p>
    <w:p w14:paraId="2FE28B83">
      <w:pPr>
        <w:pStyle w:val="2"/>
        <w:rPr>
          <w:rFonts w:hint="eastAsia" w:ascii="宋体" w:hAnsi="宋体" w:cs="宋体"/>
          <w:sz w:val="21"/>
          <w:szCs w:val="21"/>
        </w:rPr>
      </w:pPr>
    </w:p>
    <w:p w14:paraId="2851E07B">
      <w:pPr>
        <w:pStyle w:val="3"/>
        <w:jc w:val="both"/>
        <w:rPr>
          <w:rFonts w:hint="eastAsia" w:ascii="宋体" w:hAnsi="宋体" w:cs="宋体"/>
          <w:sz w:val="21"/>
          <w:szCs w:val="21"/>
        </w:rPr>
        <w:sectPr>
          <w:footerReference r:id="rId5" w:type="default"/>
          <w:footnotePr>
            <w:numFmt w:val="decimalEnclosedCircleChinese"/>
          </w:footnotePr>
          <w:pgSz w:w="11906" w:h="16838"/>
          <w:pgMar w:top="1440" w:right="1800" w:bottom="1440" w:left="1800" w:header="851" w:footer="992" w:gutter="0"/>
          <w:cols w:space="720" w:num="1"/>
          <w:docGrid w:type="lines" w:linePitch="312" w:charSpace="0"/>
        </w:sectPr>
      </w:pPr>
    </w:p>
    <w:p w14:paraId="7D823C4E">
      <w:pPr>
        <w:jc w:val="left"/>
        <w:outlineLvl w:val="0"/>
        <w:rPr>
          <w:rFonts w:hint="eastAsia" w:ascii="宋体" w:hAnsi="宋体" w:cs="宋体"/>
          <w:b/>
          <w:bCs/>
          <w:szCs w:val="21"/>
        </w:rPr>
      </w:pPr>
      <w:r>
        <w:rPr>
          <w:rFonts w:hint="eastAsia" w:ascii="宋体" w:hAnsi="宋体" w:cs="宋体"/>
          <w:b/>
          <w:bCs/>
          <w:szCs w:val="21"/>
        </w:rPr>
        <w:t>附件一</w:t>
      </w:r>
    </w:p>
    <w:p w14:paraId="3955FE02">
      <w:pPr>
        <w:ind w:firstLine="896"/>
        <w:jc w:val="center"/>
        <w:rPr>
          <w:rFonts w:hint="eastAsia" w:ascii="宋体" w:hAnsi="宋体" w:cs="宋体"/>
          <w:b/>
          <w:bCs/>
          <w:spacing w:val="4"/>
          <w:position w:val="3"/>
          <w:sz w:val="44"/>
          <w:szCs w:val="44"/>
        </w:rPr>
      </w:pPr>
      <w:r>
        <w:rPr>
          <w:rFonts w:hint="eastAsia" w:ascii="宋体" w:hAnsi="宋体" w:cs="宋体"/>
          <w:b/>
          <w:bCs/>
          <w:spacing w:val="4"/>
          <w:position w:val="3"/>
          <w:sz w:val="44"/>
          <w:szCs w:val="44"/>
        </w:rPr>
        <w:t>广西生态环境信息化建设项目</w:t>
      </w:r>
    </w:p>
    <w:p w14:paraId="199A67B6">
      <w:pPr>
        <w:ind w:firstLine="896"/>
        <w:jc w:val="center"/>
        <w:rPr>
          <w:rFonts w:hint="eastAsia" w:ascii="宋体" w:hAnsi="宋体" w:cs="宋体"/>
          <w:b/>
          <w:bCs/>
          <w:sz w:val="44"/>
          <w:szCs w:val="44"/>
        </w:rPr>
      </w:pPr>
      <w:r>
        <w:rPr>
          <w:rFonts w:hint="eastAsia" w:ascii="宋体" w:hAnsi="宋体" w:cs="宋体"/>
          <w:b/>
          <w:bCs/>
          <w:spacing w:val="4"/>
          <w:position w:val="3"/>
          <w:sz w:val="44"/>
          <w:szCs w:val="44"/>
        </w:rPr>
        <w:t>专项监理服务考核评分表</w:t>
      </w:r>
    </w:p>
    <w:tbl>
      <w:tblPr>
        <w:tblStyle w:val="18"/>
        <w:tblW w:w="14174" w:type="dxa"/>
        <w:tblInd w:w="0" w:type="dxa"/>
        <w:tblLayout w:type="fixed"/>
        <w:tblCellMar>
          <w:top w:w="0" w:type="dxa"/>
          <w:left w:w="108" w:type="dxa"/>
          <w:bottom w:w="0" w:type="dxa"/>
          <w:right w:w="108" w:type="dxa"/>
        </w:tblCellMar>
      </w:tblPr>
      <w:tblGrid>
        <w:gridCol w:w="874"/>
        <w:gridCol w:w="1304"/>
        <w:gridCol w:w="7257"/>
        <w:gridCol w:w="831"/>
        <w:gridCol w:w="3908"/>
      </w:tblGrid>
      <w:tr w14:paraId="428BD0D4">
        <w:tblPrEx>
          <w:tblCellMar>
            <w:top w:w="0" w:type="dxa"/>
            <w:left w:w="108" w:type="dxa"/>
            <w:bottom w:w="0" w:type="dxa"/>
            <w:right w:w="108" w:type="dxa"/>
          </w:tblCellMar>
        </w:tblPrEx>
        <w:trPr>
          <w:trHeight w:val="285" w:hRule="atLeast"/>
          <w:tblHeader/>
        </w:trPr>
        <w:tc>
          <w:tcPr>
            <w:tcW w:w="874" w:type="dxa"/>
            <w:tcBorders>
              <w:top w:val="single" w:color="000000" w:sz="4" w:space="0"/>
              <w:left w:val="single" w:color="000000" w:sz="4" w:space="0"/>
              <w:bottom w:val="single" w:color="000000" w:sz="4" w:space="0"/>
              <w:right w:val="single" w:color="000000" w:sz="4" w:space="0"/>
            </w:tcBorders>
            <w:vAlign w:val="center"/>
          </w:tcPr>
          <w:p w14:paraId="6B261770">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序号</w:t>
            </w:r>
          </w:p>
        </w:tc>
        <w:tc>
          <w:tcPr>
            <w:tcW w:w="1304" w:type="dxa"/>
            <w:tcBorders>
              <w:top w:val="single" w:color="000000" w:sz="4" w:space="0"/>
              <w:left w:val="single" w:color="000000" w:sz="4" w:space="0"/>
              <w:bottom w:val="single" w:color="000000" w:sz="4" w:space="0"/>
              <w:right w:val="single" w:color="000000" w:sz="4" w:space="0"/>
            </w:tcBorders>
            <w:vAlign w:val="center"/>
          </w:tcPr>
          <w:p w14:paraId="4DD837CF">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考核类别</w:t>
            </w:r>
          </w:p>
        </w:tc>
        <w:tc>
          <w:tcPr>
            <w:tcW w:w="7257" w:type="dxa"/>
            <w:tcBorders>
              <w:top w:val="single" w:color="000000" w:sz="4" w:space="0"/>
              <w:left w:val="single" w:color="000000" w:sz="4" w:space="0"/>
              <w:bottom w:val="single" w:color="000000" w:sz="4" w:space="0"/>
              <w:right w:val="single" w:color="000000" w:sz="4" w:space="0"/>
            </w:tcBorders>
            <w:vAlign w:val="center"/>
          </w:tcPr>
          <w:p w14:paraId="3F7CFDE3">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评分细则</w:t>
            </w:r>
          </w:p>
        </w:tc>
        <w:tc>
          <w:tcPr>
            <w:tcW w:w="831" w:type="dxa"/>
            <w:tcBorders>
              <w:top w:val="single" w:color="000000" w:sz="4" w:space="0"/>
              <w:left w:val="single" w:color="000000" w:sz="4" w:space="0"/>
              <w:bottom w:val="single" w:color="000000" w:sz="4" w:space="0"/>
              <w:right w:val="single" w:color="000000" w:sz="4" w:space="0"/>
            </w:tcBorders>
            <w:vAlign w:val="center"/>
          </w:tcPr>
          <w:p w14:paraId="4F371EA1">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得分</w:t>
            </w:r>
          </w:p>
        </w:tc>
        <w:tc>
          <w:tcPr>
            <w:tcW w:w="3908" w:type="dxa"/>
            <w:tcBorders>
              <w:top w:val="single" w:color="000000" w:sz="4" w:space="0"/>
              <w:left w:val="single" w:color="000000" w:sz="4" w:space="0"/>
              <w:bottom w:val="single" w:color="000000" w:sz="4" w:space="0"/>
              <w:right w:val="single" w:color="000000" w:sz="4" w:space="0"/>
            </w:tcBorders>
            <w:vAlign w:val="center"/>
          </w:tcPr>
          <w:p w14:paraId="335269A1">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备注</w:t>
            </w:r>
          </w:p>
        </w:tc>
      </w:tr>
      <w:tr w14:paraId="68FB03A2">
        <w:tblPrEx>
          <w:tblCellMar>
            <w:top w:w="0" w:type="dxa"/>
            <w:left w:w="108" w:type="dxa"/>
            <w:bottom w:w="0" w:type="dxa"/>
            <w:right w:w="108" w:type="dxa"/>
          </w:tblCellMar>
        </w:tblPrEx>
        <w:trPr>
          <w:trHeight w:val="2620"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4407E558">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1</w:t>
            </w:r>
          </w:p>
        </w:tc>
        <w:tc>
          <w:tcPr>
            <w:tcW w:w="1304" w:type="dxa"/>
            <w:tcBorders>
              <w:top w:val="single" w:color="000000" w:sz="4" w:space="0"/>
              <w:left w:val="single" w:color="000000" w:sz="4" w:space="0"/>
              <w:bottom w:val="single" w:color="000000" w:sz="4" w:space="0"/>
              <w:right w:val="single" w:color="000000" w:sz="4" w:space="0"/>
            </w:tcBorders>
            <w:vAlign w:val="center"/>
          </w:tcPr>
          <w:p w14:paraId="7441FF44">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工作进度落实</w:t>
            </w:r>
            <w:r>
              <w:rPr>
                <w:rFonts w:hint="eastAsia" w:ascii="宋体" w:hAnsi="宋体" w:cs="宋体"/>
                <w:kern w:val="0"/>
                <w:sz w:val="20"/>
                <w:szCs w:val="20"/>
              </w:rPr>
              <w:br w:type="textWrapping"/>
            </w:r>
            <w:r>
              <w:rPr>
                <w:rFonts w:hint="eastAsia" w:ascii="宋体" w:hAnsi="宋体" w:cs="宋体"/>
                <w:kern w:val="0"/>
                <w:sz w:val="20"/>
                <w:szCs w:val="20"/>
              </w:rPr>
              <w:t>（30分）</w:t>
            </w:r>
          </w:p>
        </w:tc>
        <w:tc>
          <w:tcPr>
            <w:tcW w:w="7257" w:type="dxa"/>
            <w:tcBorders>
              <w:top w:val="single" w:color="000000" w:sz="4" w:space="0"/>
              <w:left w:val="single" w:color="000000" w:sz="4" w:space="0"/>
              <w:bottom w:val="single" w:color="000000" w:sz="4" w:space="0"/>
              <w:right w:val="single" w:color="000000" w:sz="4" w:space="0"/>
            </w:tcBorders>
            <w:vAlign w:val="center"/>
          </w:tcPr>
          <w:p w14:paraId="6F6A84DC">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（1）21—30分。监理工作进度落实到位，实际工作进度符合或优于采购人要求，阶段性工作报告内容详细、工作计划合理且如期完成。</w:t>
            </w:r>
            <w:r>
              <w:rPr>
                <w:rFonts w:hint="eastAsia" w:ascii="宋体" w:hAnsi="宋体" w:cs="宋体"/>
                <w:kern w:val="0"/>
                <w:sz w:val="20"/>
                <w:szCs w:val="20"/>
              </w:rPr>
              <w:br w:type="textWrapping"/>
            </w:r>
            <w:r>
              <w:rPr>
                <w:rFonts w:hint="eastAsia" w:ascii="宋体" w:hAnsi="宋体" w:cs="宋体"/>
                <w:kern w:val="0"/>
                <w:sz w:val="20"/>
                <w:szCs w:val="20"/>
              </w:rPr>
              <w:t>（2）11—20分。监理工作进度有偏差，实际工作进度与采购人要求有偏差，阶段性工作报告内容完整、下一阶段工作计划能够追回工作进度要求。</w:t>
            </w:r>
            <w:r>
              <w:rPr>
                <w:rFonts w:hint="eastAsia" w:ascii="宋体" w:hAnsi="宋体" w:cs="宋体"/>
                <w:kern w:val="0"/>
                <w:sz w:val="20"/>
                <w:szCs w:val="20"/>
              </w:rPr>
              <w:br w:type="textWrapping"/>
            </w:r>
            <w:r>
              <w:rPr>
                <w:rFonts w:hint="eastAsia" w:ascii="宋体" w:hAnsi="宋体" w:cs="宋体"/>
                <w:kern w:val="0"/>
                <w:sz w:val="20"/>
                <w:szCs w:val="20"/>
              </w:rPr>
              <w:t>（3）0—10分。监理工作进度不到位，实际工作进度落后于采购人要求，阶段性工作报告内容不全、下一阶段工作计划难以追赶回工作进度要求。</w:t>
            </w:r>
          </w:p>
        </w:tc>
        <w:tc>
          <w:tcPr>
            <w:tcW w:w="831" w:type="dxa"/>
            <w:tcBorders>
              <w:top w:val="single" w:color="000000" w:sz="4" w:space="0"/>
              <w:left w:val="single" w:color="000000" w:sz="4" w:space="0"/>
              <w:bottom w:val="single" w:color="000000" w:sz="4" w:space="0"/>
              <w:right w:val="single" w:color="000000" w:sz="4" w:space="0"/>
            </w:tcBorders>
            <w:vAlign w:val="center"/>
          </w:tcPr>
          <w:p w14:paraId="0EADBF91">
            <w:pPr>
              <w:widowControl/>
              <w:spacing w:line="400" w:lineRule="exact"/>
              <w:jc w:val="left"/>
              <w:textAlignment w:val="center"/>
              <w:rPr>
                <w:rFonts w:hint="eastAsia" w:ascii="宋体" w:hAnsi="宋体" w:cs="宋体"/>
                <w:kern w:val="0"/>
                <w:sz w:val="20"/>
                <w:szCs w:val="20"/>
              </w:rPr>
            </w:pPr>
          </w:p>
        </w:tc>
        <w:tc>
          <w:tcPr>
            <w:tcW w:w="3908" w:type="dxa"/>
            <w:tcBorders>
              <w:top w:val="single" w:color="000000" w:sz="4" w:space="0"/>
              <w:left w:val="single" w:color="000000" w:sz="4" w:space="0"/>
              <w:bottom w:val="single" w:color="000000" w:sz="4" w:space="0"/>
              <w:right w:val="single" w:color="000000" w:sz="4" w:space="0"/>
            </w:tcBorders>
            <w:vAlign w:val="center"/>
          </w:tcPr>
          <w:p w14:paraId="6D5826F1">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进度情况报告需包括：当前工作进度、与各项目承建单位合同要求进度对标情况、进度快慢原因分析、存在困难问题、经验总结、下一步工作计划等，材料附上。</w:t>
            </w:r>
          </w:p>
        </w:tc>
      </w:tr>
      <w:tr w14:paraId="3B3F480A">
        <w:tblPrEx>
          <w:tblCellMar>
            <w:top w:w="0" w:type="dxa"/>
            <w:left w:w="108" w:type="dxa"/>
            <w:bottom w:w="0" w:type="dxa"/>
            <w:right w:w="108" w:type="dxa"/>
          </w:tblCellMar>
        </w:tblPrEx>
        <w:trPr>
          <w:trHeight w:val="460"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418238D7">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2</w:t>
            </w:r>
          </w:p>
        </w:tc>
        <w:tc>
          <w:tcPr>
            <w:tcW w:w="1304" w:type="dxa"/>
            <w:tcBorders>
              <w:top w:val="single" w:color="000000" w:sz="4" w:space="0"/>
              <w:left w:val="single" w:color="000000" w:sz="4" w:space="0"/>
              <w:bottom w:val="single" w:color="000000" w:sz="4" w:space="0"/>
              <w:right w:val="single" w:color="000000" w:sz="4" w:space="0"/>
            </w:tcBorders>
            <w:vAlign w:val="center"/>
          </w:tcPr>
          <w:p w14:paraId="5ADCC54A">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沟通协调</w:t>
            </w:r>
            <w:r>
              <w:rPr>
                <w:rFonts w:hint="eastAsia" w:ascii="宋体" w:hAnsi="宋体" w:cs="宋体"/>
                <w:kern w:val="0"/>
                <w:sz w:val="20"/>
                <w:szCs w:val="20"/>
              </w:rPr>
              <w:br w:type="textWrapping"/>
            </w:r>
            <w:r>
              <w:rPr>
                <w:rFonts w:hint="eastAsia" w:ascii="宋体" w:hAnsi="宋体" w:cs="宋体"/>
                <w:kern w:val="0"/>
                <w:sz w:val="20"/>
                <w:szCs w:val="20"/>
              </w:rPr>
              <w:t>（20分）</w:t>
            </w:r>
          </w:p>
        </w:tc>
        <w:tc>
          <w:tcPr>
            <w:tcW w:w="7257" w:type="dxa"/>
            <w:tcBorders>
              <w:top w:val="single" w:color="000000" w:sz="4" w:space="0"/>
              <w:left w:val="single" w:color="000000" w:sz="4" w:space="0"/>
              <w:bottom w:val="single" w:color="000000" w:sz="4" w:space="0"/>
              <w:right w:val="single" w:color="000000" w:sz="4" w:space="0"/>
            </w:tcBorders>
            <w:vAlign w:val="center"/>
          </w:tcPr>
          <w:p w14:paraId="314275F6">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（1）14—20分。能够很好的协调各分标项目共同推进工作，工作报告及时准确，推进措施有力，沟通协调工作中耐心细致、态度热情友好；人员响应及时。</w:t>
            </w:r>
            <w:r>
              <w:rPr>
                <w:rFonts w:hint="eastAsia" w:ascii="宋体" w:hAnsi="宋体" w:cs="宋体"/>
                <w:kern w:val="0"/>
                <w:sz w:val="20"/>
                <w:szCs w:val="20"/>
              </w:rPr>
              <w:br w:type="textWrapping"/>
            </w:r>
            <w:r>
              <w:rPr>
                <w:rFonts w:hint="eastAsia" w:ascii="宋体" w:hAnsi="宋体" w:cs="宋体"/>
                <w:kern w:val="0"/>
                <w:sz w:val="20"/>
                <w:szCs w:val="20"/>
              </w:rPr>
              <w:t>（2）7—13分。能够主动协调各分标项目推进工作，工作中出现问题及时报告和采取措施，沟通协调工作中有耐心、态度良好；人员响应有出现超时情况且不多于3次。</w:t>
            </w:r>
            <w:r>
              <w:rPr>
                <w:rFonts w:hint="eastAsia" w:ascii="宋体" w:hAnsi="宋体" w:cs="宋体"/>
                <w:kern w:val="0"/>
                <w:sz w:val="20"/>
                <w:szCs w:val="20"/>
              </w:rPr>
              <w:br w:type="textWrapping"/>
            </w:r>
            <w:r>
              <w:rPr>
                <w:rFonts w:hint="eastAsia" w:ascii="宋体" w:hAnsi="宋体" w:cs="宋体"/>
                <w:kern w:val="0"/>
                <w:sz w:val="20"/>
                <w:szCs w:val="20"/>
              </w:rPr>
              <w:t>（3）0—6分。能够联络各分标项目，减少推进工作的阻力，工作出现问题报告不及时和采取措施不到位，沟通协调工作中态度一般；人员响应出现超时情况3次以上。</w:t>
            </w:r>
          </w:p>
        </w:tc>
        <w:tc>
          <w:tcPr>
            <w:tcW w:w="831" w:type="dxa"/>
            <w:tcBorders>
              <w:top w:val="single" w:color="000000" w:sz="4" w:space="0"/>
              <w:left w:val="single" w:color="000000" w:sz="4" w:space="0"/>
              <w:bottom w:val="single" w:color="000000" w:sz="4" w:space="0"/>
              <w:right w:val="single" w:color="000000" w:sz="4" w:space="0"/>
            </w:tcBorders>
            <w:vAlign w:val="center"/>
          </w:tcPr>
          <w:p w14:paraId="1AE2B43B">
            <w:pPr>
              <w:widowControl/>
              <w:spacing w:line="400" w:lineRule="exact"/>
              <w:jc w:val="left"/>
              <w:textAlignment w:val="center"/>
              <w:rPr>
                <w:rFonts w:hint="eastAsia" w:ascii="宋体" w:hAnsi="宋体" w:cs="宋体"/>
                <w:kern w:val="0"/>
                <w:sz w:val="20"/>
                <w:szCs w:val="20"/>
              </w:rPr>
            </w:pPr>
          </w:p>
        </w:tc>
        <w:tc>
          <w:tcPr>
            <w:tcW w:w="3908" w:type="dxa"/>
            <w:tcBorders>
              <w:top w:val="single" w:color="000000" w:sz="4" w:space="0"/>
              <w:left w:val="single" w:color="000000" w:sz="4" w:space="0"/>
              <w:bottom w:val="single" w:color="000000" w:sz="4" w:space="0"/>
              <w:right w:val="single" w:color="000000" w:sz="4" w:space="0"/>
            </w:tcBorders>
            <w:vAlign w:val="center"/>
          </w:tcPr>
          <w:p w14:paraId="19D1FA9C">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协调情况包括：协调建设单位、各分标项目承建单位以及各干系人等。</w:t>
            </w:r>
            <w:r>
              <w:rPr>
                <w:rFonts w:hint="eastAsia" w:ascii="宋体" w:hAnsi="宋体" w:cs="宋体"/>
                <w:kern w:val="0"/>
                <w:sz w:val="20"/>
                <w:szCs w:val="20"/>
              </w:rPr>
              <w:br w:type="textWrapping"/>
            </w:r>
            <w:r>
              <w:rPr>
                <w:rFonts w:hint="eastAsia" w:ascii="宋体" w:hAnsi="宋体" w:cs="宋体"/>
                <w:kern w:val="0"/>
                <w:sz w:val="20"/>
                <w:szCs w:val="20"/>
              </w:rPr>
              <w:t>响应情况：以承诺响应时间为准。</w:t>
            </w:r>
          </w:p>
        </w:tc>
      </w:tr>
      <w:tr w14:paraId="00D2F22B">
        <w:tblPrEx>
          <w:tblCellMar>
            <w:top w:w="0" w:type="dxa"/>
            <w:left w:w="108" w:type="dxa"/>
            <w:bottom w:w="0" w:type="dxa"/>
            <w:right w:w="108" w:type="dxa"/>
          </w:tblCellMar>
        </w:tblPrEx>
        <w:trPr>
          <w:trHeight w:val="1962"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0CA7C315">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3</w:t>
            </w:r>
          </w:p>
        </w:tc>
        <w:tc>
          <w:tcPr>
            <w:tcW w:w="1304" w:type="dxa"/>
            <w:tcBorders>
              <w:top w:val="single" w:color="000000" w:sz="4" w:space="0"/>
              <w:left w:val="single" w:color="000000" w:sz="4" w:space="0"/>
              <w:bottom w:val="single" w:color="000000" w:sz="4" w:space="0"/>
              <w:right w:val="single" w:color="000000" w:sz="4" w:space="0"/>
            </w:tcBorders>
            <w:vAlign w:val="center"/>
          </w:tcPr>
          <w:p w14:paraId="118861D3">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过程材料</w:t>
            </w:r>
            <w:r>
              <w:rPr>
                <w:rFonts w:hint="eastAsia" w:ascii="宋体" w:hAnsi="宋体" w:cs="宋体"/>
                <w:kern w:val="0"/>
                <w:sz w:val="20"/>
                <w:szCs w:val="20"/>
              </w:rPr>
              <w:br w:type="textWrapping"/>
            </w:r>
            <w:r>
              <w:rPr>
                <w:rFonts w:hint="eastAsia" w:ascii="宋体" w:hAnsi="宋体" w:cs="宋体"/>
                <w:kern w:val="0"/>
                <w:sz w:val="20"/>
                <w:szCs w:val="20"/>
              </w:rPr>
              <w:t>（20分）</w:t>
            </w:r>
          </w:p>
        </w:tc>
        <w:tc>
          <w:tcPr>
            <w:tcW w:w="7257" w:type="dxa"/>
            <w:tcBorders>
              <w:top w:val="single" w:color="000000" w:sz="4" w:space="0"/>
              <w:left w:val="single" w:color="000000" w:sz="4" w:space="0"/>
              <w:bottom w:val="single" w:color="000000" w:sz="4" w:space="0"/>
              <w:right w:val="single" w:color="000000" w:sz="4" w:space="0"/>
            </w:tcBorders>
            <w:vAlign w:val="center"/>
          </w:tcPr>
          <w:p w14:paraId="55CB4BED">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（1）14—20分。工作过程中的材料编制规范统一，文档质量高，能够主动及时整理并提交建设单位审核。</w:t>
            </w:r>
            <w:r>
              <w:rPr>
                <w:rFonts w:hint="eastAsia" w:ascii="宋体" w:hAnsi="宋体" w:cs="宋体"/>
                <w:kern w:val="0"/>
                <w:sz w:val="20"/>
                <w:szCs w:val="20"/>
              </w:rPr>
              <w:br w:type="textWrapping"/>
            </w:r>
            <w:r>
              <w:rPr>
                <w:rFonts w:hint="eastAsia" w:ascii="宋体" w:hAnsi="宋体" w:cs="宋体"/>
                <w:kern w:val="0"/>
                <w:sz w:val="20"/>
                <w:szCs w:val="20"/>
              </w:rPr>
              <w:t>（2）7—13分。工作过程中的材料编制无明显错误，文档质量一般，能够按期整理并提交建设单位审核。</w:t>
            </w:r>
            <w:r>
              <w:rPr>
                <w:rFonts w:hint="eastAsia" w:ascii="宋体" w:hAnsi="宋体" w:cs="宋体"/>
                <w:kern w:val="0"/>
                <w:sz w:val="20"/>
                <w:szCs w:val="20"/>
              </w:rPr>
              <w:br w:type="textWrapping"/>
            </w:r>
            <w:r>
              <w:rPr>
                <w:rFonts w:hint="eastAsia" w:ascii="宋体" w:hAnsi="宋体" w:cs="宋体"/>
                <w:kern w:val="0"/>
                <w:sz w:val="20"/>
                <w:szCs w:val="20"/>
              </w:rPr>
              <w:t>（3）0—6分。工作过程中的工程材料缺失且未及时补充。</w:t>
            </w:r>
          </w:p>
        </w:tc>
        <w:tc>
          <w:tcPr>
            <w:tcW w:w="831" w:type="dxa"/>
            <w:tcBorders>
              <w:top w:val="single" w:color="000000" w:sz="4" w:space="0"/>
              <w:left w:val="single" w:color="000000" w:sz="4" w:space="0"/>
              <w:bottom w:val="single" w:color="000000" w:sz="4" w:space="0"/>
              <w:right w:val="single" w:color="000000" w:sz="4" w:space="0"/>
            </w:tcBorders>
            <w:vAlign w:val="center"/>
          </w:tcPr>
          <w:p w14:paraId="036B899F">
            <w:pPr>
              <w:widowControl/>
              <w:spacing w:line="400" w:lineRule="exact"/>
              <w:jc w:val="left"/>
              <w:textAlignment w:val="center"/>
              <w:rPr>
                <w:rFonts w:hint="eastAsia" w:ascii="宋体" w:hAnsi="宋体" w:cs="宋体"/>
                <w:kern w:val="0"/>
                <w:sz w:val="20"/>
                <w:szCs w:val="20"/>
              </w:rPr>
            </w:pPr>
          </w:p>
        </w:tc>
        <w:tc>
          <w:tcPr>
            <w:tcW w:w="3908" w:type="dxa"/>
            <w:tcBorders>
              <w:top w:val="single" w:color="000000" w:sz="4" w:space="0"/>
              <w:left w:val="single" w:color="000000" w:sz="4" w:space="0"/>
              <w:bottom w:val="single" w:color="000000" w:sz="4" w:space="0"/>
              <w:right w:val="single" w:color="000000" w:sz="4" w:space="0"/>
            </w:tcBorders>
            <w:vAlign w:val="center"/>
          </w:tcPr>
          <w:p w14:paraId="5F7360EE">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过程材料包括：工作计划、阶段性的成果、周报、月报、经验总结、监理通知、监理参与的会议纪要及签到表等</w:t>
            </w:r>
          </w:p>
        </w:tc>
      </w:tr>
      <w:tr w14:paraId="794ADC8F">
        <w:tblPrEx>
          <w:tblCellMar>
            <w:top w:w="0" w:type="dxa"/>
            <w:left w:w="108" w:type="dxa"/>
            <w:bottom w:w="0" w:type="dxa"/>
            <w:right w:w="108" w:type="dxa"/>
          </w:tblCellMar>
        </w:tblPrEx>
        <w:trPr>
          <w:trHeight w:val="2620"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3155FFEB">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4</w:t>
            </w:r>
          </w:p>
        </w:tc>
        <w:tc>
          <w:tcPr>
            <w:tcW w:w="1304" w:type="dxa"/>
            <w:tcBorders>
              <w:top w:val="single" w:color="000000" w:sz="4" w:space="0"/>
              <w:left w:val="single" w:color="000000" w:sz="4" w:space="0"/>
              <w:bottom w:val="single" w:color="000000" w:sz="4" w:space="0"/>
              <w:right w:val="single" w:color="000000" w:sz="4" w:space="0"/>
            </w:tcBorders>
            <w:vAlign w:val="center"/>
          </w:tcPr>
          <w:p w14:paraId="07722208">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项目验收</w:t>
            </w:r>
            <w:r>
              <w:rPr>
                <w:rFonts w:hint="eastAsia" w:ascii="宋体" w:hAnsi="宋体" w:cs="宋体"/>
                <w:kern w:val="0"/>
                <w:sz w:val="20"/>
                <w:szCs w:val="20"/>
              </w:rPr>
              <w:br w:type="textWrapping"/>
            </w:r>
            <w:r>
              <w:rPr>
                <w:rFonts w:hint="eastAsia" w:ascii="宋体" w:hAnsi="宋体" w:cs="宋体"/>
                <w:kern w:val="0"/>
                <w:sz w:val="20"/>
                <w:szCs w:val="20"/>
              </w:rPr>
              <w:t>（30分）</w:t>
            </w:r>
          </w:p>
        </w:tc>
        <w:tc>
          <w:tcPr>
            <w:tcW w:w="7257" w:type="dxa"/>
            <w:tcBorders>
              <w:top w:val="single" w:color="000000" w:sz="4" w:space="0"/>
              <w:left w:val="single" w:color="000000" w:sz="4" w:space="0"/>
              <w:bottom w:val="single" w:color="000000" w:sz="4" w:space="0"/>
              <w:right w:val="single" w:color="000000" w:sz="4" w:space="0"/>
            </w:tcBorders>
            <w:vAlign w:val="center"/>
          </w:tcPr>
          <w:p w14:paraId="299C80E2">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（1）21-30分。验收工作启动迅速，组织沟通协调到位，采购人在启动项目验收工作后20个工作日内按要求组织完成项目所有档案收集整理、归档规范，主动及时提交相关报告材料。</w:t>
            </w:r>
            <w:r>
              <w:rPr>
                <w:rFonts w:hint="eastAsia" w:ascii="宋体" w:hAnsi="宋体" w:cs="宋体"/>
                <w:kern w:val="0"/>
                <w:sz w:val="20"/>
                <w:szCs w:val="20"/>
              </w:rPr>
              <w:br w:type="textWrapping"/>
            </w:r>
            <w:r>
              <w:rPr>
                <w:rFonts w:hint="eastAsia" w:ascii="宋体" w:hAnsi="宋体" w:cs="宋体"/>
                <w:kern w:val="0"/>
                <w:sz w:val="20"/>
                <w:szCs w:val="20"/>
              </w:rPr>
              <w:t>（2）11-20分。基本起到组织沟通协调作用，采购人在启动项目验收工作后30个工作日内按要求组织完成项目所有档案收集整理、归档较规范，提交相关报告材料。</w:t>
            </w:r>
            <w:r>
              <w:rPr>
                <w:rFonts w:hint="eastAsia" w:ascii="宋体" w:hAnsi="宋体" w:cs="宋体"/>
                <w:kern w:val="0"/>
                <w:sz w:val="20"/>
                <w:szCs w:val="20"/>
              </w:rPr>
              <w:br w:type="textWrapping"/>
            </w:r>
            <w:r>
              <w:rPr>
                <w:rFonts w:hint="eastAsia" w:ascii="宋体" w:hAnsi="宋体" w:cs="宋体"/>
                <w:kern w:val="0"/>
                <w:sz w:val="20"/>
                <w:szCs w:val="20"/>
              </w:rPr>
              <w:t>（3）0-10分。档案整理及归档工作质量一般，档案整理不规范，档案材料缺失。</w:t>
            </w:r>
          </w:p>
        </w:tc>
        <w:tc>
          <w:tcPr>
            <w:tcW w:w="831" w:type="dxa"/>
            <w:tcBorders>
              <w:top w:val="single" w:color="000000" w:sz="4" w:space="0"/>
              <w:left w:val="single" w:color="000000" w:sz="4" w:space="0"/>
              <w:bottom w:val="single" w:color="000000" w:sz="4" w:space="0"/>
              <w:right w:val="single" w:color="000000" w:sz="4" w:space="0"/>
            </w:tcBorders>
            <w:vAlign w:val="center"/>
          </w:tcPr>
          <w:p w14:paraId="0BDAEB86">
            <w:pPr>
              <w:widowControl/>
              <w:spacing w:line="400" w:lineRule="exact"/>
              <w:jc w:val="left"/>
              <w:textAlignment w:val="center"/>
              <w:rPr>
                <w:rFonts w:hint="eastAsia" w:ascii="宋体" w:hAnsi="宋体" w:cs="宋体"/>
                <w:kern w:val="0"/>
                <w:sz w:val="20"/>
                <w:szCs w:val="20"/>
              </w:rPr>
            </w:pPr>
          </w:p>
        </w:tc>
        <w:tc>
          <w:tcPr>
            <w:tcW w:w="3908" w:type="dxa"/>
            <w:tcBorders>
              <w:top w:val="single" w:color="000000" w:sz="4" w:space="0"/>
              <w:left w:val="single" w:color="000000" w:sz="4" w:space="0"/>
              <w:bottom w:val="single" w:color="000000" w:sz="4" w:space="0"/>
              <w:right w:val="single" w:color="000000" w:sz="4" w:space="0"/>
            </w:tcBorders>
            <w:vAlign w:val="center"/>
          </w:tcPr>
          <w:p w14:paraId="4EE7EACE">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档案验收：包括督促承建单位完善验收材料，审核把关，并按照建设单位、专家要求整理。</w:t>
            </w:r>
          </w:p>
        </w:tc>
      </w:tr>
      <w:tr w14:paraId="07B5402F">
        <w:tblPrEx>
          <w:tblCellMar>
            <w:top w:w="0" w:type="dxa"/>
            <w:left w:w="108" w:type="dxa"/>
            <w:bottom w:w="0" w:type="dxa"/>
            <w:right w:w="108" w:type="dxa"/>
          </w:tblCellMar>
        </w:tblPrEx>
        <w:trPr>
          <w:trHeight w:val="1266" w:hRule="atLeast"/>
        </w:trPr>
        <w:tc>
          <w:tcPr>
            <w:tcW w:w="14174" w:type="dxa"/>
            <w:gridSpan w:val="5"/>
            <w:tcBorders>
              <w:top w:val="single" w:color="000000" w:sz="4" w:space="0"/>
              <w:left w:val="single" w:color="000000" w:sz="4" w:space="0"/>
              <w:bottom w:val="single" w:color="000000" w:sz="4" w:space="0"/>
              <w:right w:val="single" w:color="000000" w:sz="4" w:space="0"/>
            </w:tcBorders>
            <w:vAlign w:val="center"/>
          </w:tcPr>
          <w:p w14:paraId="73149F75">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考核总得分：</w:t>
            </w:r>
          </w:p>
          <w:p w14:paraId="611813AC">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考核人员：</w:t>
            </w:r>
          </w:p>
          <w:p w14:paraId="3E6AA80E">
            <w:pPr>
              <w:widowControl/>
              <w:spacing w:line="400" w:lineRule="exact"/>
              <w:jc w:val="left"/>
              <w:textAlignment w:val="center"/>
              <w:rPr>
                <w:rFonts w:hint="eastAsia" w:ascii="宋体" w:hAnsi="宋体" w:cs="宋体"/>
                <w:kern w:val="0"/>
                <w:sz w:val="20"/>
                <w:szCs w:val="20"/>
              </w:rPr>
            </w:pPr>
            <w:r>
              <w:rPr>
                <w:rFonts w:hint="eastAsia" w:ascii="宋体" w:hAnsi="宋体" w:cs="宋体"/>
                <w:kern w:val="0"/>
                <w:sz w:val="20"/>
                <w:szCs w:val="20"/>
              </w:rPr>
              <w:t>考核时间：     年     月     日</w:t>
            </w:r>
          </w:p>
        </w:tc>
      </w:tr>
    </w:tbl>
    <w:p w14:paraId="6F145AAA">
      <w:pPr>
        <w:widowControl/>
        <w:spacing w:line="400" w:lineRule="exact"/>
        <w:textAlignment w:val="center"/>
        <w:rPr>
          <w:rFonts w:hint="eastAsia" w:ascii="宋体" w:hAnsi="宋体" w:cs="宋体"/>
          <w:kern w:val="0"/>
          <w:szCs w:val="21"/>
        </w:rPr>
      </w:pPr>
      <w:r>
        <w:rPr>
          <w:rFonts w:hint="eastAsia" w:ascii="宋体" w:hAnsi="宋体" w:cs="宋体"/>
          <w:kern w:val="0"/>
          <w:szCs w:val="21"/>
        </w:rPr>
        <w:t>注：1.该表由采购人进行考核填写。</w:t>
      </w:r>
    </w:p>
    <w:p w14:paraId="03BC3633">
      <w:pPr>
        <w:widowControl/>
        <w:spacing w:line="400" w:lineRule="exact"/>
        <w:textAlignment w:val="center"/>
        <w:rPr>
          <w:rFonts w:hint="eastAsia" w:ascii="宋体" w:hAnsi="宋体" w:cs="宋体"/>
          <w:kern w:val="0"/>
          <w:szCs w:val="21"/>
        </w:rPr>
      </w:pPr>
      <w:r>
        <w:rPr>
          <w:rFonts w:hint="eastAsia" w:ascii="宋体" w:hAnsi="宋体" w:cs="宋体"/>
          <w:kern w:val="0"/>
          <w:szCs w:val="21"/>
        </w:rPr>
        <w:t>2.评分表的得分以整数计。</w:t>
      </w:r>
    </w:p>
    <w:p w14:paraId="49CC4BEF">
      <w:pPr>
        <w:widowControl/>
        <w:numPr>
          <w:ilvl w:val="255"/>
          <w:numId w:val="0"/>
        </w:numPr>
        <w:spacing w:line="400" w:lineRule="exact"/>
        <w:textAlignment w:val="center"/>
        <w:rPr>
          <w:rFonts w:hint="eastAsia" w:ascii="宋体" w:hAnsi="宋体" w:cs="宋体"/>
          <w:kern w:val="0"/>
          <w:szCs w:val="21"/>
        </w:rPr>
      </w:pPr>
      <w:r>
        <w:rPr>
          <w:rFonts w:hint="eastAsia" w:ascii="宋体" w:hAnsi="宋体" w:cs="宋体"/>
          <w:kern w:val="0"/>
          <w:szCs w:val="21"/>
        </w:rPr>
        <w:t>3.异议申诉要求</w:t>
      </w:r>
      <w:r>
        <w:rPr>
          <w:rFonts w:hint="eastAsia" w:ascii="宋体" w:hAnsi="宋体" w:cs="宋体"/>
          <w:kern w:val="0"/>
          <w:szCs w:val="21"/>
          <w:lang w:eastAsia="zh-CN"/>
        </w:rPr>
        <w:t>：供应商应自收到考核结果7个工作日内书面向采购人提出异议，并提交相关证明材料，如逾期未提出，视为认可考核结果</w:t>
      </w:r>
      <w:r>
        <w:rPr>
          <w:rFonts w:hint="eastAsia" w:ascii="宋体" w:hAnsi="宋体" w:cs="宋体"/>
          <w:kern w:val="0"/>
          <w:szCs w:val="21"/>
        </w:rPr>
        <w:t>。</w:t>
      </w:r>
    </w:p>
    <w:p w14:paraId="29FBE164">
      <w:pPr>
        <w:widowControl/>
        <w:spacing w:line="400" w:lineRule="exact"/>
        <w:textAlignment w:val="center"/>
        <w:rPr>
          <w:rFonts w:ascii="宋体" w:hAnsi="宋体" w:cs="宋体"/>
          <w:kern w:val="0"/>
          <w:szCs w:val="21"/>
        </w:rPr>
        <w:sectPr>
          <w:footnotePr>
            <w:numFmt w:val="decimalEnclosedCircleChinese"/>
          </w:footnotePr>
          <w:pgSz w:w="16838" w:h="11906" w:orient="landscape"/>
          <w:pgMar w:top="1803" w:right="1440" w:bottom="1803" w:left="1440" w:header="851" w:footer="992" w:gutter="0"/>
          <w:cols w:space="720" w:num="1"/>
          <w:docGrid w:type="lines" w:linePitch="312" w:charSpace="0"/>
        </w:sectPr>
      </w:pPr>
    </w:p>
    <w:p w14:paraId="03B8DAE4">
      <w:pPr>
        <w:pStyle w:val="2"/>
        <w:spacing w:line="400" w:lineRule="exact"/>
        <w:rPr>
          <w:rFonts w:hint="eastAsia" w:ascii="方正小标宋_GBK" w:hAnsi="方正小标宋_GBK" w:eastAsia="方正小标宋_GBK" w:cs="方正小标宋_GBK"/>
          <w:b/>
          <w:kern w:val="2"/>
          <w:sz w:val="21"/>
          <w:szCs w:val="21"/>
        </w:rPr>
      </w:pPr>
      <w:r>
        <w:rPr>
          <w:rFonts w:hint="eastAsia" w:ascii="方正小标宋_GBK" w:hAnsi="方正小标宋_GBK" w:eastAsia="方正小标宋_GBK" w:cs="方正小标宋_GBK"/>
          <w:b/>
          <w:kern w:val="2"/>
          <w:sz w:val="21"/>
          <w:szCs w:val="21"/>
        </w:rPr>
        <w:t>附件二：</w:t>
      </w:r>
    </w:p>
    <w:p w14:paraId="0F58F5D8">
      <w:pPr>
        <w:pStyle w:val="2"/>
        <w:spacing w:line="400" w:lineRule="exact"/>
        <w:jc w:val="center"/>
        <w:rPr>
          <w:rFonts w:hint="eastAsia" w:ascii="方正小标宋_GBK" w:hAnsi="方正小标宋_GBK" w:eastAsia="方正小标宋_GBK" w:cs="方正小标宋_GBK"/>
          <w:b/>
          <w:kern w:val="2"/>
          <w:sz w:val="21"/>
          <w:szCs w:val="21"/>
        </w:rPr>
      </w:pPr>
      <w:r>
        <w:rPr>
          <w:rFonts w:hint="eastAsia" w:ascii="方正小标宋_GBK" w:hAnsi="方正小标宋_GBK" w:eastAsia="方正小标宋_GBK" w:cs="方正小标宋_GBK"/>
          <w:b/>
          <w:kern w:val="2"/>
          <w:sz w:val="21"/>
          <w:szCs w:val="21"/>
        </w:rPr>
        <w:t>节能产品政府采购品目清单</w:t>
      </w:r>
    </w:p>
    <w:tbl>
      <w:tblPr>
        <w:tblStyle w:val="18"/>
        <w:tblW w:w="9220" w:type="dxa"/>
        <w:tblInd w:w="93" w:type="dxa"/>
        <w:tblLayout w:type="fixed"/>
        <w:tblCellMar>
          <w:top w:w="0" w:type="dxa"/>
          <w:left w:w="108" w:type="dxa"/>
          <w:bottom w:w="0" w:type="dxa"/>
          <w:right w:w="108" w:type="dxa"/>
        </w:tblCellMar>
      </w:tblPr>
      <w:tblGrid>
        <w:gridCol w:w="641"/>
        <w:gridCol w:w="1116"/>
        <w:gridCol w:w="1516"/>
        <w:gridCol w:w="1612"/>
        <w:gridCol w:w="4335"/>
      </w:tblGrid>
      <w:tr w14:paraId="1B83BFF9">
        <w:tblPrEx>
          <w:tblCellMar>
            <w:top w:w="0" w:type="dxa"/>
            <w:left w:w="108" w:type="dxa"/>
            <w:bottom w:w="0" w:type="dxa"/>
            <w:right w:w="108" w:type="dxa"/>
          </w:tblCellMar>
        </w:tblPrEx>
        <w:trPr>
          <w:trHeight w:val="555" w:hRule="atLeast"/>
        </w:trPr>
        <w:tc>
          <w:tcPr>
            <w:tcW w:w="641" w:type="dxa"/>
            <w:tcBorders>
              <w:top w:val="single" w:color="000000" w:sz="8" w:space="0"/>
              <w:left w:val="single" w:color="000000" w:sz="8" w:space="0"/>
              <w:bottom w:val="single" w:color="000000" w:sz="8" w:space="0"/>
              <w:right w:val="single" w:color="000000" w:sz="8" w:space="0"/>
            </w:tcBorders>
          </w:tcPr>
          <w:p w14:paraId="55A7F632">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品目序号</w:t>
            </w:r>
          </w:p>
        </w:tc>
        <w:tc>
          <w:tcPr>
            <w:tcW w:w="4244" w:type="dxa"/>
            <w:gridSpan w:val="3"/>
            <w:tcBorders>
              <w:top w:val="single" w:color="000000" w:sz="8" w:space="0"/>
              <w:left w:val="nil"/>
              <w:bottom w:val="single" w:color="000000" w:sz="8" w:space="0"/>
              <w:right w:val="single" w:color="000000" w:sz="8" w:space="0"/>
            </w:tcBorders>
            <w:vAlign w:val="center"/>
          </w:tcPr>
          <w:p w14:paraId="468BCEAB">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名称</w:t>
            </w:r>
          </w:p>
        </w:tc>
        <w:tc>
          <w:tcPr>
            <w:tcW w:w="4335" w:type="dxa"/>
            <w:tcBorders>
              <w:top w:val="single" w:color="000000" w:sz="8" w:space="0"/>
              <w:left w:val="nil"/>
              <w:bottom w:val="single" w:color="000000" w:sz="8" w:space="0"/>
              <w:right w:val="single" w:color="000000" w:sz="8" w:space="0"/>
            </w:tcBorders>
            <w:vAlign w:val="center"/>
          </w:tcPr>
          <w:p w14:paraId="3B26E7DA">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依据的标准</w:t>
            </w:r>
          </w:p>
        </w:tc>
      </w:tr>
      <w:tr w14:paraId="62814463">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vAlign w:val="center"/>
          </w:tcPr>
          <w:p w14:paraId="005FFB1C">
            <w:pPr>
              <w:widowControl/>
              <w:spacing w:line="400" w:lineRule="exact"/>
              <w:jc w:val="center"/>
              <w:rPr>
                <w:rFonts w:hint="eastAsia" w:ascii="宋体" w:hAnsi="宋体" w:cs="宋体"/>
                <w:kern w:val="0"/>
                <w:szCs w:val="21"/>
              </w:rPr>
            </w:pPr>
            <w:r>
              <w:rPr>
                <w:rFonts w:hint="eastAsia" w:ascii="宋体" w:hAnsi="宋体" w:cs="宋体"/>
                <w:kern w:val="0"/>
                <w:szCs w:val="21"/>
              </w:rPr>
              <w:t>1</w:t>
            </w:r>
          </w:p>
        </w:tc>
        <w:tc>
          <w:tcPr>
            <w:tcW w:w="1116" w:type="dxa"/>
            <w:vMerge w:val="restart"/>
            <w:tcBorders>
              <w:top w:val="nil"/>
              <w:left w:val="nil"/>
              <w:bottom w:val="single" w:color="000000" w:sz="8" w:space="0"/>
              <w:right w:val="single" w:color="000000" w:sz="8" w:space="0"/>
            </w:tcBorders>
            <w:vAlign w:val="center"/>
          </w:tcPr>
          <w:p w14:paraId="7CAF7F12">
            <w:pPr>
              <w:widowControl/>
              <w:spacing w:line="400" w:lineRule="exact"/>
              <w:jc w:val="center"/>
              <w:rPr>
                <w:rFonts w:hint="eastAsia" w:ascii="宋体" w:hAnsi="宋体" w:cs="宋体"/>
                <w:kern w:val="0"/>
                <w:szCs w:val="21"/>
              </w:rPr>
            </w:pPr>
            <w:r>
              <w:rPr>
                <w:rFonts w:hint="eastAsia" w:ascii="宋体" w:hAnsi="宋体" w:cs="宋体"/>
                <w:kern w:val="0"/>
                <w:szCs w:val="21"/>
              </w:rPr>
              <w:t>A020101计算机设备</w:t>
            </w:r>
          </w:p>
        </w:tc>
        <w:tc>
          <w:tcPr>
            <w:tcW w:w="1516" w:type="dxa"/>
            <w:tcBorders>
              <w:top w:val="nil"/>
              <w:left w:val="nil"/>
              <w:bottom w:val="single" w:color="000000" w:sz="8" w:space="0"/>
              <w:right w:val="single" w:color="000000" w:sz="8" w:space="0"/>
            </w:tcBorders>
            <w:vAlign w:val="center"/>
          </w:tcPr>
          <w:p w14:paraId="294B5EED">
            <w:pPr>
              <w:widowControl/>
              <w:spacing w:line="400" w:lineRule="exact"/>
              <w:jc w:val="center"/>
              <w:rPr>
                <w:rFonts w:hint="eastAsia" w:ascii="宋体" w:hAnsi="宋体" w:cs="宋体"/>
                <w:kern w:val="0"/>
                <w:szCs w:val="21"/>
              </w:rPr>
            </w:pPr>
            <w:r>
              <w:rPr>
                <w:rFonts w:hint="eastAsia" w:ascii="宋体" w:hAnsi="宋体" w:cs="宋体"/>
                <w:kern w:val="0"/>
                <w:szCs w:val="21"/>
              </w:rPr>
              <w:t>★A02010104台式计算机</w:t>
            </w:r>
          </w:p>
        </w:tc>
        <w:tc>
          <w:tcPr>
            <w:tcW w:w="1612" w:type="dxa"/>
            <w:tcBorders>
              <w:top w:val="nil"/>
              <w:left w:val="nil"/>
              <w:bottom w:val="single" w:color="000000" w:sz="8" w:space="0"/>
              <w:right w:val="single" w:color="000000" w:sz="8" w:space="0"/>
            </w:tcBorders>
            <w:vAlign w:val="center"/>
          </w:tcPr>
          <w:p w14:paraId="08CCBE93">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23BBAD91">
            <w:pPr>
              <w:widowControl/>
              <w:spacing w:line="400" w:lineRule="exact"/>
              <w:jc w:val="left"/>
              <w:rPr>
                <w:rFonts w:hint="eastAsia" w:ascii="宋体" w:hAnsi="宋体" w:cs="宋体"/>
                <w:kern w:val="0"/>
                <w:szCs w:val="21"/>
              </w:rPr>
            </w:pPr>
            <w:r>
              <w:rPr>
                <w:rFonts w:hint="eastAsia" w:ascii="宋体" w:hAnsi="宋体" w:cs="宋体"/>
                <w:kern w:val="0"/>
                <w:szCs w:val="21"/>
              </w:rPr>
              <w:t>《微型计算机能效限定值及能效等级》（GB28380）</w:t>
            </w:r>
          </w:p>
        </w:tc>
      </w:tr>
      <w:tr w14:paraId="7425947D">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40E58E88">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6C732BAD">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5BE7B4CC">
            <w:pPr>
              <w:widowControl/>
              <w:spacing w:line="400" w:lineRule="exact"/>
              <w:jc w:val="center"/>
              <w:rPr>
                <w:rFonts w:hint="eastAsia" w:ascii="宋体" w:hAnsi="宋体" w:cs="宋体"/>
                <w:kern w:val="0"/>
                <w:szCs w:val="21"/>
              </w:rPr>
            </w:pPr>
            <w:r>
              <w:rPr>
                <w:rFonts w:hint="eastAsia" w:ascii="宋体" w:hAnsi="宋体" w:cs="宋体"/>
                <w:kern w:val="0"/>
                <w:szCs w:val="21"/>
              </w:rPr>
              <w:t>★A02010105便携式计算机</w:t>
            </w:r>
          </w:p>
        </w:tc>
        <w:tc>
          <w:tcPr>
            <w:tcW w:w="1612" w:type="dxa"/>
            <w:tcBorders>
              <w:top w:val="nil"/>
              <w:left w:val="nil"/>
              <w:bottom w:val="single" w:color="000000" w:sz="8" w:space="0"/>
              <w:right w:val="single" w:color="000000" w:sz="8" w:space="0"/>
            </w:tcBorders>
            <w:vAlign w:val="center"/>
          </w:tcPr>
          <w:p w14:paraId="04345C35">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264456EF">
            <w:pPr>
              <w:widowControl/>
              <w:spacing w:line="400" w:lineRule="exact"/>
              <w:jc w:val="left"/>
              <w:rPr>
                <w:rFonts w:hint="eastAsia" w:ascii="宋体" w:hAnsi="宋体" w:cs="宋体"/>
                <w:kern w:val="0"/>
                <w:szCs w:val="21"/>
              </w:rPr>
            </w:pPr>
            <w:r>
              <w:rPr>
                <w:rFonts w:hint="eastAsia" w:ascii="宋体" w:hAnsi="宋体" w:cs="宋体"/>
                <w:kern w:val="0"/>
                <w:szCs w:val="21"/>
              </w:rPr>
              <w:t>《微型计算机能效限定值及能效等级》（GB28380）</w:t>
            </w:r>
          </w:p>
        </w:tc>
      </w:tr>
      <w:tr w14:paraId="250FF41C">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5DF8C93E">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65A26E23">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7D600689">
            <w:pPr>
              <w:widowControl/>
              <w:spacing w:line="400" w:lineRule="exact"/>
              <w:jc w:val="center"/>
              <w:rPr>
                <w:rFonts w:hint="eastAsia" w:ascii="宋体" w:hAnsi="宋体" w:cs="宋体"/>
                <w:kern w:val="0"/>
                <w:szCs w:val="21"/>
              </w:rPr>
            </w:pPr>
            <w:r>
              <w:rPr>
                <w:rFonts w:hint="eastAsia" w:ascii="宋体" w:hAnsi="宋体" w:cs="宋体"/>
                <w:kern w:val="0"/>
                <w:szCs w:val="21"/>
              </w:rPr>
              <w:t>★A02010107平板式微型计算机</w:t>
            </w:r>
          </w:p>
        </w:tc>
        <w:tc>
          <w:tcPr>
            <w:tcW w:w="1612" w:type="dxa"/>
            <w:tcBorders>
              <w:top w:val="nil"/>
              <w:left w:val="nil"/>
              <w:bottom w:val="single" w:color="000000" w:sz="8" w:space="0"/>
              <w:right w:val="single" w:color="000000" w:sz="8" w:space="0"/>
            </w:tcBorders>
            <w:vAlign w:val="center"/>
          </w:tcPr>
          <w:p w14:paraId="2646C6A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779AB45F">
            <w:pPr>
              <w:widowControl/>
              <w:spacing w:line="400" w:lineRule="exact"/>
              <w:jc w:val="left"/>
              <w:rPr>
                <w:rFonts w:hint="eastAsia" w:ascii="宋体" w:hAnsi="宋体" w:cs="宋体"/>
                <w:kern w:val="0"/>
                <w:szCs w:val="21"/>
              </w:rPr>
            </w:pPr>
            <w:r>
              <w:rPr>
                <w:rFonts w:hint="eastAsia" w:ascii="宋体" w:hAnsi="宋体" w:cs="宋体"/>
                <w:kern w:val="0"/>
                <w:szCs w:val="21"/>
              </w:rPr>
              <w:t>《微型计算机能效限定值及能效等级》（GB28380）</w:t>
            </w:r>
          </w:p>
        </w:tc>
      </w:tr>
      <w:tr w14:paraId="552A1F7E">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vAlign w:val="center"/>
          </w:tcPr>
          <w:p w14:paraId="0E5E1EB7">
            <w:pPr>
              <w:widowControl/>
              <w:spacing w:line="400" w:lineRule="exact"/>
              <w:jc w:val="center"/>
              <w:rPr>
                <w:rFonts w:hint="eastAsia" w:ascii="宋体" w:hAnsi="宋体" w:cs="宋体"/>
                <w:kern w:val="0"/>
                <w:szCs w:val="21"/>
              </w:rPr>
            </w:pPr>
            <w:r>
              <w:rPr>
                <w:rFonts w:hint="eastAsia" w:ascii="宋体" w:hAnsi="宋体" w:cs="宋体"/>
                <w:kern w:val="0"/>
                <w:szCs w:val="21"/>
              </w:rPr>
              <w:t>2</w:t>
            </w:r>
          </w:p>
        </w:tc>
        <w:tc>
          <w:tcPr>
            <w:tcW w:w="1116" w:type="dxa"/>
            <w:vMerge w:val="restart"/>
            <w:tcBorders>
              <w:top w:val="nil"/>
              <w:left w:val="nil"/>
              <w:bottom w:val="single" w:color="000000" w:sz="8" w:space="0"/>
              <w:right w:val="single" w:color="000000" w:sz="8" w:space="0"/>
            </w:tcBorders>
            <w:vAlign w:val="center"/>
          </w:tcPr>
          <w:p w14:paraId="03391C87">
            <w:pPr>
              <w:widowControl/>
              <w:spacing w:line="400" w:lineRule="exact"/>
              <w:jc w:val="center"/>
              <w:rPr>
                <w:rFonts w:hint="eastAsia" w:ascii="宋体" w:hAnsi="宋体" w:cs="宋体"/>
                <w:kern w:val="0"/>
                <w:szCs w:val="21"/>
              </w:rPr>
            </w:pPr>
            <w:r>
              <w:rPr>
                <w:rFonts w:hint="eastAsia" w:ascii="宋体" w:hAnsi="宋体" w:cs="宋体"/>
                <w:kern w:val="0"/>
                <w:szCs w:val="21"/>
              </w:rPr>
              <w:t>A020106输入输出设备</w:t>
            </w:r>
          </w:p>
        </w:tc>
        <w:tc>
          <w:tcPr>
            <w:tcW w:w="1516" w:type="dxa"/>
            <w:vMerge w:val="restart"/>
            <w:tcBorders>
              <w:top w:val="nil"/>
              <w:left w:val="nil"/>
              <w:bottom w:val="single" w:color="000000" w:sz="8" w:space="0"/>
              <w:right w:val="single" w:color="000000" w:sz="8" w:space="0"/>
            </w:tcBorders>
            <w:vAlign w:val="center"/>
          </w:tcPr>
          <w:p w14:paraId="115E3159">
            <w:pPr>
              <w:widowControl/>
              <w:spacing w:line="400" w:lineRule="exact"/>
              <w:jc w:val="center"/>
              <w:rPr>
                <w:rFonts w:hint="eastAsia" w:ascii="宋体" w:hAnsi="宋体" w:cs="宋体"/>
                <w:kern w:val="0"/>
                <w:szCs w:val="21"/>
              </w:rPr>
            </w:pPr>
            <w:r>
              <w:rPr>
                <w:rFonts w:hint="eastAsia" w:ascii="宋体" w:hAnsi="宋体" w:cs="宋体"/>
                <w:kern w:val="0"/>
                <w:szCs w:val="21"/>
              </w:rPr>
              <w:t>A02010601打印设备</w:t>
            </w:r>
          </w:p>
        </w:tc>
        <w:tc>
          <w:tcPr>
            <w:tcW w:w="1612" w:type="dxa"/>
            <w:tcBorders>
              <w:top w:val="nil"/>
              <w:left w:val="nil"/>
              <w:bottom w:val="single" w:color="000000" w:sz="8" w:space="0"/>
              <w:right w:val="single" w:color="000000" w:sz="8" w:space="0"/>
            </w:tcBorders>
            <w:vAlign w:val="center"/>
          </w:tcPr>
          <w:p w14:paraId="6BF3F5B3">
            <w:pPr>
              <w:widowControl/>
              <w:spacing w:line="400" w:lineRule="exact"/>
              <w:jc w:val="center"/>
              <w:rPr>
                <w:rFonts w:hint="eastAsia" w:ascii="宋体" w:hAnsi="宋体" w:cs="宋体"/>
                <w:kern w:val="0"/>
                <w:szCs w:val="21"/>
              </w:rPr>
            </w:pPr>
            <w:r>
              <w:rPr>
                <w:rFonts w:hint="eastAsia" w:ascii="宋体" w:hAnsi="宋体" w:cs="宋体"/>
                <w:kern w:val="0"/>
                <w:szCs w:val="21"/>
              </w:rPr>
              <w:t>A0201060101喷墨打印机</w:t>
            </w:r>
          </w:p>
        </w:tc>
        <w:tc>
          <w:tcPr>
            <w:tcW w:w="4335" w:type="dxa"/>
            <w:tcBorders>
              <w:top w:val="nil"/>
              <w:left w:val="nil"/>
              <w:bottom w:val="single" w:color="000000" w:sz="8" w:space="0"/>
              <w:right w:val="single" w:color="000000" w:sz="8" w:space="0"/>
            </w:tcBorders>
            <w:vAlign w:val="center"/>
          </w:tcPr>
          <w:p w14:paraId="460A8E0F">
            <w:pPr>
              <w:widowControl/>
              <w:spacing w:line="400" w:lineRule="exact"/>
              <w:jc w:val="left"/>
              <w:rPr>
                <w:rFonts w:hint="eastAsia" w:ascii="宋体" w:hAnsi="宋体" w:cs="宋体"/>
                <w:kern w:val="0"/>
                <w:szCs w:val="21"/>
              </w:rPr>
            </w:pPr>
            <w:r>
              <w:rPr>
                <w:rFonts w:hint="eastAsia" w:ascii="宋体" w:hAnsi="宋体" w:cs="宋体"/>
                <w:kern w:val="0"/>
                <w:szCs w:val="21"/>
              </w:rPr>
              <w:t>《复印机、打印机和传真机能效限定值及能效等级》（GB21521）</w:t>
            </w:r>
          </w:p>
        </w:tc>
      </w:tr>
      <w:tr w14:paraId="1D4921B1">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5F47B6AC">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159CB498">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287B5904">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0E904EF6">
            <w:pPr>
              <w:widowControl/>
              <w:spacing w:line="400" w:lineRule="exact"/>
              <w:jc w:val="center"/>
              <w:rPr>
                <w:rFonts w:hint="eastAsia" w:ascii="宋体" w:hAnsi="宋体" w:cs="宋体"/>
                <w:kern w:val="0"/>
                <w:szCs w:val="21"/>
              </w:rPr>
            </w:pPr>
            <w:r>
              <w:rPr>
                <w:rFonts w:hint="eastAsia" w:ascii="宋体" w:hAnsi="宋体" w:cs="宋体"/>
                <w:kern w:val="0"/>
                <w:szCs w:val="21"/>
              </w:rPr>
              <w:t>★A0201060102激光打印机</w:t>
            </w:r>
          </w:p>
        </w:tc>
        <w:tc>
          <w:tcPr>
            <w:tcW w:w="4335" w:type="dxa"/>
            <w:tcBorders>
              <w:top w:val="nil"/>
              <w:left w:val="nil"/>
              <w:bottom w:val="single" w:color="000000" w:sz="8" w:space="0"/>
              <w:right w:val="single" w:color="000000" w:sz="8" w:space="0"/>
            </w:tcBorders>
            <w:vAlign w:val="center"/>
          </w:tcPr>
          <w:p w14:paraId="69F7B953">
            <w:pPr>
              <w:widowControl/>
              <w:spacing w:line="400" w:lineRule="exact"/>
              <w:jc w:val="left"/>
              <w:rPr>
                <w:rFonts w:hint="eastAsia" w:ascii="宋体" w:hAnsi="宋体" w:cs="宋体"/>
                <w:kern w:val="0"/>
                <w:szCs w:val="21"/>
              </w:rPr>
            </w:pPr>
            <w:r>
              <w:rPr>
                <w:rFonts w:hint="eastAsia" w:ascii="宋体" w:hAnsi="宋体" w:cs="宋体"/>
                <w:kern w:val="0"/>
                <w:szCs w:val="21"/>
              </w:rPr>
              <w:t>《复印机、打印机和传真机能效限定值及能效等级》（GB21521）</w:t>
            </w:r>
          </w:p>
        </w:tc>
      </w:tr>
      <w:tr w14:paraId="5FF79CDF">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752A13CD">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3CBC36BF">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43CC8424">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6301EDBD">
            <w:pPr>
              <w:widowControl/>
              <w:spacing w:line="400" w:lineRule="exact"/>
              <w:jc w:val="center"/>
              <w:rPr>
                <w:rFonts w:hint="eastAsia" w:ascii="宋体" w:hAnsi="宋体" w:cs="宋体"/>
                <w:kern w:val="0"/>
                <w:szCs w:val="21"/>
              </w:rPr>
            </w:pPr>
            <w:r>
              <w:rPr>
                <w:rFonts w:hint="eastAsia" w:ascii="宋体" w:hAnsi="宋体" w:cs="宋体"/>
                <w:kern w:val="0"/>
                <w:szCs w:val="21"/>
              </w:rPr>
              <w:t>★A0201060104针式打印机</w:t>
            </w:r>
          </w:p>
        </w:tc>
        <w:tc>
          <w:tcPr>
            <w:tcW w:w="4335" w:type="dxa"/>
            <w:tcBorders>
              <w:top w:val="nil"/>
              <w:left w:val="nil"/>
              <w:bottom w:val="single" w:color="000000" w:sz="8" w:space="0"/>
              <w:right w:val="single" w:color="000000" w:sz="8" w:space="0"/>
            </w:tcBorders>
            <w:vAlign w:val="center"/>
          </w:tcPr>
          <w:p w14:paraId="75F1B33A">
            <w:pPr>
              <w:widowControl/>
              <w:spacing w:line="400" w:lineRule="exact"/>
              <w:jc w:val="left"/>
              <w:rPr>
                <w:rFonts w:hint="eastAsia" w:ascii="宋体" w:hAnsi="宋体" w:cs="宋体"/>
                <w:kern w:val="0"/>
                <w:szCs w:val="21"/>
              </w:rPr>
            </w:pPr>
            <w:r>
              <w:rPr>
                <w:rFonts w:hint="eastAsia" w:ascii="宋体" w:hAnsi="宋体" w:cs="宋体"/>
                <w:kern w:val="0"/>
                <w:szCs w:val="21"/>
              </w:rPr>
              <w:t>《复印机、打印机和传真机能效限定值及能效等级》（GB21521）</w:t>
            </w:r>
          </w:p>
        </w:tc>
      </w:tr>
      <w:tr w14:paraId="623C351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0F7F15D8">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1504C6D7">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72E532E8">
            <w:pPr>
              <w:widowControl/>
              <w:spacing w:line="400" w:lineRule="exact"/>
              <w:jc w:val="center"/>
              <w:rPr>
                <w:rFonts w:hint="eastAsia" w:ascii="宋体" w:hAnsi="宋体" w:cs="宋体"/>
                <w:kern w:val="0"/>
                <w:szCs w:val="21"/>
              </w:rPr>
            </w:pPr>
            <w:r>
              <w:rPr>
                <w:rFonts w:hint="eastAsia" w:ascii="宋体" w:hAnsi="宋体" w:cs="宋体"/>
                <w:kern w:val="0"/>
                <w:szCs w:val="21"/>
              </w:rPr>
              <w:t>A02010604显示设备</w:t>
            </w:r>
          </w:p>
        </w:tc>
        <w:tc>
          <w:tcPr>
            <w:tcW w:w="1612" w:type="dxa"/>
            <w:tcBorders>
              <w:top w:val="nil"/>
              <w:left w:val="nil"/>
              <w:bottom w:val="single" w:color="000000" w:sz="8" w:space="0"/>
              <w:right w:val="single" w:color="000000" w:sz="8" w:space="0"/>
            </w:tcBorders>
            <w:vAlign w:val="center"/>
          </w:tcPr>
          <w:p w14:paraId="6F1FFD4C">
            <w:pPr>
              <w:widowControl/>
              <w:spacing w:line="400" w:lineRule="exact"/>
              <w:jc w:val="center"/>
              <w:rPr>
                <w:rFonts w:hint="eastAsia" w:ascii="宋体" w:hAnsi="宋体" w:cs="宋体"/>
                <w:kern w:val="0"/>
                <w:szCs w:val="21"/>
              </w:rPr>
            </w:pPr>
            <w:r>
              <w:rPr>
                <w:rFonts w:hint="eastAsia" w:ascii="宋体" w:hAnsi="宋体" w:cs="宋体"/>
                <w:kern w:val="0"/>
                <w:szCs w:val="21"/>
              </w:rPr>
              <w:t>★A0201060401液晶显示器</w:t>
            </w:r>
          </w:p>
        </w:tc>
        <w:tc>
          <w:tcPr>
            <w:tcW w:w="4335" w:type="dxa"/>
            <w:tcBorders>
              <w:top w:val="nil"/>
              <w:left w:val="nil"/>
              <w:bottom w:val="single" w:color="000000" w:sz="8" w:space="0"/>
              <w:right w:val="single" w:color="000000" w:sz="8" w:space="0"/>
            </w:tcBorders>
            <w:vAlign w:val="center"/>
          </w:tcPr>
          <w:p w14:paraId="7EE3E116">
            <w:pPr>
              <w:widowControl/>
              <w:spacing w:line="400" w:lineRule="exact"/>
              <w:jc w:val="left"/>
              <w:rPr>
                <w:rFonts w:hint="eastAsia" w:ascii="宋体" w:hAnsi="宋体" w:cs="宋体"/>
                <w:kern w:val="0"/>
                <w:szCs w:val="21"/>
              </w:rPr>
            </w:pPr>
            <w:r>
              <w:rPr>
                <w:rFonts w:hint="eastAsia" w:ascii="宋体" w:hAnsi="宋体" w:cs="宋体"/>
                <w:kern w:val="0"/>
                <w:szCs w:val="21"/>
              </w:rPr>
              <w:t>《计算机显示器能效限定值及能效等级》（GB21520）</w:t>
            </w:r>
          </w:p>
        </w:tc>
      </w:tr>
      <w:tr w14:paraId="4E8BC58B">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vAlign w:val="center"/>
          </w:tcPr>
          <w:p w14:paraId="35DBC4E9">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0A921FE0">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700C6A7D">
            <w:pPr>
              <w:widowControl/>
              <w:spacing w:line="400" w:lineRule="exact"/>
              <w:jc w:val="center"/>
              <w:rPr>
                <w:rFonts w:hint="eastAsia" w:ascii="宋体" w:hAnsi="宋体" w:cs="宋体"/>
                <w:kern w:val="0"/>
                <w:szCs w:val="21"/>
              </w:rPr>
            </w:pPr>
            <w:r>
              <w:rPr>
                <w:rFonts w:hint="eastAsia" w:ascii="宋体" w:hAnsi="宋体" w:cs="宋体"/>
                <w:kern w:val="0"/>
                <w:szCs w:val="21"/>
              </w:rPr>
              <w:t>A02010609图形图像输入设备</w:t>
            </w:r>
          </w:p>
        </w:tc>
        <w:tc>
          <w:tcPr>
            <w:tcW w:w="1612" w:type="dxa"/>
            <w:tcBorders>
              <w:top w:val="nil"/>
              <w:left w:val="nil"/>
              <w:bottom w:val="single" w:color="000000" w:sz="8" w:space="0"/>
              <w:right w:val="single" w:color="000000" w:sz="8" w:space="0"/>
            </w:tcBorders>
            <w:vAlign w:val="center"/>
          </w:tcPr>
          <w:p w14:paraId="14F2E0A7">
            <w:pPr>
              <w:widowControl/>
              <w:spacing w:line="400" w:lineRule="exact"/>
              <w:jc w:val="center"/>
              <w:rPr>
                <w:rFonts w:hint="eastAsia" w:ascii="宋体" w:hAnsi="宋体" w:cs="宋体"/>
                <w:kern w:val="0"/>
                <w:szCs w:val="21"/>
              </w:rPr>
            </w:pPr>
            <w:r>
              <w:rPr>
                <w:rFonts w:hint="eastAsia" w:ascii="宋体" w:hAnsi="宋体" w:cs="宋体"/>
                <w:kern w:val="0"/>
                <w:szCs w:val="21"/>
              </w:rPr>
              <w:t>A0201060901扫描仪</w:t>
            </w:r>
          </w:p>
        </w:tc>
        <w:tc>
          <w:tcPr>
            <w:tcW w:w="4335" w:type="dxa"/>
            <w:tcBorders>
              <w:top w:val="nil"/>
              <w:left w:val="nil"/>
              <w:bottom w:val="single" w:color="000000" w:sz="8" w:space="0"/>
              <w:right w:val="single" w:color="000000" w:sz="8" w:space="0"/>
            </w:tcBorders>
            <w:vAlign w:val="center"/>
          </w:tcPr>
          <w:p w14:paraId="3A22F69A">
            <w:pPr>
              <w:widowControl/>
              <w:spacing w:line="400" w:lineRule="exact"/>
              <w:jc w:val="left"/>
              <w:rPr>
                <w:rFonts w:hint="eastAsia" w:ascii="宋体" w:hAnsi="宋体" w:cs="宋体"/>
                <w:kern w:val="0"/>
                <w:szCs w:val="21"/>
              </w:rPr>
            </w:pPr>
            <w:r>
              <w:rPr>
                <w:rFonts w:hint="eastAsia" w:ascii="宋体" w:hAnsi="宋体" w:cs="宋体"/>
                <w:kern w:val="0"/>
                <w:szCs w:val="21"/>
              </w:rPr>
              <w:t>参照《复印机、打印机和传真机能效限定值及能效等级》（GB21521中打印速度为15页/分的针式打印机相关要求中打印速度为15页/分的针式打印机相关要求</w:t>
            </w:r>
          </w:p>
        </w:tc>
      </w:tr>
      <w:tr w14:paraId="6DE87113">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29791916">
            <w:pPr>
              <w:widowControl/>
              <w:spacing w:line="400" w:lineRule="exact"/>
              <w:jc w:val="center"/>
              <w:rPr>
                <w:rFonts w:hint="eastAsia" w:ascii="宋体" w:hAnsi="宋体" w:cs="宋体"/>
                <w:kern w:val="0"/>
                <w:szCs w:val="21"/>
              </w:rPr>
            </w:pPr>
            <w:r>
              <w:rPr>
                <w:rFonts w:hint="eastAsia" w:ascii="宋体" w:hAnsi="宋体" w:cs="宋体"/>
                <w:kern w:val="0"/>
                <w:szCs w:val="21"/>
              </w:rPr>
              <w:t>3</w:t>
            </w:r>
          </w:p>
        </w:tc>
        <w:tc>
          <w:tcPr>
            <w:tcW w:w="1116" w:type="dxa"/>
            <w:tcBorders>
              <w:top w:val="nil"/>
              <w:left w:val="nil"/>
              <w:bottom w:val="single" w:color="000000" w:sz="8" w:space="0"/>
              <w:right w:val="single" w:color="000000" w:sz="8" w:space="0"/>
            </w:tcBorders>
            <w:vAlign w:val="center"/>
          </w:tcPr>
          <w:p w14:paraId="0620CF22">
            <w:pPr>
              <w:widowControl/>
              <w:spacing w:line="400" w:lineRule="exact"/>
              <w:jc w:val="center"/>
              <w:rPr>
                <w:rFonts w:hint="eastAsia" w:ascii="宋体" w:hAnsi="宋体" w:cs="宋体"/>
                <w:kern w:val="0"/>
                <w:szCs w:val="21"/>
              </w:rPr>
            </w:pPr>
            <w:r>
              <w:rPr>
                <w:rFonts w:hint="eastAsia" w:ascii="宋体" w:hAnsi="宋体" w:cs="宋体"/>
                <w:kern w:val="0"/>
                <w:szCs w:val="21"/>
              </w:rPr>
              <w:t>A020202投影仪</w:t>
            </w:r>
          </w:p>
        </w:tc>
        <w:tc>
          <w:tcPr>
            <w:tcW w:w="1516" w:type="dxa"/>
            <w:tcBorders>
              <w:top w:val="nil"/>
              <w:left w:val="nil"/>
              <w:bottom w:val="single" w:color="000000" w:sz="8" w:space="0"/>
              <w:right w:val="single" w:color="000000" w:sz="8" w:space="0"/>
            </w:tcBorders>
            <w:vAlign w:val="center"/>
          </w:tcPr>
          <w:p w14:paraId="5DF4C8CC">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4DEF1654">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632E442D">
            <w:pPr>
              <w:widowControl/>
              <w:spacing w:line="400" w:lineRule="exact"/>
              <w:jc w:val="left"/>
              <w:rPr>
                <w:rFonts w:hint="eastAsia" w:ascii="宋体" w:hAnsi="宋体" w:cs="宋体"/>
                <w:kern w:val="0"/>
                <w:szCs w:val="21"/>
              </w:rPr>
            </w:pPr>
            <w:r>
              <w:rPr>
                <w:rFonts w:hint="eastAsia" w:ascii="宋体" w:hAnsi="宋体" w:cs="宋体"/>
                <w:kern w:val="0"/>
                <w:szCs w:val="21"/>
              </w:rPr>
              <w:t>《投影机能效限定值及能效等级》（GB32028）</w:t>
            </w:r>
          </w:p>
        </w:tc>
      </w:tr>
      <w:tr w14:paraId="10C19696">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19324720">
            <w:pPr>
              <w:widowControl/>
              <w:spacing w:line="400" w:lineRule="exact"/>
              <w:jc w:val="center"/>
              <w:rPr>
                <w:rFonts w:hint="eastAsia" w:ascii="宋体" w:hAnsi="宋体" w:cs="宋体"/>
                <w:kern w:val="0"/>
                <w:szCs w:val="21"/>
              </w:rPr>
            </w:pPr>
            <w:r>
              <w:rPr>
                <w:rFonts w:hint="eastAsia" w:ascii="宋体" w:hAnsi="宋体" w:cs="宋体"/>
                <w:kern w:val="0"/>
                <w:szCs w:val="21"/>
              </w:rPr>
              <w:t>4</w:t>
            </w:r>
          </w:p>
        </w:tc>
        <w:tc>
          <w:tcPr>
            <w:tcW w:w="1116" w:type="dxa"/>
            <w:tcBorders>
              <w:top w:val="nil"/>
              <w:left w:val="nil"/>
              <w:bottom w:val="single" w:color="000000" w:sz="8" w:space="0"/>
              <w:right w:val="single" w:color="000000" w:sz="8" w:space="0"/>
            </w:tcBorders>
            <w:vAlign w:val="center"/>
          </w:tcPr>
          <w:p w14:paraId="70CF7DD5">
            <w:pPr>
              <w:widowControl/>
              <w:spacing w:line="400" w:lineRule="exact"/>
              <w:jc w:val="center"/>
              <w:rPr>
                <w:rFonts w:hint="eastAsia" w:ascii="宋体" w:hAnsi="宋体" w:cs="宋体"/>
                <w:kern w:val="0"/>
                <w:szCs w:val="21"/>
              </w:rPr>
            </w:pPr>
            <w:r>
              <w:rPr>
                <w:rFonts w:hint="eastAsia" w:ascii="宋体" w:hAnsi="宋体" w:cs="宋体"/>
                <w:kern w:val="0"/>
                <w:szCs w:val="21"/>
              </w:rPr>
              <w:t>A020204多功能一体机</w:t>
            </w:r>
          </w:p>
        </w:tc>
        <w:tc>
          <w:tcPr>
            <w:tcW w:w="1516" w:type="dxa"/>
            <w:tcBorders>
              <w:top w:val="nil"/>
              <w:left w:val="nil"/>
              <w:bottom w:val="single" w:color="000000" w:sz="8" w:space="0"/>
              <w:right w:val="single" w:color="000000" w:sz="8" w:space="0"/>
            </w:tcBorders>
            <w:vAlign w:val="center"/>
          </w:tcPr>
          <w:p w14:paraId="7C45F506">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4DCFFCF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79D83D8A">
            <w:pPr>
              <w:widowControl/>
              <w:spacing w:line="400" w:lineRule="exact"/>
              <w:jc w:val="left"/>
              <w:rPr>
                <w:rFonts w:hint="eastAsia" w:ascii="宋体" w:hAnsi="宋体" w:cs="宋体"/>
                <w:kern w:val="0"/>
                <w:szCs w:val="21"/>
              </w:rPr>
            </w:pPr>
            <w:r>
              <w:rPr>
                <w:rFonts w:hint="eastAsia" w:ascii="宋体" w:hAnsi="宋体" w:cs="宋体"/>
                <w:kern w:val="0"/>
                <w:szCs w:val="21"/>
              </w:rPr>
              <w:t>《复印机、打印机和传真机能效限定值及能效等级》（GB21521）</w:t>
            </w:r>
          </w:p>
        </w:tc>
      </w:tr>
      <w:tr w14:paraId="3298CD08">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668634D9">
            <w:pPr>
              <w:widowControl/>
              <w:spacing w:line="400" w:lineRule="exact"/>
              <w:jc w:val="center"/>
              <w:rPr>
                <w:rFonts w:hint="eastAsia" w:ascii="宋体" w:hAnsi="宋体" w:cs="宋体"/>
                <w:kern w:val="0"/>
                <w:szCs w:val="21"/>
              </w:rPr>
            </w:pPr>
            <w:r>
              <w:rPr>
                <w:rFonts w:hint="eastAsia" w:ascii="宋体" w:hAnsi="宋体" w:cs="宋体"/>
                <w:kern w:val="0"/>
                <w:szCs w:val="21"/>
              </w:rPr>
              <w:t>5</w:t>
            </w:r>
          </w:p>
        </w:tc>
        <w:tc>
          <w:tcPr>
            <w:tcW w:w="1116" w:type="dxa"/>
            <w:tcBorders>
              <w:top w:val="nil"/>
              <w:left w:val="nil"/>
              <w:bottom w:val="single" w:color="000000" w:sz="8" w:space="0"/>
              <w:right w:val="single" w:color="000000" w:sz="8" w:space="0"/>
            </w:tcBorders>
            <w:vAlign w:val="center"/>
          </w:tcPr>
          <w:p w14:paraId="74E01CC3">
            <w:pPr>
              <w:widowControl/>
              <w:spacing w:line="400" w:lineRule="exact"/>
              <w:jc w:val="center"/>
              <w:rPr>
                <w:rFonts w:hint="eastAsia" w:ascii="宋体" w:hAnsi="宋体" w:cs="宋体"/>
                <w:kern w:val="0"/>
                <w:szCs w:val="21"/>
              </w:rPr>
            </w:pPr>
            <w:r>
              <w:rPr>
                <w:rFonts w:hint="eastAsia" w:ascii="宋体" w:hAnsi="宋体" w:cs="宋体"/>
                <w:kern w:val="0"/>
                <w:szCs w:val="21"/>
              </w:rPr>
              <w:t>A020519泵</w:t>
            </w:r>
          </w:p>
        </w:tc>
        <w:tc>
          <w:tcPr>
            <w:tcW w:w="1516" w:type="dxa"/>
            <w:tcBorders>
              <w:top w:val="nil"/>
              <w:left w:val="nil"/>
              <w:bottom w:val="single" w:color="000000" w:sz="8" w:space="0"/>
              <w:right w:val="single" w:color="000000" w:sz="8" w:space="0"/>
            </w:tcBorders>
            <w:vAlign w:val="center"/>
          </w:tcPr>
          <w:p w14:paraId="488D5BEE">
            <w:pPr>
              <w:widowControl/>
              <w:spacing w:line="400" w:lineRule="exact"/>
              <w:jc w:val="center"/>
              <w:rPr>
                <w:rFonts w:hint="eastAsia" w:ascii="宋体" w:hAnsi="宋体" w:cs="宋体"/>
                <w:kern w:val="0"/>
                <w:szCs w:val="21"/>
              </w:rPr>
            </w:pPr>
            <w:r>
              <w:rPr>
                <w:rFonts w:hint="eastAsia" w:ascii="宋体" w:hAnsi="宋体" w:cs="宋体"/>
                <w:kern w:val="0"/>
                <w:szCs w:val="21"/>
              </w:rPr>
              <w:t>A02051901离心泵</w:t>
            </w:r>
          </w:p>
        </w:tc>
        <w:tc>
          <w:tcPr>
            <w:tcW w:w="1612" w:type="dxa"/>
            <w:tcBorders>
              <w:top w:val="nil"/>
              <w:left w:val="nil"/>
              <w:bottom w:val="single" w:color="000000" w:sz="8" w:space="0"/>
              <w:right w:val="single" w:color="000000" w:sz="8" w:space="0"/>
            </w:tcBorders>
            <w:vAlign w:val="center"/>
          </w:tcPr>
          <w:p w14:paraId="606955F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2CEB7FD3">
            <w:pPr>
              <w:widowControl/>
              <w:spacing w:line="400" w:lineRule="exact"/>
              <w:jc w:val="left"/>
              <w:rPr>
                <w:rFonts w:hint="eastAsia" w:ascii="宋体" w:hAnsi="宋体" w:cs="宋体"/>
                <w:kern w:val="0"/>
                <w:szCs w:val="21"/>
              </w:rPr>
            </w:pPr>
            <w:r>
              <w:rPr>
                <w:rFonts w:hint="eastAsia" w:ascii="宋体" w:hAnsi="宋体" w:cs="宋体"/>
                <w:kern w:val="0"/>
                <w:szCs w:val="21"/>
              </w:rPr>
              <w:t>《清水离心泵能效限定值及节能评价值》（GB19762）</w:t>
            </w:r>
          </w:p>
        </w:tc>
      </w:tr>
      <w:tr w14:paraId="14577D08">
        <w:tblPrEx>
          <w:tblCellMar>
            <w:top w:w="0" w:type="dxa"/>
            <w:left w:w="108" w:type="dxa"/>
            <w:bottom w:w="0" w:type="dxa"/>
            <w:right w:w="108" w:type="dxa"/>
          </w:tblCellMar>
        </w:tblPrEx>
        <w:trPr>
          <w:trHeight w:val="735" w:hRule="atLeast"/>
        </w:trPr>
        <w:tc>
          <w:tcPr>
            <w:tcW w:w="641" w:type="dxa"/>
            <w:vMerge w:val="restart"/>
            <w:tcBorders>
              <w:top w:val="nil"/>
              <w:left w:val="single" w:color="000000" w:sz="8" w:space="0"/>
              <w:bottom w:val="single" w:color="000000" w:sz="8" w:space="0"/>
              <w:right w:val="single" w:color="000000" w:sz="8" w:space="0"/>
            </w:tcBorders>
            <w:vAlign w:val="center"/>
          </w:tcPr>
          <w:p w14:paraId="0CB0CC21">
            <w:pPr>
              <w:widowControl/>
              <w:spacing w:line="400" w:lineRule="exact"/>
              <w:jc w:val="center"/>
              <w:rPr>
                <w:rFonts w:hint="eastAsia" w:ascii="宋体" w:hAnsi="宋体" w:cs="宋体"/>
                <w:kern w:val="0"/>
                <w:szCs w:val="21"/>
              </w:rPr>
            </w:pPr>
            <w:r>
              <w:rPr>
                <w:rFonts w:hint="eastAsia" w:ascii="宋体" w:hAnsi="宋体" w:cs="宋体"/>
                <w:kern w:val="0"/>
                <w:szCs w:val="21"/>
              </w:rPr>
              <w:t>6</w:t>
            </w:r>
          </w:p>
        </w:tc>
        <w:tc>
          <w:tcPr>
            <w:tcW w:w="1116" w:type="dxa"/>
            <w:vMerge w:val="restart"/>
            <w:tcBorders>
              <w:top w:val="nil"/>
              <w:left w:val="nil"/>
              <w:bottom w:val="single" w:color="000000" w:sz="8" w:space="0"/>
              <w:right w:val="single" w:color="000000" w:sz="8" w:space="0"/>
            </w:tcBorders>
            <w:vAlign w:val="center"/>
          </w:tcPr>
          <w:p w14:paraId="3408E376">
            <w:pPr>
              <w:widowControl/>
              <w:spacing w:line="400" w:lineRule="exact"/>
              <w:jc w:val="center"/>
              <w:rPr>
                <w:rFonts w:hint="eastAsia" w:ascii="宋体" w:hAnsi="宋体" w:cs="宋体"/>
                <w:kern w:val="0"/>
                <w:szCs w:val="21"/>
              </w:rPr>
            </w:pPr>
            <w:r>
              <w:rPr>
                <w:rFonts w:hint="eastAsia" w:ascii="宋体" w:hAnsi="宋体" w:cs="宋体"/>
                <w:kern w:val="0"/>
                <w:szCs w:val="21"/>
              </w:rPr>
              <w:t>A020523制冷空调设备</w:t>
            </w:r>
          </w:p>
        </w:tc>
        <w:tc>
          <w:tcPr>
            <w:tcW w:w="1516" w:type="dxa"/>
            <w:vMerge w:val="restart"/>
            <w:tcBorders>
              <w:top w:val="nil"/>
              <w:left w:val="nil"/>
              <w:bottom w:val="single" w:color="000000" w:sz="8" w:space="0"/>
              <w:right w:val="single" w:color="000000" w:sz="8" w:space="0"/>
            </w:tcBorders>
            <w:vAlign w:val="center"/>
          </w:tcPr>
          <w:p w14:paraId="6F218751">
            <w:pPr>
              <w:widowControl/>
              <w:spacing w:line="400" w:lineRule="exact"/>
              <w:jc w:val="center"/>
              <w:rPr>
                <w:rFonts w:hint="eastAsia" w:ascii="宋体" w:hAnsi="宋体" w:cs="宋体"/>
                <w:kern w:val="0"/>
                <w:szCs w:val="21"/>
              </w:rPr>
            </w:pPr>
            <w:r>
              <w:rPr>
                <w:rFonts w:hint="eastAsia" w:ascii="宋体" w:hAnsi="宋体" w:cs="宋体"/>
                <w:kern w:val="0"/>
                <w:szCs w:val="21"/>
              </w:rPr>
              <w:t>★A02052301制冷压缩机</w:t>
            </w:r>
          </w:p>
        </w:tc>
        <w:tc>
          <w:tcPr>
            <w:tcW w:w="1612" w:type="dxa"/>
            <w:tcBorders>
              <w:top w:val="nil"/>
              <w:left w:val="nil"/>
              <w:bottom w:val="single" w:color="000000" w:sz="8" w:space="0"/>
              <w:right w:val="single" w:color="000000" w:sz="8" w:space="0"/>
            </w:tcBorders>
            <w:vAlign w:val="center"/>
          </w:tcPr>
          <w:p w14:paraId="598729A5">
            <w:pPr>
              <w:widowControl/>
              <w:spacing w:line="400" w:lineRule="exact"/>
              <w:jc w:val="center"/>
              <w:rPr>
                <w:rFonts w:hint="eastAsia" w:ascii="宋体" w:hAnsi="宋体" w:cs="宋体"/>
                <w:kern w:val="0"/>
                <w:szCs w:val="21"/>
              </w:rPr>
            </w:pPr>
            <w:r>
              <w:rPr>
                <w:rFonts w:hint="eastAsia" w:ascii="宋体" w:hAnsi="宋体" w:cs="宋体"/>
                <w:kern w:val="0"/>
                <w:szCs w:val="21"/>
              </w:rPr>
              <w:t>冷水机组</w:t>
            </w:r>
          </w:p>
        </w:tc>
        <w:tc>
          <w:tcPr>
            <w:tcW w:w="4335" w:type="dxa"/>
            <w:tcBorders>
              <w:top w:val="nil"/>
              <w:left w:val="nil"/>
              <w:bottom w:val="single" w:color="000000" w:sz="8" w:space="0"/>
              <w:right w:val="single" w:color="000000" w:sz="8" w:space="0"/>
            </w:tcBorders>
            <w:vAlign w:val="center"/>
          </w:tcPr>
          <w:p w14:paraId="18E4CBD1">
            <w:pPr>
              <w:widowControl/>
              <w:spacing w:line="400" w:lineRule="exact"/>
              <w:jc w:val="left"/>
              <w:rPr>
                <w:rFonts w:hint="eastAsia" w:ascii="宋体" w:hAnsi="宋体" w:cs="宋体"/>
                <w:kern w:val="0"/>
                <w:szCs w:val="21"/>
              </w:rPr>
            </w:pPr>
            <w:r>
              <w:rPr>
                <w:rFonts w:hint="eastAsia" w:ascii="宋体" w:hAnsi="宋体" w:cs="宋体"/>
                <w:kern w:val="0"/>
                <w:szCs w:val="21"/>
              </w:rPr>
              <w:t>《冷水机组能效限定值及能效等级》（GB19577），《低环境温度空气源热泵（冷水）机组能效限定值及能效等级》（GB37480）</w:t>
            </w:r>
          </w:p>
        </w:tc>
      </w:tr>
      <w:tr w14:paraId="52012DCC">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1A656042">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512DE4A2">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186B63C4">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24A9A2AC">
            <w:pPr>
              <w:widowControl/>
              <w:spacing w:line="400" w:lineRule="exact"/>
              <w:jc w:val="center"/>
              <w:rPr>
                <w:rFonts w:hint="eastAsia" w:ascii="宋体" w:hAnsi="宋体" w:cs="宋体"/>
                <w:kern w:val="0"/>
                <w:szCs w:val="21"/>
              </w:rPr>
            </w:pPr>
            <w:r>
              <w:rPr>
                <w:rFonts w:hint="eastAsia" w:ascii="宋体" w:hAnsi="宋体" w:cs="宋体"/>
                <w:kern w:val="0"/>
                <w:szCs w:val="21"/>
              </w:rPr>
              <w:t>水源热泵机组</w:t>
            </w:r>
          </w:p>
        </w:tc>
        <w:tc>
          <w:tcPr>
            <w:tcW w:w="4335" w:type="dxa"/>
            <w:tcBorders>
              <w:top w:val="nil"/>
              <w:left w:val="nil"/>
              <w:bottom w:val="single" w:color="000000" w:sz="8" w:space="0"/>
              <w:right w:val="single" w:color="000000" w:sz="8" w:space="0"/>
            </w:tcBorders>
            <w:vAlign w:val="center"/>
          </w:tcPr>
          <w:p w14:paraId="6B7D456F">
            <w:pPr>
              <w:widowControl/>
              <w:spacing w:line="400" w:lineRule="exact"/>
              <w:jc w:val="left"/>
              <w:rPr>
                <w:rFonts w:hint="eastAsia" w:ascii="宋体" w:hAnsi="宋体" w:cs="宋体"/>
                <w:kern w:val="0"/>
                <w:szCs w:val="21"/>
              </w:rPr>
            </w:pPr>
            <w:r>
              <w:rPr>
                <w:rFonts w:hint="eastAsia" w:ascii="宋体" w:hAnsi="宋体" w:cs="宋体"/>
                <w:kern w:val="0"/>
                <w:szCs w:val="21"/>
              </w:rPr>
              <w:t>《水（地）源热泵机组能效限定值及能效等级》（GB30721）</w:t>
            </w:r>
          </w:p>
        </w:tc>
      </w:tr>
      <w:tr w14:paraId="67D47F5B">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70AE5F4C">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18F33114">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33A11FA8">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4100620B">
            <w:pPr>
              <w:widowControl/>
              <w:spacing w:line="400" w:lineRule="exact"/>
              <w:jc w:val="center"/>
              <w:rPr>
                <w:rFonts w:hint="eastAsia" w:ascii="宋体" w:hAnsi="宋体" w:cs="宋体"/>
                <w:kern w:val="0"/>
                <w:szCs w:val="21"/>
              </w:rPr>
            </w:pPr>
            <w:r>
              <w:rPr>
                <w:rFonts w:hint="eastAsia" w:ascii="宋体" w:hAnsi="宋体" w:cs="宋体"/>
                <w:kern w:val="0"/>
                <w:szCs w:val="21"/>
              </w:rPr>
              <w:t>溴化锂吸收式冷水机组</w:t>
            </w:r>
          </w:p>
        </w:tc>
        <w:tc>
          <w:tcPr>
            <w:tcW w:w="4335" w:type="dxa"/>
            <w:tcBorders>
              <w:top w:val="nil"/>
              <w:left w:val="nil"/>
              <w:bottom w:val="single" w:color="000000" w:sz="8" w:space="0"/>
              <w:right w:val="single" w:color="000000" w:sz="8" w:space="0"/>
            </w:tcBorders>
            <w:vAlign w:val="center"/>
          </w:tcPr>
          <w:p w14:paraId="1A8A0DF9">
            <w:pPr>
              <w:widowControl/>
              <w:spacing w:line="400" w:lineRule="exact"/>
              <w:jc w:val="left"/>
              <w:rPr>
                <w:rFonts w:hint="eastAsia" w:ascii="宋体" w:hAnsi="宋体" w:cs="宋体"/>
                <w:kern w:val="0"/>
                <w:szCs w:val="21"/>
              </w:rPr>
            </w:pPr>
            <w:r>
              <w:rPr>
                <w:rFonts w:hint="eastAsia" w:ascii="宋体" w:hAnsi="宋体" w:cs="宋体"/>
                <w:kern w:val="0"/>
                <w:szCs w:val="21"/>
              </w:rPr>
              <w:t>《溴化锂吸收式冷水机组能效限定值及能效等级》（GB29540）</w:t>
            </w:r>
          </w:p>
        </w:tc>
      </w:tr>
      <w:tr w14:paraId="47BD07D1">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57755CEA">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3E710BFE">
            <w:pPr>
              <w:widowControl/>
              <w:spacing w:line="400" w:lineRule="exact"/>
              <w:jc w:val="left"/>
              <w:rPr>
                <w:rFonts w:hint="eastAsia" w:ascii="宋体" w:hAnsi="宋体" w:cs="宋体"/>
                <w:kern w:val="0"/>
                <w:szCs w:val="21"/>
              </w:rPr>
            </w:pPr>
          </w:p>
        </w:tc>
        <w:tc>
          <w:tcPr>
            <w:tcW w:w="1516" w:type="dxa"/>
            <w:vMerge w:val="restart"/>
            <w:tcBorders>
              <w:top w:val="nil"/>
              <w:left w:val="nil"/>
              <w:bottom w:val="single" w:color="000000" w:sz="8" w:space="0"/>
              <w:right w:val="single" w:color="000000" w:sz="8" w:space="0"/>
            </w:tcBorders>
            <w:vAlign w:val="center"/>
          </w:tcPr>
          <w:p w14:paraId="76E486B1">
            <w:pPr>
              <w:widowControl/>
              <w:spacing w:line="400" w:lineRule="exact"/>
              <w:jc w:val="center"/>
              <w:rPr>
                <w:rFonts w:hint="eastAsia" w:ascii="宋体" w:hAnsi="宋体" w:cs="宋体"/>
                <w:kern w:val="0"/>
                <w:szCs w:val="21"/>
              </w:rPr>
            </w:pPr>
            <w:r>
              <w:rPr>
                <w:rFonts w:hint="eastAsia" w:ascii="宋体" w:hAnsi="宋体" w:cs="宋体"/>
                <w:kern w:val="0"/>
                <w:szCs w:val="21"/>
              </w:rPr>
              <w:t>★A02052305空调机组</w:t>
            </w:r>
          </w:p>
        </w:tc>
        <w:tc>
          <w:tcPr>
            <w:tcW w:w="1612" w:type="dxa"/>
            <w:tcBorders>
              <w:top w:val="nil"/>
              <w:left w:val="nil"/>
              <w:bottom w:val="single" w:color="000000" w:sz="8" w:space="0"/>
              <w:right w:val="single" w:color="000000" w:sz="8" w:space="0"/>
            </w:tcBorders>
            <w:vAlign w:val="center"/>
          </w:tcPr>
          <w:p w14:paraId="4ED17D21">
            <w:pPr>
              <w:widowControl/>
              <w:spacing w:line="400" w:lineRule="exact"/>
              <w:jc w:val="center"/>
              <w:rPr>
                <w:rFonts w:hint="eastAsia" w:ascii="宋体" w:hAnsi="宋体" w:cs="宋体"/>
                <w:kern w:val="0"/>
                <w:szCs w:val="21"/>
              </w:rPr>
            </w:pPr>
            <w:r>
              <w:rPr>
                <w:rFonts w:hint="eastAsia" w:ascii="宋体" w:hAnsi="宋体" w:cs="宋体"/>
                <w:kern w:val="0"/>
                <w:szCs w:val="21"/>
              </w:rPr>
              <w:t>多联式空调（热泵）机组(制冷量&gt;14000W)</w:t>
            </w:r>
          </w:p>
        </w:tc>
        <w:tc>
          <w:tcPr>
            <w:tcW w:w="4335" w:type="dxa"/>
            <w:tcBorders>
              <w:top w:val="nil"/>
              <w:left w:val="nil"/>
              <w:bottom w:val="single" w:color="000000" w:sz="8" w:space="0"/>
              <w:right w:val="single" w:color="000000" w:sz="8" w:space="0"/>
            </w:tcBorders>
            <w:vAlign w:val="center"/>
          </w:tcPr>
          <w:p w14:paraId="1D285741">
            <w:pPr>
              <w:widowControl/>
              <w:spacing w:line="400" w:lineRule="exact"/>
              <w:jc w:val="left"/>
              <w:rPr>
                <w:rFonts w:hint="eastAsia" w:ascii="宋体" w:hAnsi="宋体" w:cs="宋体"/>
                <w:kern w:val="0"/>
                <w:szCs w:val="21"/>
              </w:rPr>
            </w:pPr>
            <w:r>
              <w:rPr>
                <w:rFonts w:hint="eastAsia" w:ascii="宋体" w:hAnsi="宋体" w:cs="宋体"/>
                <w:kern w:val="0"/>
                <w:szCs w:val="21"/>
              </w:rPr>
              <w:t>《多联式空调（热泵）机组能效限定值及能源效率等级》（GB21454）</w:t>
            </w:r>
          </w:p>
        </w:tc>
      </w:tr>
      <w:tr w14:paraId="5DA687E9">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29CC4133">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00DF566E">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2F165B4F">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09022827">
            <w:pPr>
              <w:widowControl/>
              <w:spacing w:line="400" w:lineRule="exact"/>
              <w:jc w:val="center"/>
              <w:rPr>
                <w:rFonts w:hint="eastAsia" w:ascii="宋体" w:hAnsi="宋体" w:cs="宋体"/>
                <w:kern w:val="0"/>
                <w:szCs w:val="21"/>
              </w:rPr>
            </w:pPr>
            <w:r>
              <w:rPr>
                <w:rFonts w:hint="eastAsia" w:ascii="宋体" w:hAnsi="宋体" w:cs="宋体"/>
                <w:kern w:val="0"/>
                <w:szCs w:val="21"/>
              </w:rPr>
              <w:t>单元式空气调节机(制冷量&gt;14000W</w:t>
            </w:r>
          </w:p>
        </w:tc>
        <w:tc>
          <w:tcPr>
            <w:tcW w:w="4335" w:type="dxa"/>
            <w:tcBorders>
              <w:top w:val="nil"/>
              <w:left w:val="nil"/>
              <w:bottom w:val="single" w:color="000000" w:sz="8" w:space="0"/>
              <w:right w:val="single" w:color="000000" w:sz="8" w:space="0"/>
            </w:tcBorders>
            <w:vAlign w:val="center"/>
          </w:tcPr>
          <w:p w14:paraId="4D89D297">
            <w:pPr>
              <w:widowControl/>
              <w:spacing w:line="400" w:lineRule="exact"/>
              <w:jc w:val="left"/>
              <w:rPr>
                <w:rFonts w:hint="eastAsia" w:ascii="宋体" w:hAnsi="宋体" w:cs="宋体"/>
                <w:kern w:val="0"/>
                <w:szCs w:val="21"/>
              </w:rPr>
            </w:pPr>
            <w:r>
              <w:rPr>
                <w:rFonts w:hint="eastAsia" w:ascii="宋体" w:hAnsi="宋体" w:cs="宋体"/>
                <w:kern w:val="0"/>
                <w:szCs w:val="21"/>
              </w:rPr>
              <w:t>《单元式空气调节机能效限定值及能效等级》（GB19576）《风管送风式空调机组能效限定值及能效等级》（GB37479）</w:t>
            </w:r>
          </w:p>
        </w:tc>
      </w:tr>
      <w:tr w14:paraId="51CE3EE8">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3B83D7F7">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799173A1">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54D7FE5D">
            <w:pPr>
              <w:widowControl/>
              <w:spacing w:line="400" w:lineRule="exact"/>
              <w:jc w:val="center"/>
              <w:rPr>
                <w:rFonts w:hint="eastAsia" w:ascii="宋体" w:hAnsi="宋体" w:cs="宋体"/>
                <w:kern w:val="0"/>
                <w:szCs w:val="21"/>
              </w:rPr>
            </w:pPr>
            <w:r>
              <w:rPr>
                <w:rFonts w:hint="eastAsia" w:ascii="宋体" w:hAnsi="宋体" w:cs="宋体"/>
                <w:kern w:val="0"/>
                <w:szCs w:val="21"/>
              </w:rPr>
              <w:t>★A02052309专用制冷、空调设备</w:t>
            </w:r>
          </w:p>
        </w:tc>
        <w:tc>
          <w:tcPr>
            <w:tcW w:w="1612" w:type="dxa"/>
            <w:tcBorders>
              <w:top w:val="nil"/>
              <w:left w:val="nil"/>
              <w:bottom w:val="single" w:color="000000" w:sz="8" w:space="0"/>
              <w:right w:val="single" w:color="000000" w:sz="8" w:space="0"/>
            </w:tcBorders>
            <w:vAlign w:val="center"/>
          </w:tcPr>
          <w:p w14:paraId="736CA854">
            <w:pPr>
              <w:widowControl/>
              <w:spacing w:line="400" w:lineRule="exact"/>
              <w:jc w:val="center"/>
              <w:rPr>
                <w:rFonts w:hint="eastAsia" w:ascii="宋体" w:hAnsi="宋体" w:cs="宋体"/>
                <w:kern w:val="0"/>
                <w:szCs w:val="21"/>
              </w:rPr>
            </w:pPr>
            <w:r>
              <w:rPr>
                <w:rFonts w:hint="eastAsia" w:ascii="宋体" w:hAnsi="宋体" w:cs="宋体"/>
                <w:kern w:val="0"/>
                <w:szCs w:val="21"/>
              </w:rPr>
              <w:t>机房空调</w:t>
            </w:r>
          </w:p>
        </w:tc>
        <w:tc>
          <w:tcPr>
            <w:tcW w:w="4335" w:type="dxa"/>
            <w:tcBorders>
              <w:top w:val="nil"/>
              <w:left w:val="nil"/>
              <w:bottom w:val="single" w:color="000000" w:sz="8" w:space="0"/>
              <w:right w:val="single" w:color="000000" w:sz="8" w:space="0"/>
            </w:tcBorders>
            <w:vAlign w:val="center"/>
          </w:tcPr>
          <w:p w14:paraId="2B8A3559">
            <w:pPr>
              <w:widowControl/>
              <w:spacing w:line="400" w:lineRule="exact"/>
              <w:jc w:val="left"/>
              <w:rPr>
                <w:rFonts w:hint="eastAsia" w:ascii="宋体" w:hAnsi="宋体" w:cs="宋体"/>
                <w:kern w:val="0"/>
                <w:szCs w:val="21"/>
              </w:rPr>
            </w:pPr>
            <w:r>
              <w:rPr>
                <w:rFonts w:hint="eastAsia" w:ascii="宋体" w:hAnsi="宋体" w:cs="宋体"/>
                <w:kern w:val="0"/>
                <w:szCs w:val="21"/>
              </w:rPr>
              <w:t>《单元式空气调节机能效限定值及能效等级》（GB19576）</w:t>
            </w:r>
          </w:p>
        </w:tc>
      </w:tr>
      <w:tr w14:paraId="7DBAAD6F">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2B471FFE">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450FD4FB">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05CA13E3">
            <w:pPr>
              <w:widowControl/>
              <w:spacing w:line="400" w:lineRule="exact"/>
              <w:jc w:val="center"/>
              <w:rPr>
                <w:rFonts w:hint="eastAsia" w:ascii="宋体" w:hAnsi="宋体" w:cs="宋体"/>
                <w:kern w:val="0"/>
                <w:szCs w:val="21"/>
              </w:rPr>
            </w:pPr>
            <w:r>
              <w:rPr>
                <w:rFonts w:hint="eastAsia" w:ascii="宋体" w:hAnsi="宋体" w:cs="宋体"/>
                <w:kern w:val="0"/>
                <w:szCs w:val="21"/>
              </w:rPr>
              <w:t>A02052399其他制冷空调设备</w:t>
            </w:r>
          </w:p>
        </w:tc>
        <w:tc>
          <w:tcPr>
            <w:tcW w:w="1612" w:type="dxa"/>
            <w:tcBorders>
              <w:top w:val="nil"/>
              <w:left w:val="nil"/>
              <w:bottom w:val="single" w:color="000000" w:sz="8" w:space="0"/>
              <w:right w:val="single" w:color="000000" w:sz="8" w:space="0"/>
            </w:tcBorders>
            <w:vAlign w:val="center"/>
          </w:tcPr>
          <w:p w14:paraId="38F1BA75">
            <w:pPr>
              <w:widowControl/>
              <w:spacing w:line="400" w:lineRule="exact"/>
              <w:jc w:val="center"/>
              <w:rPr>
                <w:rFonts w:hint="eastAsia" w:ascii="宋体" w:hAnsi="宋体" w:cs="宋体"/>
                <w:kern w:val="0"/>
                <w:szCs w:val="21"/>
              </w:rPr>
            </w:pPr>
            <w:r>
              <w:rPr>
                <w:rFonts w:hint="eastAsia" w:ascii="宋体" w:hAnsi="宋体" w:cs="宋体"/>
                <w:kern w:val="0"/>
                <w:szCs w:val="21"/>
              </w:rPr>
              <w:t>冷却塔</w:t>
            </w:r>
          </w:p>
        </w:tc>
        <w:tc>
          <w:tcPr>
            <w:tcW w:w="4335" w:type="dxa"/>
            <w:tcBorders>
              <w:top w:val="nil"/>
              <w:left w:val="nil"/>
              <w:bottom w:val="single" w:color="000000" w:sz="8" w:space="0"/>
              <w:right w:val="single" w:color="000000" w:sz="8" w:space="0"/>
            </w:tcBorders>
            <w:vAlign w:val="center"/>
          </w:tcPr>
          <w:p w14:paraId="254F7430">
            <w:pPr>
              <w:widowControl/>
              <w:spacing w:line="400" w:lineRule="exact"/>
              <w:jc w:val="left"/>
              <w:rPr>
                <w:rFonts w:hint="eastAsia" w:ascii="宋体" w:hAnsi="宋体" w:cs="宋体"/>
                <w:kern w:val="0"/>
                <w:szCs w:val="21"/>
              </w:rPr>
            </w:pPr>
            <w:r>
              <w:rPr>
                <w:rFonts w:hint="eastAsia" w:ascii="宋体" w:hAnsi="宋体" w:cs="宋体"/>
                <w:kern w:val="0"/>
                <w:szCs w:val="21"/>
              </w:rPr>
              <w:t>《机械通风冷却塔第1部分：中小型开式冷却塔》（GB/T7190.1）；《机械通风冷却塔第2部分：大型开式冷却塔》（GB/T7190.2）</w:t>
            </w:r>
          </w:p>
        </w:tc>
      </w:tr>
      <w:tr w14:paraId="5A29F67C">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627D3F3F">
            <w:pPr>
              <w:widowControl/>
              <w:spacing w:line="400" w:lineRule="exact"/>
              <w:jc w:val="center"/>
              <w:rPr>
                <w:rFonts w:hint="eastAsia" w:ascii="宋体" w:hAnsi="宋体" w:cs="宋体"/>
                <w:kern w:val="0"/>
                <w:szCs w:val="21"/>
              </w:rPr>
            </w:pPr>
            <w:r>
              <w:rPr>
                <w:rFonts w:hint="eastAsia" w:ascii="宋体" w:hAnsi="宋体" w:cs="宋体"/>
                <w:kern w:val="0"/>
                <w:szCs w:val="21"/>
              </w:rPr>
              <w:t>7</w:t>
            </w:r>
          </w:p>
        </w:tc>
        <w:tc>
          <w:tcPr>
            <w:tcW w:w="1116" w:type="dxa"/>
            <w:tcBorders>
              <w:top w:val="nil"/>
              <w:left w:val="nil"/>
              <w:bottom w:val="single" w:color="000000" w:sz="8" w:space="0"/>
              <w:right w:val="single" w:color="000000" w:sz="8" w:space="0"/>
            </w:tcBorders>
            <w:vAlign w:val="center"/>
          </w:tcPr>
          <w:p w14:paraId="528C1DF8">
            <w:pPr>
              <w:widowControl/>
              <w:spacing w:line="400" w:lineRule="exact"/>
              <w:jc w:val="center"/>
              <w:rPr>
                <w:rFonts w:hint="eastAsia" w:ascii="宋体" w:hAnsi="宋体" w:cs="宋体"/>
                <w:kern w:val="0"/>
                <w:szCs w:val="21"/>
              </w:rPr>
            </w:pPr>
            <w:r>
              <w:rPr>
                <w:rFonts w:hint="eastAsia" w:ascii="宋体" w:hAnsi="宋体" w:cs="宋体"/>
                <w:kern w:val="0"/>
                <w:szCs w:val="21"/>
              </w:rPr>
              <w:t>A020601电机</w:t>
            </w:r>
          </w:p>
        </w:tc>
        <w:tc>
          <w:tcPr>
            <w:tcW w:w="1516" w:type="dxa"/>
            <w:tcBorders>
              <w:top w:val="nil"/>
              <w:left w:val="nil"/>
              <w:bottom w:val="single" w:color="000000" w:sz="8" w:space="0"/>
              <w:right w:val="single" w:color="000000" w:sz="8" w:space="0"/>
            </w:tcBorders>
            <w:vAlign w:val="center"/>
          </w:tcPr>
          <w:p w14:paraId="3FD67512">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12AA02A5">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786D0D7D">
            <w:pPr>
              <w:widowControl/>
              <w:spacing w:line="400" w:lineRule="exact"/>
              <w:jc w:val="left"/>
              <w:rPr>
                <w:rFonts w:hint="eastAsia" w:ascii="宋体" w:hAnsi="宋体" w:cs="宋体"/>
                <w:kern w:val="0"/>
                <w:szCs w:val="21"/>
              </w:rPr>
            </w:pPr>
            <w:r>
              <w:rPr>
                <w:rFonts w:hint="eastAsia" w:ascii="宋体" w:hAnsi="宋体" w:cs="宋体"/>
                <w:kern w:val="0"/>
                <w:szCs w:val="21"/>
              </w:rPr>
              <w:t>《中小型三相异步电动机能效限定值及能效等级》（GB18613）</w:t>
            </w:r>
          </w:p>
        </w:tc>
      </w:tr>
      <w:tr w14:paraId="68BC1291">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09DED92E">
            <w:pPr>
              <w:widowControl/>
              <w:spacing w:line="400" w:lineRule="exact"/>
              <w:jc w:val="center"/>
              <w:rPr>
                <w:rFonts w:hint="eastAsia" w:ascii="宋体" w:hAnsi="宋体" w:cs="宋体"/>
                <w:kern w:val="0"/>
                <w:szCs w:val="21"/>
              </w:rPr>
            </w:pPr>
            <w:r>
              <w:rPr>
                <w:rFonts w:hint="eastAsia" w:ascii="宋体" w:hAnsi="宋体" w:cs="宋体"/>
                <w:kern w:val="0"/>
                <w:szCs w:val="21"/>
              </w:rPr>
              <w:t>8</w:t>
            </w:r>
          </w:p>
        </w:tc>
        <w:tc>
          <w:tcPr>
            <w:tcW w:w="1116" w:type="dxa"/>
            <w:tcBorders>
              <w:top w:val="nil"/>
              <w:left w:val="nil"/>
              <w:bottom w:val="single" w:color="000000" w:sz="8" w:space="0"/>
              <w:right w:val="single" w:color="000000" w:sz="8" w:space="0"/>
            </w:tcBorders>
            <w:vAlign w:val="center"/>
          </w:tcPr>
          <w:p w14:paraId="3DFD70FD">
            <w:pPr>
              <w:widowControl/>
              <w:spacing w:line="400" w:lineRule="exact"/>
              <w:jc w:val="center"/>
              <w:rPr>
                <w:rFonts w:hint="eastAsia" w:ascii="宋体" w:hAnsi="宋体" w:cs="宋体"/>
                <w:kern w:val="0"/>
                <w:szCs w:val="21"/>
              </w:rPr>
            </w:pPr>
            <w:r>
              <w:rPr>
                <w:rFonts w:hint="eastAsia" w:ascii="宋体" w:hAnsi="宋体" w:cs="宋体"/>
                <w:kern w:val="0"/>
                <w:szCs w:val="21"/>
              </w:rPr>
              <w:t>A020602变压器</w:t>
            </w:r>
          </w:p>
        </w:tc>
        <w:tc>
          <w:tcPr>
            <w:tcW w:w="1516" w:type="dxa"/>
            <w:tcBorders>
              <w:top w:val="nil"/>
              <w:left w:val="nil"/>
              <w:bottom w:val="single" w:color="000000" w:sz="8" w:space="0"/>
              <w:right w:val="single" w:color="000000" w:sz="8" w:space="0"/>
            </w:tcBorders>
            <w:vAlign w:val="center"/>
          </w:tcPr>
          <w:p w14:paraId="238C38AA">
            <w:pPr>
              <w:widowControl/>
              <w:spacing w:line="400" w:lineRule="exact"/>
              <w:jc w:val="center"/>
              <w:rPr>
                <w:rFonts w:hint="eastAsia" w:ascii="宋体" w:hAnsi="宋体" w:cs="宋体"/>
                <w:kern w:val="0"/>
                <w:szCs w:val="21"/>
              </w:rPr>
            </w:pPr>
            <w:r>
              <w:rPr>
                <w:rFonts w:hint="eastAsia" w:ascii="宋体" w:hAnsi="宋体" w:cs="宋体"/>
                <w:kern w:val="0"/>
                <w:szCs w:val="21"/>
              </w:rPr>
              <w:t>配电变压器</w:t>
            </w:r>
          </w:p>
        </w:tc>
        <w:tc>
          <w:tcPr>
            <w:tcW w:w="1612" w:type="dxa"/>
            <w:tcBorders>
              <w:top w:val="nil"/>
              <w:left w:val="nil"/>
              <w:bottom w:val="single" w:color="000000" w:sz="8" w:space="0"/>
              <w:right w:val="single" w:color="000000" w:sz="8" w:space="0"/>
            </w:tcBorders>
            <w:vAlign w:val="center"/>
          </w:tcPr>
          <w:p w14:paraId="7CAD44D7">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025C473D">
            <w:pPr>
              <w:widowControl/>
              <w:spacing w:line="400" w:lineRule="exact"/>
              <w:jc w:val="left"/>
              <w:rPr>
                <w:rFonts w:hint="eastAsia" w:ascii="宋体" w:hAnsi="宋体" w:cs="宋体"/>
                <w:kern w:val="0"/>
                <w:szCs w:val="21"/>
              </w:rPr>
            </w:pPr>
            <w:r>
              <w:rPr>
                <w:rFonts w:hint="eastAsia" w:ascii="宋体" w:hAnsi="宋体" w:cs="宋体"/>
                <w:kern w:val="0"/>
                <w:szCs w:val="21"/>
              </w:rPr>
              <w:t>《三相配电变压器能效限定值及能效等级》（GB20052）</w:t>
            </w:r>
          </w:p>
        </w:tc>
      </w:tr>
      <w:tr w14:paraId="38ECF916">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5C2A3E75">
            <w:pPr>
              <w:widowControl/>
              <w:spacing w:line="400" w:lineRule="exact"/>
              <w:jc w:val="center"/>
              <w:rPr>
                <w:rFonts w:hint="eastAsia" w:ascii="宋体" w:hAnsi="宋体" w:cs="宋体"/>
                <w:kern w:val="0"/>
                <w:szCs w:val="21"/>
              </w:rPr>
            </w:pPr>
            <w:r>
              <w:rPr>
                <w:rFonts w:hint="eastAsia" w:ascii="宋体" w:hAnsi="宋体" w:cs="宋体"/>
                <w:kern w:val="0"/>
                <w:szCs w:val="21"/>
              </w:rPr>
              <w:t>9</w:t>
            </w:r>
          </w:p>
        </w:tc>
        <w:tc>
          <w:tcPr>
            <w:tcW w:w="1116" w:type="dxa"/>
            <w:tcBorders>
              <w:top w:val="nil"/>
              <w:left w:val="nil"/>
              <w:bottom w:val="single" w:color="000000" w:sz="8" w:space="0"/>
              <w:right w:val="single" w:color="000000" w:sz="8" w:space="0"/>
            </w:tcBorders>
            <w:vAlign w:val="center"/>
          </w:tcPr>
          <w:p w14:paraId="734724A4">
            <w:pPr>
              <w:widowControl/>
              <w:spacing w:line="400" w:lineRule="exact"/>
              <w:jc w:val="center"/>
              <w:rPr>
                <w:rFonts w:hint="eastAsia" w:ascii="宋体" w:hAnsi="宋体" w:cs="宋体"/>
                <w:kern w:val="0"/>
                <w:szCs w:val="21"/>
              </w:rPr>
            </w:pPr>
            <w:r>
              <w:rPr>
                <w:rFonts w:hint="eastAsia" w:ascii="宋体" w:hAnsi="宋体" w:cs="宋体"/>
                <w:kern w:val="0"/>
                <w:szCs w:val="21"/>
              </w:rPr>
              <w:t>★A020609镇流器</w:t>
            </w:r>
          </w:p>
        </w:tc>
        <w:tc>
          <w:tcPr>
            <w:tcW w:w="1516" w:type="dxa"/>
            <w:tcBorders>
              <w:top w:val="nil"/>
              <w:left w:val="nil"/>
              <w:bottom w:val="single" w:color="000000" w:sz="8" w:space="0"/>
              <w:right w:val="single" w:color="000000" w:sz="8" w:space="0"/>
            </w:tcBorders>
            <w:vAlign w:val="center"/>
          </w:tcPr>
          <w:p w14:paraId="6671E933">
            <w:pPr>
              <w:widowControl/>
              <w:spacing w:line="400" w:lineRule="exact"/>
              <w:jc w:val="center"/>
              <w:rPr>
                <w:rFonts w:hint="eastAsia" w:ascii="宋体" w:hAnsi="宋体" w:cs="宋体"/>
                <w:kern w:val="0"/>
                <w:szCs w:val="21"/>
              </w:rPr>
            </w:pPr>
            <w:r>
              <w:rPr>
                <w:rFonts w:hint="eastAsia" w:ascii="宋体" w:hAnsi="宋体" w:cs="宋体"/>
                <w:kern w:val="0"/>
                <w:szCs w:val="21"/>
              </w:rPr>
              <w:t>管型荧光灯镇流器</w:t>
            </w:r>
          </w:p>
        </w:tc>
        <w:tc>
          <w:tcPr>
            <w:tcW w:w="1612" w:type="dxa"/>
            <w:tcBorders>
              <w:top w:val="nil"/>
              <w:left w:val="nil"/>
              <w:bottom w:val="single" w:color="000000" w:sz="8" w:space="0"/>
              <w:right w:val="single" w:color="000000" w:sz="8" w:space="0"/>
            </w:tcBorders>
            <w:vAlign w:val="center"/>
          </w:tcPr>
          <w:p w14:paraId="03981C23">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7D3E051C">
            <w:pPr>
              <w:widowControl/>
              <w:spacing w:line="400" w:lineRule="exact"/>
              <w:jc w:val="left"/>
              <w:rPr>
                <w:rFonts w:hint="eastAsia" w:ascii="宋体" w:hAnsi="宋体" w:cs="宋体"/>
                <w:kern w:val="0"/>
                <w:szCs w:val="21"/>
              </w:rPr>
            </w:pPr>
            <w:r>
              <w:rPr>
                <w:rFonts w:hint="eastAsia" w:ascii="宋体" w:hAnsi="宋体" w:cs="宋体"/>
                <w:kern w:val="0"/>
                <w:szCs w:val="21"/>
              </w:rPr>
              <w:t>《管形荧光灯镇流器能效限定值及能效等级》（GB17896）</w:t>
            </w:r>
          </w:p>
        </w:tc>
      </w:tr>
      <w:tr w14:paraId="7F617E14">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vAlign w:val="center"/>
          </w:tcPr>
          <w:p w14:paraId="11618687">
            <w:pPr>
              <w:widowControl/>
              <w:spacing w:line="400" w:lineRule="exact"/>
              <w:jc w:val="center"/>
              <w:rPr>
                <w:rFonts w:hint="eastAsia" w:ascii="宋体" w:hAnsi="宋体" w:cs="宋体"/>
                <w:kern w:val="0"/>
                <w:szCs w:val="21"/>
              </w:rPr>
            </w:pPr>
            <w:r>
              <w:rPr>
                <w:rFonts w:hint="eastAsia" w:ascii="宋体" w:hAnsi="宋体" w:cs="宋体"/>
                <w:kern w:val="0"/>
                <w:szCs w:val="21"/>
              </w:rPr>
              <w:t>10</w:t>
            </w:r>
          </w:p>
        </w:tc>
        <w:tc>
          <w:tcPr>
            <w:tcW w:w="1116" w:type="dxa"/>
            <w:vMerge w:val="restart"/>
            <w:tcBorders>
              <w:top w:val="nil"/>
              <w:left w:val="nil"/>
              <w:bottom w:val="single" w:color="000000" w:sz="8" w:space="0"/>
              <w:right w:val="single" w:color="000000" w:sz="8" w:space="0"/>
            </w:tcBorders>
            <w:vAlign w:val="center"/>
          </w:tcPr>
          <w:p w14:paraId="22F30C9E">
            <w:pPr>
              <w:widowControl/>
              <w:spacing w:line="400" w:lineRule="exact"/>
              <w:jc w:val="center"/>
              <w:rPr>
                <w:rFonts w:hint="eastAsia" w:ascii="宋体" w:hAnsi="宋体" w:cs="宋体"/>
                <w:kern w:val="0"/>
                <w:szCs w:val="21"/>
              </w:rPr>
            </w:pPr>
            <w:r>
              <w:rPr>
                <w:rFonts w:hint="eastAsia" w:ascii="宋体" w:hAnsi="宋体" w:cs="宋体"/>
                <w:kern w:val="0"/>
                <w:szCs w:val="21"/>
              </w:rPr>
              <w:t>A020618生活用电器</w:t>
            </w:r>
          </w:p>
        </w:tc>
        <w:tc>
          <w:tcPr>
            <w:tcW w:w="1516" w:type="dxa"/>
            <w:tcBorders>
              <w:top w:val="nil"/>
              <w:left w:val="nil"/>
              <w:bottom w:val="single" w:color="000000" w:sz="8" w:space="0"/>
              <w:right w:val="single" w:color="000000" w:sz="8" w:space="0"/>
            </w:tcBorders>
            <w:vAlign w:val="center"/>
          </w:tcPr>
          <w:p w14:paraId="703249AB">
            <w:pPr>
              <w:widowControl/>
              <w:spacing w:line="400" w:lineRule="exact"/>
              <w:jc w:val="center"/>
              <w:rPr>
                <w:rFonts w:hint="eastAsia" w:ascii="宋体" w:hAnsi="宋体" w:cs="宋体"/>
                <w:kern w:val="0"/>
                <w:szCs w:val="21"/>
              </w:rPr>
            </w:pPr>
            <w:r>
              <w:rPr>
                <w:rFonts w:hint="eastAsia" w:ascii="宋体" w:hAnsi="宋体" w:cs="宋体"/>
                <w:kern w:val="0"/>
                <w:szCs w:val="21"/>
              </w:rPr>
              <w:t>A0206180101电冰箱</w:t>
            </w:r>
          </w:p>
        </w:tc>
        <w:tc>
          <w:tcPr>
            <w:tcW w:w="1612" w:type="dxa"/>
            <w:tcBorders>
              <w:top w:val="nil"/>
              <w:left w:val="nil"/>
              <w:bottom w:val="single" w:color="000000" w:sz="8" w:space="0"/>
              <w:right w:val="single" w:color="000000" w:sz="8" w:space="0"/>
            </w:tcBorders>
            <w:vAlign w:val="center"/>
          </w:tcPr>
          <w:p w14:paraId="34020581">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4E6B23B2">
            <w:pPr>
              <w:widowControl/>
              <w:spacing w:line="400" w:lineRule="exact"/>
              <w:jc w:val="left"/>
              <w:rPr>
                <w:rFonts w:hint="eastAsia" w:ascii="宋体" w:hAnsi="宋体" w:cs="宋体"/>
                <w:kern w:val="0"/>
                <w:szCs w:val="21"/>
              </w:rPr>
            </w:pPr>
            <w:r>
              <w:rPr>
                <w:rFonts w:hint="eastAsia" w:ascii="宋体" w:hAnsi="宋体" w:cs="宋体"/>
                <w:kern w:val="0"/>
                <w:szCs w:val="21"/>
              </w:rPr>
              <w:t>《家用电冰箱耗电量限定值及能效等级》（GB 12021.2）</w:t>
            </w:r>
          </w:p>
        </w:tc>
      </w:tr>
      <w:tr w14:paraId="27F81B07">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vAlign w:val="center"/>
          </w:tcPr>
          <w:p w14:paraId="3C616749">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7420243A">
            <w:pPr>
              <w:widowControl/>
              <w:spacing w:line="400" w:lineRule="exact"/>
              <w:jc w:val="left"/>
              <w:rPr>
                <w:rFonts w:hint="eastAsia" w:ascii="宋体" w:hAnsi="宋体" w:cs="宋体"/>
                <w:kern w:val="0"/>
                <w:szCs w:val="21"/>
              </w:rPr>
            </w:pPr>
          </w:p>
        </w:tc>
        <w:tc>
          <w:tcPr>
            <w:tcW w:w="1516" w:type="dxa"/>
            <w:vMerge w:val="restart"/>
            <w:tcBorders>
              <w:top w:val="nil"/>
              <w:left w:val="nil"/>
              <w:bottom w:val="single" w:color="000000" w:sz="8" w:space="0"/>
              <w:right w:val="single" w:color="000000" w:sz="8" w:space="0"/>
            </w:tcBorders>
            <w:vAlign w:val="center"/>
          </w:tcPr>
          <w:p w14:paraId="28E1D3CE">
            <w:pPr>
              <w:widowControl/>
              <w:spacing w:line="400" w:lineRule="exact"/>
              <w:jc w:val="center"/>
              <w:rPr>
                <w:rFonts w:hint="eastAsia" w:ascii="宋体" w:hAnsi="宋体" w:cs="宋体"/>
                <w:kern w:val="0"/>
                <w:szCs w:val="21"/>
              </w:rPr>
            </w:pPr>
            <w:r>
              <w:rPr>
                <w:rFonts w:hint="eastAsia" w:ascii="宋体" w:hAnsi="宋体" w:cs="宋体"/>
                <w:kern w:val="0"/>
                <w:szCs w:val="21"/>
              </w:rPr>
              <w:t>★A0206180203空调机</w:t>
            </w:r>
          </w:p>
        </w:tc>
        <w:tc>
          <w:tcPr>
            <w:tcW w:w="1612" w:type="dxa"/>
            <w:tcBorders>
              <w:top w:val="nil"/>
              <w:left w:val="nil"/>
              <w:bottom w:val="single" w:color="000000" w:sz="8" w:space="0"/>
              <w:right w:val="single" w:color="000000" w:sz="8" w:space="0"/>
            </w:tcBorders>
            <w:vAlign w:val="center"/>
          </w:tcPr>
          <w:p w14:paraId="3C4A8DBC">
            <w:pPr>
              <w:widowControl/>
              <w:spacing w:line="400" w:lineRule="exact"/>
              <w:jc w:val="center"/>
              <w:rPr>
                <w:rFonts w:hint="eastAsia" w:ascii="宋体" w:hAnsi="宋体" w:cs="宋体"/>
                <w:kern w:val="0"/>
                <w:szCs w:val="21"/>
              </w:rPr>
            </w:pPr>
            <w:r>
              <w:rPr>
                <w:rFonts w:hint="eastAsia" w:ascii="宋体" w:hAnsi="宋体" w:cs="宋体"/>
                <w:kern w:val="0"/>
                <w:szCs w:val="21"/>
              </w:rPr>
              <w:t>房间空气调节器</w:t>
            </w:r>
          </w:p>
        </w:tc>
        <w:tc>
          <w:tcPr>
            <w:tcW w:w="4335" w:type="dxa"/>
            <w:tcBorders>
              <w:top w:val="nil"/>
              <w:left w:val="nil"/>
              <w:bottom w:val="single" w:color="000000" w:sz="8" w:space="0"/>
              <w:right w:val="single" w:color="000000" w:sz="8" w:space="0"/>
            </w:tcBorders>
            <w:vAlign w:val="center"/>
          </w:tcPr>
          <w:p w14:paraId="0F57444F">
            <w:pPr>
              <w:widowControl/>
              <w:spacing w:line="400" w:lineRule="exact"/>
              <w:jc w:val="left"/>
              <w:rPr>
                <w:rFonts w:hint="eastAsia" w:ascii="宋体" w:hAnsi="宋体" w:cs="宋体"/>
                <w:kern w:val="0"/>
                <w:szCs w:val="21"/>
              </w:rPr>
            </w:pPr>
            <w:r>
              <w:rPr>
                <w:rFonts w:hint="eastAsia" w:ascii="宋体" w:hAnsi="宋体" w:cs="宋体"/>
                <w:kern w:val="0"/>
                <w:szCs w:val="21"/>
              </w:rPr>
              <w:t>《转速可控型房间空气调节器能效限定值及能效等级》（GB21455-2013），待2019年修订发布后，按《房间空气调节器能效限定值及能效等级》（GB21455-2019实施。</w:t>
            </w:r>
          </w:p>
        </w:tc>
      </w:tr>
      <w:tr w14:paraId="70E1802C">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75152779">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6B257BD4">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40955F7B">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785D8054">
            <w:pPr>
              <w:widowControl/>
              <w:spacing w:line="400" w:lineRule="exact"/>
              <w:jc w:val="center"/>
              <w:rPr>
                <w:rFonts w:hint="eastAsia" w:ascii="宋体" w:hAnsi="宋体" w:cs="宋体"/>
                <w:kern w:val="0"/>
                <w:szCs w:val="21"/>
              </w:rPr>
            </w:pPr>
            <w:r>
              <w:rPr>
                <w:rFonts w:hint="eastAsia" w:ascii="宋体" w:hAnsi="宋体" w:cs="宋体"/>
                <w:kern w:val="0"/>
                <w:szCs w:val="21"/>
              </w:rPr>
              <w:t>多联式空调（热泵）机组（制冷量≤ 14000W）</w:t>
            </w:r>
          </w:p>
        </w:tc>
        <w:tc>
          <w:tcPr>
            <w:tcW w:w="4335" w:type="dxa"/>
            <w:tcBorders>
              <w:top w:val="nil"/>
              <w:left w:val="nil"/>
              <w:bottom w:val="single" w:color="000000" w:sz="8" w:space="0"/>
              <w:right w:val="single" w:color="000000" w:sz="8" w:space="0"/>
            </w:tcBorders>
            <w:vAlign w:val="center"/>
          </w:tcPr>
          <w:p w14:paraId="5C3D3F52">
            <w:pPr>
              <w:widowControl/>
              <w:spacing w:line="400" w:lineRule="exact"/>
              <w:jc w:val="left"/>
              <w:rPr>
                <w:rFonts w:hint="eastAsia" w:ascii="宋体" w:hAnsi="宋体" w:cs="宋体"/>
                <w:kern w:val="0"/>
                <w:szCs w:val="21"/>
              </w:rPr>
            </w:pPr>
            <w:r>
              <w:rPr>
                <w:rFonts w:hint="eastAsia" w:ascii="宋体" w:hAnsi="宋体" w:cs="宋体"/>
                <w:kern w:val="0"/>
                <w:szCs w:val="21"/>
              </w:rPr>
              <w:t>《多联式空调（热泵）机组能效限定值及能源效率等级》（GB21454）</w:t>
            </w:r>
          </w:p>
        </w:tc>
      </w:tr>
      <w:tr w14:paraId="0FD85D58">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7BDDAC67">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247C3EF0">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59498FD3">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72CDECA2">
            <w:pPr>
              <w:widowControl/>
              <w:spacing w:line="400" w:lineRule="exact"/>
              <w:jc w:val="center"/>
              <w:rPr>
                <w:rFonts w:hint="eastAsia" w:ascii="宋体" w:hAnsi="宋体" w:cs="宋体"/>
                <w:kern w:val="0"/>
                <w:szCs w:val="21"/>
              </w:rPr>
            </w:pPr>
            <w:r>
              <w:rPr>
                <w:rFonts w:hint="eastAsia" w:ascii="宋体" w:hAnsi="宋体" w:cs="宋体"/>
                <w:kern w:val="0"/>
                <w:szCs w:val="21"/>
              </w:rPr>
              <w:t>单元式空气调节机(制冷量≤14000W)</w:t>
            </w:r>
          </w:p>
        </w:tc>
        <w:tc>
          <w:tcPr>
            <w:tcW w:w="4335" w:type="dxa"/>
            <w:tcBorders>
              <w:top w:val="nil"/>
              <w:left w:val="nil"/>
              <w:bottom w:val="single" w:color="000000" w:sz="8" w:space="0"/>
              <w:right w:val="single" w:color="000000" w:sz="8" w:space="0"/>
            </w:tcBorders>
            <w:vAlign w:val="center"/>
          </w:tcPr>
          <w:p w14:paraId="4137AB86">
            <w:pPr>
              <w:widowControl/>
              <w:spacing w:line="400" w:lineRule="exact"/>
              <w:jc w:val="left"/>
              <w:rPr>
                <w:rFonts w:hint="eastAsia" w:ascii="宋体" w:hAnsi="宋体" w:cs="宋体"/>
                <w:kern w:val="0"/>
                <w:szCs w:val="21"/>
              </w:rPr>
            </w:pPr>
            <w:r>
              <w:rPr>
                <w:rFonts w:hint="eastAsia" w:ascii="宋体" w:hAnsi="宋体" w:cs="宋体"/>
                <w:kern w:val="0"/>
                <w:szCs w:val="21"/>
              </w:rPr>
              <w:t>《单元式空气调节机能效限定值及能源效率等级》（GB19576）《风管送风式空调机组能效限定值及能效等级》（GB37479）</w:t>
            </w:r>
          </w:p>
        </w:tc>
      </w:tr>
      <w:tr w14:paraId="10546337">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67F5AC88">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1CDECB4C">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70899F9A">
            <w:pPr>
              <w:widowControl/>
              <w:spacing w:line="400" w:lineRule="exact"/>
              <w:jc w:val="center"/>
              <w:rPr>
                <w:rFonts w:hint="eastAsia" w:ascii="宋体" w:hAnsi="宋体" w:cs="宋体"/>
                <w:kern w:val="0"/>
                <w:szCs w:val="21"/>
              </w:rPr>
            </w:pPr>
            <w:r>
              <w:rPr>
                <w:rFonts w:hint="eastAsia" w:ascii="宋体" w:hAnsi="宋体" w:cs="宋体"/>
                <w:kern w:val="0"/>
                <w:szCs w:val="21"/>
              </w:rPr>
              <w:t>A0206180301洗衣机</w:t>
            </w:r>
          </w:p>
        </w:tc>
        <w:tc>
          <w:tcPr>
            <w:tcW w:w="1612" w:type="dxa"/>
            <w:tcBorders>
              <w:top w:val="nil"/>
              <w:left w:val="nil"/>
              <w:bottom w:val="single" w:color="000000" w:sz="8" w:space="0"/>
              <w:right w:val="single" w:color="000000" w:sz="8" w:space="0"/>
            </w:tcBorders>
            <w:vAlign w:val="center"/>
          </w:tcPr>
          <w:p w14:paraId="610EEF8F">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4E4C2380">
            <w:pPr>
              <w:widowControl/>
              <w:spacing w:line="400" w:lineRule="exact"/>
              <w:jc w:val="left"/>
              <w:rPr>
                <w:rFonts w:hint="eastAsia" w:ascii="宋体" w:hAnsi="宋体" w:cs="宋体"/>
                <w:kern w:val="0"/>
                <w:szCs w:val="21"/>
              </w:rPr>
            </w:pPr>
            <w:r>
              <w:rPr>
                <w:rFonts w:hint="eastAsia" w:ascii="宋体" w:hAnsi="宋体" w:cs="宋体"/>
                <w:kern w:val="0"/>
                <w:szCs w:val="21"/>
              </w:rPr>
              <w:t>《电动洗衣机能效水效限定值及等级》（GB12021.4）</w:t>
            </w:r>
          </w:p>
        </w:tc>
      </w:tr>
      <w:tr w14:paraId="0C2886B9">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6BBB268C">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369E4593">
            <w:pPr>
              <w:widowControl/>
              <w:spacing w:line="400" w:lineRule="exact"/>
              <w:jc w:val="left"/>
              <w:rPr>
                <w:rFonts w:hint="eastAsia" w:ascii="宋体" w:hAnsi="宋体" w:cs="宋体"/>
                <w:kern w:val="0"/>
                <w:szCs w:val="21"/>
              </w:rPr>
            </w:pPr>
          </w:p>
        </w:tc>
        <w:tc>
          <w:tcPr>
            <w:tcW w:w="1516" w:type="dxa"/>
            <w:vMerge w:val="restart"/>
            <w:tcBorders>
              <w:top w:val="nil"/>
              <w:left w:val="nil"/>
              <w:bottom w:val="single" w:color="000000" w:sz="8" w:space="0"/>
              <w:right w:val="single" w:color="000000" w:sz="8" w:space="0"/>
            </w:tcBorders>
            <w:vAlign w:val="center"/>
          </w:tcPr>
          <w:p w14:paraId="663DEA97">
            <w:pPr>
              <w:widowControl/>
              <w:spacing w:line="400" w:lineRule="exact"/>
              <w:jc w:val="center"/>
              <w:rPr>
                <w:rFonts w:hint="eastAsia" w:ascii="宋体" w:hAnsi="宋体" w:cs="宋体"/>
                <w:kern w:val="0"/>
                <w:szCs w:val="21"/>
              </w:rPr>
            </w:pPr>
            <w:r>
              <w:rPr>
                <w:rFonts w:hint="eastAsia" w:ascii="宋体" w:hAnsi="宋体" w:cs="宋体"/>
                <w:kern w:val="0"/>
                <w:szCs w:val="21"/>
              </w:rPr>
              <w:t>A02061808热水器</w:t>
            </w:r>
          </w:p>
        </w:tc>
        <w:tc>
          <w:tcPr>
            <w:tcW w:w="1612" w:type="dxa"/>
            <w:tcBorders>
              <w:top w:val="nil"/>
              <w:left w:val="nil"/>
              <w:bottom w:val="single" w:color="000000" w:sz="8" w:space="0"/>
              <w:right w:val="single" w:color="000000" w:sz="8" w:space="0"/>
            </w:tcBorders>
            <w:vAlign w:val="center"/>
          </w:tcPr>
          <w:p w14:paraId="3CD39684">
            <w:pPr>
              <w:widowControl/>
              <w:spacing w:line="400" w:lineRule="exact"/>
              <w:jc w:val="center"/>
              <w:rPr>
                <w:rFonts w:hint="eastAsia" w:ascii="宋体" w:hAnsi="宋体" w:cs="宋体"/>
                <w:kern w:val="0"/>
                <w:szCs w:val="21"/>
              </w:rPr>
            </w:pPr>
            <w:r>
              <w:rPr>
                <w:rFonts w:hint="eastAsia" w:ascii="宋体" w:hAnsi="宋体" w:cs="宋体"/>
                <w:kern w:val="0"/>
                <w:szCs w:val="21"/>
              </w:rPr>
              <w:t>★电热水器</w:t>
            </w:r>
          </w:p>
        </w:tc>
        <w:tc>
          <w:tcPr>
            <w:tcW w:w="4335" w:type="dxa"/>
            <w:tcBorders>
              <w:top w:val="nil"/>
              <w:left w:val="nil"/>
              <w:bottom w:val="single" w:color="000000" w:sz="8" w:space="0"/>
              <w:right w:val="single" w:color="000000" w:sz="8" w:space="0"/>
            </w:tcBorders>
            <w:vAlign w:val="center"/>
          </w:tcPr>
          <w:p w14:paraId="5524B349">
            <w:pPr>
              <w:widowControl/>
              <w:spacing w:line="400" w:lineRule="exact"/>
              <w:jc w:val="left"/>
              <w:rPr>
                <w:rFonts w:hint="eastAsia" w:ascii="宋体" w:hAnsi="宋体" w:cs="宋体"/>
                <w:kern w:val="0"/>
                <w:szCs w:val="21"/>
              </w:rPr>
            </w:pPr>
            <w:r>
              <w:rPr>
                <w:rFonts w:hint="eastAsia" w:ascii="宋体" w:hAnsi="宋体" w:cs="宋体"/>
                <w:kern w:val="0"/>
                <w:szCs w:val="21"/>
              </w:rPr>
              <w:t>《储水式电热水器能效限定值及能效等级》（GB21519）</w:t>
            </w:r>
          </w:p>
        </w:tc>
      </w:tr>
      <w:tr w14:paraId="0EAFE615">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2B05DCD4">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5DD23170">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7A603BE2">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771B15CD">
            <w:pPr>
              <w:widowControl/>
              <w:spacing w:line="400" w:lineRule="exact"/>
              <w:jc w:val="center"/>
              <w:rPr>
                <w:rFonts w:hint="eastAsia" w:ascii="宋体" w:hAnsi="宋体" w:cs="宋体"/>
                <w:kern w:val="0"/>
                <w:szCs w:val="21"/>
              </w:rPr>
            </w:pPr>
            <w:r>
              <w:rPr>
                <w:rFonts w:hint="eastAsia" w:ascii="宋体" w:hAnsi="宋体" w:cs="宋体"/>
                <w:kern w:val="0"/>
                <w:szCs w:val="21"/>
              </w:rPr>
              <w:t>燃气热水器</w:t>
            </w:r>
          </w:p>
        </w:tc>
        <w:tc>
          <w:tcPr>
            <w:tcW w:w="4335" w:type="dxa"/>
            <w:tcBorders>
              <w:top w:val="nil"/>
              <w:left w:val="nil"/>
              <w:bottom w:val="single" w:color="000000" w:sz="8" w:space="0"/>
              <w:right w:val="single" w:color="000000" w:sz="8" w:space="0"/>
            </w:tcBorders>
            <w:vAlign w:val="center"/>
          </w:tcPr>
          <w:p w14:paraId="2EE18B5F">
            <w:pPr>
              <w:widowControl/>
              <w:spacing w:line="400" w:lineRule="exact"/>
              <w:jc w:val="left"/>
              <w:rPr>
                <w:rFonts w:hint="eastAsia" w:ascii="宋体" w:hAnsi="宋体" w:cs="宋体"/>
                <w:kern w:val="0"/>
                <w:szCs w:val="21"/>
              </w:rPr>
            </w:pPr>
            <w:r>
              <w:rPr>
                <w:rFonts w:hint="eastAsia" w:ascii="宋体" w:hAnsi="宋体" w:cs="宋体"/>
                <w:kern w:val="0"/>
                <w:szCs w:val="21"/>
              </w:rPr>
              <w:t>《家用燃气快速热水器和燃气采暖热水炉能效限定值及能效等级》（GB20665）</w:t>
            </w:r>
          </w:p>
        </w:tc>
      </w:tr>
      <w:tr w14:paraId="0CFFAABB">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3496632D">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018DCF49">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3006E4EB">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370ABF1D">
            <w:pPr>
              <w:widowControl/>
              <w:spacing w:line="400" w:lineRule="exact"/>
              <w:jc w:val="center"/>
              <w:rPr>
                <w:rFonts w:hint="eastAsia" w:ascii="宋体" w:hAnsi="宋体" w:cs="宋体"/>
                <w:kern w:val="0"/>
                <w:szCs w:val="21"/>
              </w:rPr>
            </w:pPr>
            <w:r>
              <w:rPr>
                <w:rFonts w:hint="eastAsia" w:ascii="宋体" w:hAnsi="宋体" w:cs="宋体"/>
                <w:kern w:val="0"/>
                <w:szCs w:val="21"/>
              </w:rPr>
              <w:t>热泵热水器</w:t>
            </w:r>
          </w:p>
        </w:tc>
        <w:tc>
          <w:tcPr>
            <w:tcW w:w="4335" w:type="dxa"/>
            <w:tcBorders>
              <w:top w:val="nil"/>
              <w:left w:val="nil"/>
              <w:bottom w:val="single" w:color="000000" w:sz="8" w:space="0"/>
              <w:right w:val="single" w:color="000000" w:sz="8" w:space="0"/>
            </w:tcBorders>
            <w:vAlign w:val="center"/>
          </w:tcPr>
          <w:p w14:paraId="1410FC90">
            <w:pPr>
              <w:widowControl/>
              <w:spacing w:line="400" w:lineRule="exact"/>
              <w:jc w:val="left"/>
              <w:rPr>
                <w:rFonts w:hint="eastAsia" w:ascii="宋体" w:hAnsi="宋体" w:cs="宋体"/>
                <w:kern w:val="0"/>
                <w:szCs w:val="21"/>
              </w:rPr>
            </w:pPr>
            <w:r>
              <w:rPr>
                <w:rFonts w:hint="eastAsia" w:ascii="宋体" w:hAnsi="宋体" w:cs="宋体"/>
                <w:kern w:val="0"/>
                <w:szCs w:val="21"/>
              </w:rPr>
              <w:t>《热泵热水机（器）能效限定值及能效等级》（GB29541）</w:t>
            </w:r>
          </w:p>
        </w:tc>
      </w:tr>
      <w:tr w14:paraId="31F9037A">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5D4FF4D7">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0F8530B1">
            <w:pPr>
              <w:widowControl/>
              <w:spacing w:line="400" w:lineRule="exact"/>
              <w:jc w:val="left"/>
              <w:rPr>
                <w:rFonts w:hint="eastAsia" w:ascii="宋体" w:hAnsi="宋体" w:cs="宋体"/>
                <w:kern w:val="0"/>
                <w:szCs w:val="21"/>
              </w:rPr>
            </w:pPr>
          </w:p>
        </w:tc>
        <w:tc>
          <w:tcPr>
            <w:tcW w:w="1516" w:type="dxa"/>
            <w:vMerge w:val="continue"/>
            <w:tcBorders>
              <w:top w:val="nil"/>
              <w:left w:val="nil"/>
              <w:bottom w:val="single" w:color="000000" w:sz="8" w:space="0"/>
              <w:right w:val="single" w:color="000000" w:sz="8" w:space="0"/>
            </w:tcBorders>
            <w:vAlign w:val="center"/>
          </w:tcPr>
          <w:p w14:paraId="31C23A79">
            <w:pPr>
              <w:widowControl/>
              <w:spacing w:line="400" w:lineRule="exact"/>
              <w:jc w:val="left"/>
              <w:rPr>
                <w:rFonts w:hint="eastAsia" w:ascii="宋体" w:hAnsi="宋体" w:cs="宋体"/>
                <w:kern w:val="0"/>
                <w:szCs w:val="21"/>
              </w:rPr>
            </w:pPr>
          </w:p>
        </w:tc>
        <w:tc>
          <w:tcPr>
            <w:tcW w:w="1612" w:type="dxa"/>
            <w:tcBorders>
              <w:top w:val="nil"/>
              <w:left w:val="nil"/>
              <w:bottom w:val="single" w:color="000000" w:sz="8" w:space="0"/>
              <w:right w:val="single" w:color="000000" w:sz="8" w:space="0"/>
            </w:tcBorders>
            <w:vAlign w:val="center"/>
          </w:tcPr>
          <w:p w14:paraId="7C5AC62F">
            <w:pPr>
              <w:widowControl/>
              <w:spacing w:line="400" w:lineRule="exact"/>
              <w:jc w:val="center"/>
              <w:rPr>
                <w:rFonts w:hint="eastAsia" w:ascii="宋体" w:hAnsi="宋体" w:cs="宋体"/>
                <w:kern w:val="0"/>
                <w:szCs w:val="21"/>
              </w:rPr>
            </w:pPr>
            <w:r>
              <w:rPr>
                <w:rFonts w:hint="eastAsia" w:ascii="宋体" w:hAnsi="宋体" w:cs="宋体"/>
                <w:kern w:val="0"/>
                <w:szCs w:val="21"/>
              </w:rPr>
              <w:t>太阳能热水系统</w:t>
            </w:r>
          </w:p>
        </w:tc>
        <w:tc>
          <w:tcPr>
            <w:tcW w:w="4335" w:type="dxa"/>
            <w:tcBorders>
              <w:top w:val="nil"/>
              <w:left w:val="nil"/>
              <w:bottom w:val="single" w:color="000000" w:sz="8" w:space="0"/>
              <w:right w:val="single" w:color="000000" w:sz="8" w:space="0"/>
            </w:tcBorders>
            <w:vAlign w:val="center"/>
          </w:tcPr>
          <w:p w14:paraId="208A599C">
            <w:pPr>
              <w:widowControl/>
              <w:spacing w:line="400" w:lineRule="exact"/>
              <w:jc w:val="left"/>
              <w:rPr>
                <w:rFonts w:hint="eastAsia" w:ascii="宋体" w:hAnsi="宋体" w:cs="宋体"/>
                <w:kern w:val="0"/>
                <w:szCs w:val="21"/>
              </w:rPr>
            </w:pPr>
            <w:r>
              <w:rPr>
                <w:rFonts w:hint="eastAsia" w:ascii="宋体" w:hAnsi="宋体" w:cs="宋体"/>
                <w:kern w:val="0"/>
                <w:szCs w:val="21"/>
              </w:rPr>
              <w:t>《家用太阳能热水系统能效限定值及能效等级》（GB26969）</w:t>
            </w:r>
          </w:p>
        </w:tc>
      </w:tr>
      <w:tr w14:paraId="41195560">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vAlign w:val="center"/>
          </w:tcPr>
          <w:p w14:paraId="714B87E3">
            <w:pPr>
              <w:widowControl/>
              <w:spacing w:line="400" w:lineRule="exact"/>
              <w:jc w:val="center"/>
              <w:rPr>
                <w:rFonts w:hint="eastAsia" w:ascii="宋体" w:hAnsi="宋体" w:cs="宋体"/>
                <w:kern w:val="0"/>
                <w:szCs w:val="21"/>
              </w:rPr>
            </w:pPr>
            <w:r>
              <w:rPr>
                <w:rFonts w:hint="eastAsia" w:ascii="宋体" w:hAnsi="宋体" w:cs="宋体"/>
                <w:kern w:val="0"/>
                <w:szCs w:val="21"/>
              </w:rPr>
              <w:t>11</w:t>
            </w:r>
          </w:p>
        </w:tc>
        <w:tc>
          <w:tcPr>
            <w:tcW w:w="1116" w:type="dxa"/>
            <w:vMerge w:val="restart"/>
            <w:tcBorders>
              <w:top w:val="nil"/>
              <w:left w:val="nil"/>
              <w:bottom w:val="single" w:color="000000" w:sz="8" w:space="0"/>
              <w:right w:val="single" w:color="000000" w:sz="8" w:space="0"/>
            </w:tcBorders>
            <w:vAlign w:val="center"/>
          </w:tcPr>
          <w:p w14:paraId="2996F359">
            <w:pPr>
              <w:widowControl/>
              <w:spacing w:line="400" w:lineRule="exact"/>
              <w:jc w:val="center"/>
              <w:rPr>
                <w:rFonts w:hint="eastAsia" w:ascii="宋体" w:hAnsi="宋体" w:cs="宋体"/>
                <w:kern w:val="0"/>
                <w:szCs w:val="21"/>
              </w:rPr>
            </w:pPr>
            <w:r>
              <w:rPr>
                <w:rFonts w:hint="eastAsia" w:ascii="宋体" w:hAnsi="宋体" w:cs="宋体"/>
                <w:kern w:val="0"/>
                <w:szCs w:val="21"/>
              </w:rPr>
              <w:t>A020619照明设备</w:t>
            </w:r>
          </w:p>
        </w:tc>
        <w:tc>
          <w:tcPr>
            <w:tcW w:w="1516" w:type="dxa"/>
            <w:tcBorders>
              <w:top w:val="nil"/>
              <w:left w:val="nil"/>
              <w:bottom w:val="single" w:color="000000" w:sz="8" w:space="0"/>
              <w:right w:val="single" w:color="000000" w:sz="8" w:space="0"/>
            </w:tcBorders>
            <w:vAlign w:val="center"/>
          </w:tcPr>
          <w:p w14:paraId="316BDAE9">
            <w:pPr>
              <w:widowControl/>
              <w:spacing w:line="400" w:lineRule="exact"/>
              <w:jc w:val="center"/>
              <w:rPr>
                <w:rFonts w:hint="eastAsia" w:ascii="宋体" w:hAnsi="宋体" w:cs="宋体"/>
                <w:kern w:val="0"/>
                <w:szCs w:val="21"/>
              </w:rPr>
            </w:pPr>
            <w:r>
              <w:rPr>
                <w:rFonts w:hint="eastAsia" w:ascii="宋体" w:hAnsi="宋体" w:cs="宋体"/>
                <w:kern w:val="0"/>
                <w:szCs w:val="21"/>
              </w:rPr>
              <w:t>★普通照明用双端荧光灯</w:t>
            </w:r>
          </w:p>
        </w:tc>
        <w:tc>
          <w:tcPr>
            <w:tcW w:w="1612" w:type="dxa"/>
            <w:tcBorders>
              <w:top w:val="nil"/>
              <w:left w:val="nil"/>
              <w:bottom w:val="single" w:color="000000" w:sz="8" w:space="0"/>
              <w:right w:val="single" w:color="000000" w:sz="8" w:space="0"/>
            </w:tcBorders>
            <w:vAlign w:val="center"/>
          </w:tcPr>
          <w:p w14:paraId="4E07E36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6C989EC3">
            <w:pPr>
              <w:widowControl/>
              <w:spacing w:line="400" w:lineRule="exact"/>
              <w:jc w:val="left"/>
              <w:rPr>
                <w:rFonts w:hint="eastAsia" w:ascii="宋体" w:hAnsi="宋体" w:cs="宋体"/>
                <w:kern w:val="0"/>
                <w:szCs w:val="21"/>
              </w:rPr>
            </w:pPr>
            <w:r>
              <w:rPr>
                <w:rFonts w:hint="eastAsia" w:ascii="宋体" w:hAnsi="宋体" w:cs="宋体"/>
                <w:kern w:val="0"/>
                <w:szCs w:val="21"/>
              </w:rPr>
              <w:t>《普通照明用双端荧光灯能效限定值及能效等级》（GB19043）</w:t>
            </w:r>
          </w:p>
        </w:tc>
      </w:tr>
      <w:tr w14:paraId="4DBEDFF3">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6B5CA4A5">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4535232E">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7CD4F490">
            <w:pPr>
              <w:widowControl/>
              <w:spacing w:line="400" w:lineRule="exact"/>
              <w:jc w:val="center"/>
              <w:rPr>
                <w:rFonts w:hint="eastAsia" w:ascii="宋体" w:hAnsi="宋体" w:cs="宋体"/>
                <w:kern w:val="0"/>
                <w:szCs w:val="21"/>
              </w:rPr>
            </w:pPr>
            <w:r>
              <w:rPr>
                <w:rFonts w:hint="eastAsia" w:ascii="宋体" w:hAnsi="宋体" w:cs="宋体"/>
                <w:kern w:val="0"/>
                <w:szCs w:val="21"/>
              </w:rPr>
              <w:t>LED道路/隧道照明产品</w:t>
            </w:r>
          </w:p>
        </w:tc>
        <w:tc>
          <w:tcPr>
            <w:tcW w:w="1612" w:type="dxa"/>
            <w:tcBorders>
              <w:top w:val="nil"/>
              <w:left w:val="nil"/>
              <w:bottom w:val="single" w:color="000000" w:sz="8" w:space="0"/>
              <w:right w:val="single" w:color="000000" w:sz="8" w:space="0"/>
            </w:tcBorders>
            <w:vAlign w:val="center"/>
          </w:tcPr>
          <w:p w14:paraId="0C24406D">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560F9669">
            <w:pPr>
              <w:widowControl/>
              <w:spacing w:line="400" w:lineRule="exact"/>
              <w:jc w:val="left"/>
              <w:rPr>
                <w:rFonts w:hint="eastAsia" w:ascii="宋体" w:hAnsi="宋体" w:cs="宋体"/>
                <w:kern w:val="0"/>
                <w:szCs w:val="21"/>
              </w:rPr>
            </w:pPr>
            <w:r>
              <w:rPr>
                <w:rFonts w:hint="eastAsia" w:ascii="宋体" w:hAnsi="宋体" w:cs="宋体"/>
                <w:kern w:val="0"/>
                <w:szCs w:val="21"/>
              </w:rPr>
              <w:t>《道路和隧道照明用LED灯具能效限定值及能效等级》（GB37478）</w:t>
            </w:r>
          </w:p>
        </w:tc>
      </w:tr>
      <w:tr w14:paraId="517DF76B">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16A78EB1">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42425B0A">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1DCDF197">
            <w:pPr>
              <w:widowControl/>
              <w:spacing w:line="400" w:lineRule="exact"/>
              <w:jc w:val="center"/>
              <w:rPr>
                <w:rFonts w:hint="eastAsia" w:ascii="宋体" w:hAnsi="宋体" w:cs="宋体"/>
                <w:kern w:val="0"/>
                <w:szCs w:val="21"/>
              </w:rPr>
            </w:pPr>
            <w:r>
              <w:rPr>
                <w:rFonts w:hint="eastAsia" w:ascii="宋体" w:hAnsi="宋体" w:cs="宋体"/>
                <w:kern w:val="0"/>
                <w:szCs w:val="21"/>
              </w:rPr>
              <w:t>LED筒灯</w:t>
            </w:r>
          </w:p>
        </w:tc>
        <w:tc>
          <w:tcPr>
            <w:tcW w:w="1612" w:type="dxa"/>
            <w:tcBorders>
              <w:top w:val="nil"/>
              <w:left w:val="nil"/>
              <w:bottom w:val="single" w:color="000000" w:sz="8" w:space="0"/>
              <w:right w:val="single" w:color="000000" w:sz="8" w:space="0"/>
            </w:tcBorders>
            <w:vAlign w:val="center"/>
          </w:tcPr>
          <w:p w14:paraId="4B8D9E9F">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28F4D554">
            <w:pPr>
              <w:widowControl/>
              <w:spacing w:line="400" w:lineRule="exact"/>
              <w:jc w:val="left"/>
              <w:rPr>
                <w:rFonts w:hint="eastAsia" w:ascii="宋体" w:hAnsi="宋体" w:cs="宋体"/>
                <w:kern w:val="0"/>
                <w:szCs w:val="21"/>
              </w:rPr>
            </w:pPr>
            <w:r>
              <w:rPr>
                <w:rFonts w:hint="eastAsia" w:ascii="宋体" w:hAnsi="宋体" w:cs="宋体"/>
                <w:kern w:val="0"/>
                <w:szCs w:val="21"/>
              </w:rPr>
              <w:t>《室内照明用LED产品能效限定值及能效等级》（GB30255）</w:t>
            </w:r>
          </w:p>
        </w:tc>
      </w:tr>
      <w:tr w14:paraId="2799471D">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vAlign w:val="center"/>
          </w:tcPr>
          <w:p w14:paraId="5880CEB4">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74C591DE">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0C978D50">
            <w:pPr>
              <w:widowControl/>
              <w:spacing w:line="400" w:lineRule="exact"/>
              <w:jc w:val="center"/>
              <w:rPr>
                <w:rFonts w:hint="eastAsia" w:ascii="宋体" w:hAnsi="宋体" w:cs="宋体"/>
                <w:kern w:val="0"/>
                <w:szCs w:val="21"/>
              </w:rPr>
            </w:pPr>
            <w:r>
              <w:rPr>
                <w:rFonts w:hint="eastAsia" w:ascii="宋体" w:hAnsi="宋体" w:cs="宋体"/>
                <w:kern w:val="0"/>
                <w:szCs w:val="21"/>
              </w:rPr>
              <w:t>普通照明用非定向自镇流LED灯</w:t>
            </w:r>
          </w:p>
        </w:tc>
        <w:tc>
          <w:tcPr>
            <w:tcW w:w="1612" w:type="dxa"/>
            <w:tcBorders>
              <w:top w:val="nil"/>
              <w:left w:val="nil"/>
              <w:bottom w:val="single" w:color="000000" w:sz="8" w:space="0"/>
              <w:right w:val="single" w:color="000000" w:sz="8" w:space="0"/>
            </w:tcBorders>
            <w:vAlign w:val="center"/>
          </w:tcPr>
          <w:p w14:paraId="2DD51B80">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616C811C">
            <w:pPr>
              <w:widowControl/>
              <w:spacing w:line="400" w:lineRule="exact"/>
              <w:jc w:val="left"/>
              <w:rPr>
                <w:rFonts w:hint="eastAsia" w:ascii="宋体" w:hAnsi="宋体" w:cs="宋体"/>
                <w:kern w:val="0"/>
                <w:szCs w:val="21"/>
              </w:rPr>
            </w:pPr>
            <w:r>
              <w:rPr>
                <w:rFonts w:hint="eastAsia" w:ascii="宋体" w:hAnsi="宋体" w:cs="宋体"/>
                <w:kern w:val="0"/>
                <w:szCs w:val="21"/>
              </w:rPr>
              <w:t>《室内照明用LED产品能效限定值及能效等级》（GB30255）</w:t>
            </w:r>
          </w:p>
        </w:tc>
      </w:tr>
      <w:tr w14:paraId="304D86DC">
        <w:tblPrEx>
          <w:tblCellMar>
            <w:top w:w="0" w:type="dxa"/>
            <w:left w:w="108" w:type="dxa"/>
            <w:bottom w:w="0" w:type="dxa"/>
            <w:right w:w="108" w:type="dxa"/>
          </w:tblCellMar>
        </w:tblPrEx>
        <w:trPr>
          <w:trHeight w:val="735" w:hRule="atLeast"/>
        </w:trPr>
        <w:tc>
          <w:tcPr>
            <w:tcW w:w="641" w:type="dxa"/>
            <w:tcBorders>
              <w:top w:val="nil"/>
              <w:left w:val="single" w:color="000000" w:sz="8" w:space="0"/>
              <w:bottom w:val="single" w:color="000000" w:sz="8" w:space="0"/>
              <w:right w:val="single" w:color="000000" w:sz="8" w:space="0"/>
            </w:tcBorders>
            <w:vAlign w:val="center"/>
          </w:tcPr>
          <w:p w14:paraId="02CBEA1C">
            <w:pPr>
              <w:widowControl/>
              <w:spacing w:line="400" w:lineRule="exact"/>
              <w:jc w:val="center"/>
              <w:rPr>
                <w:rFonts w:hint="eastAsia" w:ascii="宋体" w:hAnsi="宋体" w:cs="宋体"/>
                <w:kern w:val="0"/>
                <w:szCs w:val="21"/>
              </w:rPr>
            </w:pPr>
            <w:r>
              <w:rPr>
                <w:rFonts w:hint="eastAsia" w:ascii="宋体" w:hAnsi="宋体" w:cs="宋体"/>
                <w:kern w:val="0"/>
                <w:szCs w:val="21"/>
              </w:rPr>
              <w:t>12</w:t>
            </w:r>
          </w:p>
        </w:tc>
        <w:tc>
          <w:tcPr>
            <w:tcW w:w="1116" w:type="dxa"/>
            <w:tcBorders>
              <w:top w:val="nil"/>
              <w:left w:val="nil"/>
              <w:bottom w:val="single" w:color="000000" w:sz="8" w:space="0"/>
              <w:right w:val="single" w:color="000000" w:sz="8" w:space="0"/>
            </w:tcBorders>
            <w:vAlign w:val="center"/>
          </w:tcPr>
          <w:p w14:paraId="536429EA">
            <w:pPr>
              <w:widowControl/>
              <w:spacing w:line="400" w:lineRule="exact"/>
              <w:jc w:val="center"/>
              <w:rPr>
                <w:rFonts w:hint="eastAsia" w:ascii="宋体" w:hAnsi="宋体" w:cs="宋体"/>
                <w:kern w:val="0"/>
                <w:szCs w:val="21"/>
              </w:rPr>
            </w:pPr>
            <w:r>
              <w:rPr>
                <w:rFonts w:hint="eastAsia" w:ascii="宋体" w:hAnsi="宋体" w:cs="宋体"/>
                <w:kern w:val="0"/>
                <w:szCs w:val="21"/>
              </w:rPr>
              <w:t>★A020910电视设备</w:t>
            </w:r>
          </w:p>
        </w:tc>
        <w:tc>
          <w:tcPr>
            <w:tcW w:w="1516" w:type="dxa"/>
            <w:tcBorders>
              <w:top w:val="nil"/>
              <w:left w:val="nil"/>
              <w:bottom w:val="single" w:color="000000" w:sz="8" w:space="0"/>
              <w:right w:val="single" w:color="000000" w:sz="8" w:space="0"/>
            </w:tcBorders>
            <w:vAlign w:val="center"/>
          </w:tcPr>
          <w:p w14:paraId="2D05B3AA">
            <w:pPr>
              <w:widowControl/>
              <w:spacing w:line="400" w:lineRule="exact"/>
              <w:jc w:val="center"/>
              <w:rPr>
                <w:rFonts w:hint="eastAsia" w:ascii="宋体" w:hAnsi="宋体" w:cs="宋体"/>
                <w:kern w:val="0"/>
                <w:szCs w:val="21"/>
              </w:rPr>
            </w:pPr>
            <w:r>
              <w:rPr>
                <w:rFonts w:hint="eastAsia" w:ascii="宋体" w:hAnsi="宋体" w:cs="宋体"/>
                <w:kern w:val="0"/>
                <w:szCs w:val="21"/>
              </w:rPr>
              <w:t>A02091001普通电视设备（电视机）</w:t>
            </w:r>
          </w:p>
        </w:tc>
        <w:tc>
          <w:tcPr>
            <w:tcW w:w="1612" w:type="dxa"/>
            <w:tcBorders>
              <w:top w:val="nil"/>
              <w:left w:val="nil"/>
              <w:bottom w:val="single" w:color="000000" w:sz="8" w:space="0"/>
              <w:right w:val="single" w:color="000000" w:sz="8" w:space="0"/>
            </w:tcBorders>
            <w:vAlign w:val="center"/>
          </w:tcPr>
          <w:p w14:paraId="1C0017A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1237B23A">
            <w:pPr>
              <w:widowControl/>
              <w:spacing w:line="400" w:lineRule="exact"/>
              <w:jc w:val="left"/>
              <w:rPr>
                <w:rFonts w:hint="eastAsia" w:ascii="宋体" w:hAnsi="宋体" w:cs="宋体"/>
                <w:kern w:val="0"/>
                <w:szCs w:val="21"/>
              </w:rPr>
            </w:pPr>
            <w:r>
              <w:rPr>
                <w:rFonts w:hint="eastAsia" w:ascii="宋体" w:hAnsi="宋体" w:cs="宋体"/>
                <w:kern w:val="0"/>
                <w:szCs w:val="21"/>
              </w:rPr>
              <w:t>《平板电视能效限定值及能效等级》（GB24850）</w:t>
            </w:r>
          </w:p>
        </w:tc>
      </w:tr>
      <w:tr w14:paraId="6AE2839B">
        <w:tblPrEx>
          <w:tblCellMar>
            <w:top w:w="0" w:type="dxa"/>
            <w:left w:w="108" w:type="dxa"/>
            <w:bottom w:w="0" w:type="dxa"/>
            <w:right w:w="108" w:type="dxa"/>
          </w:tblCellMar>
        </w:tblPrEx>
        <w:trPr>
          <w:trHeight w:val="975" w:hRule="atLeast"/>
        </w:trPr>
        <w:tc>
          <w:tcPr>
            <w:tcW w:w="641" w:type="dxa"/>
            <w:tcBorders>
              <w:top w:val="nil"/>
              <w:left w:val="single" w:color="000000" w:sz="8" w:space="0"/>
              <w:bottom w:val="single" w:color="000000" w:sz="8" w:space="0"/>
              <w:right w:val="single" w:color="000000" w:sz="8" w:space="0"/>
            </w:tcBorders>
            <w:vAlign w:val="center"/>
          </w:tcPr>
          <w:p w14:paraId="452B281D">
            <w:pPr>
              <w:widowControl/>
              <w:spacing w:line="400" w:lineRule="exact"/>
              <w:jc w:val="center"/>
              <w:rPr>
                <w:rFonts w:hint="eastAsia" w:ascii="宋体" w:hAnsi="宋体" w:cs="宋体"/>
                <w:kern w:val="0"/>
                <w:szCs w:val="21"/>
              </w:rPr>
            </w:pPr>
            <w:r>
              <w:rPr>
                <w:rFonts w:hint="eastAsia" w:ascii="宋体" w:hAnsi="宋体" w:cs="宋体"/>
                <w:kern w:val="0"/>
                <w:szCs w:val="21"/>
              </w:rPr>
              <w:t>13</w:t>
            </w:r>
          </w:p>
        </w:tc>
        <w:tc>
          <w:tcPr>
            <w:tcW w:w="1116" w:type="dxa"/>
            <w:tcBorders>
              <w:top w:val="nil"/>
              <w:left w:val="nil"/>
              <w:bottom w:val="single" w:color="000000" w:sz="8" w:space="0"/>
              <w:right w:val="single" w:color="000000" w:sz="8" w:space="0"/>
            </w:tcBorders>
            <w:vAlign w:val="center"/>
          </w:tcPr>
          <w:p w14:paraId="572A563A">
            <w:pPr>
              <w:widowControl/>
              <w:spacing w:line="400" w:lineRule="exact"/>
              <w:jc w:val="center"/>
              <w:rPr>
                <w:rFonts w:hint="eastAsia" w:ascii="宋体" w:hAnsi="宋体" w:cs="宋体"/>
                <w:kern w:val="0"/>
                <w:szCs w:val="21"/>
              </w:rPr>
            </w:pPr>
            <w:r>
              <w:rPr>
                <w:rFonts w:hint="eastAsia" w:ascii="宋体" w:hAnsi="宋体" w:cs="宋体"/>
                <w:kern w:val="0"/>
                <w:szCs w:val="21"/>
              </w:rPr>
              <w:t>★A020911视频设备</w:t>
            </w:r>
          </w:p>
        </w:tc>
        <w:tc>
          <w:tcPr>
            <w:tcW w:w="1516" w:type="dxa"/>
            <w:tcBorders>
              <w:top w:val="nil"/>
              <w:left w:val="nil"/>
              <w:bottom w:val="single" w:color="000000" w:sz="8" w:space="0"/>
              <w:right w:val="single" w:color="000000" w:sz="8" w:space="0"/>
            </w:tcBorders>
            <w:vAlign w:val="center"/>
          </w:tcPr>
          <w:p w14:paraId="3980A7C4">
            <w:pPr>
              <w:widowControl/>
              <w:spacing w:line="400" w:lineRule="exact"/>
              <w:jc w:val="center"/>
              <w:rPr>
                <w:rFonts w:hint="eastAsia" w:ascii="宋体" w:hAnsi="宋体" w:cs="宋体"/>
                <w:kern w:val="0"/>
                <w:szCs w:val="21"/>
              </w:rPr>
            </w:pPr>
            <w:r>
              <w:rPr>
                <w:rFonts w:hint="eastAsia" w:ascii="宋体" w:hAnsi="宋体" w:cs="宋体"/>
                <w:kern w:val="0"/>
                <w:szCs w:val="21"/>
              </w:rPr>
              <w:t>A02091107视频监控设备</w:t>
            </w:r>
          </w:p>
        </w:tc>
        <w:tc>
          <w:tcPr>
            <w:tcW w:w="1612" w:type="dxa"/>
            <w:tcBorders>
              <w:top w:val="nil"/>
              <w:left w:val="nil"/>
              <w:bottom w:val="single" w:color="000000" w:sz="8" w:space="0"/>
              <w:right w:val="single" w:color="000000" w:sz="8" w:space="0"/>
            </w:tcBorders>
            <w:vAlign w:val="center"/>
          </w:tcPr>
          <w:p w14:paraId="413F90F8">
            <w:pPr>
              <w:widowControl/>
              <w:spacing w:line="400" w:lineRule="exact"/>
              <w:jc w:val="center"/>
              <w:rPr>
                <w:rFonts w:hint="eastAsia" w:ascii="宋体" w:hAnsi="宋体" w:cs="宋体"/>
                <w:kern w:val="0"/>
                <w:szCs w:val="21"/>
              </w:rPr>
            </w:pPr>
            <w:r>
              <w:rPr>
                <w:rFonts w:hint="eastAsia" w:ascii="宋体" w:hAnsi="宋体" w:cs="宋体"/>
                <w:kern w:val="0"/>
                <w:szCs w:val="21"/>
              </w:rPr>
              <w:t>监视器</w:t>
            </w:r>
          </w:p>
        </w:tc>
        <w:tc>
          <w:tcPr>
            <w:tcW w:w="4335" w:type="dxa"/>
            <w:tcBorders>
              <w:top w:val="nil"/>
              <w:left w:val="nil"/>
              <w:bottom w:val="single" w:color="000000" w:sz="8" w:space="0"/>
              <w:right w:val="single" w:color="000000" w:sz="8" w:space="0"/>
            </w:tcBorders>
            <w:vAlign w:val="center"/>
          </w:tcPr>
          <w:p w14:paraId="69F3671B">
            <w:pPr>
              <w:widowControl/>
              <w:spacing w:line="400" w:lineRule="exact"/>
              <w:jc w:val="left"/>
              <w:rPr>
                <w:rFonts w:hint="eastAsia" w:ascii="宋体" w:hAnsi="宋体" w:cs="宋体"/>
                <w:kern w:val="0"/>
                <w:szCs w:val="21"/>
              </w:rPr>
            </w:pPr>
            <w:r>
              <w:rPr>
                <w:rFonts w:hint="eastAsia" w:ascii="宋体" w:hAnsi="宋体" w:cs="宋体"/>
                <w:kern w:val="0"/>
                <w:szCs w:val="21"/>
              </w:rPr>
              <w:t>以射频信号为主要信号输入的监视器应符合《平板电视能效限定值及能效等级》（GB24850），以数字信号为主要信号输入的监视器应符合《计算机显示器能效限定值及能效等级》（GB21520）</w:t>
            </w:r>
          </w:p>
        </w:tc>
      </w:tr>
      <w:tr w14:paraId="1BD27948">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20233313">
            <w:pPr>
              <w:widowControl/>
              <w:spacing w:line="400" w:lineRule="exact"/>
              <w:jc w:val="center"/>
              <w:rPr>
                <w:rFonts w:hint="eastAsia" w:ascii="宋体" w:hAnsi="宋体" w:cs="宋体"/>
                <w:kern w:val="0"/>
                <w:szCs w:val="21"/>
              </w:rPr>
            </w:pPr>
            <w:r>
              <w:rPr>
                <w:rFonts w:hint="eastAsia" w:ascii="宋体" w:hAnsi="宋体" w:cs="宋体"/>
                <w:kern w:val="0"/>
                <w:szCs w:val="21"/>
              </w:rPr>
              <w:t>14</w:t>
            </w:r>
          </w:p>
        </w:tc>
        <w:tc>
          <w:tcPr>
            <w:tcW w:w="1116" w:type="dxa"/>
            <w:tcBorders>
              <w:top w:val="nil"/>
              <w:left w:val="nil"/>
              <w:bottom w:val="single" w:color="000000" w:sz="8" w:space="0"/>
              <w:right w:val="single" w:color="000000" w:sz="8" w:space="0"/>
            </w:tcBorders>
            <w:vAlign w:val="center"/>
          </w:tcPr>
          <w:p w14:paraId="124B871B">
            <w:pPr>
              <w:widowControl/>
              <w:spacing w:line="400" w:lineRule="exact"/>
              <w:jc w:val="center"/>
              <w:rPr>
                <w:rFonts w:hint="eastAsia" w:ascii="宋体" w:hAnsi="宋体" w:cs="宋体"/>
                <w:kern w:val="0"/>
                <w:szCs w:val="21"/>
              </w:rPr>
            </w:pPr>
            <w:r>
              <w:rPr>
                <w:rFonts w:hint="eastAsia" w:ascii="宋体" w:hAnsi="宋体" w:cs="宋体"/>
                <w:kern w:val="0"/>
                <w:szCs w:val="21"/>
              </w:rPr>
              <w:t>A031210饮食炊事机械</w:t>
            </w:r>
          </w:p>
        </w:tc>
        <w:tc>
          <w:tcPr>
            <w:tcW w:w="1516" w:type="dxa"/>
            <w:tcBorders>
              <w:top w:val="nil"/>
              <w:left w:val="nil"/>
              <w:bottom w:val="single" w:color="000000" w:sz="8" w:space="0"/>
              <w:right w:val="single" w:color="000000" w:sz="8" w:space="0"/>
            </w:tcBorders>
            <w:vAlign w:val="center"/>
          </w:tcPr>
          <w:p w14:paraId="0D2944DC">
            <w:pPr>
              <w:widowControl/>
              <w:spacing w:line="400" w:lineRule="exact"/>
              <w:jc w:val="center"/>
              <w:rPr>
                <w:rFonts w:hint="eastAsia" w:ascii="宋体" w:hAnsi="宋体" w:cs="宋体"/>
                <w:kern w:val="0"/>
                <w:szCs w:val="21"/>
              </w:rPr>
            </w:pPr>
            <w:r>
              <w:rPr>
                <w:rFonts w:hint="eastAsia" w:ascii="宋体" w:hAnsi="宋体" w:cs="宋体"/>
                <w:kern w:val="0"/>
                <w:szCs w:val="21"/>
              </w:rPr>
              <w:t>商用燃气灶具</w:t>
            </w:r>
          </w:p>
        </w:tc>
        <w:tc>
          <w:tcPr>
            <w:tcW w:w="1612" w:type="dxa"/>
            <w:tcBorders>
              <w:top w:val="nil"/>
              <w:left w:val="nil"/>
              <w:bottom w:val="single" w:color="000000" w:sz="8" w:space="0"/>
              <w:right w:val="single" w:color="000000" w:sz="8" w:space="0"/>
            </w:tcBorders>
            <w:vAlign w:val="center"/>
          </w:tcPr>
          <w:p w14:paraId="7C3247C4">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040A9ED0">
            <w:pPr>
              <w:widowControl/>
              <w:spacing w:line="400" w:lineRule="exact"/>
              <w:jc w:val="left"/>
              <w:rPr>
                <w:rFonts w:hint="eastAsia" w:ascii="宋体" w:hAnsi="宋体" w:cs="宋体"/>
                <w:kern w:val="0"/>
                <w:szCs w:val="21"/>
              </w:rPr>
            </w:pPr>
            <w:r>
              <w:rPr>
                <w:rFonts w:hint="eastAsia" w:ascii="宋体" w:hAnsi="宋体" w:cs="宋体"/>
                <w:kern w:val="0"/>
                <w:szCs w:val="21"/>
              </w:rPr>
              <w:t>《商用燃气灶具能效限定值及能效等级》（GB30531）</w:t>
            </w:r>
          </w:p>
        </w:tc>
      </w:tr>
      <w:tr w14:paraId="58526938">
        <w:tblPrEx>
          <w:tblCellMar>
            <w:top w:w="0" w:type="dxa"/>
            <w:left w:w="108" w:type="dxa"/>
            <w:bottom w:w="0" w:type="dxa"/>
            <w:right w:w="108" w:type="dxa"/>
          </w:tblCellMar>
        </w:tblPrEx>
        <w:trPr>
          <w:trHeight w:val="285" w:hRule="atLeast"/>
        </w:trPr>
        <w:tc>
          <w:tcPr>
            <w:tcW w:w="641" w:type="dxa"/>
            <w:vMerge w:val="restart"/>
            <w:tcBorders>
              <w:top w:val="nil"/>
              <w:left w:val="single" w:color="000000" w:sz="8" w:space="0"/>
              <w:bottom w:val="single" w:color="000000" w:sz="8" w:space="0"/>
              <w:right w:val="single" w:color="000000" w:sz="8" w:space="0"/>
            </w:tcBorders>
            <w:vAlign w:val="center"/>
          </w:tcPr>
          <w:p w14:paraId="6E1DED85">
            <w:pPr>
              <w:widowControl/>
              <w:spacing w:line="400" w:lineRule="exact"/>
              <w:jc w:val="center"/>
              <w:rPr>
                <w:rFonts w:hint="eastAsia" w:ascii="宋体" w:hAnsi="宋体" w:cs="宋体"/>
                <w:kern w:val="0"/>
                <w:szCs w:val="21"/>
              </w:rPr>
            </w:pPr>
            <w:r>
              <w:rPr>
                <w:rFonts w:hint="eastAsia" w:ascii="宋体" w:hAnsi="宋体" w:cs="宋体"/>
                <w:kern w:val="0"/>
                <w:szCs w:val="21"/>
              </w:rPr>
              <w:t>15</w:t>
            </w:r>
          </w:p>
        </w:tc>
        <w:tc>
          <w:tcPr>
            <w:tcW w:w="1116" w:type="dxa"/>
            <w:vMerge w:val="restart"/>
            <w:tcBorders>
              <w:top w:val="nil"/>
              <w:left w:val="nil"/>
              <w:bottom w:val="single" w:color="000000" w:sz="8" w:space="0"/>
              <w:right w:val="single" w:color="000000" w:sz="8" w:space="0"/>
            </w:tcBorders>
            <w:vAlign w:val="center"/>
          </w:tcPr>
          <w:p w14:paraId="1E6209D6">
            <w:pPr>
              <w:widowControl/>
              <w:spacing w:line="400" w:lineRule="exact"/>
              <w:jc w:val="center"/>
              <w:rPr>
                <w:rFonts w:hint="eastAsia" w:ascii="宋体" w:hAnsi="宋体" w:cs="宋体"/>
                <w:kern w:val="0"/>
                <w:szCs w:val="21"/>
              </w:rPr>
            </w:pPr>
            <w:r>
              <w:rPr>
                <w:rFonts w:hint="eastAsia" w:ascii="宋体" w:hAnsi="宋体" w:cs="宋体"/>
                <w:kern w:val="0"/>
                <w:szCs w:val="21"/>
              </w:rPr>
              <w:t>★A060805便器</w:t>
            </w:r>
          </w:p>
        </w:tc>
        <w:tc>
          <w:tcPr>
            <w:tcW w:w="1516" w:type="dxa"/>
            <w:tcBorders>
              <w:top w:val="nil"/>
              <w:left w:val="nil"/>
              <w:bottom w:val="single" w:color="000000" w:sz="8" w:space="0"/>
              <w:right w:val="single" w:color="000000" w:sz="8" w:space="0"/>
            </w:tcBorders>
            <w:vAlign w:val="center"/>
          </w:tcPr>
          <w:p w14:paraId="1995AC23">
            <w:pPr>
              <w:widowControl/>
              <w:spacing w:line="400" w:lineRule="exact"/>
              <w:jc w:val="center"/>
              <w:rPr>
                <w:rFonts w:hint="eastAsia" w:ascii="宋体" w:hAnsi="宋体" w:cs="宋体"/>
                <w:kern w:val="0"/>
                <w:szCs w:val="21"/>
              </w:rPr>
            </w:pPr>
            <w:r>
              <w:rPr>
                <w:rFonts w:hint="eastAsia" w:ascii="宋体" w:hAnsi="宋体" w:cs="宋体"/>
                <w:kern w:val="0"/>
                <w:szCs w:val="21"/>
              </w:rPr>
              <w:t>坐便器</w:t>
            </w:r>
          </w:p>
        </w:tc>
        <w:tc>
          <w:tcPr>
            <w:tcW w:w="1612" w:type="dxa"/>
            <w:tcBorders>
              <w:top w:val="nil"/>
              <w:left w:val="nil"/>
              <w:bottom w:val="single" w:color="000000" w:sz="8" w:space="0"/>
              <w:right w:val="single" w:color="000000" w:sz="8" w:space="0"/>
            </w:tcBorders>
            <w:vAlign w:val="center"/>
          </w:tcPr>
          <w:p w14:paraId="1F97D15A">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196DD68F">
            <w:pPr>
              <w:widowControl/>
              <w:spacing w:line="400" w:lineRule="exact"/>
              <w:jc w:val="left"/>
              <w:rPr>
                <w:rFonts w:hint="eastAsia" w:ascii="宋体" w:hAnsi="宋体" w:cs="宋体"/>
                <w:kern w:val="0"/>
                <w:szCs w:val="21"/>
              </w:rPr>
            </w:pPr>
            <w:r>
              <w:rPr>
                <w:rFonts w:hint="eastAsia" w:ascii="宋体" w:hAnsi="宋体" w:cs="宋体"/>
                <w:kern w:val="0"/>
                <w:szCs w:val="21"/>
              </w:rPr>
              <w:t>《坐便器水效限定值及水效等级》（GB25502）</w:t>
            </w:r>
          </w:p>
        </w:tc>
      </w:tr>
      <w:tr w14:paraId="6F417D88">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2037A225">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36F0CCCC">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2FD55269">
            <w:pPr>
              <w:widowControl/>
              <w:spacing w:line="400" w:lineRule="exact"/>
              <w:jc w:val="center"/>
              <w:rPr>
                <w:rFonts w:hint="eastAsia" w:ascii="宋体" w:hAnsi="宋体" w:cs="宋体"/>
                <w:kern w:val="0"/>
                <w:szCs w:val="21"/>
              </w:rPr>
            </w:pPr>
            <w:r>
              <w:rPr>
                <w:rFonts w:hint="eastAsia" w:ascii="宋体" w:hAnsi="宋体" w:cs="宋体"/>
                <w:kern w:val="0"/>
                <w:szCs w:val="21"/>
              </w:rPr>
              <w:t>蹲便器</w:t>
            </w:r>
          </w:p>
        </w:tc>
        <w:tc>
          <w:tcPr>
            <w:tcW w:w="1612" w:type="dxa"/>
            <w:tcBorders>
              <w:top w:val="nil"/>
              <w:left w:val="nil"/>
              <w:bottom w:val="single" w:color="000000" w:sz="8" w:space="0"/>
              <w:right w:val="single" w:color="000000" w:sz="8" w:space="0"/>
            </w:tcBorders>
            <w:vAlign w:val="center"/>
          </w:tcPr>
          <w:p w14:paraId="197D3D50">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35822330">
            <w:pPr>
              <w:widowControl/>
              <w:spacing w:line="400" w:lineRule="exact"/>
              <w:jc w:val="left"/>
              <w:rPr>
                <w:rFonts w:hint="eastAsia" w:ascii="宋体" w:hAnsi="宋体" w:cs="宋体"/>
                <w:kern w:val="0"/>
                <w:szCs w:val="21"/>
              </w:rPr>
            </w:pPr>
            <w:r>
              <w:rPr>
                <w:rFonts w:hint="eastAsia" w:ascii="宋体" w:hAnsi="宋体" w:cs="宋体"/>
                <w:kern w:val="0"/>
                <w:szCs w:val="21"/>
              </w:rPr>
              <w:t>《蹲便器用水效率限定值及用水效率等级》（GB30717）</w:t>
            </w:r>
          </w:p>
        </w:tc>
      </w:tr>
      <w:tr w14:paraId="33400CBB">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vAlign w:val="center"/>
          </w:tcPr>
          <w:p w14:paraId="234B0B5C">
            <w:pPr>
              <w:widowControl/>
              <w:spacing w:line="400" w:lineRule="exact"/>
              <w:jc w:val="left"/>
              <w:rPr>
                <w:rFonts w:hint="eastAsia" w:ascii="宋体" w:hAnsi="宋体" w:cs="宋体"/>
                <w:kern w:val="0"/>
                <w:szCs w:val="21"/>
              </w:rPr>
            </w:pPr>
          </w:p>
        </w:tc>
        <w:tc>
          <w:tcPr>
            <w:tcW w:w="1116" w:type="dxa"/>
            <w:vMerge w:val="continue"/>
            <w:tcBorders>
              <w:top w:val="nil"/>
              <w:left w:val="nil"/>
              <w:bottom w:val="single" w:color="000000" w:sz="8" w:space="0"/>
              <w:right w:val="single" w:color="000000" w:sz="8" w:space="0"/>
            </w:tcBorders>
            <w:vAlign w:val="center"/>
          </w:tcPr>
          <w:p w14:paraId="247348A4">
            <w:pPr>
              <w:widowControl/>
              <w:spacing w:line="400" w:lineRule="exact"/>
              <w:jc w:val="left"/>
              <w:rPr>
                <w:rFonts w:hint="eastAsia" w:ascii="宋体" w:hAnsi="宋体" w:cs="宋体"/>
                <w:kern w:val="0"/>
                <w:szCs w:val="21"/>
              </w:rPr>
            </w:pPr>
          </w:p>
        </w:tc>
        <w:tc>
          <w:tcPr>
            <w:tcW w:w="1516" w:type="dxa"/>
            <w:tcBorders>
              <w:top w:val="nil"/>
              <w:left w:val="nil"/>
              <w:bottom w:val="single" w:color="000000" w:sz="8" w:space="0"/>
              <w:right w:val="single" w:color="000000" w:sz="8" w:space="0"/>
            </w:tcBorders>
            <w:vAlign w:val="center"/>
          </w:tcPr>
          <w:p w14:paraId="2603CC46">
            <w:pPr>
              <w:widowControl/>
              <w:spacing w:line="400" w:lineRule="exact"/>
              <w:jc w:val="center"/>
              <w:rPr>
                <w:rFonts w:hint="eastAsia" w:ascii="宋体" w:hAnsi="宋体" w:cs="宋体"/>
                <w:kern w:val="0"/>
                <w:szCs w:val="21"/>
              </w:rPr>
            </w:pPr>
            <w:r>
              <w:rPr>
                <w:rFonts w:hint="eastAsia" w:ascii="宋体" w:hAnsi="宋体" w:cs="宋体"/>
                <w:kern w:val="0"/>
                <w:szCs w:val="21"/>
              </w:rPr>
              <w:t>小便器</w:t>
            </w:r>
          </w:p>
        </w:tc>
        <w:tc>
          <w:tcPr>
            <w:tcW w:w="1612" w:type="dxa"/>
            <w:tcBorders>
              <w:top w:val="nil"/>
              <w:left w:val="nil"/>
              <w:bottom w:val="single" w:color="000000" w:sz="8" w:space="0"/>
              <w:right w:val="single" w:color="000000" w:sz="8" w:space="0"/>
            </w:tcBorders>
            <w:vAlign w:val="center"/>
          </w:tcPr>
          <w:p w14:paraId="35DDF833">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064E9FC3">
            <w:pPr>
              <w:widowControl/>
              <w:spacing w:line="400" w:lineRule="exact"/>
              <w:jc w:val="left"/>
              <w:rPr>
                <w:rFonts w:hint="eastAsia" w:ascii="宋体" w:hAnsi="宋体" w:cs="宋体"/>
                <w:kern w:val="0"/>
                <w:szCs w:val="21"/>
              </w:rPr>
            </w:pPr>
            <w:r>
              <w:rPr>
                <w:rFonts w:hint="eastAsia" w:ascii="宋体" w:hAnsi="宋体" w:cs="宋体"/>
                <w:kern w:val="0"/>
                <w:szCs w:val="21"/>
              </w:rPr>
              <w:t>《小便器用水效率限定值及用水效率等级》（GB28377）</w:t>
            </w:r>
          </w:p>
        </w:tc>
      </w:tr>
      <w:tr w14:paraId="549A9F17">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76EBAD02">
            <w:pPr>
              <w:widowControl/>
              <w:spacing w:line="400" w:lineRule="exact"/>
              <w:jc w:val="center"/>
              <w:rPr>
                <w:rFonts w:hint="eastAsia" w:ascii="宋体" w:hAnsi="宋体" w:cs="宋体"/>
                <w:kern w:val="0"/>
                <w:szCs w:val="21"/>
              </w:rPr>
            </w:pPr>
            <w:r>
              <w:rPr>
                <w:rFonts w:hint="eastAsia" w:ascii="宋体" w:hAnsi="宋体" w:cs="宋体"/>
                <w:kern w:val="0"/>
                <w:szCs w:val="21"/>
              </w:rPr>
              <w:t>16</w:t>
            </w:r>
          </w:p>
        </w:tc>
        <w:tc>
          <w:tcPr>
            <w:tcW w:w="1116" w:type="dxa"/>
            <w:tcBorders>
              <w:top w:val="nil"/>
              <w:left w:val="nil"/>
              <w:bottom w:val="single" w:color="000000" w:sz="8" w:space="0"/>
              <w:right w:val="single" w:color="000000" w:sz="8" w:space="0"/>
            </w:tcBorders>
            <w:vAlign w:val="center"/>
          </w:tcPr>
          <w:p w14:paraId="33A2F75D">
            <w:pPr>
              <w:widowControl/>
              <w:spacing w:line="400" w:lineRule="exact"/>
              <w:jc w:val="center"/>
              <w:rPr>
                <w:rFonts w:hint="eastAsia" w:ascii="宋体" w:hAnsi="宋体" w:cs="宋体"/>
                <w:kern w:val="0"/>
                <w:szCs w:val="21"/>
              </w:rPr>
            </w:pPr>
            <w:r>
              <w:rPr>
                <w:rFonts w:hint="eastAsia" w:ascii="宋体" w:hAnsi="宋体" w:cs="宋体"/>
                <w:kern w:val="0"/>
                <w:szCs w:val="21"/>
              </w:rPr>
              <w:t>★A060806水嘴</w:t>
            </w:r>
          </w:p>
        </w:tc>
        <w:tc>
          <w:tcPr>
            <w:tcW w:w="1516" w:type="dxa"/>
            <w:tcBorders>
              <w:top w:val="nil"/>
              <w:left w:val="nil"/>
              <w:bottom w:val="single" w:color="000000" w:sz="8" w:space="0"/>
              <w:right w:val="single" w:color="000000" w:sz="8" w:space="0"/>
            </w:tcBorders>
            <w:vAlign w:val="center"/>
          </w:tcPr>
          <w:p w14:paraId="50E34921">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302E1B86">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6228459F">
            <w:pPr>
              <w:widowControl/>
              <w:spacing w:line="400" w:lineRule="exact"/>
              <w:jc w:val="left"/>
              <w:rPr>
                <w:rFonts w:hint="eastAsia" w:ascii="宋体" w:hAnsi="宋体" w:cs="宋体"/>
                <w:kern w:val="0"/>
                <w:szCs w:val="21"/>
              </w:rPr>
            </w:pPr>
            <w:r>
              <w:rPr>
                <w:rFonts w:hint="eastAsia" w:ascii="宋体" w:hAnsi="宋体" w:cs="宋体"/>
                <w:kern w:val="0"/>
                <w:szCs w:val="21"/>
              </w:rPr>
              <w:t>《水嘴用水效率限定值及用水效率等级》（GB 25501）</w:t>
            </w:r>
          </w:p>
        </w:tc>
      </w:tr>
      <w:tr w14:paraId="1C35429E">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3CF48D34">
            <w:pPr>
              <w:widowControl/>
              <w:spacing w:line="400" w:lineRule="exact"/>
              <w:jc w:val="center"/>
              <w:rPr>
                <w:rFonts w:hint="eastAsia" w:ascii="宋体" w:hAnsi="宋体" w:cs="宋体"/>
                <w:kern w:val="0"/>
                <w:szCs w:val="21"/>
              </w:rPr>
            </w:pPr>
            <w:r>
              <w:rPr>
                <w:rFonts w:hint="eastAsia" w:ascii="宋体" w:hAnsi="宋体" w:cs="宋体"/>
                <w:kern w:val="0"/>
                <w:szCs w:val="21"/>
              </w:rPr>
              <w:t>17</w:t>
            </w:r>
          </w:p>
        </w:tc>
        <w:tc>
          <w:tcPr>
            <w:tcW w:w="1116" w:type="dxa"/>
            <w:tcBorders>
              <w:top w:val="nil"/>
              <w:left w:val="nil"/>
              <w:bottom w:val="single" w:color="000000" w:sz="8" w:space="0"/>
              <w:right w:val="single" w:color="000000" w:sz="8" w:space="0"/>
            </w:tcBorders>
            <w:vAlign w:val="center"/>
          </w:tcPr>
          <w:p w14:paraId="7097C712">
            <w:pPr>
              <w:widowControl/>
              <w:spacing w:line="400" w:lineRule="exact"/>
              <w:jc w:val="center"/>
              <w:rPr>
                <w:rFonts w:hint="eastAsia" w:ascii="宋体" w:hAnsi="宋体" w:cs="宋体"/>
                <w:kern w:val="0"/>
                <w:szCs w:val="21"/>
              </w:rPr>
            </w:pPr>
            <w:r>
              <w:rPr>
                <w:rFonts w:hint="eastAsia" w:ascii="宋体" w:hAnsi="宋体" w:cs="宋体"/>
                <w:kern w:val="0"/>
                <w:szCs w:val="21"/>
              </w:rPr>
              <w:t>A060807便器冲洗阀</w:t>
            </w:r>
          </w:p>
        </w:tc>
        <w:tc>
          <w:tcPr>
            <w:tcW w:w="1516" w:type="dxa"/>
            <w:tcBorders>
              <w:top w:val="nil"/>
              <w:left w:val="nil"/>
              <w:bottom w:val="single" w:color="000000" w:sz="8" w:space="0"/>
              <w:right w:val="single" w:color="000000" w:sz="8" w:space="0"/>
            </w:tcBorders>
            <w:vAlign w:val="center"/>
          </w:tcPr>
          <w:p w14:paraId="6EAE3809">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0D2286AC">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2F35DE1C">
            <w:pPr>
              <w:widowControl/>
              <w:spacing w:line="400" w:lineRule="exact"/>
              <w:jc w:val="left"/>
              <w:rPr>
                <w:rFonts w:hint="eastAsia" w:ascii="宋体" w:hAnsi="宋体" w:cs="宋体"/>
                <w:kern w:val="0"/>
                <w:szCs w:val="21"/>
              </w:rPr>
            </w:pPr>
            <w:r>
              <w:rPr>
                <w:rFonts w:hint="eastAsia" w:ascii="宋体" w:hAnsi="宋体" w:cs="宋体"/>
                <w:kern w:val="0"/>
                <w:szCs w:val="21"/>
              </w:rPr>
              <w:t>《便器冲洗阀用水效率限定值及用水效率等级》（GB28379）</w:t>
            </w:r>
          </w:p>
        </w:tc>
      </w:tr>
      <w:tr w14:paraId="4C47B71D">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vAlign w:val="center"/>
          </w:tcPr>
          <w:p w14:paraId="504E2499">
            <w:pPr>
              <w:widowControl/>
              <w:spacing w:line="400" w:lineRule="exact"/>
              <w:jc w:val="center"/>
              <w:rPr>
                <w:rFonts w:hint="eastAsia" w:ascii="宋体" w:hAnsi="宋体" w:cs="宋体"/>
                <w:kern w:val="0"/>
                <w:szCs w:val="21"/>
              </w:rPr>
            </w:pPr>
            <w:r>
              <w:rPr>
                <w:rFonts w:hint="eastAsia" w:ascii="宋体" w:hAnsi="宋体" w:cs="宋体"/>
                <w:kern w:val="0"/>
                <w:szCs w:val="21"/>
              </w:rPr>
              <w:t>18</w:t>
            </w:r>
          </w:p>
        </w:tc>
        <w:tc>
          <w:tcPr>
            <w:tcW w:w="1116" w:type="dxa"/>
            <w:tcBorders>
              <w:top w:val="nil"/>
              <w:left w:val="nil"/>
              <w:bottom w:val="single" w:color="000000" w:sz="8" w:space="0"/>
              <w:right w:val="single" w:color="000000" w:sz="8" w:space="0"/>
            </w:tcBorders>
            <w:vAlign w:val="center"/>
          </w:tcPr>
          <w:p w14:paraId="6EACCEEE">
            <w:pPr>
              <w:widowControl/>
              <w:spacing w:line="400" w:lineRule="exact"/>
              <w:jc w:val="center"/>
              <w:rPr>
                <w:rFonts w:hint="eastAsia" w:ascii="宋体" w:hAnsi="宋体" w:cs="宋体"/>
                <w:kern w:val="0"/>
                <w:szCs w:val="21"/>
              </w:rPr>
            </w:pPr>
            <w:r>
              <w:rPr>
                <w:rFonts w:hint="eastAsia" w:ascii="宋体" w:hAnsi="宋体" w:cs="宋体"/>
                <w:kern w:val="0"/>
                <w:szCs w:val="21"/>
              </w:rPr>
              <w:t>A060810淋浴器</w:t>
            </w:r>
          </w:p>
        </w:tc>
        <w:tc>
          <w:tcPr>
            <w:tcW w:w="1516" w:type="dxa"/>
            <w:tcBorders>
              <w:top w:val="nil"/>
              <w:left w:val="nil"/>
              <w:bottom w:val="single" w:color="000000" w:sz="8" w:space="0"/>
              <w:right w:val="single" w:color="000000" w:sz="8" w:space="0"/>
            </w:tcBorders>
            <w:vAlign w:val="center"/>
          </w:tcPr>
          <w:p w14:paraId="7F4C75AB">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1612" w:type="dxa"/>
            <w:tcBorders>
              <w:top w:val="nil"/>
              <w:left w:val="nil"/>
              <w:bottom w:val="single" w:color="000000" w:sz="8" w:space="0"/>
              <w:right w:val="single" w:color="000000" w:sz="8" w:space="0"/>
            </w:tcBorders>
            <w:vAlign w:val="center"/>
          </w:tcPr>
          <w:p w14:paraId="2E9660C6">
            <w:pPr>
              <w:widowControl/>
              <w:spacing w:line="400" w:lineRule="exact"/>
              <w:jc w:val="center"/>
              <w:rPr>
                <w:rFonts w:hint="eastAsia" w:ascii="宋体" w:hAnsi="宋体" w:cs="宋体"/>
                <w:kern w:val="0"/>
                <w:szCs w:val="21"/>
              </w:rPr>
            </w:pPr>
            <w:r>
              <w:rPr>
                <w:rFonts w:hint="eastAsia" w:ascii="宋体" w:hAnsi="宋体" w:cs="宋体"/>
                <w:kern w:val="0"/>
                <w:szCs w:val="21"/>
              </w:rPr>
              <w:t>　</w:t>
            </w:r>
          </w:p>
        </w:tc>
        <w:tc>
          <w:tcPr>
            <w:tcW w:w="4335" w:type="dxa"/>
            <w:tcBorders>
              <w:top w:val="nil"/>
              <w:left w:val="nil"/>
              <w:bottom w:val="single" w:color="000000" w:sz="8" w:space="0"/>
              <w:right w:val="single" w:color="000000" w:sz="8" w:space="0"/>
            </w:tcBorders>
            <w:vAlign w:val="center"/>
          </w:tcPr>
          <w:p w14:paraId="7E916754">
            <w:pPr>
              <w:widowControl/>
              <w:spacing w:line="400" w:lineRule="exact"/>
              <w:jc w:val="left"/>
              <w:rPr>
                <w:rFonts w:hint="eastAsia" w:ascii="宋体" w:hAnsi="宋体" w:cs="宋体"/>
                <w:kern w:val="0"/>
                <w:szCs w:val="21"/>
              </w:rPr>
            </w:pPr>
            <w:r>
              <w:rPr>
                <w:rFonts w:hint="eastAsia" w:ascii="宋体" w:hAnsi="宋体" w:cs="宋体"/>
                <w:kern w:val="0"/>
                <w:szCs w:val="21"/>
              </w:rPr>
              <w:t>《淋浴器用水效率限定值及用水效率等级》（GB28378）</w:t>
            </w:r>
          </w:p>
        </w:tc>
      </w:tr>
    </w:tbl>
    <w:p w14:paraId="51CA12B2">
      <w:pPr>
        <w:widowControl/>
        <w:spacing w:line="400" w:lineRule="exact"/>
        <w:rPr>
          <w:rFonts w:hint="eastAsia" w:ascii="宋体" w:hAnsi="宋体"/>
          <w:szCs w:val="21"/>
        </w:rPr>
      </w:pPr>
      <w:r>
        <w:rPr>
          <w:rFonts w:hint="eastAsia" w:ascii="宋体" w:hAnsi="宋体"/>
          <w:spacing w:val="-3"/>
        </w:rPr>
        <w:t>注：</w:t>
      </w:r>
      <w:r>
        <w:rPr>
          <w:spacing w:val="-3"/>
        </w:rPr>
        <w:t>1.</w:t>
      </w:r>
      <w:r>
        <w:rPr>
          <w:rFonts w:hint="eastAsia" w:ascii="宋体" w:hAnsi="宋体"/>
          <w:spacing w:val="-3"/>
        </w:rPr>
        <w:t>节能产品认证应依据相关国家标准的最新版本，依据国家标准中二级能效（水效）</w:t>
      </w:r>
      <w:r>
        <w:rPr>
          <w:rFonts w:hint="eastAsia" w:ascii="宋体" w:hAnsi="宋体"/>
        </w:rPr>
        <w:t>指标。</w:t>
      </w:r>
    </w:p>
    <w:p w14:paraId="11E86FAF">
      <w:pPr>
        <w:pStyle w:val="2"/>
        <w:spacing w:line="400" w:lineRule="exact"/>
        <w:rPr>
          <w:rFonts w:hint="eastAsia" w:ascii="方正小标宋_GBK" w:hAnsi="方正小标宋_GBK" w:eastAsia="方正小标宋_GBK" w:cs="方正小标宋_GBK"/>
          <w:b/>
          <w:kern w:val="2"/>
          <w:sz w:val="21"/>
          <w:szCs w:val="21"/>
        </w:rPr>
      </w:pPr>
      <w:r>
        <w:rPr>
          <w:rFonts w:hint="eastAsia" w:ascii="宋体" w:hAnsi="宋体"/>
          <w:spacing w:val="-3"/>
          <w:kern w:val="2"/>
          <w:sz w:val="21"/>
        </w:rPr>
        <w:t xml:space="preserve">    2.以“★”标注的为政府强制采购产品。</w:t>
      </w:r>
      <w:r>
        <w:rPr>
          <w:rFonts w:ascii="宋体" w:hAnsi="宋体" w:cs="宋体"/>
          <w:sz w:val="20"/>
          <w:szCs w:val="20"/>
        </w:rPr>
        <w:br w:type="page"/>
      </w:r>
      <w:r>
        <w:rPr>
          <w:rFonts w:hint="eastAsia" w:ascii="方正小标宋_GBK" w:hAnsi="方正小标宋_GBK" w:eastAsia="方正小标宋_GBK" w:cs="方正小标宋_GBK"/>
          <w:b/>
          <w:kern w:val="2"/>
          <w:sz w:val="21"/>
          <w:szCs w:val="21"/>
        </w:rPr>
        <w:t>附件三：</w:t>
      </w:r>
    </w:p>
    <w:p w14:paraId="3DAC706E">
      <w:pPr>
        <w:spacing w:line="400" w:lineRule="exact"/>
        <w:jc w:val="center"/>
        <w:rPr>
          <w:rFonts w:hint="eastAsia" w:ascii="方正小标宋_GBK" w:hAnsi="方正小标宋_GBK" w:eastAsia="方正小标宋_GBK" w:cs="方正小标宋_GBK"/>
          <w:b/>
          <w:szCs w:val="21"/>
        </w:rPr>
      </w:pPr>
      <w:r>
        <w:rPr>
          <w:rFonts w:hint="eastAsia" w:ascii="方正小标宋_GBK" w:hAnsi="方正小标宋_GBK" w:eastAsia="方正小标宋_GBK" w:cs="方正小标宋_GBK"/>
          <w:b/>
          <w:szCs w:val="21"/>
        </w:rPr>
        <w:t>中小微企业划型标准</w:t>
      </w:r>
    </w:p>
    <w:tbl>
      <w:tblPr>
        <w:tblStyle w:val="18"/>
        <w:tblW w:w="8706" w:type="dxa"/>
        <w:tblInd w:w="89" w:type="dxa"/>
        <w:tblLayout w:type="fixed"/>
        <w:tblCellMar>
          <w:top w:w="0" w:type="dxa"/>
          <w:left w:w="108" w:type="dxa"/>
          <w:bottom w:w="0" w:type="dxa"/>
          <w:right w:w="108" w:type="dxa"/>
        </w:tblCellMar>
      </w:tblPr>
      <w:tblGrid>
        <w:gridCol w:w="1445"/>
        <w:gridCol w:w="1460"/>
        <w:gridCol w:w="1123"/>
        <w:gridCol w:w="1907"/>
        <w:gridCol w:w="1760"/>
        <w:gridCol w:w="1011"/>
      </w:tblGrid>
      <w:tr w14:paraId="38AAFA36">
        <w:tblPrEx>
          <w:tblCellMar>
            <w:top w:w="0" w:type="dxa"/>
            <w:left w:w="108" w:type="dxa"/>
            <w:bottom w:w="0" w:type="dxa"/>
            <w:right w:w="108" w:type="dxa"/>
          </w:tblCellMar>
        </w:tblPrEx>
        <w:trPr>
          <w:trHeight w:val="285" w:hRule="atLeast"/>
        </w:trPr>
        <w:tc>
          <w:tcPr>
            <w:tcW w:w="1445" w:type="dxa"/>
            <w:tcBorders>
              <w:top w:val="single" w:color="auto" w:sz="4" w:space="0"/>
              <w:left w:val="single" w:color="auto" w:sz="4" w:space="0"/>
              <w:bottom w:val="single" w:color="auto" w:sz="4" w:space="0"/>
              <w:right w:val="single" w:color="auto" w:sz="4" w:space="0"/>
            </w:tcBorders>
            <w:vAlign w:val="center"/>
          </w:tcPr>
          <w:p w14:paraId="0242CEC3">
            <w:pPr>
              <w:widowControl/>
              <w:spacing w:line="400" w:lineRule="exact"/>
              <w:jc w:val="left"/>
              <w:rPr>
                <w:rFonts w:hint="eastAsia" w:ascii="宋体" w:hAnsi="宋体" w:cs="宋体"/>
                <w:b/>
                <w:kern w:val="0"/>
                <w:szCs w:val="21"/>
              </w:rPr>
            </w:pPr>
            <w:r>
              <w:rPr>
                <w:rFonts w:hint="eastAsia" w:ascii="宋体" w:hAnsi="宋体" w:cs="宋体"/>
                <w:b/>
                <w:kern w:val="0"/>
                <w:szCs w:val="21"/>
              </w:rPr>
              <w:t>行业名称</w:t>
            </w:r>
          </w:p>
        </w:tc>
        <w:tc>
          <w:tcPr>
            <w:tcW w:w="1460" w:type="dxa"/>
            <w:tcBorders>
              <w:top w:val="single" w:color="auto" w:sz="4" w:space="0"/>
              <w:left w:val="nil"/>
              <w:bottom w:val="single" w:color="auto" w:sz="4" w:space="0"/>
              <w:right w:val="single" w:color="auto" w:sz="4" w:space="0"/>
            </w:tcBorders>
            <w:vAlign w:val="center"/>
          </w:tcPr>
          <w:p w14:paraId="03054005">
            <w:pPr>
              <w:widowControl/>
              <w:spacing w:line="400" w:lineRule="exact"/>
              <w:jc w:val="left"/>
              <w:rPr>
                <w:rFonts w:hint="eastAsia" w:ascii="宋体" w:hAnsi="宋体" w:cs="宋体"/>
                <w:b/>
                <w:kern w:val="0"/>
                <w:szCs w:val="21"/>
              </w:rPr>
            </w:pPr>
            <w:r>
              <w:rPr>
                <w:rFonts w:hint="eastAsia" w:ascii="宋体" w:hAnsi="宋体" w:cs="宋体"/>
                <w:b/>
                <w:kern w:val="0"/>
                <w:szCs w:val="21"/>
              </w:rPr>
              <w:t>指标名称</w:t>
            </w:r>
          </w:p>
        </w:tc>
        <w:tc>
          <w:tcPr>
            <w:tcW w:w="1123" w:type="dxa"/>
            <w:tcBorders>
              <w:top w:val="single" w:color="auto" w:sz="4" w:space="0"/>
              <w:left w:val="nil"/>
              <w:bottom w:val="single" w:color="auto" w:sz="4" w:space="0"/>
              <w:right w:val="single" w:color="auto" w:sz="4" w:space="0"/>
            </w:tcBorders>
            <w:vAlign w:val="center"/>
          </w:tcPr>
          <w:p w14:paraId="5C5B957F">
            <w:pPr>
              <w:widowControl/>
              <w:spacing w:line="400" w:lineRule="exact"/>
              <w:jc w:val="left"/>
              <w:rPr>
                <w:rFonts w:hint="eastAsia" w:ascii="宋体" w:hAnsi="宋体" w:cs="宋体"/>
                <w:b/>
                <w:kern w:val="0"/>
                <w:szCs w:val="21"/>
              </w:rPr>
            </w:pPr>
            <w:r>
              <w:rPr>
                <w:rFonts w:hint="eastAsia" w:ascii="宋体" w:hAnsi="宋体" w:cs="宋体"/>
                <w:b/>
                <w:kern w:val="0"/>
                <w:szCs w:val="21"/>
              </w:rPr>
              <w:t>计量单位</w:t>
            </w:r>
          </w:p>
        </w:tc>
        <w:tc>
          <w:tcPr>
            <w:tcW w:w="1907" w:type="dxa"/>
            <w:tcBorders>
              <w:top w:val="single" w:color="auto" w:sz="4" w:space="0"/>
              <w:left w:val="nil"/>
              <w:bottom w:val="single" w:color="auto" w:sz="4" w:space="0"/>
              <w:right w:val="single" w:color="auto" w:sz="4" w:space="0"/>
            </w:tcBorders>
            <w:vAlign w:val="center"/>
          </w:tcPr>
          <w:p w14:paraId="380D969D">
            <w:pPr>
              <w:widowControl/>
              <w:spacing w:line="400" w:lineRule="exact"/>
              <w:jc w:val="left"/>
              <w:rPr>
                <w:rFonts w:hint="eastAsia" w:ascii="宋体" w:hAnsi="宋体" w:cs="宋体"/>
                <w:b/>
                <w:kern w:val="0"/>
                <w:szCs w:val="21"/>
              </w:rPr>
            </w:pPr>
            <w:r>
              <w:rPr>
                <w:rFonts w:hint="eastAsia" w:ascii="宋体" w:hAnsi="宋体" w:cs="宋体"/>
                <w:b/>
                <w:kern w:val="0"/>
                <w:szCs w:val="21"/>
              </w:rPr>
              <w:t>中型</w:t>
            </w:r>
          </w:p>
        </w:tc>
        <w:tc>
          <w:tcPr>
            <w:tcW w:w="1760" w:type="dxa"/>
            <w:tcBorders>
              <w:top w:val="single" w:color="auto" w:sz="4" w:space="0"/>
              <w:left w:val="nil"/>
              <w:bottom w:val="single" w:color="auto" w:sz="4" w:space="0"/>
              <w:right w:val="single" w:color="auto" w:sz="4" w:space="0"/>
            </w:tcBorders>
            <w:vAlign w:val="center"/>
          </w:tcPr>
          <w:p w14:paraId="6826D2DF">
            <w:pPr>
              <w:widowControl/>
              <w:spacing w:line="400" w:lineRule="exact"/>
              <w:jc w:val="left"/>
              <w:rPr>
                <w:rFonts w:hint="eastAsia" w:ascii="宋体" w:hAnsi="宋体" w:cs="宋体"/>
                <w:b/>
                <w:kern w:val="0"/>
                <w:szCs w:val="21"/>
              </w:rPr>
            </w:pPr>
            <w:r>
              <w:rPr>
                <w:rFonts w:hint="eastAsia" w:ascii="宋体" w:hAnsi="宋体" w:cs="宋体"/>
                <w:b/>
                <w:kern w:val="0"/>
                <w:szCs w:val="21"/>
              </w:rPr>
              <w:t>小型</w:t>
            </w:r>
          </w:p>
        </w:tc>
        <w:tc>
          <w:tcPr>
            <w:tcW w:w="1011" w:type="dxa"/>
            <w:tcBorders>
              <w:top w:val="single" w:color="auto" w:sz="4" w:space="0"/>
              <w:left w:val="nil"/>
              <w:bottom w:val="single" w:color="auto" w:sz="4" w:space="0"/>
              <w:right w:val="single" w:color="auto" w:sz="4" w:space="0"/>
            </w:tcBorders>
            <w:vAlign w:val="center"/>
          </w:tcPr>
          <w:p w14:paraId="6DBFBD25">
            <w:pPr>
              <w:widowControl/>
              <w:spacing w:line="400" w:lineRule="exact"/>
              <w:jc w:val="left"/>
              <w:rPr>
                <w:rFonts w:hint="eastAsia" w:ascii="宋体" w:hAnsi="宋体" w:cs="宋体"/>
                <w:b/>
                <w:kern w:val="0"/>
                <w:szCs w:val="21"/>
              </w:rPr>
            </w:pPr>
            <w:r>
              <w:rPr>
                <w:rFonts w:hint="eastAsia" w:ascii="宋体" w:hAnsi="宋体" w:cs="宋体"/>
                <w:b/>
                <w:kern w:val="0"/>
                <w:szCs w:val="21"/>
              </w:rPr>
              <w:t>微型</w:t>
            </w:r>
          </w:p>
        </w:tc>
      </w:tr>
      <w:tr w14:paraId="1D274436">
        <w:tblPrEx>
          <w:tblCellMar>
            <w:top w:w="0" w:type="dxa"/>
            <w:left w:w="108" w:type="dxa"/>
            <w:bottom w:w="0" w:type="dxa"/>
            <w:right w:w="108" w:type="dxa"/>
          </w:tblCellMar>
        </w:tblPrEx>
        <w:trPr>
          <w:trHeight w:val="225" w:hRule="atLeast"/>
        </w:trPr>
        <w:tc>
          <w:tcPr>
            <w:tcW w:w="1445" w:type="dxa"/>
            <w:tcBorders>
              <w:top w:val="nil"/>
              <w:left w:val="single" w:color="auto" w:sz="4" w:space="0"/>
              <w:bottom w:val="single" w:color="auto" w:sz="4" w:space="0"/>
              <w:right w:val="single" w:color="auto" w:sz="4" w:space="0"/>
            </w:tcBorders>
            <w:vAlign w:val="center"/>
          </w:tcPr>
          <w:p w14:paraId="25BCBEA5">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农、林、牧、渔</w:t>
            </w:r>
          </w:p>
        </w:tc>
        <w:tc>
          <w:tcPr>
            <w:tcW w:w="1460" w:type="dxa"/>
            <w:tcBorders>
              <w:top w:val="nil"/>
              <w:left w:val="nil"/>
              <w:bottom w:val="single" w:color="auto" w:sz="4" w:space="0"/>
              <w:right w:val="single" w:color="auto" w:sz="4" w:space="0"/>
            </w:tcBorders>
            <w:vAlign w:val="center"/>
          </w:tcPr>
          <w:p w14:paraId="7B2C3FCE">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3FBC7F9D">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D1CD5F4">
            <w:pPr>
              <w:widowControl/>
              <w:spacing w:line="400" w:lineRule="exact"/>
              <w:jc w:val="left"/>
              <w:rPr>
                <w:rFonts w:hint="eastAsia" w:ascii="宋体" w:hAnsi="宋体" w:cs="宋体"/>
                <w:kern w:val="0"/>
                <w:szCs w:val="21"/>
              </w:rPr>
            </w:pPr>
            <w:r>
              <w:rPr>
                <w:rFonts w:hint="eastAsia" w:ascii="宋体" w:hAnsi="宋体" w:cs="宋体"/>
                <w:kern w:val="0"/>
                <w:szCs w:val="21"/>
              </w:rPr>
              <w:t>500≤Y＜20000</w:t>
            </w:r>
          </w:p>
        </w:tc>
        <w:tc>
          <w:tcPr>
            <w:tcW w:w="1760" w:type="dxa"/>
            <w:tcBorders>
              <w:top w:val="nil"/>
              <w:left w:val="nil"/>
              <w:bottom w:val="single" w:color="auto" w:sz="4" w:space="0"/>
              <w:right w:val="single" w:color="auto" w:sz="4" w:space="0"/>
            </w:tcBorders>
            <w:vAlign w:val="center"/>
          </w:tcPr>
          <w:p w14:paraId="2F872E52">
            <w:pPr>
              <w:widowControl/>
              <w:spacing w:line="400" w:lineRule="exact"/>
              <w:jc w:val="left"/>
              <w:rPr>
                <w:rFonts w:hint="eastAsia" w:ascii="宋体" w:hAnsi="宋体" w:cs="宋体"/>
                <w:kern w:val="0"/>
                <w:szCs w:val="21"/>
              </w:rPr>
            </w:pPr>
            <w:r>
              <w:rPr>
                <w:rFonts w:hint="eastAsia" w:ascii="宋体" w:hAnsi="宋体" w:cs="宋体"/>
                <w:kern w:val="0"/>
                <w:szCs w:val="21"/>
              </w:rPr>
              <w:t>50≤Y＜500</w:t>
            </w:r>
          </w:p>
        </w:tc>
        <w:tc>
          <w:tcPr>
            <w:tcW w:w="1011" w:type="dxa"/>
            <w:tcBorders>
              <w:top w:val="nil"/>
              <w:left w:val="nil"/>
              <w:bottom w:val="single" w:color="auto" w:sz="4" w:space="0"/>
              <w:right w:val="single" w:color="auto" w:sz="4" w:space="0"/>
            </w:tcBorders>
            <w:vAlign w:val="center"/>
          </w:tcPr>
          <w:p w14:paraId="3BF68362">
            <w:pPr>
              <w:widowControl/>
              <w:spacing w:line="400" w:lineRule="exact"/>
              <w:jc w:val="left"/>
              <w:rPr>
                <w:rFonts w:hint="eastAsia" w:ascii="宋体" w:hAnsi="宋体" w:cs="宋体"/>
                <w:kern w:val="0"/>
                <w:szCs w:val="21"/>
              </w:rPr>
            </w:pPr>
            <w:r>
              <w:rPr>
                <w:rFonts w:hint="eastAsia" w:ascii="宋体" w:hAnsi="宋体" w:cs="宋体"/>
                <w:kern w:val="0"/>
                <w:szCs w:val="21"/>
              </w:rPr>
              <w:t>Y＜50</w:t>
            </w:r>
          </w:p>
        </w:tc>
      </w:tr>
      <w:tr w14:paraId="7AD47F59">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174CBDF1">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工业</w:t>
            </w:r>
          </w:p>
        </w:tc>
        <w:tc>
          <w:tcPr>
            <w:tcW w:w="1460" w:type="dxa"/>
            <w:tcBorders>
              <w:top w:val="nil"/>
              <w:left w:val="nil"/>
              <w:bottom w:val="single" w:color="auto" w:sz="4" w:space="0"/>
              <w:right w:val="single" w:color="auto" w:sz="4" w:space="0"/>
            </w:tcBorders>
            <w:vAlign w:val="center"/>
          </w:tcPr>
          <w:p w14:paraId="7D85E0B3">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3DC422CC">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079FD483">
            <w:pPr>
              <w:widowControl/>
              <w:spacing w:line="400" w:lineRule="exact"/>
              <w:jc w:val="left"/>
              <w:rPr>
                <w:rFonts w:hint="eastAsia" w:ascii="宋体" w:hAnsi="宋体" w:cs="宋体"/>
                <w:kern w:val="0"/>
                <w:szCs w:val="21"/>
              </w:rPr>
            </w:pPr>
            <w:r>
              <w:rPr>
                <w:rFonts w:hint="eastAsia" w:ascii="宋体" w:hAnsi="宋体" w:cs="宋体"/>
                <w:kern w:val="0"/>
                <w:szCs w:val="21"/>
              </w:rPr>
              <w:t>300≤X＜1000</w:t>
            </w:r>
          </w:p>
        </w:tc>
        <w:tc>
          <w:tcPr>
            <w:tcW w:w="1760" w:type="dxa"/>
            <w:tcBorders>
              <w:top w:val="nil"/>
              <w:left w:val="nil"/>
              <w:bottom w:val="single" w:color="auto" w:sz="4" w:space="0"/>
              <w:right w:val="single" w:color="auto" w:sz="4" w:space="0"/>
            </w:tcBorders>
            <w:vAlign w:val="center"/>
          </w:tcPr>
          <w:p w14:paraId="14E64050">
            <w:pPr>
              <w:widowControl/>
              <w:spacing w:line="400" w:lineRule="exact"/>
              <w:jc w:val="left"/>
              <w:rPr>
                <w:rFonts w:hint="eastAsia" w:ascii="宋体" w:hAnsi="宋体" w:cs="宋体"/>
                <w:kern w:val="0"/>
                <w:szCs w:val="21"/>
              </w:rPr>
            </w:pPr>
            <w:r>
              <w:rPr>
                <w:rFonts w:hint="eastAsia" w:ascii="宋体" w:hAnsi="宋体" w:cs="宋体"/>
                <w:kern w:val="0"/>
                <w:szCs w:val="21"/>
              </w:rPr>
              <w:t>20≤X＜300</w:t>
            </w:r>
          </w:p>
        </w:tc>
        <w:tc>
          <w:tcPr>
            <w:tcW w:w="1011" w:type="dxa"/>
            <w:tcBorders>
              <w:top w:val="nil"/>
              <w:left w:val="nil"/>
              <w:bottom w:val="single" w:color="auto" w:sz="4" w:space="0"/>
              <w:right w:val="single" w:color="auto" w:sz="4" w:space="0"/>
            </w:tcBorders>
            <w:vAlign w:val="center"/>
          </w:tcPr>
          <w:p w14:paraId="6106DD5A">
            <w:pPr>
              <w:widowControl/>
              <w:spacing w:line="400" w:lineRule="exact"/>
              <w:jc w:val="left"/>
              <w:rPr>
                <w:rFonts w:hint="eastAsia" w:ascii="宋体" w:hAnsi="宋体" w:cs="宋体"/>
                <w:kern w:val="0"/>
                <w:szCs w:val="21"/>
              </w:rPr>
            </w:pPr>
            <w:r>
              <w:rPr>
                <w:rFonts w:hint="eastAsia" w:ascii="宋体" w:hAnsi="宋体" w:cs="宋体"/>
                <w:kern w:val="0"/>
                <w:szCs w:val="21"/>
              </w:rPr>
              <w:t>X＜20</w:t>
            </w:r>
          </w:p>
        </w:tc>
      </w:tr>
      <w:tr w14:paraId="3585D17B">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577BF87C">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1B77964E">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1C7F540F">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73673F2D">
            <w:pPr>
              <w:widowControl/>
              <w:spacing w:line="400" w:lineRule="exact"/>
              <w:jc w:val="left"/>
              <w:rPr>
                <w:rFonts w:hint="eastAsia" w:ascii="宋体" w:hAnsi="宋体" w:cs="宋体"/>
                <w:kern w:val="0"/>
                <w:szCs w:val="21"/>
              </w:rPr>
            </w:pPr>
            <w:r>
              <w:rPr>
                <w:rFonts w:hint="eastAsia" w:ascii="宋体" w:hAnsi="宋体" w:cs="宋体"/>
                <w:kern w:val="0"/>
                <w:szCs w:val="21"/>
              </w:rPr>
              <w:t>2000≤Y＜40000</w:t>
            </w:r>
          </w:p>
        </w:tc>
        <w:tc>
          <w:tcPr>
            <w:tcW w:w="1760" w:type="dxa"/>
            <w:tcBorders>
              <w:top w:val="nil"/>
              <w:left w:val="nil"/>
              <w:bottom w:val="single" w:color="auto" w:sz="4" w:space="0"/>
              <w:right w:val="single" w:color="auto" w:sz="4" w:space="0"/>
            </w:tcBorders>
            <w:vAlign w:val="center"/>
          </w:tcPr>
          <w:p w14:paraId="1C00409A">
            <w:pPr>
              <w:widowControl/>
              <w:spacing w:line="400" w:lineRule="exact"/>
              <w:jc w:val="left"/>
              <w:rPr>
                <w:rFonts w:hint="eastAsia" w:ascii="宋体" w:hAnsi="宋体" w:cs="宋体"/>
                <w:kern w:val="0"/>
                <w:szCs w:val="21"/>
              </w:rPr>
            </w:pPr>
            <w:r>
              <w:rPr>
                <w:rFonts w:hint="eastAsia" w:ascii="宋体" w:hAnsi="宋体" w:cs="宋体"/>
                <w:kern w:val="0"/>
                <w:szCs w:val="21"/>
              </w:rPr>
              <w:t>300≤Y＜2000</w:t>
            </w:r>
          </w:p>
        </w:tc>
        <w:tc>
          <w:tcPr>
            <w:tcW w:w="1011" w:type="dxa"/>
            <w:tcBorders>
              <w:top w:val="nil"/>
              <w:left w:val="nil"/>
              <w:bottom w:val="single" w:color="auto" w:sz="4" w:space="0"/>
              <w:right w:val="single" w:color="auto" w:sz="4" w:space="0"/>
            </w:tcBorders>
            <w:vAlign w:val="center"/>
          </w:tcPr>
          <w:p w14:paraId="7961B8A0">
            <w:pPr>
              <w:widowControl/>
              <w:spacing w:line="400" w:lineRule="exact"/>
              <w:jc w:val="left"/>
              <w:rPr>
                <w:rFonts w:hint="eastAsia" w:ascii="宋体" w:hAnsi="宋体" w:cs="宋体"/>
                <w:kern w:val="0"/>
                <w:szCs w:val="21"/>
              </w:rPr>
            </w:pPr>
            <w:r>
              <w:rPr>
                <w:rFonts w:hint="eastAsia" w:ascii="宋体" w:hAnsi="宋体" w:cs="宋体"/>
                <w:kern w:val="0"/>
                <w:szCs w:val="21"/>
              </w:rPr>
              <w:t>Y＜300</w:t>
            </w:r>
          </w:p>
        </w:tc>
      </w:tr>
      <w:tr w14:paraId="210B6840">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75BF1D99">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建筑业</w:t>
            </w:r>
          </w:p>
        </w:tc>
        <w:tc>
          <w:tcPr>
            <w:tcW w:w="1460" w:type="dxa"/>
            <w:tcBorders>
              <w:top w:val="nil"/>
              <w:left w:val="nil"/>
              <w:bottom w:val="single" w:color="auto" w:sz="4" w:space="0"/>
              <w:right w:val="single" w:color="auto" w:sz="4" w:space="0"/>
            </w:tcBorders>
            <w:vAlign w:val="center"/>
          </w:tcPr>
          <w:p w14:paraId="024FBBBE">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4027CE02">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95754C4">
            <w:pPr>
              <w:widowControl/>
              <w:spacing w:line="400" w:lineRule="exact"/>
              <w:jc w:val="left"/>
              <w:rPr>
                <w:rFonts w:hint="eastAsia" w:ascii="宋体" w:hAnsi="宋体" w:cs="宋体"/>
                <w:kern w:val="0"/>
                <w:szCs w:val="21"/>
              </w:rPr>
            </w:pPr>
            <w:r>
              <w:rPr>
                <w:rFonts w:hint="eastAsia" w:ascii="宋体" w:hAnsi="宋体" w:cs="宋体"/>
                <w:kern w:val="0"/>
                <w:szCs w:val="21"/>
              </w:rPr>
              <w:t>6000≤Y＜80000</w:t>
            </w:r>
          </w:p>
        </w:tc>
        <w:tc>
          <w:tcPr>
            <w:tcW w:w="1760" w:type="dxa"/>
            <w:tcBorders>
              <w:top w:val="nil"/>
              <w:left w:val="nil"/>
              <w:bottom w:val="single" w:color="auto" w:sz="4" w:space="0"/>
              <w:right w:val="single" w:color="auto" w:sz="4" w:space="0"/>
            </w:tcBorders>
            <w:vAlign w:val="center"/>
          </w:tcPr>
          <w:p w14:paraId="370FFD39">
            <w:pPr>
              <w:widowControl/>
              <w:spacing w:line="400" w:lineRule="exact"/>
              <w:jc w:val="left"/>
              <w:rPr>
                <w:rFonts w:hint="eastAsia" w:ascii="宋体" w:hAnsi="宋体" w:cs="宋体"/>
                <w:kern w:val="0"/>
                <w:szCs w:val="21"/>
              </w:rPr>
            </w:pPr>
            <w:r>
              <w:rPr>
                <w:rFonts w:hint="eastAsia" w:ascii="宋体" w:hAnsi="宋体" w:cs="宋体"/>
                <w:kern w:val="0"/>
                <w:szCs w:val="21"/>
              </w:rPr>
              <w:t>300≤Y＜6000</w:t>
            </w:r>
          </w:p>
        </w:tc>
        <w:tc>
          <w:tcPr>
            <w:tcW w:w="1011" w:type="dxa"/>
            <w:tcBorders>
              <w:top w:val="nil"/>
              <w:left w:val="nil"/>
              <w:bottom w:val="single" w:color="auto" w:sz="4" w:space="0"/>
              <w:right w:val="single" w:color="auto" w:sz="4" w:space="0"/>
            </w:tcBorders>
            <w:vAlign w:val="center"/>
          </w:tcPr>
          <w:p w14:paraId="4995DAE1">
            <w:pPr>
              <w:widowControl/>
              <w:spacing w:line="400" w:lineRule="exact"/>
              <w:jc w:val="left"/>
              <w:rPr>
                <w:rFonts w:hint="eastAsia" w:ascii="宋体" w:hAnsi="宋体" w:cs="宋体"/>
                <w:kern w:val="0"/>
                <w:szCs w:val="21"/>
              </w:rPr>
            </w:pPr>
            <w:r>
              <w:rPr>
                <w:rFonts w:hint="eastAsia" w:ascii="宋体" w:hAnsi="宋体" w:cs="宋体"/>
                <w:kern w:val="0"/>
                <w:szCs w:val="21"/>
              </w:rPr>
              <w:t>Y＜300</w:t>
            </w:r>
          </w:p>
        </w:tc>
      </w:tr>
      <w:tr w14:paraId="5B1521DE">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2D283827">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69EF2E2B">
            <w:pPr>
              <w:widowControl/>
              <w:spacing w:line="400" w:lineRule="exact"/>
              <w:jc w:val="left"/>
              <w:rPr>
                <w:rFonts w:hint="eastAsia" w:ascii="宋体" w:hAnsi="宋体" w:cs="宋体"/>
                <w:kern w:val="0"/>
                <w:szCs w:val="21"/>
              </w:rPr>
            </w:pPr>
            <w:r>
              <w:rPr>
                <w:rFonts w:hint="eastAsia" w:ascii="宋体" w:hAnsi="宋体" w:cs="宋体"/>
                <w:kern w:val="0"/>
                <w:szCs w:val="21"/>
              </w:rPr>
              <w:t>资产总额（Z）</w:t>
            </w:r>
          </w:p>
        </w:tc>
        <w:tc>
          <w:tcPr>
            <w:tcW w:w="1123" w:type="dxa"/>
            <w:tcBorders>
              <w:top w:val="nil"/>
              <w:left w:val="nil"/>
              <w:bottom w:val="single" w:color="auto" w:sz="4" w:space="0"/>
              <w:right w:val="single" w:color="auto" w:sz="4" w:space="0"/>
            </w:tcBorders>
            <w:vAlign w:val="center"/>
          </w:tcPr>
          <w:p w14:paraId="3C9B0E0F">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002767E4">
            <w:pPr>
              <w:widowControl/>
              <w:spacing w:line="400" w:lineRule="exact"/>
              <w:jc w:val="left"/>
              <w:rPr>
                <w:rFonts w:hint="eastAsia" w:ascii="宋体" w:hAnsi="宋体" w:cs="宋体"/>
                <w:kern w:val="0"/>
                <w:szCs w:val="21"/>
              </w:rPr>
            </w:pPr>
            <w:r>
              <w:rPr>
                <w:rFonts w:hint="eastAsia" w:ascii="宋体" w:hAnsi="宋体" w:cs="宋体"/>
                <w:kern w:val="0"/>
                <w:szCs w:val="21"/>
              </w:rPr>
              <w:t>5000≤Z＜80000</w:t>
            </w:r>
          </w:p>
        </w:tc>
        <w:tc>
          <w:tcPr>
            <w:tcW w:w="1760" w:type="dxa"/>
            <w:tcBorders>
              <w:top w:val="nil"/>
              <w:left w:val="nil"/>
              <w:bottom w:val="single" w:color="auto" w:sz="4" w:space="0"/>
              <w:right w:val="single" w:color="auto" w:sz="4" w:space="0"/>
            </w:tcBorders>
            <w:vAlign w:val="center"/>
          </w:tcPr>
          <w:p w14:paraId="0FC000CE">
            <w:pPr>
              <w:widowControl/>
              <w:spacing w:line="400" w:lineRule="exact"/>
              <w:jc w:val="left"/>
              <w:rPr>
                <w:rFonts w:hint="eastAsia" w:ascii="宋体" w:hAnsi="宋体" w:cs="宋体"/>
                <w:kern w:val="0"/>
                <w:szCs w:val="21"/>
              </w:rPr>
            </w:pPr>
            <w:r>
              <w:rPr>
                <w:rFonts w:hint="eastAsia" w:ascii="宋体" w:hAnsi="宋体" w:cs="宋体"/>
                <w:kern w:val="0"/>
                <w:szCs w:val="21"/>
              </w:rPr>
              <w:t>300≤Z＜5000</w:t>
            </w:r>
          </w:p>
        </w:tc>
        <w:tc>
          <w:tcPr>
            <w:tcW w:w="1011" w:type="dxa"/>
            <w:tcBorders>
              <w:top w:val="nil"/>
              <w:left w:val="nil"/>
              <w:bottom w:val="single" w:color="auto" w:sz="4" w:space="0"/>
              <w:right w:val="single" w:color="auto" w:sz="4" w:space="0"/>
            </w:tcBorders>
            <w:vAlign w:val="center"/>
          </w:tcPr>
          <w:p w14:paraId="17B356C4">
            <w:pPr>
              <w:widowControl/>
              <w:spacing w:line="400" w:lineRule="exact"/>
              <w:jc w:val="left"/>
              <w:rPr>
                <w:rFonts w:hint="eastAsia" w:ascii="宋体" w:hAnsi="宋体" w:cs="宋体"/>
                <w:kern w:val="0"/>
                <w:szCs w:val="21"/>
              </w:rPr>
            </w:pPr>
            <w:r>
              <w:rPr>
                <w:rFonts w:hint="eastAsia" w:ascii="宋体" w:hAnsi="宋体" w:cs="宋体"/>
                <w:kern w:val="0"/>
                <w:szCs w:val="21"/>
              </w:rPr>
              <w:t>Z＜300</w:t>
            </w:r>
          </w:p>
        </w:tc>
      </w:tr>
      <w:tr w14:paraId="5AB808A8">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6CE1E99">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批发业</w:t>
            </w:r>
          </w:p>
        </w:tc>
        <w:tc>
          <w:tcPr>
            <w:tcW w:w="1460" w:type="dxa"/>
            <w:tcBorders>
              <w:top w:val="nil"/>
              <w:left w:val="nil"/>
              <w:bottom w:val="single" w:color="auto" w:sz="4" w:space="0"/>
              <w:right w:val="single" w:color="auto" w:sz="4" w:space="0"/>
            </w:tcBorders>
            <w:vAlign w:val="center"/>
          </w:tcPr>
          <w:p w14:paraId="1FBA46EB">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4E0EE5AE">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79835E29">
            <w:pPr>
              <w:widowControl/>
              <w:spacing w:line="400" w:lineRule="exact"/>
              <w:jc w:val="left"/>
              <w:rPr>
                <w:rFonts w:hint="eastAsia" w:ascii="宋体" w:hAnsi="宋体" w:cs="宋体"/>
                <w:kern w:val="0"/>
                <w:szCs w:val="21"/>
              </w:rPr>
            </w:pPr>
            <w:r>
              <w:rPr>
                <w:rFonts w:hint="eastAsia" w:ascii="宋体" w:hAnsi="宋体" w:cs="宋体"/>
                <w:kern w:val="0"/>
                <w:szCs w:val="21"/>
              </w:rPr>
              <w:t>20≤X＜200</w:t>
            </w:r>
          </w:p>
        </w:tc>
        <w:tc>
          <w:tcPr>
            <w:tcW w:w="1760" w:type="dxa"/>
            <w:tcBorders>
              <w:top w:val="nil"/>
              <w:left w:val="nil"/>
              <w:bottom w:val="single" w:color="auto" w:sz="4" w:space="0"/>
              <w:right w:val="single" w:color="auto" w:sz="4" w:space="0"/>
            </w:tcBorders>
            <w:vAlign w:val="center"/>
          </w:tcPr>
          <w:p w14:paraId="5155F504">
            <w:pPr>
              <w:widowControl/>
              <w:spacing w:line="400" w:lineRule="exact"/>
              <w:jc w:val="left"/>
              <w:rPr>
                <w:rFonts w:hint="eastAsia" w:ascii="宋体" w:hAnsi="宋体" w:cs="宋体"/>
                <w:kern w:val="0"/>
                <w:szCs w:val="21"/>
              </w:rPr>
            </w:pPr>
            <w:r>
              <w:rPr>
                <w:rFonts w:hint="eastAsia" w:ascii="宋体" w:hAnsi="宋体" w:cs="宋体"/>
                <w:kern w:val="0"/>
                <w:szCs w:val="21"/>
              </w:rPr>
              <w:t>5≤X＜20</w:t>
            </w:r>
          </w:p>
        </w:tc>
        <w:tc>
          <w:tcPr>
            <w:tcW w:w="1011" w:type="dxa"/>
            <w:tcBorders>
              <w:top w:val="nil"/>
              <w:left w:val="nil"/>
              <w:bottom w:val="single" w:color="auto" w:sz="4" w:space="0"/>
              <w:right w:val="single" w:color="auto" w:sz="4" w:space="0"/>
            </w:tcBorders>
            <w:vAlign w:val="center"/>
          </w:tcPr>
          <w:p w14:paraId="1440467F">
            <w:pPr>
              <w:widowControl/>
              <w:spacing w:line="400" w:lineRule="exact"/>
              <w:jc w:val="left"/>
              <w:rPr>
                <w:rFonts w:hint="eastAsia" w:ascii="宋体" w:hAnsi="宋体" w:cs="宋体"/>
                <w:kern w:val="0"/>
                <w:szCs w:val="21"/>
              </w:rPr>
            </w:pPr>
            <w:r>
              <w:rPr>
                <w:rFonts w:hint="eastAsia" w:ascii="宋体" w:hAnsi="宋体" w:cs="宋体"/>
                <w:kern w:val="0"/>
                <w:szCs w:val="21"/>
              </w:rPr>
              <w:t>X＜5</w:t>
            </w:r>
          </w:p>
        </w:tc>
      </w:tr>
      <w:tr w14:paraId="5272D15B">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47EC8690">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7A39C013">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282D734B">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10C19C79">
            <w:pPr>
              <w:widowControl/>
              <w:spacing w:line="400" w:lineRule="exact"/>
              <w:jc w:val="left"/>
              <w:rPr>
                <w:rFonts w:hint="eastAsia" w:ascii="宋体" w:hAnsi="宋体" w:cs="宋体"/>
                <w:kern w:val="0"/>
                <w:szCs w:val="21"/>
              </w:rPr>
            </w:pPr>
            <w:r>
              <w:rPr>
                <w:rFonts w:hint="eastAsia" w:ascii="宋体" w:hAnsi="宋体" w:cs="宋体"/>
                <w:kern w:val="0"/>
                <w:szCs w:val="21"/>
              </w:rPr>
              <w:t>5000≤Y＜40000</w:t>
            </w:r>
          </w:p>
        </w:tc>
        <w:tc>
          <w:tcPr>
            <w:tcW w:w="1760" w:type="dxa"/>
            <w:tcBorders>
              <w:top w:val="nil"/>
              <w:left w:val="nil"/>
              <w:bottom w:val="single" w:color="auto" w:sz="4" w:space="0"/>
              <w:right w:val="single" w:color="auto" w:sz="4" w:space="0"/>
            </w:tcBorders>
            <w:vAlign w:val="center"/>
          </w:tcPr>
          <w:p w14:paraId="422C4F8F">
            <w:pPr>
              <w:widowControl/>
              <w:spacing w:line="400" w:lineRule="exact"/>
              <w:jc w:val="left"/>
              <w:rPr>
                <w:rFonts w:hint="eastAsia" w:ascii="宋体" w:hAnsi="宋体" w:cs="宋体"/>
                <w:kern w:val="0"/>
                <w:szCs w:val="21"/>
              </w:rPr>
            </w:pPr>
            <w:r>
              <w:rPr>
                <w:rFonts w:hint="eastAsia" w:ascii="宋体" w:hAnsi="宋体" w:cs="宋体"/>
                <w:kern w:val="0"/>
                <w:szCs w:val="21"/>
              </w:rPr>
              <w:t>1000≤Y＜5000</w:t>
            </w:r>
          </w:p>
        </w:tc>
        <w:tc>
          <w:tcPr>
            <w:tcW w:w="1011" w:type="dxa"/>
            <w:tcBorders>
              <w:top w:val="nil"/>
              <w:left w:val="nil"/>
              <w:bottom w:val="single" w:color="auto" w:sz="4" w:space="0"/>
              <w:right w:val="single" w:color="auto" w:sz="4" w:space="0"/>
            </w:tcBorders>
            <w:vAlign w:val="center"/>
          </w:tcPr>
          <w:p w14:paraId="177E8B16">
            <w:pPr>
              <w:widowControl/>
              <w:spacing w:line="400" w:lineRule="exact"/>
              <w:jc w:val="left"/>
              <w:rPr>
                <w:rFonts w:hint="eastAsia" w:ascii="宋体" w:hAnsi="宋体" w:cs="宋体"/>
                <w:kern w:val="0"/>
                <w:szCs w:val="21"/>
              </w:rPr>
            </w:pPr>
            <w:r>
              <w:rPr>
                <w:rFonts w:hint="eastAsia" w:ascii="宋体" w:hAnsi="宋体" w:cs="宋体"/>
                <w:kern w:val="0"/>
                <w:szCs w:val="21"/>
              </w:rPr>
              <w:t>Y＜1000</w:t>
            </w:r>
          </w:p>
        </w:tc>
      </w:tr>
      <w:tr w14:paraId="21525D08">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E43C032">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零售业</w:t>
            </w:r>
          </w:p>
        </w:tc>
        <w:tc>
          <w:tcPr>
            <w:tcW w:w="1460" w:type="dxa"/>
            <w:tcBorders>
              <w:top w:val="nil"/>
              <w:left w:val="nil"/>
              <w:bottom w:val="single" w:color="auto" w:sz="4" w:space="0"/>
              <w:right w:val="single" w:color="auto" w:sz="4" w:space="0"/>
            </w:tcBorders>
            <w:vAlign w:val="center"/>
          </w:tcPr>
          <w:p w14:paraId="210C3A0E">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31109C46">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64ED5143">
            <w:pPr>
              <w:widowControl/>
              <w:spacing w:line="400" w:lineRule="exact"/>
              <w:jc w:val="left"/>
              <w:rPr>
                <w:rFonts w:hint="eastAsia" w:ascii="宋体" w:hAnsi="宋体" w:cs="宋体"/>
                <w:kern w:val="0"/>
                <w:szCs w:val="21"/>
              </w:rPr>
            </w:pPr>
            <w:r>
              <w:rPr>
                <w:rFonts w:hint="eastAsia" w:ascii="宋体" w:hAnsi="宋体" w:cs="宋体"/>
                <w:kern w:val="0"/>
                <w:szCs w:val="21"/>
              </w:rPr>
              <w:t>50≤X＜300</w:t>
            </w:r>
          </w:p>
        </w:tc>
        <w:tc>
          <w:tcPr>
            <w:tcW w:w="1760" w:type="dxa"/>
            <w:tcBorders>
              <w:top w:val="nil"/>
              <w:left w:val="nil"/>
              <w:bottom w:val="single" w:color="auto" w:sz="4" w:space="0"/>
              <w:right w:val="single" w:color="auto" w:sz="4" w:space="0"/>
            </w:tcBorders>
            <w:vAlign w:val="center"/>
          </w:tcPr>
          <w:p w14:paraId="7704109E">
            <w:pPr>
              <w:widowControl/>
              <w:spacing w:line="400" w:lineRule="exact"/>
              <w:jc w:val="left"/>
              <w:rPr>
                <w:rFonts w:hint="eastAsia" w:ascii="宋体" w:hAnsi="宋体" w:cs="宋体"/>
                <w:kern w:val="0"/>
                <w:szCs w:val="21"/>
              </w:rPr>
            </w:pPr>
            <w:r>
              <w:rPr>
                <w:rFonts w:hint="eastAsia" w:ascii="宋体" w:hAnsi="宋体" w:cs="宋体"/>
                <w:kern w:val="0"/>
                <w:szCs w:val="21"/>
              </w:rPr>
              <w:t>10≤X＜50</w:t>
            </w:r>
          </w:p>
        </w:tc>
        <w:tc>
          <w:tcPr>
            <w:tcW w:w="1011" w:type="dxa"/>
            <w:tcBorders>
              <w:top w:val="nil"/>
              <w:left w:val="nil"/>
              <w:bottom w:val="single" w:color="auto" w:sz="4" w:space="0"/>
              <w:right w:val="single" w:color="auto" w:sz="4" w:space="0"/>
            </w:tcBorders>
            <w:vAlign w:val="center"/>
          </w:tcPr>
          <w:p w14:paraId="686BB931">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10F75408">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21A81E5E">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1CDC07ED">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1B8670F6">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65B526F">
            <w:pPr>
              <w:widowControl/>
              <w:spacing w:line="400" w:lineRule="exact"/>
              <w:jc w:val="left"/>
              <w:rPr>
                <w:rFonts w:hint="eastAsia" w:ascii="宋体" w:hAnsi="宋体" w:cs="宋体"/>
                <w:kern w:val="0"/>
                <w:szCs w:val="21"/>
              </w:rPr>
            </w:pPr>
            <w:r>
              <w:rPr>
                <w:rFonts w:hint="eastAsia" w:ascii="宋体" w:hAnsi="宋体" w:cs="宋体"/>
                <w:kern w:val="0"/>
                <w:szCs w:val="21"/>
              </w:rPr>
              <w:t>500≤Y＜20000</w:t>
            </w:r>
          </w:p>
        </w:tc>
        <w:tc>
          <w:tcPr>
            <w:tcW w:w="1760" w:type="dxa"/>
            <w:tcBorders>
              <w:top w:val="nil"/>
              <w:left w:val="nil"/>
              <w:bottom w:val="single" w:color="auto" w:sz="4" w:space="0"/>
              <w:right w:val="single" w:color="auto" w:sz="4" w:space="0"/>
            </w:tcBorders>
            <w:vAlign w:val="center"/>
          </w:tcPr>
          <w:p w14:paraId="05CECA38">
            <w:pPr>
              <w:widowControl/>
              <w:spacing w:line="400" w:lineRule="exact"/>
              <w:jc w:val="left"/>
              <w:rPr>
                <w:rFonts w:hint="eastAsia" w:ascii="宋体" w:hAnsi="宋体" w:cs="宋体"/>
                <w:kern w:val="0"/>
                <w:szCs w:val="21"/>
              </w:rPr>
            </w:pPr>
            <w:r>
              <w:rPr>
                <w:rFonts w:hint="eastAsia" w:ascii="宋体" w:hAnsi="宋体" w:cs="宋体"/>
                <w:kern w:val="0"/>
                <w:szCs w:val="21"/>
              </w:rPr>
              <w:t>100≤Y＜500</w:t>
            </w:r>
          </w:p>
        </w:tc>
        <w:tc>
          <w:tcPr>
            <w:tcW w:w="1011" w:type="dxa"/>
            <w:tcBorders>
              <w:top w:val="nil"/>
              <w:left w:val="nil"/>
              <w:bottom w:val="single" w:color="auto" w:sz="4" w:space="0"/>
              <w:right w:val="single" w:color="auto" w:sz="4" w:space="0"/>
            </w:tcBorders>
            <w:vAlign w:val="center"/>
          </w:tcPr>
          <w:p w14:paraId="0E01C75A">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12FEB1C4">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A7B1F62">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交通运输业</w:t>
            </w:r>
          </w:p>
        </w:tc>
        <w:tc>
          <w:tcPr>
            <w:tcW w:w="1460" w:type="dxa"/>
            <w:tcBorders>
              <w:top w:val="nil"/>
              <w:left w:val="nil"/>
              <w:bottom w:val="single" w:color="auto" w:sz="4" w:space="0"/>
              <w:right w:val="single" w:color="auto" w:sz="4" w:space="0"/>
            </w:tcBorders>
            <w:vAlign w:val="center"/>
          </w:tcPr>
          <w:p w14:paraId="4A82E535">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28E40C70">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04A01A2D">
            <w:pPr>
              <w:widowControl/>
              <w:spacing w:line="400" w:lineRule="exact"/>
              <w:jc w:val="left"/>
              <w:rPr>
                <w:rFonts w:hint="eastAsia" w:ascii="宋体" w:hAnsi="宋体" w:cs="宋体"/>
                <w:kern w:val="0"/>
                <w:szCs w:val="21"/>
              </w:rPr>
            </w:pPr>
            <w:r>
              <w:rPr>
                <w:rFonts w:hint="eastAsia" w:ascii="宋体" w:hAnsi="宋体" w:cs="宋体"/>
                <w:kern w:val="0"/>
                <w:szCs w:val="21"/>
              </w:rPr>
              <w:t>300≤X＜1000</w:t>
            </w:r>
          </w:p>
        </w:tc>
        <w:tc>
          <w:tcPr>
            <w:tcW w:w="1760" w:type="dxa"/>
            <w:tcBorders>
              <w:top w:val="nil"/>
              <w:left w:val="nil"/>
              <w:bottom w:val="single" w:color="auto" w:sz="4" w:space="0"/>
              <w:right w:val="single" w:color="auto" w:sz="4" w:space="0"/>
            </w:tcBorders>
            <w:vAlign w:val="center"/>
          </w:tcPr>
          <w:p w14:paraId="6630C2F3">
            <w:pPr>
              <w:widowControl/>
              <w:spacing w:line="400" w:lineRule="exact"/>
              <w:jc w:val="left"/>
              <w:rPr>
                <w:rFonts w:hint="eastAsia" w:ascii="宋体" w:hAnsi="宋体" w:cs="宋体"/>
                <w:kern w:val="0"/>
                <w:szCs w:val="21"/>
              </w:rPr>
            </w:pPr>
            <w:r>
              <w:rPr>
                <w:rFonts w:hint="eastAsia" w:ascii="宋体" w:hAnsi="宋体" w:cs="宋体"/>
                <w:kern w:val="0"/>
                <w:szCs w:val="21"/>
              </w:rPr>
              <w:t>20≤X＜300</w:t>
            </w:r>
          </w:p>
        </w:tc>
        <w:tc>
          <w:tcPr>
            <w:tcW w:w="1011" w:type="dxa"/>
            <w:tcBorders>
              <w:top w:val="nil"/>
              <w:left w:val="nil"/>
              <w:bottom w:val="single" w:color="auto" w:sz="4" w:space="0"/>
              <w:right w:val="single" w:color="auto" w:sz="4" w:space="0"/>
            </w:tcBorders>
            <w:vAlign w:val="center"/>
          </w:tcPr>
          <w:p w14:paraId="0E6D160C">
            <w:pPr>
              <w:widowControl/>
              <w:spacing w:line="400" w:lineRule="exact"/>
              <w:jc w:val="left"/>
              <w:rPr>
                <w:rFonts w:hint="eastAsia" w:ascii="宋体" w:hAnsi="宋体" w:cs="宋体"/>
                <w:kern w:val="0"/>
                <w:szCs w:val="21"/>
              </w:rPr>
            </w:pPr>
            <w:r>
              <w:rPr>
                <w:rFonts w:hint="eastAsia" w:ascii="宋体" w:hAnsi="宋体" w:cs="宋体"/>
                <w:kern w:val="0"/>
                <w:szCs w:val="21"/>
              </w:rPr>
              <w:t>X＜20</w:t>
            </w:r>
          </w:p>
        </w:tc>
      </w:tr>
      <w:tr w14:paraId="3B666A07">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4800D189">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6C98928C">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11295574">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74F681A3">
            <w:pPr>
              <w:widowControl/>
              <w:spacing w:line="400" w:lineRule="exact"/>
              <w:jc w:val="left"/>
              <w:rPr>
                <w:rFonts w:hint="eastAsia" w:ascii="宋体" w:hAnsi="宋体" w:cs="宋体"/>
                <w:kern w:val="0"/>
                <w:szCs w:val="21"/>
              </w:rPr>
            </w:pPr>
            <w:r>
              <w:rPr>
                <w:rFonts w:hint="eastAsia" w:ascii="宋体" w:hAnsi="宋体" w:cs="宋体"/>
                <w:kern w:val="0"/>
                <w:szCs w:val="21"/>
              </w:rPr>
              <w:t>3000≤Y＜30000</w:t>
            </w:r>
          </w:p>
        </w:tc>
        <w:tc>
          <w:tcPr>
            <w:tcW w:w="1760" w:type="dxa"/>
            <w:tcBorders>
              <w:top w:val="nil"/>
              <w:left w:val="nil"/>
              <w:bottom w:val="single" w:color="auto" w:sz="4" w:space="0"/>
              <w:right w:val="single" w:color="auto" w:sz="4" w:space="0"/>
            </w:tcBorders>
            <w:vAlign w:val="center"/>
          </w:tcPr>
          <w:p w14:paraId="178905D3">
            <w:pPr>
              <w:widowControl/>
              <w:spacing w:line="400" w:lineRule="exact"/>
              <w:jc w:val="left"/>
              <w:rPr>
                <w:rFonts w:hint="eastAsia" w:ascii="宋体" w:hAnsi="宋体" w:cs="宋体"/>
                <w:kern w:val="0"/>
                <w:szCs w:val="21"/>
              </w:rPr>
            </w:pPr>
            <w:r>
              <w:rPr>
                <w:rFonts w:hint="eastAsia" w:ascii="宋体" w:hAnsi="宋体" w:cs="宋体"/>
                <w:kern w:val="0"/>
                <w:szCs w:val="21"/>
              </w:rPr>
              <w:t>200≤Y＜3000</w:t>
            </w:r>
          </w:p>
        </w:tc>
        <w:tc>
          <w:tcPr>
            <w:tcW w:w="1011" w:type="dxa"/>
            <w:tcBorders>
              <w:top w:val="nil"/>
              <w:left w:val="nil"/>
              <w:bottom w:val="single" w:color="auto" w:sz="4" w:space="0"/>
              <w:right w:val="single" w:color="auto" w:sz="4" w:space="0"/>
            </w:tcBorders>
            <w:vAlign w:val="center"/>
          </w:tcPr>
          <w:p w14:paraId="5AA8ABB9">
            <w:pPr>
              <w:widowControl/>
              <w:spacing w:line="400" w:lineRule="exact"/>
              <w:jc w:val="left"/>
              <w:rPr>
                <w:rFonts w:hint="eastAsia" w:ascii="宋体" w:hAnsi="宋体" w:cs="宋体"/>
                <w:kern w:val="0"/>
                <w:szCs w:val="21"/>
              </w:rPr>
            </w:pPr>
            <w:r>
              <w:rPr>
                <w:rFonts w:hint="eastAsia" w:ascii="宋体" w:hAnsi="宋体" w:cs="宋体"/>
                <w:kern w:val="0"/>
                <w:szCs w:val="21"/>
              </w:rPr>
              <w:t>Y＜200</w:t>
            </w:r>
          </w:p>
        </w:tc>
      </w:tr>
      <w:tr w14:paraId="20391174">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1E704D48">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仓储业</w:t>
            </w:r>
          </w:p>
        </w:tc>
        <w:tc>
          <w:tcPr>
            <w:tcW w:w="1460" w:type="dxa"/>
            <w:tcBorders>
              <w:top w:val="nil"/>
              <w:left w:val="nil"/>
              <w:bottom w:val="single" w:color="auto" w:sz="4" w:space="0"/>
              <w:right w:val="single" w:color="auto" w:sz="4" w:space="0"/>
            </w:tcBorders>
            <w:vAlign w:val="center"/>
          </w:tcPr>
          <w:p w14:paraId="444468A2">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4470089F">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2EFC5A1B">
            <w:pPr>
              <w:widowControl/>
              <w:spacing w:line="400" w:lineRule="exact"/>
              <w:jc w:val="left"/>
              <w:rPr>
                <w:rFonts w:hint="eastAsia" w:ascii="宋体" w:hAnsi="宋体" w:cs="宋体"/>
                <w:kern w:val="0"/>
                <w:szCs w:val="21"/>
              </w:rPr>
            </w:pPr>
            <w:r>
              <w:rPr>
                <w:rFonts w:hint="eastAsia" w:ascii="宋体" w:hAnsi="宋体" w:cs="宋体"/>
                <w:kern w:val="0"/>
                <w:szCs w:val="21"/>
              </w:rPr>
              <w:t>100≤X＜200</w:t>
            </w:r>
          </w:p>
        </w:tc>
        <w:tc>
          <w:tcPr>
            <w:tcW w:w="1760" w:type="dxa"/>
            <w:tcBorders>
              <w:top w:val="nil"/>
              <w:left w:val="nil"/>
              <w:bottom w:val="single" w:color="auto" w:sz="4" w:space="0"/>
              <w:right w:val="single" w:color="auto" w:sz="4" w:space="0"/>
            </w:tcBorders>
            <w:vAlign w:val="center"/>
          </w:tcPr>
          <w:p w14:paraId="3AD55476">
            <w:pPr>
              <w:widowControl/>
              <w:spacing w:line="400" w:lineRule="exact"/>
              <w:jc w:val="left"/>
              <w:rPr>
                <w:rFonts w:hint="eastAsia" w:ascii="宋体" w:hAnsi="宋体" w:cs="宋体"/>
                <w:kern w:val="0"/>
                <w:szCs w:val="21"/>
              </w:rPr>
            </w:pPr>
            <w:r>
              <w:rPr>
                <w:rFonts w:hint="eastAsia" w:ascii="宋体" w:hAnsi="宋体" w:cs="宋体"/>
                <w:kern w:val="0"/>
                <w:szCs w:val="21"/>
              </w:rPr>
              <w:t>20≤X＜100</w:t>
            </w:r>
          </w:p>
        </w:tc>
        <w:tc>
          <w:tcPr>
            <w:tcW w:w="1011" w:type="dxa"/>
            <w:tcBorders>
              <w:top w:val="nil"/>
              <w:left w:val="nil"/>
              <w:bottom w:val="single" w:color="auto" w:sz="4" w:space="0"/>
              <w:right w:val="single" w:color="auto" w:sz="4" w:space="0"/>
            </w:tcBorders>
            <w:vAlign w:val="center"/>
          </w:tcPr>
          <w:p w14:paraId="09418D64">
            <w:pPr>
              <w:widowControl/>
              <w:spacing w:line="400" w:lineRule="exact"/>
              <w:jc w:val="left"/>
              <w:rPr>
                <w:rFonts w:hint="eastAsia" w:ascii="宋体" w:hAnsi="宋体" w:cs="宋体"/>
                <w:kern w:val="0"/>
                <w:szCs w:val="21"/>
              </w:rPr>
            </w:pPr>
            <w:r>
              <w:rPr>
                <w:rFonts w:hint="eastAsia" w:ascii="宋体" w:hAnsi="宋体" w:cs="宋体"/>
                <w:kern w:val="0"/>
                <w:szCs w:val="21"/>
              </w:rPr>
              <w:t>X＜20</w:t>
            </w:r>
          </w:p>
        </w:tc>
      </w:tr>
      <w:tr w14:paraId="1AB72BE8">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244913C0">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325091A5">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5A94DA37">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00AED08A">
            <w:pPr>
              <w:widowControl/>
              <w:spacing w:line="400" w:lineRule="exact"/>
              <w:jc w:val="left"/>
              <w:rPr>
                <w:rFonts w:hint="eastAsia" w:ascii="宋体" w:hAnsi="宋体" w:cs="宋体"/>
                <w:kern w:val="0"/>
                <w:szCs w:val="21"/>
              </w:rPr>
            </w:pPr>
            <w:r>
              <w:rPr>
                <w:rFonts w:hint="eastAsia" w:ascii="宋体" w:hAnsi="宋体" w:cs="宋体"/>
                <w:kern w:val="0"/>
                <w:szCs w:val="21"/>
              </w:rPr>
              <w:t>1000≤Y＜30000</w:t>
            </w:r>
          </w:p>
        </w:tc>
        <w:tc>
          <w:tcPr>
            <w:tcW w:w="1760" w:type="dxa"/>
            <w:tcBorders>
              <w:top w:val="nil"/>
              <w:left w:val="nil"/>
              <w:bottom w:val="single" w:color="auto" w:sz="4" w:space="0"/>
              <w:right w:val="single" w:color="auto" w:sz="4" w:space="0"/>
            </w:tcBorders>
            <w:vAlign w:val="center"/>
          </w:tcPr>
          <w:p w14:paraId="73858383">
            <w:pPr>
              <w:widowControl/>
              <w:spacing w:line="400" w:lineRule="exact"/>
              <w:jc w:val="left"/>
              <w:rPr>
                <w:rFonts w:hint="eastAsia" w:ascii="宋体" w:hAnsi="宋体" w:cs="宋体"/>
                <w:kern w:val="0"/>
                <w:szCs w:val="21"/>
              </w:rPr>
            </w:pPr>
            <w:r>
              <w:rPr>
                <w:rFonts w:hint="eastAsia" w:ascii="宋体" w:hAnsi="宋体" w:cs="宋体"/>
                <w:kern w:val="0"/>
                <w:szCs w:val="21"/>
              </w:rPr>
              <w:t>100≤Y＜1000</w:t>
            </w:r>
          </w:p>
        </w:tc>
        <w:tc>
          <w:tcPr>
            <w:tcW w:w="1011" w:type="dxa"/>
            <w:tcBorders>
              <w:top w:val="nil"/>
              <w:left w:val="nil"/>
              <w:bottom w:val="single" w:color="auto" w:sz="4" w:space="0"/>
              <w:right w:val="single" w:color="auto" w:sz="4" w:space="0"/>
            </w:tcBorders>
            <w:vAlign w:val="center"/>
          </w:tcPr>
          <w:p w14:paraId="4D8A120B">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0350A481">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1AD7673">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邮政业</w:t>
            </w:r>
          </w:p>
        </w:tc>
        <w:tc>
          <w:tcPr>
            <w:tcW w:w="1460" w:type="dxa"/>
            <w:tcBorders>
              <w:top w:val="nil"/>
              <w:left w:val="nil"/>
              <w:bottom w:val="single" w:color="auto" w:sz="4" w:space="0"/>
              <w:right w:val="single" w:color="auto" w:sz="4" w:space="0"/>
            </w:tcBorders>
            <w:vAlign w:val="center"/>
          </w:tcPr>
          <w:p w14:paraId="094C4BF8">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05F81E5D">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44BD220C">
            <w:pPr>
              <w:widowControl/>
              <w:spacing w:line="400" w:lineRule="exact"/>
              <w:jc w:val="left"/>
              <w:rPr>
                <w:rFonts w:hint="eastAsia" w:ascii="宋体" w:hAnsi="宋体" w:cs="宋体"/>
                <w:kern w:val="0"/>
                <w:szCs w:val="21"/>
              </w:rPr>
            </w:pPr>
            <w:r>
              <w:rPr>
                <w:rFonts w:hint="eastAsia" w:ascii="宋体" w:hAnsi="宋体" w:cs="宋体"/>
                <w:kern w:val="0"/>
                <w:szCs w:val="21"/>
              </w:rPr>
              <w:t>300≤X＜1000</w:t>
            </w:r>
          </w:p>
        </w:tc>
        <w:tc>
          <w:tcPr>
            <w:tcW w:w="1760" w:type="dxa"/>
            <w:tcBorders>
              <w:top w:val="nil"/>
              <w:left w:val="nil"/>
              <w:bottom w:val="single" w:color="auto" w:sz="4" w:space="0"/>
              <w:right w:val="single" w:color="auto" w:sz="4" w:space="0"/>
            </w:tcBorders>
            <w:vAlign w:val="center"/>
          </w:tcPr>
          <w:p w14:paraId="69E8FC1F">
            <w:pPr>
              <w:widowControl/>
              <w:spacing w:line="400" w:lineRule="exact"/>
              <w:jc w:val="left"/>
              <w:rPr>
                <w:rFonts w:hint="eastAsia" w:ascii="宋体" w:hAnsi="宋体" w:cs="宋体"/>
                <w:kern w:val="0"/>
                <w:szCs w:val="21"/>
              </w:rPr>
            </w:pPr>
            <w:r>
              <w:rPr>
                <w:rFonts w:hint="eastAsia" w:ascii="宋体" w:hAnsi="宋体" w:cs="宋体"/>
                <w:kern w:val="0"/>
                <w:szCs w:val="21"/>
              </w:rPr>
              <w:t>20≤X＜300</w:t>
            </w:r>
          </w:p>
        </w:tc>
        <w:tc>
          <w:tcPr>
            <w:tcW w:w="1011" w:type="dxa"/>
            <w:tcBorders>
              <w:top w:val="nil"/>
              <w:left w:val="nil"/>
              <w:bottom w:val="single" w:color="auto" w:sz="4" w:space="0"/>
              <w:right w:val="single" w:color="auto" w:sz="4" w:space="0"/>
            </w:tcBorders>
            <w:vAlign w:val="center"/>
          </w:tcPr>
          <w:p w14:paraId="7DDF8FCB">
            <w:pPr>
              <w:widowControl/>
              <w:spacing w:line="400" w:lineRule="exact"/>
              <w:jc w:val="left"/>
              <w:rPr>
                <w:rFonts w:hint="eastAsia" w:ascii="宋体" w:hAnsi="宋体" w:cs="宋体"/>
                <w:kern w:val="0"/>
                <w:szCs w:val="21"/>
              </w:rPr>
            </w:pPr>
            <w:r>
              <w:rPr>
                <w:rFonts w:hint="eastAsia" w:ascii="宋体" w:hAnsi="宋体" w:cs="宋体"/>
                <w:kern w:val="0"/>
                <w:szCs w:val="21"/>
              </w:rPr>
              <w:t>X＜20</w:t>
            </w:r>
          </w:p>
        </w:tc>
      </w:tr>
      <w:tr w14:paraId="35ED0E3A">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35617B48">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48CCFBFB">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51FF4B68">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1B02AC20">
            <w:pPr>
              <w:widowControl/>
              <w:spacing w:line="400" w:lineRule="exact"/>
              <w:jc w:val="left"/>
              <w:rPr>
                <w:rFonts w:hint="eastAsia" w:ascii="宋体" w:hAnsi="宋体" w:cs="宋体"/>
                <w:kern w:val="0"/>
                <w:szCs w:val="21"/>
              </w:rPr>
            </w:pPr>
            <w:r>
              <w:rPr>
                <w:rFonts w:hint="eastAsia" w:ascii="宋体" w:hAnsi="宋体" w:cs="宋体"/>
                <w:kern w:val="0"/>
                <w:szCs w:val="21"/>
              </w:rPr>
              <w:t>2000≤Y＜30000</w:t>
            </w:r>
          </w:p>
        </w:tc>
        <w:tc>
          <w:tcPr>
            <w:tcW w:w="1760" w:type="dxa"/>
            <w:tcBorders>
              <w:top w:val="nil"/>
              <w:left w:val="nil"/>
              <w:bottom w:val="single" w:color="auto" w:sz="4" w:space="0"/>
              <w:right w:val="single" w:color="auto" w:sz="4" w:space="0"/>
            </w:tcBorders>
            <w:vAlign w:val="center"/>
          </w:tcPr>
          <w:p w14:paraId="21391C93">
            <w:pPr>
              <w:widowControl/>
              <w:spacing w:line="400" w:lineRule="exact"/>
              <w:jc w:val="left"/>
              <w:rPr>
                <w:rFonts w:hint="eastAsia" w:ascii="宋体" w:hAnsi="宋体" w:cs="宋体"/>
                <w:kern w:val="0"/>
                <w:szCs w:val="21"/>
              </w:rPr>
            </w:pPr>
            <w:r>
              <w:rPr>
                <w:rFonts w:hint="eastAsia" w:ascii="宋体" w:hAnsi="宋体" w:cs="宋体"/>
                <w:kern w:val="0"/>
                <w:szCs w:val="21"/>
              </w:rPr>
              <w:t>100≤Y＜2000</w:t>
            </w:r>
          </w:p>
        </w:tc>
        <w:tc>
          <w:tcPr>
            <w:tcW w:w="1011" w:type="dxa"/>
            <w:tcBorders>
              <w:top w:val="nil"/>
              <w:left w:val="nil"/>
              <w:bottom w:val="single" w:color="auto" w:sz="4" w:space="0"/>
              <w:right w:val="single" w:color="auto" w:sz="4" w:space="0"/>
            </w:tcBorders>
            <w:vAlign w:val="center"/>
          </w:tcPr>
          <w:p w14:paraId="4E4EE9D6">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558DD3E1">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1950A96">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住宿业</w:t>
            </w:r>
          </w:p>
        </w:tc>
        <w:tc>
          <w:tcPr>
            <w:tcW w:w="1460" w:type="dxa"/>
            <w:tcBorders>
              <w:top w:val="nil"/>
              <w:left w:val="nil"/>
              <w:bottom w:val="single" w:color="auto" w:sz="4" w:space="0"/>
              <w:right w:val="single" w:color="auto" w:sz="4" w:space="0"/>
            </w:tcBorders>
            <w:vAlign w:val="center"/>
          </w:tcPr>
          <w:p w14:paraId="6A3FD558">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62079118">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0D4697A5">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760" w:type="dxa"/>
            <w:tcBorders>
              <w:top w:val="nil"/>
              <w:left w:val="nil"/>
              <w:bottom w:val="single" w:color="auto" w:sz="4" w:space="0"/>
              <w:right w:val="single" w:color="auto" w:sz="4" w:space="0"/>
            </w:tcBorders>
            <w:vAlign w:val="center"/>
          </w:tcPr>
          <w:p w14:paraId="7F1E2368">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279ADDE5">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6B733307">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35821642">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71BD6EF5">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43245697">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2222986F">
            <w:pPr>
              <w:widowControl/>
              <w:spacing w:line="400" w:lineRule="exact"/>
              <w:jc w:val="left"/>
              <w:rPr>
                <w:rFonts w:hint="eastAsia" w:ascii="宋体" w:hAnsi="宋体" w:cs="宋体"/>
                <w:kern w:val="0"/>
                <w:szCs w:val="21"/>
              </w:rPr>
            </w:pPr>
            <w:r>
              <w:rPr>
                <w:rFonts w:hint="eastAsia" w:ascii="宋体" w:hAnsi="宋体" w:cs="宋体"/>
                <w:kern w:val="0"/>
                <w:szCs w:val="21"/>
              </w:rPr>
              <w:t>2000≤Y＜10000</w:t>
            </w:r>
          </w:p>
        </w:tc>
        <w:tc>
          <w:tcPr>
            <w:tcW w:w="1760" w:type="dxa"/>
            <w:tcBorders>
              <w:top w:val="nil"/>
              <w:left w:val="nil"/>
              <w:bottom w:val="single" w:color="auto" w:sz="4" w:space="0"/>
              <w:right w:val="single" w:color="auto" w:sz="4" w:space="0"/>
            </w:tcBorders>
            <w:vAlign w:val="center"/>
          </w:tcPr>
          <w:p w14:paraId="4A7222CA">
            <w:pPr>
              <w:widowControl/>
              <w:spacing w:line="400" w:lineRule="exact"/>
              <w:jc w:val="left"/>
              <w:rPr>
                <w:rFonts w:hint="eastAsia" w:ascii="宋体" w:hAnsi="宋体" w:cs="宋体"/>
                <w:kern w:val="0"/>
                <w:szCs w:val="21"/>
              </w:rPr>
            </w:pPr>
            <w:r>
              <w:rPr>
                <w:rFonts w:hint="eastAsia" w:ascii="宋体" w:hAnsi="宋体" w:cs="宋体"/>
                <w:kern w:val="0"/>
                <w:szCs w:val="21"/>
              </w:rPr>
              <w:t>100≤Y＜2000</w:t>
            </w:r>
          </w:p>
        </w:tc>
        <w:tc>
          <w:tcPr>
            <w:tcW w:w="1011" w:type="dxa"/>
            <w:tcBorders>
              <w:top w:val="nil"/>
              <w:left w:val="nil"/>
              <w:bottom w:val="single" w:color="auto" w:sz="4" w:space="0"/>
              <w:right w:val="single" w:color="auto" w:sz="4" w:space="0"/>
            </w:tcBorders>
            <w:vAlign w:val="center"/>
          </w:tcPr>
          <w:p w14:paraId="0D4D30CD">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0F6818BB">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53C56DDB">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餐饮业</w:t>
            </w:r>
          </w:p>
        </w:tc>
        <w:tc>
          <w:tcPr>
            <w:tcW w:w="1460" w:type="dxa"/>
            <w:tcBorders>
              <w:top w:val="nil"/>
              <w:left w:val="nil"/>
              <w:bottom w:val="single" w:color="auto" w:sz="4" w:space="0"/>
              <w:right w:val="single" w:color="auto" w:sz="4" w:space="0"/>
            </w:tcBorders>
            <w:vAlign w:val="center"/>
          </w:tcPr>
          <w:p w14:paraId="40BAA977">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22716EAD">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7741C021">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760" w:type="dxa"/>
            <w:tcBorders>
              <w:top w:val="nil"/>
              <w:left w:val="nil"/>
              <w:bottom w:val="single" w:color="auto" w:sz="4" w:space="0"/>
              <w:right w:val="single" w:color="auto" w:sz="4" w:space="0"/>
            </w:tcBorders>
            <w:vAlign w:val="center"/>
          </w:tcPr>
          <w:p w14:paraId="3E29725B">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79E768D3">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7C847650">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7B033BD6">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7251642D">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6694FF25">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87690E0">
            <w:pPr>
              <w:widowControl/>
              <w:spacing w:line="400" w:lineRule="exact"/>
              <w:jc w:val="left"/>
              <w:rPr>
                <w:rFonts w:hint="eastAsia" w:ascii="宋体" w:hAnsi="宋体" w:cs="宋体"/>
                <w:kern w:val="0"/>
                <w:szCs w:val="21"/>
              </w:rPr>
            </w:pPr>
            <w:r>
              <w:rPr>
                <w:rFonts w:hint="eastAsia" w:ascii="宋体" w:hAnsi="宋体" w:cs="宋体"/>
                <w:kern w:val="0"/>
                <w:szCs w:val="21"/>
              </w:rPr>
              <w:t>2000≤Y＜10000</w:t>
            </w:r>
          </w:p>
        </w:tc>
        <w:tc>
          <w:tcPr>
            <w:tcW w:w="1760" w:type="dxa"/>
            <w:tcBorders>
              <w:top w:val="nil"/>
              <w:left w:val="nil"/>
              <w:bottom w:val="single" w:color="auto" w:sz="4" w:space="0"/>
              <w:right w:val="single" w:color="auto" w:sz="4" w:space="0"/>
            </w:tcBorders>
            <w:vAlign w:val="center"/>
          </w:tcPr>
          <w:p w14:paraId="7B29A854">
            <w:pPr>
              <w:widowControl/>
              <w:spacing w:line="400" w:lineRule="exact"/>
              <w:jc w:val="left"/>
              <w:rPr>
                <w:rFonts w:hint="eastAsia" w:ascii="宋体" w:hAnsi="宋体" w:cs="宋体"/>
                <w:kern w:val="0"/>
                <w:szCs w:val="21"/>
              </w:rPr>
            </w:pPr>
            <w:r>
              <w:rPr>
                <w:rFonts w:hint="eastAsia" w:ascii="宋体" w:hAnsi="宋体" w:cs="宋体"/>
                <w:kern w:val="0"/>
                <w:szCs w:val="21"/>
              </w:rPr>
              <w:t>100≤Y＜2000</w:t>
            </w:r>
          </w:p>
        </w:tc>
        <w:tc>
          <w:tcPr>
            <w:tcW w:w="1011" w:type="dxa"/>
            <w:tcBorders>
              <w:top w:val="nil"/>
              <w:left w:val="nil"/>
              <w:bottom w:val="single" w:color="auto" w:sz="4" w:space="0"/>
              <w:right w:val="single" w:color="auto" w:sz="4" w:space="0"/>
            </w:tcBorders>
            <w:vAlign w:val="center"/>
          </w:tcPr>
          <w:p w14:paraId="39CB317A">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196C66D8">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16125615">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信息传输业</w:t>
            </w:r>
          </w:p>
        </w:tc>
        <w:tc>
          <w:tcPr>
            <w:tcW w:w="1460" w:type="dxa"/>
            <w:tcBorders>
              <w:top w:val="nil"/>
              <w:left w:val="nil"/>
              <w:bottom w:val="single" w:color="auto" w:sz="4" w:space="0"/>
              <w:right w:val="single" w:color="auto" w:sz="4" w:space="0"/>
            </w:tcBorders>
            <w:vAlign w:val="center"/>
          </w:tcPr>
          <w:p w14:paraId="5397C257">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53A1A40E">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23B9A13F">
            <w:pPr>
              <w:widowControl/>
              <w:spacing w:line="400" w:lineRule="exact"/>
              <w:jc w:val="left"/>
              <w:rPr>
                <w:rFonts w:hint="eastAsia" w:ascii="宋体" w:hAnsi="宋体" w:cs="宋体"/>
                <w:kern w:val="0"/>
                <w:szCs w:val="21"/>
              </w:rPr>
            </w:pPr>
            <w:r>
              <w:rPr>
                <w:rFonts w:hint="eastAsia" w:ascii="宋体" w:hAnsi="宋体" w:cs="宋体"/>
                <w:kern w:val="0"/>
                <w:szCs w:val="21"/>
              </w:rPr>
              <w:t>100≤X＜2000</w:t>
            </w:r>
          </w:p>
        </w:tc>
        <w:tc>
          <w:tcPr>
            <w:tcW w:w="1760" w:type="dxa"/>
            <w:tcBorders>
              <w:top w:val="nil"/>
              <w:left w:val="nil"/>
              <w:bottom w:val="single" w:color="auto" w:sz="4" w:space="0"/>
              <w:right w:val="single" w:color="auto" w:sz="4" w:space="0"/>
            </w:tcBorders>
            <w:vAlign w:val="center"/>
          </w:tcPr>
          <w:p w14:paraId="5B3B287B">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60AA6CF2">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453A95CD">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29852FDD">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5863C2D6">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3F132A13">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07045B93">
            <w:pPr>
              <w:widowControl/>
              <w:spacing w:line="400" w:lineRule="exact"/>
              <w:jc w:val="left"/>
              <w:rPr>
                <w:rFonts w:hint="eastAsia" w:ascii="宋体" w:hAnsi="宋体" w:cs="宋体"/>
                <w:kern w:val="0"/>
                <w:szCs w:val="21"/>
              </w:rPr>
            </w:pPr>
            <w:r>
              <w:rPr>
                <w:rFonts w:hint="eastAsia" w:ascii="宋体" w:hAnsi="宋体" w:cs="宋体"/>
                <w:kern w:val="0"/>
                <w:szCs w:val="21"/>
              </w:rPr>
              <w:t>1000≤Y＜100000</w:t>
            </w:r>
          </w:p>
        </w:tc>
        <w:tc>
          <w:tcPr>
            <w:tcW w:w="1760" w:type="dxa"/>
            <w:tcBorders>
              <w:top w:val="nil"/>
              <w:left w:val="nil"/>
              <w:bottom w:val="single" w:color="auto" w:sz="4" w:space="0"/>
              <w:right w:val="single" w:color="auto" w:sz="4" w:space="0"/>
            </w:tcBorders>
            <w:vAlign w:val="center"/>
          </w:tcPr>
          <w:p w14:paraId="44340F15">
            <w:pPr>
              <w:widowControl/>
              <w:spacing w:line="400" w:lineRule="exact"/>
              <w:jc w:val="left"/>
              <w:rPr>
                <w:rFonts w:hint="eastAsia" w:ascii="宋体" w:hAnsi="宋体" w:cs="宋体"/>
                <w:kern w:val="0"/>
                <w:szCs w:val="21"/>
              </w:rPr>
            </w:pPr>
            <w:r>
              <w:rPr>
                <w:rFonts w:hint="eastAsia" w:ascii="宋体" w:hAnsi="宋体" w:cs="宋体"/>
                <w:kern w:val="0"/>
                <w:szCs w:val="21"/>
              </w:rPr>
              <w:t>100≤Y＜1000</w:t>
            </w:r>
          </w:p>
        </w:tc>
        <w:tc>
          <w:tcPr>
            <w:tcW w:w="1011" w:type="dxa"/>
            <w:tcBorders>
              <w:top w:val="nil"/>
              <w:left w:val="nil"/>
              <w:bottom w:val="single" w:color="auto" w:sz="4" w:space="0"/>
              <w:right w:val="single" w:color="auto" w:sz="4" w:space="0"/>
            </w:tcBorders>
            <w:vAlign w:val="center"/>
          </w:tcPr>
          <w:p w14:paraId="05DF7246">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004EA61E">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6CAF281">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软件和信息技术服务业</w:t>
            </w:r>
          </w:p>
        </w:tc>
        <w:tc>
          <w:tcPr>
            <w:tcW w:w="1460" w:type="dxa"/>
            <w:tcBorders>
              <w:top w:val="nil"/>
              <w:left w:val="nil"/>
              <w:bottom w:val="single" w:color="auto" w:sz="4" w:space="0"/>
              <w:right w:val="single" w:color="auto" w:sz="4" w:space="0"/>
            </w:tcBorders>
            <w:vAlign w:val="center"/>
          </w:tcPr>
          <w:p w14:paraId="3207020F">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2328F2D0">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4EB4F351">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760" w:type="dxa"/>
            <w:tcBorders>
              <w:top w:val="nil"/>
              <w:left w:val="nil"/>
              <w:bottom w:val="single" w:color="auto" w:sz="4" w:space="0"/>
              <w:right w:val="single" w:color="auto" w:sz="4" w:space="0"/>
            </w:tcBorders>
            <w:vAlign w:val="center"/>
          </w:tcPr>
          <w:p w14:paraId="60A6B265">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1B7D17FD">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47D991AA">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7328DC13">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2779C0B8">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62156986">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27C12AB">
            <w:pPr>
              <w:widowControl/>
              <w:spacing w:line="400" w:lineRule="exact"/>
              <w:jc w:val="left"/>
              <w:rPr>
                <w:rFonts w:hint="eastAsia" w:ascii="宋体" w:hAnsi="宋体" w:cs="宋体"/>
                <w:kern w:val="0"/>
                <w:szCs w:val="21"/>
              </w:rPr>
            </w:pPr>
            <w:r>
              <w:rPr>
                <w:rFonts w:hint="eastAsia" w:ascii="宋体" w:hAnsi="宋体" w:cs="宋体"/>
                <w:kern w:val="0"/>
                <w:szCs w:val="21"/>
              </w:rPr>
              <w:t>1000≤Y＜10000</w:t>
            </w:r>
          </w:p>
        </w:tc>
        <w:tc>
          <w:tcPr>
            <w:tcW w:w="1760" w:type="dxa"/>
            <w:tcBorders>
              <w:top w:val="nil"/>
              <w:left w:val="nil"/>
              <w:bottom w:val="single" w:color="auto" w:sz="4" w:space="0"/>
              <w:right w:val="single" w:color="auto" w:sz="4" w:space="0"/>
            </w:tcBorders>
            <w:vAlign w:val="center"/>
          </w:tcPr>
          <w:p w14:paraId="16EF2074">
            <w:pPr>
              <w:widowControl/>
              <w:spacing w:line="400" w:lineRule="exact"/>
              <w:jc w:val="left"/>
              <w:rPr>
                <w:rFonts w:hint="eastAsia" w:ascii="宋体" w:hAnsi="宋体" w:cs="宋体"/>
                <w:kern w:val="0"/>
                <w:szCs w:val="21"/>
              </w:rPr>
            </w:pPr>
            <w:r>
              <w:rPr>
                <w:rFonts w:hint="eastAsia" w:ascii="宋体" w:hAnsi="宋体" w:cs="宋体"/>
                <w:kern w:val="0"/>
                <w:szCs w:val="21"/>
              </w:rPr>
              <w:t>50≤Y＜1000</w:t>
            </w:r>
          </w:p>
        </w:tc>
        <w:tc>
          <w:tcPr>
            <w:tcW w:w="1011" w:type="dxa"/>
            <w:tcBorders>
              <w:top w:val="nil"/>
              <w:left w:val="nil"/>
              <w:bottom w:val="single" w:color="auto" w:sz="4" w:space="0"/>
              <w:right w:val="single" w:color="auto" w:sz="4" w:space="0"/>
            </w:tcBorders>
            <w:vAlign w:val="center"/>
          </w:tcPr>
          <w:p w14:paraId="7666D40E">
            <w:pPr>
              <w:widowControl/>
              <w:spacing w:line="400" w:lineRule="exact"/>
              <w:jc w:val="left"/>
              <w:rPr>
                <w:rFonts w:hint="eastAsia" w:ascii="宋体" w:hAnsi="宋体" w:cs="宋体"/>
                <w:kern w:val="0"/>
                <w:szCs w:val="21"/>
              </w:rPr>
            </w:pPr>
            <w:r>
              <w:rPr>
                <w:rFonts w:hint="eastAsia" w:ascii="宋体" w:hAnsi="宋体" w:cs="宋体"/>
                <w:kern w:val="0"/>
                <w:szCs w:val="21"/>
              </w:rPr>
              <w:t>Y＜50</w:t>
            </w:r>
          </w:p>
        </w:tc>
      </w:tr>
      <w:tr w14:paraId="2629D52E">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2FB40495">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房地产开发经营</w:t>
            </w:r>
          </w:p>
        </w:tc>
        <w:tc>
          <w:tcPr>
            <w:tcW w:w="1460" w:type="dxa"/>
            <w:tcBorders>
              <w:top w:val="nil"/>
              <w:left w:val="nil"/>
              <w:bottom w:val="single" w:color="auto" w:sz="4" w:space="0"/>
              <w:right w:val="single" w:color="auto" w:sz="4" w:space="0"/>
            </w:tcBorders>
            <w:vAlign w:val="center"/>
          </w:tcPr>
          <w:p w14:paraId="2430D3C2">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693C1615">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4AC1FBBD">
            <w:pPr>
              <w:widowControl/>
              <w:spacing w:line="400" w:lineRule="exact"/>
              <w:jc w:val="left"/>
              <w:rPr>
                <w:rFonts w:hint="eastAsia" w:ascii="宋体" w:hAnsi="宋体" w:cs="宋体"/>
                <w:kern w:val="0"/>
                <w:szCs w:val="21"/>
              </w:rPr>
            </w:pPr>
            <w:r>
              <w:rPr>
                <w:rFonts w:hint="eastAsia" w:ascii="宋体" w:hAnsi="宋体" w:cs="宋体"/>
                <w:kern w:val="0"/>
                <w:szCs w:val="21"/>
              </w:rPr>
              <w:t>1000≤Y＜200000</w:t>
            </w:r>
          </w:p>
        </w:tc>
        <w:tc>
          <w:tcPr>
            <w:tcW w:w="1760" w:type="dxa"/>
            <w:tcBorders>
              <w:top w:val="nil"/>
              <w:left w:val="nil"/>
              <w:bottom w:val="single" w:color="auto" w:sz="4" w:space="0"/>
              <w:right w:val="single" w:color="auto" w:sz="4" w:space="0"/>
            </w:tcBorders>
            <w:vAlign w:val="center"/>
          </w:tcPr>
          <w:p w14:paraId="5A481300">
            <w:pPr>
              <w:widowControl/>
              <w:spacing w:line="400" w:lineRule="exact"/>
              <w:jc w:val="left"/>
              <w:rPr>
                <w:rFonts w:hint="eastAsia" w:ascii="宋体" w:hAnsi="宋体" w:cs="宋体"/>
                <w:kern w:val="0"/>
                <w:szCs w:val="21"/>
              </w:rPr>
            </w:pPr>
            <w:r>
              <w:rPr>
                <w:rFonts w:hint="eastAsia" w:ascii="宋体" w:hAnsi="宋体" w:cs="宋体"/>
                <w:kern w:val="0"/>
                <w:szCs w:val="21"/>
              </w:rPr>
              <w:t>100≤X＜1000</w:t>
            </w:r>
          </w:p>
        </w:tc>
        <w:tc>
          <w:tcPr>
            <w:tcW w:w="1011" w:type="dxa"/>
            <w:tcBorders>
              <w:top w:val="nil"/>
              <w:left w:val="nil"/>
              <w:bottom w:val="single" w:color="auto" w:sz="4" w:space="0"/>
              <w:right w:val="single" w:color="auto" w:sz="4" w:space="0"/>
            </w:tcBorders>
            <w:vAlign w:val="center"/>
          </w:tcPr>
          <w:p w14:paraId="3829D832">
            <w:pPr>
              <w:widowControl/>
              <w:spacing w:line="400" w:lineRule="exact"/>
              <w:jc w:val="left"/>
              <w:rPr>
                <w:rFonts w:hint="eastAsia" w:ascii="宋体" w:hAnsi="宋体" w:cs="宋体"/>
                <w:kern w:val="0"/>
                <w:szCs w:val="21"/>
              </w:rPr>
            </w:pPr>
            <w:r>
              <w:rPr>
                <w:rFonts w:hint="eastAsia" w:ascii="宋体" w:hAnsi="宋体" w:cs="宋体"/>
                <w:kern w:val="0"/>
                <w:szCs w:val="21"/>
              </w:rPr>
              <w:t>X＜100</w:t>
            </w:r>
          </w:p>
        </w:tc>
      </w:tr>
      <w:tr w14:paraId="4E13BE3F">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786F100D">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7E1FCBD8">
            <w:pPr>
              <w:widowControl/>
              <w:spacing w:line="400" w:lineRule="exact"/>
              <w:jc w:val="left"/>
              <w:rPr>
                <w:rFonts w:hint="eastAsia" w:ascii="宋体" w:hAnsi="宋体" w:cs="宋体"/>
                <w:kern w:val="0"/>
                <w:szCs w:val="21"/>
              </w:rPr>
            </w:pPr>
            <w:r>
              <w:rPr>
                <w:rFonts w:hint="eastAsia" w:ascii="宋体" w:hAnsi="宋体" w:cs="宋体"/>
                <w:kern w:val="0"/>
                <w:szCs w:val="21"/>
              </w:rPr>
              <w:t>资产总额（Z）</w:t>
            </w:r>
          </w:p>
        </w:tc>
        <w:tc>
          <w:tcPr>
            <w:tcW w:w="1123" w:type="dxa"/>
            <w:tcBorders>
              <w:top w:val="nil"/>
              <w:left w:val="nil"/>
              <w:bottom w:val="single" w:color="auto" w:sz="4" w:space="0"/>
              <w:right w:val="single" w:color="auto" w:sz="4" w:space="0"/>
            </w:tcBorders>
            <w:vAlign w:val="center"/>
          </w:tcPr>
          <w:p w14:paraId="0D98816B">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2C64D2DD">
            <w:pPr>
              <w:widowControl/>
              <w:spacing w:line="400" w:lineRule="exact"/>
              <w:jc w:val="left"/>
              <w:rPr>
                <w:rFonts w:hint="eastAsia" w:ascii="宋体" w:hAnsi="宋体" w:cs="宋体"/>
                <w:kern w:val="0"/>
                <w:szCs w:val="21"/>
              </w:rPr>
            </w:pPr>
            <w:r>
              <w:rPr>
                <w:rFonts w:hint="eastAsia" w:ascii="宋体" w:hAnsi="宋体" w:cs="宋体"/>
                <w:kern w:val="0"/>
                <w:szCs w:val="21"/>
              </w:rPr>
              <w:t>5000≤Z＜10000</w:t>
            </w:r>
          </w:p>
        </w:tc>
        <w:tc>
          <w:tcPr>
            <w:tcW w:w="1760" w:type="dxa"/>
            <w:tcBorders>
              <w:top w:val="nil"/>
              <w:left w:val="nil"/>
              <w:bottom w:val="single" w:color="auto" w:sz="4" w:space="0"/>
              <w:right w:val="single" w:color="auto" w:sz="4" w:space="0"/>
            </w:tcBorders>
            <w:vAlign w:val="center"/>
          </w:tcPr>
          <w:p w14:paraId="3274CA64">
            <w:pPr>
              <w:widowControl/>
              <w:spacing w:line="400" w:lineRule="exact"/>
              <w:jc w:val="left"/>
              <w:rPr>
                <w:rFonts w:hint="eastAsia" w:ascii="宋体" w:hAnsi="宋体" w:cs="宋体"/>
                <w:kern w:val="0"/>
                <w:szCs w:val="21"/>
              </w:rPr>
            </w:pPr>
            <w:r>
              <w:rPr>
                <w:rFonts w:hint="eastAsia" w:ascii="宋体" w:hAnsi="宋体" w:cs="宋体"/>
                <w:kern w:val="0"/>
                <w:szCs w:val="21"/>
              </w:rPr>
              <w:t>2000≤Y＜5000</w:t>
            </w:r>
          </w:p>
        </w:tc>
        <w:tc>
          <w:tcPr>
            <w:tcW w:w="1011" w:type="dxa"/>
            <w:tcBorders>
              <w:top w:val="nil"/>
              <w:left w:val="nil"/>
              <w:bottom w:val="single" w:color="auto" w:sz="4" w:space="0"/>
              <w:right w:val="single" w:color="auto" w:sz="4" w:space="0"/>
            </w:tcBorders>
            <w:vAlign w:val="center"/>
          </w:tcPr>
          <w:p w14:paraId="640D9B09">
            <w:pPr>
              <w:widowControl/>
              <w:spacing w:line="400" w:lineRule="exact"/>
              <w:jc w:val="left"/>
              <w:rPr>
                <w:rFonts w:hint="eastAsia" w:ascii="宋体" w:hAnsi="宋体" w:cs="宋体"/>
                <w:kern w:val="0"/>
                <w:szCs w:val="21"/>
              </w:rPr>
            </w:pPr>
            <w:r>
              <w:rPr>
                <w:rFonts w:hint="eastAsia" w:ascii="宋体" w:hAnsi="宋体" w:cs="宋体"/>
                <w:kern w:val="0"/>
                <w:szCs w:val="21"/>
              </w:rPr>
              <w:t>Y＜2000</w:t>
            </w:r>
          </w:p>
        </w:tc>
      </w:tr>
      <w:tr w14:paraId="6988FEEF">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384ECF20">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物业管理</w:t>
            </w:r>
          </w:p>
        </w:tc>
        <w:tc>
          <w:tcPr>
            <w:tcW w:w="1460" w:type="dxa"/>
            <w:tcBorders>
              <w:top w:val="nil"/>
              <w:left w:val="nil"/>
              <w:bottom w:val="single" w:color="auto" w:sz="4" w:space="0"/>
              <w:right w:val="single" w:color="auto" w:sz="4" w:space="0"/>
            </w:tcBorders>
            <w:vAlign w:val="center"/>
          </w:tcPr>
          <w:p w14:paraId="597BC8E3">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3DC906F8">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3B3D3FF3">
            <w:pPr>
              <w:widowControl/>
              <w:spacing w:line="400" w:lineRule="exact"/>
              <w:jc w:val="left"/>
              <w:rPr>
                <w:rFonts w:hint="eastAsia" w:ascii="宋体" w:hAnsi="宋体" w:cs="宋体"/>
                <w:kern w:val="0"/>
                <w:szCs w:val="21"/>
              </w:rPr>
            </w:pPr>
            <w:r>
              <w:rPr>
                <w:rFonts w:hint="eastAsia" w:ascii="宋体" w:hAnsi="宋体" w:cs="宋体"/>
                <w:kern w:val="0"/>
                <w:szCs w:val="21"/>
              </w:rPr>
              <w:t>300≤X＜1000</w:t>
            </w:r>
          </w:p>
        </w:tc>
        <w:tc>
          <w:tcPr>
            <w:tcW w:w="1760" w:type="dxa"/>
            <w:tcBorders>
              <w:top w:val="nil"/>
              <w:left w:val="nil"/>
              <w:bottom w:val="single" w:color="auto" w:sz="4" w:space="0"/>
              <w:right w:val="single" w:color="auto" w:sz="4" w:space="0"/>
            </w:tcBorders>
            <w:vAlign w:val="center"/>
          </w:tcPr>
          <w:p w14:paraId="12A400AC">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011" w:type="dxa"/>
            <w:tcBorders>
              <w:top w:val="nil"/>
              <w:left w:val="nil"/>
              <w:bottom w:val="single" w:color="auto" w:sz="4" w:space="0"/>
              <w:right w:val="single" w:color="auto" w:sz="4" w:space="0"/>
            </w:tcBorders>
            <w:vAlign w:val="center"/>
          </w:tcPr>
          <w:p w14:paraId="2D37BE36">
            <w:pPr>
              <w:widowControl/>
              <w:spacing w:line="400" w:lineRule="exact"/>
              <w:jc w:val="left"/>
              <w:rPr>
                <w:rFonts w:hint="eastAsia" w:ascii="宋体" w:hAnsi="宋体" w:cs="宋体"/>
                <w:kern w:val="0"/>
                <w:szCs w:val="21"/>
              </w:rPr>
            </w:pPr>
            <w:r>
              <w:rPr>
                <w:rFonts w:hint="eastAsia" w:ascii="宋体" w:hAnsi="宋体" w:cs="宋体"/>
                <w:kern w:val="0"/>
                <w:szCs w:val="21"/>
              </w:rPr>
              <w:t>X＜100</w:t>
            </w:r>
          </w:p>
        </w:tc>
      </w:tr>
      <w:tr w14:paraId="68FE82AF">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1D27B69B">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79F2A4ED">
            <w:pPr>
              <w:widowControl/>
              <w:spacing w:line="400" w:lineRule="exact"/>
              <w:jc w:val="left"/>
              <w:rPr>
                <w:rFonts w:hint="eastAsia" w:ascii="宋体" w:hAnsi="宋体" w:cs="宋体"/>
                <w:kern w:val="0"/>
                <w:szCs w:val="21"/>
              </w:rPr>
            </w:pPr>
            <w:r>
              <w:rPr>
                <w:rFonts w:hint="eastAsia" w:ascii="宋体" w:hAnsi="宋体" w:cs="宋体"/>
                <w:kern w:val="0"/>
                <w:szCs w:val="21"/>
              </w:rPr>
              <w:t>营业收入（Y）</w:t>
            </w:r>
          </w:p>
        </w:tc>
        <w:tc>
          <w:tcPr>
            <w:tcW w:w="1123" w:type="dxa"/>
            <w:tcBorders>
              <w:top w:val="nil"/>
              <w:left w:val="nil"/>
              <w:bottom w:val="single" w:color="auto" w:sz="4" w:space="0"/>
              <w:right w:val="single" w:color="auto" w:sz="4" w:space="0"/>
            </w:tcBorders>
            <w:vAlign w:val="center"/>
          </w:tcPr>
          <w:p w14:paraId="2D13DCAD">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2A0C8A69">
            <w:pPr>
              <w:widowControl/>
              <w:spacing w:line="400" w:lineRule="exact"/>
              <w:jc w:val="left"/>
              <w:rPr>
                <w:rFonts w:hint="eastAsia" w:ascii="宋体" w:hAnsi="宋体" w:cs="宋体"/>
                <w:kern w:val="0"/>
                <w:szCs w:val="21"/>
              </w:rPr>
            </w:pPr>
            <w:r>
              <w:rPr>
                <w:rFonts w:hint="eastAsia" w:ascii="宋体" w:hAnsi="宋体" w:cs="宋体"/>
                <w:kern w:val="0"/>
                <w:szCs w:val="21"/>
              </w:rPr>
              <w:t>1000≤Y＜5000</w:t>
            </w:r>
          </w:p>
        </w:tc>
        <w:tc>
          <w:tcPr>
            <w:tcW w:w="1760" w:type="dxa"/>
            <w:tcBorders>
              <w:top w:val="nil"/>
              <w:left w:val="nil"/>
              <w:bottom w:val="single" w:color="auto" w:sz="4" w:space="0"/>
              <w:right w:val="single" w:color="auto" w:sz="4" w:space="0"/>
            </w:tcBorders>
            <w:vAlign w:val="center"/>
          </w:tcPr>
          <w:p w14:paraId="2B9EA51F">
            <w:pPr>
              <w:widowControl/>
              <w:spacing w:line="400" w:lineRule="exact"/>
              <w:jc w:val="left"/>
              <w:rPr>
                <w:rFonts w:hint="eastAsia" w:ascii="宋体" w:hAnsi="宋体" w:cs="宋体"/>
                <w:kern w:val="0"/>
                <w:szCs w:val="21"/>
              </w:rPr>
            </w:pPr>
            <w:r>
              <w:rPr>
                <w:rFonts w:hint="eastAsia" w:ascii="宋体" w:hAnsi="宋体" w:cs="宋体"/>
                <w:kern w:val="0"/>
                <w:szCs w:val="21"/>
              </w:rPr>
              <w:t>500≤Y＜1000</w:t>
            </w:r>
          </w:p>
        </w:tc>
        <w:tc>
          <w:tcPr>
            <w:tcW w:w="1011" w:type="dxa"/>
            <w:tcBorders>
              <w:top w:val="nil"/>
              <w:left w:val="nil"/>
              <w:bottom w:val="single" w:color="auto" w:sz="4" w:space="0"/>
              <w:right w:val="single" w:color="auto" w:sz="4" w:space="0"/>
            </w:tcBorders>
            <w:vAlign w:val="center"/>
          </w:tcPr>
          <w:p w14:paraId="5C0DA640">
            <w:pPr>
              <w:widowControl/>
              <w:spacing w:line="400" w:lineRule="exact"/>
              <w:jc w:val="left"/>
              <w:rPr>
                <w:rFonts w:hint="eastAsia" w:ascii="宋体" w:hAnsi="宋体" w:cs="宋体"/>
                <w:kern w:val="0"/>
                <w:szCs w:val="21"/>
              </w:rPr>
            </w:pPr>
            <w:r>
              <w:rPr>
                <w:rFonts w:hint="eastAsia" w:ascii="宋体" w:hAnsi="宋体" w:cs="宋体"/>
                <w:kern w:val="0"/>
                <w:szCs w:val="21"/>
              </w:rPr>
              <w:t>Y＜500</w:t>
            </w:r>
          </w:p>
        </w:tc>
      </w:tr>
      <w:tr w14:paraId="4B9C5787">
        <w:tblPrEx>
          <w:tblCellMar>
            <w:top w:w="0" w:type="dxa"/>
            <w:left w:w="108" w:type="dxa"/>
            <w:bottom w:w="0" w:type="dxa"/>
            <w:right w:w="108" w:type="dxa"/>
          </w:tblCellMar>
        </w:tblPrEx>
        <w:trPr>
          <w:trHeight w:val="225" w:hRule="atLeast"/>
        </w:trPr>
        <w:tc>
          <w:tcPr>
            <w:tcW w:w="1445" w:type="dxa"/>
            <w:vMerge w:val="restart"/>
            <w:tcBorders>
              <w:top w:val="nil"/>
              <w:left w:val="single" w:color="auto" w:sz="4" w:space="0"/>
              <w:bottom w:val="single" w:color="auto" w:sz="4" w:space="0"/>
              <w:right w:val="single" w:color="auto" w:sz="4" w:space="0"/>
            </w:tcBorders>
            <w:vAlign w:val="center"/>
          </w:tcPr>
          <w:p w14:paraId="378D359C">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租赁和商务服务业</w:t>
            </w:r>
          </w:p>
        </w:tc>
        <w:tc>
          <w:tcPr>
            <w:tcW w:w="1460" w:type="dxa"/>
            <w:tcBorders>
              <w:top w:val="nil"/>
              <w:left w:val="nil"/>
              <w:bottom w:val="single" w:color="auto" w:sz="4" w:space="0"/>
              <w:right w:val="single" w:color="auto" w:sz="4" w:space="0"/>
            </w:tcBorders>
            <w:vAlign w:val="center"/>
          </w:tcPr>
          <w:p w14:paraId="7A4A1F1B">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36966B56">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3CB150AF">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760" w:type="dxa"/>
            <w:tcBorders>
              <w:top w:val="nil"/>
              <w:left w:val="nil"/>
              <w:bottom w:val="single" w:color="auto" w:sz="4" w:space="0"/>
              <w:right w:val="single" w:color="auto" w:sz="4" w:space="0"/>
            </w:tcBorders>
            <w:vAlign w:val="center"/>
          </w:tcPr>
          <w:p w14:paraId="72E4ACC4">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3ED494B0">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r w14:paraId="25D61A69">
        <w:tblPrEx>
          <w:tblCellMar>
            <w:top w:w="0" w:type="dxa"/>
            <w:left w:w="108" w:type="dxa"/>
            <w:bottom w:w="0" w:type="dxa"/>
            <w:right w:w="108" w:type="dxa"/>
          </w:tblCellMar>
        </w:tblPrEx>
        <w:trPr>
          <w:trHeight w:val="225" w:hRule="atLeast"/>
        </w:trPr>
        <w:tc>
          <w:tcPr>
            <w:tcW w:w="1445" w:type="dxa"/>
            <w:vMerge w:val="continue"/>
            <w:tcBorders>
              <w:top w:val="nil"/>
              <w:left w:val="single" w:color="auto" w:sz="4" w:space="0"/>
              <w:bottom w:val="single" w:color="auto" w:sz="4" w:space="0"/>
              <w:right w:val="single" w:color="auto" w:sz="4" w:space="0"/>
            </w:tcBorders>
            <w:vAlign w:val="center"/>
          </w:tcPr>
          <w:p w14:paraId="51598D82">
            <w:pPr>
              <w:widowControl/>
              <w:spacing w:line="400" w:lineRule="exact"/>
              <w:jc w:val="center"/>
              <w:rPr>
                <w:rFonts w:hint="eastAsia" w:ascii="宋体" w:hAnsi="宋体" w:cs="宋体"/>
                <w:b/>
                <w:bCs/>
                <w:kern w:val="0"/>
                <w:szCs w:val="21"/>
              </w:rPr>
            </w:pPr>
          </w:p>
        </w:tc>
        <w:tc>
          <w:tcPr>
            <w:tcW w:w="1460" w:type="dxa"/>
            <w:tcBorders>
              <w:top w:val="nil"/>
              <w:left w:val="nil"/>
              <w:bottom w:val="single" w:color="auto" w:sz="4" w:space="0"/>
              <w:right w:val="single" w:color="auto" w:sz="4" w:space="0"/>
            </w:tcBorders>
            <w:vAlign w:val="center"/>
          </w:tcPr>
          <w:p w14:paraId="36936861">
            <w:pPr>
              <w:widowControl/>
              <w:spacing w:line="400" w:lineRule="exact"/>
              <w:jc w:val="left"/>
              <w:rPr>
                <w:rFonts w:hint="eastAsia" w:ascii="宋体" w:hAnsi="宋体" w:cs="宋体"/>
                <w:kern w:val="0"/>
                <w:szCs w:val="21"/>
              </w:rPr>
            </w:pPr>
            <w:r>
              <w:rPr>
                <w:rFonts w:hint="eastAsia" w:ascii="宋体" w:hAnsi="宋体" w:cs="宋体"/>
                <w:kern w:val="0"/>
                <w:szCs w:val="21"/>
              </w:rPr>
              <w:t>资产总额（Z）</w:t>
            </w:r>
          </w:p>
        </w:tc>
        <w:tc>
          <w:tcPr>
            <w:tcW w:w="1123" w:type="dxa"/>
            <w:tcBorders>
              <w:top w:val="nil"/>
              <w:left w:val="nil"/>
              <w:bottom w:val="single" w:color="auto" w:sz="4" w:space="0"/>
              <w:right w:val="single" w:color="auto" w:sz="4" w:space="0"/>
            </w:tcBorders>
            <w:vAlign w:val="center"/>
          </w:tcPr>
          <w:p w14:paraId="0DAF40E1">
            <w:pPr>
              <w:widowControl/>
              <w:spacing w:line="400" w:lineRule="exact"/>
              <w:jc w:val="left"/>
              <w:rPr>
                <w:rFonts w:hint="eastAsia" w:ascii="宋体" w:hAnsi="宋体" w:cs="宋体"/>
                <w:kern w:val="0"/>
                <w:szCs w:val="21"/>
              </w:rPr>
            </w:pPr>
            <w:r>
              <w:rPr>
                <w:rFonts w:hint="eastAsia" w:ascii="宋体" w:hAnsi="宋体" w:cs="宋体"/>
                <w:kern w:val="0"/>
                <w:szCs w:val="21"/>
              </w:rPr>
              <w:t>万元</w:t>
            </w:r>
          </w:p>
        </w:tc>
        <w:tc>
          <w:tcPr>
            <w:tcW w:w="1907" w:type="dxa"/>
            <w:tcBorders>
              <w:top w:val="nil"/>
              <w:left w:val="nil"/>
              <w:bottom w:val="single" w:color="auto" w:sz="4" w:space="0"/>
              <w:right w:val="single" w:color="auto" w:sz="4" w:space="0"/>
            </w:tcBorders>
            <w:vAlign w:val="center"/>
          </w:tcPr>
          <w:p w14:paraId="74227184">
            <w:pPr>
              <w:widowControl/>
              <w:spacing w:line="400" w:lineRule="exact"/>
              <w:jc w:val="left"/>
              <w:rPr>
                <w:rFonts w:hint="eastAsia" w:ascii="宋体" w:hAnsi="宋体" w:cs="宋体"/>
                <w:kern w:val="0"/>
                <w:szCs w:val="21"/>
              </w:rPr>
            </w:pPr>
            <w:r>
              <w:rPr>
                <w:rFonts w:hint="eastAsia" w:ascii="宋体" w:hAnsi="宋体" w:cs="宋体"/>
                <w:kern w:val="0"/>
                <w:szCs w:val="21"/>
              </w:rPr>
              <w:t>8000≤Z＜120000</w:t>
            </w:r>
          </w:p>
        </w:tc>
        <w:tc>
          <w:tcPr>
            <w:tcW w:w="1760" w:type="dxa"/>
            <w:tcBorders>
              <w:top w:val="nil"/>
              <w:left w:val="nil"/>
              <w:bottom w:val="single" w:color="auto" w:sz="4" w:space="0"/>
              <w:right w:val="single" w:color="auto" w:sz="4" w:space="0"/>
            </w:tcBorders>
            <w:vAlign w:val="center"/>
          </w:tcPr>
          <w:p w14:paraId="1BEF815E">
            <w:pPr>
              <w:widowControl/>
              <w:spacing w:line="400" w:lineRule="exact"/>
              <w:jc w:val="left"/>
              <w:rPr>
                <w:rFonts w:hint="eastAsia" w:ascii="宋体" w:hAnsi="宋体" w:cs="宋体"/>
                <w:kern w:val="0"/>
                <w:szCs w:val="21"/>
              </w:rPr>
            </w:pPr>
            <w:r>
              <w:rPr>
                <w:rFonts w:hint="eastAsia" w:ascii="宋体" w:hAnsi="宋体" w:cs="宋体"/>
                <w:kern w:val="0"/>
                <w:szCs w:val="21"/>
              </w:rPr>
              <w:t>100≤Z＜8000</w:t>
            </w:r>
          </w:p>
        </w:tc>
        <w:tc>
          <w:tcPr>
            <w:tcW w:w="1011" w:type="dxa"/>
            <w:tcBorders>
              <w:top w:val="nil"/>
              <w:left w:val="nil"/>
              <w:bottom w:val="single" w:color="auto" w:sz="4" w:space="0"/>
              <w:right w:val="single" w:color="auto" w:sz="4" w:space="0"/>
            </w:tcBorders>
            <w:vAlign w:val="center"/>
          </w:tcPr>
          <w:p w14:paraId="3D368543">
            <w:pPr>
              <w:widowControl/>
              <w:spacing w:line="400" w:lineRule="exact"/>
              <w:jc w:val="left"/>
              <w:rPr>
                <w:rFonts w:hint="eastAsia" w:ascii="宋体" w:hAnsi="宋体" w:cs="宋体"/>
                <w:kern w:val="0"/>
                <w:szCs w:val="21"/>
              </w:rPr>
            </w:pPr>
            <w:r>
              <w:rPr>
                <w:rFonts w:hint="eastAsia" w:ascii="宋体" w:hAnsi="宋体" w:cs="宋体"/>
                <w:kern w:val="0"/>
                <w:szCs w:val="21"/>
              </w:rPr>
              <w:t>Y＜100</w:t>
            </w:r>
          </w:p>
        </w:tc>
      </w:tr>
      <w:tr w14:paraId="2452D10A">
        <w:tblPrEx>
          <w:tblCellMar>
            <w:top w:w="0" w:type="dxa"/>
            <w:left w:w="108" w:type="dxa"/>
            <w:bottom w:w="0" w:type="dxa"/>
            <w:right w:w="108" w:type="dxa"/>
          </w:tblCellMar>
        </w:tblPrEx>
        <w:trPr>
          <w:trHeight w:val="225" w:hRule="atLeast"/>
        </w:trPr>
        <w:tc>
          <w:tcPr>
            <w:tcW w:w="1445" w:type="dxa"/>
            <w:tcBorders>
              <w:top w:val="nil"/>
              <w:left w:val="single" w:color="auto" w:sz="4" w:space="0"/>
              <w:bottom w:val="single" w:color="auto" w:sz="4" w:space="0"/>
              <w:right w:val="single" w:color="auto" w:sz="4" w:space="0"/>
            </w:tcBorders>
            <w:vAlign w:val="center"/>
          </w:tcPr>
          <w:p w14:paraId="0D0DCF43">
            <w:pPr>
              <w:widowControl/>
              <w:spacing w:line="400" w:lineRule="exact"/>
              <w:jc w:val="center"/>
              <w:rPr>
                <w:rFonts w:hint="eastAsia" w:ascii="宋体" w:hAnsi="宋体" w:cs="宋体"/>
                <w:b/>
                <w:bCs/>
                <w:kern w:val="0"/>
                <w:szCs w:val="21"/>
              </w:rPr>
            </w:pPr>
            <w:r>
              <w:rPr>
                <w:rFonts w:hint="eastAsia" w:ascii="宋体" w:hAnsi="宋体" w:cs="宋体"/>
                <w:b/>
                <w:bCs/>
                <w:kern w:val="0"/>
                <w:szCs w:val="21"/>
              </w:rPr>
              <w:t>其他未列明行业</w:t>
            </w:r>
          </w:p>
        </w:tc>
        <w:tc>
          <w:tcPr>
            <w:tcW w:w="1460" w:type="dxa"/>
            <w:tcBorders>
              <w:top w:val="nil"/>
              <w:left w:val="nil"/>
              <w:bottom w:val="single" w:color="auto" w:sz="4" w:space="0"/>
              <w:right w:val="single" w:color="auto" w:sz="4" w:space="0"/>
            </w:tcBorders>
            <w:vAlign w:val="center"/>
          </w:tcPr>
          <w:p w14:paraId="3800247C">
            <w:pPr>
              <w:widowControl/>
              <w:spacing w:line="400" w:lineRule="exact"/>
              <w:jc w:val="left"/>
              <w:rPr>
                <w:rFonts w:hint="eastAsia" w:ascii="宋体" w:hAnsi="宋体" w:cs="宋体"/>
                <w:kern w:val="0"/>
                <w:szCs w:val="21"/>
              </w:rPr>
            </w:pPr>
            <w:r>
              <w:rPr>
                <w:rFonts w:hint="eastAsia" w:ascii="宋体" w:hAnsi="宋体" w:cs="宋体"/>
                <w:kern w:val="0"/>
                <w:szCs w:val="21"/>
              </w:rPr>
              <w:t>从业人员（X）</w:t>
            </w:r>
          </w:p>
        </w:tc>
        <w:tc>
          <w:tcPr>
            <w:tcW w:w="1123" w:type="dxa"/>
            <w:tcBorders>
              <w:top w:val="nil"/>
              <w:left w:val="nil"/>
              <w:bottom w:val="single" w:color="auto" w:sz="4" w:space="0"/>
              <w:right w:val="single" w:color="auto" w:sz="4" w:space="0"/>
            </w:tcBorders>
            <w:vAlign w:val="center"/>
          </w:tcPr>
          <w:p w14:paraId="4BD94C5E">
            <w:pPr>
              <w:widowControl/>
              <w:spacing w:line="400" w:lineRule="exact"/>
              <w:jc w:val="left"/>
              <w:rPr>
                <w:rFonts w:hint="eastAsia" w:ascii="宋体" w:hAnsi="宋体" w:cs="宋体"/>
                <w:kern w:val="0"/>
                <w:szCs w:val="21"/>
              </w:rPr>
            </w:pPr>
            <w:r>
              <w:rPr>
                <w:rFonts w:hint="eastAsia" w:ascii="宋体" w:hAnsi="宋体" w:cs="宋体"/>
                <w:kern w:val="0"/>
                <w:szCs w:val="21"/>
              </w:rPr>
              <w:t>人</w:t>
            </w:r>
          </w:p>
        </w:tc>
        <w:tc>
          <w:tcPr>
            <w:tcW w:w="1907" w:type="dxa"/>
            <w:tcBorders>
              <w:top w:val="nil"/>
              <w:left w:val="nil"/>
              <w:bottom w:val="single" w:color="auto" w:sz="4" w:space="0"/>
              <w:right w:val="single" w:color="auto" w:sz="4" w:space="0"/>
            </w:tcBorders>
            <w:vAlign w:val="center"/>
          </w:tcPr>
          <w:p w14:paraId="5158CEB4">
            <w:pPr>
              <w:widowControl/>
              <w:spacing w:line="400" w:lineRule="exact"/>
              <w:jc w:val="left"/>
              <w:rPr>
                <w:rFonts w:hint="eastAsia" w:ascii="宋体" w:hAnsi="宋体" w:cs="宋体"/>
                <w:kern w:val="0"/>
                <w:szCs w:val="21"/>
              </w:rPr>
            </w:pPr>
            <w:r>
              <w:rPr>
                <w:rFonts w:hint="eastAsia" w:ascii="宋体" w:hAnsi="宋体" w:cs="宋体"/>
                <w:kern w:val="0"/>
                <w:szCs w:val="21"/>
              </w:rPr>
              <w:t>100≤X＜300</w:t>
            </w:r>
          </w:p>
        </w:tc>
        <w:tc>
          <w:tcPr>
            <w:tcW w:w="1760" w:type="dxa"/>
            <w:tcBorders>
              <w:top w:val="nil"/>
              <w:left w:val="nil"/>
              <w:bottom w:val="single" w:color="auto" w:sz="4" w:space="0"/>
              <w:right w:val="single" w:color="auto" w:sz="4" w:space="0"/>
            </w:tcBorders>
            <w:vAlign w:val="center"/>
          </w:tcPr>
          <w:p w14:paraId="4E5FC38F">
            <w:pPr>
              <w:widowControl/>
              <w:spacing w:line="400" w:lineRule="exact"/>
              <w:jc w:val="left"/>
              <w:rPr>
                <w:rFonts w:hint="eastAsia" w:ascii="宋体" w:hAnsi="宋体" w:cs="宋体"/>
                <w:kern w:val="0"/>
                <w:szCs w:val="21"/>
              </w:rPr>
            </w:pPr>
            <w:r>
              <w:rPr>
                <w:rFonts w:hint="eastAsia" w:ascii="宋体" w:hAnsi="宋体" w:cs="宋体"/>
                <w:kern w:val="0"/>
                <w:szCs w:val="21"/>
              </w:rPr>
              <w:t>10≤X＜100</w:t>
            </w:r>
          </w:p>
        </w:tc>
        <w:tc>
          <w:tcPr>
            <w:tcW w:w="1011" w:type="dxa"/>
            <w:tcBorders>
              <w:top w:val="nil"/>
              <w:left w:val="nil"/>
              <w:bottom w:val="single" w:color="auto" w:sz="4" w:space="0"/>
              <w:right w:val="single" w:color="auto" w:sz="4" w:space="0"/>
            </w:tcBorders>
            <w:vAlign w:val="center"/>
          </w:tcPr>
          <w:p w14:paraId="4F1D434D">
            <w:pPr>
              <w:widowControl/>
              <w:spacing w:line="400" w:lineRule="exact"/>
              <w:jc w:val="left"/>
              <w:rPr>
                <w:rFonts w:hint="eastAsia" w:ascii="宋体" w:hAnsi="宋体" w:cs="宋体"/>
                <w:kern w:val="0"/>
                <w:szCs w:val="21"/>
              </w:rPr>
            </w:pPr>
            <w:r>
              <w:rPr>
                <w:rFonts w:hint="eastAsia" w:ascii="宋体" w:hAnsi="宋体" w:cs="宋体"/>
                <w:kern w:val="0"/>
                <w:szCs w:val="21"/>
              </w:rPr>
              <w:t>X＜10</w:t>
            </w:r>
          </w:p>
        </w:tc>
      </w:tr>
    </w:tbl>
    <w:p w14:paraId="7416D865">
      <w:pPr>
        <w:spacing w:line="400" w:lineRule="exact"/>
        <w:ind w:firstLine="525" w:firstLineChars="250"/>
        <w:rPr>
          <w:rFonts w:hint="eastAsia" w:ascii="宋体" w:hAnsi="宋体" w:cs="宋体"/>
          <w:szCs w:val="21"/>
        </w:rPr>
        <w:sectPr>
          <w:footnotePr>
            <w:numFmt w:val="decimalEnclosedCircleChinese"/>
          </w:footnotePr>
          <w:pgSz w:w="11906" w:h="16838"/>
          <w:pgMar w:top="1440" w:right="1803" w:bottom="1440" w:left="1803" w:header="851" w:footer="992" w:gutter="0"/>
          <w:cols w:space="720" w:num="1"/>
          <w:docGrid w:type="lines" w:linePitch="312" w:charSpace="0"/>
        </w:sectPr>
      </w:pPr>
      <w:r>
        <w:rPr>
          <w:rFonts w:hint="eastAsia" w:ascii="宋体" w:hAnsi="宋体"/>
        </w:rPr>
        <w:t>说明：上述标准参照《关于印发中小企业划型标准规定的通知》（工信部联企业〔2011〕300号），大型、中型和小型企业须同时满足所列指标的下限，否则下划一档；微型企业只须满足所列指标中的一项即可。</w:t>
      </w:r>
    </w:p>
    <w:p w14:paraId="4CA04C77">
      <w:pPr>
        <w:pStyle w:val="4"/>
        <w:tabs>
          <w:tab w:val="left" w:pos="0"/>
          <w:tab w:val="left" w:pos="3165"/>
          <w:tab w:val="center" w:pos="4153"/>
        </w:tabs>
        <w:autoSpaceDE w:val="0"/>
        <w:autoSpaceDN w:val="0"/>
        <w:adjustRightInd w:val="0"/>
        <w:spacing w:before="0" w:after="0" w:line="400" w:lineRule="exact"/>
        <w:jc w:val="center"/>
        <w:rPr>
          <w:rFonts w:hint="eastAsia" w:ascii="方正小标宋_GBK" w:hAnsi="方正小标宋_GBK" w:eastAsia="方正小标宋_GBK" w:cs="方正小标宋_GBK"/>
          <w:bCs w:val="0"/>
          <w:kern w:val="2"/>
          <w:sz w:val="21"/>
          <w:szCs w:val="21"/>
        </w:rPr>
      </w:pPr>
      <w:r>
        <w:rPr>
          <w:rFonts w:hint="eastAsia" w:ascii="方正小标宋_GBK" w:hAnsi="方正小标宋_GBK" w:eastAsia="方正小标宋_GBK" w:cs="方正小标宋_GBK"/>
          <w:bCs w:val="0"/>
          <w:kern w:val="2"/>
          <w:sz w:val="21"/>
          <w:szCs w:val="21"/>
        </w:rPr>
        <w:t>第三章  投标人须知</w:t>
      </w:r>
      <w:bookmarkEnd w:id="56"/>
    </w:p>
    <w:p w14:paraId="71744D98">
      <w:pPr>
        <w:spacing w:line="400" w:lineRule="exact"/>
        <w:jc w:val="center"/>
        <w:outlineLvl w:val="1"/>
        <w:rPr>
          <w:rFonts w:hint="eastAsia" w:ascii="宋体" w:hAnsi="宋体" w:cs="宋体"/>
          <w:szCs w:val="21"/>
        </w:rPr>
      </w:pPr>
      <w:bookmarkStart w:id="68" w:name="_Toc254970667"/>
      <w:bookmarkStart w:id="69" w:name="_Toc254970526"/>
      <w:r>
        <w:rPr>
          <w:rFonts w:hint="eastAsia" w:ascii="宋体" w:hAnsi="宋体" w:cs="宋体"/>
          <w:b/>
          <w:bCs/>
          <w:szCs w:val="21"/>
        </w:rPr>
        <w:t>投标人须知前附表</w:t>
      </w:r>
      <w:bookmarkEnd w:id="68"/>
      <w:bookmarkEnd w:id="69"/>
    </w:p>
    <w:tbl>
      <w:tblPr>
        <w:tblStyle w:val="18"/>
        <w:tblW w:w="86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1407"/>
        <w:gridCol w:w="6272"/>
      </w:tblGrid>
      <w:tr w14:paraId="70ED9E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4F4EBB66">
            <w:pPr>
              <w:snapToGrid w:val="0"/>
              <w:spacing w:line="400" w:lineRule="exact"/>
              <w:jc w:val="center"/>
              <w:rPr>
                <w:rFonts w:hint="eastAsia" w:ascii="宋体" w:hAnsi="宋体"/>
                <w:b/>
                <w:szCs w:val="21"/>
              </w:rPr>
            </w:pPr>
            <w:r>
              <w:rPr>
                <w:rFonts w:hint="eastAsia" w:ascii="宋体" w:hAnsi="宋体"/>
                <w:b/>
                <w:szCs w:val="21"/>
              </w:rPr>
              <w:t>条款号</w:t>
            </w:r>
          </w:p>
        </w:tc>
        <w:tc>
          <w:tcPr>
            <w:tcW w:w="1407" w:type="dxa"/>
            <w:tcBorders>
              <w:top w:val="single" w:color="auto" w:sz="4" w:space="0"/>
              <w:left w:val="single" w:color="auto" w:sz="4" w:space="0"/>
              <w:bottom w:val="single" w:color="auto" w:sz="4" w:space="0"/>
              <w:right w:val="single" w:color="auto" w:sz="4" w:space="0"/>
            </w:tcBorders>
            <w:vAlign w:val="center"/>
          </w:tcPr>
          <w:p w14:paraId="0F508830">
            <w:pPr>
              <w:snapToGrid w:val="0"/>
              <w:spacing w:line="400" w:lineRule="exact"/>
              <w:jc w:val="center"/>
              <w:rPr>
                <w:rFonts w:hint="eastAsia" w:ascii="宋体" w:hAnsi="宋体"/>
                <w:b/>
                <w:szCs w:val="21"/>
              </w:rPr>
            </w:pPr>
            <w:r>
              <w:rPr>
                <w:rFonts w:hint="eastAsia" w:ascii="宋体" w:hAnsi="宋体"/>
                <w:b/>
                <w:szCs w:val="21"/>
              </w:rPr>
              <w:t>项目内容</w:t>
            </w:r>
          </w:p>
        </w:tc>
        <w:tc>
          <w:tcPr>
            <w:tcW w:w="6272" w:type="dxa"/>
            <w:tcBorders>
              <w:top w:val="single" w:color="auto" w:sz="4" w:space="0"/>
              <w:left w:val="single" w:color="auto" w:sz="4" w:space="0"/>
              <w:bottom w:val="single" w:color="auto" w:sz="4" w:space="0"/>
              <w:right w:val="single" w:color="auto" w:sz="4" w:space="0"/>
            </w:tcBorders>
            <w:vAlign w:val="center"/>
          </w:tcPr>
          <w:p w14:paraId="4F30F1DD">
            <w:pPr>
              <w:snapToGrid w:val="0"/>
              <w:spacing w:line="400" w:lineRule="exact"/>
              <w:jc w:val="center"/>
              <w:rPr>
                <w:rFonts w:hint="eastAsia" w:ascii="宋体" w:hAnsi="宋体"/>
                <w:b/>
                <w:szCs w:val="21"/>
              </w:rPr>
            </w:pPr>
            <w:r>
              <w:rPr>
                <w:rFonts w:hint="eastAsia" w:ascii="宋体" w:hAnsi="宋体"/>
                <w:b/>
                <w:szCs w:val="21"/>
              </w:rPr>
              <w:t>编列内容</w:t>
            </w:r>
          </w:p>
        </w:tc>
      </w:tr>
      <w:tr w14:paraId="5DF163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3B7B65B7">
            <w:pPr>
              <w:spacing w:line="400" w:lineRule="exact"/>
              <w:jc w:val="center"/>
              <w:rPr>
                <w:rFonts w:hint="eastAsia" w:ascii="宋体" w:hAnsi="宋体"/>
                <w:szCs w:val="21"/>
              </w:rPr>
            </w:pPr>
            <w:r>
              <w:rPr>
                <w:rFonts w:hint="eastAsia" w:ascii="宋体" w:hAnsi="宋体"/>
                <w:szCs w:val="21"/>
              </w:rPr>
              <w:t>3</w:t>
            </w:r>
          </w:p>
        </w:tc>
        <w:tc>
          <w:tcPr>
            <w:tcW w:w="1407" w:type="dxa"/>
            <w:tcBorders>
              <w:top w:val="single" w:color="auto" w:sz="4" w:space="0"/>
              <w:left w:val="single" w:color="auto" w:sz="4" w:space="0"/>
              <w:bottom w:val="single" w:color="auto" w:sz="4" w:space="0"/>
              <w:right w:val="single" w:color="auto" w:sz="4" w:space="0"/>
            </w:tcBorders>
            <w:vAlign w:val="center"/>
          </w:tcPr>
          <w:p w14:paraId="22381B13">
            <w:pPr>
              <w:spacing w:line="400" w:lineRule="exact"/>
              <w:jc w:val="center"/>
              <w:rPr>
                <w:rFonts w:hint="eastAsia" w:ascii="宋体" w:hAnsi="宋体"/>
                <w:szCs w:val="21"/>
              </w:rPr>
            </w:pPr>
            <w:r>
              <w:rPr>
                <w:rFonts w:hint="eastAsia" w:ascii="宋体" w:hAnsi="宋体" w:cs="宋体"/>
                <w:szCs w:val="21"/>
              </w:rPr>
              <w:t>投标人的资格要求</w:t>
            </w:r>
          </w:p>
        </w:tc>
        <w:tc>
          <w:tcPr>
            <w:tcW w:w="6272" w:type="dxa"/>
            <w:tcBorders>
              <w:top w:val="single" w:color="auto" w:sz="4" w:space="0"/>
              <w:left w:val="single" w:color="auto" w:sz="4" w:space="0"/>
              <w:bottom w:val="single" w:color="auto" w:sz="4" w:space="0"/>
              <w:right w:val="single" w:color="auto" w:sz="4" w:space="0"/>
            </w:tcBorders>
            <w:vAlign w:val="center"/>
          </w:tcPr>
          <w:p w14:paraId="3F64D213">
            <w:pPr>
              <w:pStyle w:val="9"/>
              <w:spacing w:line="400" w:lineRule="exact"/>
              <w:rPr>
                <w:rFonts w:hint="eastAsia" w:ascii="宋体" w:hAnsi="宋体" w:cs="宋体"/>
                <w:szCs w:val="21"/>
              </w:rPr>
            </w:pPr>
            <w:r>
              <w:rPr>
                <w:rFonts w:hint="eastAsia" w:ascii="宋体" w:hAnsi="宋体" w:cs="宋体"/>
                <w:szCs w:val="21"/>
              </w:rPr>
              <w:t>详见招标公告。</w:t>
            </w:r>
          </w:p>
        </w:tc>
      </w:tr>
      <w:tr w14:paraId="68740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565DF966">
            <w:pPr>
              <w:spacing w:line="400" w:lineRule="exact"/>
              <w:jc w:val="center"/>
              <w:rPr>
                <w:rFonts w:hint="eastAsia" w:ascii="宋体" w:hAnsi="宋体"/>
                <w:szCs w:val="21"/>
              </w:rPr>
            </w:pPr>
            <w:r>
              <w:rPr>
                <w:rFonts w:hint="eastAsia" w:ascii="宋体" w:hAnsi="宋体"/>
                <w:szCs w:val="21"/>
              </w:rPr>
              <w:t>6.1</w:t>
            </w:r>
          </w:p>
        </w:tc>
        <w:tc>
          <w:tcPr>
            <w:tcW w:w="1407" w:type="dxa"/>
            <w:tcBorders>
              <w:top w:val="single" w:color="auto" w:sz="4" w:space="0"/>
              <w:left w:val="single" w:color="auto" w:sz="4" w:space="0"/>
              <w:bottom w:val="single" w:color="auto" w:sz="4" w:space="0"/>
              <w:right w:val="single" w:color="auto" w:sz="4" w:space="0"/>
            </w:tcBorders>
            <w:vAlign w:val="center"/>
          </w:tcPr>
          <w:p w14:paraId="179ECD8A">
            <w:pPr>
              <w:spacing w:line="400" w:lineRule="exact"/>
              <w:jc w:val="center"/>
              <w:rPr>
                <w:rFonts w:hint="eastAsia" w:ascii="宋体" w:hAnsi="宋体"/>
                <w:szCs w:val="21"/>
              </w:rPr>
            </w:pPr>
            <w:bookmarkStart w:id="70" w:name="_8.1"/>
            <w:bookmarkEnd w:id="70"/>
            <w:bookmarkStart w:id="71" w:name="_9.2"/>
            <w:bookmarkEnd w:id="71"/>
            <w:bookmarkStart w:id="72" w:name="_5"/>
            <w:bookmarkEnd w:id="72"/>
            <w:r>
              <w:rPr>
                <w:rFonts w:hint="eastAsia" w:ascii="宋体" w:hAnsi="宋体"/>
                <w:szCs w:val="21"/>
              </w:rPr>
              <w:t>是否接受联合体投标</w:t>
            </w:r>
          </w:p>
        </w:tc>
        <w:tc>
          <w:tcPr>
            <w:tcW w:w="6272" w:type="dxa"/>
            <w:tcBorders>
              <w:top w:val="single" w:color="auto" w:sz="4" w:space="0"/>
              <w:left w:val="single" w:color="auto" w:sz="4" w:space="0"/>
              <w:bottom w:val="single" w:color="auto" w:sz="4" w:space="0"/>
              <w:right w:val="single" w:color="auto" w:sz="4" w:space="0"/>
            </w:tcBorders>
            <w:vAlign w:val="center"/>
          </w:tcPr>
          <w:p w14:paraId="5337829D">
            <w:pPr>
              <w:pStyle w:val="9"/>
              <w:spacing w:line="400" w:lineRule="exact"/>
              <w:rPr>
                <w:rFonts w:hint="eastAsia" w:ascii="宋体" w:hAnsi="宋体"/>
                <w:szCs w:val="21"/>
              </w:rPr>
            </w:pPr>
            <w:r>
              <w:rPr>
                <w:rFonts w:hint="eastAsia" w:ascii="宋体" w:hAnsi="宋体"/>
                <w:szCs w:val="21"/>
              </w:rPr>
              <w:t>本项目共设5个分标， 分标1、分标4接受联合体投标，接受最多三个投标人（含牵头人数量）组成一个投标联合体参与投标，分标2、分标3、分标5不接受联合体投标。</w:t>
            </w:r>
          </w:p>
        </w:tc>
      </w:tr>
      <w:tr w14:paraId="67B31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16FF3070">
            <w:pPr>
              <w:spacing w:line="400" w:lineRule="exact"/>
              <w:jc w:val="center"/>
              <w:rPr>
                <w:rFonts w:hint="eastAsia" w:ascii="宋体" w:hAnsi="宋体"/>
                <w:szCs w:val="21"/>
              </w:rPr>
            </w:pPr>
            <w:r>
              <w:rPr>
                <w:rFonts w:ascii="宋体" w:hAnsi="宋体"/>
                <w:szCs w:val="21"/>
              </w:rPr>
              <w:t>6.2</w:t>
            </w:r>
          </w:p>
        </w:tc>
        <w:tc>
          <w:tcPr>
            <w:tcW w:w="1407" w:type="dxa"/>
            <w:tcBorders>
              <w:top w:val="single" w:color="auto" w:sz="4" w:space="0"/>
              <w:left w:val="single" w:color="auto" w:sz="4" w:space="0"/>
              <w:bottom w:val="single" w:color="auto" w:sz="4" w:space="0"/>
              <w:right w:val="single" w:color="auto" w:sz="4" w:space="0"/>
            </w:tcBorders>
            <w:vAlign w:val="center"/>
          </w:tcPr>
          <w:p w14:paraId="703CBBB6">
            <w:pPr>
              <w:spacing w:line="400" w:lineRule="exact"/>
              <w:jc w:val="center"/>
              <w:rPr>
                <w:rFonts w:hint="eastAsia" w:ascii="宋体" w:hAnsi="宋体"/>
                <w:szCs w:val="21"/>
              </w:rPr>
            </w:pPr>
            <w:r>
              <w:rPr>
                <w:rFonts w:hint="eastAsia" w:ascii="宋体" w:hAnsi="宋体"/>
                <w:szCs w:val="21"/>
              </w:rPr>
              <w:t>联合体投标</w:t>
            </w:r>
          </w:p>
          <w:p w14:paraId="04E232D6">
            <w:pPr>
              <w:spacing w:line="400" w:lineRule="exact"/>
              <w:jc w:val="center"/>
              <w:rPr>
                <w:rFonts w:hint="eastAsia" w:ascii="宋体" w:hAnsi="宋体"/>
                <w:szCs w:val="21"/>
              </w:rPr>
            </w:pPr>
            <w:r>
              <w:rPr>
                <w:rFonts w:hint="eastAsia" w:ascii="宋体" w:hAnsi="宋体"/>
                <w:szCs w:val="21"/>
              </w:rPr>
              <w:t>要求</w:t>
            </w:r>
          </w:p>
        </w:tc>
        <w:tc>
          <w:tcPr>
            <w:tcW w:w="6272" w:type="dxa"/>
            <w:tcBorders>
              <w:top w:val="single" w:color="auto" w:sz="4" w:space="0"/>
              <w:left w:val="single" w:color="auto" w:sz="4" w:space="0"/>
              <w:bottom w:val="single" w:color="auto" w:sz="4" w:space="0"/>
              <w:right w:val="single" w:color="auto" w:sz="4" w:space="0"/>
            </w:tcBorders>
            <w:vAlign w:val="center"/>
          </w:tcPr>
          <w:p w14:paraId="22C46F96">
            <w:pPr>
              <w:pStyle w:val="9"/>
              <w:spacing w:line="400" w:lineRule="exact"/>
              <w:rPr>
                <w:rFonts w:hint="eastAsia" w:ascii="宋体" w:hAnsi="宋体"/>
                <w:szCs w:val="21"/>
              </w:rPr>
            </w:pPr>
            <w:r>
              <w:rPr>
                <w:rFonts w:hint="eastAsia" w:ascii="宋体" w:hAnsi="宋体"/>
                <w:szCs w:val="21"/>
              </w:rPr>
              <w:t>如接受联合体投标，联合体投标要求如下：</w:t>
            </w:r>
          </w:p>
          <w:p w14:paraId="4FF59D8D">
            <w:pPr>
              <w:pStyle w:val="9"/>
              <w:spacing w:line="400" w:lineRule="exact"/>
              <w:rPr>
                <w:rFonts w:hint="eastAsia" w:ascii="宋体" w:hAnsi="宋体"/>
                <w:szCs w:val="21"/>
              </w:rPr>
            </w:pPr>
            <w:r>
              <w:rPr>
                <w:rFonts w:hint="eastAsia" w:ascii="宋体" w:hAnsi="宋体"/>
                <w:szCs w:val="21"/>
              </w:rPr>
              <w:t>1.最多</w:t>
            </w:r>
            <w:r>
              <w:rPr>
                <w:rFonts w:hint="eastAsia" w:ascii="宋体" w:hAnsi="宋体" w:cs="宋体"/>
                <w:szCs w:val="21"/>
              </w:rPr>
              <w:t>允许</w:t>
            </w:r>
            <w:r>
              <w:rPr>
                <w:rFonts w:hint="eastAsia" w:ascii="宋体" w:hAnsi="宋体"/>
                <w:szCs w:val="21"/>
              </w:rPr>
              <w:t>三个投标人可以组成一个投标联合体，以一个投标人的身份共同参加投标。联合体投标的，须提供《联合体投标协议书》（格式后附）。</w:t>
            </w:r>
          </w:p>
          <w:p w14:paraId="6F361600">
            <w:pPr>
              <w:pStyle w:val="9"/>
              <w:spacing w:line="400" w:lineRule="exact"/>
              <w:rPr>
                <w:rFonts w:hint="eastAsia" w:ascii="宋体" w:hAnsi="宋体"/>
                <w:szCs w:val="21"/>
              </w:rPr>
            </w:pPr>
            <w:r>
              <w:rPr>
                <w:rFonts w:hint="eastAsia" w:ascii="宋体" w:hAnsi="宋体"/>
                <w:szCs w:val="21"/>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260B11C7">
            <w:pPr>
              <w:pStyle w:val="9"/>
              <w:spacing w:line="400" w:lineRule="exact"/>
              <w:rPr>
                <w:rFonts w:hint="eastAsia" w:ascii="宋体" w:hAnsi="宋体"/>
                <w:szCs w:val="21"/>
              </w:rPr>
            </w:pPr>
            <w:r>
              <w:rPr>
                <w:rFonts w:hint="eastAsia" w:ascii="宋体" w:hAnsi="宋体"/>
                <w:szCs w:val="21"/>
              </w:rPr>
              <w:t>3.联合体各方之间必须签订联合投标协议，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2952DC16">
            <w:pPr>
              <w:pStyle w:val="9"/>
              <w:spacing w:line="400" w:lineRule="exact"/>
              <w:rPr>
                <w:rFonts w:hint="eastAsia" w:ascii="宋体" w:hAnsi="宋体"/>
                <w:szCs w:val="21"/>
              </w:rPr>
            </w:pPr>
            <w:r>
              <w:rPr>
                <w:rFonts w:hint="eastAsia" w:ascii="宋体" w:hAnsi="宋体"/>
                <w:szCs w:val="21"/>
              </w:rPr>
              <w:t>4.以联合体形式参加政府采购活动的，联合体各方不得再单独参加或者与其他投标人另外组成联合体参加同一合同项下的政府采购活动。</w:t>
            </w:r>
          </w:p>
          <w:p w14:paraId="307C63FB">
            <w:pPr>
              <w:pStyle w:val="9"/>
              <w:spacing w:line="400" w:lineRule="exact"/>
              <w:rPr>
                <w:rFonts w:hint="eastAsia" w:ascii="宋体" w:hAnsi="宋体"/>
                <w:szCs w:val="21"/>
              </w:rPr>
            </w:pPr>
            <w:r>
              <w:rPr>
                <w:rFonts w:hint="eastAsia" w:ascii="宋体" w:hAnsi="宋体"/>
                <w:szCs w:val="21"/>
              </w:rPr>
              <w:t>5.联合体中有同类资质的投标人按照联合体分工承担相同工作的，应当按照资质等级较低的投标人确定资质等级。</w:t>
            </w:r>
          </w:p>
          <w:p w14:paraId="2D7B5AD9">
            <w:pPr>
              <w:pStyle w:val="9"/>
              <w:spacing w:line="400" w:lineRule="exact"/>
              <w:rPr>
                <w:rFonts w:hint="eastAsia" w:ascii="宋体" w:hAnsi="宋体"/>
                <w:szCs w:val="21"/>
              </w:rPr>
            </w:pPr>
            <w:r>
              <w:rPr>
                <w:rFonts w:hint="eastAsia" w:ascii="宋体" w:hAnsi="宋体"/>
                <w:szCs w:val="21"/>
              </w:rPr>
              <w:t>6.联合体投标业绩、履约能力按照联合体叠加计算（招标文件另有规定的除外）。</w:t>
            </w:r>
          </w:p>
          <w:p w14:paraId="4949539B">
            <w:pPr>
              <w:pStyle w:val="9"/>
              <w:spacing w:line="400" w:lineRule="exact"/>
              <w:rPr>
                <w:rFonts w:hint="eastAsia" w:ascii="宋体" w:hAnsi="宋体"/>
                <w:szCs w:val="21"/>
              </w:rPr>
            </w:pPr>
            <w:r>
              <w:rPr>
                <w:rFonts w:hint="eastAsia" w:ascii="宋体" w:hAnsi="宋体"/>
                <w:szCs w:val="21"/>
              </w:rPr>
              <w:t>7.投标人为联合体的，可以由联合体中的一方或者多方共同交纳投标保证金，其交纳的保证金对联合体各方均具有约束力。</w:t>
            </w:r>
          </w:p>
          <w:p w14:paraId="58EB41D7">
            <w:pPr>
              <w:pStyle w:val="9"/>
              <w:spacing w:line="400" w:lineRule="exact"/>
              <w:rPr>
                <w:rFonts w:hint="eastAsia" w:ascii="宋体" w:hAnsi="宋体"/>
                <w:szCs w:val="21"/>
              </w:rPr>
            </w:pPr>
            <w:r>
              <w:rPr>
                <w:rFonts w:hint="eastAsia" w:ascii="宋体" w:hAnsi="宋体"/>
                <w:szCs w:val="21"/>
              </w:rPr>
              <w:t>8.联合体各方均应按照招标文件的规定提交资格证明文件。</w:t>
            </w:r>
          </w:p>
        </w:tc>
      </w:tr>
      <w:tr w14:paraId="55389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1DD52429">
            <w:pPr>
              <w:spacing w:line="400" w:lineRule="exact"/>
              <w:jc w:val="center"/>
              <w:rPr>
                <w:rFonts w:hint="eastAsia" w:ascii="宋体" w:hAnsi="宋体"/>
                <w:szCs w:val="21"/>
              </w:rPr>
            </w:pPr>
            <w:r>
              <w:rPr>
                <w:rFonts w:hint="eastAsia" w:ascii="宋体" w:hAnsi="宋体"/>
                <w:szCs w:val="21"/>
              </w:rPr>
              <w:t>7.1</w:t>
            </w:r>
          </w:p>
        </w:tc>
        <w:tc>
          <w:tcPr>
            <w:tcW w:w="1407" w:type="dxa"/>
            <w:tcBorders>
              <w:top w:val="single" w:color="auto" w:sz="4" w:space="0"/>
              <w:left w:val="single" w:color="auto" w:sz="4" w:space="0"/>
              <w:bottom w:val="single" w:color="auto" w:sz="4" w:space="0"/>
              <w:right w:val="single" w:color="auto" w:sz="4" w:space="0"/>
            </w:tcBorders>
            <w:vAlign w:val="center"/>
          </w:tcPr>
          <w:p w14:paraId="5126C97D">
            <w:pPr>
              <w:spacing w:line="400" w:lineRule="exact"/>
              <w:jc w:val="center"/>
              <w:rPr>
                <w:rFonts w:hint="eastAsia" w:ascii="宋体" w:hAnsi="宋体"/>
                <w:szCs w:val="21"/>
              </w:rPr>
            </w:pPr>
            <w:r>
              <w:rPr>
                <w:rFonts w:hint="eastAsia" w:ascii="宋体" w:hAnsi="宋体"/>
                <w:szCs w:val="21"/>
              </w:rPr>
              <w:t>是否允许转包/分包</w:t>
            </w:r>
          </w:p>
        </w:tc>
        <w:tc>
          <w:tcPr>
            <w:tcW w:w="6272" w:type="dxa"/>
            <w:tcBorders>
              <w:top w:val="single" w:color="auto" w:sz="4" w:space="0"/>
              <w:left w:val="single" w:color="auto" w:sz="4" w:space="0"/>
              <w:bottom w:val="single" w:color="auto" w:sz="4" w:space="0"/>
              <w:right w:val="single" w:color="auto" w:sz="4" w:space="0"/>
            </w:tcBorders>
            <w:vAlign w:val="center"/>
          </w:tcPr>
          <w:p w14:paraId="0E9BCF1A">
            <w:pPr>
              <w:pStyle w:val="9"/>
              <w:spacing w:line="400" w:lineRule="exact"/>
              <w:rPr>
                <w:rFonts w:hint="eastAsia" w:ascii="宋体" w:hAnsi="宋体"/>
                <w:szCs w:val="21"/>
              </w:rPr>
            </w:pPr>
            <w:r>
              <w:rPr>
                <w:rFonts w:hint="eastAsia" w:ascii="宋体" w:hAnsi="宋体"/>
                <w:szCs w:val="21"/>
              </w:rPr>
              <w:t>☑不允许转包/分包</w:t>
            </w:r>
          </w:p>
          <w:p w14:paraId="779DD9BA">
            <w:pPr>
              <w:pStyle w:val="9"/>
              <w:spacing w:line="400" w:lineRule="exact"/>
              <w:rPr>
                <w:rFonts w:hint="eastAsia" w:ascii="宋体" w:hAnsi="宋体"/>
                <w:szCs w:val="21"/>
              </w:rPr>
            </w:pPr>
            <w:r>
              <w:rPr>
                <w:rFonts w:hint="eastAsia" w:ascii="宋体" w:hAnsi="宋体"/>
                <w:szCs w:val="21"/>
              </w:rPr>
              <w:t>□</w:t>
            </w:r>
            <w:r>
              <w:rPr>
                <w:rFonts w:ascii="宋体" w:hAnsi="宋体"/>
                <w:szCs w:val="21"/>
              </w:rPr>
              <w:t>允许</w:t>
            </w:r>
            <w:r>
              <w:rPr>
                <w:rFonts w:hint="eastAsia" w:ascii="宋体" w:hAnsi="宋体"/>
                <w:szCs w:val="21"/>
              </w:rPr>
              <w:t>转包/分包</w:t>
            </w:r>
          </w:p>
          <w:p w14:paraId="343BDA59">
            <w:pPr>
              <w:pStyle w:val="9"/>
              <w:spacing w:line="400" w:lineRule="exact"/>
              <w:rPr>
                <w:rFonts w:hint="eastAsia" w:ascii="宋体" w:hAnsi="宋体"/>
                <w:szCs w:val="21"/>
                <w:u w:val="single"/>
              </w:rPr>
            </w:pPr>
            <w:r>
              <w:rPr>
                <w:rFonts w:hint="eastAsia" w:ascii="宋体" w:hAnsi="宋体"/>
                <w:szCs w:val="21"/>
              </w:rPr>
              <w:t>分包</w:t>
            </w:r>
            <w:r>
              <w:rPr>
                <w:rFonts w:ascii="宋体" w:hAnsi="宋体"/>
                <w:szCs w:val="21"/>
              </w:rPr>
              <w:t>内容：</w:t>
            </w:r>
            <w:r>
              <w:rPr>
                <w:rFonts w:hint="eastAsia" w:ascii="宋体" w:hAnsi="宋体"/>
                <w:szCs w:val="21"/>
                <w:u w:val="single"/>
              </w:rPr>
              <w:t xml:space="preserve">        /       </w:t>
            </w:r>
          </w:p>
          <w:p w14:paraId="74637420">
            <w:pPr>
              <w:pStyle w:val="9"/>
              <w:spacing w:line="400" w:lineRule="exact"/>
              <w:rPr>
                <w:rFonts w:hint="eastAsia" w:ascii="宋体" w:hAnsi="宋体"/>
                <w:szCs w:val="21"/>
              </w:rPr>
            </w:pPr>
            <w:r>
              <w:rPr>
                <w:rFonts w:hint="eastAsia" w:ascii="宋体" w:hAnsi="宋体"/>
                <w:szCs w:val="21"/>
              </w:rPr>
              <w:t>转包/分包金额或者比例：</w:t>
            </w:r>
            <w:r>
              <w:rPr>
                <w:rFonts w:hint="eastAsia" w:ascii="宋体" w:hAnsi="宋体"/>
                <w:szCs w:val="21"/>
                <w:u w:val="single"/>
              </w:rPr>
              <w:t>/</w:t>
            </w:r>
          </w:p>
        </w:tc>
      </w:tr>
      <w:tr w14:paraId="47645C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77B5AD60">
            <w:pPr>
              <w:spacing w:line="400" w:lineRule="exact"/>
              <w:jc w:val="center"/>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4</w:t>
            </w:r>
          </w:p>
        </w:tc>
        <w:tc>
          <w:tcPr>
            <w:tcW w:w="1407" w:type="dxa"/>
            <w:tcBorders>
              <w:top w:val="single" w:color="auto" w:sz="4" w:space="0"/>
              <w:left w:val="single" w:color="auto" w:sz="4" w:space="0"/>
              <w:bottom w:val="single" w:color="auto" w:sz="4" w:space="0"/>
              <w:right w:val="single" w:color="auto" w:sz="4" w:space="0"/>
            </w:tcBorders>
            <w:vAlign w:val="center"/>
          </w:tcPr>
          <w:p w14:paraId="16E406A4">
            <w:pPr>
              <w:spacing w:line="400" w:lineRule="exact"/>
              <w:jc w:val="center"/>
              <w:rPr>
                <w:rFonts w:hint="eastAsia" w:ascii="宋体" w:hAnsi="宋体"/>
                <w:szCs w:val="21"/>
              </w:rPr>
            </w:pPr>
            <w:r>
              <w:rPr>
                <w:rFonts w:hint="eastAsia" w:ascii="宋体" w:hAnsi="宋体"/>
                <w:szCs w:val="21"/>
              </w:rPr>
              <w:t>媒体发布渠道</w:t>
            </w:r>
          </w:p>
        </w:tc>
        <w:tc>
          <w:tcPr>
            <w:tcW w:w="6272" w:type="dxa"/>
            <w:tcBorders>
              <w:top w:val="single" w:color="auto" w:sz="4" w:space="0"/>
              <w:left w:val="single" w:color="auto" w:sz="4" w:space="0"/>
              <w:bottom w:val="single" w:color="auto" w:sz="4" w:space="0"/>
              <w:right w:val="single" w:color="auto" w:sz="4" w:space="0"/>
            </w:tcBorders>
            <w:vAlign w:val="center"/>
          </w:tcPr>
          <w:p w14:paraId="133056EA">
            <w:pPr>
              <w:spacing w:line="400" w:lineRule="exact"/>
              <w:rPr>
                <w:rFonts w:hint="eastAsia" w:ascii="宋体" w:hAnsi="宋体"/>
                <w:szCs w:val="21"/>
              </w:rPr>
            </w:pPr>
            <w:r>
              <w:rPr>
                <w:rFonts w:hint="eastAsia" w:ascii="宋体" w:hAnsi="宋体" w:cs="宋体"/>
                <w:szCs w:val="21"/>
              </w:rPr>
              <w:t>与本项目相关的政府采购业务澄清、更正及与之相关的事项将在采购公告中“</w:t>
            </w:r>
            <w:r>
              <w:rPr>
                <w:rFonts w:hint="eastAsia" w:ascii="宋体" w:hAnsi="宋体"/>
                <w:szCs w:val="21"/>
              </w:rPr>
              <w:t>六、其他补充事宜”中网上查询地址</w:t>
            </w:r>
            <w:r>
              <w:rPr>
                <w:rFonts w:hint="eastAsia" w:ascii="宋体" w:hAnsi="宋体" w:cs="宋体"/>
                <w:szCs w:val="21"/>
              </w:rPr>
              <w:t>上发布</w:t>
            </w:r>
            <w:r>
              <w:rPr>
                <w:rFonts w:hint="eastAsia" w:ascii="宋体" w:hAnsi="宋体" w:cs="宋体"/>
                <w:kern w:val="0"/>
                <w:szCs w:val="21"/>
              </w:rPr>
              <w:t>。</w:t>
            </w:r>
          </w:p>
        </w:tc>
      </w:tr>
      <w:tr w14:paraId="5F9B84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vMerge w:val="restart"/>
            <w:tcBorders>
              <w:top w:val="single" w:color="auto" w:sz="4" w:space="0"/>
              <w:left w:val="single" w:color="auto" w:sz="4" w:space="0"/>
              <w:right w:val="single" w:color="auto" w:sz="4" w:space="0"/>
            </w:tcBorders>
            <w:vAlign w:val="center"/>
          </w:tcPr>
          <w:p w14:paraId="22FB4290">
            <w:pPr>
              <w:spacing w:line="400" w:lineRule="exact"/>
              <w:jc w:val="center"/>
              <w:rPr>
                <w:rFonts w:hint="eastAsia" w:ascii="宋体" w:hAnsi="宋体"/>
                <w:szCs w:val="21"/>
              </w:rPr>
            </w:pPr>
            <w:r>
              <w:rPr>
                <w:rFonts w:hint="eastAsia" w:ascii="宋体" w:hAnsi="宋体"/>
                <w:szCs w:val="21"/>
              </w:rPr>
              <w:t>11.5</w:t>
            </w:r>
          </w:p>
        </w:tc>
        <w:tc>
          <w:tcPr>
            <w:tcW w:w="1407" w:type="dxa"/>
            <w:tcBorders>
              <w:top w:val="single" w:color="auto" w:sz="4" w:space="0"/>
              <w:left w:val="single" w:color="auto" w:sz="4" w:space="0"/>
              <w:bottom w:val="single" w:color="auto" w:sz="4" w:space="0"/>
              <w:right w:val="single" w:color="auto" w:sz="4" w:space="0"/>
            </w:tcBorders>
            <w:vAlign w:val="center"/>
          </w:tcPr>
          <w:p w14:paraId="77CB7C23">
            <w:pPr>
              <w:spacing w:line="400" w:lineRule="exact"/>
              <w:jc w:val="center"/>
              <w:rPr>
                <w:rFonts w:hint="eastAsia" w:ascii="宋体" w:hAnsi="宋体"/>
                <w:szCs w:val="21"/>
              </w:rPr>
            </w:pPr>
            <w:r>
              <w:rPr>
                <w:rFonts w:hint="eastAsia" w:ascii="宋体" w:hAnsi="宋体" w:cs="宋体"/>
                <w:szCs w:val="21"/>
              </w:rPr>
              <w:t>是否组织标前现场考察</w:t>
            </w:r>
          </w:p>
        </w:tc>
        <w:tc>
          <w:tcPr>
            <w:tcW w:w="6272" w:type="dxa"/>
            <w:tcBorders>
              <w:top w:val="single" w:color="auto" w:sz="4" w:space="0"/>
              <w:left w:val="single" w:color="auto" w:sz="4" w:space="0"/>
              <w:bottom w:val="single" w:color="auto" w:sz="4" w:space="0"/>
              <w:right w:val="single" w:color="auto" w:sz="4" w:space="0"/>
            </w:tcBorders>
            <w:vAlign w:val="center"/>
          </w:tcPr>
          <w:p w14:paraId="3562A102">
            <w:pPr>
              <w:snapToGrid w:val="0"/>
              <w:spacing w:line="400" w:lineRule="exact"/>
              <w:rPr>
                <w:rFonts w:hint="eastAsia" w:ascii="宋体" w:hAnsi="宋体" w:cs="宋体"/>
                <w:szCs w:val="21"/>
              </w:rPr>
            </w:pPr>
            <w:r>
              <w:rPr>
                <w:rFonts w:hint="eastAsia" w:ascii="宋体" w:hAnsi="MS Gothic" w:eastAsia="MS Gothic" w:cs="MS Gothic"/>
                <w:szCs w:val="21"/>
              </w:rPr>
              <w:t>☑</w:t>
            </w:r>
            <w:r>
              <w:rPr>
                <w:rFonts w:hint="eastAsia" w:ascii="宋体" w:hAnsi="宋体" w:cs="宋体"/>
                <w:szCs w:val="21"/>
              </w:rPr>
              <w:t>不组织召开开标前现场考察</w:t>
            </w:r>
          </w:p>
          <w:p w14:paraId="5497A718">
            <w:pPr>
              <w:snapToGrid w:val="0"/>
              <w:spacing w:line="400" w:lineRule="exact"/>
              <w:rPr>
                <w:rFonts w:hint="eastAsia" w:ascii="宋体" w:hAnsi="宋体" w:cs="宋体"/>
                <w:szCs w:val="21"/>
              </w:rPr>
            </w:pPr>
            <w:r>
              <w:rPr>
                <w:rFonts w:hint="eastAsia" w:ascii="宋体" w:hAnsi="宋体" w:cs="宋体"/>
                <w:szCs w:val="21"/>
              </w:rPr>
              <w:t>□组织召开开标前现场考察</w:t>
            </w:r>
          </w:p>
          <w:p w14:paraId="6837D077">
            <w:pPr>
              <w:snapToGrid w:val="0"/>
              <w:spacing w:line="400" w:lineRule="exact"/>
              <w:rPr>
                <w:rFonts w:hint="eastAsia" w:ascii="宋体" w:hAnsi="宋体" w:cs="MS Gothic"/>
                <w:szCs w:val="21"/>
              </w:rPr>
            </w:pPr>
            <w:r>
              <w:rPr>
                <w:rFonts w:hint="eastAsia" w:ascii="宋体" w:hAnsi="宋体" w:cs="宋体"/>
                <w:szCs w:val="21"/>
              </w:rPr>
              <w:t>现场考察开始时间：</w:t>
            </w:r>
            <w:r>
              <w:rPr>
                <w:rFonts w:hint="eastAsia" w:ascii="宋体" w:hAnsi="宋体" w:cs="宋体"/>
                <w:szCs w:val="21"/>
                <w:lang w:val="zh-TW"/>
              </w:rPr>
              <w:t>年月日至月日（不含双休节假日），上午点分至点分，下午点分至下午点分，由投标人自行前往现场勘探，</w:t>
            </w:r>
            <w:r>
              <w:rPr>
                <w:rFonts w:hint="eastAsia" w:ascii="宋体" w:hAnsi="宋体" w:cs="宋体"/>
                <w:szCs w:val="21"/>
              </w:rPr>
              <w:t>逾期后果自负</w:t>
            </w:r>
            <w:r>
              <w:rPr>
                <w:rFonts w:hint="eastAsia" w:ascii="宋体" w:hAnsi="宋体" w:cs="宋体"/>
                <w:szCs w:val="21"/>
                <w:lang w:val="zh-TW"/>
              </w:rPr>
              <w:t>。现场</w:t>
            </w:r>
            <w:r>
              <w:rPr>
                <w:rFonts w:hint="eastAsia" w:ascii="宋体" w:hAnsi="宋体" w:cs="宋体"/>
                <w:szCs w:val="21"/>
              </w:rPr>
              <w:t>考察</w:t>
            </w:r>
            <w:r>
              <w:rPr>
                <w:rFonts w:hint="eastAsia" w:ascii="宋体" w:hAnsi="宋体" w:cs="宋体"/>
                <w:szCs w:val="21"/>
                <w:lang w:val="zh-TW"/>
              </w:rPr>
              <w:t>事宜联系人：，联系电话：，现场</w:t>
            </w:r>
            <w:r>
              <w:rPr>
                <w:rFonts w:hint="eastAsia" w:ascii="宋体" w:hAnsi="宋体" w:cs="宋体"/>
                <w:szCs w:val="21"/>
              </w:rPr>
              <w:t>考察</w:t>
            </w:r>
            <w:r>
              <w:rPr>
                <w:rFonts w:hint="eastAsia" w:ascii="宋体" w:hAnsi="宋体" w:cs="宋体"/>
                <w:szCs w:val="21"/>
                <w:lang w:val="zh-TW"/>
              </w:rPr>
              <w:t>地点：。（</w:t>
            </w:r>
            <w:r>
              <w:rPr>
                <w:rFonts w:hint="eastAsia" w:ascii="宋体" w:hAnsi="宋体" w:cs="宋体"/>
                <w:szCs w:val="21"/>
              </w:rPr>
              <w:t>考察</w:t>
            </w:r>
            <w:r>
              <w:rPr>
                <w:rFonts w:hint="eastAsia" w:ascii="宋体" w:hAnsi="宋体" w:cs="宋体"/>
                <w:szCs w:val="21"/>
                <w:lang w:val="zh-TW"/>
              </w:rPr>
              <w:t>现场产生的费用由投标人自理；投标人自行负责在</w:t>
            </w:r>
            <w:r>
              <w:rPr>
                <w:rFonts w:hint="eastAsia" w:ascii="宋体" w:hAnsi="宋体" w:cs="宋体"/>
                <w:szCs w:val="21"/>
              </w:rPr>
              <w:t>考察</w:t>
            </w:r>
            <w:r>
              <w:rPr>
                <w:rFonts w:hint="eastAsia" w:ascii="宋体" w:hAnsi="宋体" w:cs="宋体"/>
                <w:szCs w:val="21"/>
                <w:lang w:val="zh-TW"/>
              </w:rPr>
              <w:t>现场中所发生的人员伤亡和财产损失。</w:t>
            </w:r>
            <w:r>
              <w:rPr>
                <w:rFonts w:hint="eastAsia" w:ascii="宋体" w:hAnsi="宋体" w:cs="宋体"/>
                <w:szCs w:val="21"/>
                <w:lang w:val="zh-TW" w:eastAsia="zh-TW"/>
              </w:rPr>
              <w:t>）</w:t>
            </w:r>
          </w:p>
        </w:tc>
      </w:tr>
      <w:tr w14:paraId="04FA8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vMerge w:val="continue"/>
            <w:tcBorders>
              <w:left w:val="single" w:color="auto" w:sz="4" w:space="0"/>
              <w:bottom w:val="single" w:color="auto" w:sz="4" w:space="0"/>
              <w:right w:val="single" w:color="auto" w:sz="4" w:space="0"/>
            </w:tcBorders>
            <w:vAlign w:val="center"/>
          </w:tcPr>
          <w:p w14:paraId="6D21F9C0">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55BE9106">
            <w:pPr>
              <w:spacing w:line="400" w:lineRule="exact"/>
              <w:jc w:val="center"/>
              <w:rPr>
                <w:rFonts w:hint="eastAsia" w:ascii="宋体" w:hAnsi="宋体"/>
                <w:szCs w:val="21"/>
              </w:rPr>
            </w:pPr>
            <w:r>
              <w:rPr>
                <w:rFonts w:hint="eastAsia" w:ascii="宋体" w:hAnsi="宋体"/>
                <w:szCs w:val="21"/>
              </w:rPr>
              <w:t>是否组织标前答疑会</w:t>
            </w:r>
          </w:p>
        </w:tc>
        <w:tc>
          <w:tcPr>
            <w:tcW w:w="6272" w:type="dxa"/>
            <w:tcBorders>
              <w:top w:val="single" w:color="auto" w:sz="4" w:space="0"/>
              <w:left w:val="single" w:color="auto" w:sz="4" w:space="0"/>
              <w:bottom w:val="single" w:color="auto" w:sz="4" w:space="0"/>
              <w:right w:val="single" w:color="auto" w:sz="4" w:space="0"/>
            </w:tcBorders>
            <w:vAlign w:val="center"/>
          </w:tcPr>
          <w:p w14:paraId="483C763E">
            <w:pPr>
              <w:snapToGrid w:val="0"/>
              <w:spacing w:line="400" w:lineRule="exact"/>
              <w:rPr>
                <w:rFonts w:hint="eastAsia" w:ascii="宋体" w:hAnsi="宋体"/>
                <w:szCs w:val="21"/>
              </w:rPr>
            </w:pPr>
            <w:r>
              <w:rPr>
                <w:rFonts w:hint="eastAsia" w:ascii="宋体" w:hAnsi="MS Gothic" w:eastAsia="MS Gothic" w:cs="MS Gothic"/>
                <w:szCs w:val="21"/>
              </w:rPr>
              <w:t>☑</w:t>
            </w:r>
            <w:r>
              <w:rPr>
                <w:rFonts w:hint="eastAsia" w:ascii="宋体" w:hAnsi="宋体"/>
                <w:szCs w:val="21"/>
              </w:rPr>
              <w:t>不组织召开开标前答疑会</w:t>
            </w:r>
          </w:p>
          <w:p w14:paraId="1FE6F674">
            <w:pPr>
              <w:snapToGrid w:val="0"/>
              <w:spacing w:line="400" w:lineRule="exact"/>
              <w:rPr>
                <w:rFonts w:hint="eastAsia" w:ascii="宋体" w:hAnsi="宋体"/>
                <w:szCs w:val="21"/>
              </w:rPr>
            </w:pPr>
            <w:r>
              <w:rPr>
                <w:rFonts w:hint="eastAsia" w:ascii="宋体" w:hAnsi="宋体"/>
                <w:szCs w:val="21"/>
              </w:rPr>
              <w:t>□组织召开开标前答疑会</w:t>
            </w:r>
          </w:p>
          <w:p w14:paraId="6452952E">
            <w:pPr>
              <w:snapToGrid w:val="0"/>
              <w:spacing w:line="400" w:lineRule="exact"/>
              <w:rPr>
                <w:rFonts w:hint="eastAsia" w:ascii="宋体" w:hAnsi="宋体"/>
                <w:szCs w:val="21"/>
              </w:rPr>
            </w:pPr>
            <w:r>
              <w:rPr>
                <w:rFonts w:hint="eastAsia" w:ascii="宋体" w:hAnsi="宋体"/>
                <w:szCs w:val="21"/>
              </w:rPr>
              <w:t>会议开始时间：</w:t>
            </w:r>
            <w:r>
              <w:rPr>
                <w:rFonts w:hint="eastAsia" w:ascii="宋体" w:hAnsi="宋体"/>
                <w:szCs w:val="21"/>
                <w:u w:val="single"/>
              </w:rPr>
              <w:t>年月日 时  分</w:t>
            </w:r>
            <w:r>
              <w:rPr>
                <w:rFonts w:hint="eastAsia" w:ascii="宋体" w:hAnsi="宋体"/>
                <w:szCs w:val="21"/>
              </w:rPr>
              <w:t>，逾期后果自负。</w:t>
            </w:r>
          </w:p>
          <w:p w14:paraId="0753E6F6">
            <w:pPr>
              <w:snapToGrid w:val="0"/>
              <w:spacing w:line="400" w:lineRule="exact"/>
              <w:rPr>
                <w:rFonts w:hint="eastAsia" w:ascii="宋体" w:hAnsi="宋体"/>
                <w:szCs w:val="21"/>
                <w:u w:val="single"/>
              </w:rPr>
            </w:pPr>
            <w:r>
              <w:rPr>
                <w:rFonts w:hint="eastAsia" w:ascii="宋体" w:hAnsi="宋体"/>
                <w:szCs w:val="21"/>
              </w:rPr>
              <w:t>会议地点：</w:t>
            </w:r>
          </w:p>
        </w:tc>
      </w:tr>
      <w:tr w14:paraId="6E28BC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left w:val="single" w:color="auto" w:sz="4" w:space="0"/>
              <w:right w:val="single" w:color="auto" w:sz="4" w:space="0"/>
            </w:tcBorders>
            <w:vAlign w:val="center"/>
          </w:tcPr>
          <w:p w14:paraId="3911F7D3">
            <w:pPr>
              <w:spacing w:line="400" w:lineRule="exact"/>
              <w:jc w:val="center"/>
              <w:rPr>
                <w:rFonts w:hint="eastAsia" w:ascii="宋体" w:hAnsi="宋体"/>
                <w:szCs w:val="21"/>
              </w:rPr>
            </w:pPr>
            <w:r>
              <w:rPr>
                <w:rFonts w:hint="eastAsia" w:ascii="宋体" w:hAnsi="宋体"/>
                <w:szCs w:val="21"/>
              </w:rPr>
              <w:t>13.1</w:t>
            </w:r>
          </w:p>
        </w:tc>
        <w:tc>
          <w:tcPr>
            <w:tcW w:w="1407" w:type="dxa"/>
            <w:tcBorders>
              <w:top w:val="single" w:color="auto" w:sz="4" w:space="0"/>
              <w:left w:val="single" w:color="auto" w:sz="4" w:space="0"/>
              <w:bottom w:val="single" w:color="auto" w:sz="4" w:space="0"/>
              <w:right w:val="single" w:color="auto" w:sz="4" w:space="0"/>
            </w:tcBorders>
            <w:vAlign w:val="center"/>
          </w:tcPr>
          <w:p w14:paraId="56FCEBCE">
            <w:pPr>
              <w:snapToGrid w:val="0"/>
              <w:spacing w:line="400" w:lineRule="exact"/>
              <w:jc w:val="center"/>
              <w:rPr>
                <w:rFonts w:hint="eastAsia" w:ascii="宋体" w:hAnsi="宋体" w:cs="Courier New"/>
                <w:szCs w:val="21"/>
              </w:rPr>
            </w:pPr>
            <w:bookmarkStart w:id="73" w:name="_13.2"/>
            <w:bookmarkEnd w:id="73"/>
            <w:r>
              <w:rPr>
                <w:rFonts w:hint="eastAsia" w:ascii="宋体" w:hAnsi="宋体" w:cs="Courier New"/>
                <w:szCs w:val="21"/>
              </w:rPr>
              <w:t>资格证明文件组成</w:t>
            </w:r>
          </w:p>
        </w:tc>
        <w:tc>
          <w:tcPr>
            <w:tcW w:w="6272" w:type="dxa"/>
            <w:tcBorders>
              <w:top w:val="single" w:color="auto" w:sz="4" w:space="0"/>
              <w:left w:val="single" w:color="auto" w:sz="4" w:space="0"/>
              <w:bottom w:val="single" w:color="auto" w:sz="4" w:space="0"/>
              <w:right w:val="single" w:color="auto" w:sz="4" w:space="0"/>
            </w:tcBorders>
            <w:vAlign w:val="center"/>
          </w:tcPr>
          <w:p w14:paraId="0CD8DA5B">
            <w:pPr>
              <w:snapToGrid w:val="0"/>
              <w:spacing w:line="400" w:lineRule="exact"/>
              <w:jc w:val="left"/>
              <w:rPr>
                <w:rFonts w:hint="eastAsia" w:ascii="宋体" w:hAnsi="宋体"/>
                <w:szCs w:val="21"/>
              </w:rPr>
            </w:pPr>
            <w:r>
              <w:rPr>
                <w:rFonts w:hint="eastAsia" w:ascii="宋体" w:hAnsi="宋体"/>
                <w:szCs w:val="21"/>
              </w:rPr>
              <w:t>1、投标人为法人或者其他组织的，提供营业执照等证明文件复印件</w:t>
            </w:r>
            <w:r>
              <w:rPr>
                <w:rFonts w:hint="eastAsia" w:ascii="宋体" w:hAnsi="宋体" w:cs="宋体"/>
                <w:szCs w:val="21"/>
              </w:rPr>
              <w:t>（如营业执照或者事业单位法人证书或者</w:t>
            </w:r>
            <w:r>
              <w:rPr>
                <w:rStyle w:val="26"/>
                <w:color w:val="auto"/>
                <w:sz w:val="21"/>
                <w:szCs w:val="21"/>
              </w:rPr>
              <w:t>执业许可证</w:t>
            </w:r>
            <w:r>
              <w:rPr>
                <w:rFonts w:hint="eastAsia" w:ascii="宋体" w:hAnsi="宋体" w:cs="宋体"/>
                <w:szCs w:val="21"/>
              </w:rPr>
              <w:t>等）</w:t>
            </w:r>
            <w:r>
              <w:rPr>
                <w:rFonts w:hint="eastAsia" w:ascii="宋体" w:hAnsi="宋体"/>
                <w:szCs w:val="21"/>
              </w:rPr>
              <w:t>，投标人为自然人的，提供身份证</w:t>
            </w:r>
            <w:r>
              <w:rPr>
                <w:rFonts w:hint="eastAsia" w:ascii="宋体" w:hAnsi="宋体" w:cs="宋体"/>
                <w:szCs w:val="21"/>
              </w:rPr>
              <w:t>复印件</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24737434">
            <w:pPr>
              <w:snapToGrid w:val="0"/>
              <w:spacing w:line="400" w:lineRule="exact"/>
              <w:jc w:val="left"/>
              <w:rPr>
                <w:rFonts w:hint="eastAsia" w:ascii="宋体" w:hAnsi="宋体"/>
                <w:szCs w:val="21"/>
              </w:rPr>
            </w:pPr>
            <w:r>
              <w:rPr>
                <w:rFonts w:hint="eastAsia" w:ascii="宋体" w:hAnsi="宋体" w:cs="宋体"/>
                <w:szCs w:val="21"/>
              </w:rPr>
              <w:t>2、投标人依法缴纳税收的相关材料[</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rPr>
              <w:t>01</w:t>
            </w:r>
            <w:r>
              <w:rPr>
                <w:rFonts w:hint="eastAsia" w:ascii="宋体" w:hAnsi="宋体" w:cs="宋体"/>
                <w:szCs w:val="21"/>
              </w:rPr>
              <w:t>月至</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rPr>
              <w:t>07</w:t>
            </w:r>
            <w:r>
              <w:rPr>
                <w:rFonts w:hint="eastAsia" w:ascii="宋体" w:hAnsi="宋体" w:cs="宋体"/>
                <w:szCs w:val="21"/>
              </w:rPr>
              <w:t>月内任意一个月的依法缴纳税收的凭据复印件；依</w:t>
            </w:r>
            <w:r>
              <w:rPr>
                <w:rFonts w:hint="eastAsia" w:ascii="宋体" w:hAnsi="宋体"/>
                <w:szCs w:val="21"/>
              </w:rPr>
              <w:t>法免税的</w:t>
            </w:r>
            <w:r>
              <w:rPr>
                <w:rFonts w:hint="eastAsia" w:ascii="宋体" w:hAnsi="宋体" w:cs="宋体"/>
                <w:szCs w:val="21"/>
              </w:rPr>
              <w:t>投标人</w:t>
            </w:r>
            <w:r>
              <w:rPr>
                <w:rFonts w:hint="eastAsia" w:ascii="宋体" w:hAnsi="宋体"/>
                <w:szCs w:val="21"/>
              </w:rPr>
              <w:t>，必须提供相应文件证明其依法免税。</w:t>
            </w:r>
            <w:r>
              <w:rPr>
                <w:rFonts w:hint="eastAsia" w:ascii="宋体" w:hAnsi="宋体" w:cs="宋体"/>
                <w:szCs w:val="21"/>
              </w:rPr>
              <w:t>从取得营业执照时间起到投标文件提交截止时间为止不足要求月数的，只需提供从取得营业执照起的依法缴纳税收</w:t>
            </w:r>
            <w:r>
              <w:rPr>
                <w:rFonts w:hint="eastAsia" w:ascii="宋体" w:hAnsi="宋体"/>
                <w:szCs w:val="21"/>
              </w:rPr>
              <w:t>相应证明文件]；（</w:t>
            </w:r>
            <w:r>
              <w:rPr>
                <w:rFonts w:hint="eastAsia" w:ascii="宋体" w:hAnsi="宋体"/>
                <w:b/>
                <w:szCs w:val="21"/>
              </w:rPr>
              <w:t>必须提供，否则作无效投标处理</w:t>
            </w:r>
            <w:r>
              <w:rPr>
                <w:rFonts w:hint="eastAsia" w:ascii="宋体" w:hAnsi="宋体"/>
                <w:szCs w:val="21"/>
              </w:rPr>
              <w:t>）</w:t>
            </w:r>
          </w:p>
          <w:p w14:paraId="7B0F3411">
            <w:pPr>
              <w:snapToGrid w:val="0"/>
              <w:spacing w:line="400" w:lineRule="exact"/>
              <w:jc w:val="left"/>
              <w:rPr>
                <w:rFonts w:hint="eastAsia" w:ascii="宋体" w:hAnsi="宋体"/>
                <w:szCs w:val="21"/>
              </w:rPr>
            </w:pPr>
            <w:r>
              <w:rPr>
                <w:rFonts w:hint="eastAsia" w:ascii="宋体" w:hAnsi="宋体" w:cs="宋体"/>
                <w:szCs w:val="21"/>
              </w:rPr>
              <w:t>3、投标人依法缴纳社会保障资金的相关材料[</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rPr>
              <w:t>01</w:t>
            </w:r>
            <w:r>
              <w:rPr>
                <w:rFonts w:hint="eastAsia" w:ascii="宋体" w:hAnsi="宋体" w:cs="宋体"/>
                <w:szCs w:val="21"/>
              </w:rPr>
              <w:t>月至</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rPr>
              <w:t>07</w:t>
            </w:r>
            <w:r>
              <w:rPr>
                <w:rFonts w:hint="eastAsia" w:ascii="宋体" w:hAnsi="宋体" w:cs="宋体"/>
                <w:szCs w:val="21"/>
              </w:rPr>
              <w:t>月内任意一个月的依法缴纳社会保障资金的缴费凭证（专用收据或者社会保险缴纳清单）复印件；</w:t>
            </w:r>
            <w:r>
              <w:rPr>
                <w:rFonts w:hint="eastAsia" w:ascii="宋体" w:hAnsi="宋体"/>
                <w:szCs w:val="21"/>
              </w:rPr>
              <w:t>依法不需要缴纳社会保障资金的</w:t>
            </w:r>
            <w:r>
              <w:rPr>
                <w:rFonts w:hint="eastAsia" w:ascii="宋体" w:hAnsi="宋体" w:cs="宋体"/>
                <w:szCs w:val="21"/>
              </w:rPr>
              <w:t>投标人</w:t>
            </w:r>
            <w:r>
              <w:rPr>
                <w:rFonts w:hint="eastAsia" w:ascii="宋体" w:hAnsi="宋体"/>
                <w:szCs w:val="21"/>
              </w:rPr>
              <w:t>，必须提供相应文件证明不需要缴纳社会保障资金。</w:t>
            </w:r>
            <w:r>
              <w:rPr>
                <w:rFonts w:hint="eastAsia" w:ascii="宋体" w:hAnsi="宋体" w:cs="宋体"/>
                <w:szCs w:val="21"/>
              </w:rPr>
              <w:t>从取得营业执照时间起到投标文件提交截止时间为止不足要求月数的只需提供从取得营业执照起的依法缴纳社会保障资金的</w:t>
            </w:r>
            <w:r>
              <w:rPr>
                <w:rFonts w:hint="eastAsia" w:ascii="宋体" w:hAnsi="宋体"/>
                <w:szCs w:val="21"/>
              </w:rPr>
              <w:t>相应证明文件</w:t>
            </w:r>
            <w:r>
              <w:rPr>
                <w:rFonts w:hint="eastAsia" w:ascii="宋体" w:hAnsi="宋体" w:cs="宋体"/>
                <w:szCs w:val="21"/>
              </w:rPr>
              <w:t>]</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00AD1F44">
            <w:pPr>
              <w:snapToGrid w:val="0"/>
              <w:spacing w:line="400" w:lineRule="exact"/>
              <w:jc w:val="left"/>
              <w:rPr>
                <w:rFonts w:hint="eastAsia" w:ascii="宋体" w:hAnsi="宋体"/>
                <w:szCs w:val="21"/>
              </w:rPr>
            </w:pPr>
            <w:r>
              <w:rPr>
                <w:rFonts w:hint="eastAsia" w:ascii="宋体" w:hAnsi="宋体" w:cs="宋体"/>
                <w:szCs w:val="21"/>
              </w:rPr>
              <w:t>4、投标人财务状况报告</w:t>
            </w:r>
            <w:r>
              <w:rPr>
                <w:rFonts w:hint="eastAsia" w:ascii="宋体" w:hAnsi="宋体"/>
                <w:szCs w:val="21"/>
              </w:rPr>
              <w:t>[</w:t>
            </w:r>
            <w:r>
              <w:rPr>
                <w:rFonts w:hint="eastAsia" w:ascii="宋体" w:hAnsi="宋体"/>
                <w:szCs w:val="21"/>
                <w:u w:val="single"/>
              </w:rPr>
              <w:t>2025年</w:t>
            </w:r>
            <w:r>
              <w:rPr>
                <w:rFonts w:hint="eastAsia" w:ascii="宋体" w:hAnsi="宋体"/>
                <w:szCs w:val="21"/>
              </w:rPr>
              <w:t>]财务状况报告复印件；</w:t>
            </w:r>
            <w:r>
              <w:rPr>
                <w:rFonts w:hint="eastAsia" w:ascii="宋体" w:hAnsi="宋体" w:cs="宋体"/>
                <w:szCs w:val="21"/>
              </w:rPr>
              <w:t>投标人</w:t>
            </w:r>
            <w:r>
              <w:rPr>
                <w:rFonts w:hint="eastAsia" w:ascii="宋体" w:hAnsi="宋体"/>
                <w:szCs w:val="21"/>
              </w:rPr>
              <w:t>成立不满一年的应按提供截标之日上一个月的财务状况报告复印件。（上述财务状况报告包括：</w:t>
            </w:r>
            <w:r>
              <w:rPr>
                <w:rFonts w:hint="eastAsia" w:ascii="宋体" w:hAnsi="宋体" w:cs="宋体"/>
                <w:szCs w:val="21"/>
              </w:rPr>
              <w:t>投标人</w:t>
            </w:r>
            <w:r>
              <w:rPr>
                <w:rFonts w:hint="eastAsia" w:ascii="宋体" w:hAnsi="宋体"/>
                <w:szCs w:val="21"/>
              </w:rPr>
              <w:t>执行《企业会计准则》的，提供资产负债表、利润表、现金流量表、所有者权益变动表及其附注（以下称“四表一注”）；</w:t>
            </w:r>
            <w:r>
              <w:rPr>
                <w:rFonts w:hint="eastAsia" w:ascii="宋体" w:hAnsi="宋体" w:cs="宋体"/>
                <w:szCs w:val="21"/>
              </w:rPr>
              <w:t>投标人</w:t>
            </w:r>
            <w:r>
              <w:rPr>
                <w:rFonts w:hint="eastAsia" w:ascii="宋体" w:hAnsi="宋体"/>
                <w:szCs w:val="21"/>
              </w:rPr>
              <w:t>执行《小企业会计准则》的，提供资产负债表、利润表、现金流量表及其附注（以下称“三表一注”）；</w:t>
            </w:r>
            <w:r>
              <w:rPr>
                <w:rFonts w:hint="eastAsia" w:ascii="宋体" w:hAnsi="宋体" w:cs="宋体"/>
                <w:szCs w:val="21"/>
              </w:rPr>
              <w:t>投标人</w:t>
            </w:r>
            <w:r>
              <w:rPr>
                <w:rFonts w:hint="eastAsia" w:ascii="宋体" w:hAnsi="宋体"/>
                <w:szCs w:val="21"/>
              </w:rPr>
              <w:t>执行《政府会计制度》的，提供资产负债表、收入费用表和净资产变动表及其附注)。（</w:t>
            </w:r>
            <w:r>
              <w:rPr>
                <w:rFonts w:hint="eastAsia" w:ascii="宋体" w:hAnsi="宋体"/>
                <w:b/>
                <w:szCs w:val="21"/>
              </w:rPr>
              <w:t>必须提供，否则作无效投标处理</w:t>
            </w:r>
            <w:r>
              <w:rPr>
                <w:rFonts w:hint="eastAsia" w:ascii="宋体" w:hAnsi="宋体"/>
                <w:szCs w:val="21"/>
              </w:rPr>
              <w:t>）</w:t>
            </w:r>
          </w:p>
          <w:p w14:paraId="4FF2A013">
            <w:pPr>
              <w:snapToGrid w:val="0"/>
              <w:spacing w:line="400" w:lineRule="exact"/>
              <w:jc w:val="left"/>
              <w:rPr>
                <w:rFonts w:hint="eastAsia" w:ascii="宋体" w:hAnsi="宋体"/>
                <w:szCs w:val="21"/>
              </w:rPr>
            </w:pPr>
            <w:r>
              <w:rPr>
                <w:rFonts w:hint="eastAsia" w:ascii="宋体" w:hAnsi="宋体"/>
                <w:szCs w:val="21"/>
              </w:rPr>
              <w:t>5.投标人直接控股、管理关系信息表</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30DDE31E">
            <w:pPr>
              <w:snapToGrid w:val="0"/>
              <w:spacing w:line="400" w:lineRule="exact"/>
              <w:jc w:val="left"/>
              <w:rPr>
                <w:rFonts w:hint="eastAsia" w:ascii="宋体" w:hAnsi="宋体"/>
                <w:szCs w:val="21"/>
              </w:rPr>
            </w:pPr>
            <w:r>
              <w:rPr>
                <w:rFonts w:hint="eastAsia" w:ascii="宋体" w:hAnsi="宋体"/>
                <w:szCs w:val="21"/>
              </w:rPr>
              <w:t>6.投标资格声明函</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4D185A25">
            <w:pPr>
              <w:snapToGrid w:val="0"/>
              <w:spacing w:line="400" w:lineRule="exact"/>
              <w:jc w:val="left"/>
              <w:rPr>
                <w:rFonts w:hint="eastAsia" w:ascii="宋体" w:hAnsi="宋体"/>
                <w:szCs w:val="21"/>
              </w:rPr>
            </w:pPr>
            <w:r>
              <w:rPr>
                <w:rFonts w:hint="eastAsia" w:ascii="宋体" w:hAnsi="宋体"/>
                <w:szCs w:val="21"/>
              </w:rPr>
              <w:t>7.联合体协议书</w:t>
            </w:r>
            <w:r>
              <w:rPr>
                <w:rFonts w:ascii="宋体" w:hAnsi="宋体"/>
                <w:szCs w:val="21"/>
              </w:rPr>
              <w:t>（格式后附）</w:t>
            </w:r>
            <w:r>
              <w:rPr>
                <w:rFonts w:hint="eastAsia" w:ascii="宋体" w:hAnsi="宋体"/>
                <w:szCs w:val="21"/>
              </w:rPr>
              <w:t>；（</w:t>
            </w:r>
            <w:r>
              <w:rPr>
                <w:rFonts w:hint="eastAsia" w:ascii="宋体" w:hAnsi="宋体"/>
                <w:b/>
                <w:szCs w:val="21"/>
              </w:rPr>
              <w:t>联合体投标时必须提供，否则作无效投标处理</w:t>
            </w:r>
            <w:r>
              <w:rPr>
                <w:rFonts w:hint="eastAsia" w:ascii="宋体" w:hAnsi="宋体"/>
                <w:szCs w:val="21"/>
              </w:rPr>
              <w:t>）</w:t>
            </w:r>
          </w:p>
          <w:p w14:paraId="5E3023D6">
            <w:pPr>
              <w:snapToGrid w:val="0"/>
              <w:spacing w:line="400" w:lineRule="exact"/>
              <w:jc w:val="left"/>
              <w:rPr>
                <w:rFonts w:hint="eastAsia" w:ascii="宋体" w:hAnsi="宋体"/>
                <w:szCs w:val="21"/>
              </w:rPr>
            </w:pPr>
            <w:r>
              <w:rPr>
                <w:rFonts w:hint="eastAsia" w:ascii="宋体" w:hAnsi="宋体"/>
                <w:szCs w:val="21"/>
              </w:rPr>
              <w:t>8.除招标文件规定必须提供以外，</w:t>
            </w:r>
            <w:r>
              <w:rPr>
                <w:rFonts w:hint="eastAsia" w:ascii="宋体" w:hAnsi="宋体" w:cs="宋体"/>
                <w:szCs w:val="21"/>
              </w:rPr>
              <w:t>投标人</w:t>
            </w:r>
            <w:r>
              <w:rPr>
                <w:rFonts w:hint="eastAsia" w:ascii="宋体" w:hAnsi="宋体"/>
                <w:szCs w:val="21"/>
              </w:rPr>
              <w:t>认为需要提供的其他证明材料；</w:t>
            </w:r>
          </w:p>
          <w:p w14:paraId="0BAF8BBC">
            <w:pPr>
              <w:snapToGrid w:val="0"/>
              <w:spacing w:line="400" w:lineRule="exact"/>
              <w:jc w:val="left"/>
              <w:rPr>
                <w:rFonts w:hint="eastAsia" w:ascii="宋体" w:hAnsi="宋体" w:cs="Courier New"/>
                <w:b/>
                <w:szCs w:val="21"/>
              </w:rPr>
            </w:pPr>
            <w:r>
              <w:rPr>
                <w:rFonts w:hint="eastAsia" w:ascii="宋体" w:hAnsi="宋体"/>
                <w:b/>
                <w:bCs/>
                <w:szCs w:val="21"/>
              </w:rPr>
              <w:t>注：1.以上标明“必须提供”的材料</w:t>
            </w:r>
            <w:r>
              <w:rPr>
                <w:rFonts w:hint="eastAsia" w:ascii="宋体" w:hAnsi="宋体" w:cs="宋体"/>
                <w:b/>
                <w:szCs w:val="21"/>
              </w:rPr>
              <w:t>属于复印件或扫描件的</w:t>
            </w:r>
            <w:r>
              <w:rPr>
                <w:rFonts w:hint="eastAsia" w:ascii="宋体" w:hAnsi="宋体"/>
                <w:b/>
                <w:bCs/>
                <w:szCs w:val="21"/>
              </w:rPr>
              <w:t>，必须加盖投标人公章或电子签章（</w:t>
            </w:r>
            <w:r>
              <w:rPr>
                <w:rFonts w:ascii="宋体" w:hAnsi="宋体"/>
                <w:b/>
                <w:bCs/>
                <w:szCs w:val="21"/>
              </w:rPr>
              <w:t>联合体投标时，由联合体牵头人加盖</w:t>
            </w:r>
            <w:r>
              <w:rPr>
                <w:rFonts w:hint="eastAsia" w:ascii="宋体" w:hAnsi="宋体"/>
                <w:b/>
                <w:bCs/>
                <w:szCs w:val="21"/>
              </w:rPr>
              <w:t>公章或</w:t>
            </w:r>
            <w:r>
              <w:rPr>
                <w:rFonts w:ascii="宋体" w:hAnsi="宋体"/>
                <w:b/>
                <w:bCs/>
                <w:szCs w:val="21"/>
              </w:rPr>
              <w:t>电子签章</w:t>
            </w:r>
            <w:r>
              <w:rPr>
                <w:rFonts w:hint="eastAsia" w:ascii="宋体" w:hAnsi="宋体"/>
                <w:b/>
                <w:bCs/>
                <w:szCs w:val="21"/>
              </w:rPr>
              <w:t>），否则</w:t>
            </w:r>
            <w:r>
              <w:rPr>
                <w:rFonts w:hint="eastAsia" w:ascii="宋体" w:hAnsi="宋体" w:cs="Courier New"/>
                <w:b/>
                <w:szCs w:val="21"/>
              </w:rPr>
              <w:t>作无效投标处理。</w:t>
            </w:r>
          </w:p>
          <w:p w14:paraId="17561AE3">
            <w:pPr>
              <w:snapToGrid w:val="0"/>
              <w:spacing w:line="400" w:lineRule="exact"/>
              <w:ind w:firstLine="422" w:firstLineChars="200"/>
              <w:jc w:val="left"/>
              <w:rPr>
                <w:rFonts w:hint="eastAsia" w:ascii="宋体" w:hAnsi="宋体"/>
                <w:b/>
                <w:bCs/>
                <w:szCs w:val="21"/>
              </w:rPr>
            </w:pPr>
            <w:r>
              <w:rPr>
                <w:rFonts w:hint="eastAsia" w:ascii="宋体" w:hAnsi="宋体" w:cs="Courier New"/>
                <w:b/>
                <w:szCs w:val="21"/>
              </w:rPr>
              <w:t>2</w:t>
            </w:r>
            <w:r>
              <w:rPr>
                <w:rFonts w:hint="eastAsia" w:ascii="宋体" w:hAnsi="宋体"/>
                <w:b/>
                <w:bCs/>
                <w:szCs w:val="21"/>
              </w:rPr>
              <w:t>.联合体投标时，第1-5项资格证明文件联合体各方均必须分别提供，</w:t>
            </w:r>
            <w:r>
              <w:rPr>
                <w:rFonts w:ascii="宋体" w:hAnsi="宋体"/>
                <w:b/>
                <w:bCs/>
                <w:szCs w:val="21"/>
              </w:rPr>
              <w:t>联合体</w:t>
            </w:r>
            <w:r>
              <w:rPr>
                <w:rFonts w:hint="eastAsia" w:ascii="宋体" w:hAnsi="宋体"/>
                <w:b/>
                <w:bCs/>
                <w:szCs w:val="21"/>
              </w:rPr>
              <w:t>各方分别</w:t>
            </w:r>
            <w:r>
              <w:rPr>
                <w:rFonts w:ascii="宋体" w:hAnsi="宋体"/>
                <w:b/>
                <w:bCs/>
                <w:szCs w:val="21"/>
              </w:rPr>
              <w:t>加盖</w:t>
            </w:r>
            <w:r>
              <w:rPr>
                <w:rFonts w:hint="eastAsia" w:ascii="宋体" w:hAnsi="宋体"/>
                <w:b/>
                <w:bCs/>
                <w:szCs w:val="21"/>
              </w:rPr>
              <w:t>公章或</w:t>
            </w:r>
            <w:r>
              <w:rPr>
                <w:rFonts w:ascii="宋体" w:hAnsi="宋体"/>
                <w:b/>
                <w:bCs/>
                <w:szCs w:val="21"/>
              </w:rPr>
              <w:t>电子签章</w:t>
            </w:r>
            <w:r>
              <w:rPr>
                <w:rFonts w:hint="eastAsia" w:ascii="宋体" w:hAnsi="宋体"/>
                <w:b/>
                <w:bCs/>
                <w:szCs w:val="21"/>
              </w:rPr>
              <w:t>，否则投标文件按无效响应处理。</w:t>
            </w:r>
          </w:p>
        </w:tc>
      </w:tr>
      <w:tr w14:paraId="6642F2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left w:val="single" w:color="auto" w:sz="4" w:space="0"/>
              <w:right w:val="single" w:color="auto" w:sz="4" w:space="0"/>
            </w:tcBorders>
            <w:vAlign w:val="center"/>
          </w:tcPr>
          <w:p w14:paraId="547A2A8D">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032DD604">
            <w:pPr>
              <w:snapToGrid w:val="0"/>
              <w:spacing w:line="400" w:lineRule="exact"/>
              <w:jc w:val="center"/>
              <w:rPr>
                <w:rFonts w:hint="eastAsia" w:ascii="宋体" w:hAnsi="宋体" w:cs="Courier New"/>
                <w:szCs w:val="21"/>
              </w:rPr>
            </w:pPr>
            <w:bookmarkStart w:id="74" w:name="_13.3"/>
            <w:bookmarkEnd w:id="74"/>
            <w:r>
              <w:rPr>
                <w:rFonts w:hint="eastAsia" w:ascii="宋体" w:hAnsi="宋体" w:cs="Courier New"/>
                <w:szCs w:val="21"/>
              </w:rPr>
              <w:t>商务文件组成</w:t>
            </w:r>
          </w:p>
          <w:p w14:paraId="73A54881">
            <w:pPr>
              <w:spacing w:line="400" w:lineRule="exact"/>
              <w:jc w:val="center"/>
              <w:rPr>
                <w:rFonts w:hint="eastAsia" w:ascii="宋体" w:hAnsi="宋体"/>
                <w:szCs w:val="21"/>
              </w:rPr>
            </w:pPr>
          </w:p>
        </w:tc>
        <w:tc>
          <w:tcPr>
            <w:tcW w:w="6272" w:type="dxa"/>
            <w:tcBorders>
              <w:top w:val="single" w:color="auto" w:sz="4" w:space="0"/>
              <w:left w:val="single" w:color="auto" w:sz="4" w:space="0"/>
              <w:bottom w:val="single" w:color="auto" w:sz="4" w:space="0"/>
              <w:right w:val="single" w:color="auto" w:sz="4" w:space="0"/>
            </w:tcBorders>
            <w:vAlign w:val="center"/>
          </w:tcPr>
          <w:p w14:paraId="36075939">
            <w:pPr>
              <w:snapToGrid w:val="0"/>
              <w:spacing w:line="400" w:lineRule="exact"/>
              <w:jc w:val="left"/>
              <w:rPr>
                <w:rFonts w:hint="eastAsia" w:ascii="宋体" w:hAnsi="宋体"/>
                <w:szCs w:val="21"/>
              </w:rPr>
            </w:pPr>
            <w:r>
              <w:rPr>
                <w:rFonts w:hint="eastAsia" w:ascii="宋体" w:hAnsi="宋体"/>
                <w:szCs w:val="21"/>
              </w:rPr>
              <w:t>1.无串通投标行为的承诺函</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1213746D">
            <w:pPr>
              <w:pStyle w:val="2"/>
              <w:rPr>
                <w:rFonts w:hint="eastAsia" w:ascii="宋体" w:hAnsi="宋体"/>
                <w:kern w:val="2"/>
                <w:sz w:val="21"/>
                <w:szCs w:val="21"/>
              </w:rPr>
            </w:pPr>
            <w:r>
              <w:rPr>
                <w:rFonts w:hint="eastAsia" w:ascii="宋体" w:hAnsi="宋体"/>
                <w:kern w:val="2"/>
                <w:sz w:val="21"/>
                <w:szCs w:val="21"/>
              </w:rPr>
              <w:t>2.投标保证金缴纳凭证；</w:t>
            </w:r>
            <w:r>
              <w:rPr>
                <w:rFonts w:hint="eastAsia" w:ascii="宋体" w:hAnsi="宋体"/>
                <w:b/>
                <w:bCs/>
                <w:kern w:val="2"/>
                <w:sz w:val="21"/>
                <w:szCs w:val="21"/>
              </w:rPr>
              <w:t>（必须提供，否则按无效投标处理）</w:t>
            </w:r>
          </w:p>
          <w:p w14:paraId="10D01EAA">
            <w:pPr>
              <w:snapToGrid w:val="0"/>
              <w:spacing w:line="400" w:lineRule="exact"/>
              <w:jc w:val="left"/>
              <w:rPr>
                <w:rFonts w:hint="eastAsia" w:ascii="宋体" w:hAnsi="宋体"/>
                <w:szCs w:val="21"/>
              </w:rPr>
            </w:pPr>
            <w:r>
              <w:rPr>
                <w:rFonts w:hint="eastAsia" w:ascii="宋体" w:hAnsi="宋体"/>
                <w:szCs w:val="21"/>
              </w:rPr>
              <w:t>3.法定代表人身份证明及法定代表人有效身份证正反面复印件</w:t>
            </w:r>
            <w:r>
              <w:rPr>
                <w:rFonts w:ascii="宋体" w:hAnsi="宋体"/>
                <w:szCs w:val="21"/>
              </w:rPr>
              <w:t>（格式后附）</w:t>
            </w:r>
            <w:r>
              <w:rPr>
                <w:rFonts w:hint="eastAsia" w:ascii="宋体" w:hAnsi="宋体"/>
                <w:szCs w:val="21"/>
              </w:rPr>
              <w:t>；（</w:t>
            </w:r>
            <w:r>
              <w:rPr>
                <w:rFonts w:hint="eastAsia" w:ascii="宋体" w:hAnsi="宋体" w:cs="宋体"/>
                <w:b/>
                <w:bCs/>
                <w:szCs w:val="21"/>
              </w:rPr>
              <w:t>除自然人投标外</w:t>
            </w:r>
            <w:r>
              <w:rPr>
                <w:rFonts w:hint="eastAsia" w:ascii="宋体" w:hAnsi="宋体"/>
                <w:b/>
                <w:szCs w:val="21"/>
              </w:rPr>
              <w:t>必须提供，否则作无效投标处理</w:t>
            </w:r>
            <w:r>
              <w:rPr>
                <w:rFonts w:hint="eastAsia" w:ascii="宋体" w:hAnsi="宋体"/>
                <w:szCs w:val="21"/>
              </w:rPr>
              <w:t>）</w:t>
            </w:r>
          </w:p>
          <w:p w14:paraId="2213C79A">
            <w:pPr>
              <w:snapToGrid w:val="0"/>
              <w:spacing w:line="400" w:lineRule="exact"/>
              <w:jc w:val="left"/>
              <w:rPr>
                <w:rFonts w:hint="eastAsia" w:ascii="宋体" w:hAnsi="宋体"/>
                <w:szCs w:val="21"/>
              </w:rPr>
            </w:pPr>
            <w:r>
              <w:rPr>
                <w:rFonts w:hint="eastAsia" w:ascii="宋体" w:hAnsi="宋体"/>
                <w:szCs w:val="21"/>
              </w:rPr>
              <w:t>4.法定代表人授权委托书及委托代理人有效身份证正反面复印件</w:t>
            </w:r>
            <w:r>
              <w:rPr>
                <w:rFonts w:ascii="宋体" w:hAnsi="宋体"/>
                <w:szCs w:val="21"/>
              </w:rPr>
              <w:t>（格式后附）</w:t>
            </w:r>
            <w:r>
              <w:rPr>
                <w:rFonts w:hint="eastAsia" w:ascii="宋体" w:hAnsi="宋体"/>
                <w:szCs w:val="21"/>
              </w:rPr>
              <w:t>；（</w:t>
            </w:r>
            <w:r>
              <w:rPr>
                <w:rFonts w:hint="eastAsia" w:ascii="宋体" w:hAnsi="宋体"/>
                <w:b/>
                <w:szCs w:val="21"/>
              </w:rPr>
              <w:t>委托时必须提供，否则作无效投标处理</w:t>
            </w:r>
            <w:r>
              <w:rPr>
                <w:rFonts w:hint="eastAsia" w:ascii="宋体" w:hAnsi="宋体"/>
                <w:szCs w:val="21"/>
              </w:rPr>
              <w:t>）</w:t>
            </w:r>
          </w:p>
          <w:p w14:paraId="03ADDA88">
            <w:pPr>
              <w:snapToGrid w:val="0"/>
              <w:spacing w:line="400" w:lineRule="exact"/>
              <w:jc w:val="left"/>
              <w:rPr>
                <w:rFonts w:hint="eastAsia" w:ascii="宋体" w:hAnsi="宋体"/>
                <w:szCs w:val="21"/>
              </w:rPr>
            </w:pPr>
            <w:r>
              <w:rPr>
                <w:rFonts w:hint="eastAsia" w:ascii="宋体" w:hAnsi="宋体"/>
                <w:szCs w:val="21"/>
              </w:rPr>
              <w:t>5.商务条款偏离表</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39962638">
            <w:pPr>
              <w:snapToGrid w:val="0"/>
              <w:spacing w:line="400" w:lineRule="exact"/>
              <w:jc w:val="left"/>
              <w:rPr>
                <w:rFonts w:hint="eastAsia" w:ascii="宋体" w:hAnsi="宋体"/>
                <w:szCs w:val="21"/>
              </w:rPr>
            </w:pPr>
            <w:r>
              <w:rPr>
                <w:rFonts w:hint="eastAsia" w:ascii="宋体" w:hAnsi="宋体"/>
                <w:szCs w:val="21"/>
              </w:rPr>
              <w:t>6.投标人情况介绍</w:t>
            </w:r>
            <w:r>
              <w:rPr>
                <w:rFonts w:ascii="宋体" w:hAnsi="宋体"/>
                <w:szCs w:val="21"/>
              </w:rPr>
              <w:t>（格式自拟）</w:t>
            </w:r>
            <w:r>
              <w:rPr>
                <w:rFonts w:hint="eastAsia" w:ascii="宋体" w:hAnsi="宋体"/>
                <w:szCs w:val="21"/>
              </w:rPr>
              <w:t>；</w:t>
            </w:r>
          </w:p>
          <w:p w14:paraId="7C5DB400">
            <w:pPr>
              <w:snapToGrid w:val="0"/>
              <w:spacing w:line="400" w:lineRule="exact"/>
              <w:jc w:val="left"/>
              <w:rPr>
                <w:rFonts w:hint="eastAsia" w:ascii="宋体" w:hAnsi="宋体"/>
                <w:szCs w:val="21"/>
              </w:rPr>
            </w:pPr>
            <w:r>
              <w:rPr>
                <w:rFonts w:hint="eastAsia" w:ascii="宋体" w:hAnsi="宋体"/>
                <w:szCs w:val="21"/>
              </w:rPr>
              <w:t>7.</w:t>
            </w:r>
            <w:r>
              <w:rPr>
                <w:rFonts w:hint="eastAsia" w:ascii="宋体" w:hAnsi="宋体" w:cs="宋体"/>
                <w:szCs w:val="21"/>
              </w:rPr>
              <w:t>投标人廉洁承诺书（格式后附）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6E5EFBB4">
            <w:pPr>
              <w:snapToGrid w:val="0"/>
              <w:spacing w:line="400" w:lineRule="exact"/>
              <w:jc w:val="left"/>
            </w:pPr>
            <w:r>
              <w:rPr>
                <w:rFonts w:hint="eastAsia" w:ascii="宋体" w:hAnsi="宋体"/>
                <w:szCs w:val="21"/>
              </w:rPr>
              <w:t>8.</w:t>
            </w:r>
            <w:r>
              <w:rPr>
                <w:rFonts w:hint="eastAsia" w:ascii="宋体" w:hAnsi="宋体" w:cs="宋体"/>
                <w:szCs w:val="21"/>
              </w:rPr>
              <w:t>信息安全承诺书（格式后附）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0041F180">
            <w:pPr>
              <w:snapToGrid w:val="0"/>
              <w:spacing w:line="400" w:lineRule="exact"/>
              <w:jc w:val="left"/>
              <w:rPr>
                <w:rFonts w:hint="eastAsia" w:ascii="宋体" w:hAnsi="宋体"/>
                <w:szCs w:val="21"/>
              </w:rPr>
            </w:pPr>
            <w:r>
              <w:rPr>
                <w:rFonts w:hint="eastAsia" w:ascii="宋体" w:hAnsi="宋体"/>
                <w:szCs w:val="21"/>
              </w:rPr>
              <w:t>9.除招标文件规定必须提供以外，投标人认为需要提供的其他证明材料。（投标人根据“第二章 采购需求”及“第四章 评标方法及评标标准”提供有关证明材料）。</w:t>
            </w:r>
          </w:p>
          <w:p w14:paraId="6BE23519">
            <w:pPr>
              <w:snapToGrid w:val="0"/>
              <w:spacing w:line="400" w:lineRule="exact"/>
              <w:jc w:val="left"/>
              <w:rPr>
                <w:rFonts w:hint="eastAsia" w:ascii="宋体" w:hAnsi="宋体"/>
                <w:b/>
                <w:bCs/>
                <w:szCs w:val="21"/>
              </w:rPr>
            </w:pPr>
            <w:r>
              <w:rPr>
                <w:rFonts w:hint="eastAsia" w:ascii="宋体" w:hAnsi="宋体"/>
                <w:b/>
                <w:bCs/>
                <w:szCs w:val="21"/>
              </w:rPr>
              <w:t>注：1.以上标明“必须提供”的材料</w:t>
            </w:r>
            <w:r>
              <w:rPr>
                <w:rFonts w:hint="eastAsia" w:ascii="宋体" w:hAnsi="宋体" w:cs="宋体"/>
                <w:b/>
                <w:szCs w:val="21"/>
              </w:rPr>
              <w:t>属于复印件或扫描件的</w:t>
            </w:r>
            <w:r>
              <w:rPr>
                <w:rFonts w:hint="eastAsia" w:ascii="宋体" w:hAnsi="宋体"/>
                <w:b/>
                <w:bCs/>
                <w:szCs w:val="21"/>
              </w:rPr>
              <w:t>，必须加盖投标人公章或电子签章，否则</w:t>
            </w:r>
            <w:r>
              <w:rPr>
                <w:rFonts w:hint="eastAsia" w:ascii="宋体" w:hAnsi="宋体" w:cs="Courier New"/>
                <w:b/>
                <w:szCs w:val="21"/>
              </w:rPr>
              <w:t>作无效投标处理</w:t>
            </w:r>
            <w:r>
              <w:rPr>
                <w:rFonts w:hint="eastAsia" w:ascii="宋体" w:hAnsi="宋体"/>
                <w:b/>
                <w:bCs/>
                <w:szCs w:val="21"/>
              </w:rPr>
              <w:t>。</w:t>
            </w:r>
          </w:p>
          <w:p w14:paraId="24371F11">
            <w:pPr>
              <w:snapToGrid w:val="0"/>
              <w:spacing w:line="400" w:lineRule="exact"/>
              <w:jc w:val="left"/>
              <w:rPr>
                <w:rFonts w:hint="eastAsia" w:ascii="宋体" w:hAnsi="宋体"/>
                <w:b/>
                <w:bCs/>
                <w:szCs w:val="21"/>
              </w:rPr>
            </w:pPr>
            <w:r>
              <w:rPr>
                <w:rFonts w:hint="eastAsia" w:ascii="宋体" w:hAnsi="宋体"/>
                <w:b/>
                <w:bCs/>
                <w:szCs w:val="21"/>
              </w:rPr>
              <w:t>2.法定代表人授权委托书必须由法定代表人及委托代理人签字或者盖章或者电子签名，并加盖投标人公章或电子签章，否则作无效投标处理。</w:t>
            </w:r>
          </w:p>
        </w:tc>
      </w:tr>
      <w:tr w14:paraId="605B6D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vMerge w:val="restart"/>
            <w:tcBorders>
              <w:left w:val="single" w:color="auto" w:sz="4" w:space="0"/>
              <w:right w:val="single" w:color="auto" w:sz="4" w:space="0"/>
            </w:tcBorders>
            <w:vAlign w:val="center"/>
          </w:tcPr>
          <w:p w14:paraId="4C7F4480">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51A1FAA8">
            <w:pPr>
              <w:snapToGrid w:val="0"/>
              <w:spacing w:line="400" w:lineRule="exact"/>
              <w:jc w:val="center"/>
              <w:rPr>
                <w:rFonts w:hint="eastAsia" w:ascii="宋体" w:hAnsi="宋体" w:cs="Courier New"/>
                <w:szCs w:val="21"/>
              </w:rPr>
            </w:pPr>
            <w:bookmarkStart w:id="75" w:name="_13.4"/>
            <w:bookmarkEnd w:id="75"/>
            <w:r>
              <w:rPr>
                <w:rFonts w:hint="eastAsia" w:ascii="宋体" w:hAnsi="宋体" w:cs="Courier New"/>
                <w:szCs w:val="21"/>
              </w:rPr>
              <w:t>技术文件组成</w:t>
            </w:r>
          </w:p>
          <w:p w14:paraId="1302F63B">
            <w:pPr>
              <w:spacing w:line="400" w:lineRule="exact"/>
              <w:jc w:val="center"/>
              <w:rPr>
                <w:rFonts w:hint="eastAsia" w:ascii="宋体" w:hAnsi="宋体"/>
                <w:szCs w:val="21"/>
              </w:rPr>
            </w:pPr>
          </w:p>
        </w:tc>
        <w:tc>
          <w:tcPr>
            <w:tcW w:w="6272" w:type="dxa"/>
            <w:tcBorders>
              <w:top w:val="single" w:color="auto" w:sz="4" w:space="0"/>
              <w:left w:val="single" w:color="auto" w:sz="4" w:space="0"/>
              <w:bottom w:val="single" w:color="auto" w:sz="4" w:space="0"/>
              <w:right w:val="single" w:color="auto" w:sz="4" w:space="0"/>
            </w:tcBorders>
            <w:vAlign w:val="center"/>
          </w:tcPr>
          <w:p w14:paraId="25B72AB9">
            <w:pPr>
              <w:snapToGrid w:val="0"/>
              <w:spacing w:line="400" w:lineRule="exact"/>
              <w:jc w:val="left"/>
              <w:rPr>
                <w:rFonts w:hint="eastAsia" w:ascii="宋体" w:hAnsi="宋体"/>
                <w:szCs w:val="21"/>
              </w:rPr>
            </w:pPr>
            <w:r>
              <w:rPr>
                <w:rFonts w:ascii="宋体" w:hAnsi="宋体"/>
                <w:szCs w:val="21"/>
              </w:rPr>
              <w:t>1</w:t>
            </w:r>
            <w:r>
              <w:rPr>
                <w:rFonts w:hint="eastAsia" w:ascii="宋体" w:hAnsi="宋体"/>
                <w:szCs w:val="21"/>
              </w:rPr>
              <w:t>.技术需求偏离表（格式后附）；（</w:t>
            </w:r>
            <w:r>
              <w:rPr>
                <w:rFonts w:hint="eastAsia" w:ascii="宋体" w:hAnsi="宋体"/>
                <w:b/>
                <w:szCs w:val="21"/>
              </w:rPr>
              <w:t>必须提供，否则作无效投标处理</w:t>
            </w:r>
            <w:r>
              <w:rPr>
                <w:rFonts w:hint="eastAsia" w:ascii="宋体" w:hAnsi="宋体"/>
                <w:szCs w:val="21"/>
              </w:rPr>
              <w:t>）</w:t>
            </w:r>
          </w:p>
          <w:p w14:paraId="31D13644">
            <w:pPr>
              <w:snapToGrid w:val="0"/>
              <w:spacing w:line="400" w:lineRule="exact"/>
              <w:jc w:val="left"/>
              <w:rPr>
                <w:rFonts w:hint="eastAsia" w:ascii="宋体" w:hAnsi="宋体"/>
                <w:b/>
                <w:bCs/>
                <w:szCs w:val="21"/>
              </w:rPr>
            </w:pPr>
            <w:r>
              <w:rPr>
                <w:rFonts w:ascii="宋体" w:hAnsi="宋体"/>
                <w:szCs w:val="21"/>
              </w:rPr>
              <w:t>2</w:t>
            </w:r>
            <w:r>
              <w:rPr>
                <w:rFonts w:hint="eastAsia" w:ascii="宋体" w:hAnsi="宋体"/>
                <w:szCs w:val="21"/>
              </w:rPr>
              <w:t>.实施方案</w:t>
            </w:r>
            <w:r>
              <w:rPr>
                <w:rFonts w:hint="eastAsia" w:ascii="宋体" w:hAnsi="宋体"/>
                <w:bCs/>
                <w:szCs w:val="21"/>
              </w:rPr>
              <w:t>（格式自拟）</w:t>
            </w:r>
            <w:r>
              <w:rPr>
                <w:rFonts w:hint="eastAsia" w:ascii="宋体" w:hAnsi="宋体"/>
                <w:szCs w:val="21"/>
              </w:rPr>
              <w:t>；（投标人根据“第二章 采购需求”及“第四章 评标方法及评标标准”提供）</w:t>
            </w:r>
          </w:p>
          <w:p w14:paraId="654497B7">
            <w:pPr>
              <w:snapToGrid w:val="0"/>
              <w:spacing w:line="400" w:lineRule="exact"/>
              <w:jc w:val="left"/>
              <w:rPr>
                <w:rFonts w:hint="eastAsia" w:ascii="宋体" w:hAnsi="宋体"/>
                <w:szCs w:val="21"/>
              </w:rPr>
            </w:pPr>
            <w:r>
              <w:rPr>
                <w:rFonts w:hint="eastAsia" w:ascii="宋体" w:hAnsi="宋体"/>
                <w:szCs w:val="21"/>
              </w:rPr>
              <w:t>3.项目实施人员一览表</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567B6946">
            <w:pPr>
              <w:snapToGrid w:val="0"/>
              <w:spacing w:line="400" w:lineRule="exact"/>
              <w:jc w:val="left"/>
              <w:rPr>
                <w:rFonts w:hint="eastAsia" w:ascii="宋体" w:hAnsi="宋体"/>
                <w:szCs w:val="21"/>
              </w:rPr>
            </w:pPr>
            <w:r>
              <w:rPr>
                <w:rFonts w:hint="eastAsia" w:ascii="宋体" w:hAnsi="宋体"/>
                <w:szCs w:val="21"/>
              </w:rPr>
              <w:t>4.服务承诺</w:t>
            </w:r>
            <w:r>
              <w:rPr>
                <w:rFonts w:ascii="宋体" w:hAnsi="宋体"/>
                <w:szCs w:val="21"/>
              </w:rPr>
              <w:t>（</w:t>
            </w:r>
            <w:r>
              <w:rPr>
                <w:rFonts w:hint="eastAsia" w:ascii="宋体" w:hAnsi="宋体"/>
                <w:szCs w:val="21"/>
              </w:rPr>
              <w:t>主要服务内容承诺，</w:t>
            </w:r>
            <w:r>
              <w:rPr>
                <w:rFonts w:ascii="宋体" w:hAnsi="宋体"/>
                <w:szCs w:val="21"/>
              </w:rPr>
              <w:t>格式自拟）</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112E56A0">
            <w:pPr>
              <w:snapToGrid w:val="0"/>
              <w:spacing w:line="400" w:lineRule="exact"/>
              <w:jc w:val="left"/>
              <w:rPr>
                <w:rFonts w:hint="eastAsia" w:ascii="宋体" w:hAnsi="宋体"/>
                <w:bCs/>
                <w:szCs w:val="21"/>
              </w:rPr>
            </w:pPr>
            <w:r>
              <w:rPr>
                <w:rFonts w:hint="eastAsia" w:ascii="宋体" w:hAnsi="宋体"/>
                <w:szCs w:val="21"/>
              </w:rPr>
              <w:t>5.除招标文件规定必须提供以外，投标人需要说明的其他文件和说明。</w:t>
            </w:r>
          </w:p>
          <w:p w14:paraId="705A87CC">
            <w:pPr>
              <w:snapToGrid w:val="0"/>
              <w:spacing w:line="400" w:lineRule="exact"/>
              <w:jc w:val="left"/>
              <w:rPr>
                <w:rFonts w:hint="eastAsia" w:ascii="宋体" w:hAnsi="宋体"/>
                <w:b/>
                <w:bCs/>
                <w:szCs w:val="21"/>
              </w:rPr>
            </w:pPr>
            <w:r>
              <w:rPr>
                <w:rFonts w:hint="eastAsia" w:ascii="宋体" w:hAnsi="宋体"/>
                <w:b/>
                <w:bCs/>
                <w:szCs w:val="21"/>
              </w:rPr>
              <w:t>注：以上标明“必须提供”的材料</w:t>
            </w:r>
            <w:r>
              <w:rPr>
                <w:rFonts w:hint="eastAsia" w:ascii="宋体" w:hAnsi="宋体" w:cs="宋体"/>
                <w:b/>
                <w:szCs w:val="21"/>
              </w:rPr>
              <w:t>属于复印件或扫描件的</w:t>
            </w:r>
            <w:r>
              <w:rPr>
                <w:rFonts w:hint="eastAsia" w:ascii="宋体" w:hAnsi="宋体"/>
                <w:b/>
                <w:bCs/>
                <w:szCs w:val="21"/>
              </w:rPr>
              <w:t>，必须加盖投标人公章或电子签章，否则</w:t>
            </w:r>
            <w:r>
              <w:rPr>
                <w:rFonts w:hint="eastAsia" w:ascii="宋体" w:hAnsi="宋体" w:cs="Courier New"/>
                <w:b/>
                <w:szCs w:val="21"/>
              </w:rPr>
              <w:t>作无效投标处理</w:t>
            </w:r>
            <w:r>
              <w:rPr>
                <w:rFonts w:hint="eastAsia" w:ascii="宋体" w:hAnsi="宋体"/>
                <w:b/>
                <w:bCs/>
                <w:szCs w:val="21"/>
              </w:rPr>
              <w:t>。</w:t>
            </w:r>
          </w:p>
        </w:tc>
      </w:tr>
      <w:tr w14:paraId="19E99A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vMerge w:val="continue"/>
            <w:tcBorders>
              <w:left w:val="single" w:color="auto" w:sz="4" w:space="0"/>
              <w:bottom w:val="single" w:color="auto" w:sz="4" w:space="0"/>
              <w:right w:val="single" w:color="auto" w:sz="4" w:space="0"/>
            </w:tcBorders>
            <w:vAlign w:val="center"/>
          </w:tcPr>
          <w:p w14:paraId="0F83235D">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1D8616D6">
            <w:pPr>
              <w:snapToGrid w:val="0"/>
              <w:spacing w:line="400" w:lineRule="exact"/>
              <w:jc w:val="center"/>
              <w:rPr>
                <w:rFonts w:hint="eastAsia" w:ascii="宋体" w:hAnsi="宋体" w:cs="Courier New"/>
                <w:szCs w:val="21"/>
              </w:rPr>
            </w:pPr>
            <w:r>
              <w:rPr>
                <w:rFonts w:hint="eastAsia" w:ascii="宋体" w:hAnsi="宋体" w:cs="Courier New"/>
                <w:szCs w:val="21"/>
              </w:rPr>
              <w:t>报价文件</w:t>
            </w:r>
            <w:r>
              <w:rPr>
                <w:rFonts w:hint="eastAsia" w:ascii="宋体" w:hAnsi="宋体"/>
                <w:szCs w:val="21"/>
              </w:rPr>
              <w:t>组成</w:t>
            </w:r>
          </w:p>
        </w:tc>
        <w:tc>
          <w:tcPr>
            <w:tcW w:w="6272" w:type="dxa"/>
            <w:tcBorders>
              <w:top w:val="single" w:color="auto" w:sz="4" w:space="0"/>
              <w:left w:val="single" w:color="auto" w:sz="4" w:space="0"/>
              <w:bottom w:val="single" w:color="auto" w:sz="4" w:space="0"/>
              <w:right w:val="single" w:color="auto" w:sz="4" w:space="0"/>
            </w:tcBorders>
            <w:vAlign w:val="center"/>
          </w:tcPr>
          <w:p w14:paraId="5D4ACEDF">
            <w:pPr>
              <w:tabs>
                <w:tab w:val="left" w:pos="459"/>
              </w:tabs>
              <w:snapToGrid w:val="0"/>
              <w:spacing w:line="400" w:lineRule="exact"/>
              <w:jc w:val="left"/>
              <w:rPr>
                <w:rFonts w:hint="eastAsia" w:ascii="宋体" w:hAnsi="宋体"/>
                <w:szCs w:val="21"/>
              </w:rPr>
            </w:pPr>
            <w:r>
              <w:rPr>
                <w:rFonts w:hint="eastAsia" w:ascii="宋体" w:hAnsi="宋体"/>
                <w:szCs w:val="21"/>
              </w:rPr>
              <w:t>1.投标函</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p>
          <w:p w14:paraId="3497D9F9">
            <w:pPr>
              <w:tabs>
                <w:tab w:val="left" w:pos="459"/>
              </w:tabs>
              <w:snapToGrid w:val="0"/>
              <w:spacing w:line="400" w:lineRule="exact"/>
              <w:jc w:val="left"/>
              <w:rPr>
                <w:rFonts w:hint="eastAsia" w:ascii="宋体" w:hAnsi="宋体"/>
                <w:szCs w:val="21"/>
              </w:rPr>
            </w:pPr>
            <w:r>
              <w:rPr>
                <w:rFonts w:hint="eastAsia" w:ascii="宋体" w:hAnsi="宋体"/>
                <w:szCs w:val="21"/>
              </w:rPr>
              <w:t>2.开标一览表</w:t>
            </w:r>
            <w:r>
              <w:rPr>
                <w:rFonts w:ascii="宋体" w:hAnsi="宋体"/>
                <w:szCs w:val="21"/>
              </w:rPr>
              <w:t>（格式后附）</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09D782AD">
            <w:pPr>
              <w:tabs>
                <w:tab w:val="left" w:pos="459"/>
              </w:tabs>
              <w:snapToGrid w:val="0"/>
              <w:spacing w:line="400" w:lineRule="exact"/>
              <w:jc w:val="left"/>
              <w:rPr>
                <w:rFonts w:hint="eastAsia" w:ascii="宋体" w:hAnsi="宋体"/>
                <w:szCs w:val="21"/>
              </w:rPr>
            </w:pPr>
            <w:r>
              <w:rPr>
                <w:rFonts w:hint="eastAsia" w:ascii="宋体" w:hAnsi="宋体"/>
                <w:szCs w:val="21"/>
              </w:rPr>
              <w:t>3.中小企业声明函或者残疾人福利性单位声明函或者供应商属于监狱企业的证明材料</w:t>
            </w:r>
            <w:r>
              <w:rPr>
                <w:rFonts w:ascii="宋体" w:hAnsi="宋体"/>
                <w:szCs w:val="21"/>
              </w:rPr>
              <w:t>（格式后附）</w:t>
            </w:r>
            <w:r>
              <w:rPr>
                <w:rFonts w:hint="eastAsia" w:ascii="宋体" w:hAnsi="宋体"/>
                <w:szCs w:val="21"/>
              </w:rPr>
              <w:t>。</w:t>
            </w:r>
            <w:r>
              <w:rPr>
                <w:rFonts w:hint="eastAsia" w:ascii="宋体" w:hAnsi="宋体"/>
                <w:b/>
                <w:bCs/>
                <w:szCs w:val="21"/>
              </w:rPr>
              <w:t>（分标1、分标2、分标3、分标4如有请提供；分标5必须提供，否则作无效投标处理）</w:t>
            </w:r>
          </w:p>
          <w:p w14:paraId="56447717">
            <w:pPr>
              <w:tabs>
                <w:tab w:val="left" w:pos="459"/>
              </w:tabs>
              <w:snapToGrid w:val="0"/>
              <w:spacing w:line="400" w:lineRule="exact"/>
              <w:jc w:val="left"/>
              <w:rPr>
                <w:rFonts w:hint="eastAsia" w:ascii="宋体" w:hAnsi="宋体"/>
                <w:szCs w:val="21"/>
              </w:rPr>
            </w:pPr>
            <w:r>
              <w:rPr>
                <w:rFonts w:hint="eastAsia" w:ascii="宋体" w:hAnsi="宋体"/>
                <w:szCs w:val="21"/>
              </w:rPr>
              <w:t>4.投标人针对报价需要说明的其他文件和说明。</w:t>
            </w:r>
          </w:p>
          <w:p w14:paraId="0701ED28">
            <w:pPr>
              <w:tabs>
                <w:tab w:val="left" w:pos="459"/>
              </w:tabs>
              <w:snapToGrid w:val="0"/>
              <w:spacing w:line="400" w:lineRule="exact"/>
              <w:jc w:val="left"/>
              <w:rPr>
                <w:rFonts w:hint="eastAsia" w:ascii="宋体" w:hAnsi="宋体"/>
                <w:szCs w:val="21"/>
              </w:rPr>
            </w:pPr>
            <w:r>
              <w:rPr>
                <w:rFonts w:hint="eastAsia" w:ascii="宋体" w:hAnsi="宋体"/>
                <w:b/>
                <w:bCs/>
                <w:szCs w:val="21"/>
              </w:rPr>
              <w:t>注：以上标明“必须提供”的材料</w:t>
            </w:r>
            <w:r>
              <w:rPr>
                <w:rFonts w:hint="eastAsia" w:ascii="宋体" w:hAnsi="宋体" w:cs="宋体"/>
                <w:b/>
                <w:szCs w:val="21"/>
              </w:rPr>
              <w:t>属于复印件或扫描件的</w:t>
            </w:r>
            <w:r>
              <w:rPr>
                <w:rFonts w:hint="eastAsia" w:ascii="宋体" w:hAnsi="宋体"/>
                <w:b/>
                <w:bCs/>
                <w:szCs w:val="21"/>
              </w:rPr>
              <w:t>，必须加盖投标人公章或电子签章（</w:t>
            </w:r>
            <w:r>
              <w:rPr>
                <w:rFonts w:ascii="宋体" w:hAnsi="宋体"/>
                <w:b/>
                <w:bCs/>
                <w:szCs w:val="21"/>
              </w:rPr>
              <w:t>联合体投标时，由联合体牵头人加盖</w:t>
            </w:r>
            <w:r>
              <w:rPr>
                <w:rFonts w:hint="eastAsia" w:ascii="宋体" w:hAnsi="宋体"/>
                <w:b/>
                <w:bCs/>
                <w:szCs w:val="21"/>
              </w:rPr>
              <w:t>公章或</w:t>
            </w:r>
            <w:r>
              <w:rPr>
                <w:rFonts w:ascii="宋体" w:hAnsi="宋体"/>
                <w:b/>
                <w:bCs/>
                <w:szCs w:val="21"/>
              </w:rPr>
              <w:t>电子签章</w:t>
            </w:r>
            <w:r>
              <w:rPr>
                <w:rFonts w:hint="eastAsia" w:ascii="宋体" w:hAnsi="宋体"/>
                <w:b/>
                <w:bCs/>
                <w:szCs w:val="21"/>
              </w:rPr>
              <w:t>），否则</w:t>
            </w:r>
            <w:r>
              <w:rPr>
                <w:rFonts w:hint="eastAsia" w:ascii="宋体" w:hAnsi="宋体" w:cs="Courier New"/>
                <w:b/>
                <w:szCs w:val="21"/>
              </w:rPr>
              <w:t>作无效投标处理</w:t>
            </w:r>
            <w:r>
              <w:rPr>
                <w:rFonts w:hint="eastAsia" w:ascii="宋体" w:hAnsi="宋体"/>
                <w:b/>
                <w:bCs/>
                <w:szCs w:val="21"/>
              </w:rPr>
              <w:t>。</w:t>
            </w:r>
          </w:p>
        </w:tc>
      </w:tr>
      <w:tr w14:paraId="65229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6EEFD4F8">
            <w:pPr>
              <w:spacing w:line="400" w:lineRule="exact"/>
              <w:jc w:val="center"/>
              <w:rPr>
                <w:rFonts w:hint="eastAsia" w:ascii="宋体" w:hAnsi="宋体"/>
                <w:szCs w:val="21"/>
              </w:rPr>
            </w:pPr>
            <w:r>
              <w:rPr>
                <w:rFonts w:hint="eastAsia" w:ascii="宋体" w:hAnsi="宋体"/>
                <w:szCs w:val="21"/>
              </w:rPr>
              <w:t>16.2</w:t>
            </w:r>
          </w:p>
        </w:tc>
        <w:tc>
          <w:tcPr>
            <w:tcW w:w="1407" w:type="dxa"/>
            <w:tcBorders>
              <w:top w:val="single" w:color="auto" w:sz="4" w:space="0"/>
              <w:left w:val="single" w:color="auto" w:sz="4" w:space="0"/>
              <w:bottom w:val="single" w:color="auto" w:sz="4" w:space="0"/>
              <w:right w:val="single" w:color="auto" w:sz="4" w:space="0"/>
            </w:tcBorders>
            <w:vAlign w:val="center"/>
          </w:tcPr>
          <w:p w14:paraId="55301970">
            <w:pPr>
              <w:spacing w:line="400" w:lineRule="exact"/>
              <w:jc w:val="center"/>
              <w:rPr>
                <w:rFonts w:hint="eastAsia" w:ascii="宋体" w:hAnsi="宋体"/>
                <w:szCs w:val="21"/>
              </w:rPr>
            </w:pPr>
            <w:bookmarkStart w:id="76" w:name="_16.2"/>
            <w:bookmarkEnd w:id="76"/>
            <w:r>
              <w:rPr>
                <w:rFonts w:hint="eastAsia" w:ascii="宋体" w:hAnsi="宋体"/>
                <w:szCs w:val="21"/>
              </w:rPr>
              <w:t>投标报价要求</w:t>
            </w:r>
          </w:p>
        </w:tc>
        <w:tc>
          <w:tcPr>
            <w:tcW w:w="6272" w:type="dxa"/>
            <w:tcBorders>
              <w:top w:val="single" w:color="auto" w:sz="4" w:space="0"/>
              <w:left w:val="single" w:color="auto" w:sz="4" w:space="0"/>
              <w:bottom w:val="single" w:color="auto" w:sz="4" w:space="0"/>
              <w:right w:val="single" w:color="auto" w:sz="4" w:space="0"/>
            </w:tcBorders>
            <w:vAlign w:val="center"/>
          </w:tcPr>
          <w:p w14:paraId="628E0E98">
            <w:pPr>
              <w:snapToGrid w:val="0"/>
              <w:spacing w:line="400" w:lineRule="exact"/>
              <w:rPr>
                <w:rFonts w:hint="eastAsia" w:ascii="宋体" w:hAnsi="宋体"/>
                <w:szCs w:val="21"/>
              </w:rPr>
            </w:pPr>
            <w:r>
              <w:rPr>
                <w:rFonts w:hint="eastAsia" w:ascii="宋体" w:hAnsi="宋体"/>
                <w:szCs w:val="21"/>
              </w:rPr>
              <w:t>投标报价是履行合同的最终价格，必须包含满足本次投标全部采购需求所应提供的服务，以及伴随的货物和工程（如有）的价格；包含投标服务、货物、工程的成本、运输（含保险）、安装（如有）、调试、检验、技术服务、培训、税费等所有费用。</w:t>
            </w:r>
            <w:r>
              <w:rPr>
                <w:rFonts w:hint="eastAsia" w:ascii="宋体" w:hAnsi="宋体"/>
                <w:b/>
                <w:szCs w:val="21"/>
              </w:rPr>
              <w:t>（采购需求另有约定的，从其约定。）</w:t>
            </w:r>
          </w:p>
        </w:tc>
      </w:tr>
      <w:tr w14:paraId="534D8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78F7DBD2">
            <w:pPr>
              <w:spacing w:line="400" w:lineRule="exact"/>
              <w:jc w:val="center"/>
              <w:rPr>
                <w:rFonts w:hint="eastAsia" w:ascii="宋体" w:hAnsi="宋体"/>
                <w:szCs w:val="21"/>
              </w:rPr>
            </w:pPr>
            <w:r>
              <w:rPr>
                <w:rFonts w:hint="eastAsia" w:ascii="宋体" w:hAnsi="宋体"/>
                <w:szCs w:val="21"/>
              </w:rPr>
              <w:t>17.</w:t>
            </w:r>
            <w:r>
              <w:rPr>
                <w:rFonts w:ascii="宋体" w:hAnsi="宋体"/>
                <w:szCs w:val="21"/>
              </w:rPr>
              <w:t>2</w:t>
            </w:r>
          </w:p>
        </w:tc>
        <w:tc>
          <w:tcPr>
            <w:tcW w:w="1407" w:type="dxa"/>
            <w:tcBorders>
              <w:top w:val="single" w:color="auto" w:sz="4" w:space="0"/>
              <w:left w:val="single" w:color="auto" w:sz="4" w:space="0"/>
              <w:bottom w:val="single" w:color="auto" w:sz="4" w:space="0"/>
              <w:right w:val="single" w:color="auto" w:sz="4" w:space="0"/>
            </w:tcBorders>
            <w:vAlign w:val="center"/>
          </w:tcPr>
          <w:p w14:paraId="04ACDB2C">
            <w:pPr>
              <w:spacing w:line="400" w:lineRule="exact"/>
              <w:jc w:val="center"/>
              <w:rPr>
                <w:rFonts w:hint="eastAsia" w:ascii="宋体" w:hAnsi="宋体"/>
                <w:szCs w:val="21"/>
              </w:rPr>
            </w:pPr>
            <w:bookmarkStart w:id="77" w:name="_17.1"/>
            <w:bookmarkEnd w:id="77"/>
            <w:r>
              <w:rPr>
                <w:rFonts w:hint="eastAsia" w:ascii="宋体" w:hAnsi="宋体"/>
                <w:szCs w:val="21"/>
              </w:rPr>
              <w:t>投标有效期</w:t>
            </w:r>
          </w:p>
        </w:tc>
        <w:tc>
          <w:tcPr>
            <w:tcW w:w="6272" w:type="dxa"/>
            <w:tcBorders>
              <w:top w:val="single" w:color="auto" w:sz="4" w:space="0"/>
              <w:left w:val="single" w:color="auto" w:sz="4" w:space="0"/>
              <w:bottom w:val="single" w:color="auto" w:sz="4" w:space="0"/>
              <w:right w:val="single" w:color="auto" w:sz="4" w:space="0"/>
            </w:tcBorders>
            <w:vAlign w:val="center"/>
          </w:tcPr>
          <w:p w14:paraId="494AC062">
            <w:pPr>
              <w:snapToGrid w:val="0"/>
              <w:spacing w:line="400" w:lineRule="exact"/>
              <w:rPr>
                <w:rFonts w:hint="eastAsia" w:ascii="宋体" w:hAnsi="宋体"/>
                <w:szCs w:val="21"/>
              </w:rPr>
            </w:pPr>
            <w:r>
              <w:rPr>
                <w:rFonts w:hint="eastAsia" w:ascii="宋体" w:hAnsi="宋体"/>
                <w:szCs w:val="21"/>
              </w:rPr>
              <w:t>自投标截止之日起</w:t>
            </w:r>
            <w:r>
              <w:rPr>
                <w:rFonts w:hint="eastAsia" w:ascii="宋体" w:hAnsi="宋体"/>
                <w:szCs w:val="21"/>
                <w:u w:val="single"/>
              </w:rPr>
              <w:t>90</w:t>
            </w:r>
            <w:r>
              <w:rPr>
                <w:rFonts w:hint="eastAsia" w:ascii="宋体" w:hAnsi="宋体"/>
                <w:szCs w:val="21"/>
              </w:rPr>
              <w:t>日。</w:t>
            </w:r>
          </w:p>
        </w:tc>
      </w:tr>
      <w:tr w14:paraId="463B24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136043CA">
            <w:pPr>
              <w:spacing w:line="400" w:lineRule="exact"/>
              <w:jc w:val="center"/>
              <w:rPr>
                <w:rFonts w:hint="eastAsia" w:ascii="宋体" w:hAnsi="宋体"/>
                <w:szCs w:val="21"/>
              </w:rPr>
            </w:pPr>
            <w:r>
              <w:rPr>
                <w:rFonts w:hint="eastAsia" w:ascii="宋体" w:hAnsi="宋体"/>
                <w:szCs w:val="21"/>
              </w:rPr>
              <w:t>18</w:t>
            </w:r>
          </w:p>
        </w:tc>
        <w:tc>
          <w:tcPr>
            <w:tcW w:w="1407" w:type="dxa"/>
            <w:tcBorders>
              <w:top w:val="single" w:color="auto" w:sz="4" w:space="0"/>
              <w:left w:val="single" w:color="auto" w:sz="4" w:space="0"/>
              <w:bottom w:val="single" w:color="auto" w:sz="4" w:space="0"/>
              <w:right w:val="single" w:color="auto" w:sz="4" w:space="0"/>
            </w:tcBorders>
            <w:vAlign w:val="center"/>
          </w:tcPr>
          <w:p w14:paraId="1B69E735">
            <w:pPr>
              <w:spacing w:line="400" w:lineRule="exact"/>
              <w:jc w:val="center"/>
              <w:rPr>
                <w:rFonts w:hint="eastAsia" w:ascii="宋体" w:hAnsi="宋体"/>
                <w:szCs w:val="21"/>
              </w:rPr>
            </w:pPr>
            <w:bookmarkStart w:id="78" w:name="_18"/>
            <w:bookmarkEnd w:id="78"/>
            <w:r>
              <w:rPr>
                <w:rFonts w:hint="eastAsia" w:ascii="宋体" w:hAnsi="宋体"/>
                <w:szCs w:val="21"/>
              </w:rPr>
              <w:t>投标保证金</w:t>
            </w:r>
          </w:p>
        </w:tc>
        <w:tc>
          <w:tcPr>
            <w:tcW w:w="6272" w:type="dxa"/>
            <w:tcBorders>
              <w:top w:val="single" w:color="auto" w:sz="4" w:space="0"/>
              <w:left w:val="single" w:color="auto" w:sz="4" w:space="0"/>
              <w:bottom w:val="single" w:color="auto" w:sz="4" w:space="0"/>
              <w:right w:val="single" w:color="auto" w:sz="4" w:space="0"/>
            </w:tcBorders>
            <w:vAlign w:val="center"/>
          </w:tcPr>
          <w:p w14:paraId="63C6322D">
            <w:pPr>
              <w:snapToGrid w:val="0"/>
              <w:spacing w:line="400" w:lineRule="exact"/>
              <w:rPr>
                <w:rFonts w:hint="eastAsia" w:ascii="宋体" w:hAnsi="宋体" w:cs="宋体"/>
                <w:szCs w:val="21"/>
              </w:rPr>
            </w:pPr>
            <w:r>
              <w:rPr>
                <w:rFonts w:hint="eastAsia" w:ascii="宋体" w:hAnsi="宋体" w:cs="宋体"/>
                <w:szCs w:val="21"/>
              </w:rPr>
              <w:t>□本项目不收取投标保证金</w:t>
            </w:r>
          </w:p>
          <w:p w14:paraId="6099BB3C">
            <w:pPr>
              <w:snapToGrid w:val="0"/>
              <w:spacing w:line="400" w:lineRule="exact"/>
              <w:rPr>
                <w:rFonts w:hint="eastAsia" w:ascii="宋体" w:hAnsi="宋体" w:cs="宋体"/>
                <w:szCs w:val="21"/>
              </w:rPr>
            </w:pPr>
            <w:r>
              <w:rPr>
                <w:rFonts w:hint="eastAsia" w:ascii="宋体" w:hAnsi="MS Gothic" w:eastAsia="MS Gothic" w:cs="MS Gothic"/>
                <w:szCs w:val="21"/>
              </w:rPr>
              <w:t>☑</w:t>
            </w:r>
            <w:r>
              <w:rPr>
                <w:rFonts w:hint="eastAsia" w:ascii="宋体" w:hAnsi="宋体" w:cs="宋体"/>
                <w:szCs w:val="21"/>
              </w:rPr>
              <w:t>本项目收取投标保证金，具体规定如下：</w:t>
            </w:r>
          </w:p>
          <w:p w14:paraId="0E55AFD8">
            <w:pPr>
              <w:snapToGrid w:val="0"/>
              <w:spacing w:line="400" w:lineRule="exact"/>
              <w:ind w:firstLine="420" w:firstLineChars="200"/>
              <w:rPr>
                <w:rFonts w:hint="eastAsia" w:ascii="宋体" w:hAnsi="宋体" w:cs="宋体"/>
                <w:kern w:val="0"/>
                <w:szCs w:val="21"/>
              </w:rPr>
            </w:pPr>
            <w:r>
              <w:rPr>
                <w:rFonts w:ascii="宋体" w:hAnsi="宋体" w:cs="宋体"/>
                <w:kern w:val="0"/>
                <w:szCs w:val="21"/>
              </w:rPr>
              <w:t>投标保证金（人民币）：</w:t>
            </w:r>
            <w:r>
              <w:rPr>
                <w:rFonts w:hint="eastAsia" w:ascii="宋体" w:hAnsi="宋体" w:cs="宋体"/>
                <w:kern w:val="0"/>
                <w:szCs w:val="21"/>
              </w:rPr>
              <w:t>A分标：叁万柒仟元整（¥37000.00）；B分标：伍万元整（¥50000.00）；C分标：壹万捌仟元整（¥18000.00）；D分标：贰万壹仟元整（¥21000.00）；E分标：贰仟伍佰元整（¥2500.00）</w:t>
            </w:r>
            <w:r>
              <w:rPr>
                <w:rFonts w:hint="eastAsia" w:ascii="宋体" w:hAnsi="宋体"/>
                <w:kern w:val="0"/>
              </w:rPr>
              <w:t>。</w:t>
            </w:r>
            <w:r>
              <w:rPr>
                <w:rFonts w:ascii="宋体" w:hAnsi="宋体" w:cs="宋体"/>
                <w:b/>
                <w:bCs/>
                <w:kern w:val="0"/>
                <w:szCs w:val="21"/>
              </w:rPr>
              <w:t>(必须足额交纳</w:t>
            </w:r>
            <w:r>
              <w:rPr>
                <w:rFonts w:hint="eastAsia" w:ascii="宋体" w:hAnsi="宋体" w:cs="宋体"/>
                <w:b/>
                <w:bCs/>
                <w:kern w:val="0"/>
                <w:szCs w:val="21"/>
              </w:rPr>
              <w:t>并备注所投分标</w:t>
            </w:r>
            <w:r>
              <w:rPr>
                <w:rFonts w:ascii="宋体" w:hAnsi="宋体" w:cs="宋体"/>
                <w:b/>
                <w:bCs/>
                <w:kern w:val="0"/>
                <w:szCs w:val="21"/>
              </w:rPr>
              <w:t>)</w:t>
            </w:r>
          </w:p>
          <w:p w14:paraId="52739F47">
            <w:pPr>
              <w:snapToGrid w:val="0"/>
              <w:spacing w:line="400" w:lineRule="exact"/>
              <w:ind w:firstLine="420" w:firstLineChars="200"/>
            </w:pPr>
            <w:r>
              <w:rPr>
                <w:rFonts w:ascii="宋体" w:hAnsi="宋体" w:cs="宋体"/>
                <w:kern w:val="0"/>
                <w:szCs w:val="21"/>
              </w:rPr>
              <w:t>投标保证金交纳形式：</w:t>
            </w:r>
            <w:r>
              <w:rPr>
                <w:rFonts w:hint="eastAsia" w:ascii="宋体" w:hAnsi="宋体" w:cs="宋体"/>
                <w:kern w:val="0"/>
                <w:szCs w:val="21"/>
              </w:rPr>
              <w:t>银行转账、支票、汇票、本票或者金融、担保机构出具的保函，禁止采用现钞方式。</w:t>
            </w:r>
            <w:r>
              <w:rPr>
                <w:rFonts w:ascii="宋体" w:hAnsi="宋体" w:cs="宋体"/>
                <w:kern w:val="0"/>
                <w:szCs w:val="21"/>
              </w:rPr>
              <w:t>采用网上银行转账形式的，投标人应于提交投标文件截止时间前将投标保证金交至以下账户。</w:t>
            </w:r>
            <w:r>
              <w:rPr>
                <w:rFonts w:hint="eastAsia" w:ascii="宋体" w:hAnsi="宋体" w:cs="宋体"/>
                <w:kern w:val="0"/>
                <w:szCs w:val="21"/>
              </w:rPr>
              <w:t>开户银行： 中信银行广州花园支行 ，开户名称：公诚管理咨询有限公司，银行账号：</w:t>
            </w:r>
            <w:r>
              <w:rPr>
                <w:rFonts w:hint="eastAsia" w:ascii="宋体" w:hAnsi="宋体" w:cs="宋体"/>
                <w:kern w:val="0"/>
                <w:szCs w:val="21"/>
                <w:lang w:eastAsia="zh-CN"/>
              </w:rPr>
              <w:t>3110910037672624249</w:t>
            </w:r>
            <w:r>
              <w:rPr>
                <w:rFonts w:ascii="宋体" w:hAnsi="宋体" w:cs="宋体"/>
                <w:kern w:val="0"/>
                <w:szCs w:val="21"/>
              </w:rPr>
              <w:t>。采用支票、汇票、本票或者保函等形式的，</w:t>
            </w:r>
            <w:r>
              <w:rPr>
                <w:rFonts w:hint="eastAsia" w:ascii="宋体" w:hAnsi="宋体" w:cs="宋体"/>
                <w:kern w:val="0"/>
                <w:szCs w:val="21"/>
              </w:rPr>
              <w:t>在</w:t>
            </w:r>
            <w:r>
              <w:rPr>
                <w:rFonts w:ascii="宋体" w:hAnsi="宋体" w:cs="宋体"/>
                <w:kern w:val="0"/>
                <w:szCs w:val="21"/>
              </w:rPr>
              <w:t>投标文件截止时间前，投标人必须递交单独密封的支票、汇票、本票或者保函原件至</w:t>
            </w:r>
            <w:r>
              <w:rPr>
                <w:rFonts w:hint="eastAsia" w:ascii="宋体" w:hAnsi="宋体" w:cs="宋体"/>
                <w:kern w:val="0"/>
                <w:szCs w:val="21"/>
              </w:rPr>
              <w:t>采购代理机构</w:t>
            </w:r>
            <w:r>
              <w:rPr>
                <w:rFonts w:ascii="宋体" w:hAnsi="宋体" w:cs="宋体"/>
                <w:kern w:val="0"/>
                <w:szCs w:val="21"/>
              </w:rPr>
              <w:t>。</w:t>
            </w:r>
            <w:r>
              <w:rPr>
                <w:rFonts w:hint="eastAsia" w:ascii="宋体" w:hAnsi="宋体" w:cs="宋体"/>
                <w:b/>
                <w:kern w:val="0"/>
                <w:szCs w:val="21"/>
              </w:rPr>
              <w:t>否则视为无效投标保证金。</w:t>
            </w:r>
          </w:p>
          <w:p w14:paraId="3DCACE42">
            <w:pPr>
              <w:snapToGrid w:val="0"/>
              <w:spacing w:line="400" w:lineRule="exact"/>
              <w:ind w:firstLine="420" w:firstLineChars="200"/>
            </w:pPr>
            <w:r>
              <w:rPr>
                <w:rFonts w:hint="eastAsia"/>
              </w:rPr>
              <w:t>相关要求：</w:t>
            </w:r>
          </w:p>
          <w:p w14:paraId="6D71C8D5">
            <w:pPr>
              <w:snapToGrid w:val="0"/>
              <w:spacing w:line="400" w:lineRule="exact"/>
              <w:ind w:firstLine="420" w:firstLineChars="200"/>
            </w:pPr>
            <w:r>
              <w:rPr>
                <w:rFonts w:hint="eastAsia" w:ascii="宋体" w:hAnsi="宋体" w:cs="宋体"/>
              </w:rPr>
              <w:t>1.</w:t>
            </w:r>
            <w:r>
              <w:rPr>
                <w:rFonts w:hint="eastAsia"/>
              </w:rPr>
              <w:t>投标保证金采用银行转账交纳方式的，在投标截止时间前交至指定账户并且到账，投标人应将银行转账底单的复印件作为投标保证金提交凭证，放置于商务文件中，</w:t>
            </w:r>
            <w:r>
              <w:rPr>
                <w:rFonts w:hint="eastAsia"/>
                <w:b/>
              </w:rPr>
              <w:t>否则投标无效</w:t>
            </w:r>
            <w:r>
              <w:rPr>
                <w:rFonts w:hint="eastAsia"/>
              </w:rPr>
              <w:t>。</w:t>
            </w:r>
          </w:p>
          <w:p w14:paraId="0A19B13A">
            <w:pPr>
              <w:snapToGrid w:val="0"/>
              <w:spacing w:line="400" w:lineRule="exact"/>
              <w:ind w:firstLine="420" w:firstLineChars="200"/>
            </w:pPr>
            <w:r>
              <w:rPr>
                <w:rFonts w:hint="eastAsia" w:ascii="宋体" w:hAnsi="宋体" w:cs="宋体"/>
              </w:rPr>
              <w:t>2.</w:t>
            </w:r>
            <w:r>
              <w:rPr>
                <w:rFonts w:hint="eastAsia"/>
              </w:rPr>
              <w:t>投标保证金</w:t>
            </w:r>
            <w:r>
              <w:rPr>
                <w:rFonts w:ascii="宋体" w:hAnsi="宋体" w:cs="宋体"/>
                <w:kern w:val="0"/>
                <w:szCs w:val="21"/>
              </w:rPr>
              <w:t>采用支票、汇票、本票或者</w:t>
            </w:r>
            <w:r>
              <w:rPr>
                <w:rFonts w:hint="eastAsia" w:ascii="宋体" w:hAnsi="宋体" w:cs="宋体"/>
                <w:kern w:val="0"/>
                <w:szCs w:val="21"/>
              </w:rPr>
              <w:t>金融、担保机构出具的保函</w:t>
            </w:r>
            <w:r>
              <w:rPr>
                <w:rFonts w:hint="eastAsia"/>
              </w:rPr>
              <w:t>交纳方式的，</w:t>
            </w:r>
            <w:r>
              <w:rPr>
                <w:rFonts w:hint="eastAsia" w:ascii="宋体" w:hAnsi="宋体"/>
                <w:szCs w:val="21"/>
              </w:rPr>
              <w:t>投标人应将支票、汇票、本票或者金融、担保机构出具的保函的复印件作为投标保证金提交凭证，放置于</w:t>
            </w:r>
            <w:r>
              <w:rPr>
                <w:rFonts w:hint="eastAsia" w:ascii="宋体" w:hAnsi="宋体" w:cs="宋体"/>
                <w:szCs w:val="21"/>
              </w:rPr>
              <w:t>资格文件</w:t>
            </w:r>
            <w:r>
              <w:rPr>
                <w:rFonts w:hint="eastAsia" w:ascii="宋体" w:hAnsi="宋体"/>
                <w:szCs w:val="21"/>
              </w:rPr>
              <w:t>中，</w:t>
            </w:r>
            <w:r>
              <w:rPr>
                <w:rFonts w:hint="eastAsia" w:ascii="宋体" w:hAnsi="宋体"/>
                <w:b/>
                <w:szCs w:val="21"/>
              </w:rPr>
              <w:t>否则投标无效</w:t>
            </w:r>
            <w:r>
              <w:rPr>
                <w:rFonts w:hint="eastAsia" w:ascii="宋体" w:hAnsi="宋体"/>
                <w:szCs w:val="21"/>
              </w:rPr>
              <w:t>。投标人必须在投标截止时间前采用现场或邮寄方式（地址：广西南宁市青秀区金湖北路52-1号东方曼哈顿25楼公诚管理咨询有限公司，收件人：陈雅冰，联系方式：0771-5583003）将单独密封的支票、汇票、本票或者金融、担保机构出具的保函原件提交给采购人或者采购代理机构，由采购人或者采购代理机构向投标人出具回执（邮寄方式的除外），并妥善保管。</w:t>
            </w:r>
          </w:p>
          <w:p w14:paraId="55C22D62">
            <w:pPr>
              <w:snapToGrid w:val="0"/>
              <w:spacing w:line="400" w:lineRule="exact"/>
              <w:ind w:firstLine="420" w:firstLineChars="200"/>
            </w:pPr>
            <w:r>
              <w:rPr>
                <w:rFonts w:hint="eastAsia" w:ascii="宋体" w:hAnsi="宋体" w:cs="宋体"/>
              </w:rPr>
              <w:t>3.</w:t>
            </w:r>
            <w:r>
              <w:rPr>
                <w:rFonts w:hint="eastAsia"/>
              </w:rPr>
              <w:t>投标人为联合体的，可以由联合体中的一方或者多方共同交纳投标保证金，其交纳的保证金对联合体各方均具有约束力。</w:t>
            </w:r>
          </w:p>
          <w:p w14:paraId="40F8A141">
            <w:pPr>
              <w:snapToGrid w:val="0"/>
              <w:spacing w:line="400" w:lineRule="exact"/>
              <w:rPr>
                <w:rFonts w:hint="eastAsia" w:ascii="宋体" w:hAnsi="宋体"/>
                <w:b/>
                <w:szCs w:val="21"/>
              </w:rPr>
            </w:pPr>
            <w:r>
              <w:rPr>
                <w:rFonts w:hint="eastAsia" w:ascii="宋体" w:hAnsi="宋体"/>
                <w:b/>
                <w:szCs w:val="21"/>
              </w:rPr>
              <w:t xml:space="preserve">注： </w:t>
            </w:r>
          </w:p>
          <w:p w14:paraId="3F69FC22">
            <w:pPr>
              <w:snapToGrid w:val="0"/>
              <w:spacing w:line="400" w:lineRule="exact"/>
              <w:rPr>
                <w:rFonts w:hint="eastAsia" w:ascii="宋体" w:hAnsi="宋体"/>
                <w:b/>
                <w:szCs w:val="21"/>
              </w:rPr>
            </w:pPr>
            <w:r>
              <w:rPr>
                <w:rFonts w:hint="eastAsia" w:ascii="宋体" w:hAnsi="宋体"/>
                <w:b/>
                <w:szCs w:val="21"/>
              </w:rPr>
              <w:t>1.投标保证金在投标截止时间后提交的，或者不按规定交纳方式交纳的，或者未足额交纳的（包含保函额度不足的），视为无效投标保证金。</w:t>
            </w:r>
          </w:p>
          <w:p w14:paraId="294AF8E7">
            <w:pPr>
              <w:snapToGrid w:val="0"/>
              <w:spacing w:line="400" w:lineRule="exact"/>
              <w:rPr>
                <w:rFonts w:hint="eastAsia" w:ascii="宋体" w:hAnsi="宋体"/>
                <w:b/>
                <w:szCs w:val="21"/>
              </w:rPr>
            </w:pPr>
            <w:r>
              <w:rPr>
                <w:rFonts w:hint="eastAsia" w:ascii="宋体" w:hAnsi="宋体"/>
                <w:b/>
                <w:szCs w:val="21"/>
              </w:rPr>
              <w:t>2.投标人采用现钞方式或者从个人账户（自然人投标除外）转出的投标保证金，视为无效投标保证金。</w:t>
            </w:r>
          </w:p>
          <w:p w14:paraId="420DD281">
            <w:pPr>
              <w:snapToGrid w:val="0"/>
              <w:spacing w:line="400" w:lineRule="exact"/>
              <w:rPr>
                <w:rFonts w:hint="eastAsia" w:ascii="宋体" w:hAnsi="宋体"/>
                <w:b/>
                <w:szCs w:val="21"/>
              </w:rPr>
            </w:pPr>
            <w:r>
              <w:rPr>
                <w:rFonts w:hint="eastAsia" w:ascii="宋体" w:hAnsi="宋体"/>
                <w:b/>
                <w:szCs w:val="21"/>
              </w:rPr>
              <w:t>3.支票、汇票或者本票出现无效或者背书情形的，视为无效投标保证金。</w:t>
            </w:r>
          </w:p>
          <w:p w14:paraId="0A6966F6">
            <w:pPr>
              <w:snapToGrid w:val="0"/>
              <w:spacing w:line="400" w:lineRule="exact"/>
              <w:rPr>
                <w:rFonts w:hint="eastAsia" w:ascii="宋体" w:hAnsi="宋体"/>
                <w:b/>
                <w:szCs w:val="21"/>
              </w:rPr>
            </w:pPr>
            <w:r>
              <w:rPr>
                <w:rFonts w:hint="eastAsia" w:ascii="宋体" w:hAnsi="宋体"/>
                <w:b/>
                <w:szCs w:val="21"/>
              </w:rPr>
              <w:t>4.保函有效期低于投标有效期的，视为无效投标保证金。</w:t>
            </w:r>
          </w:p>
          <w:p w14:paraId="39F45565">
            <w:pPr>
              <w:snapToGrid w:val="0"/>
              <w:spacing w:line="400" w:lineRule="exact"/>
              <w:rPr>
                <w:rFonts w:hint="eastAsia" w:ascii="宋体" w:hAnsi="宋体" w:cs="宋体"/>
                <w:szCs w:val="21"/>
              </w:rPr>
            </w:pPr>
            <w:r>
              <w:rPr>
                <w:rFonts w:hint="eastAsia" w:ascii="宋体" w:hAnsi="宋体"/>
                <w:b/>
                <w:szCs w:val="21"/>
              </w:rPr>
              <w:t>5.采用银行、保险机构出具保函的，必须为无条件保函，否则视为无效投标保证金。</w:t>
            </w:r>
          </w:p>
        </w:tc>
      </w:tr>
      <w:tr w14:paraId="77F0C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959" w:type="dxa"/>
            <w:tcBorders>
              <w:top w:val="single" w:color="auto" w:sz="4" w:space="0"/>
              <w:left w:val="single" w:color="auto" w:sz="4" w:space="0"/>
              <w:bottom w:val="single" w:color="auto" w:sz="4" w:space="0"/>
              <w:right w:val="single" w:color="auto" w:sz="4" w:space="0"/>
            </w:tcBorders>
            <w:vAlign w:val="center"/>
          </w:tcPr>
          <w:p w14:paraId="4EE127A0">
            <w:pPr>
              <w:spacing w:line="400" w:lineRule="exact"/>
              <w:jc w:val="center"/>
              <w:rPr>
                <w:rFonts w:hint="eastAsia" w:ascii="宋体" w:hAnsi="宋体"/>
                <w:szCs w:val="21"/>
              </w:rPr>
            </w:pPr>
            <w:r>
              <w:rPr>
                <w:rFonts w:hint="eastAsia" w:ascii="宋体" w:hAnsi="宋体"/>
                <w:szCs w:val="21"/>
              </w:rPr>
              <w:t>20</w:t>
            </w:r>
          </w:p>
        </w:tc>
        <w:tc>
          <w:tcPr>
            <w:tcW w:w="1407" w:type="dxa"/>
            <w:tcBorders>
              <w:top w:val="single" w:color="auto" w:sz="4" w:space="0"/>
              <w:left w:val="single" w:color="auto" w:sz="4" w:space="0"/>
              <w:bottom w:val="single" w:color="auto" w:sz="4" w:space="0"/>
              <w:right w:val="single" w:color="auto" w:sz="4" w:space="0"/>
            </w:tcBorders>
            <w:vAlign w:val="center"/>
          </w:tcPr>
          <w:p w14:paraId="2F92D883">
            <w:pPr>
              <w:spacing w:line="400" w:lineRule="exact"/>
              <w:jc w:val="center"/>
              <w:rPr>
                <w:rFonts w:hint="eastAsia" w:ascii="宋体" w:hAnsi="宋体" w:cs="宋体"/>
                <w:szCs w:val="21"/>
              </w:rPr>
            </w:pPr>
            <w:r>
              <w:rPr>
                <w:rFonts w:hint="eastAsia" w:ascii="宋体" w:hAnsi="宋体"/>
                <w:szCs w:val="21"/>
              </w:rPr>
              <w:t>备份投标文件</w:t>
            </w:r>
          </w:p>
        </w:tc>
        <w:tc>
          <w:tcPr>
            <w:tcW w:w="6272" w:type="dxa"/>
            <w:tcBorders>
              <w:top w:val="single" w:color="auto" w:sz="4" w:space="0"/>
              <w:left w:val="single" w:color="auto" w:sz="4" w:space="0"/>
              <w:bottom w:val="single" w:color="auto" w:sz="4" w:space="0"/>
              <w:right w:val="single" w:color="auto" w:sz="4" w:space="0"/>
            </w:tcBorders>
            <w:vAlign w:val="center"/>
          </w:tcPr>
          <w:p w14:paraId="26B45C19">
            <w:pPr>
              <w:snapToGrid w:val="0"/>
              <w:spacing w:line="400" w:lineRule="exact"/>
              <w:rPr>
                <w:rFonts w:hint="eastAsia" w:ascii="宋体" w:hAnsi="宋体" w:cs="宋体"/>
                <w:szCs w:val="21"/>
              </w:rPr>
            </w:pPr>
            <w:r>
              <w:rPr>
                <w:rFonts w:hint="eastAsia" w:ascii="宋体" w:hAnsi="宋体"/>
                <w:szCs w:val="21"/>
              </w:rPr>
              <w:t>本项目不接受电子备份投标文件。</w:t>
            </w:r>
          </w:p>
        </w:tc>
      </w:tr>
      <w:tr w14:paraId="3AA29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959" w:type="dxa"/>
            <w:vMerge w:val="restart"/>
            <w:tcBorders>
              <w:top w:val="single" w:color="auto" w:sz="4" w:space="0"/>
              <w:left w:val="single" w:color="auto" w:sz="4" w:space="0"/>
              <w:right w:val="single" w:color="auto" w:sz="4" w:space="0"/>
            </w:tcBorders>
            <w:vAlign w:val="center"/>
          </w:tcPr>
          <w:p w14:paraId="7A1D01ED">
            <w:pPr>
              <w:spacing w:line="400" w:lineRule="exact"/>
              <w:jc w:val="center"/>
              <w:rPr>
                <w:rFonts w:hint="eastAsia" w:ascii="宋体" w:hAnsi="宋体"/>
                <w:szCs w:val="21"/>
              </w:rPr>
            </w:pPr>
            <w:r>
              <w:rPr>
                <w:rFonts w:hint="eastAsia" w:ascii="宋体" w:hAnsi="宋体"/>
                <w:szCs w:val="21"/>
              </w:rPr>
              <w:t>21.1</w:t>
            </w:r>
          </w:p>
        </w:tc>
        <w:tc>
          <w:tcPr>
            <w:tcW w:w="1407" w:type="dxa"/>
            <w:tcBorders>
              <w:top w:val="single" w:color="auto" w:sz="4" w:space="0"/>
              <w:left w:val="single" w:color="auto" w:sz="4" w:space="0"/>
              <w:bottom w:val="single" w:color="auto" w:sz="4" w:space="0"/>
              <w:right w:val="single" w:color="auto" w:sz="4" w:space="0"/>
            </w:tcBorders>
            <w:vAlign w:val="center"/>
          </w:tcPr>
          <w:p w14:paraId="5C2BF48A">
            <w:pPr>
              <w:spacing w:line="400" w:lineRule="exact"/>
              <w:jc w:val="center"/>
              <w:rPr>
                <w:rFonts w:hint="eastAsia" w:ascii="宋体" w:hAnsi="宋体"/>
                <w:szCs w:val="21"/>
              </w:rPr>
            </w:pPr>
            <w:bookmarkStart w:id="79" w:name="_21.1"/>
            <w:bookmarkEnd w:id="79"/>
            <w:r>
              <w:rPr>
                <w:rFonts w:hint="eastAsia" w:ascii="宋体" w:hAnsi="宋体"/>
                <w:szCs w:val="21"/>
              </w:rPr>
              <w:t>提交投标文件截止时间</w:t>
            </w:r>
          </w:p>
        </w:tc>
        <w:tc>
          <w:tcPr>
            <w:tcW w:w="6272" w:type="dxa"/>
            <w:tcBorders>
              <w:top w:val="single" w:color="auto" w:sz="4" w:space="0"/>
              <w:left w:val="single" w:color="auto" w:sz="4" w:space="0"/>
              <w:bottom w:val="single" w:color="auto" w:sz="4" w:space="0"/>
              <w:right w:val="single" w:color="auto" w:sz="4" w:space="0"/>
            </w:tcBorders>
            <w:vAlign w:val="center"/>
          </w:tcPr>
          <w:p w14:paraId="6DFC6666">
            <w:pPr>
              <w:snapToGrid w:val="0"/>
              <w:spacing w:line="400" w:lineRule="exact"/>
              <w:rPr>
                <w:rFonts w:hint="eastAsia" w:ascii="宋体" w:hAnsi="宋体"/>
                <w:szCs w:val="21"/>
                <w:u w:val="single"/>
              </w:rPr>
            </w:pPr>
            <w:r>
              <w:rPr>
                <w:rFonts w:hint="eastAsia" w:ascii="宋体" w:hAnsi="宋体"/>
                <w:szCs w:val="21"/>
              </w:rPr>
              <w:t>详见招标公告</w:t>
            </w:r>
          </w:p>
        </w:tc>
      </w:tr>
      <w:tr w14:paraId="108923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59" w:type="dxa"/>
            <w:vMerge w:val="continue"/>
            <w:tcBorders>
              <w:left w:val="single" w:color="auto" w:sz="4" w:space="0"/>
              <w:right w:val="single" w:color="auto" w:sz="4" w:space="0"/>
            </w:tcBorders>
            <w:vAlign w:val="center"/>
          </w:tcPr>
          <w:p w14:paraId="04566E42">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2F849C34">
            <w:pPr>
              <w:spacing w:line="400" w:lineRule="exact"/>
              <w:jc w:val="center"/>
              <w:rPr>
                <w:rFonts w:hint="eastAsia" w:ascii="宋体" w:hAnsi="宋体"/>
                <w:szCs w:val="21"/>
              </w:rPr>
            </w:pPr>
            <w:r>
              <w:rPr>
                <w:rFonts w:hint="eastAsia" w:ascii="宋体" w:hAnsi="宋体"/>
                <w:szCs w:val="21"/>
              </w:rPr>
              <w:t>投标地点</w:t>
            </w:r>
          </w:p>
        </w:tc>
        <w:tc>
          <w:tcPr>
            <w:tcW w:w="6272" w:type="dxa"/>
            <w:tcBorders>
              <w:top w:val="single" w:color="auto" w:sz="4" w:space="0"/>
              <w:left w:val="single" w:color="auto" w:sz="4" w:space="0"/>
              <w:bottom w:val="single" w:color="auto" w:sz="4" w:space="0"/>
              <w:right w:val="single" w:color="auto" w:sz="4" w:space="0"/>
            </w:tcBorders>
            <w:vAlign w:val="center"/>
          </w:tcPr>
          <w:p w14:paraId="74540FA8">
            <w:pPr>
              <w:snapToGrid w:val="0"/>
              <w:spacing w:line="400" w:lineRule="exact"/>
              <w:rPr>
                <w:rFonts w:hint="eastAsia" w:ascii="宋体" w:hAnsi="宋体"/>
                <w:szCs w:val="21"/>
              </w:rPr>
            </w:pPr>
            <w:r>
              <w:rPr>
                <w:rFonts w:hint="eastAsia" w:ascii="宋体" w:hAnsi="宋体"/>
                <w:szCs w:val="21"/>
              </w:rPr>
              <w:t>详见招标公告</w:t>
            </w:r>
          </w:p>
        </w:tc>
      </w:tr>
      <w:tr w14:paraId="5B3D25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6D58F8BB">
            <w:pPr>
              <w:spacing w:line="400" w:lineRule="exact"/>
              <w:jc w:val="center"/>
              <w:rPr>
                <w:rFonts w:hint="eastAsia" w:ascii="宋体" w:hAnsi="宋体"/>
                <w:szCs w:val="21"/>
              </w:rPr>
            </w:pPr>
            <w:r>
              <w:rPr>
                <w:rFonts w:hint="eastAsia" w:ascii="宋体" w:hAnsi="宋体"/>
                <w:szCs w:val="21"/>
              </w:rPr>
              <w:t>23</w:t>
            </w:r>
          </w:p>
        </w:tc>
        <w:tc>
          <w:tcPr>
            <w:tcW w:w="1407" w:type="dxa"/>
            <w:tcBorders>
              <w:top w:val="single" w:color="auto" w:sz="4" w:space="0"/>
              <w:left w:val="single" w:color="auto" w:sz="4" w:space="0"/>
              <w:bottom w:val="single" w:color="auto" w:sz="4" w:space="0"/>
              <w:right w:val="single" w:color="auto" w:sz="4" w:space="0"/>
            </w:tcBorders>
            <w:vAlign w:val="center"/>
          </w:tcPr>
          <w:p w14:paraId="1C5D006A">
            <w:pPr>
              <w:spacing w:line="400" w:lineRule="exact"/>
              <w:jc w:val="center"/>
              <w:rPr>
                <w:rFonts w:hint="eastAsia" w:ascii="宋体" w:hAnsi="宋体"/>
                <w:szCs w:val="21"/>
              </w:rPr>
            </w:pPr>
            <w:bookmarkStart w:id="80" w:name="_23"/>
            <w:bookmarkEnd w:id="80"/>
            <w:r>
              <w:rPr>
                <w:rFonts w:hint="eastAsia" w:ascii="宋体" w:hAnsi="宋体"/>
                <w:szCs w:val="21"/>
              </w:rPr>
              <w:t>开标时间、地点</w:t>
            </w:r>
          </w:p>
        </w:tc>
        <w:tc>
          <w:tcPr>
            <w:tcW w:w="6272" w:type="dxa"/>
            <w:tcBorders>
              <w:top w:val="single" w:color="auto" w:sz="4" w:space="0"/>
              <w:left w:val="single" w:color="auto" w:sz="4" w:space="0"/>
              <w:bottom w:val="single" w:color="auto" w:sz="4" w:space="0"/>
              <w:right w:val="single" w:color="auto" w:sz="4" w:space="0"/>
            </w:tcBorders>
            <w:vAlign w:val="center"/>
          </w:tcPr>
          <w:p w14:paraId="343A67BD">
            <w:pPr>
              <w:snapToGrid w:val="0"/>
              <w:spacing w:line="400" w:lineRule="exact"/>
              <w:rPr>
                <w:rFonts w:hint="eastAsia" w:ascii="宋体" w:hAnsi="宋体"/>
                <w:szCs w:val="21"/>
              </w:rPr>
            </w:pPr>
            <w:r>
              <w:rPr>
                <w:rFonts w:hint="eastAsia" w:ascii="宋体" w:hAnsi="宋体"/>
                <w:szCs w:val="21"/>
              </w:rPr>
              <w:t>详见招标公告</w:t>
            </w:r>
          </w:p>
        </w:tc>
      </w:tr>
      <w:tr w14:paraId="2C71BA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649934C7">
            <w:pPr>
              <w:spacing w:line="400" w:lineRule="exact"/>
              <w:jc w:val="center"/>
              <w:rPr>
                <w:rFonts w:hint="eastAsia" w:ascii="宋体" w:hAnsi="宋体"/>
                <w:szCs w:val="21"/>
              </w:rPr>
            </w:pPr>
            <w:r>
              <w:rPr>
                <w:rFonts w:hint="eastAsia" w:ascii="宋体" w:hAnsi="宋体"/>
                <w:szCs w:val="21"/>
              </w:rPr>
              <w:t>24.2（1）</w:t>
            </w:r>
          </w:p>
        </w:tc>
        <w:tc>
          <w:tcPr>
            <w:tcW w:w="1407" w:type="dxa"/>
            <w:tcBorders>
              <w:top w:val="single" w:color="auto" w:sz="4" w:space="0"/>
              <w:left w:val="single" w:color="auto" w:sz="4" w:space="0"/>
              <w:bottom w:val="single" w:color="auto" w:sz="4" w:space="0"/>
              <w:right w:val="single" w:color="auto" w:sz="4" w:space="0"/>
            </w:tcBorders>
            <w:vAlign w:val="center"/>
          </w:tcPr>
          <w:p w14:paraId="6230C46E">
            <w:pPr>
              <w:spacing w:line="400" w:lineRule="exact"/>
              <w:jc w:val="center"/>
              <w:rPr>
                <w:rFonts w:hint="eastAsia" w:ascii="宋体" w:hAnsi="宋体"/>
                <w:szCs w:val="21"/>
              </w:rPr>
            </w:pPr>
            <w:r>
              <w:rPr>
                <w:rFonts w:hint="eastAsia" w:ascii="宋体" w:hAnsi="宋体"/>
                <w:szCs w:val="21"/>
              </w:rPr>
              <w:t>电子投标文件解密时间</w:t>
            </w:r>
          </w:p>
        </w:tc>
        <w:tc>
          <w:tcPr>
            <w:tcW w:w="6272" w:type="dxa"/>
            <w:tcBorders>
              <w:top w:val="single" w:color="auto" w:sz="4" w:space="0"/>
              <w:left w:val="single" w:color="auto" w:sz="4" w:space="0"/>
              <w:bottom w:val="single" w:color="auto" w:sz="4" w:space="0"/>
              <w:right w:val="single" w:color="auto" w:sz="4" w:space="0"/>
            </w:tcBorders>
            <w:vAlign w:val="center"/>
          </w:tcPr>
          <w:p w14:paraId="516CC930">
            <w:pPr>
              <w:snapToGrid w:val="0"/>
              <w:spacing w:line="400" w:lineRule="exact"/>
              <w:rPr>
                <w:rFonts w:hint="eastAsia" w:ascii="宋体" w:hAnsi="宋体"/>
                <w:szCs w:val="21"/>
              </w:rPr>
            </w:pPr>
            <w:r>
              <w:rPr>
                <w:rFonts w:hint="eastAsia" w:ascii="宋体" w:hAnsi="宋体"/>
                <w:szCs w:val="21"/>
              </w:rPr>
              <w:t>30分钟</w:t>
            </w:r>
          </w:p>
        </w:tc>
      </w:tr>
      <w:tr w14:paraId="311EA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959" w:type="dxa"/>
            <w:vMerge w:val="restart"/>
            <w:tcBorders>
              <w:top w:val="single" w:color="auto" w:sz="4" w:space="0"/>
              <w:left w:val="single" w:color="auto" w:sz="4" w:space="0"/>
              <w:right w:val="single" w:color="auto" w:sz="4" w:space="0"/>
            </w:tcBorders>
            <w:vAlign w:val="center"/>
          </w:tcPr>
          <w:p w14:paraId="65169294">
            <w:pPr>
              <w:spacing w:line="400" w:lineRule="exact"/>
              <w:jc w:val="center"/>
              <w:rPr>
                <w:rFonts w:hint="eastAsia" w:ascii="宋体" w:hAnsi="宋体"/>
                <w:szCs w:val="21"/>
              </w:rPr>
            </w:pPr>
            <w:r>
              <w:rPr>
                <w:rFonts w:hint="eastAsia" w:ascii="宋体" w:hAnsi="宋体"/>
                <w:szCs w:val="21"/>
              </w:rPr>
              <w:t>25.3（2）</w:t>
            </w:r>
          </w:p>
        </w:tc>
        <w:tc>
          <w:tcPr>
            <w:tcW w:w="1407" w:type="dxa"/>
            <w:tcBorders>
              <w:top w:val="single" w:color="auto" w:sz="4" w:space="0"/>
              <w:left w:val="single" w:color="auto" w:sz="4" w:space="0"/>
              <w:bottom w:val="single" w:color="auto" w:sz="4" w:space="0"/>
              <w:right w:val="single" w:color="auto" w:sz="4" w:space="0"/>
            </w:tcBorders>
            <w:vAlign w:val="center"/>
          </w:tcPr>
          <w:p w14:paraId="64ACA433">
            <w:pPr>
              <w:spacing w:line="400" w:lineRule="exact"/>
              <w:jc w:val="center"/>
              <w:rPr>
                <w:rFonts w:hint="eastAsia" w:ascii="宋体" w:hAnsi="宋体"/>
                <w:szCs w:val="21"/>
              </w:rPr>
            </w:pPr>
            <w:bookmarkStart w:id="81" w:name="_25.3"/>
            <w:bookmarkEnd w:id="81"/>
            <w:r>
              <w:rPr>
                <w:rFonts w:hint="eastAsia" w:ascii="宋体" w:hAnsi="宋体"/>
                <w:szCs w:val="21"/>
              </w:rPr>
              <w:t>投标人信用查询渠道</w:t>
            </w:r>
          </w:p>
        </w:tc>
        <w:tc>
          <w:tcPr>
            <w:tcW w:w="6272" w:type="dxa"/>
            <w:tcBorders>
              <w:top w:val="single" w:color="auto" w:sz="4" w:space="0"/>
              <w:left w:val="single" w:color="auto" w:sz="4" w:space="0"/>
              <w:bottom w:val="single" w:color="auto" w:sz="4" w:space="0"/>
              <w:right w:val="single" w:color="auto" w:sz="4" w:space="0"/>
            </w:tcBorders>
            <w:vAlign w:val="center"/>
          </w:tcPr>
          <w:p w14:paraId="3290A7CA">
            <w:pPr>
              <w:snapToGrid w:val="0"/>
              <w:spacing w:line="400" w:lineRule="exact"/>
              <w:rPr>
                <w:rFonts w:hint="eastAsia" w:ascii="宋体" w:hAnsi="宋体"/>
                <w:szCs w:val="21"/>
              </w:rPr>
            </w:pPr>
            <w:r>
              <w:rPr>
                <w:rFonts w:hint="eastAsia" w:ascii="宋体" w:hAnsi="宋体"/>
                <w:szCs w:val="21"/>
              </w:rPr>
              <w:t>采购人或者采购代理机构在资格审查结束前，对投标人进行信用查询。</w:t>
            </w:r>
          </w:p>
          <w:p w14:paraId="652B5687">
            <w:pPr>
              <w:snapToGrid w:val="0"/>
              <w:spacing w:line="400" w:lineRule="exact"/>
              <w:rPr>
                <w:rFonts w:hint="eastAsia" w:ascii="宋体" w:hAnsi="宋体"/>
                <w:szCs w:val="21"/>
              </w:rPr>
            </w:pPr>
            <w:r>
              <w:rPr>
                <w:rFonts w:hint="eastAsia" w:ascii="宋体" w:hAnsi="宋体"/>
                <w:szCs w:val="21"/>
              </w:rPr>
              <w:t>查询渠道：“信用中国”网站(www.creditchina.gov.cn) 、中国政府采购网(www.ccgp.gov.cn)。</w:t>
            </w:r>
          </w:p>
        </w:tc>
      </w:tr>
      <w:tr w14:paraId="1CAF17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959" w:type="dxa"/>
            <w:vMerge w:val="continue"/>
            <w:tcBorders>
              <w:left w:val="single" w:color="auto" w:sz="4" w:space="0"/>
              <w:right w:val="single" w:color="auto" w:sz="4" w:space="0"/>
            </w:tcBorders>
            <w:vAlign w:val="center"/>
          </w:tcPr>
          <w:p w14:paraId="554B5FCB">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690E1730">
            <w:pPr>
              <w:spacing w:line="400" w:lineRule="exact"/>
              <w:jc w:val="center"/>
              <w:rPr>
                <w:rFonts w:hint="eastAsia" w:ascii="宋体" w:hAnsi="宋体"/>
                <w:szCs w:val="21"/>
              </w:rPr>
            </w:pPr>
            <w:r>
              <w:rPr>
                <w:rFonts w:hint="eastAsia" w:ascii="宋体" w:hAnsi="宋体"/>
                <w:szCs w:val="21"/>
              </w:rPr>
              <w:t>信用查询截止时点</w:t>
            </w:r>
          </w:p>
        </w:tc>
        <w:tc>
          <w:tcPr>
            <w:tcW w:w="6272" w:type="dxa"/>
            <w:tcBorders>
              <w:top w:val="single" w:color="auto" w:sz="4" w:space="0"/>
              <w:left w:val="single" w:color="auto" w:sz="4" w:space="0"/>
              <w:bottom w:val="single" w:color="auto" w:sz="4" w:space="0"/>
              <w:right w:val="single" w:color="auto" w:sz="4" w:space="0"/>
            </w:tcBorders>
            <w:vAlign w:val="center"/>
          </w:tcPr>
          <w:p w14:paraId="5DB3C349">
            <w:pPr>
              <w:snapToGrid w:val="0"/>
              <w:spacing w:line="400" w:lineRule="exact"/>
              <w:rPr>
                <w:rFonts w:hint="eastAsia" w:ascii="宋体" w:hAnsi="宋体"/>
                <w:szCs w:val="21"/>
              </w:rPr>
            </w:pPr>
            <w:r>
              <w:rPr>
                <w:rFonts w:hint="eastAsia" w:ascii="宋体" w:hAnsi="宋体"/>
                <w:szCs w:val="21"/>
              </w:rPr>
              <w:t>资格审查结束前</w:t>
            </w:r>
          </w:p>
        </w:tc>
      </w:tr>
      <w:tr w14:paraId="15F1E2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59" w:type="dxa"/>
            <w:vMerge w:val="continue"/>
            <w:tcBorders>
              <w:left w:val="single" w:color="auto" w:sz="4" w:space="0"/>
              <w:right w:val="single" w:color="auto" w:sz="4" w:space="0"/>
            </w:tcBorders>
            <w:vAlign w:val="center"/>
          </w:tcPr>
          <w:p w14:paraId="65629942">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122366B9">
            <w:pPr>
              <w:spacing w:line="400" w:lineRule="exact"/>
              <w:jc w:val="center"/>
              <w:rPr>
                <w:rFonts w:hint="eastAsia" w:ascii="宋体" w:hAnsi="宋体"/>
                <w:szCs w:val="21"/>
              </w:rPr>
            </w:pPr>
            <w:r>
              <w:rPr>
                <w:rFonts w:hint="eastAsia" w:ascii="宋体" w:hAnsi="宋体"/>
                <w:szCs w:val="21"/>
              </w:rPr>
              <w:t>查询记录方式</w:t>
            </w:r>
          </w:p>
        </w:tc>
        <w:tc>
          <w:tcPr>
            <w:tcW w:w="6272" w:type="dxa"/>
            <w:tcBorders>
              <w:top w:val="single" w:color="auto" w:sz="4" w:space="0"/>
              <w:left w:val="single" w:color="auto" w:sz="4" w:space="0"/>
              <w:bottom w:val="single" w:color="auto" w:sz="4" w:space="0"/>
              <w:right w:val="single" w:color="auto" w:sz="4" w:space="0"/>
            </w:tcBorders>
            <w:vAlign w:val="center"/>
          </w:tcPr>
          <w:p w14:paraId="04085290">
            <w:pPr>
              <w:snapToGrid w:val="0"/>
              <w:spacing w:line="400" w:lineRule="exact"/>
              <w:rPr>
                <w:rFonts w:hint="eastAsia" w:ascii="宋体" w:hAnsi="宋体"/>
                <w:szCs w:val="21"/>
              </w:rPr>
            </w:pPr>
            <w:r>
              <w:rPr>
                <w:rFonts w:hint="eastAsia" w:ascii="宋体" w:hAnsi="宋体"/>
                <w:szCs w:val="21"/>
              </w:rPr>
              <w:t>在查询网站中直接截图查询记录，截图作为在“</w:t>
            </w:r>
            <w:r>
              <w:rPr>
                <w:rFonts w:hint="eastAsia" w:ascii="宋体" w:hAnsi="宋体" w:cs="宋体"/>
                <w:szCs w:val="21"/>
              </w:rPr>
              <w:t>广西政府采购云平台</w:t>
            </w:r>
            <w:r>
              <w:rPr>
                <w:rFonts w:hint="eastAsia" w:ascii="宋体" w:hAnsi="宋体"/>
                <w:szCs w:val="21"/>
              </w:rPr>
              <w:t>”作为附件上传保存。</w:t>
            </w:r>
          </w:p>
        </w:tc>
      </w:tr>
      <w:tr w14:paraId="7D6A9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959" w:type="dxa"/>
            <w:vMerge w:val="continue"/>
            <w:tcBorders>
              <w:left w:val="single" w:color="auto" w:sz="4" w:space="0"/>
              <w:bottom w:val="single" w:color="auto" w:sz="4" w:space="0"/>
              <w:right w:val="single" w:color="auto" w:sz="4" w:space="0"/>
            </w:tcBorders>
            <w:vAlign w:val="center"/>
          </w:tcPr>
          <w:p w14:paraId="61BF138C">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69FB786F">
            <w:pPr>
              <w:spacing w:line="400" w:lineRule="exact"/>
              <w:jc w:val="center"/>
              <w:rPr>
                <w:rFonts w:hint="eastAsia" w:ascii="宋体" w:hAnsi="宋体"/>
                <w:szCs w:val="21"/>
              </w:rPr>
            </w:pPr>
            <w:r>
              <w:rPr>
                <w:rFonts w:hint="eastAsia" w:ascii="宋体" w:hAnsi="宋体"/>
                <w:szCs w:val="21"/>
              </w:rPr>
              <w:t>信用信息使用规则</w:t>
            </w:r>
          </w:p>
        </w:tc>
        <w:tc>
          <w:tcPr>
            <w:tcW w:w="6272" w:type="dxa"/>
            <w:tcBorders>
              <w:top w:val="single" w:color="auto" w:sz="4" w:space="0"/>
              <w:left w:val="single" w:color="auto" w:sz="4" w:space="0"/>
              <w:bottom w:val="single" w:color="auto" w:sz="4" w:space="0"/>
              <w:right w:val="single" w:color="auto" w:sz="4" w:space="0"/>
            </w:tcBorders>
            <w:vAlign w:val="center"/>
          </w:tcPr>
          <w:p w14:paraId="72337E0E">
            <w:pPr>
              <w:snapToGrid w:val="0"/>
              <w:spacing w:line="400" w:lineRule="exact"/>
              <w:rPr>
                <w:rFonts w:hint="eastAsia" w:ascii="宋体" w:hAnsi="宋体"/>
                <w:szCs w:val="21"/>
              </w:rPr>
            </w:pPr>
            <w:r>
              <w:rPr>
                <w:rFonts w:hint="eastAsia" w:ascii="宋体" w:hAnsi="宋体"/>
                <w:szCs w:val="21"/>
              </w:rPr>
              <w:t>对在“信用中国”网站(www.creditchina.gov.cn) 、中国政府采购网(www.ccgp.gov.cn)被列入失信被执行人、重大税收违法失信主体名单、政府采购严重违法失信行为记录名单及其他不符合《中华人民共和国政府采购法》第二十二条规定条件的投标人，采购人或者采购代理机构应当拒绝其参与政府采购活动。两个以上的自然人、法人或者其他组织组成一个联合体，以一个投标人的身份共同参加政府采购活动的，应当对所有联合体成员进行信用记录查询，联合体成员存在不良信用记录的，视同联合体存在不良信用记录。</w:t>
            </w:r>
          </w:p>
        </w:tc>
      </w:tr>
      <w:tr w14:paraId="2F0C1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794AB5C4">
            <w:pPr>
              <w:spacing w:line="400" w:lineRule="exact"/>
              <w:jc w:val="center"/>
              <w:rPr>
                <w:rFonts w:hint="eastAsia" w:ascii="宋体" w:hAnsi="宋体"/>
                <w:szCs w:val="21"/>
              </w:rPr>
            </w:pPr>
            <w:r>
              <w:rPr>
                <w:rFonts w:ascii="宋体" w:hAnsi="宋体"/>
                <w:szCs w:val="21"/>
              </w:rPr>
              <w:t>29.1</w:t>
            </w:r>
          </w:p>
        </w:tc>
        <w:tc>
          <w:tcPr>
            <w:tcW w:w="1407" w:type="dxa"/>
            <w:tcBorders>
              <w:top w:val="single" w:color="auto" w:sz="4" w:space="0"/>
              <w:left w:val="single" w:color="auto" w:sz="4" w:space="0"/>
              <w:bottom w:val="single" w:color="auto" w:sz="4" w:space="0"/>
              <w:right w:val="single" w:color="auto" w:sz="4" w:space="0"/>
            </w:tcBorders>
            <w:vAlign w:val="center"/>
          </w:tcPr>
          <w:p w14:paraId="0DBCCECF">
            <w:pPr>
              <w:spacing w:line="400" w:lineRule="exact"/>
              <w:jc w:val="center"/>
              <w:rPr>
                <w:rFonts w:hint="eastAsia" w:ascii="宋体" w:hAnsi="宋体"/>
                <w:szCs w:val="21"/>
              </w:rPr>
            </w:pPr>
            <w:bookmarkStart w:id="82" w:name="_28.3"/>
            <w:bookmarkEnd w:id="82"/>
            <w:bookmarkStart w:id="83" w:name="_26"/>
            <w:bookmarkEnd w:id="83"/>
            <w:r>
              <w:rPr>
                <w:rFonts w:hint="eastAsia" w:ascii="宋体" w:hAnsi="宋体"/>
                <w:szCs w:val="21"/>
              </w:rPr>
              <w:t>评标方法</w:t>
            </w:r>
          </w:p>
        </w:tc>
        <w:tc>
          <w:tcPr>
            <w:tcW w:w="6272" w:type="dxa"/>
            <w:tcBorders>
              <w:top w:val="single" w:color="auto" w:sz="4" w:space="0"/>
              <w:left w:val="single" w:color="auto" w:sz="4" w:space="0"/>
              <w:bottom w:val="single" w:color="auto" w:sz="4" w:space="0"/>
              <w:right w:val="single" w:color="auto" w:sz="4" w:space="0"/>
            </w:tcBorders>
            <w:vAlign w:val="center"/>
          </w:tcPr>
          <w:p w14:paraId="6CE18961">
            <w:pPr>
              <w:snapToGrid w:val="0"/>
              <w:spacing w:line="400" w:lineRule="exact"/>
              <w:rPr>
                <w:rFonts w:hint="eastAsia" w:ascii="宋体" w:hAnsi="宋体" w:cs="宋体"/>
                <w:szCs w:val="21"/>
              </w:rPr>
            </w:pPr>
            <w:r>
              <w:rPr>
                <w:rFonts w:hint="eastAsia" w:ascii="宋体" w:hAnsi="MS Gothic" w:eastAsia="MS Gothic" w:cs="MS Gothic"/>
                <w:szCs w:val="21"/>
              </w:rPr>
              <w:t>☑</w:t>
            </w:r>
            <w:bookmarkStart w:id="84" w:name="PO_TDCUS_ITEM_SM_TABLE_1"/>
            <w:r>
              <w:rPr>
                <w:rFonts w:hint="eastAsia" w:ascii="宋体" w:hAnsi="宋体" w:cs="宋体"/>
                <w:szCs w:val="21"/>
              </w:rPr>
              <w:t>综合评分法</w:t>
            </w:r>
          </w:p>
          <w:p w14:paraId="36F12AEF">
            <w:pPr>
              <w:snapToGrid w:val="0"/>
              <w:spacing w:line="400" w:lineRule="exact"/>
              <w:rPr>
                <w:rFonts w:hint="eastAsia" w:ascii="宋体" w:hAnsi="宋体"/>
                <w:szCs w:val="21"/>
              </w:rPr>
            </w:pPr>
            <w:r>
              <w:rPr>
                <w:rFonts w:hint="eastAsia" w:ascii="宋体" w:hAnsi="宋体"/>
                <w:szCs w:val="21"/>
              </w:rPr>
              <w:t>□</w:t>
            </w:r>
            <w:r>
              <w:rPr>
                <w:rFonts w:hint="eastAsia" w:ascii="宋体" w:hAnsi="宋体" w:cs="宋体"/>
                <w:szCs w:val="21"/>
              </w:rPr>
              <w:t>最低评标价法</w:t>
            </w:r>
            <w:bookmarkEnd w:id="84"/>
          </w:p>
        </w:tc>
      </w:tr>
      <w:tr w14:paraId="57CB9E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59" w:type="dxa"/>
            <w:tcBorders>
              <w:top w:val="single" w:color="auto" w:sz="4" w:space="0"/>
              <w:left w:val="single" w:color="auto" w:sz="4" w:space="0"/>
              <w:right w:val="single" w:color="auto" w:sz="4" w:space="0"/>
            </w:tcBorders>
            <w:vAlign w:val="center"/>
          </w:tcPr>
          <w:p w14:paraId="20F842CD">
            <w:pPr>
              <w:spacing w:line="400" w:lineRule="exact"/>
              <w:jc w:val="center"/>
              <w:rPr>
                <w:rFonts w:hint="eastAsia" w:ascii="宋体" w:hAnsi="宋体"/>
                <w:szCs w:val="21"/>
              </w:rPr>
            </w:pPr>
            <w:r>
              <w:rPr>
                <w:rFonts w:hint="eastAsia" w:ascii="宋体" w:hAnsi="宋体"/>
                <w:szCs w:val="21"/>
              </w:rPr>
              <w:t>29</w:t>
            </w:r>
            <w:r>
              <w:rPr>
                <w:rFonts w:ascii="宋体" w:hAnsi="宋体"/>
                <w:szCs w:val="21"/>
              </w:rPr>
              <w:t>.</w:t>
            </w:r>
            <w:r>
              <w:rPr>
                <w:rFonts w:hint="eastAsia" w:ascii="宋体" w:hAnsi="宋体"/>
                <w:szCs w:val="21"/>
              </w:rPr>
              <w:t>2</w:t>
            </w:r>
          </w:p>
        </w:tc>
        <w:tc>
          <w:tcPr>
            <w:tcW w:w="1407" w:type="dxa"/>
            <w:tcBorders>
              <w:top w:val="single" w:color="auto" w:sz="4" w:space="0"/>
              <w:left w:val="single" w:color="auto" w:sz="4" w:space="0"/>
              <w:right w:val="single" w:color="auto" w:sz="4" w:space="0"/>
            </w:tcBorders>
            <w:vAlign w:val="center"/>
          </w:tcPr>
          <w:p w14:paraId="63362C38">
            <w:pPr>
              <w:spacing w:line="400" w:lineRule="exact"/>
              <w:jc w:val="center"/>
              <w:rPr>
                <w:rFonts w:hint="eastAsia" w:ascii="宋体" w:hAnsi="宋体"/>
                <w:szCs w:val="21"/>
              </w:rPr>
            </w:pPr>
            <w:bookmarkStart w:id="85" w:name="_29.2.2（2）"/>
            <w:bookmarkEnd w:id="85"/>
            <w:r>
              <w:rPr>
                <w:rFonts w:hint="eastAsia" w:ascii="宋体" w:hAnsi="宋体"/>
                <w:szCs w:val="21"/>
              </w:rPr>
              <w:t>中标候选人推荐数量</w:t>
            </w:r>
          </w:p>
        </w:tc>
        <w:tc>
          <w:tcPr>
            <w:tcW w:w="6272" w:type="dxa"/>
            <w:tcBorders>
              <w:top w:val="single" w:color="auto" w:sz="4" w:space="0"/>
              <w:left w:val="single" w:color="auto" w:sz="4" w:space="0"/>
              <w:right w:val="single" w:color="auto" w:sz="4" w:space="0"/>
            </w:tcBorders>
            <w:vAlign w:val="center"/>
          </w:tcPr>
          <w:p w14:paraId="59AC67FD">
            <w:pPr>
              <w:snapToGrid w:val="0"/>
              <w:spacing w:line="400" w:lineRule="exact"/>
              <w:rPr>
                <w:rFonts w:hint="eastAsia" w:ascii="宋体" w:hAnsi="宋体" w:cs="宋体"/>
                <w:szCs w:val="21"/>
              </w:rPr>
            </w:pPr>
            <w:r>
              <w:rPr>
                <w:rFonts w:hint="eastAsia" w:ascii="宋体" w:hAnsi="MS Gothic" w:eastAsia="MS Gothic" w:cs="MS Gothic"/>
                <w:szCs w:val="21"/>
              </w:rPr>
              <w:t>☑</w:t>
            </w:r>
            <w:r>
              <w:rPr>
                <w:rFonts w:hint="eastAsia" w:ascii="宋体" w:hAnsi="MS Gothic" w:cs="MS Gothic"/>
                <w:szCs w:val="21"/>
              </w:rPr>
              <w:t>每个分标</w:t>
            </w:r>
            <w:r>
              <w:rPr>
                <w:rFonts w:hint="eastAsia" w:ascii="宋体" w:hAnsi="宋体" w:cs="宋体"/>
                <w:szCs w:val="21"/>
                <w:u w:val="single"/>
              </w:rPr>
              <w:t xml:space="preserve">  3  </w:t>
            </w:r>
            <w:r>
              <w:rPr>
                <w:rFonts w:hint="eastAsia" w:ascii="宋体" w:hAnsi="宋体" w:cs="宋体"/>
                <w:szCs w:val="21"/>
              </w:rPr>
              <w:t>名</w:t>
            </w:r>
          </w:p>
          <w:p w14:paraId="4D2C02F9">
            <w:pPr>
              <w:snapToGrid w:val="0"/>
              <w:spacing w:line="400" w:lineRule="exact"/>
              <w:rPr>
                <w:rFonts w:hint="eastAsia" w:ascii="宋体" w:hAnsi="宋体" w:cs="宋体"/>
                <w:b/>
                <w:szCs w:val="21"/>
              </w:rPr>
            </w:pPr>
            <w:r>
              <w:rPr>
                <w:rFonts w:hint="eastAsia" w:ascii="宋体" w:hAnsi="宋体"/>
                <w:szCs w:val="21"/>
              </w:rPr>
              <w:t>□</w:t>
            </w:r>
            <w:r>
              <w:rPr>
                <w:rFonts w:hint="eastAsia" w:ascii="宋体" w:hAnsi="宋体" w:cs="宋体"/>
                <w:szCs w:val="21"/>
              </w:rPr>
              <w:t>根据[总得分由高到低（综合评分法）]排列次序并全部推荐为中标候选人</w:t>
            </w:r>
          </w:p>
        </w:tc>
      </w:tr>
      <w:tr w14:paraId="533AD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59" w:type="dxa"/>
            <w:tcBorders>
              <w:top w:val="single" w:color="auto" w:sz="4" w:space="0"/>
              <w:left w:val="single" w:color="auto" w:sz="4" w:space="0"/>
              <w:right w:val="single" w:color="auto" w:sz="4" w:space="0"/>
            </w:tcBorders>
            <w:vAlign w:val="center"/>
          </w:tcPr>
          <w:p w14:paraId="29869438">
            <w:pPr>
              <w:spacing w:line="400" w:lineRule="exact"/>
              <w:jc w:val="center"/>
              <w:rPr>
                <w:rFonts w:hint="eastAsia" w:ascii="宋体" w:hAnsi="宋体"/>
                <w:szCs w:val="21"/>
              </w:rPr>
            </w:pPr>
            <w:r>
              <w:rPr>
                <w:rFonts w:hint="eastAsia" w:ascii="宋体" w:hAnsi="宋体"/>
                <w:szCs w:val="21"/>
              </w:rPr>
              <w:t>29.3</w:t>
            </w:r>
          </w:p>
        </w:tc>
        <w:tc>
          <w:tcPr>
            <w:tcW w:w="1407" w:type="dxa"/>
            <w:tcBorders>
              <w:top w:val="single" w:color="auto" w:sz="4" w:space="0"/>
              <w:left w:val="single" w:color="auto" w:sz="4" w:space="0"/>
              <w:right w:val="single" w:color="auto" w:sz="4" w:space="0"/>
            </w:tcBorders>
            <w:vAlign w:val="center"/>
          </w:tcPr>
          <w:p w14:paraId="21ABBDBC">
            <w:pPr>
              <w:spacing w:line="400" w:lineRule="exact"/>
              <w:jc w:val="center"/>
              <w:rPr>
                <w:rFonts w:hint="eastAsia" w:ascii="宋体" w:hAnsi="宋体"/>
                <w:szCs w:val="21"/>
              </w:rPr>
            </w:pPr>
            <w:r>
              <w:rPr>
                <w:rFonts w:hint="eastAsia" w:ascii="宋体" w:hAnsi="宋体"/>
                <w:szCs w:val="21"/>
              </w:rPr>
              <w:t>允许负偏离项</w:t>
            </w:r>
          </w:p>
        </w:tc>
        <w:tc>
          <w:tcPr>
            <w:tcW w:w="6272" w:type="dxa"/>
            <w:tcBorders>
              <w:top w:val="single" w:color="auto" w:sz="4" w:space="0"/>
              <w:left w:val="single" w:color="auto" w:sz="4" w:space="0"/>
              <w:right w:val="single" w:color="auto" w:sz="4" w:space="0"/>
            </w:tcBorders>
            <w:vAlign w:val="center"/>
          </w:tcPr>
          <w:p w14:paraId="0C5FDACC">
            <w:pPr>
              <w:snapToGrid w:val="0"/>
              <w:spacing w:line="400" w:lineRule="exact"/>
              <w:rPr>
                <w:rFonts w:hint="eastAsia" w:ascii="宋体" w:hAnsi="宋体"/>
                <w:b/>
                <w:szCs w:val="21"/>
              </w:rPr>
            </w:pPr>
            <w:r>
              <w:rPr>
                <w:rFonts w:hint="eastAsia" w:ascii="宋体" w:hAnsi="宋体" w:cs="宋体"/>
                <w:b/>
                <w:szCs w:val="21"/>
              </w:rPr>
              <w:t>商务条款</w:t>
            </w:r>
            <w:r>
              <w:rPr>
                <w:rFonts w:hint="eastAsia" w:ascii="宋体" w:hAnsi="宋体"/>
                <w:b/>
                <w:szCs w:val="21"/>
              </w:rPr>
              <w:t>评审中允许负偏离的条款数为</w:t>
            </w:r>
            <w:r>
              <w:rPr>
                <w:rFonts w:hint="eastAsia" w:ascii="宋体" w:hAnsi="宋体"/>
                <w:b/>
                <w:szCs w:val="21"/>
                <w:u w:val="single"/>
              </w:rPr>
              <w:t xml:space="preserve"> 0</w:t>
            </w:r>
            <w:r>
              <w:rPr>
                <w:rFonts w:hint="eastAsia" w:ascii="宋体" w:hAnsi="宋体"/>
                <w:b/>
                <w:szCs w:val="21"/>
              </w:rPr>
              <w:t>项。</w:t>
            </w:r>
          </w:p>
          <w:p w14:paraId="2DB3DD9F">
            <w:pPr>
              <w:snapToGrid w:val="0"/>
              <w:spacing w:line="400" w:lineRule="exact"/>
              <w:rPr>
                <w:rFonts w:hint="eastAsia" w:ascii="宋体" w:hAnsi="宋体"/>
                <w:szCs w:val="21"/>
              </w:rPr>
            </w:pPr>
            <w:r>
              <w:rPr>
                <w:rFonts w:hint="eastAsia" w:ascii="宋体" w:hAnsi="宋体" w:cs="宋体"/>
                <w:b/>
                <w:szCs w:val="21"/>
              </w:rPr>
              <w:t>技术需求</w:t>
            </w:r>
            <w:r>
              <w:rPr>
                <w:rFonts w:hint="eastAsia" w:ascii="宋体" w:hAnsi="宋体"/>
                <w:b/>
                <w:szCs w:val="21"/>
              </w:rPr>
              <w:t>评审中允许负偏离的条款数为</w:t>
            </w:r>
            <w:r>
              <w:rPr>
                <w:rFonts w:hint="eastAsia" w:ascii="宋体" w:hAnsi="宋体"/>
                <w:b/>
                <w:szCs w:val="21"/>
                <w:u w:val="single"/>
              </w:rPr>
              <w:t xml:space="preserve"> 0 </w:t>
            </w:r>
            <w:r>
              <w:rPr>
                <w:rFonts w:hint="eastAsia" w:ascii="宋体" w:hAnsi="宋体"/>
                <w:b/>
                <w:szCs w:val="21"/>
              </w:rPr>
              <w:t>项。</w:t>
            </w:r>
          </w:p>
        </w:tc>
      </w:tr>
      <w:tr w14:paraId="44591A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710358BA">
            <w:pPr>
              <w:spacing w:line="400" w:lineRule="exact"/>
              <w:jc w:val="center"/>
              <w:rPr>
                <w:rFonts w:hint="eastAsia" w:ascii="宋体" w:hAnsi="宋体"/>
                <w:szCs w:val="21"/>
              </w:rPr>
            </w:pPr>
            <w:r>
              <w:rPr>
                <w:rFonts w:hint="eastAsia" w:ascii="宋体" w:hAnsi="宋体"/>
                <w:szCs w:val="21"/>
              </w:rPr>
              <w:t>30</w:t>
            </w:r>
            <w:r>
              <w:rPr>
                <w:rFonts w:ascii="宋体" w:hAnsi="宋体"/>
                <w:szCs w:val="21"/>
              </w:rPr>
              <w:t>.1</w:t>
            </w:r>
          </w:p>
        </w:tc>
        <w:tc>
          <w:tcPr>
            <w:tcW w:w="1407" w:type="dxa"/>
            <w:tcBorders>
              <w:top w:val="single" w:color="auto" w:sz="4" w:space="0"/>
              <w:left w:val="single" w:color="auto" w:sz="4" w:space="0"/>
              <w:bottom w:val="single" w:color="auto" w:sz="4" w:space="0"/>
              <w:right w:val="single" w:color="auto" w:sz="4" w:space="0"/>
            </w:tcBorders>
            <w:vAlign w:val="center"/>
          </w:tcPr>
          <w:p w14:paraId="5D44A9AE">
            <w:pPr>
              <w:snapToGrid w:val="0"/>
              <w:spacing w:line="400" w:lineRule="exact"/>
              <w:jc w:val="center"/>
              <w:rPr>
                <w:rFonts w:hint="eastAsia" w:ascii="宋体" w:hAnsi="宋体"/>
                <w:szCs w:val="21"/>
              </w:rPr>
            </w:pPr>
            <w:r>
              <w:rPr>
                <w:rFonts w:hint="eastAsia" w:ascii="宋体" w:hAnsi="宋体"/>
                <w:szCs w:val="21"/>
              </w:rPr>
              <w:t>确定中标人时，出现中标候选人分数并列的情形，确定中标人方式</w:t>
            </w:r>
          </w:p>
        </w:tc>
        <w:tc>
          <w:tcPr>
            <w:tcW w:w="6272" w:type="dxa"/>
            <w:tcBorders>
              <w:top w:val="single" w:color="auto" w:sz="4" w:space="0"/>
              <w:left w:val="single" w:color="auto" w:sz="4" w:space="0"/>
              <w:bottom w:val="single" w:color="auto" w:sz="4" w:space="0"/>
              <w:right w:val="single" w:color="auto" w:sz="4" w:space="0"/>
            </w:tcBorders>
            <w:vAlign w:val="center"/>
          </w:tcPr>
          <w:p w14:paraId="3A35EC08">
            <w:pPr>
              <w:snapToGrid w:val="0"/>
              <w:spacing w:line="400" w:lineRule="exact"/>
              <w:rPr>
                <w:rFonts w:hint="eastAsia" w:ascii="宋体" w:hAnsi="宋体"/>
                <w:szCs w:val="21"/>
              </w:rPr>
            </w:pPr>
            <w:r>
              <w:rPr>
                <w:rFonts w:hint="eastAsia" w:ascii="宋体" w:hAnsi="宋体"/>
                <w:szCs w:val="21"/>
              </w:rPr>
              <w:t xml:space="preserve">□随机抽取； </w:t>
            </w:r>
          </w:p>
          <w:p w14:paraId="37D0EFF7">
            <w:pPr>
              <w:snapToGrid w:val="0"/>
              <w:spacing w:line="400" w:lineRule="exact"/>
              <w:rPr>
                <w:rFonts w:hint="eastAsia" w:ascii="宋体" w:hAnsi="宋体"/>
                <w:b/>
                <w:szCs w:val="21"/>
              </w:rPr>
            </w:pPr>
            <w:r>
              <w:rPr>
                <w:rFonts w:hint="eastAsia" w:ascii="宋体" w:hAnsi="宋体"/>
                <w:szCs w:val="21"/>
              </w:rPr>
              <w:t>☑采用综合评分法的，评标委员会将根据总得分由高到低排列次序并推荐中标候选人。综合得分相同的，按照投标报价低的优先；综合得分和投标报价相同的，按照技术评分高的优先；综合得分、投标报价和技术评分相同的，按照商务评分高的优先。综合得分、投标报价、技术评分、商务评分均相同的，由评标委员会采用不记名投票决定，票数高的优先推荐。</w:t>
            </w:r>
          </w:p>
        </w:tc>
      </w:tr>
      <w:tr w14:paraId="10063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59" w:type="dxa"/>
            <w:tcBorders>
              <w:top w:val="single" w:color="auto" w:sz="4" w:space="0"/>
              <w:left w:val="single" w:color="auto" w:sz="4" w:space="0"/>
              <w:bottom w:val="single" w:color="auto" w:sz="4" w:space="0"/>
              <w:right w:val="single" w:color="auto" w:sz="4" w:space="0"/>
            </w:tcBorders>
            <w:vAlign w:val="center"/>
          </w:tcPr>
          <w:p w14:paraId="00E2BF4A">
            <w:pPr>
              <w:spacing w:line="400" w:lineRule="exact"/>
              <w:jc w:val="center"/>
              <w:rPr>
                <w:rFonts w:hint="eastAsia" w:ascii="宋体" w:hAnsi="宋体"/>
                <w:szCs w:val="21"/>
              </w:rPr>
            </w:pPr>
            <w:r>
              <w:rPr>
                <w:rFonts w:hint="eastAsia" w:ascii="宋体" w:hAnsi="宋体"/>
                <w:szCs w:val="21"/>
              </w:rPr>
              <w:t>35</w:t>
            </w:r>
          </w:p>
        </w:tc>
        <w:tc>
          <w:tcPr>
            <w:tcW w:w="1407" w:type="dxa"/>
            <w:tcBorders>
              <w:top w:val="single" w:color="auto" w:sz="4" w:space="0"/>
              <w:left w:val="single" w:color="auto" w:sz="4" w:space="0"/>
              <w:bottom w:val="single" w:color="auto" w:sz="4" w:space="0"/>
              <w:right w:val="single" w:color="auto" w:sz="4" w:space="0"/>
            </w:tcBorders>
            <w:vAlign w:val="center"/>
          </w:tcPr>
          <w:p w14:paraId="0B47FCC1">
            <w:pPr>
              <w:spacing w:line="400" w:lineRule="exact"/>
              <w:jc w:val="center"/>
              <w:rPr>
                <w:rFonts w:hint="eastAsia" w:ascii="宋体" w:hAnsi="宋体"/>
                <w:szCs w:val="21"/>
              </w:rPr>
            </w:pPr>
            <w:bookmarkStart w:id="86" w:name="_39.1"/>
            <w:bookmarkEnd w:id="86"/>
            <w:r>
              <w:rPr>
                <w:rFonts w:hint="eastAsia" w:ascii="宋体" w:hAnsi="宋体"/>
                <w:szCs w:val="21"/>
              </w:rPr>
              <w:t>履约保证金</w:t>
            </w:r>
          </w:p>
        </w:tc>
        <w:tc>
          <w:tcPr>
            <w:tcW w:w="6272" w:type="dxa"/>
            <w:tcBorders>
              <w:top w:val="single" w:color="auto" w:sz="4" w:space="0"/>
              <w:left w:val="single" w:color="auto" w:sz="4" w:space="0"/>
              <w:bottom w:val="single" w:color="auto" w:sz="4" w:space="0"/>
              <w:right w:val="single" w:color="auto" w:sz="4" w:space="0"/>
            </w:tcBorders>
            <w:vAlign w:val="bottom"/>
          </w:tcPr>
          <w:p w14:paraId="3E4A625B">
            <w:pPr>
              <w:snapToGrid w:val="0"/>
              <w:spacing w:line="400" w:lineRule="exact"/>
            </w:pPr>
            <w:r>
              <w:rPr>
                <w:rFonts w:hint="eastAsia"/>
              </w:rPr>
              <w:t>本项目收取履约保证金。</w:t>
            </w:r>
          </w:p>
          <w:p w14:paraId="2846C801">
            <w:pPr>
              <w:snapToGrid w:val="0"/>
              <w:spacing w:line="400" w:lineRule="exact"/>
              <w:rPr>
                <w:b/>
                <w:bCs/>
              </w:rPr>
            </w:pPr>
            <w:r>
              <w:rPr>
                <w:rFonts w:hint="eastAsia"/>
                <w:b/>
                <w:bCs/>
              </w:rPr>
              <w:t>分标1、分标2、分标3、分标4：</w:t>
            </w:r>
          </w:p>
          <w:p w14:paraId="4744A21A">
            <w:pPr>
              <w:snapToGrid w:val="0"/>
              <w:spacing w:line="400" w:lineRule="exact"/>
            </w:pPr>
            <w:r>
              <w:rPr>
                <w:rFonts w:hint="eastAsia"/>
              </w:rPr>
              <w:t>（1）供应商须于签订合同后5个工作日内将本项目中标总金额5%的履约保证金（中小企业缴纳数额为中标总金额的2%）递交到采购人指定账户。履约保证金递交方式：银行转账、支票、汇票、本票或者金融机构出具的保函等非现金方式。</w:t>
            </w:r>
          </w:p>
          <w:p w14:paraId="534D4D0F">
            <w:pPr>
              <w:snapToGrid w:val="0"/>
              <w:spacing w:line="400" w:lineRule="exact"/>
            </w:pPr>
            <w:r>
              <w:rPr>
                <w:rFonts w:hint="eastAsia"/>
              </w:rPr>
              <w:t>（2）项目按照合同约定及招标文件要求完成项目建设，通过最终验收并收到最终验收批复后，项目进入质保期，在质保期间，供应商无违约情形的，质保期结束后5个工作日内，供应商向采购人提交《履约保证金退付申请》，采购人审核无误后5个工作日内无息返还履约保证金。合同履行期间如涉及违约，采购人有权直接从履约保证金中扣减供应商需赔偿给采购人的相关违约金和损失赔偿。</w:t>
            </w:r>
          </w:p>
          <w:p w14:paraId="4E18EE4B">
            <w:pPr>
              <w:snapToGrid w:val="0"/>
              <w:spacing w:line="400" w:lineRule="exact"/>
              <w:rPr>
                <w:b/>
                <w:bCs/>
              </w:rPr>
            </w:pPr>
            <w:r>
              <w:rPr>
                <w:rFonts w:hint="eastAsia"/>
                <w:b/>
                <w:bCs/>
              </w:rPr>
              <w:t>分标5：</w:t>
            </w:r>
          </w:p>
          <w:p w14:paraId="0F638791">
            <w:pPr>
              <w:snapToGrid w:val="0"/>
              <w:spacing w:line="400" w:lineRule="exact"/>
            </w:pPr>
            <w:r>
              <w:rPr>
                <w:rFonts w:hint="eastAsia"/>
              </w:rPr>
              <w:t>（1）供应商须于签订合同前后5个工作日内将本项目中标总金额2%的履约保证金递交到采购人指定账户。履约保证金递交方式：银行转账、支票、汇票、本票或者金融机构出具的保函等非现金方式。</w:t>
            </w:r>
          </w:p>
          <w:p w14:paraId="605308A9">
            <w:pPr>
              <w:snapToGrid w:val="0"/>
              <w:spacing w:line="400" w:lineRule="exact"/>
            </w:pPr>
            <w:r>
              <w:rPr>
                <w:rFonts w:hint="eastAsia"/>
              </w:rPr>
              <w:t>（2）合同履行完毕供应商出具监理总结报告，并顺利通过采购人《广西生态环境信息化建设项目专项监理服务考核评分表》的考核（每期考核≥80分即为通过考核），经采购人确认后，履约保证金将于5个工作日内无息退还给中标供应商。如涉及考核扣款，将从履约保证金中扣减，如在合同履行期间，采购人因供应商的考核扣减履约保证金的，供应商应在7日内将保证金恢复至原有数额。</w:t>
            </w:r>
          </w:p>
          <w:p w14:paraId="70C53E67">
            <w:pPr>
              <w:snapToGrid w:val="0"/>
              <w:spacing w:line="400" w:lineRule="exact"/>
              <w:rPr>
                <w:rFonts w:hint="eastAsia" w:ascii="宋体" w:hAnsi="宋体" w:cs="宋体"/>
                <w:szCs w:val="21"/>
              </w:rPr>
            </w:pPr>
            <w:r>
              <w:rPr>
                <w:rFonts w:hint="eastAsia" w:ascii="宋体" w:hAnsi="宋体" w:cs="宋体"/>
                <w:szCs w:val="21"/>
              </w:rPr>
              <w:t>备注：</w:t>
            </w:r>
          </w:p>
          <w:p w14:paraId="0095B7B8">
            <w:pPr>
              <w:snapToGrid w:val="0"/>
              <w:spacing w:line="400" w:lineRule="exact"/>
              <w:rPr>
                <w:rFonts w:hint="eastAsia" w:ascii="宋体" w:hAnsi="宋体" w:cs="宋体"/>
                <w:b/>
                <w:bCs/>
                <w:szCs w:val="21"/>
              </w:rPr>
            </w:pPr>
            <w:r>
              <w:rPr>
                <w:rFonts w:hint="eastAsia" w:ascii="宋体" w:hAnsi="宋体" w:cs="宋体"/>
                <w:b/>
                <w:bCs/>
                <w:szCs w:val="21"/>
              </w:rPr>
              <w:t>1、采购人在与中小微企业签订政府采购合同时，减少或免于收取履约保证金，有必要收取履约保证金的，收取的履约保证金不得超过政府采购合同金额的2%。</w:t>
            </w:r>
          </w:p>
          <w:p w14:paraId="5D57EB12">
            <w:pPr>
              <w:snapToGrid w:val="0"/>
              <w:spacing w:line="400" w:lineRule="exact"/>
              <w:rPr>
                <w:rFonts w:hint="eastAsia" w:ascii="宋体" w:hAnsi="宋体" w:cs="宋体"/>
                <w:b/>
                <w:bCs/>
                <w:szCs w:val="21"/>
              </w:rPr>
            </w:pPr>
            <w:r>
              <w:rPr>
                <w:rFonts w:hint="eastAsia" w:ascii="宋体" w:hAnsi="宋体" w:cs="宋体"/>
                <w:b/>
                <w:bCs/>
                <w:szCs w:val="21"/>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4C2FED42">
            <w:pPr>
              <w:snapToGrid w:val="0"/>
              <w:spacing w:line="400" w:lineRule="exact"/>
              <w:rPr>
                <w:rFonts w:hint="eastAsia" w:ascii="宋体" w:hAnsi="宋体" w:cs="宋体"/>
                <w:b/>
                <w:bCs/>
                <w:szCs w:val="21"/>
              </w:rPr>
            </w:pPr>
            <w:r>
              <w:rPr>
                <w:rFonts w:hint="eastAsia" w:ascii="宋体" w:hAnsi="宋体" w:cs="宋体"/>
                <w:b/>
                <w:bCs/>
                <w:szCs w:val="21"/>
              </w:rPr>
              <w:t>3、采用金融、担保机构出具的保函的，必须为无条件保函，否则不予签订合同。</w:t>
            </w:r>
          </w:p>
          <w:p w14:paraId="34967E46">
            <w:pPr>
              <w:pStyle w:val="2"/>
            </w:pPr>
            <w:r>
              <w:rPr>
                <w:rFonts w:hint="eastAsia" w:ascii="宋体" w:hAnsi="宋体" w:cs="宋体"/>
                <w:b/>
                <w:bCs/>
                <w:sz w:val="21"/>
                <w:szCs w:val="21"/>
              </w:rPr>
              <w:t>4、供应商为联合体的，由联合体其中一方按规定提交的履约保证金，视为有效履约保证金。</w:t>
            </w:r>
          </w:p>
        </w:tc>
      </w:tr>
      <w:tr w14:paraId="0F9244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15773CCB">
            <w:pPr>
              <w:spacing w:line="400" w:lineRule="exact"/>
              <w:jc w:val="center"/>
              <w:rPr>
                <w:rFonts w:hint="eastAsia" w:ascii="宋体" w:hAnsi="宋体"/>
                <w:szCs w:val="21"/>
              </w:rPr>
            </w:pPr>
            <w:r>
              <w:rPr>
                <w:rFonts w:hint="eastAsia" w:ascii="宋体" w:hAnsi="宋体"/>
                <w:szCs w:val="21"/>
              </w:rPr>
              <w:t>36.1</w:t>
            </w:r>
          </w:p>
        </w:tc>
        <w:tc>
          <w:tcPr>
            <w:tcW w:w="1407" w:type="dxa"/>
            <w:tcBorders>
              <w:top w:val="single" w:color="auto" w:sz="4" w:space="0"/>
              <w:left w:val="single" w:color="auto" w:sz="4" w:space="0"/>
              <w:bottom w:val="single" w:color="auto" w:sz="4" w:space="0"/>
              <w:right w:val="single" w:color="auto" w:sz="4" w:space="0"/>
            </w:tcBorders>
            <w:vAlign w:val="center"/>
          </w:tcPr>
          <w:p w14:paraId="7C81BEAF">
            <w:pPr>
              <w:spacing w:line="400" w:lineRule="exact"/>
              <w:jc w:val="center"/>
              <w:rPr>
                <w:rFonts w:hint="eastAsia" w:ascii="宋体" w:hAnsi="宋体"/>
                <w:szCs w:val="21"/>
              </w:rPr>
            </w:pPr>
            <w:bookmarkStart w:id="87" w:name="_40.1"/>
            <w:bookmarkEnd w:id="87"/>
            <w:r>
              <w:rPr>
                <w:rFonts w:hint="eastAsia" w:ascii="宋体" w:hAnsi="宋体"/>
                <w:szCs w:val="21"/>
              </w:rPr>
              <w:t>签订电子合同携带的材料</w:t>
            </w:r>
          </w:p>
        </w:tc>
        <w:tc>
          <w:tcPr>
            <w:tcW w:w="6272" w:type="dxa"/>
            <w:tcBorders>
              <w:top w:val="single" w:color="auto" w:sz="4" w:space="0"/>
              <w:left w:val="single" w:color="auto" w:sz="4" w:space="0"/>
              <w:bottom w:val="single" w:color="auto" w:sz="4" w:space="0"/>
              <w:right w:val="single" w:color="auto" w:sz="4" w:space="0"/>
            </w:tcBorders>
            <w:vAlign w:val="center"/>
          </w:tcPr>
          <w:p w14:paraId="2061FDBE">
            <w:pPr>
              <w:snapToGrid w:val="0"/>
              <w:spacing w:line="400" w:lineRule="exact"/>
              <w:rPr>
                <w:rFonts w:hint="eastAsia" w:ascii="宋体" w:hAnsi="宋体" w:cs="宋体"/>
                <w:szCs w:val="21"/>
              </w:rPr>
            </w:pPr>
            <w:r>
              <w:rPr>
                <w:rFonts w:hint="eastAsia" w:ascii="宋体" w:hAnsi="宋体" w:cs="宋体"/>
                <w:szCs w:val="21"/>
              </w:rPr>
              <w:t>签订合同携带的证明材料：</w:t>
            </w:r>
          </w:p>
          <w:p w14:paraId="2FB67A3F">
            <w:pPr>
              <w:snapToGrid w:val="0"/>
              <w:spacing w:line="400" w:lineRule="exact"/>
              <w:rPr>
                <w:rFonts w:hint="eastAsia" w:ascii="宋体" w:hAnsi="宋体" w:cs="宋体"/>
                <w:szCs w:val="21"/>
              </w:rPr>
            </w:pPr>
            <w:r>
              <w:rPr>
                <w:rFonts w:hint="eastAsia" w:ascii="宋体" w:hAnsi="宋体" w:cs="宋体"/>
                <w:szCs w:val="21"/>
              </w:rPr>
              <w:t>委托代理人负责签订合同的，须携带授权委托书及委托代理人身份证原件等其他资格证件。</w:t>
            </w:r>
          </w:p>
          <w:p w14:paraId="42B69D0E">
            <w:pPr>
              <w:snapToGrid w:val="0"/>
              <w:spacing w:line="400" w:lineRule="exact"/>
              <w:rPr>
                <w:rFonts w:hint="eastAsia" w:ascii="宋体" w:hAnsi="宋体" w:cs="宋体"/>
                <w:szCs w:val="21"/>
              </w:rPr>
            </w:pPr>
            <w:r>
              <w:rPr>
                <w:rFonts w:hint="eastAsia" w:ascii="宋体" w:hAnsi="宋体" w:cs="宋体"/>
                <w:szCs w:val="21"/>
              </w:rPr>
              <w:t>法定代表人（负责人）负责签订合同的，须携带法定代表人（负责人）身份证明原件及身份证原件等其他证明材料。</w:t>
            </w:r>
          </w:p>
          <w:p w14:paraId="281592F9">
            <w:pPr>
              <w:snapToGrid w:val="0"/>
              <w:spacing w:line="400" w:lineRule="exact"/>
              <w:rPr>
                <w:rFonts w:hint="eastAsia" w:ascii="宋体" w:hAnsi="宋体" w:cs="宋体"/>
                <w:szCs w:val="21"/>
              </w:rPr>
            </w:pPr>
            <w:r>
              <w:rPr>
                <w:rFonts w:hint="eastAsia" w:ascii="宋体" w:hAnsi="宋体" w:cs="宋体"/>
                <w:szCs w:val="21"/>
              </w:rPr>
              <w:t>签订电子合同携带的证明材料：</w:t>
            </w:r>
          </w:p>
          <w:p w14:paraId="00DAE135">
            <w:pPr>
              <w:snapToGrid w:val="0"/>
              <w:spacing w:line="400" w:lineRule="exact"/>
              <w:rPr>
                <w:rFonts w:hint="eastAsia" w:ascii="宋体" w:hAnsi="宋体"/>
                <w:szCs w:val="21"/>
              </w:rPr>
            </w:pPr>
            <w:r>
              <w:rPr>
                <w:rFonts w:hint="eastAsia" w:ascii="宋体" w:hAnsi="宋体" w:cs="宋体"/>
                <w:szCs w:val="21"/>
              </w:rPr>
              <w:t>电子采购合同需要供应商通过有效CA证书进行电子签名与签章。</w:t>
            </w:r>
          </w:p>
        </w:tc>
      </w:tr>
      <w:tr w14:paraId="1B748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959" w:type="dxa"/>
            <w:vMerge w:val="restart"/>
            <w:tcBorders>
              <w:top w:val="single" w:color="auto" w:sz="4" w:space="0"/>
              <w:left w:val="single" w:color="auto" w:sz="4" w:space="0"/>
              <w:right w:val="single" w:color="auto" w:sz="4" w:space="0"/>
            </w:tcBorders>
            <w:vAlign w:val="center"/>
          </w:tcPr>
          <w:p w14:paraId="370C5E99">
            <w:pPr>
              <w:spacing w:line="400" w:lineRule="exact"/>
              <w:jc w:val="center"/>
              <w:rPr>
                <w:rFonts w:hint="eastAsia" w:ascii="宋体" w:hAnsi="宋体"/>
                <w:szCs w:val="21"/>
              </w:rPr>
            </w:pPr>
            <w:r>
              <w:rPr>
                <w:rFonts w:hint="eastAsia" w:ascii="宋体" w:hAnsi="宋体"/>
                <w:szCs w:val="21"/>
              </w:rPr>
              <w:t>3</w:t>
            </w:r>
            <w:r>
              <w:rPr>
                <w:rFonts w:ascii="宋体" w:hAnsi="宋体"/>
                <w:szCs w:val="21"/>
              </w:rPr>
              <w:t>8.2</w:t>
            </w:r>
            <w:r>
              <w:rPr>
                <w:rFonts w:hint="eastAsia" w:ascii="宋体" w:hAnsi="宋体"/>
                <w:szCs w:val="21"/>
              </w:rPr>
              <w:t>.1</w:t>
            </w:r>
          </w:p>
        </w:tc>
        <w:tc>
          <w:tcPr>
            <w:tcW w:w="1407" w:type="dxa"/>
            <w:tcBorders>
              <w:top w:val="single" w:color="auto" w:sz="4" w:space="0"/>
              <w:left w:val="single" w:color="auto" w:sz="4" w:space="0"/>
              <w:bottom w:val="single" w:color="auto" w:sz="4" w:space="0"/>
              <w:right w:val="single" w:color="auto" w:sz="4" w:space="0"/>
            </w:tcBorders>
            <w:vAlign w:val="center"/>
          </w:tcPr>
          <w:p w14:paraId="5F26CACD">
            <w:pPr>
              <w:spacing w:line="400" w:lineRule="exact"/>
              <w:jc w:val="center"/>
              <w:rPr>
                <w:rFonts w:hint="eastAsia" w:ascii="宋体" w:hAnsi="宋体"/>
                <w:szCs w:val="21"/>
              </w:rPr>
            </w:pPr>
            <w:r>
              <w:rPr>
                <w:rFonts w:hint="eastAsia" w:ascii="宋体" w:hAnsi="宋体"/>
                <w:szCs w:val="21"/>
              </w:rPr>
              <w:t>接收质疑函方式</w:t>
            </w:r>
          </w:p>
        </w:tc>
        <w:tc>
          <w:tcPr>
            <w:tcW w:w="6272" w:type="dxa"/>
            <w:tcBorders>
              <w:top w:val="single" w:color="auto" w:sz="4" w:space="0"/>
              <w:left w:val="single" w:color="auto" w:sz="4" w:space="0"/>
              <w:bottom w:val="single" w:color="auto" w:sz="4" w:space="0"/>
              <w:right w:val="single" w:color="auto" w:sz="4" w:space="0"/>
            </w:tcBorders>
            <w:vAlign w:val="center"/>
          </w:tcPr>
          <w:p w14:paraId="76CDF8A2">
            <w:pPr>
              <w:snapToGrid w:val="0"/>
              <w:spacing w:line="400" w:lineRule="exact"/>
              <w:rPr>
                <w:rFonts w:hint="eastAsia" w:ascii="宋体" w:hAnsi="宋体" w:cs="宋体"/>
                <w:szCs w:val="21"/>
              </w:rPr>
            </w:pPr>
            <w:r>
              <w:rPr>
                <w:rFonts w:hint="eastAsia" w:ascii="宋体" w:hAnsi="宋体"/>
                <w:szCs w:val="21"/>
              </w:rPr>
              <w:t>以书面形式</w:t>
            </w:r>
            <w:r>
              <w:rPr>
                <w:rFonts w:hint="eastAsia" w:ascii="宋体" w:hAnsi="宋体" w:cs="宋体"/>
                <w:szCs w:val="21"/>
              </w:rPr>
              <w:t>（须按照招标文件要求格式）</w:t>
            </w:r>
          </w:p>
          <w:p w14:paraId="3E33BD83">
            <w:pPr>
              <w:snapToGrid w:val="0"/>
              <w:spacing w:line="400" w:lineRule="exact"/>
              <w:rPr>
                <w:rFonts w:hint="eastAsia" w:ascii="宋体" w:hAnsi="宋体"/>
                <w:szCs w:val="21"/>
              </w:rPr>
            </w:pPr>
            <w:r>
              <w:rPr>
                <w:rFonts w:hint="eastAsia" w:ascii="宋体" w:hAnsi="宋体"/>
                <w:szCs w:val="21"/>
              </w:rPr>
              <w:t>质疑材料接收要求：质疑供应商须按照招标文件“第七章  质疑、投诉证明材料格式”要求，提供相应完整材料内容才受理。材料缺项或未按照质疑材料格式提供的，不予受理，为此造成的后果由供应商自行承担。</w:t>
            </w:r>
          </w:p>
        </w:tc>
      </w:tr>
      <w:tr w14:paraId="4AADB6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959" w:type="dxa"/>
            <w:vMerge w:val="continue"/>
            <w:tcBorders>
              <w:left w:val="single" w:color="auto" w:sz="4" w:space="0"/>
              <w:right w:val="single" w:color="auto" w:sz="4" w:space="0"/>
            </w:tcBorders>
            <w:vAlign w:val="center"/>
          </w:tcPr>
          <w:p w14:paraId="514A455E">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01F0CCA7">
            <w:pPr>
              <w:spacing w:line="400" w:lineRule="exact"/>
              <w:jc w:val="center"/>
              <w:rPr>
                <w:rFonts w:hint="eastAsia" w:ascii="宋体" w:hAnsi="宋体"/>
                <w:szCs w:val="21"/>
              </w:rPr>
            </w:pPr>
            <w:r>
              <w:rPr>
                <w:rFonts w:hint="eastAsia" w:ascii="宋体" w:hAnsi="宋体"/>
                <w:szCs w:val="21"/>
              </w:rPr>
              <w:t>质疑联系部门及联系方式</w:t>
            </w:r>
          </w:p>
        </w:tc>
        <w:tc>
          <w:tcPr>
            <w:tcW w:w="6272" w:type="dxa"/>
            <w:tcBorders>
              <w:top w:val="single" w:color="auto" w:sz="4" w:space="0"/>
              <w:left w:val="single" w:color="auto" w:sz="4" w:space="0"/>
              <w:bottom w:val="single" w:color="auto" w:sz="4" w:space="0"/>
              <w:right w:val="single" w:color="auto" w:sz="4" w:space="0"/>
            </w:tcBorders>
            <w:vAlign w:val="center"/>
          </w:tcPr>
          <w:p w14:paraId="0A87EDCE">
            <w:pPr>
              <w:snapToGrid w:val="0"/>
              <w:spacing w:line="400" w:lineRule="exact"/>
              <w:rPr>
                <w:rFonts w:hint="eastAsia" w:ascii="宋体" w:hAnsi="宋体"/>
                <w:szCs w:val="21"/>
              </w:rPr>
            </w:pPr>
            <w:r>
              <w:rPr>
                <w:rFonts w:hint="eastAsia" w:ascii="宋体" w:hAnsi="宋体"/>
                <w:szCs w:val="21"/>
              </w:rPr>
              <w:t>（1）采购代理机构：公诚管理咨询有限公司</w:t>
            </w:r>
          </w:p>
          <w:p w14:paraId="18B773E8">
            <w:pPr>
              <w:snapToGrid w:val="0"/>
              <w:spacing w:line="400" w:lineRule="exact"/>
              <w:rPr>
                <w:rFonts w:hint="eastAsia" w:ascii="宋体" w:hAnsi="宋体"/>
                <w:szCs w:val="21"/>
              </w:rPr>
            </w:pPr>
            <w:r>
              <w:rPr>
                <w:rFonts w:hint="eastAsia" w:ascii="宋体" w:hAnsi="宋体"/>
                <w:szCs w:val="21"/>
              </w:rPr>
              <w:t>联系电话：0771-5583003</w:t>
            </w:r>
          </w:p>
          <w:p w14:paraId="7F8B961E">
            <w:pPr>
              <w:snapToGrid w:val="0"/>
              <w:spacing w:line="400" w:lineRule="exact"/>
              <w:rPr>
                <w:rFonts w:hint="eastAsia" w:ascii="宋体" w:hAnsi="宋体"/>
                <w:szCs w:val="21"/>
                <w:u w:val="single"/>
              </w:rPr>
            </w:pPr>
            <w:r>
              <w:rPr>
                <w:rFonts w:hint="eastAsia" w:ascii="宋体" w:hAnsi="宋体"/>
                <w:szCs w:val="21"/>
              </w:rPr>
              <w:t>通讯地址：广西南宁市青秀区金湖北路52-1号东方曼哈顿25楼</w:t>
            </w:r>
          </w:p>
          <w:p w14:paraId="6D876223">
            <w:pPr>
              <w:snapToGrid w:val="0"/>
              <w:spacing w:line="400" w:lineRule="exact"/>
              <w:rPr>
                <w:rFonts w:hint="eastAsia" w:ascii="宋体" w:hAnsi="宋体"/>
                <w:szCs w:val="21"/>
              </w:rPr>
            </w:pPr>
            <w:r>
              <w:rPr>
                <w:rFonts w:hint="eastAsia" w:ascii="宋体" w:hAnsi="宋体"/>
                <w:szCs w:val="21"/>
              </w:rPr>
              <w:t>（2）采购人：</w:t>
            </w:r>
            <w:r>
              <w:rPr>
                <w:rFonts w:hint="eastAsia" w:ascii="宋体" w:hAnsi="宋体"/>
                <w:szCs w:val="21"/>
                <w:u w:val="single"/>
              </w:rPr>
              <w:t>广西壮族自治区环境信息中心</w:t>
            </w:r>
          </w:p>
          <w:p w14:paraId="31A8FE5D">
            <w:pPr>
              <w:snapToGrid w:val="0"/>
              <w:spacing w:line="400" w:lineRule="exact"/>
              <w:rPr>
                <w:rFonts w:hint="eastAsia" w:ascii="宋体" w:hAnsi="宋体"/>
                <w:szCs w:val="21"/>
              </w:rPr>
            </w:pPr>
            <w:r>
              <w:rPr>
                <w:rFonts w:hint="eastAsia" w:ascii="宋体" w:hAnsi="宋体"/>
                <w:szCs w:val="21"/>
              </w:rPr>
              <w:t>联系电话：</w:t>
            </w:r>
            <w:r>
              <w:rPr>
                <w:rFonts w:hint="eastAsia" w:ascii="宋体" w:hAnsi="宋体"/>
                <w:szCs w:val="21"/>
                <w:u w:val="single"/>
              </w:rPr>
              <w:t xml:space="preserve"> 0771-5313068  </w:t>
            </w:r>
          </w:p>
          <w:p w14:paraId="088B39B0">
            <w:pPr>
              <w:snapToGrid w:val="0"/>
              <w:spacing w:line="400" w:lineRule="exact"/>
              <w:rPr>
                <w:rFonts w:hint="eastAsia" w:ascii="宋体" w:hAnsi="宋体"/>
                <w:szCs w:val="21"/>
              </w:rPr>
            </w:pPr>
            <w:r>
              <w:rPr>
                <w:rFonts w:hint="eastAsia" w:ascii="宋体" w:hAnsi="宋体"/>
                <w:szCs w:val="21"/>
              </w:rPr>
              <w:t>通讯地址：</w:t>
            </w:r>
            <w:r>
              <w:rPr>
                <w:rFonts w:hint="eastAsia" w:ascii="宋体" w:hAnsi="宋体"/>
                <w:szCs w:val="21"/>
                <w:u w:val="single"/>
              </w:rPr>
              <w:t>广西南宁市青秀区佛子岭路16号</w:t>
            </w:r>
          </w:p>
        </w:tc>
      </w:tr>
      <w:tr w14:paraId="51959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959" w:type="dxa"/>
            <w:vMerge w:val="continue"/>
            <w:tcBorders>
              <w:left w:val="single" w:color="auto" w:sz="4" w:space="0"/>
              <w:bottom w:val="single" w:color="auto" w:sz="4" w:space="0"/>
              <w:right w:val="single" w:color="auto" w:sz="4" w:space="0"/>
            </w:tcBorders>
            <w:vAlign w:val="center"/>
          </w:tcPr>
          <w:p w14:paraId="67D06261">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1CC95C19">
            <w:pPr>
              <w:spacing w:line="400" w:lineRule="exact"/>
              <w:jc w:val="center"/>
              <w:rPr>
                <w:rFonts w:hint="eastAsia" w:ascii="宋体" w:hAnsi="宋体"/>
                <w:szCs w:val="21"/>
              </w:rPr>
            </w:pPr>
            <w:r>
              <w:rPr>
                <w:rFonts w:hint="eastAsia" w:ascii="宋体" w:hAnsi="宋体"/>
                <w:szCs w:val="21"/>
              </w:rPr>
              <w:t>现场提交质疑办理业务时间</w:t>
            </w:r>
          </w:p>
        </w:tc>
        <w:tc>
          <w:tcPr>
            <w:tcW w:w="6272" w:type="dxa"/>
            <w:tcBorders>
              <w:top w:val="single" w:color="auto" w:sz="4" w:space="0"/>
              <w:left w:val="single" w:color="auto" w:sz="4" w:space="0"/>
              <w:bottom w:val="single" w:color="auto" w:sz="4" w:space="0"/>
              <w:right w:val="single" w:color="auto" w:sz="4" w:space="0"/>
            </w:tcBorders>
            <w:vAlign w:val="center"/>
          </w:tcPr>
          <w:p w14:paraId="665B54D1">
            <w:pPr>
              <w:snapToGrid w:val="0"/>
              <w:spacing w:line="400" w:lineRule="exact"/>
              <w:rPr>
                <w:rFonts w:hint="eastAsia" w:ascii="宋体" w:hAnsi="宋体"/>
                <w:szCs w:val="21"/>
              </w:rPr>
            </w:pPr>
            <w:r>
              <w:rPr>
                <w:rFonts w:hint="eastAsia" w:ascii="宋体" w:hAnsi="宋体"/>
                <w:szCs w:val="21"/>
              </w:rPr>
              <w:t>质疑期内每个工作日</w:t>
            </w:r>
            <w:r>
              <w:rPr>
                <w:rFonts w:hint="eastAsia" w:ascii="宋体" w:hAnsi="宋体"/>
                <w:szCs w:val="21"/>
                <w:u w:val="single"/>
              </w:rPr>
              <w:t>0</w:t>
            </w:r>
            <w:r>
              <w:rPr>
                <w:rFonts w:hint="eastAsia" w:ascii="宋体" w:hAnsi="宋体" w:cs="宋体"/>
                <w:szCs w:val="21"/>
                <w:u w:val="single"/>
              </w:rPr>
              <w:t>8</w:t>
            </w:r>
            <w:r>
              <w:rPr>
                <w:rFonts w:hint="eastAsia" w:ascii="宋体" w:hAnsi="宋体" w:cs="宋体"/>
                <w:szCs w:val="21"/>
              </w:rPr>
              <w:t>时</w:t>
            </w:r>
            <w:r>
              <w:rPr>
                <w:rFonts w:hint="eastAsia" w:ascii="宋体" w:hAnsi="宋体" w:cs="宋体"/>
                <w:szCs w:val="21"/>
                <w:u w:val="single"/>
              </w:rPr>
              <w:t>30</w:t>
            </w:r>
            <w:r>
              <w:rPr>
                <w:rFonts w:hint="eastAsia" w:ascii="宋体" w:hAnsi="宋体" w:cs="宋体"/>
                <w:szCs w:val="21"/>
              </w:rPr>
              <w:t>分到</w:t>
            </w:r>
            <w:r>
              <w:rPr>
                <w:rFonts w:hint="eastAsia" w:ascii="宋体" w:hAnsi="宋体" w:cs="宋体"/>
                <w:szCs w:val="21"/>
                <w:u w:val="single"/>
              </w:rPr>
              <w:t>12</w:t>
            </w:r>
            <w:r>
              <w:rPr>
                <w:rFonts w:hint="eastAsia" w:ascii="宋体" w:hAnsi="宋体" w:cs="宋体"/>
                <w:szCs w:val="21"/>
              </w:rPr>
              <w:t>时</w:t>
            </w:r>
            <w:r>
              <w:rPr>
                <w:rFonts w:hint="eastAsia" w:ascii="宋体" w:hAnsi="宋体" w:cs="宋体"/>
                <w:szCs w:val="21"/>
                <w:u w:val="single"/>
              </w:rPr>
              <w:t>00</w:t>
            </w:r>
            <w:r>
              <w:rPr>
                <w:rFonts w:hint="eastAsia" w:ascii="宋体" w:hAnsi="宋体" w:cs="宋体"/>
                <w:szCs w:val="21"/>
              </w:rPr>
              <w:t>分，</w:t>
            </w:r>
            <w:r>
              <w:rPr>
                <w:rFonts w:hint="eastAsia" w:ascii="宋体" w:hAnsi="宋体" w:cs="宋体"/>
                <w:szCs w:val="21"/>
                <w:u w:val="single"/>
              </w:rPr>
              <w:t>14</w:t>
            </w:r>
            <w:r>
              <w:rPr>
                <w:rFonts w:hint="eastAsia" w:ascii="宋体" w:hAnsi="宋体" w:cs="宋体"/>
                <w:szCs w:val="21"/>
              </w:rPr>
              <w:t>时</w:t>
            </w:r>
            <w:r>
              <w:rPr>
                <w:rFonts w:hint="eastAsia" w:ascii="宋体" w:hAnsi="宋体" w:cs="宋体"/>
                <w:szCs w:val="21"/>
                <w:u w:val="single"/>
              </w:rPr>
              <w:t>30</w:t>
            </w:r>
            <w:r>
              <w:rPr>
                <w:rFonts w:hint="eastAsia" w:ascii="宋体" w:hAnsi="宋体" w:cs="宋体"/>
                <w:szCs w:val="21"/>
              </w:rPr>
              <w:t>分到</w:t>
            </w:r>
            <w:r>
              <w:rPr>
                <w:rFonts w:hint="eastAsia" w:ascii="宋体" w:hAnsi="宋体" w:cs="宋体"/>
                <w:szCs w:val="21"/>
                <w:u w:val="single"/>
              </w:rPr>
              <w:t>18</w:t>
            </w:r>
            <w:r>
              <w:rPr>
                <w:rFonts w:hint="eastAsia" w:ascii="宋体" w:hAnsi="宋体" w:cs="宋体"/>
                <w:szCs w:val="21"/>
              </w:rPr>
              <w:t>时</w:t>
            </w:r>
            <w:r>
              <w:rPr>
                <w:rFonts w:hint="eastAsia" w:ascii="宋体" w:hAnsi="宋体" w:cs="宋体"/>
                <w:szCs w:val="21"/>
                <w:u w:val="single"/>
              </w:rPr>
              <w:t>00</w:t>
            </w:r>
            <w:r>
              <w:rPr>
                <w:rFonts w:hint="eastAsia" w:ascii="宋体" w:hAnsi="宋体" w:cs="宋体"/>
                <w:szCs w:val="21"/>
              </w:rPr>
              <w:t>分</w:t>
            </w:r>
          </w:p>
        </w:tc>
      </w:tr>
      <w:tr w14:paraId="13095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959" w:type="dxa"/>
            <w:tcBorders>
              <w:left w:val="single" w:color="auto" w:sz="4" w:space="0"/>
              <w:bottom w:val="single" w:color="auto" w:sz="4" w:space="0"/>
              <w:right w:val="single" w:color="auto" w:sz="4" w:space="0"/>
            </w:tcBorders>
            <w:vAlign w:val="center"/>
          </w:tcPr>
          <w:p w14:paraId="7A17FE5A">
            <w:pPr>
              <w:spacing w:line="400" w:lineRule="exact"/>
              <w:jc w:val="center"/>
              <w:rPr>
                <w:rFonts w:hint="eastAsia" w:ascii="宋体" w:hAnsi="宋体"/>
                <w:szCs w:val="21"/>
              </w:rPr>
            </w:pPr>
            <w:r>
              <w:rPr>
                <w:rFonts w:hint="eastAsia" w:ascii="宋体" w:hAnsi="宋体"/>
                <w:szCs w:val="21"/>
              </w:rPr>
              <w:t>38.3.1</w:t>
            </w:r>
          </w:p>
        </w:tc>
        <w:tc>
          <w:tcPr>
            <w:tcW w:w="1407" w:type="dxa"/>
            <w:tcBorders>
              <w:top w:val="single" w:color="auto" w:sz="4" w:space="0"/>
              <w:left w:val="single" w:color="auto" w:sz="4" w:space="0"/>
              <w:bottom w:val="single" w:color="auto" w:sz="4" w:space="0"/>
              <w:right w:val="single" w:color="auto" w:sz="4" w:space="0"/>
            </w:tcBorders>
            <w:vAlign w:val="center"/>
          </w:tcPr>
          <w:p w14:paraId="483DB577">
            <w:pPr>
              <w:spacing w:line="400" w:lineRule="exact"/>
              <w:jc w:val="center"/>
              <w:rPr>
                <w:rFonts w:hint="eastAsia" w:ascii="宋体" w:hAnsi="宋体"/>
                <w:szCs w:val="21"/>
              </w:rPr>
            </w:pPr>
            <w:r>
              <w:rPr>
                <w:rFonts w:hint="eastAsia" w:ascii="宋体" w:hAnsi="宋体"/>
                <w:szCs w:val="21"/>
              </w:rPr>
              <w:t>投诉受理方式</w:t>
            </w:r>
          </w:p>
        </w:tc>
        <w:tc>
          <w:tcPr>
            <w:tcW w:w="6272" w:type="dxa"/>
            <w:tcBorders>
              <w:top w:val="single" w:color="auto" w:sz="4" w:space="0"/>
              <w:left w:val="single" w:color="auto" w:sz="4" w:space="0"/>
              <w:bottom w:val="single" w:color="auto" w:sz="4" w:space="0"/>
              <w:right w:val="single" w:color="auto" w:sz="4" w:space="0"/>
            </w:tcBorders>
            <w:vAlign w:val="center"/>
          </w:tcPr>
          <w:p w14:paraId="5AF06491">
            <w:pPr>
              <w:snapToGrid w:val="0"/>
              <w:spacing w:line="400" w:lineRule="exact"/>
              <w:rPr>
                <w:rFonts w:hint="eastAsia" w:ascii="宋体" w:hAnsi="宋体"/>
                <w:szCs w:val="21"/>
              </w:rPr>
            </w:pPr>
            <w:r>
              <w:rPr>
                <w:rFonts w:hint="eastAsia" w:ascii="宋体" w:hAnsi="宋体" w:cs="宋体"/>
                <w:szCs w:val="21"/>
              </w:rPr>
              <w:t>1、</w:t>
            </w:r>
            <w:r>
              <w:rPr>
                <w:rFonts w:hint="eastAsia" w:ascii="宋体" w:hAnsi="宋体"/>
                <w:szCs w:val="21"/>
              </w:rPr>
              <w:t>受理方式：纸质方式受理，投诉书正、副本（经过质疑的事项才可投诉）。</w:t>
            </w:r>
          </w:p>
          <w:p w14:paraId="6BB65129">
            <w:pPr>
              <w:snapToGrid w:val="0"/>
              <w:spacing w:line="400" w:lineRule="exact"/>
              <w:rPr>
                <w:rFonts w:hint="eastAsia" w:ascii="宋体" w:hAnsi="宋体"/>
                <w:szCs w:val="21"/>
              </w:rPr>
            </w:pPr>
            <w:r>
              <w:rPr>
                <w:rFonts w:hint="eastAsia" w:ascii="宋体" w:hAnsi="宋体" w:cs="宋体"/>
                <w:szCs w:val="21"/>
              </w:rPr>
              <w:t>2、</w:t>
            </w:r>
            <w:r>
              <w:rPr>
                <w:rFonts w:hint="eastAsia" w:ascii="宋体" w:hAnsi="宋体"/>
                <w:szCs w:val="21"/>
              </w:rPr>
              <w:t>受理单位：</w:t>
            </w:r>
            <w:r>
              <w:rPr>
                <w:rFonts w:hint="eastAsia" w:ascii="宋体" w:hAnsi="宋体"/>
                <w:bCs/>
                <w:szCs w:val="21"/>
              </w:rPr>
              <w:t>广西壮族自治区财政厅政府采购监督管理处，</w:t>
            </w:r>
            <w:r>
              <w:rPr>
                <w:rFonts w:hint="eastAsia" w:ascii="宋体" w:hAnsi="宋体" w:cs="宋体"/>
                <w:bCs/>
                <w:szCs w:val="21"/>
              </w:rPr>
              <w:t>0771-5331544</w:t>
            </w:r>
          </w:p>
        </w:tc>
      </w:tr>
      <w:tr w14:paraId="3E06E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959" w:type="dxa"/>
            <w:vMerge w:val="restart"/>
            <w:tcBorders>
              <w:top w:val="single" w:color="auto" w:sz="4" w:space="0"/>
              <w:left w:val="single" w:color="auto" w:sz="4" w:space="0"/>
              <w:right w:val="single" w:color="auto" w:sz="4" w:space="0"/>
            </w:tcBorders>
            <w:vAlign w:val="center"/>
          </w:tcPr>
          <w:p w14:paraId="7D14075D">
            <w:pPr>
              <w:spacing w:line="400" w:lineRule="exact"/>
              <w:jc w:val="center"/>
              <w:rPr>
                <w:rFonts w:hint="eastAsia" w:ascii="宋体" w:hAnsi="宋体"/>
                <w:szCs w:val="21"/>
              </w:rPr>
            </w:pPr>
            <w:r>
              <w:rPr>
                <w:rFonts w:hint="eastAsia" w:ascii="宋体" w:hAnsi="宋体"/>
                <w:szCs w:val="21"/>
              </w:rPr>
              <w:t>40</w:t>
            </w:r>
          </w:p>
        </w:tc>
        <w:tc>
          <w:tcPr>
            <w:tcW w:w="1407" w:type="dxa"/>
            <w:tcBorders>
              <w:top w:val="single" w:color="auto" w:sz="4" w:space="0"/>
              <w:left w:val="single" w:color="auto" w:sz="4" w:space="0"/>
              <w:bottom w:val="single" w:color="auto" w:sz="4" w:space="0"/>
              <w:right w:val="single" w:color="auto" w:sz="4" w:space="0"/>
            </w:tcBorders>
            <w:vAlign w:val="center"/>
          </w:tcPr>
          <w:p w14:paraId="004AB2C9">
            <w:pPr>
              <w:spacing w:line="400" w:lineRule="exact"/>
              <w:jc w:val="center"/>
              <w:rPr>
                <w:rFonts w:hint="eastAsia" w:ascii="宋体" w:hAnsi="宋体"/>
                <w:szCs w:val="21"/>
              </w:rPr>
            </w:pPr>
            <w:bookmarkStart w:id="88" w:name="_41"/>
            <w:bookmarkEnd w:id="88"/>
            <w:bookmarkStart w:id="89" w:name="_42"/>
            <w:bookmarkEnd w:id="89"/>
            <w:r>
              <w:rPr>
                <w:rFonts w:hint="eastAsia" w:ascii="宋体" w:hAnsi="宋体" w:cs="宋体"/>
                <w:szCs w:val="21"/>
              </w:rPr>
              <w:t>采购代理费支付方式</w:t>
            </w:r>
          </w:p>
        </w:tc>
        <w:tc>
          <w:tcPr>
            <w:tcW w:w="6272" w:type="dxa"/>
            <w:tcBorders>
              <w:top w:val="single" w:color="auto" w:sz="4" w:space="0"/>
              <w:left w:val="single" w:color="auto" w:sz="4" w:space="0"/>
              <w:bottom w:val="single" w:color="auto" w:sz="4" w:space="0"/>
              <w:right w:val="single" w:color="auto" w:sz="4" w:space="0"/>
            </w:tcBorders>
            <w:vAlign w:val="center"/>
          </w:tcPr>
          <w:p w14:paraId="308564BD">
            <w:pPr>
              <w:pStyle w:val="11"/>
              <w:snapToGrid w:val="0"/>
              <w:spacing w:line="400" w:lineRule="exact"/>
              <w:rPr>
                <w:rFonts w:hint="eastAsia" w:hAnsi="宋体" w:cs="宋体"/>
                <w:sz w:val="21"/>
              </w:rPr>
            </w:pPr>
            <w:r>
              <w:rPr>
                <w:rFonts w:hint="eastAsia" w:hAnsi="MS Gothic" w:eastAsia="MS Gothic" w:cs="MS Gothic"/>
                <w:sz w:val="21"/>
              </w:rPr>
              <w:t>☑</w:t>
            </w:r>
            <w:r>
              <w:rPr>
                <w:rFonts w:hint="eastAsia" w:asciiTheme="minorEastAsia" w:hAnsiTheme="minorEastAsia" w:eastAsiaTheme="minorEastAsia" w:cstheme="minorEastAsia"/>
                <w:sz w:val="21"/>
              </w:rPr>
              <w:t>本项目代理服务费由</w:t>
            </w:r>
            <w:r>
              <w:rPr>
                <w:rFonts w:hint="eastAsia" w:asciiTheme="minorEastAsia" w:hAnsiTheme="minorEastAsia" w:eastAsiaTheme="minorEastAsia" w:cstheme="minorEastAsia"/>
                <w:sz w:val="21"/>
                <w:u w:val="single"/>
              </w:rPr>
              <w:t>中标人</w:t>
            </w:r>
            <w:r>
              <w:rPr>
                <w:rFonts w:hint="eastAsia" w:asciiTheme="minorEastAsia" w:hAnsiTheme="minorEastAsia" w:eastAsiaTheme="minorEastAsia" w:cstheme="minorEastAsia"/>
                <w:sz w:val="21"/>
              </w:rPr>
              <w:t>向采购代理机构支付</w:t>
            </w:r>
            <w:r>
              <w:rPr>
                <w:rFonts w:hint="eastAsia" w:hAnsi="宋体" w:cs="宋体"/>
                <w:sz w:val="21"/>
              </w:rPr>
              <w:t>。</w:t>
            </w:r>
          </w:p>
          <w:p w14:paraId="1536AD2B">
            <w:pPr>
              <w:pStyle w:val="11"/>
              <w:snapToGrid w:val="0"/>
              <w:spacing w:line="400" w:lineRule="exact"/>
              <w:rPr>
                <w:rFonts w:hint="eastAsia" w:hAnsi="宋体" w:cs="宋体"/>
                <w:sz w:val="21"/>
              </w:rPr>
            </w:pPr>
            <w:r>
              <w:rPr>
                <w:rFonts w:hint="eastAsia" w:hAnsi="宋体" w:cs="宋体"/>
                <w:sz w:val="21"/>
              </w:rPr>
              <w:t>□采购人支付。</w:t>
            </w:r>
          </w:p>
          <w:p w14:paraId="59B27B8D">
            <w:pPr>
              <w:pStyle w:val="11"/>
              <w:snapToGrid w:val="0"/>
              <w:spacing w:line="400" w:lineRule="exact"/>
              <w:rPr>
                <w:rFonts w:hint="eastAsia" w:hAnsi="宋体" w:cs="宋体"/>
                <w:sz w:val="21"/>
              </w:rPr>
            </w:pPr>
            <w:r>
              <w:rPr>
                <w:rFonts w:hint="eastAsia" w:hAnsi="宋体" w:cs="宋体"/>
                <w:sz w:val="21"/>
              </w:rPr>
              <w:t>□本项目不收取代理服务费。</w:t>
            </w:r>
          </w:p>
        </w:tc>
      </w:tr>
      <w:tr w14:paraId="24EFF8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21" w:hRule="atLeast"/>
        </w:trPr>
        <w:tc>
          <w:tcPr>
            <w:tcW w:w="959" w:type="dxa"/>
            <w:vMerge w:val="continue"/>
            <w:tcBorders>
              <w:left w:val="single" w:color="auto" w:sz="4" w:space="0"/>
              <w:right w:val="single" w:color="auto" w:sz="4" w:space="0"/>
            </w:tcBorders>
            <w:vAlign w:val="center"/>
          </w:tcPr>
          <w:p w14:paraId="27C72E71">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0689E35E">
            <w:pPr>
              <w:spacing w:line="400" w:lineRule="exact"/>
              <w:jc w:val="center"/>
              <w:rPr>
                <w:rFonts w:hint="eastAsia" w:ascii="宋体" w:hAnsi="宋体"/>
                <w:szCs w:val="21"/>
              </w:rPr>
            </w:pPr>
            <w:r>
              <w:rPr>
                <w:rFonts w:hint="eastAsia" w:ascii="宋体" w:hAnsi="宋体" w:cs="宋体"/>
                <w:szCs w:val="21"/>
              </w:rPr>
              <w:t>采购代理费收取标准</w:t>
            </w:r>
          </w:p>
        </w:tc>
        <w:tc>
          <w:tcPr>
            <w:tcW w:w="6272" w:type="dxa"/>
            <w:tcBorders>
              <w:top w:val="single" w:color="auto" w:sz="4" w:space="0"/>
              <w:left w:val="single" w:color="auto" w:sz="4" w:space="0"/>
              <w:bottom w:val="single" w:color="auto" w:sz="4" w:space="0"/>
              <w:right w:val="single" w:color="auto" w:sz="4" w:space="0"/>
            </w:tcBorders>
            <w:vAlign w:val="center"/>
          </w:tcPr>
          <w:p w14:paraId="799378D6">
            <w:pPr>
              <w:pStyle w:val="11"/>
              <w:snapToGrid w:val="0"/>
              <w:spacing w:line="400" w:lineRule="exact"/>
              <w:rPr>
                <w:rFonts w:hint="eastAsia" w:hAnsi="宋体" w:cs="宋体"/>
                <w:sz w:val="21"/>
              </w:rPr>
            </w:pPr>
            <w:r>
              <w:rPr>
                <w:rFonts w:hint="eastAsia" w:hAnsi="MS Gothic" w:eastAsia="MS Gothic" w:cs="MS Gothic"/>
                <w:sz w:val="21"/>
              </w:rPr>
              <w:t>☑</w:t>
            </w:r>
            <w:r>
              <w:rPr>
                <w:rFonts w:hint="eastAsia" w:hAnsi="宋体" w:cs="宋体"/>
                <w:sz w:val="21"/>
              </w:rPr>
              <w:t>以分标（</w:t>
            </w:r>
            <w:r>
              <w:rPr>
                <w:rFonts w:hint="eastAsia" w:hAnsi="MS Gothic" w:eastAsia="MS Gothic" w:cs="MS Gothic"/>
                <w:sz w:val="21"/>
              </w:rPr>
              <w:t>☑</w:t>
            </w:r>
            <w:r>
              <w:rPr>
                <w:rFonts w:hint="eastAsia" w:hAnsi="宋体" w:cs="宋体"/>
                <w:sz w:val="21"/>
              </w:rPr>
              <w:t>中标金额/□采购预算/□暂定中标金额/□其他）为计费额，按服务招标采用差额定率累进法计算出收费基准价格，采购代理收费以（</w:t>
            </w:r>
            <w:r>
              <w:rPr>
                <w:rFonts w:hint="eastAsia" w:hAnsi="MS Gothic" w:eastAsia="MS Gothic" w:cs="MS Gothic"/>
                <w:sz w:val="21"/>
              </w:rPr>
              <w:t>☑</w:t>
            </w:r>
            <w:r>
              <w:rPr>
                <w:rFonts w:hint="eastAsia" w:hAnsi="宋体" w:cs="宋体"/>
                <w:sz w:val="21"/>
              </w:rPr>
              <w:t>收费基准价格/□收费基准价格下浮</w:t>
            </w:r>
            <w:r>
              <w:rPr>
                <w:rFonts w:hint="eastAsia" w:hAnsi="宋体" w:cs="宋体"/>
                <w:sz w:val="21"/>
                <w:u w:val="single"/>
              </w:rPr>
              <w:t xml:space="preserve">   % </w:t>
            </w:r>
            <w:r>
              <w:rPr>
                <w:rFonts w:hAnsi="宋体" w:cs="宋体"/>
                <w:sz w:val="21"/>
              </w:rPr>
              <w:t>/</w:t>
            </w:r>
            <w:r>
              <w:rPr>
                <w:rFonts w:hint="eastAsia" w:hAnsi="宋体" w:cs="宋体"/>
                <w:sz w:val="21"/>
              </w:rPr>
              <w:t>□收费基准价格上浮</w:t>
            </w:r>
            <w:r>
              <w:rPr>
                <w:rFonts w:hint="eastAsia" w:hAnsi="宋体" w:cs="宋体"/>
                <w:sz w:val="21"/>
                <w:u w:val="single"/>
              </w:rPr>
              <w:t>%</w:t>
            </w:r>
            <w:r>
              <w:rPr>
                <w:rFonts w:hint="eastAsia" w:hAnsi="宋体" w:cs="宋体"/>
                <w:sz w:val="21"/>
              </w:rPr>
              <w:t>）收取。具体详见投标人须知正文40.2。</w:t>
            </w:r>
          </w:p>
          <w:p w14:paraId="36FC2106">
            <w:pPr>
              <w:pStyle w:val="11"/>
              <w:snapToGrid w:val="0"/>
              <w:spacing w:line="400" w:lineRule="exact"/>
              <w:rPr>
                <w:rFonts w:hint="eastAsia" w:hAnsi="宋体" w:cs="宋体"/>
                <w:sz w:val="21"/>
                <w:u w:val="single"/>
              </w:rPr>
            </w:pPr>
            <w:r>
              <w:rPr>
                <w:rFonts w:hint="eastAsia" w:hAnsi="宋体" w:cs="宋体"/>
                <w:sz w:val="21"/>
              </w:rPr>
              <w:t>□固定采购代理收费</w:t>
            </w:r>
            <w:r>
              <w:rPr>
                <w:rFonts w:hint="eastAsia" w:hAnsi="宋体" w:cs="宋体"/>
                <w:sz w:val="21"/>
                <w:u w:val="single"/>
              </w:rPr>
              <w:t xml:space="preserve">              。</w:t>
            </w:r>
          </w:p>
        </w:tc>
      </w:tr>
      <w:tr w14:paraId="612D3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69" w:hRule="atLeast"/>
        </w:trPr>
        <w:tc>
          <w:tcPr>
            <w:tcW w:w="959" w:type="dxa"/>
            <w:vMerge w:val="continue"/>
            <w:tcBorders>
              <w:left w:val="single" w:color="auto" w:sz="4" w:space="0"/>
              <w:bottom w:val="single" w:color="auto" w:sz="4" w:space="0"/>
              <w:right w:val="single" w:color="auto" w:sz="4" w:space="0"/>
            </w:tcBorders>
            <w:vAlign w:val="center"/>
          </w:tcPr>
          <w:p w14:paraId="536219A3">
            <w:pPr>
              <w:spacing w:line="400" w:lineRule="exact"/>
              <w:jc w:val="center"/>
              <w:rPr>
                <w:rFonts w:hint="eastAsia" w:ascii="宋体" w:hAnsi="宋体"/>
                <w:szCs w:val="21"/>
              </w:rPr>
            </w:pPr>
          </w:p>
        </w:tc>
        <w:tc>
          <w:tcPr>
            <w:tcW w:w="1407" w:type="dxa"/>
            <w:tcBorders>
              <w:top w:val="single" w:color="auto" w:sz="4" w:space="0"/>
              <w:left w:val="single" w:color="auto" w:sz="4" w:space="0"/>
              <w:bottom w:val="single" w:color="auto" w:sz="4" w:space="0"/>
              <w:right w:val="single" w:color="auto" w:sz="4" w:space="0"/>
            </w:tcBorders>
            <w:vAlign w:val="center"/>
          </w:tcPr>
          <w:p w14:paraId="354DAEC8">
            <w:pPr>
              <w:spacing w:line="400" w:lineRule="exact"/>
              <w:jc w:val="center"/>
              <w:rPr>
                <w:rFonts w:hint="eastAsia" w:ascii="宋体" w:hAnsi="宋体"/>
                <w:szCs w:val="21"/>
              </w:rPr>
            </w:pPr>
            <w:r>
              <w:rPr>
                <w:rFonts w:hint="eastAsia" w:ascii="宋体" w:hAnsi="宋体" w:cs="宋体"/>
                <w:szCs w:val="21"/>
              </w:rPr>
              <w:t>代理服务费收款账户信息</w:t>
            </w:r>
          </w:p>
        </w:tc>
        <w:tc>
          <w:tcPr>
            <w:tcW w:w="6272" w:type="dxa"/>
            <w:tcBorders>
              <w:top w:val="single" w:color="auto" w:sz="4" w:space="0"/>
              <w:left w:val="single" w:color="auto" w:sz="4" w:space="0"/>
              <w:bottom w:val="single" w:color="auto" w:sz="4" w:space="0"/>
              <w:right w:val="single" w:color="auto" w:sz="4" w:space="0"/>
            </w:tcBorders>
            <w:vAlign w:val="center"/>
          </w:tcPr>
          <w:p w14:paraId="5DF81FA2">
            <w:pPr>
              <w:pStyle w:val="11"/>
              <w:snapToGrid w:val="0"/>
              <w:spacing w:line="400" w:lineRule="exact"/>
              <w:rPr>
                <w:rFonts w:hint="eastAsia" w:hAnsi="宋体" w:cs="宋体"/>
                <w:sz w:val="21"/>
              </w:rPr>
            </w:pPr>
            <w:r>
              <w:rPr>
                <w:rFonts w:hAnsi="宋体" w:cs="宋体"/>
                <w:sz w:val="21"/>
              </w:rPr>
              <w:t>开户名称：公诚管理咨询有限公司</w:t>
            </w:r>
          </w:p>
          <w:p w14:paraId="405A711F">
            <w:pPr>
              <w:pStyle w:val="11"/>
              <w:snapToGrid w:val="0"/>
              <w:spacing w:line="400" w:lineRule="exact"/>
              <w:rPr>
                <w:rFonts w:hint="eastAsia" w:hAnsi="宋体" w:cs="宋体"/>
                <w:sz w:val="21"/>
              </w:rPr>
            </w:pPr>
            <w:r>
              <w:rPr>
                <w:rFonts w:hAnsi="宋体" w:cs="宋体"/>
                <w:sz w:val="21"/>
              </w:rPr>
              <w:t>开户银行：中信银行广州花园支行</w:t>
            </w:r>
          </w:p>
          <w:p w14:paraId="48CD1162">
            <w:pPr>
              <w:pStyle w:val="11"/>
              <w:snapToGrid w:val="0"/>
              <w:spacing w:line="400" w:lineRule="exact"/>
              <w:rPr>
                <w:rFonts w:hint="eastAsia" w:hAnsi="宋体" w:eastAsia="宋体" w:cs="宋体"/>
                <w:sz w:val="21"/>
                <w:lang w:eastAsia="zh-CN"/>
              </w:rPr>
            </w:pPr>
            <w:r>
              <w:rPr>
                <w:rFonts w:hAnsi="宋体" w:cs="宋体"/>
                <w:sz w:val="21"/>
              </w:rPr>
              <w:t>银行账号：</w:t>
            </w:r>
            <w:r>
              <w:rPr>
                <w:rFonts w:hint="eastAsia" w:hAnsi="宋体" w:cs="宋体"/>
                <w:sz w:val="21"/>
                <w:lang w:eastAsia="zh-CN"/>
              </w:rPr>
              <w:t>3110910037672624249</w:t>
            </w:r>
          </w:p>
        </w:tc>
      </w:tr>
      <w:tr w14:paraId="0F7F8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10C34F1C">
            <w:pPr>
              <w:snapToGrid w:val="0"/>
              <w:spacing w:line="400" w:lineRule="exact"/>
              <w:jc w:val="center"/>
              <w:rPr>
                <w:rFonts w:hint="eastAsia" w:ascii="宋体" w:hAnsi="宋体"/>
                <w:szCs w:val="21"/>
              </w:rPr>
            </w:pPr>
            <w:r>
              <w:rPr>
                <w:rFonts w:ascii="宋体" w:hAnsi="宋体"/>
                <w:szCs w:val="21"/>
              </w:rPr>
              <w:t>4</w:t>
            </w:r>
            <w:r>
              <w:rPr>
                <w:rFonts w:hint="eastAsia" w:ascii="宋体" w:hAnsi="宋体"/>
                <w:szCs w:val="21"/>
              </w:rPr>
              <w:t>1</w:t>
            </w:r>
            <w:r>
              <w:rPr>
                <w:rFonts w:ascii="宋体" w:hAnsi="宋体"/>
                <w:szCs w:val="21"/>
              </w:rPr>
              <w:t>.1</w:t>
            </w:r>
          </w:p>
        </w:tc>
        <w:tc>
          <w:tcPr>
            <w:tcW w:w="1407" w:type="dxa"/>
            <w:tcBorders>
              <w:top w:val="single" w:color="auto" w:sz="4" w:space="0"/>
              <w:left w:val="single" w:color="auto" w:sz="4" w:space="0"/>
              <w:bottom w:val="single" w:color="auto" w:sz="4" w:space="0"/>
              <w:right w:val="single" w:color="auto" w:sz="4" w:space="0"/>
            </w:tcBorders>
            <w:vAlign w:val="center"/>
          </w:tcPr>
          <w:p w14:paraId="3326CA7F">
            <w:pPr>
              <w:snapToGrid w:val="0"/>
              <w:spacing w:line="400" w:lineRule="exact"/>
              <w:jc w:val="center"/>
              <w:rPr>
                <w:rFonts w:hint="eastAsia" w:ascii="宋体" w:hAnsi="宋体"/>
                <w:szCs w:val="21"/>
              </w:rPr>
            </w:pPr>
            <w:r>
              <w:rPr>
                <w:rFonts w:hint="eastAsia" w:ascii="宋体" w:hAnsi="宋体"/>
                <w:szCs w:val="21"/>
              </w:rPr>
              <w:t>解释</w:t>
            </w:r>
          </w:p>
        </w:tc>
        <w:tc>
          <w:tcPr>
            <w:tcW w:w="6272" w:type="dxa"/>
            <w:tcBorders>
              <w:top w:val="single" w:color="auto" w:sz="4" w:space="0"/>
              <w:left w:val="single" w:color="auto" w:sz="4" w:space="0"/>
              <w:bottom w:val="single" w:color="auto" w:sz="4" w:space="0"/>
              <w:right w:val="single" w:color="auto" w:sz="4" w:space="0"/>
            </w:tcBorders>
            <w:vAlign w:val="center"/>
          </w:tcPr>
          <w:p w14:paraId="59E7DE16">
            <w:pPr>
              <w:snapToGrid w:val="0"/>
              <w:spacing w:line="400" w:lineRule="exact"/>
              <w:rPr>
                <w:rFonts w:hint="eastAsia" w:ascii="宋体" w:hAnsi="宋体"/>
                <w:b/>
                <w:szCs w:val="21"/>
              </w:rPr>
            </w:pPr>
            <w:r>
              <w:rPr>
                <w:rFonts w:hint="eastAsia" w:ascii="宋体" w:hAnsi="宋体"/>
                <w:b/>
                <w:szCs w:val="21"/>
              </w:rPr>
              <w:t>解释权：</w:t>
            </w:r>
            <w:r>
              <w:rPr>
                <w:rFonts w:ascii="宋体" w:hAnsi="宋体"/>
                <w:szCs w:val="21"/>
              </w:rPr>
              <w:t>构成本招标文件的各个组成文件应互为解释，互为说明；除招标文件中有特别规定外，仅适用于招标投标阶段的规定，按</w:t>
            </w:r>
            <w:r>
              <w:rPr>
                <w:rFonts w:hint="eastAsia" w:ascii="宋体" w:hAnsi="宋体"/>
                <w:szCs w:val="21"/>
              </w:rPr>
              <w:t>更正公告（澄清公告）</w:t>
            </w:r>
            <w:r>
              <w:rPr>
                <w:rFonts w:ascii="宋体" w:hAnsi="宋体"/>
                <w:szCs w:val="21"/>
              </w:rPr>
              <w:t>、招标公告、</w:t>
            </w:r>
            <w:r>
              <w:rPr>
                <w:rFonts w:hint="eastAsia" w:ascii="宋体" w:hAnsi="宋体"/>
                <w:szCs w:val="21"/>
              </w:rPr>
              <w:t>采购需求、</w:t>
            </w:r>
            <w:r>
              <w:rPr>
                <w:rFonts w:ascii="宋体" w:hAnsi="宋体"/>
                <w:szCs w:val="21"/>
              </w:rPr>
              <w:t>投标人须知、</w:t>
            </w:r>
            <w:r>
              <w:rPr>
                <w:rFonts w:hint="eastAsia" w:ascii="宋体" w:hAnsi="宋体"/>
                <w:szCs w:val="21"/>
              </w:rPr>
              <w:t>评标方法及评标标准</w:t>
            </w:r>
            <w:r>
              <w:rPr>
                <w:rFonts w:ascii="宋体" w:hAnsi="宋体"/>
                <w:szCs w:val="21"/>
              </w:rPr>
              <w:t>、</w:t>
            </w:r>
            <w:r>
              <w:rPr>
                <w:rFonts w:hint="eastAsia" w:ascii="宋体" w:hAnsi="宋体"/>
                <w:szCs w:val="21"/>
              </w:rPr>
              <w:t>拟签订的合同文本、</w:t>
            </w:r>
            <w:r>
              <w:rPr>
                <w:rFonts w:ascii="宋体" w:hAnsi="宋体"/>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szCs w:val="21"/>
              </w:rPr>
              <w:t>更正公告（澄清公告）</w:t>
            </w:r>
            <w:r>
              <w:rPr>
                <w:rFonts w:ascii="宋体" w:hAnsi="宋体"/>
                <w:szCs w:val="21"/>
              </w:rPr>
              <w:t>与同步更新的招标文件不一致时以</w:t>
            </w:r>
            <w:r>
              <w:rPr>
                <w:rFonts w:hint="eastAsia" w:ascii="宋体" w:hAnsi="宋体"/>
                <w:szCs w:val="21"/>
              </w:rPr>
              <w:t>更正公告（澄清公告）</w:t>
            </w:r>
            <w:r>
              <w:rPr>
                <w:rFonts w:ascii="宋体" w:hAnsi="宋体"/>
                <w:szCs w:val="21"/>
              </w:rPr>
              <w:t>为准。按本款前述规定仍不能形成结论的</w:t>
            </w:r>
            <w:r>
              <w:rPr>
                <w:rFonts w:ascii="宋体" w:hAnsi="宋体"/>
                <w:bCs/>
                <w:szCs w:val="21"/>
              </w:rPr>
              <w:t>，由</w:t>
            </w:r>
            <w:r>
              <w:rPr>
                <w:rFonts w:hint="eastAsia" w:ascii="宋体" w:hAnsi="宋体"/>
                <w:bCs/>
                <w:szCs w:val="21"/>
              </w:rPr>
              <w:t>采购</w:t>
            </w:r>
            <w:r>
              <w:rPr>
                <w:rFonts w:ascii="宋体" w:hAnsi="宋体"/>
                <w:bCs/>
                <w:szCs w:val="21"/>
              </w:rPr>
              <w:t>人</w:t>
            </w:r>
            <w:r>
              <w:rPr>
                <w:rFonts w:hint="eastAsia" w:ascii="宋体" w:hAnsi="宋体"/>
                <w:bCs/>
                <w:szCs w:val="21"/>
              </w:rPr>
              <w:t>或者采购代理机构</w:t>
            </w:r>
            <w:r>
              <w:rPr>
                <w:rFonts w:ascii="宋体" w:hAnsi="宋体"/>
                <w:bCs/>
                <w:szCs w:val="21"/>
              </w:rPr>
              <w:t>负责解释。</w:t>
            </w:r>
          </w:p>
          <w:p w14:paraId="0B41C703">
            <w:pPr>
              <w:snapToGrid w:val="0"/>
              <w:spacing w:line="400" w:lineRule="exact"/>
              <w:rPr>
                <w:rFonts w:hint="eastAsia" w:ascii="宋体" w:hAnsi="宋体"/>
                <w:szCs w:val="21"/>
              </w:rPr>
            </w:pPr>
            <w:r>
              <w:rPr>
                <w:rFonts w:hint="eastAsia" w:ascii="宋体" w:hAnsi="宋体"/>
                <w:b/>
                <w:szCs w:val="21"/>
              </w:rPr>
              <w:t>法律责任：</w:t>
            </w:r>
            <w:r>
              <w:rPr>
                <w:rFonts w:hint="eastAsia" w:ascii="宋体" w:hAnsi="宋体"/>
                <w:szCs w:val="21"/>
              </w:rPr>
              <w:t>本采购文件根据《中华人民共和国政府采购法》、《中华人民共和国民法典》；《中华人民共和国政府采购法实施条例》等有关法律、法规编制，参与本项目的各政府采购当事人依法享有上述法律法规所赋予的权利与义务。</w:t>
            </w:r>
          </w:p>
        </w:tc>
      </w:tr>
      <w:tr w14:paraId="07BA18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615CF25F">
            <w:pPr>
              <w:snapToGrid w:val="0"/>
              <w:spacing w:line="400" w:lineRule="exact"/>
              <w:jc w:val="center"/>
              <w:rPr>
                <w:rFonts w:hint="eastAsia" w:ascii="宋体" w:hAnsi="宋体"/>
                <w:szCs w:val="21"/>
              </w:rPr>
            </w:pPr>
            <w:r>
              <w:rPr>
                <w:rFonts w:ascii="宋体" w:hAnsi="宋体"/>
                <w:szCs w:val="21"/>
              </w:rPr>
              <w:t>4</w:t>
            </w:r>
            <w:r>
              <w:rPr>
                <w:rFonts w:hint="eastAsia" w:ascii="宋体" w:hAnsi="宋体"/>
                <w:szCs w:val="21"/>
              </w:rPr>
              <w:t>1</w:t>
            </w:r>
            <w:r>
              <w:rPr>
                <w:rFonts w:ascii="宋体" w:hAnsi="宋体"/>
                <w:szCs w:val="21"/>
              </w:rPr>
              <w:t>.2</w:t>
            </w:r>
          </w:p>
        </w:tc>
        <w:tc>
          <w:tcPr>
            <w:tcW w:w="1407" w:type="dxa"/>
            <w:tcBorders>
              <w:top w:val="single" w:color="auto" w:sz="4" w:space="0"/>
              <w:left w:val="single" w:color="auto" w:sz="4" w:space="0"/>
              <w:bottom w:val="single" w:color="auto" w:sz="4" w:space="0"/>
              <w:right w:val="single" w:color="auto" w:sz="4" w:space="0"/>
            </w:tcBorders>
            <w:vAlign w:val="center"/>
          </w:tcPr>
          <w:p w14:paraId="30D42231">
            <w:pPr>
              <w:snapToGrid w:val="0"/>
              <w:spacing w:line="400" w:lineRule="exact"/>
              <w:jc w:val="center"/>
              <w:rPr>
                <w:rFonts w:hint="eastAsia" w:ascii="宋体" w:hAnsi="宋体"/>
                <w:szCs w:val="21"/>
              </w:rPr>
            </w:pPr>
            <w:r>
              <w:rPr>
                <w:rFonts w:hint="eastAsia" w:ascii="宋体" w:hAnsi="宋体"/>
                <w:szCs w:val="21"/>
              </w:rPr>
              <w:t>其他释义</w:t>
            </w:r>
          </w:p>
        </w:tc>
        <w:tc>
          <w:tcPr>
            <w:tcW w:w="6272" w:type="dxa"/>
            <w:tcBorders>
              <w:top w:val="single" w:color="auto" w:sz="4" w:space="0"/>
              <w:left w:val="single" w:color="auto" w:sz="4" w:space="0"/>
              <w:bottom w:val="single" w:color="auto" w:sz="4" w:space="0"/>
              <w:right w:val="single" w:color="auto" w:sz="4" w:space="0"/>
            </w:tcBorders>
            <w:vAlign w:val="center"/>
          </w:tcPr>
          <w:p w14:paraId="6F5DFB7D">
            <w:pPr>
              <w:pStyle w:val="11"/>
              <w:snapToGrid w:val="0"/>
              <w:spacing w:line="400" w:lineRule="exact"/>
              <w:rPr>
                <w:rFonts w:hint="eastAsia" w:hAnsi="宋体" w:cs="宋体"/>
                <w:bCs/>
                <w:sz w:val="21"/>
              </w:rPr>
            </w:pPr>
            <w:r>
              <w:rPr>
                <w:rFonts w:hint="eastAsia" w:hAnsi="宋体" w:cs="宋体"/>
                <w:bCs/>
                <w:sz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393140B3">
            <w:pPr>
              <w:pStyle w:val="11"/>
              <w:snapToGrid w:val="0"/>
              <w:spacing w:line="400" w:lineRule="exact"/>
              <w:rPr>
                <w:rFonts w:hint="eastAsia" w:hAnsi="宋体" w:cs="宋体"/>
                <w:bCs/>
                <w:sz w:val="21"/>
              </w:rPr>
            </w:pPr>
            <w:r>
              <w:rPr>
                <w:rFonts w:hint="eastAsia" w:hAnsi="宋体" w:cs="宋体"/>
                <w:bCs/>
                <w:sz w:val="21"/>
              </w:rPr>
              <w:t>2.本招标文件所称的“电子签章”、“电子签名”，是指经“广西政府采购云”平台认可的CA认证的电子签名数据为表现形式的印章，可用于签署电子投标文件，电子印章与实物印章具有同等法律效力，不因其采用电子化表现形式而否定其法律效力。</w:t>
            </w:r>
          </w:p>
          <w:p w14:paraId="78011739">
            <w:pPr>
              <w:pStyle w:val="11"/>
              <w:snapToGrid w:val="0"/>
              <w:spacing w:line="400" w:lineRule="exact"/>
              <w:rPr>
                <w:rFonts w:hint="eastAsia" w:hAnsi="宋体" w:cs="宋体"/>
                <w:b/>
                <w:bCs/>
                <w:sz w:val="21"/>
              </w:rPr>
            </w:pPr>
            <w:r>
              <w:rPr>
                <w:rFonts w:hint="eastAsia" w:hAnsi="宋体" w:cs="宋体"/>
                <w:bCs/>
                <w:sz w:val="21"/>
              </w:rPr>
              <w:t>3.投标人为其他组织或者自然人时，本招标文件规定的法定代表人指负责人或者自然人。本招标文件所称负责人是指参加投标的其他组织营业执照上的负责人，本招标文件所称自然人指参与投标的自然人本人。</w:t>
            </w:r>
            <w:r>
              <w:rPr>
                <w:rFonts w:hint="eastAsia" w:hAnsi="宋体" w:cs="宋体"/>
                <w:b/>
                <w:bCs/>
                <w:sz w:val="21"/>
              </w:rPr>
              <w:t>根据《中华人民共和国政府采购法实施条例》释义，银行、保险、石油石化、电力、电信等有行业特殊情况的可以由总公司授权分公司参与投标（投标文件中必须提供授权委托书原件），已由总公司授权的，总公司取得的相关资质、信誉及荣誉证书对分支机构（分公司或支公司）有效。由总公司授权分公司参与竞标的，可由分公司负责人代表提供身份证明及授权签署授权委托书。</w:t>
            </w:r>
          </w:p>
          <w:p w14:paraId="2AD2C6E8">
            <w:pPr>
              <w:pStyle w:val="11"/>
              <w:snapToGrid w:val="0"/>
              <w:spacing w:line="400" w:lineRule="exact"/>
              <w:rPr>
                <w:rFonts w:hint="eastAsia" w:hAnsi="宋体" w:cs="宋体"/>
                <w:bCs/>
                <w:sz w:val="21"/>
              </w:rPr>
            </w:pPr>
            <w:r>
              <w:rPr>
                <w:rFonts w:hint="eastAsia" w:hAnsi="宋体" w:cs="宋体"/>
                <w:bCs/>
                <w:sz w:val="21"/>
              </w:rPr>
              <w:t>4.本招标文件中描述投标人的“签字”是指投标人的法定代表人或者委托代理人亲自在文件规定签署处亲笔写上个人的名字的行为，私章、签字章、印鉴、影印等其他形式均不能代替亲笔签字。</w:t>
            </w:r>
          </w:p>
          <w:p w14:paraId="5CF5DF68">
            <w:pPr>
              <w:pStyle w:val="11"/>
              <w:snapToGrid w:val="0"/>
              <w:spacing w:line="400" w:lineRule="exact"/>
              <w:rPr>
                <w:rFonts w:hint="eastAsia" w:hAnsi="宋体" w:cs="宋体"/>
                <w:bCs/>
                <w:sz w:val="21"/>
              </w:rPr>
            </w:pPr>
            <w:r>
              <w:rPr>
                <w:rFonts w:hint="eastAsia" w:hAnsi="宋体" w:cs="宋体"/>
                <w:bCs/>
                <w:sz w:val="21"/>
              </w:rPr>
              <w:t>5.自然人投标的，招标文件规定盖公章处由自然人摁手指印。</w:t>
            </w:r>
          </w:p>
          <w:p w14:paraId="6ECC9359">
            <w:pPr>
              <w:spacing w:line="400" w:lineRule="exact"/>
              <w:jc w:val="left"/>
              <w:rPr>
                <w:rFonts w:hint="eastAsia" w:ascii="宋体" w:hAnsi="宋体"/>
                <w:szCs w:val="21"/>
              </w:rPr>
            </w:pPr>
            <w:r>
              <w:rPr>
                <w:rFonts w:hint="eastAsia" w:ascii="宋体" w:hAnsi="宋体" w:cs="宋体"/>
                <w:bCs/>
                <w:szCs w:val="21"/>
              </w:rPr>
              <w:t>6.本招标文件所称的“以上”“以下”“以内”“届满”，包括本数；所称的“不满”“超过”“以外”，不包括本数。</w:t>
            </w:r>
          </w:p>
        </w:tc>
      </w:tr>
    </w:tbl>
    <w:p w14:paraId="52817BA4">
      <w:pPr>
        <w:snapToGrid w:val="0"/>
        <w:spacing w:line="400" w:lineRule="exact"/>
        <w:rPr>
          <w:rFonts w:hint="eastAsia" w:ascii="宋体" w:hAnsi="宋体" w:cs="宋体"/>
          <w:szCs w:val="21"/>
        </w:rPr>
      </w:pPr>
    </w:p>
    <w:p w14:paraId="243C689C">
      <w:pPr>
        <w:snapToGrid w:val="0"/>
        <w:spacing w:line="400" w:lineRule="exact"/>
        <w:rPr>
          <w:rFonts w:hint="eastAsia" w:ascii="宋体" w:hAnsi="宋体" w:cs="宋体"/>
          <w:szCs w:val="21"/>
        </w:rPr>
      </w:pPr>
    </w:p>
    <w:p w14:paraId="3C5AB4E0">
      <w:pPr>
        <w:pStyle w:val="5"/>
        <w:spacing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r>
        <w:rPr>
          <w:rFonts w:hint="eastAsia" w:ascii="宋体" w:hAnsi="宋体" w:eastAsia="宋体"/>
          <w:sz w:val="21"/>
          <w:szCs w:val="21"/>
        </w:rPr>
        <w:t>投标人须知正文</w:t>
      </w:r>
    </w:p>
    <w:p w14:paraId="240064A4">
      <w:pPr>
        <w:pStyle w:val="6"/>
        <w:keepNext w:val="0"/>
        <w:keepLines w:val="0"/>
        <w:spacing w:line="400" w:lineRule="exact"/>
        <w:jc w:val="center"/>
        <w:rPr>
          <w:rFonts w:hint="eastAsia" w:ascii="宋体" w:hAnsi="宋体" w:cs="宋体"/>
          <w:sz w:val="21"/>
          <w:szCs w:val="21"/>
        </w:rPr>
      </w:pPr>
      <w:bookmarkStart w:id="90" w:name="_Toc15352"/>
      <w:bookmarkStart w:id="91" w:name="_Toc99033077"/>
      <w:r>
        <w:rPr>
          <w:rFonts w:hint="eastAsia" w:ascii="宋体" w:hAnsi="宋体" w:cs="宋体"/>
          <w:sz w:val="21"/>
          <w:szCs w:val="21"/>
        </w:rPr>
        <w:t>一、总  则</w:t>
      </w:r>
      <w:bookmarkEnd w:id="90"/>
      <w:bookmarkEnd w:id="91"/>
    </w:p>
    <w:p w14:paraId="483DA7D5">
      <w:pPr>
        <w:spacing w:line="400" w:lineRule="exact"/>
        <w:ind w:firstLine="420" w:firstLineChars="200"/>
        <w:rPr>
          <w:rFonts w:hint="eastAsia" w:ascii="宋体" w:hAnsi="宋体" w:cs="宋体"/>
          <w:szCs w:val="21"/>
        </w:rPr>
      </w:pPr>
      <w:bookmarkStart w:id="92" w:name="_Toc254970527"/>
      <w:bookmarkStart w:id="93" w:name="_Toc254970668"/>
      <w:r>
        <w:rPr>
          <w:rFonts w:hint="eastAsia" w:ascii="宋体" w:hAnsi="宋体" w:cs="宋体"/>
          <w:szCs w:val="21"/>
        </w:rPr>
        <w:t>1.适用范围</w:t>
      </w:r>
      <w:bookmarkEnd w:id="92"/>
      <w:bookmarkEnd w:id="93"/>
    </w:p>
    <w:p w14:paraId="2FD3ED59">
      <w:pPr>
        <w:spacing w:line="400" w:lineRule="exact"/>
        <w:ind w:firstLine="420" w:firstLineChars="200"/>
        <w:rPr>
          <w:rFonts w:hint="eastAsia" w:ascii="宋体" w:hAnsi="宋体" w:cs="宋体"/>
          <w:szCs w:val="21"/>
        </w:rPr>
      </w:pPr>
      <w:r>
        <w:rPr>
          <w:rFonts w:hint="eastAsia" w:ascii="宋体" w:hAnsi="宋体" w:cs="宋体"/>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7503237C">
      <w:pPr>
        <w:spacing w:line="400" w:lineRule="exact"/>
        <w:ind w:firstLine="420" w:firstLineChars="200"/>
        <w:rPr>
          <w:rFonts w:hint="eastAsia" w:ascii="宋体" w:hAnsi="宋体" w:cs="宋体"/>
          <w:szCs w:val="21"/>
        </w:rPr>
      </w:pPr>
      <w:r>
        <w:rPr>
          <w:rFonts w:hint="eastAsia" w:ascii="宋体" w:hAnsi="宋体" w:cs="宋体"/>
          <w:szCs w:val="21"/>
        </w:rPr>
        <w:t>1.2本招标文件</w:t>
      </w:r>
      <w:r>
        <w:rPr>
          <w:rFonts w:hint="eastAsia" w:ascii="宋体" w:hAnsi="宋体" w:cs="宋体"/>
          <w:spacing w:val="-6"/>
          <w:szCs w:val="21"/>
        </w:rPr>
        <w:t>适用于本项目的所有采购程序</w:t>
      </w:r>
      <w:r>
        <w:rPr>
          <w:rFonts w:hint="eastAsia" w:ascii="宋体" w:hAnsi="宋体" w:cs="宋体"/>
          <w:szCs w:val="21"/>
        </w:rPr>
        <w:t>和环节</w:t>
      </w:r>
      <w:r>
        <w:rPr>
          <w:rFonts w:hint="eastAsia" w:ascii="宋体" w:hAnsi="宋体" w:cs="宋体"/>
          <w:spacing w:val="-6"/>
          <w:szCs w:val="21"/>
        </w:rPr>
        <w:t>（法律、法规另有规定的，从其规定）。</w:t>
      </w:r>
    </w:p>
    <w:p w14:paraId="243D6E50">
      <w:pPr>
        <w:spacing w:line="400" w:lineRule="exact"/>
        <w:ind w:firstLine="420" w:firstLineChars="200"/>
        <w:rPr>
          <w:rFonts w:hint="eastAsia" w:ascii="宋体" w:hAnsi="宋体" w:cs="宋体"/>
          <w:szCs w:val="21"/>
        </w:rPr>
      </w:pPr>
      <w:bookmarkStart w:id="94" w:name="_Toc254970528"/>
      <w:bookmarkStart w:id="95" w:name="_Toc254970669"/>
      <w:r>
        <w:rPr>
          <w:rFonts w:hint="eastAsia" w:ascii="宋体" w:hAnsi="宋体" w:cs="宋体"/>
          <w:szCs w:val="21"/>
        </w:rPr>
        <w:t>2.定义</w:t>
      </w:r>
      <w:bookmarkEnd w:id="94"/>
      <w:bookmarkEnd w:id="95"/>
    </w:p>
    <w:p w14:paraId="0590E844">
      <w:pPr>
        <w:spacing w:line="400" w:lineRule="exact"/>
        <w:ind w:firstLine="422" w:firstLineChars="200"/>
        <w:rPr>
          <w:rFonts w:hint="eastAsia" w:ascii="宋体" w:hAnsi="宋体" w:cs="宋体"/>
          <w:b/>
          <w:szCs w:val="21"/>
        </w:rPr>
      </w:pPr>
      <w:r>
        <w:rPr>
          <w:rFonts w:hint="eastAsia" w:ascii="宋体" w:hAnsi="宋体" w:cs="宋体"/>
          <w:b/>
          <w:szCs w:val="21"/>
        </w:rPr>
        <w:t>2.1“采购人”是指依法进行政府采购的国家机关、事业单位、团体组织。</w:t>
      </w:r>
    </w:p>
    <w:p w14:paraId="60A0B07A">
      <w:pPr>
        <w:spacing w:line="400" w:lineRule="exact"/>
        <w:ind w:firstLine="422" w:firstLineChars="200"/>
        <w:rPr>
          <w:rFonts w:hint="eastAsia" w:ascii="宋体" w:hAnsi="宋体" w:cs="宋体"/>
          <w:b/>
          <w:szCs w:val="21"/>
        </w:rPr>
      </w:pPr>
      <w:r>
        <w:rPr>
          <w:rFonts w:hint="eastAsia" w:ascii="宋体" w:hAnsi="宋体" w:cs="宋体"/>
          <w:b/>
          <w:szCs w:val="21"/>
        </w:rPr>
        <w:t>2.2“采购代理机构” 指政府采购集中采购机构和集中采购机构以外的采购代理机构。</w:t>
      </w:r>
    </w:p>
    <w:p w14:paraId="6B772F27">
      <w:pPr>
        <w:spacing w:line="400" w:lineRule="exact"/>
        <w:ind w:firstLine="422" w:firstLineChars="200"/>
        <w:rPr>
          <w:rFonts w:hint="eastAsia" w:ascii="宋体" w:hAnsi="宋体" w:cs="宋体"/>
          <w:b/>
          <w:szCs w:val="21"/>
        </w:rPr>
      </w:pPr>
      <w:r>
        <w:rPr>
          <w:rFonts w:hint="eastAsia" w:ascii="宋体" w:hAnsi="宋体" w:cs="宋体"/>
          <w:b/>
          <w:szCs w:val="21"/>
        </w:rPr>
        <w:t>2.3“供应商”是指向采购人提供货物、工程或者服务的法人、其他组织或者自然人。</w:t>
      </w:r>
    </w:p>
    <w:p w14:paraId="2DE892C7">
      <w:pPr>
        <w:spacing w:line="400" w:lineRule="exact"/>
        <w:ind w:firstLine="420" w:firstLineChars="200"/>
        <w:rPr>
          <w:rFonts w:hint="eastAsia" w:ascii="宋体" w:hAnsi="宋体" w:cs="宋体"/>
          <w:szCs w:val="21"/>
        </w:rPr>
      </w:pPr>
      <w:r>
        <w:rPr>
          <w:rFonts w:hint="eastAsia" w:ascii="宋体" w:hAnsi="宋体" w:cs="宋体"/>
          <w:szCs w:val="21"/>
        </w:rPr>
        <w:t>2.4“投标人”是指响应招标、参加投标竞争的法人、非法人组织或者自然人。</w:t>
      </w:r>
    </w:p>
    <w:p w14:paraId="44FD0BED">
      <w:pPr>
        <w:spacing w:line="400" w:lineRule="exact"/>
        <w:ind w:firstLine="422" w:firstLineChars="200"/>
        <w:rPr>
          <w:rFonts w:hint="eastAsia" w:ascii="宋体" w:hAnsi="宋体" w:cs="宋体"/>
          <w:b/>
          <w:szCs w:val="21"/>
        </w:rPr>
      </w:pPr>
      <w:r>
        <w:rPr>
          <w:rFonts w:hint="eastAsia" w:ascii="宋体" w:hAnsi="宋体" w:cs="宋体"/>
          <w:b/>
          <w:szCs w:val="21"/>
        </w:rPr>
        <w:t>2.5“货物”是指各种形态和种类的物品，包括原材料、燃料、设备、产品等；“服务”是指除货物和工程以外的其他政府采购对象。</w:t>
      </w:r>
    </w:p>
    <w:p w14:paraId="44EE9DE9">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2.6“售后服务” 是指商品出售以后所提供的各种服务，包含但不限于投标人须承担的备品备件、包装、运输、装卸、保险、货到就位以及安装、调试、培训、保修以及其他各种服务。</w:t>
      </w:r>
    </w:p>
    <w:p w14:paraId="6ED4BDFF">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 xml:space="preserve">    2.7“书面形式”是指合同书、信件和数据电文（包括电报、电传、传真、电子数据交换和电子邮件）等可以有形地表现所载内容的形式。</w:t>
      </w:r>
    </w:p>
    <w:p w14:paraId="21521C4C">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2.8“实质性要求”是指招标文件中已经指明不满足则投标无效的条款，或者不能负偏离的条款，或者采购需求中带“▲”的条款。</w:t>
      </w:r>
    </w:p>
    <w:p w14:paraId="074A4777">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2.9 “正偏离”，是指投标文件对招标文件“采购需求”中有关条款作出的响应优于条款要求并有利于采购人的情形。</w:t>
      </w:r>
    </w:p>
    <w:p w14:paraId="12096F07">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2.10“负偏离”，是指投标文件对招标文件“采购需求”中有关条款作出的响应不满足条款要求，导致采购人要求不能得到满足的情形。</w:t>
      </w:r>
    </w:p>
    <w:p w14:paraId="0822F06F">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2.11“允许负偏离的条款”是指采购需求中的不属于“实质性要求”的条款。</w:t>
      </w:r>
    </w:p>
    <w:p w14:paraId="4C5EAAEB">
      <w:pPr>
        <w:spacing w:line="400" w:lineRule="exact"/>
        <w:ind w:firstLine="420" w:firstLineChars="200"/>
        <w:rPr>
          <w:rFonts w:hint="eastAsia" w:ascii="宋体" w:hAnsi="宋体" w:cs="宋体"/>
          <w:szCs w:val="21"/>
        </w:rPr>
      </w:pPr>
      <w:bookmarkStart w:id="96" w:name="_Toc254970529"/>
      <w:bookmarkStart w:id="97" w:name="_Toc254970670"/>
      <w:r>
        <w:rPr>
          <w:rFonts w:hint="eastAsia" w:ascii="宋体" w:hAnsi="宋体" w:cs="宋体"/>
          <w:szCs w:val="21"/>
        </w:rPr>
        <w:t>3.</w:t>
      </w:r>
      <w:bookmarkEnd w:id="96"/>
      <w:bookmarkEnd w:id="97"/>
      <w:r>
        <w:rPr>
          <w:rFonts w:hint="eastAsia" w:ascii="宋体" w:hAnsi="宋体" w:cs="宋体"/>
          <w:szCs w:val="21"/>
        </w:rPr>
        <w:t>投标人的资格要求</w:t>
      </w:r>
    </w:p>
    <w:p w14:paraId="37FCC7F3">
      <w:pPr>
        <w:spacing w:line="400" w:lineRule="exact"/>
        <w:ind w:firstLine="420" w:firstLineChars="200"/>
        <w:rPr>
          <w:rFonts w:hint="eastAsia" w:ascii="宋体" w:hAnsi="宋体" w:cs="宋体"/>
          <w:szCs w:val="21"/>
        </w:rPr>
      </w:pPr>
      <w:r>
        <w:rPr>
          <w:rFonts w:hint="eastAsia" w:ascii="宋体" w:hAnsi="宋体" w:cs="宋体"/>
          <w:szCs w:val="21"/>
        </w:rPr>
        <w:t>投标人的资格要求详见“招标公告”。</w:t>
      </w:r>
    </w:p>
    <w:p w14:paraId="7A60E4A8">
      <w:pPr>
        <w:spacing w:line="400" w:lineRule="exact"/>
        <w:ind w:firstLine="420" w:firstLineChars="200"/>
        <w:rPr>
          <w:rFonts w:hint="eastAsia" w:ascii="宋体" w:hAnsi="宋体" w:cs="宋体"/>
          <w:szCs w:val="21"/>
        </w:rPr>
      </w:pPr>
      <w:bookmarkStart w:id="98" w:name="_Toc254970671"/>
      <w:bookmarkStart w:id="99" w:name="_Toc254970530"/>
      <w:r>
        <w:rPr>
          <w:rFonts w:hint="eastAsia" w:ascii="宋体" w:hAnsi="宋体" w:cs="宋体"/>
          <w:szCs w:val="21"/>
        </w:rPr>
        <w:t>4.投标委托</w:t>
      </w:r>
      <w:bookmarkEnd w:id="98"/>
      <w:bookmarkEnd w:id="99"/>
    </w:p>
    <w:p w14:paraId="21334BAC">
      <w:pPr>
        <w:spacing w:line="400" w:lineRule="exact"/>
        <w:ind w:firstLine="420" w:firstLineChars="200"/>
        <w:rPr>
          <w:rFonts w:hint="eastAsia" w:ascii="宋体" w:hAnsi="宋体" w:cs="宋体"/>
          <w:szCs w:val="21"/>
        </w:rPr>
      </w:pPr>
      <w:r>
        <w:rPr>
          <w:rFonts w:hint="eastAsia" w:ascii="宋体" w:hAnsi="宋体" w:cs="宋体"/>
          <w:szCs w:val="21"/>
        </w:rPr>
        <w:t>投标人代表参加投标活动过程中必须携带个人有效身份证件。如投标人代表不是法定代表人，须持有法定代表人授权委托书（按第六章要求格式填写）。</w:t>
      </w:r>
    </w:p>
    <w:p w14:paraId="2E86D7F4">
      <w:pPr>
        <w:spacing w:line="400" w:lineRule="exact"/>
        <w:ind w:firstLine="420" w:firstLineChars="200"/>
        <w:rPr>
          <w:rFonts w:hint="eastAsia" w:ascii="宋体" w:hAnsi="宋体" w:cs="宋体"/>
          <w:szCs w:val="21"/>
        </w:rPr>
      </w:pPr>
      <w:bookmarkStart w:id="100" w:name="_5.投标费用"/>
      <w:bookmarkEnd w:id="100"/>
      <w:bookmarkStart w:id="101" w:name="_Toc254970672"/>
      <w:bookmarkStart w:id="102" w:name="_Toc254970531"/>
      <w:r>
        <w:rPr>
          <w:rFonts w:hint="eastAsia" w:ascii="宋体" w:hAnsi="宋体" w:cs="宋体"/>
          <w:szCs w:val="21"/>
        </w:rPr>
        <w:t>5.投标费用</w:t>
      </w:r>
      <w:bookmarkEnd w:id="101"/>
      <w:bookmarkEnd w:id="102"/>
    </w:p>
    <w:p w14:paraId="7A7616B6">
      <w:pPr>
        <w:spacing w:line="400" w:lineRule="exact"/>
        <w:ind w:firstLine="420" w:firstLineChars="200"/>
        <w:rPr>
          <w:rFonts w:hint="eastAsia" w:ascii="宋体" w:hAnsi="宋体" w:cs="宋体"/>
          <w:szCs w:val="21"/>
        </w:rPr>
      </w:pPr>
      <w:r>
        <w:rPr>
          <w:rFonts w:hint="eastAsia" w:ascii="宋体" w:hAnsi="宋体" w:cs="宋体"/>
          <w:szCs w:val="21"/>
        </w:rPr>
        <w:t>投标费用：投标人应承担参与本次采购活动有关的所有费用，包括但不限于勘查现场、编制投标文件、参加澄清说明、签订合同等，不论投标结果如何，均应自行承担。</w:t>
      </w:r>
    </w:p>
    <w:p w14:paraId="03BA47AC">
      <w:pPr>
        <w:spacing w:line="400" w:lineRule="exact"/>
        <w:ind w:firstLine="420" w:firstLineChars="200"/>
        <w:rPr>
          <w:rFonts w:hint="eastAsia" w:ascii="宋体" w:hAnsi="宋体" w:cs="宋体"/>
          <w:szCs w:val="21"/>
        </w:rPr>
      </w:pPr>
      <w:r>
        <w:rPr>
          <w:rFonts w:hint="eastAsia" w:ascii="宋体" w:hAnsi="宋体" w:cs="宋体"/>
          <w:szCs w:val="21"/>
        </w:rPr>
        <w:t>6.联合体投标</w:t>
      </w:r>
    </w:p>
    <w:p w14:paraId="14F0FB6B">
      <w:pPr>
        <w:spacing w:line="400" w:lineRule="exact"/>
        <w:ind w:firstLine="420" w:firstLineChars="200"/>
        <w:rPr>
          <w:rFonts w:hint="eastAsia" w:ascii="宋体" w:hAnsi="宋体" w:cs="宋体"/>
          <w:szCs w:val="21"/>
        </w:rPr>
      </w:pPr>
      <w:r>
        <w:rPr>
          <w:rFonts w:hint="eastAsia" w:ascii="宋体" w:hAnsi="宋体" w:cs="宋体"/>
          <w:szCs w:val="21"/>
        </w:rPr>
        <w:t>6.1本项目是否接受联合体投标，详见“投标人须知前附表”。</w:t>
      </w:r>
    </w:p>
    <w:p w14:paraId="78DC35E6">
      <w:pPr>
        <w:spacing w:line="400" w:lineRule="exact"/>
        <w:ind w:firstLine="420" w:firstLineChars="200"/>
        <w:rPr>
          <w:rFonts w:hint="eastAsia" w:ascii="宋体" w:hAnsi="宋体" w:cs="宋体"/>
          <w:bCs/>
          <w:szCs w:val="21"/>
        </w:rPr>
      </w:pPr>
      <w:r>
        <w:rPr>
          <w:rFonts w:hint="eastAsia" w:ascii="宋体" w:hAnsi="宋体" w:cs="宋体"/>
          <w:bCs/>
          <w:szCs w:val="21"/>
        </w:rPr>
        <w:t>6.2如接受联合体投标，联合体投标要求详见“投标人须知前附表”。</w:t>
      </w:r>
    </w:p>
    <w:p w14:paraId="1C904819">
      <w:pPr>
        <w:spacing w:line="400" w:lineRule="exact"/>
        <w:ind w:firstLine="420" w:firstLineChars="200"/>
        <w:rPr>
          <w:rFonts w:hint="eastAsia" w:ascii="宋体" w:hAnsi="宋体" w:cs="宋体"/>
          <w:szCs w:val="21"/>
          <w:shd w:val="clear" w:color="auto" w:fill="FFFFFF"/>
        </w:rPr>
      </w:pPr>
      <w:r>
        <w:rPr>
          <w:rFonts w:hint="eastAsia" w:ascii="宋体" w:hAnsi="宋体" w:cs="宋体"/>
          <w:bCs/>
          <w:szCs w:val="21"/>
        </w:rPr>
        <w:t>6.3根据《政府采购促进中小企业发展管理办法》（财库</w:t>
      </w:r>
      <w:r>
        <w:rPr>
          <w:rFonts w:hint="eastAsia" w:ascii="宋体" w:hAnsi="宋体"/>
        </w:rPr>
        <w:t>〔2020〕</w:t>
      </w:r>
      <w:r>
        <w:rPr>
          <w:rFonts w:hint="eastAsia" w:ascii="宋体" w:hAnsi="宋体" w:cs="宋体"/>
          <w:bCs/>
          <w:szCs w:val="21"/>
        </w:rPr>
        <w:t>46号）第九条规定及《广西壮族自治区财政厅关于持续优化政府采购营商环境推动高质量发展的通知》桂财采〔2024〕55号文件的规定，接受大中型企业与小微企业组成联合体的采购项目，对于联合协议约定小微企业的合同份额占到合同总金额30%以上的，采购人、采购代理机构应当对联合体的报价给予4%-6%的扣除，用扣除后的价格参加评审。组成联合体的小微企业与联合体内其他企业、分包企业之间存在直接控股、管理关系的，不享受价格扣除优惠政策。</w:t>
      </w:r>
    </w:p>
    <w:p w14:paraId="05F7AEB9">
      <w:pPr>
        <w:spacing w:line="400" w:lineRule="exact"/>
        <w:ind w:firstLine="420" w:firstLineChars="200"/>
        <w:rPr>
          <w:rFonts w:hint="eastAsia" w:ascii="宋体" w:hAnsi="宋体" w:cs="宋体"/>
          <w:szCs w:val="21"/>
        </w:rPr>
      </w:pPr>
      <w:r>
        <w:rPr>
          <w:rFonts w:hint="eastAsia" w:ascii="宋体" w:hAnsi="宋体" w:cs="宋体"/>
          <w:szCs w:val="21"/>
        </w:rPr>
        <w:t>7.转包与分包</w:t>
      </w:r>
    </w:p>
    <w:p w14:paraId="748045C4">
      <w:pPr>
        <w:spacing w:line="400" w:lineRule="exact"/>
        <w:ind w:firstLine="422" w:firstLineChars="200"/>
        <w:rPr>
          <w:rFonts w:hint="eastAsia" w:ascii="宋体" w:hAnsi="宋体" w:cs="宋体"/>
          <w:b/>
          <w:szCs w:val="21"/>
        </w:rPr>
      </w:pPr>
      <w:r>
        <w:rPr>
          <w:rFonts w:hint="eastAsia" w:ascii="宋体" w:hAnsi="宋体" w:cs="宋体"/>
          <w:b/>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718D2B0C">
      <w:pPr>
        <w:spacing w:line="400" w:lineRule="exact"/>
        <w:ind w:firstLine="420" w:firstLineChars="200"/>
        <w:rPr>
          <w:rFonts w:hint="eastAsia" w:ascii="宋体" w:hAnsi="宋体" w:cs="宋体"/>
          <w:bCs/>
          <w:szCs w:val="21"/>
        </w:rPr>
      </w:pPr>
      <w:r>
        <w:rPr>
          <w:rFonts w:hint="eastAsia" w:ascii="宋体" w:hAnsi="宋体" w:cs="宋体"/>
          <w:bCs/>
          <w:szCs w:val="21"/>
        </w:rPr>
        <w:t>7.2根据《政府采购促进中小企业发展管理办法》（财库</w:t>
      </w:r>
      <w:r>
        <w:rPr>
          <w:rFonts w:hint="eastAsia" w:ascii="宋体" w:hAnsi="宋体"/>
        </w:rPr>
        <w:t>〔2020〕</w:t>
      </w:r>
      <w:r>
        <w:rPr>
          <w:rFonts w:hint="eastAsia" w:ascii="宋体" w:hAnsi="宋体" w:cs="宋体"/>
          <w:bCs/>
          <w:szCs w:val="21"/>
        </w:rPr>
        <w:t>46号）第九条规定及《广西壮族自治区财政厅关于持续优化政府采购营商环境推动高质量发展的通知》桂财采〔2024〕55号文件的规定，允许大中型企业向一家或者多家小微企业分包的采购项目，对于分包意向协议约定小微企业的合同份额占到合同总金额30%以上的，采购人、采购代理机构应当对大中型企业的报价给予 4%-6%的扣除，用扣除后的价格参加评审。接受分包的小微企业与分包企业之间存在直接控股、管理关系的，不享受价格扣除优惠政策。</w:t>
      </w:r>
    </w:p>
    <w:p w14:paraId="10C11F34">
      <w:pPr>
        <w:spacing w:line="400" w:lineRule="exact"/>
        <w:ind w:firstLine="420" w:firstLineChars="200"/>
        <w:rPr>
          <w:rFonts w:hint="eastAsia" w:ascii="宋体" w:hAnsi="宋体" w:cs="宋体"/>
          <w:szCs w:val="21"/>
        </w:rPr>
      </w:pPr>
      <w:bookmarkStart w:id="103" w:name="_Toc254970673"/>
      <w:bookmarkStart w:id="104" w:name="_Toc254970532"/>
      <w:r>
        <w:rPr>
          <w:rFonts w:hint="eastAsia" w:ascii="宋体" w:hAnsi="宋体" w:cs="宋体"/>
          <w:szCs w:val="21"/>
        </w:rPr>
        <w:t>8.特别说明：</w:t>
      </w:r>
      <w:bookmarkEnd w:id="103"/>
      <w:bookmarkEnd w:id="104"/>
      <w:bookmarkStart w:id="105" w:name="_8.1提供相同品牌产品且通过资格审查、符合性审查的不同投标人参加同一合"/>
      <w:bookmarkEnd w:id="105"/>
    </w:p>
    <w:p w14:paraId="0041FCED">
      <w:pPr>
        <w:spacing w:line="400" w:lineRule="exact"/>
        <w:ind w:firstLine="422" w:firstLineChars="200"/>
        <w:rPr>
          <w:rFonts w:hint="eastAsia" w:ascii="宋体" w:hAnsi="宋体" w:cs="宋体"/>
          <w:b/>
          <w:szCs w:val="21"/>
        </w:rPr>
      </w:pPr>
      <w:r>
        <w:rPr>
          <w:rFonts w:hint="eastAsia" w:ascii="宋体" w:hAnsi="宋体" w:cs="宋体"/>
          <w:b/>
          <w:szCs w:val="21"/>
        </w:rPr>
        <w:t>8.1如果本招标文件要求投标人提供资格、信誉、荣誉、业绩与企业认证等材料的，则投标人所提供的以上材料必须为投标人所拥有。</w:t>
      </w:r>
    </w:p>
    <w:p w14:paraId="76FA0127">
      <w:pPr>
        <w:spacing w:line="400" w:lineRule="exact"/>
        <w:ind w:firstLine="422" w:firstLineChars="200"/>
        <w:rPr>
          <w:rFonts w:hint="eastAsia" w:ascii="宋体" w:hAnsi="宋体" w:cs="宋体"/>
          <w:b/>
          <w:szCs w:val="21"/>
        </w:rPr>
      </w:pPr>
      <w:r>
        <w:rPr>
          <w:rFonts w:hint="eastAsia" w:ascii="宋体" w:hAnsi="宋体" w:cs="宋体"/>
          <w:b/>
          <w:szCs w:val="21"/>
        </w:rPr>
        <w:t>8.2投标人应仔细阅读招标文件的所有内容，按照招标文件的要求提交投标文件，并对所提供的全部资料的真实性承担法律责任。</w:t>
      </w:r>
    </w:p>
    <w:p w14:paraId="434B412D">
      <w:pPr>
        <w:spacing w:line="400" w:lineRule="exact"/>
        <w:ind w:firstLine="422" w:firstLineChars="200"/>
        <w:rPr>
          <w:rFonts w:hint="eastAsia" w:ascii="宋体" w:hAnsi="宋体" w:cs="宋体"/>
          <w:b/>
          <w:szCs w:val="21"/>
        </w:rPr>
      </w:pPr>
      <w:r>
        <w:rPr>
          <w:rFonts w:hint="eastAsia" w:ascii="宋体" w:hAnsi="宋体" w:cs="宋体"/>
          <w:b/>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4FEDF51E">
      <w:pPr>
        <w:spacing w:line="400" w:lineRule="exact"/>
        <w:ind w:firstLine="420" w:firstLineChars="200"/>
        <w:rPr>
          <w:rFonts w:hint="eastAsia" w:ascii="宋体" w:hAnsi="宋体" w:cs="宋体"/>
          <w:szCs w:val="21"/>
        </w:rPr>
      </w:pPr>
      <w:r>
        <w:rPr>
          <w:rFonts w:hint="eastAsia" w:ascii="宋体" w:hAnsi="宋体" w:cs="宋体"/>
          <w:szCs w:val="21"/>
        </w:rPr>
        <w:t>9.回避与串通投标</w:t>
      </w:r>
    </w:p>
    <w:p w14:paraId="502976C6">
      <w:pPr>
        <w:spacing w:line="400" w:lineRule="exact"/>
        <w:ind w:firstLine="422" w:firstLineChars="200"/>
        <w:rPr>
          <w:rFonts w:hint="eastAsia" w:ascii="宋体" w:hAnsi="宋体" w:cs="宋体"/>
          <w:b/>
          <w:szCs w:val="21"/>
        </w:rPr>
      </w:pPr>
      <w:r>
        <w:rPr>
          <w:rFonts w:hint="eastAsia" w:ascii="宋体" w:hAnsi="宋体" w:cs="宋体"/>
          <w:b/>
          <w:szCs w:val="21"/>
        </w:rPr>
        <w:t>9.1在政府采购活动中，采购人员及相关人员与投标人有下列利害关系之一的，应当回避：</w:t>
      </w:r>
    </w:p>
    <w:p w14:paraId="34219186">
      <w:pPr>
        <w:spacing w:line="400" w:lineRule="exact"/>
        <w:ind w:firstLine="420" w:firstLineChars="200"/>
        <w:rPr>
          <w:rFonts w:hint="eastAsia" w:ascii="宋体" w:hAnsi="宋体" w:cs="宋体"/>
          <w:szCs w:val="21"/>
        </w:rPr>
      </w:pPr>
      <w:r>
        <w:rPr>
          <w:rFonts w:hint="eastAsia" w:ascii="宋体" w:hAnsi="宋体" w:cs="宋体"/>
          <w:szCs w:val="21"/>
        </w:rPr>
        <w:t>（1）参加采购活动前3年内与投标人存在劳动关系；</w:t>
      </w:r>
    </w:p>
    <w:p w14:paraId="70650229">
      <w:pPr>
        <w:spacing w:line="400" w:lineRule="exact"/>
        <w:ind w:firstLine="420" w:firstLineChars="200"/>
        <w:rPr>
          <w:rFonts w:hint="eastAsia" w:ascii="宋体" w:hAnsi="宋体" w:cs="宋体"/>
          <w:szCs w:val="21"/>
        </w:rPr>
      </w:pPr>
      <w:r>
        <w:rPr>
          <w:rFonts w:hint="eastAsia" w:ascii="宋体" w:hAnsi="宋体" w:cs="宋体"/>
          <w:szCs w:val="21"/>
        </w:rPr>
        <w:t>（2）参加采购活动前3年内担任投标人的董事、监事；</w:t>
      </w:r>
    </w:p>
    <w:p w14:paraId="3DCDCA8F">
      <w:pPr>
        <w:spacing w:line="400" w:lineRule="exact"/>
        <w:ind w:firstLine="420" w:firstLineChars="200"/>
        <w:rPr>
          <w:rFonts w:hint="eastAsia" w:ascii="宋体" w:hAnsi="宋体" w:cs="宋体"/>
          <w:szCs w:val="21"/>
        </w:rPr>
      </w:pPr>
      <w:r>
        <w:rPr>
          <w:rFonts w:hint="eastAsia" w:ascii="宋体" w:hAnsi="宋体" w:cs="宋体"/>
          <w:szCs w:val="21"/>
        </w:rPr>
        <w:t>（3）参加采购活动前3年内是投标人的控股股东或者实际控制人；</w:t>
      </w:r>
    </w:p>
    <w:p w14:paraId="7A3ABBF0">
      <w:pPr>
        <w:spacing w:line="400" w:lineRule="exact"/>
        <w:ind w:firstLine="420" w:firstLineChars="200"/>
        <w:rPr>
          <w:rFonts w:hint="eastAsia" w:ascii="宋体" w:hAnsi="宋体" w:cs="宋体"/>
          <w:szCs w:val="21"/>
        </w:rPr>
      </w:pPr>
      <w:r>
        <w:rPr>
          <w:rFonts w:hint="eastAsia" w:ascii="宋体" w:hAnsi="宋体" w:cs="宋体"/>
          <w:szCs w:val="21"/>
        </w:rPr>
        <w:t>（4）与投标人的法定代表人或者负责人有夫妻、直系血亲、三代以内旁系血亲或者近姻亲关系；</w:t>
      </w:r>
    </w:p>
    <w:p w14:paraId="2E93B830">
      <w:pPr>
        <w:spacing w:line="400" w:lineRule="exact"/>
        <w:ind w:firstLine="420" w:firstLineChars="200"/>
        <w:rPr>
          <w:rFonts w:hint="eastAsia" w:ascii="宋体" w:hAnsi="宋体" w:cs="宋体"/>
          <w:szCs w:val="21"/>
        </w:rPr>
      </w:pPr>
      <w:r>
        <w:rPr>
          <w:rFonts w:hint="eastAsia" w:ascii="宋体" w:hAnsi="宋体" w:cs="宋体"/>
          <w:szCs w:val="21"/>
        </w:rPr>
        <w:t>（5）与投标人有其他可能影响政府采购活动公平、公正进行的关系。</w:t>
      </w:r>
    </w:p>
    <w:p w14:paraId="05C1C639">
      <w:pPr>
        <w:spacing w:line="400" w:lineRule="exact"/>
        <w:ind w:firstLine="420" w:firstLineChars="200"/>
        <w:rPr>
          <w:rFonts w:hint="eastAsia" w:ascii="宋体" w:hAnsi="宋体" w:cs="宋体"/>
          <w:szCs w:val="21"/>
        </w:rPr>
      </w:pPr>
      <w:r>
        <w:rPr>
          <w:rFonts w:hint="eastAsia" w:ascii="宋体" w:hAnsi="宋体" w:cs="宋体"/>
          <w:szCs w:val="21"/>
        </w:rPr>
        <w:t>投标人认为采购人员及相关人员与其他投标人有利害关系的，可以向采购人或者采购代理机构书面提出回避申请，并说明理由。采购人或者采购代理机构应当及时询问被申请回避人员，有利害关系的被申请回避人员应当回避。</w:t>
      </w:r>
    </w:p>
    <w:p w14:paraId="0E0FB548">
      <w:pPr>
        <w:spacing w:line="400" w:lineRule="exact"/>
        <w:ind w:firstLine="420" w:firstLineChars="200"/>
        <w:rPr>
          <w:rFonts w:hint="eastAsia" w:ascii="宋体" w:hAnsi="宋体" w:cs="宋体"/>
          <w:szCs w:val="21"/>
        </w:rPr>
      </w:pPr>
      <w:r>
        <w:rPr>
          <w:rFonts w:hint="eastAsia" w:ascii="宋体" w:hAnsi="宋体" w:cs="宋体"/>
          <w:szCs w:val="21"/>
        </w:rPr>
        <w:t>9.2有下列情形之一的视为投标人相互串通投标，投标文件将被视为无效：</w:t>
      </w:r>
    </w:p>
    <w:p w14:paraId="3F156FB4">
      <w:pPr>
        <w:spacing w:line="400" w:lineRule="exact"/>
        <w:ind w:firstLine="422" w:firstLineChars="200"/>
        <w:rPr>
          <w:rFonts w:hint="eastAsia" w:ascii="宋体" w:hAnsi="宋体" w:cs="宋体"/>
          <w:b/>
          <w:szCs w:val="21"/>
        </w:rPr>
      </w:pPr>
      <w:r>
        <w:rPr>
          <w:rFonts w:hint="eastAsia" w:ascii="宋体" w:hAnsi="宋体" w:cs="宋体"/>
          <w:b/>
          <w:szCs w:val="21"/>
        </w:rPr>
        <w:t>（1）不同投标人的投标文件由同一单位或者个人编制；或者不同投标人报名的IP地址一致的；或者编制标书硬件设备CPU编号、硬盘编号、网卡地址一致的情况。</w:t>
      </w:r>
    </w:p>
    <w:p w14:paraId="2DDCFF6C">
      <w:pPr>
        <w:spacing w:line="400" w:lineRule="exact"/>
        <w:ind w:firstLine="422" w:firstLineChars="200"/>
        <w:rPr>
          <w:rFonts w:hint="eastAsia" w:ascii="宋体" w:hAnsi="宋体" w:cs="宋体"/>
          <w:b/>
          <w:szCs w:val="21"/>
        </w:rPr>
      </w:pPr>
      <w:r>
        <w:rPr>
          <w:rFonts w:hint="eastAsia" w:ascii="宋体" w:hAnsi="宋体" w:cs="宋体"/>
          <w:b/>
          <w:szCs w:val="21"/>
        </w:rPr>
        <w:t>（2）不同投标人委托同一单位或者个人办理投标事宜；</w:t>
      </w:r>
    </w:p>
    <w:p w14:paraId="537FAD45">
      <w:pPr>
        <w:spacing w:line="400" w:lineRule="exact"/>
        <w:ind w:firstLine="422" w:firstLineChars="200"/>
        <w:rPr>
          <w:rFonts w:hint="eastAsia" w:ascii="宋体" w:hAnsi="宋体" w:cs="宋体"/>
          <w:b/>
          <w:szCs w:val="21"/>
        </w:rPr>
      </w:pPr>
      <w:r>
        <w:rPr>
          <w:rFonts w:hint="eastAsia" w:ascii="宋体" w:hAnsi="宋体" w:cs="宋体"/>
          <w:b/>
          <w:szCs w:val="21"/>
        </w:rPr>
        <w:t>（3）不同的投标人的投标文件载明的项目管理员为同一个人；</w:t>
      </w:r>
    </w:p>
    <w:p w14:paraId="4C638A87">
      <w:pPr>
        <w:spacing w:line="400" w:lineRule="exact"/>
        <w:ind w:firstLine="422" w:firstLineChars="200"/>
        <w:rPr>
          <w:rFonts w:hint="eastAsia" w:ascii="宋体" w:hAnsi="宋体" w:cs="宋体"/>
          <w:b/>
          <w:szCs w:val="21"/>
        </w:rPr>
      </w:pPr>
      <w:r>
        <w:rPr>
          <w:rFonts w:hint="eastAsia" w:ascii="宋体" w:hAnsi="宋体" w:cs="宋体"/>
          <w:b/>
          <w:szCs w:val="21"/>
        </w:rPr>
        <w:t>（4）不同投标人的电子或纸质投标文件异常一致或者投标报价呈规律性差异；</w:t>
      </w:r>
    </w:p>
    <w:p w14:paraId="398D1561">
      <w:pPr>
        <w:spacing w:line="400" w:lineRule="exact"/>
        <w:ind w:firstLine="422" w:firstLineChars="200"/>
        <w:rPr>
          <w:rFonts w:hint="eastAsia" w:ascii="宋体" w:hAnsi="宋体" w:cs="宋体"/>
          <w:b/>
          <w:szCs w:val="21"/>
        </w:rPr>
      </w:pPr>
      <w:r>
        <w:rPr>
          <w:rFonts w:hint="eastAsia" w:ascii="宋体" w:hAnsi="宋体" w:cs="宋体"/>
          <w:b/>
          <w:szCs w:val="21"/>
        </w:rPr>
        <w:t>（5）不同投标人的电子或纸质投标文件相互混装；</w:t>
      </w:r>
    </w:p>
    <w:p w14:paraId="3C5E526D">
      <w:pPr>
        <w:spacing w:line="400" w:lineRule="exact"/>
        <w:ind w:firstLine="422" w:firstLineChars="200"/>
        <w:rPr>
          <w:rFonts w:hint="eastAsia" w:ascii="宋体" w:hAnsi="宋体" w:cs="宋体"/>
          <w:b/>
          <w:szCs w:val="21"/>
        </w:rPr>
      </w:pPr>
      <w:r>
        <w:rPr>
          <w:rFonts w:hint="eastAsia" w:ascii="宋体" w:hAnsi="宋体" w:cs="宋体"/>
          <w:b/>
          <w:szCs w:val="21"/>
        </w:rPr>
        <w:t>（6）不同投标人的投标保证金从同一单位或者个人账户转出。</w:t>
      </w:r>
    </w:p>
    <w:p w14:paraId="59F216AB">
      <w:pPr>
        <w:spacing w:line="400" w:lineRule="exact"/>
        <w:ind w:firstLine="420" w:firstLineChars="200"/>
        <w:rPr>
          <w:rFonts w:hint="eastAsia" w:ascii="宋体" w:hAnsi="宋体" w:cs="宋体"/>
          <w:szCs w:val="21"/>
        </w:rPr>
      </w:pPr>
      <w:r>
        <w:rPr>
          <w:rFonts w:hint="eastAsia" w:ascii="宋体" w:hAnsi="宋体" w:cs="宋体"/>
          <w:szCs w:val="21"/>
        </w:rPr>
        <w:t>9.3投标人有下列情形之一的，属于恶意串通行为，将报同级监督管理部门：</w:t>
      </w:r>
    </w:p>
    <w:p w14:paraId="14541C13">
      <w:pPr>
        <w:spacing w:line="400" w:lineRule="exact"/>
        <w:ind w:firstLine="420" w:firstLineChars="200"/>
        <w:rPr>
          <w:rFonts w:hint="eastAsia" w:ascii="宋体" w:hAnsi="宋体" w:cs="宋体"/>
          <w:szCs w:val="21"/>
        </w:rPr>
      </w:pPr>
      <w:r>
        <w:rPr>
          <w:rFonts w:hint="eastAsia" w:ascii="宋体" w:hAnsi="宋体" w:cs="宋体"/>
          <w:szCs w:val="21"/>
        </w:rPr>
        <w:t>（1）投标人直接或者间接从采购人或者采购代理机构处获得其他投标人的相关信息并修改其投标文件或者电子投标文件；</w:t>
      </w:r>
    </w:p>
    <w:p w14:paraId="6D82930D">
      <w:pPr>
        <w:spacing w:line="400" w:lineRule="exact"/>
        <w:ind w:firstLine="420" w:firstLineChars="200"/>
        <w:rPr>
          <w:rFonts w:hint="eastAsia" w:ascii="宋体" w:hAnsi="宋体" w:cs="宋体"/>
          <w:szCs w:val="21"/>
        </w:rPr>
      </w:pPr>
      <w:r>
        <w:rPr>
          <w:rFonts w:hint="eastAsia" w:ascii="宋体" w:hAnsi="宋体" w:cs="宋体"/>
          <w:szCs w:val="21"/>
        </w:rPr>
        <w:t>（2）投标人按照采购人或者采购代理机构的授意撤换、修改投标文件或者电子投标文件；</w:t>
      </w:r>
    </w:p>
    <w:p w14:paraId="050C0924">
      <w:pPr>
        <w:spacing w:line="400" w:lineRule="exact"/>
        <w:ind w:firstLine="420" w:firstLineChars="200"/>
        <w:rPr>
          <w:rFonts w:hint="eastAsia" w:ascii="宋体" w:hAnsi="宋体" w:cs="宋体"/>
          <w:szCs w:val="21"/>
        </w:rPr>
      </w:pPr>
      <w:r>
        <w:rPr>
          <w:rFonts w:hint="eastAsia" w:ascii="宋体" w:hAnsi="宋体" w:cs="宋体"/>
          <w:szCs w:val="21"/>
        </w:rPr>
        <w:t>（3）投标人之间协商报价、技术方案等投标文件或者电子投标文件的实质性内容；</w:t>
      </w:r>
    </w:p>
    <w:p w14:paraId="2EA72B39">
      <w:pPr>
        <w:spacing w:line="400" w:lineRule="exact"/>
        <w:ind w:firstLine="420" w:firstLineChars="200"/>
        <w:rPr>
          <w:rFonts w:hint="eastAsia" w:ascii="宋体" w:hAnsi="宋体" w:cs="宋体"/>
          <w:szCs w:val="21"/>
        </w:rPr>
      </w:pPr>
      <w:r>
        <w:rPr>
          <w:rFonts w:hint="eastAsia" w:ascii="宋体" w:hAnsi="宋体" w:cs="宋体"/>
          <w:szCs w:val="21"/>
        </w:rPr>
        <w:t>（4）属于同一集团、协会、商会等组织成员的投标人按照该组织要求协同参加政府采购活动；</w:t>
      </w:r>
    </w:p>
    <w:p w14:paraId="0C4E89BB">
      <w:pPr>
        <w:spacing w:line="400" w:lineRule="exact"/>
        <w:ind w:firstLine="420" w:firstLineChars="200"/>
        <w:rPr>
          <w:rFonts w:hint="eastAsia" w:ascii="宋体" w:hAnsi="宋体" w:cs="宋体"/>
          <w:szCs w:val="21"/>
        </w:rPr>
      </w:pPr>
      <w:r>
        <w:rPr>
          <w:rFonts w:hint="eastAsia" w:ascii="宋体" w:hAnsi="宋体" w:cs="宋体"/>
          <w:szCs w:val="21"/>
        </w:rPr>
        <w:t>（5）投标人之间事先约定一致抬高或者压低投标报价，或者在招标项目中事先约定轮流以高价位或者低价位中标，或者事先约定由某一特定投标人中标，然后再参加投标；</w:t>
      </w:r>
    </w:p>
    <w:p w14:paraId="308D389E">
      <w:pPr>
        <w:spacing w:line="400" w:lineRule="exact"/>
        <w:ind w:firstLine="420" w:firstLineChars="200"/>
        <w:rPr>
          <w:rFonts w:hint="eastAsia" w:ascii="宋体" w:hAnsi="宋体" w:cs="宋体"/>
          <w:szCs w:val="21"/>
        </w:rPr>
      </w:pPr>
      <w:r>
        <w:rPr>
          <w:rFonts w:hint="eastAsia" w:ascii="宋体" w:hAnsi="宋体" w:cs="宋体"/>
          <w:szCs w:val="21"/>
        </w:rPr>
        <w:t>（6）投标人之间商定部分投标人放弃参加政府采购活动或者放弃中标；</w:t>
      </w:r>
    </w:p>
    <w:p w14:paraId="6D53BB45">
      <w:pPr>
        <w:spacing w:line="400" w:lineRule="exact"/>
        <w:ind w:firstLine="420" w:firstLineChars="200"/>
        <w:rPr>
          <w:rFonts w:hint="eastAsia" w:ascii="宋体" w:hAnsi="宋体" w:cs="宋体"/>
          <w:szCs w:val="21"/>
        </w:rPr>
      </w:pPr>
      <w:r>
        <w:rPr>
          <w:rFonts w:hint="eastAsia" w:ascii="宋体" w:hAnsi="宋体" w:cs="宋体"/>
          <w:szCs w:val="21"/>
        </w:rPr>
        <w:t>（7）投标人与采购人或者采购代理机构之间、投标人相互之间，为谋求特定投标人中标或者排斥其他投标人的其他串通行为。</w:t>
      </w:r>
    </w:p>
    <w:p w14:paraId="267FF617">
      <w:pPr>
        <w:pStyle w:val="6"/>
        <w:keepNext w:val="0"/>
        <w:keepLines w:val="0"/>
        <w:spacing w:line="400" w:lineRule="exact"/>
        <w:jc w:val="center"/>
        <w:rPr>
          <w:rFonts w:hint="eastAsia" w:ascii="宋体" w:hAnsi="宋体" w:cs="宋体"/>
          <w:sz w:val="21"/>
          <w:szCs w:val="21"/>
        </w:rPr>
      </w:pPr>
      <w:bookmarkStart w:id="106" w:name="_Toc254970675"/>
      <w:bookmarkStart w:id="107" w:name="_Toc99033078"/>
      <w:bookmarkStart w:id="108" w:name="_Toc27365"/>
      <w:bookmarkStart w:id="109" w:name="_Toc254970534"/>
      <w:r>
        <w:rPr>
          <w:rFonts w:hint="eastAsia" w:ascii="宋体" w:hAnsi="宋体" w:cs="宋体"/>
          <w:sz w:val="21"/>
          <w:szCs w:val="21"/>
        </w:rPr>
        <w:t>二、招标文件</w:t>
      </w:r>
      <w:bookmarkEnd w:id="106"/>
      <w:bookmarkEnd w:id="107"/>
      <w:bookmarkEnd w:id="108"/>
      <w:bookmarkEnd w:id="109"/>
    </w:p>
    <w:p w14:paraId="03232838">
      <w:pPr>
        <w:spacing w:line="400" w:lineRule="exact"/>
        <w:ind w:firstLine="420" w:firstLineChars="200"/>
        <w:rPr>
          <w:rFonts w:hint="eastAsia" w:ascii="宋体" w:hAnsi="宋体" w:cs="宋体"/>
          <w:szCs w:val="21"/>
        </w:rPr>
      </w:pPr>
      <w:r>
        <w:rPr>
          <w:rFonts w:hint="eastAsia" w:ascii="宋体" w:hAnsi="宋体" w:cs="宋体"/>
          <w:szCs w:val="21"/>
        </w:rPr>
        <w:t>10.招标文件的组成</w:t>
      </w:r>
    </w:p>
    <w:p w14:paraId="3EF9504B">
      <w:pPr>
        <w:spacing w:line="400" w:lineRule="exact"/>
        <w:ind w:firstLine="420" w:firstLineChars="200"/>
        <w:rPr>
          <w:rFonts w:hint="eastAsia" w:ascii="宋体" w:hAnsi="宋体" w:cs="宋体"/>
          <w:szCs w:val="21"/>
        </w:rPr>
      </w:pPr>
      <w:r>
        <w:rPr>
          <w:rFonts w:hint="eastAsia" w:ascii="宋体" w:hAnsi="宋体" w:cs="宋体"/>
          <w:szCs w:val="21"/>
        </w:rPr>
        <w:t>第一章 招标公告；</w:t>
      </w:r>
    </w:p>
    <w:p w14:paraId="529A70D3">
      <w:pPr>
        <w:spacing w:line="400" w:lineRule="exact"/>
        <w:ind w:firstLine="420" w:firstLineChars="200"/>
        <w:rPr>
          <w:rFonts w:hint="eastAsia" w:ascii="宋体" w:hAnsi="宋体" w:cs="宋体"/>
          <w:szCs w:val="21"/>
        </w:rPr>
      </w:pPr>
      <w:r>
        <w:rPr>
          <w:rFonts w:hint="eastAsia" w:ascii="宋体" w:hAnsi="宋体" w:cs="宋体"/>
          <w:szCs w:val="21"/>
        </w:rPr>
        <w:t xml:space="preserve">第二章 采购需求； </w:t>
      </w:r>
    </w:p>
    <w:p w14:paraId="545ED128">
      <w:pPr>
        <w:spacing w:line="400" w:lineRule="exact"/>
        <w:ind w:firstLine="420" w:firstLineChars="200"/>
        <w:rPr>
          <w:rFonts w:hint="eastAsia" w:ascii="宋体" w:hAnsi="宋体" w:cs="宋体"/>
          <w:szCs w:val="21"/>
        </w:rPr>
      </w:pPr>
      <w:r>
        <w:rPr>
          <w:rFonts w:hint="eastAsia" w:ascii="宋体" w:hAnsi="宋体" w:cs="宋体"/>
          <w:szCs w:val="21"/>
        </w:rPr>
        <w:t>第三章 投标人须知；</w:t>
      </w:r>
    </w:p>
    <w:p w14:paraId="44DDD108">
      <w:pPr>
        <w:spacing w:line="400" w:lineRule="exact"/>
        <w:ind w:firstLine="420" w:firstLineChars="200"/>
        <w:rPr>
          <w:rFonts w:hint="eastAsia" w:ascii="宋体" w:hAnsi="宋体" w:cs="宋体"/>
          <w:szCs w:val="21"/>
        </w:rPr>
      </w:pPr>
      <w:r>
        <w:rPr>
          <w:rFonts w:hint="eastAsia" w:ascii="宋体" w:hAnsi="宋体" w:cs="宋体"/>
          <w:szCs w:val="21"/>
        </w:rPr>
        <w:t>第四章 评标方法及评标标准；</w:t>
      </w:r>
    </w:p>
    <w:p w14:paraId="14528B7B">
      <w:pPr>
        <w:spacing w:line="400" w:lineRule="exact"/>
        <w:ind w:firstLine="420" w:firstLineChars="200"/>
        <w:rPr>
          <w:rFonts w:hint="eastAsia" w:ascii="宋体" w:hAnsi="宋体" w:cs="宋体"/>
          <w:szCs w:val="21"/>
        </w:rPr>
      </w:pPr>
      <w:r>
        <w:rPr>
          <w:rFonts w:hint="eastAsia" w:ascii="宋体" w:hAnsi="宋体" w:cs="宋体"/>
          <w:szCs w:val="21"/>
        </w:rPr>
        <w:t>第五章 拟签订的合同文本；</w:t>
      </w:r>
    </w:p>
    <w:p w14:paraId="054DDDAE">
      <w:pPr>
        <w:spacing w:line="400" w:lineRule="exact"/>
        <w:ind w:firstLine="420" w:firstLineChars="200"/>
        <w:rPr>
          <w:rFonts w:hint="eastAsia" w:ascii="宋体" w:hAnsi="宋体" w:cs="宋体"/>
          <w:szCs w:val="21"/>
        </w:rPr>
      </w:pPr>
      <w:r>
        <w:rPr>
          <w:rFonts w:hint="eastAsia" w:ascii="宋体" w:hAnsi="宋体" w:cs="宋体"/>
          <w:szCs w:val="21"/>
        </w:rPr>
        <w:t>第六章 投标文件格式；</w:t>
      </w:r>
    </w:p>
    <w:p w14:paraId="7A090F8D">
      <w:pPr>
        <w:spacing w:line="400" w:lineRule="exact"/>
        <w:ind w:firstLine="420" w:firstLineChars="200"/>
        <w:rPr>
          <w:rFonts w:hint="eastAsia" w:ascii="宋体" w:hAnsi="宋体" w:cs="宋体"/>
          <w:szCs w:val="21"/>
        </w:rPr>
      </w:pPr>
      <w:r>
        <w:rPr>
          <w:rFonts w:hint="eastAsia" w:ascii="宋体" w:hAnsi="宋体" w:cs="宋体"/>
          <w:szCs w:val="21"/>
        </w:rPr>
        <w:t>第七章 质疑、投诉材料格式</w:t>
      </w:r>
    </w:p>
    <w:p w14:paraId="3ECBE7A7">
      <w:pPr>
        <w:spacing w:line="400" w:lineRule="exact"/>
        <w:ind w:firstLine="420" w:firstLineChars="200"/>
        <w:rPr>
          <w:rFonts w:hint="eastAsia" w:ascii="宋体" w:hAnsi="宋体" w:cs="宋体"/>
          <w:szCs w:val="21"/>
        </w:rPr>
      </w:pPr>
      <w:r>
        <w:rPr>
          <w:rFonts w:hint="eastAsia" w:ascii="宋体" w:hAnsi="宋体" w:cs="宋体"/>
          <w:szCs w:val="21"/>
        </w:rPr>
        <w:t>根据本章第11.1项的规定对公开招标文件所做的澄清、修改，构成招标文件的组成部分。当公开招标文件与招标文件的澄清和修改就同一内容的表述不一致时，以最后澄清或修改公告为准。</w:t>
      </w:r>
    </w:p>
    <w:p w14:paraId="48E59B55">
      <w:pPr>
        <w:spacing w:line="400" w:lineRule="exact"/>
        <w:ind w:firstLine="420" w:firstLineChars="200"/>
        <w:rPr>
          <w:rFonts w:hint="eastAsia" w:ascii="宋体" w:hAnsi="宋体" w:cs="宋体"/>
          <w:szCs w:val="21"/>
        </w:rPr>
      </w:pPr>
      <w:r>
        <w:rPr>
          <w:rFonts w:hint="eastAsia" w:ascii="宋体" w:hAnsi="宋体" w:cs="宋体"/>
          <w:szCs w:val="21"/>
        </w:rPr>
        <w:t>11.招标文件的澄清、修改 、现场考察和答疑会</w:t>
      </w:r>
    </w:p>
    <w:p w14:paraId="22B1C90A">
      <w:pPr>
        <w:spacing w:line="400" w:lineRule="exact"/>
        <w:ind w:firstLine="422" w:firstLineChars="200"/>
        <w:rPr>
          <w:rFonts w:hint="eastAsia" w:ascii="宋体" w:hAnsi="宋体" w:cs="宋体"/>
          <w:b/>
          <w:szCs w:val="21"/>
        </w:rPr>
      </w:pPr>
      <w:r>
        <w:rPr>
          <w:rFonts w:hint="eastAsia" w:ascii="宋体" w:hAnsi="宋体" w:cs="宋体"/>
          <w:b/>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0814AE4">
      <w:pPr>
        <w:spacing w:line="400" w:lineRule="exact"/>
        <w:ind w:firstLine="420" w:firstLineChars="200"/>
        <w:rPr>
          <w:rFonts w:hint="eastAsia" w:ascii="宋体" w:hAnsi="宋体" w:cs="宋体"/>
          <w:szCs w:val="21"/>
        </w:rPr>
      </w:pPr>
      <w:r>
        <w:rPr>
          <w:rFonts w:hint="eastAsia" w:ascii="宋体" w:hAnsi="宋体" w:cs="宋体"/>
          <w:szCs w:val="21"/>
        </w:rPr>
        <w:t>11.2 投标人应认真审阅本公开招标文件，如有疑问，或发现其中有误或有要求不合理的，应在投标人须知前附表规定的</w:t>
      </w:r>
      <w:r>
        <w:rPr>
          <w:rFonts w:hint="eastAsia" w:ascii="宋体" w:hAnsi="宋体" w:cs="宋体"/>
          <w:kern w:val="0"/>
          <w:szCs w:val="21"/>
        </w:rPr>
        <w:t>投标截止时间</w:t>
      </w:r>
      <w:r>
        <w:rPr>
          <w:rFonts w:hint="eastAsia" w:ascii="宋体" w:hAnsi="宋体" w:cs="宋体"/>
          <w:szCs w:val="21"/>
        </w:rPr>
        <w:t>前以书面形式要求采购人或采购代理机构对招标文件予以澄清；否则，由此产生的后果由投标人自行负责。</w:t>
      </w:r>
    </w:p>
    <w:p w14:paraId="0254A993">
      <w:pPr>
        <w:spacing w:line="400" w:lineRule="exact"/>
        <w:ind w:firstLine="420" w:firstLineChars="200"/>
        <w:rPr>
          <w:rFonts w:hint="eastAsia" w:ascii="宋体" w:hAnsi="宋体" w:cs="宋体"/>
          <w:szCs w:val="21"/>
        </w:rPr>
      </w:pPr>
      <w:r>
        <w:rPr>
          <w:rFonts w:hint="eastAsia" w:ascii="宋体" w:hAnsi="宋体" w:cs="宋体"/>
          <w:szCs w:val="21"/>
        </w:rPr>
        <w:t>11.3 采购人或者采购代理机构可以对已发出的招标文件进行必要的澄清或者修改。澄清或者修改的内容可能影响投标文件编制的，采购人或者采购代理机构应当在投标截止时间至少15日前，以书面形式通知(在“投标人须知前附表”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48B93E20">
      <w:pPr>
        <w:spacing w:line="400" w:lineRule="exact"/>
        <w:ind w:firstLine="420" w:firstLineChars="200"/>
        <w:rPr>
          <w:rFonts w:hint="eastAsia" w:ascii="宋体" w:hAnsi="宋体" w:cs="宋体"/>
          <w:szCs w:val="21"/>
        </w:rPr>
      </w:pPr>
      <w:r>
        <w:rPr>
          <w:rFonts w:hint="eastAsia" w:ascii="宋体" w:hAnsi="宋体" w:cs="宋体"/>
          <w:szCs w:val="21"/>
        </w:rPr>
        <w:t>11.4 采购人和采购代理机构可以视采购具体情况，变更投标截止时间和开标时间，将变更时间将在“投标人须知前附表”</w:t>
      </w:r>
      <w:r>
        <w:rPr>
          <w:rFonts w:hint="eastAsia" w:ascii="宋体" w:hAnsi="宋体" w:cs="宋体"/>
          <w:kern w:val="0"/>
          <w:szCs w:val="21"/>
        </w:rPr>
        <w:t>规定的政府采购信息发布媒体上</w:t>
      </w:r>
      <w:r>
        <w:rPr>
          <w:rFonts w:hint="eastAsia" w:ascii="宋体" w:hAnsi="宋体" w:cs="宋体"/>
          <w:szCs w:val="21"/>
        </w:rPr>
        <w:t>发布更正公告。</w:t>
      </w:r>
    </w:p>
    <w:p w14:paraId="6E0401A0">
      <w:pPr>
        <w:spacing w:line="400" w:lineRule="exact"/>
        <w:ind w:firstLine="420" w:firstLineChars="200"/>
        <w:rPr>
          <w:rFonts w:hint="eastAsia" w:ascii="宋体" w:hAnsi="宋体" w:cs="宋体"/>
          <w:szCs w:val="21"/>
        </w:rPr>
      </w:pPr>
      <w:r>
        <w:rPr>
          <w:rFonts w:hint="eastAsia" w:ascii="宋体" w:hAnsi="宋体" w:cs="宋体"/>
          <w:szCs w:val="21"/>
        </w:rPr>
        <w:t>11.</w:t>
      </w:r>
      <w:bookmarkStart w:id="110" w:name="_Hlk53134511"/>
      <w:r>
        <w:rPr>
          <w:rFonts w:hint="eastAsia" w:ascii="宋体" w:hAnsi="宋体" w:cs="宋体"/>
          <w:szCs w:val="21"/>
        </w:rPr>
        <w:t>5采购人或者采购代理机构可以在招标文件提供期限截止后，组织已获取招标文件的潜在投标人现场考察或者召开开标前答疑会，具体详见“投标人须知前附表”。</w:t>
      </w:r>
    </w:p>
    <w:bookmarkEnd w:id="110"/>
    <w:p w14:paraId="3398A3B3">
      <w:pPr>
        <w:pStyle w:val="6"/>
        <w:keepNext w:val="0"/>
        <w:keepLines w:val="0"/>
        <w:spacing w:line="400" w:lineRule="exact"/>
        <w:jc w:val="center"/>
        <w:rPr>
          <w:rFonts w:hint="eastAsia" w:ascii="宋体" w:hAnsi="宋体" w:cs="宋体"/>
          <w:sz w:val="21"/>
          <w:szCs w:val="21"/>
        </w:rPr>
      </w:pPr>
      <w:bookmarkStart w:id="111" w:name="_Toc23422"/>
      <w:bookmarkStart w:id="112" w:name="_Toc254970535"/>
      <w:bookmarkStart w:id="113" w:name="_Toc99033079"/>
      <w:bookmarkStart w:id="114" w:name="_Toc254970676"/>
      <w:r>
        <w:rPr>
          <w:rFonts w:hint="eastAsia" w:ascii="宋体" w:hAnsi="宋体" w:cs="宋体"/>
          <w:sz w:val="21"/>
          <w:szCs w:val="21"/>
        </w:rPr>
        <w:t>三、投标文件的编制</w:t>
      </w:r>
      <w:bookmarkEnd w:id="111"/>
      <w:bookmarkEnd w:id="112"/>
      <w:bookmarkEnd w:id="113"/>
      <w:bookmarkEnd w:id="114"/>
    </w:p>
    <w:p w14:paraId="4A04CE32">
      <w:pPr>
        <w:spacing w:line="400" w:lineRule="exact"/>
        <w:ind w:firstLine="420" w:firstLineChars="200"/>
        <w:rPr>
          <w:rFonts w:hint="eastAsia" w:ascii="宋体" w:hAnsi="宋体" w:cs="宋体"/>
          <w:szCs w:val="21"/>
        </w:rPr>
      </w:pPr>
      <w:bookmarkStart w:id="115" w:name="_Toc254970536"/>
      <w:bookmarkStart w:id="116" w:name="_Toc254970677"/>
      <w:r>
        <w:rPr>
          <w:rFonts w:hint="eastAsia" w:ascii="宋体" w:hAnsi="宋体" w:cs="宋体"/>
          <w:szCs w:val="21"/>
        </w:rPr>
        <w:t>12.投标文件的编制原则</w:t>
      </w:r>
    </w:p>
    <w:p w14:paraId="2594ADB3">
      <w:pPr>
        <w:spacing w:line="400" w:lineRule="exact"/>
        <w:ind w:firstLine="420" w:firstLineChars="200"/>
        <w:rPr>
          <w:rFonts w:hint="eastAsia" w:ascii="宋体" w:hAnsi="宋体" w:cs="宋体"/>
          <w:szCs w:val="21"/>
        </w:rPr>
      </w:pPr>
      <w:r>
        <w:rPr>
          <w:rFonts w:hint="eastAsia" w:ascii="宋体" w:hAnsi="宋体" w:cs="宋体"/>
          <w:szCs w:val="21"/>
        </w:rPr>
        <w:t>12.1投标人必须按照招标文件的要求编制投标文件。投标文件必须对招标文件提出的要求和条件作出明确响应。</w:t>
      </w:r>
    </w:p>
    <w:p w14:paraId="405009B5">
      <w:pPr>
        <w:spacing w:line="400" w:lineRule="exact"/>
        <w:ind w:firstLine="420" w:firstLineChars="200"/>
        <w:rPr>
          <w:rFonts w:hint="eastAsia" w:ascii="宋体" w:hAnsi="宋体" w:cs="宋体"/>
          <w:szCs w:val="21"/>
        </w:rPr>
      </w:pPr>
      <w:r>
        <w:rPr>
          <w:rFonts w:hint="eastAsia" w:ascii="宋体" w:hAnsi="宋体" w:cs="宋体"/>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2271EB00">
      <w:pPr>
        <w:spacing w:line="400" w:lineRule="exact"/>
        <w:ind w:firstLine="420" w:firstLineChars="200"/>
        <w:rPr>
          <w:rFonts w:hint="eastAsia" w:ascii="宋体" w:hAnsi="宋体" w:cs="宋体"/>
          <w:szCs w:val="21"/>
        </w:rPr>
      </w:pPr>
      <w:r>
        <w:rPr>
          <w:rFonts w:hint="eastAsia" w:ascii="宋体" w:hAnsi="宋体" w:cs="宋体"/>
          <w:szCs w:val="21"/>
        </w:rPr>
        <w:t>13.投标文件的组成</w:t>
      </w:r>
      <w:bookmarkEnd w:id="115"/>
      <w:bookmarkEnd w:id="116"/>
    </w:p>
    <w:p w14:paraId="0EA04DF7">
      <w:pPr>
        <w:spacing w:line="400" w:lineRule="exact"/>
        <w:ind w:firstLine="420" w:firstLineChars="200"/>
        <w:rPr>
          <w:rFonts w:hint="eastAsia" w:ascii="宋体" w:hAnsi="宋体" w:cs="宋体"/>
          <w:szCs w:val="21"/>
        </w:rPr>
      </w:pPr>
      <w:r>
        <w:rPr>
          <w:rFonts w:hint="eastAsia" w:ascii="宋体" w:hAnsi="宋体" w:cs="宋体"/>
          <w:szCs w:val="21"/>
        </w:rPr>
        <w:t>13.1投标文件由资格证明文件、商务文件、技术文件、报价文件四部分组成。</w:t>
      </w:r>
    </w:p>
    <w:p w14:paraId="321EB8F9">
      <w:pPr>
        <w:spacing w:line="400" w:lineRule="exact"/>
        <w:ind w:firstLine="420" w:firstLineChars="200"/>
        <w:rPr>
          <w:rFonts w:hint="eastAsia" w:ascii="宋体" w:hAnsi="宋体" w:cs="宋体"/>
          <w:bCs/>
          <w:szCs w:val="21"/>
        </w:rPr>
      </w:pPr>
      <w:bookmarkStart w:id="117" w:name="_13.2资格证明文件：具体材料见“投标人须知前附表”。"/>
      <w:bookmarkEnd w:id="117"/>
      <w:bookmarkStart w:id="118" w:name="_13.1报价文件:_具体材料见“投标人须知前附表”。"/>
      <w:bookmarkEnd w:id="118"/>
      <w:r>
        <w:rPr>
          <w:rFonts w:hint="eastAsia" w:ascii="宋体" w:hAnsi="宋体" w:cs="宋体"/>
          <w:bCs/>
          <w:szCs w:val="21"/>
        </w:rPr>
        <w:t>（1）资格证明文件：具体材料见“投标人须知前附表”。</w:t>
      </w:r>
    </w:p>
    <w:p w14:paraId="3237DE64">
      <w:pPr>
        <w:spacing w:line="400" w:lineRule="exact"/>
        <w:ind w:firstLine="420" w:firstLineChars="200"/>
        <w:rPr>
          <w:rFonts w:hint="eastAsia" w:ascii="宋体" w:hAnsi="宋体" w:cs="宋体"/>
          <w:bCs/>
          <w:szCs w:val="21"/>
        </w:rPr>
      </w:pPr>
      <w:bookmarkStart w:id="119" w:name="_13.3商务文件:_具体材料见“投标人须知前附表”。"/>
      <w:bookmarkEnd w:id="119"/>
      <w:r>
        <w:rPr>
          <w:rFonts w:hint="eastAsia" w:ascii="宋体" w:hAnsi="宋体" w:cs="宋体"/>
          <w:bCs/>
          <w:szCs w:val="21"/>
        </w:rPr>
        <w:t>（2）商务文件：具体材料见“投标人须知前附表”。</w:t>
      </w:r>
    </w:p>
    <w:p w14:paraId="33EBAAD6">
      <w:pPr>
        <w:spacing w:line="400" w:lineRule="exact"/>
        <w:ind w:firstLine="420" w:firstLineChars="200"/>
        <w:rPr>
          <w:rFonts w:hint="eastAsia" w:ascii="宋体" w:hAnsi="宋体" w:cs="宋体"/>
          <w:bCs/>
          <w:szCs w:val="21"/>
        </w:rPr>
      </w:pPr>
      <w:bookmarkStart w:id="120" w:name="_13.4技术文件：具体材料见“投标人须知前附表”。"/>
      <w:bookmarkEnd w:id="120"/>
      <w:r>
        <w:rPr>
          <w:rFonts w:hint="eastAsia" w:ascii="宋体" w:hAnsi="宋体" w:cs="宋体"/>
          <w:bCs/>
          <w:szCs w:val="21"/>
        </w:rPr>
        <w:t xml:space="preserve">（3）技术文件：具体材料见“投标人须知前附表”。 </w:t>
      </w:r>
    </w:p>
    <w:p w14:paraId="67EF3B38">
      <w:pPr>
        <w:spacing w:line="400" w:lineRule="exact"/>
        <w:ind w:firstLine="420" w:firstLineChars="200"/>
        <w:rPr>
          <w:rFonts w:hint="eastAsia" w:ascii="宋体" w:hAnsi="宋体" w:cs="宋体"/>
          <w:bCs/>
          <w:szCs w:val="21"/>
        </w:rPr>
      </w:pPr>
      <w:r>
        <w:rPr>
          <w:rFonts w:hint="eastAsia" w:ascii="宋体" w:hAnsi="宋体" w:cs="宋体"/>
          <w:bCs/>
          <w:szCs w:val="21"/>
        </w:rPr>
        <w:t>（4）报价文件： 具体材料见“投标人须知前附表”。</w:t>
      </w:r>
    </w:p>
    <w:p w14:paraId="56721B37">
      <w:pPr>
        <w:spacing w:line="400" w:lineRule="exact"/>
        <w:ind w:firstLine="420" w:firstLineChars="200"/>
        <w:rPr>
          <w:rFonts w:hint="eastAsia" w:ascii="宋体" w:hAnsi="宋体" w:cs="宋体"/>
          <w:bCs/>
          <w:szCs w:val="21"/>
        </w:rPr>
      </w:pPr>
      <w:bookmarkStart w:id="121" w:name="_13.5投标文件电子版：具体材料见“投标人须知前附表”。"/>
      <w:bookmarkEnd w:id="121"/>
      <w:r>
        <w:rPr>
          <w:rFonts w:hint="eastAsia" w:ascii="宋体" w:hAnsi="宋体" w:cs="宋体"/>
          <w:bCs/>
          <w:szCs w:val="21"/>
        </w:rPr>
        <w:t>13.2投标文件电子版：具体要求见本节19.投标文件编制。</w:t>
      </w:r>
    </w:p>
    <w:p w14:paraId="3DAF3B7D">
      <w:pPr>
        <w:spacing w:line="400" w:lineRule="exact"/>
        <w:ind w:firstLine="420" w:firstLineChars="200"/>
        <w:rPr>
          <w:rFonts w:hint="eastAsia" w:ascii="宋体" w:hAnsi="宋体" w:cs="宋体"/>
          <w:szCs w:val="21"/>
        </w:rPr>
      </w:pPr>
      <w:bookmarkStart w:id="122" w:name="_Toc254970537"/>
      <w:bookmarkStart w:id="123" w:name="_Toc254970678"/>
      <w:r>
        <w:rPr>
          <w:rFonts w:hint="eastAsia" w:ascii="宋体" w:hAnsi="宋体" w:cs="宋体"/>
          <w:szCs w:val="21"/>
        </w:rPr>
        <w:t>14.投标文件的语言及计量</w:t>
      </w:r>
      <w:bookmarkEnd w:id="122"/>
      <w:bookmarkEnd w:id="123"/>
    </w:p>
    <w:p w14:paraId="3CEAE973">
      <w:pPr>
        <w:spacing w:line="400" w:lineRule="exact"/>
        <w:ind w:firstLine="420" w:firstLineChars="200"/>
        <w:rPr>
          <w:rFonts w:hint="eastAsia" w:ascii="宋体" w:hAnsi="宋体" w:cs="宋体"/>
          <w:bCs/>
          <w:szCs w:val="21"/>
        </w:rPr>
      </w:pPr>
      <w:r>
        <w:rPr>
          <w:rFonts w:hint="eastAsia" w:ascii="宋体" w:hAnsi="宋体" w:cs="宋体"/>
          <w:bCs/>
          <w:szCs w:val="21"/>
        </w:rPr>
        <w:t>14.1语言文字</w:t>
      </w:r>
    </w:p>
    <w:p w14:paraId="7B235C58">
      <w:pPr>
        <w:spacing w:line="400" w:lineRule="exact"/>
        <w:ind w:firstLine="420" w:firstLineChars="200"/>
        <w:rPr>
          <w:rFonts w:hint="eastAsia" w:ascii="宋体" w:hAnsi="宋体" w:cs="宋体"/>
          <w:bCs/>
          <w:szCs w:val="21"/>
        </w:rPr>
      </w:pPr>
      <w:r>
        <w:rPr>
          <w:rFonts w:hint="eastAsia" w:ascii="宋体" w:hAnsi="宋体" w:cs="宋体"/>
          <w:bCs/>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E160A36">
      <w:pPr>
        <w:spacing w:line="400" w:lineRule="exact"/>
        <w:ind w:firstLine="420" w:firstLineChars="200"/>
        <w:rPr>
          <w:rFonts w:hint="eastAsia" w:ascii="宋体" w:hAnsi="宋体" w:cs="宋体"/>
          <w:bCs/>
          <w:szCs w:val="21"/>
        </w:rPr>
      </w:pPr>
      <w:r>
        <w:rPr>
          <w:rFonts w:hint="eastAsia" w:ascii="宋体" w:hAnsi="宋体" w:cs="宋体"/>
          <w:bCs/>
          <w:szCs w:val="21"/>
        </w:rPr>
        <w:t>14.2投标计量单位</w:t>
      </w:r>
    </w:p>
    <w:p w14:paraId="394D41F0">
      <w:pPr>
        <w:spacing w:line="400" w:lineRule="exact"/>
        <w:ind w:firstLine="420" w:firstLineChars="200"/>
        <w:rPr>
          <w:rFonts w:hint="eastAsia" w:ascii="宋体" w:hAnsi="宋体" w:cs="宋体"/>
          <w:bCs/>
          <w:szCs w:val="21"/>
        </w:rPr>
      </w:pPr>
      <w:r>
        <w:rPr>
          <w:rFonts w:hint="eastAsia" w:ascii="宋体" w:hAnsi="宋体" w:cs="宋体"/>
          <w:bCs/>
          <w:szCs w:val="21"/>
        </w:rPr>
        <w:t>招标文件已有明确规定的，使用招标文件规定的计量单位；招标文件没有规定的，应采用中华人民共和国法定计量单位，货币种类为人民币，否则视同未响应。</w:t>
      </w:r>
    </w:p>
    <w:p w14:paraId="163C8D11">
      <w:pPr>
        <w:spacing w:line="400" w:lineRule="exact"/>
        <w:ind w:firstLine="420" w:firstLineChars="200"/>
        <w:rPr>
          <w:rFonts w:hint="eastAsia" w:ascii="宋体" w:hAnsi="宋体" w:cs="宋体"/>
          <w:szCs w:val="21"/>
        </w:rPr>
      </w:pPr>
      <w:r>
        <w:rPr>
          <w:rFonts w:hint="eastAsia" w:ascii="宋体" w:hAnsi="宋体" w:cs="宋体"/>
          <w:szCs w:val="21"/>
        </w:rPr>
        <w:t>15.投标的风险</w:t>
      </w:r>
    </w:p>
    <w:p w14:paraId="6BD680F9">
      <w:pPr>
        <w:spacing w:line="400" w:lineRule="exact"/>
        <w:ind w:firstLine="420" w:firstLineChars="200"/>
        <w:rPr>
          <w:rFonts w:hint="eastAsia" w:ascii="宋体" w:hAnsi="宋体" w:cs="宋体"/>
          <w:b/>
          <w:bCs/>
          <w:szCs w:val="21"/>
        </w:rPr>
      </w:pPr>
      <w:bookmarkStart w:id="124" w:name="_Toc254970679"/>
      <w:bookmarkStart w:id="125" w:name="_Toc254970538"/>
      <w:r>
        <w:rPr>
          <w:rFonts w:hint="eastAsia" w:ascii="宋体" w:hAnsi="宋体" w:cs="宋体"/>
          <w:szCs w:val="21"/>
        </w:rPr>
        <w:t>投标文件分为资格文件、商务文件、技术文件、报价文件四部分（其中：商务文件与技术文件合并编辑成一个电子文档）。各投标人在编制投标文件时请按照招标文件规定的格式进行，不按要求提交齐全的文件、混乱的编排导致投标文件被误读或评标委员会查找不到有效文件是投标人的风险。▲</w:t>
      </w:r>
      <w:r>
        <w:rPr>
          <w:rFonts w:hint="eastAsia" w:ascii="宋体" w:hAnsi="宋体" w:cs="宋体"/>
          <w:b/>
          <w:bCs/>
          <w:szCs w:val="21"/>
        </w:rPr>
        <w:t>投标文件未按规定的格式编制的、没有按照招标文件要求提供全部资料、没有对招标文件作出实质性响应的，投标无效。</w:t>
      </w:r>
    </w:p>
    <w:p w14:paraId="0F425CD2">
      <w:pPr>
        <w:spacing w:line="400" w:lineRule="exact"/>
        <w:ind w:firstLine="420" w:firstLineChars="200"/>
        <w:rPr>
          <w:rFonts w:hint="eastAsia" w:ascii="宋体" w:hAnsi="宋体" w:cs="宋体"/>
          <w:szCs w:val="21"/>
        </w:rPr>
      </w:pPr>
      <w:r>
        <w:rPr>
          <w:rFonts w:hint="eastAsia" w:ascii="宋体" w:hAnsi="宋体" w:cs="宋体"/>
          <w:szCs w:val="21"/>
        </w:rPr>
        <w:t>16.投标报价</w:t>
      </w:r>
      <w:bookmarkEnd w:id="124"/>
      <w:bookmarkEnd w:id="125"/>
    </w:p>
    <w:p w14:paraId="0F3001F4">
      <w:pPr>
        <w:spacing w:line="400" w:lineRule="exact"/>
        <w:ind w:firstLine="420" w:firstLineChars="200"/>
        <w:rPr>
          <w:rFonts w:hint="eastAsia" w:ascii="宋体" w:hAnsi="宋体" w:cs="宋体"/>
          <w:bCs/>
          <w:szCs w:val="21"/>
        </w:rPr>
      </w:pPr>
      <w:r>
        <w:rPr>
          <w:rFonts w:hint="eastAsia" w:ascii="宋体" w:hAnsi="宋体" w:cs="宋体"/>
          <w:bCs/>
          <w:szCs w:val="21"/>
        </w:rPr>
        <w:t>16.1投标报价应按“第六章　投标文件格式”中“开标一览表”格式填写。</w:t>
      </w:r>
    </w:p>
    <w:p w14:paraId="1A4EFB23">
      <w:pPr>
        <w:spacing w:line="400" w:lineRule="exact"/>
        <w:ind w:firstLine="420" w:firstLineChars="200"/>
        <w:rPr>
          <w:rFonts w:hint="eastAsia" w:ascii="宋体" w:hAnsi="宋体" w:cs="宋体"/>
          <w:bCs/>
          <w:szCs w:val="21"/>
        </w:rPr>
      </w:pPr>
      <w:bookmarkStart w:id="126" w:name="_16.2投标报价具体定义见投标人须知前附表。"/>
      <w:bookmarkEnd w:id="126"/>
      <w:r>
        <w:rPr>
          <w:rFonts w:hint="eastAsia" w:ascii="宋体" w:hAnsi="宋体" w:cs="宋体"/>
          <w:bCs/>
          <w:szCs w:val="21"/>
        </w:rPr>
        <w:t>16.2投标报价具体包括内容详见“投标人须知前附表”。</w:t>
      </w:r>
    </w:p>
    <w:p w14:paraId="617034AD">
      <w:pPr>
        <w:spacing w:line="400" w:lineRule="exact"/>
        <w:ind w:firstLine="420" w:firstLineChars="200"/>
        <w:rPr>
          <w:rFonts w:hint="eastAsia" w:ascii="宋体" w:hAnsi="宋体" w:cs="宋体"/>
          <w:bCs/>
          <w:szCs w:val="21"/>
        </w:rPr>
      </w:pPr>
      <w:r>
        <w:rPr>
          <w:rFonts w:hint="eastAsia" w:ascii="宋体" w:hAnsi="宋体" w:cs="宋体"/>
          <w:bCs/>
          <w:szCs w:val="21"/>
        </w:rPr>
        <w:t>16.3投标人必须就所投每个分标的全部内容分别作完整唯一总价报价，不得存在漏项报价；投标人必须就所投分标的单项内容作唯一报价。</w:t>
      </w:r>
    </w:p>
    <w:p w14:paraId="44606939">
      <w:pPr>
        <w:spacing w:line="400" w:lineRule="exact"/>
        <w:ind w:firstLine="420" w:firstLineChars="200"/>
        <w:rPr>
          <w:rFonts w:hint="eastAsia" w:ascii="宋体" w:hAnsi="宋体" w:cs="宋体"/>
          <w:szCs w:val="21"/>
        </w:rPr>
      </w:pPr>
      <w:r>
        <w:rPr>
          <w:rFonts w:hint="eastAsia" w:ascii="宋体" w:hAnsi="宋体" w:cs="宋体"/>
          <w:szCs w:val="21"/>
        </w:rPr>
        <w:t>17.投标有效期</w:t>
      </w:r>
    </w:p>
    <w:p w14:paraId="7165626F">
      <w:pPr>
        <w:spacing w:line="400" w:lineRule="exact"/>
        <w:ind w:firstLine="420" w:firstLineChars="200"/>
        <w:rPr>
          <w:rFonts w:hint="eastAsia" w:ascii="宋体" w:hAnsi="宋体" w:cs="宋体"/>
          <w:bCs/>
          <w:szCs w:val="21"/>
        </w:rPr>
      </w:pPr>
      <w:bookmarkStart w:id="127" w:name="_17.1投标有效期应按“投标人须知中的前附表”规定的期限。"/>
      <w:bookmarkEnd w:id="127"/>
      <w:r>
        <w:rPr>
          <w:rFonts w:hint="eastAsia" w:ascii="宋体" w:hAnsi="宋体" w:cs="宋体"/>
          <w:bCs/>
          <w:szCs w:val="21"/>
        </w:rPr>
        <w:t>17.1投标有效期是指为保证采购人有足够的时间在开标后完成评标、定标、合同签订等工作而要求投标人提交的投标文件在一定时间内保持有效的期限。</w:t>
      </w:r>
    </w:p>
    <w:p w14:paraId="0C7EDC5A">
      <w:pPr>
        <w:spacing w:line="400" w:lineRule="exact"/>
        <w:ind w:firstLine="420" w:firstLineChars="200"/>
        <w:rPr>
          <w:rFonts w:hint="eastAsia" w:ascii="宋体" w:hAnsi="宋体" w:cs="宋体"/>
          <w:bCs/>
          <w:szCs w:val="21"/>
        </w:rPr>
      </w:pPr>
      <w:r>
        <w:rPr>
          <w:rFonts w:hint="eastAsia" w:ascii="宋体" w:hAnsi="宋体" w:cs="宋体"/>
          <w:bCs/>
          <w:szCs w:val="21"/>
        </w:rPr>
        <w:t>17.2</w:t>
      </w:r>
      <w:bookmarkStart w:id="128" w:name="_Toc254970540"/>
      <w:bookmarkStart w:id="129" w:name="_Toc254970681"/>
      <w:r>
        <w:rPr>
          <w:rFonts w:hint="eastAsia" w:ascii="宋体" w:hAnsi="宋体" w:cs="宋体"/>
          <w:bCs/>
          <w:szCs w:val="21"/>
        </w:rPr>
        <w:t xml:space="preserve"> 投标有效期应按规定的期限作出承诺，具体详见“投标人须知前附表”。</w:t>
      </w:r>
    </w:p>
    <w:p w14:paraId="6C94F935">
      <w:pPr>
        <w:spacing w:line="400" w:lineRule="exact"/>
        <w:ind w:firstLine="420" w:firstLineChars="200"/>
        <w:rPr>
          <w:rFonts w:hint="eastAsia" w:ascii="宋体" w:hAnsi="宋体" w:cs="宋体"/>
          <w:bCs/>
          <w:szCs w:val="21"/>
        </w:rPr>
      </w:pPr>
      <w:r>
        <w:rPr>
          <w:rFonts w:hint="eastAsia" w:ascii="宋体" w:hAnsi="宋体" w:cs="宋体"/>
          <w:bCs/>
          <w:szCs w:val="21"/>
        </w:rPr>
        <w:t>17.3投标人的投标文件在投标有效期内均保持有效。</w:t>
      </w:r>
      <w:bookmarkEnd w:id="128"/>
      <w:bookmarkEnd w:id="129"/>
    </w:p>
    <w:p w14:paraId="4548B7BB">
      <w:pPr>
        <w:spacing w:line="400" w:lineRule="exact"/>
        <w:ind w:firstLine="420" w:firstLineChars="200"/>
        <w:rPr>
          <w:rFonts w:hint="eastAsia" w:ascii="宋体" w:hAnsi="宋体" w:cs="宋体"/>
          <w:szCs w:val="21"/>
        </w:rPr>
      </w:pPr>
      <w:bookmarkStart w:id="130" w:name="_18.投标保证金"/>
      <w:bookmarkEnd w:id="130"/>
      <w:bookmarkStart w:id="131" w:name="_Toc254970541"/>
      <w:bookmarkStart w:id="132" w:name="_Toc254970682"/>
      <w:r>
        <w:rPr>
          <w:rFonts w:hint="eastAsia" w:ascii="宋体" w:hAnsi="宋体" w:cs="宋体"/>
          <w:szCs w:val="21"/>
        </w:rPr>
        <w:t>18.投标保证金</w:t>
      </w:r>
      <w:bookmarkEnd w:id="131"/>
      <w:bookmarkEnd w:id="132"/>
    </w:p>
    <w:p w14:paraId="0AE425F7">
      <w:pPr>
        <w:spacing w:line="400" w:lineRule="exact"/>
        <w:ind w:firstLine="420" w:firstLineChars="200"/>
        <w:rPr>
          <w:rFonts w:hint="eastAsia" w:ascii="宋体" w:hAnsi="宋体" w:cs="宋体"/>
          <w:bCs/>
          <w:szCs w:val="21"/>
        </w:rPr>
      </w:pPr>
      <w:bookmarkStart w:id="133" w:name="_Toc254970683"/>
      <w:bookmarkStart w:id="134" w:name="_Toc254970542"/>
      <w:r>
        <w:rPr>
          <w:rFonts w:hint="eastAsia" w:ascii="宋体" w:hAnsi="宋体" w:cs="宋体"/>
          <w:bCs/>
          <w:szCs w:val="21"/>
        </w:rPr>
        <w:t>18.1 投标人须按“投标人须知前附表”的规定提交投标保证金。否则，其投标将被拒绝。</w:t>
      </w:r>
    </w:p>
    <w:p w14:paraId="5151B6EC">
      <w:pPr>
        <w:spacing w:line="400" w:lineRule="exact"/>
        <w:ind w:firstLine="420" w:firstLineChars="200"/>
        <w:rPr>
          <w:rFonts w:hint="eastAsia" w:ascii="宋体" w:hAnsi="宋体" w:cs="宋体"/>
          <w:bCs/>
          <w:szCs w:val="21"/>
        </w:rPr>
      </w:pPr>
      <w:r>
        <w:rPr>
          <w:rFonts w:hint="eastAsia" w:ascii="宋体" w:hAnsi="宋体" w:cs="宋体"/>
          <w:bCs/>
          <w:szCs w:val="21"/>
        </w:rPr>
        <w:t>18.2 投标保证金的退还</w:t>
      </w:r>
    </w:p>
    <w:p w14:paraId="3F8934E2">
      <w:pPr>
        <w:snapToGrid w:val="0"/>
        <w:spacing w:line="400" w:lineRule="exact"/>
        <w:ind w:firstLine="420" w:firstLineChars="200"/>
        <w:rPr>
          <w:rFonts w:hint="eastAsia" w:ascii="宋体" w:hAnsi="宋体" w:cs="宋体"/>
          <w:bCs/>
          <w:szCs w:val="21"/>
        </w:rPr>
      </w:pPr>
      <w:r>
        <w:rPr>
          <w:rFonts w:hint="eastAsia" w:ascii="宋体" w:hAnsi="宋体" w:cs="宋体"/>
          <w:szCs w:val="21"/>
        </w:rPr>
        <w:t>未中标人的投标保证金自中标通知书发出之日起5个工作日内退还，中标人的投标保证金自合同签订之日起5个工作日内退还。</w:t>
      </w:r>
    </w:p>
    <w:p w14:paraId="3E52F2DD">
      <w:pPr>
        <w:spacing w:line="400" w:lineRule="exact"/>
        <w:ind w:firstLine="420" w:firstLineChars="200"/>
        <w:rPr>
          <w:rFonts w:hint="eastAsia" w:ascii="宋体" w:hAnsi="宋体" w:cs="宋体"/>
          <w:bCs/>
          <w:szCs w:val="21"/>
        </w:rPr>
      </w:pPr>
      <w:r>
        <w:rPr>
          <w:rFonts w:hint="eastAsia" w:ascii="宋体" w:hAnsi="宋体" w:cs="宋体"/>
          <w:bCs/>
          <w:szCs w:val="21"/>
        </w:rPr>
        <w:t>18.3 中标人应在中标通知书发出之日起25日内与采购人签订合同。</w:t>
      </w:r>
    </w:p>
    <w:p w14:paraId="7261690B">
      <w:pPr>
        <w:spacing w:line="400" w:lineRule="exact"/>
        <w:ind w:firstLine="420" w:firstLineChars="200"/>
        <w:rPr>
          <w:rFonts w:hint="eastAsia" w:ascii="宋体" w:hAnsi="宋体" w:cs="宋体"/>
          <w:bCs/>
          <w:szCs w:val="21"/>
        </w:rPr>
      </w:pPr>
      <w:r>
        <w:rPr>
          <w:rFonts w:hint="eastAsia" w:ascii="宋体" w:hAnsi="宋体" w:cs="宋体"/>
          <w:bCs/>
          <w:szCs w:val="21"/>
        </w:rPr>
        <w:t>18.4 投标人有下列情形之一的，投标保证金将不予退还：</w:t>
      </w:r>
    </w:p>
    <w:p w14:paraId="5B1EE1A5">
      <w:pPr>
        <w:spacing w:line="400" w:lineRule="exact"/>
        <w:ind w:firstLine="420" w:firstLineChars="200"/>
        <w:rPr>
          <w:rFonts w:hint="eastAsia" w:ascii="宋体" w:hAnsi="宋体" w:cs="宋体"/>
          <w:bCs/>
          <w:szCs w:val="21"/>
        </w:rPr>
      </w:pPr>
      <w:r>
        <w:rPr>
          <w:rFonts w:hint="eastAsia" w:ascii="宋体" w:hAnsi="宋体" w:cs="宋体"/>
          <w:bCs/>
          <w:szCs w:val="21"/>
        </w:rPr>
        <w:t>（1）投标人在投标有效期内撤回投标文件的；</w:t>
      </w:r>
    </w:p>
    <w:p w14:paraId="5475F6C4">
      <w:pPr>
        <w:spacing w:line="400" w:lineRule="exact"/>
        <w:ind w:firstLine="420" w:firstLineChars="200"/>
        <w:rPr>
          <w:rFonts w:hint="eastAsia" w:ascii="宋体" w:hAnsi="宋体" w:cs="宋体"/>
          <w:bCs/>
          <w:szCs w:val="21"/>
        </w:rPr>
      </w:pPr>
      <w:r>
        <w:rPr>
          <w:rFonts w:hint="eastAsia" w:ascii="宋体" w:hAnsi="宋体" w:cs="宋体"/>
          <w:bCs/>
          <w:szCs w:val="21"/>
        </w:rPr>
        <w:t>（2）投标人在投标过程中弄虚作假，提供虚假材料的；</w:t>
      </w:r>
    </w:p>
    <w:p w14:paraId="436BBBFF">
      <w:pPr>
        <w:spacing w:line="400" w:lineRule="exact"/>
        <w:ind w:firstLine="420" w:firstLineChars="200"/>
        <w:rPr>
          <w:rFonts w:hint="eastAsia" w:ascii="宋体" w:hAnsi="宋体" w:cs="宋体"/>
          <w:bCs/>
          <w:szCs w:val="21"/>
        </w:rPr>
      </w:pPr>
      <w:r>
        <w:rPr>
          <w:rFonts w:hint="eastAsia" w:ascii="宋体" w:hAnsi="宋体" w:cs="宋体"/>
          <w:bCs/>
          <w:szCs w:val="21"/>
        </w:rPr>
        <w:t>（3）中标后无正当理由不与采购人签订合同的；</w:t>
      </w:r>
    </w:p>
    <w:p w14:paraId="3CD51109">
      <w:pPr>
        <w:spacing w:line="400" w:lineRule="exact"/>
        <w:ind w:firstLine="420" w:firstLineChars="200"/>
        <w:rPr>
          <w:rFonts w:hint="eastAsia" w:ascii="宋体" w:hAnsi="宋体" w:cs="宋体"/>
          <w:bCs/>
          <w:szCs w:val="21"/>
        </w:rPr>
      </w:pPr>
      <w:r>
        <w:rPr>
          <w:rFonts w:hint="eastAsia" w:ascii="宋体" w:hAnsi="宋体" w:cs="宋体"/>
          <w:bCs/>
          <w:szCs w:val="21"/>
        </w:rPr>
        <w:t>（4）将中标项目转让给他人或者在投标文件中未说明，且未经采购人同意，将中标项目分包给他人的；</w:t>
      </w:r>
    </w:p>
    <w:p w14:paraId="10E97A6E">
      <w:pPr>
        <w:spacing w:line="400" w:lineRule="exact"/>
        <w:ind w:firstLine="420" w:firstLineChars="200"/>
        <w:rPr>
          <w:rFonts w:hint="eastAsia" w:ascii="宋体" w:hAnsi="宋体" w:cs="宋体"/>
          <w:bCs/>
          <w:szCs w:val="21"/>
        </w:rPr>
      </w:pPr>
      <w:r>
        <w:rPr>
          <w:rFonts w:hint="eastAsia" w:ascii="宋体" w:hAnsi="宋体" w:cs="宋体"/>
          <w:bCs/>
          <w:szCs w:val="21"/>
        </w:rPr>
        <w:t>（5）拒绝履行合同义务的；</w:t>
      </w:r>
    </w:p>
    <w:p w14:paraId="04A82BE3">
      <w:pPr>
        <w:spacing w:line="400" w:lineRule="exact"/>
        <w:ind w:firstLine="420" w:firstLineChars="200"/>
        <w:rPr>
          <w:rFonts w:hint="eastAsia" w:ascii="宋体" w:hAnsi="宋体" w:cs="宋体"/>
          <w:bCs/>
          <w:szCs w:val="21"/>
        </w:rPr>
      </w:pPr>
      <w:r>
        <w:rPr>
          <w:rFonts w:hint="eastAsia" w:ascii="宋体" w:hAnsi="宋体" w:cs="宋体"/>
          <w:bCs/>
          <w:szCs w:val="21"/>
        </w:rPr>
        <w:t>（6）其他严重扰乱招投标程序的；</w:t>
      </w:r>
    </w:p>
    <w:p w14:paraId="6A120702">
      <w:pPr>
        <w:spacing w:line="400" w:lineRule="exact"/>
        <w:ind w:firstLine="420" w:firstLineChars="200"/>
        <w:rPr>
          <w:rFonts w:hint="eastAsia" w:ascii="宋体" w:hAnsi="宋体" w:cs="宋体"/>
          <w:bCs/>
          <w:szCs w:val="21"/>
        </w:rPr>
      </w:pPr>
      <w:r>
        <w:rPr>
          <w:rFonts w:hint="eastAsia" w:ascii="宋体" w:hAnsi="宋体" w:cs="宋体"/>
          <w:bCs/>
          <w:szCs w:val="21"/>
        </w:rPr>
        <w:t>（7）招标文件规定的其他情形。</w:t>
      </w:r>
    </w:p>
    <w:p w14:paraId="68C7BB82">
      <w:pPr>
        <w:spacing w:line="400" w:lineRule="exact"/>
        <w:ind w:firstLine="420" w:firstLineChars="200"/>
        <w:rPr>
          <w:rFonts w:hint="eastAsia" w:ascii="宋体" w:hAnsi="宋体" w:cs="宋体"/>
          <w:szCs w:val="21"/>
        </w:rPr>
      </w:pPr>
      <w:r>
        <w:rPr>
          <w:rFonts w:hint="eastAsia" w:ascii="宋体" w:hAnsi="宋体" w:cs="宋体"/>
          <w:szCs w:val="21"/>
        </w:rPr>
        <w:t>19.投标文件的</w:t>
      </w:r>
      <w:bookmarkEnd w:id="133"/>
      <w:bookmarkEnd w:id="134"/>
      <w:r>
        <w:rPr>
          <w:rFonts w:hint="eastAsia" w:ascii="宋体" w:hAnsi="宋体" w:cs="宋体"/>
          <w:szCs w:val="21"/>
        </w:rPr>
        <w:t>编制</w:t>
      </w:r>
    </w:p>
    <w:p w14:paraId="4142FDD9">
      <w:pPr>
        <w:spacing w:line="400" w:lineRule="exact"/>
        <w:ind w:firstLine="420" w:firstLineChars="200"/>
        <w:rPr>
          <w:rFonts w:hint="eastAsia" w:ascii="宋体" w:hAnsi="宋体" w:cs="宋体"/>
          <w:szCs w:val="21"/>
        </w:rPr>
      </w:pPr>
      <w:r>
        <w:rPr>
          <w:rFonts w:hint="eastAsia" w:ascii="宋体" w:hAnsi="宋体" w:cs="宋体"/>
          <w:szCs w:val="21"/>
        </w:rPr>
        <w:t>19.1投标文件编制要求详见“投标人须知前附表”。投标人应按本招标文件规定的格式和顺序编制、生成投标文件并标注页码，投标文件内容不完整、编排混乱导致投标文件被误读、漏读或者查找不到相关内容的，由此引发的后果由投标人承担。</w:t>
      </w:r>
      <w:bookmarkStart w:id="135" w:name="_19.2投标文件应按报价文件、资格证明文件、商务文件、技术文件分别编制"/>
      <w:bookmarkEnd w:id="135"/>
    </w:p>
    <w:p w14:paraId="48BAEE9C">
      <w:pPr>
        <w:adjustRightInd w:val="0"/>
        <w:snapToGrid w:val="0"/>
        <w:spacing w:line="400" w:lineRule="exact"/>
        <w:ind w:firstLine="420" w:firstLineChars="200"/>
        <w:rPr>
          <w:rFonts w:hint="eastAsia" w:ascii="宋体" w:hAnsi="宋体" w:cs="宋体"/>
          <w:szCs w:val="21"/>
        </w:rPr>
      </w:pPr>
      <w:r>
        <w:rPr>
          <w:rFonts w:hint="eastAsia" w:ascii="宋体" w:hAnsi="宋体" w:cs="宋体"/>
          <w:szCs w:val="21"/>
        </w:rPr>
        <w:t>19.2投标文件应按报价文件、资格证明文件、商务文件、技术文件分别编制电子文件（其中：商务文件与技术文件合并编辑成一个电子文档），并按广西政府采购云平台的要求编制、加密、上传。</w:t>
      </w:r>
    </w:p>
    <w:p w14:paraId="3A3AAA8C">
      <w:pPr>
        <w:adjustRightInd w:val="0"/>
        <w:snapToGrid w:val="0"/>
        <w:spacing w:line="400" w:lineRule="exact"/>
        <w:ind w:firstLine="420" w:firstLineChars="200"/>
        <w:rPr>
          <w:rFonts w:hint="eastAsia" w:ascii="宋体" w:hAnsi="宋体" w:cs="宋体"/>
          <w:szCs w:val="21"/>
        </w:rPr>
      </w:pPr>
      <w:r>
        <w:rPr>
          <w:rFonts w:hint="eastAsia" w:ascii="宋体" w:hAnsi="宋体" w:cs="宋体"/>
          <w:szCs w:val="21"/>
        </w:rPr>
        <w:t>19.3投标文件按照招标文件第六章格式要求在规定位置签字（或者电子签名）、盖章或电子签章（具体以投标人须知前附表或投标文件格式规定为准），</w:t>
      </w:r>
      <w:r>
        <w:rPr>
          <w:rFonts w:hint="eastAsia" w:ascii="宋体" w:hAnsi="宋体" w:cs="宋体"/>
          <w:b/>
          <w:bCs/>
          <w:szCs w:val="21"/>
        </w:rPr>
        <w:t>否则按无效投标处理</w:t>
      </w:r>
      <w:r>
        <w:rPr>
          <w:rFonts w:hint="eastAsia" w:ascii="宋体" w:hAnsi="宋体" w:cs="宋体"/>
          <w:b/>
          <w:szCs w:val="21"/>
        </w:rPr>
        <w:t>。</w:t>
      </w:r>
      <w:r>
        <w:rPr>
          <w:rFonts w:hint="eastAsia" w:ascii="宋体" w:hAnsi="宋体" w:cs="宋体"/>
          <w:szCs w:val="21"/>
        </w:rPr>
        <w:t>骑缝盖公章不视为在规定位置盖章。</w:t>
      </w:r>
    </w:p>
    <w:p w14:paraId="484F94BD">
      <w:pPr>
        <w:adjustRightInd w:val="0"/>
        <w:snapToGrid w:val="0"/>
        <w:spacing w:line="400" w:lineRule="exact"/>
        <w:ind w:firstLine="420" w:firstLineChars="200"/>
        <w:rPr>
          <w:rFonts w:hint="eastAsia" w:ascii="宋体" w:hAnsi="宋体" w:cs="宋体"/>
          <w:szCs w:val="21"/>
        </w:rPr>
      </w:pPr>
      <w:r>
        <w:rPr>
          <w:rFonts w:hint="eastAsia" w:ascii="宋体" w:hAnsi="宋体" w:cs="宋体"/>
          <w:szCs w:val="21"/>
        </w:rPr>
        <w:t>19.4为确保网上操作合法、有效和安全，投标人应当在投标截止时间前完成在广西政府采购云平台的身份认证，确保在电子投标过程中能够对相关数据电文进行加密和使用电子签名。</w:t>
      </w:r>
    </w:p>
    <w:p w14:paraId="05F466F1">
      <w:pPr>
        <w:spacing w:line="400" w:lineRule="exact"/>
        <w:ind w:firstLine="422" w:firstLineChars="200"/>
        <w:rPr>
          <w:rFonts w:hint="eastAsia" w:ascii="宋体" w:hAnsi="宋体" w:cs="宋体"/>
          <w:b/>
          <w:szCs w:val="21"/>
        </w:rPr>
      </w:pPr>
      <w:r>
        <w:rPr>
          <w:rFonts w:hint="eastAsia" w:ascii="宋体" w:hAnsi="宋体" w:cs="宋体"/>
          <w:b/>
          <w:szCs w:val="21"/>
        </w:rPr>
        <w:t>19.5投标文件中标注的投标人名称应与主体资格证明（如营业执照、事业单位法人证书、执业许可证、自然人身份证等）及公章一致，</w:t>
      </w:r>
      <w:r>
        <w:rPr>
          <w:rFonts w:hint="eastAsia" w:ascii="宋体" w:hAnsi="宋体" w:cs="宋体"/>
          <w:b/>
          <w:bCs/>
          <w:szCs w:val="21"/>
        </w:rPr>
        <w:t>否则按无效投标处理</w:t>
      </w:r>
      <w:r>
        <w:rPr>
          <w:rFonts w:hint="eastAsia" w:ascii="宋体" w:hAnsi="宋体" w:cs="宋体"/>
          <w:b/>
          <w:szCs w:val="21"/>
        </w:rPr>
        <w:t>。</w:t>
      </w:r>
    </w:p>
    <w:p w14:paraId="21FF11B2">
      <w:pPr>
        <w:spacing w:line="400" w:lineRule="exact"/>
        <w:ind w:firstLine="420" w:firstLineChars="200"/>
        <w:rPr>
          <w:rFonts w:hint="eastAsia" w:ascii="宋体" w:hAnsi="宋体" w:cs="宋体"/>
          <w:b/>
          <w:szCs w:val="21"/>
        </w:rPr>
      </w:pPr>
      <w:r>
        <w:rPr>
          <w:rFonts w:hint="eastAsia" w:ascii="宋体" w:hAnsi="宋体" w:cs="宋体"/>
          <w:szCs w:val="21"/>
        </w:rPr>
        <w:t>19.6投标文件应尽量避免涂改、行间插字或者删除。如果出现上述情况，改动之处应由投标人的法定代表人或者其委托代理人签字（或者电子签名）、加盖公章或者加盖电子签章。投标文件因字迹潦草或者表达不清所引起的后果由投标人承担。</w:t>
      </w:r>
    </w:p>
    <w:p w14:paraId="396BFB87">
      <w:pPr>
        <w:spacing w:line="400" w:lineRule="exact"/>
        <w:ind w:firstLine="420" w:firstLineChars="200"/>
        <w:rPr>
          <w:rFonts w:hint="eastAsia" w:ascii="宋体" w:hAnsi="宋体" w:cs="宋体"/>
          <w:szCs w:val="21"/>
        </w:rPr>
      </w:pPr>
      <w:r>
        <w:rPr>
          <w:rFonts w:hint="eastAsia" w:ascii="宋体" w:hAnsi="宋体" w:cs="宋体"/>
          <w:szCs w:val="21"/>
        </w:rPr>
        <w:t>19.7对招标文件的实质性要求和条件作出响应是指投标人必须对招标文件中标注为实质性要求和条件的服务内容及要求、商务条款及其它内容</w:t>
      </w:r>
      <w:r>
        <w:rPr>
          <w:rFonts w:hint="eastAsia" w:ascii="宋体" w:hAnsi="宋体" w:cs="宋体"/>
          <w:b/>
          <w:szCs w:val="21"/>
        </w:rPr>
        <w:t>作出满足或者优于原要求和条件的承诺</w:t>
      </w:r>
      <w:r>
        <w:rPr>
          <w:rFonts w:hint="eastAsia" w:ascii="宋体" w:hAnsi="宋体" w:cs="宋体"/>
          <w:szCs w:val="21"/>
        </w:rPr>
        <w:t>。</w:t>
      </w:r>
    </w:p>
    <w:p w14:paraId="77B99A29">
      <w:pPr>
        <w:spacing w:line="400" w:lineRule="exact"/>
        <w:ind w:firstLine="422" w:firstLineChars="200"/>
        <w:rPr>
          <w:rFonts w:hint="eastAsia" w:ascii="宋体" w:hAnsi="宋体" w:cs="宋体"/>
          <w:b/>
          <w:szCs w:val="21"/>
          <w:u w:val="single"/>
        </w:rPr>
      </w:pPr>
      <w:r>
        <w:rPr>
          <w:rFonts w:hint="eastAsia" w:ascii="宋体" w:hAnsi="宋体" w:cs="宋体"/>
          <w:b/>
          <w:szCs w:val="21"/>
          <w:u w:val="single"/>
        </w:rPr>
        <w:t>19.8本项目为全流程电子化项目，异常情况见“第二节 投标人须知正文”中“四、24.2开标程序”。</w:t>
      </w:r>
    </w:p>
    <w:p w14:paraId="17424568">
      <w:pPr>
        <w:spacing w:line="400" w:lineRule="exact"/>
        <w:ind w:firstLine="420" w:firstLineChars="200"/>
        <w:rPr>
          <w:rFonts w:hint="eastAsia" w:ascii="宋体" w:hAnsi="宋体" w:cs="宋体"/>
          <w:szCs w:val="21"/>
        </w:rPr>
      </w:pPr>
      <w:r>
        <w:rPr>
          <w:rFonts w:hint="eastAsia" w:ascii="宋体" w:hAnsi="宋体" w:cs="宋体"/>
          <w:szCs w:val="21"/>
        </w:rPr>
        <w:t>20. 电子备份投标文件</w:t>
      </w:r>
    </w:p>
    <w:p w14:paraId="75EE885A">
      <w:pPr>
        <w:spacing w:line="400" w:lineRule="exact"/>
        <w:ind w:firstLine="420" w:firstLineChars="200"/>
        <w:rPr>
          <w:rFonts w:hint="eastAsia" w:ascii="宋体" w:hAnsi="宋体" w:cs="宋体"/>
          <w:szCs w:val="21"/>
        </w:rPr>
      </w:pPr>
      <w:r>
        <w:rPr>
          <w:rFonts w:hint="eastAsia" w:ascii="宋体" w:hAnsi="宋体" w:cs="宋体"/>
          <w:bCs/>
          <w:szCs w:val="21"/>
        </w:rPr>
        <w:t>电子备份投标文件是指通过“广西政府采购云平台电子投标客户端”在线编制生成且后缀名为“bfbs”的文件，是否接受电子备份投标文件详见在“投标人须知前附表”。</w:t>
      </w:r>
    </w:p>
    <w:p w14:paraId="56AF27BB">
      <w:pPr>
        <w:spacing w:line="400" w:lineRule="exact"/>
        <w:ind w:firstLine="420" w:firstLineChars="200"/>
        <w:rPr>
          <w:rFonts w:hint="eastAsia" w:ascii="宋体" w:hAnsi="宋体" w:cs="宋体"/>
          <w:szCs w:val="21"/>
        </w:rPr>
      </w:pPr>
      <w:r>
        <w:rPr>
          <w:rFonts w:hint="eastAsia" w:ascii="宋体" w:hAnsi="宋体" w:cs="宋体"/>
          <w:szCs w:val="21"/>
        </w:rPr>
        <w:t>21.投标文件的提交</w:t>
      </w:r>
    </w:p>
    <w:p w14:paraId="4E366BE9">
      <w:pPr>
        <w:spacing w:line="400" w:lineRule="exact"/>
        <w:ind w:firstLine="420" w:firstLineChars="200"/>
        <w:rPr>
          <w:rFonts w:hint="eastAsia" w:ascii="宋体" w:hAnsi="宋体" w:cs="宋体"/>
          <w:b/>
          <w:szCs w:val="21"/>
        </w:rPr>
      </w:pPr>
      <w:bookmarkStart w:id="136" w:name="_21.1投标人必须在“投标人须知中的前附表”规定的投标文件接收时间和投"/>
      <w:bookmarkEnd w:id="136"/>
      <w:r>
        <w:rPr>
          <w:rFonts w:hint="eastAsia" w:ascii="宋体" w:hAnsi="宋体" w:cs="宋体"/>
          <w:bCs/>
          <w:szCs w:val="21"/>
        </w:rPr>
        <w:t>21.1投标人必须在“投标人须知前附表”规定的投标文件提交截止时间前将电子投标文件提交至投标地点。电子投标文件应在制作完成后，在投标截止时间前通过有效数字证书（CA认证锁）进行电子签章、加密，然后通过网络将加密的电子投标文件递交至“广西政府采购云平台”。</w:t>
      </w:r>
    </w:p>
    <w:p w14:paraId="2B11EABA">
      <w:pPr>
        <w:spacing w:line="400" w:lineRule="exact"/>
        <w:ind w:firstLine="422" w:firstLineChars="200"/>
        <w:rPr>
          <w:rFonts w:hint="eastAsia" w:ascii="宋体" w:hAnsi="宋体" w:cs="宋体"/>
          <w:b/>
          <w:szCs w:val="21"/>
        </w:rPr>
      </w:pPr>
      <w:r>
        <w:rPr>
          <w:rFonts w:hint="eastAsia" w:ascii="宋体" w:hAnsi="宋体" w:cs="宋体"/>
          <w:b/>
          <w:szCs w:val="21"/>
        </w:rPr>
        <w:t>21.2未在规定时间内提交或者未按照招标文件要求加密或者标记的电子投标文件，“广西政府采购云平台”将拒收。</w:t>
      </w:r>
    </w:p>
    <w:p w14:paraId="63A63AFE">
      <w:pPr>
        <w:spacing w:line="400" w:lineRule="exact"/>
        <w:ind w:firstLine="420" w:firstLineChars="200"/>
        <w:rPr>
          <w:rFonts w:hint="eastAsia" w:ascii="宋体" w:hAnsi="宋体" w:cs="宋体"/>
          <w:szCs w:val="21"/>
        </w:rPr>
      </w:pPr>
      <w:r>
        <w:rPr>
          <w:rFonts w:hint="eastAsia" w:ascii="宋体" w:hAnsi="宋体" w:cs="宋体"/>
          <w:szCs w:val="21"/>
        </w:rPr>
        <w:t>21.3电子版投标文件提交方式见“招标公告”中“四、提交投标文件截止时间、开标时间和地点”</w:t>
      </w:r>
      <w:r>
        <w:rPr>
          <w:rFonts w:hint="eastAsia" w:ascii="宋体" w:hAnsi="宋体" w:cs="宋体"/>
          <w:b/>
          <w:szCs w:val="21"/>
        </w:rPr>
        <w:t>。</w:t>
      </w:r>
    </w:p>
    <w:p w14:paraId="33818E55">
      <w:pPr>
        <w:spacing w:line="400" w:lineRule="exact"/>
        <w:ind w:firstLine="420" w:firstLineChars="200"/>
        <w:rPr>
          <w:rFonts w:hint="eastAsia" w:ascii="宋体" w:hAnsi="宋体" w:cs="宋体"/>
          <w:szCs w:val="21"/>
        </w:rPr>
      </w:pPr>
      <w:r>
        <w:rPr>
          <w:rFonts w:hint="eastAsia" w:ascii="宋体" w:hAnsi="宋体" w:cs="宋体"/>
          <w:szCs w:val="21"/>
        </w:rPr>
        <w:t>22. 投标文件的补充、修改、撤回与退回</w:t>
      </w:r>
      <w:bookmarkStart w:id="137" w:name="_Toc254970543"/>
      <w:bookmarkStart w:id="138" w:name="_Toc254970684"/>
    </w:p>
    <w:p w14:paraId="54A917CD">
      <w:pPr>
        <w:spacing w:line="400" w:lineRule="exact"/>
        <w:ind w:firstLine="420" w:firstLineChars="200"/>
        <w:rPr>
          <w:rFonts w:hint="eastAsia" w:ascii="宋体" w:hAnsi="宋体" w:cs="宋体"/>
          <w:szCs w:val="21"/>
        </w:rPr>
      </w:pPr>
      <w:r>
        <w:rPr>
          <w:rFonts w:hint="eastAsia" w:ascii="宋体" w:hAnsi="宋体" w:cs="宋体"/>
          <w:szCs w:val="21"/>
        </w:rPr>
        <w:t>22.1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w:t>
      </w:r>
    </w:p>
    <w:p w14:paraId="0B8E5652">
      <w:pPr>
        <w:adjustRightInd w:val="0"/>
        <w:spacing w:line="400" w:lineRule="exact"/>
        <w:ind w:firstLine="420" w:firstLineChars="200"/>
        <w:rPr>
          <w:rFonts w:hint="eastAsia" w:ascii="宋体" w:hAnsi="宋体" w:cs="宋体"/>
          <w:szCs w:val="21"/>
        </w:rPr>
      </w:pPr>
      <w:r>
        <w:rPr>
          <w:rFonts w:hint="eastAsia" w:ascii="宋体" w:hAnsi="宋体" w:cs="宋体"/>
          <w:szCs w:val="21"/>
        </w:rPr>
        <w:t>22.2广西政府采购云平台收到投标文件，将妥善保存并即时向投标人发出确认回执通知。在投标截止时间前，除投标人补充、修改或者撤回投标文件外，任何单位和个人不得解密或提取投标文件。</w:t>
      </w:r>
    </w:p>
    <w:bookmarkEnd w:id="137"/>
    <w:bookmarkEnd w:id="138"/>
    <w:p w14:paraId="21B8562D">
      <w:pPr>
        <w:spacing w:line="400" w:lineRule="exact"/>
        <w:ind w:firstLine="420" w:firstLineChars="200"/>
        <w:rPr>
          <w:rFonts w:hint="eastAsia" w:ascii="宋体" w:hAnsi="宋体" w:cs="宋体"/>
          <w:szCs w:val="21"/>
        </w:rPr>
      </w:pPr>
      <w:r>
        <w:rPr>
          <w:rFonts w:hint="eastAsia" w:ascii="宋体" w:hAnsi="宋体" w:cs="宋体"/>
          <w:szCs w:val="21"/>
        </w:rPr>
        <w:t>22.3在投标截止时间止提交电子版投标文件的投标人不足3家时，电子版投标文件由代理机构在广西政府采购云平台操作退回，除此之外采购人和采购代理机构对已提交的投标文件概不退回。</w:t>
      </w:r>
    </w:p>
    <w:p w14:paraId="3A0C2C71">
      <w:pPr>
        <w:pStyle w:val="6"/>
        <w:keepNext w:val="0"/>
        <w:keepLines w:val="0"/>
        <w:spacing w:line="400" w:lineRule="exact"/>
        <w:jc w:val="center"/>
        <w:rPr>
          <w:rFonts w:hint="eastAsia" w:ascii="宋体" w:hAnsi="宋体" w:cs="宋体"/>
          <w:sz w:val="21"/>
          <w:szCs w:val="21"/>
        </w:rPr>
      </w:pPr>
      <w:bookmarkStart w:id="139" w:name="_Toc254970685"/>
      <w:bookmarkStart w:id="140" w:name="_Toc99033080"/>
      <w:bookmarkStart w:id="141" w:name="_Toc254970544"/>
      <w:bookmarkStart w:id="142" w:name="_Toc21890"/>
      <w:r>
        <w:rPr>
          <w:rFonts w:hint="eastAsia" w:ascii="宋体" w:hAnsi="宋体" w:cs="宋体"/>
          <w:sz w:val="21"/>
          <w:szCs w:val="21"/>
        </w:rPr>
        <w:t>四、开    标</w:t>
      </w:r>
      <w:bookmarkEnd w:id="139"/>
      <w:bookmarkEnd w:id="140"/>
      <w:bookmarkEnd w:id="141"/>
      <w:bookmarkEnd w:id="142"/>
    </w:p>
    <w:p w14:paraId="086924EE">
      <w:pPr>
        <w:spacing w:line="400" w:lineRule="exact"/>
        <w:ind w:firstLine="420" w:firstLineChars="200"/>
        <w:rPr>
          <w:rFonts w:hint="eastAsia" w:ascii="宋体" w:hAnsi="宋体" w:cs="宋体"/>
          <w:szCs w:val="21"/>
        </w:rPr>
      </w:pPr>
      <w:bookmarkStart w:id="143" w:name="_23.开标时间和地点"/>
      <w:bookmarkEnd w:id="143"/>
      <w:r>
        <w:rPr>
          <w:rFonts w:hint="eastAsia" w:ascii="宋体" w:hAnsi="宋体" w:cs="宋体"/>
          <w:szCs w:val="21"/>
        </w:rPr>
        <w:t>23.开标时间和地点</w:t>
      </w:r>
    </w:p>
    <w:p w14:paraId="71CC7A02">
      <w:pPr>
        <w:spacing w:line="400" w:lineRule="exact"/>
        <w:ind w:firstLine="420" w:firstLineChars="200"/>
        <w:rPr>
          <w:rFonts w:hint="eastAsia" w:ascii="宋体" w:hAnsi="宋体" w:cs="宋体"/>
          <w:bCs/>
          <w:szCs w:val="21"/>
        </w:rPr>
      </w:pPr>
      <w:r>
        <w:rPr>
          <w:rFonts w:hint="eastAsia" w:ascii="宋体" w:hAnsi="宋体" w:cs="宋体"/>
          <w:bCs/>
          <w:szCs w:val="21"/>
        </w:rPr>
        <w:t>23.1开标时间及地点详见“投标人须知前附表”</w:t>
      </w:r>
    </w:p>
    <w:p w14:paraId="0EA109FE">
      <w:pPr>
        <w:spacing w:line="400" w:lineRule="exact"/>
        <w:ind w:firstLine="420" w:firstLineChars="200"/>
        <w:rPr>
          <w:rFonts w:hint="eastAsia" w:ascii="宋体" w:hAnsi="宋体" w:cs="宋体"/>
          <w:szCs w:val="21"/>
        </w:rPr>
      </w:pPr>
      <w:r>
        <w:rPr>
          <w:rFonts w:hint="eastAsia" w:ascii="宋体" w:hAnsi="宋体" w:cs="宋体"/>
          <w:szCs w:val="21"/>
        </w:rPr>
        <w:t>23.2如</w:t>
      </w:r>
      <w:r>
        <w:rPr>
          <w:rFonts w:hint="eastAsia" w:ascii="宋体" w:hAnsi="宋体" w:cs="宋体"/>
          <w:bCs/>
          <w:szCs w:val="21"/>
        </w:rPr>
        <w:t>投标人成功解密投标文件，但未在“广西政府采购云平台”电子开标大厅参加开标的，视同认可开标过程和结果，</w:t>
      </w:r>
      <w:r>
        <w:rPr>
          <w:rFonts w:hint="eastAsia" w:ascii="宋体" w:hAnsi="宋体" w:cs="宋体"/>
          <w:szCs w:val="21"/>
        </w:rPr>
        <w:t>由此产生的后果由投标人自行负责。 投标人不足3家的，不得开标。</w:t>
      </w:r>
    </w:p>
    <w:p w14:paraId="594B27E3">
      <w:pPr>
        <w:spacing w:line="400" w:lineRule="exact"/>
        <w:ind w:firstLine="420" w:firstLineChars="200"/>
        <w:rPr>
          <w:rFonts w:hint="eastAsia" w:ascii="宋体" w:hAnsi="宋体" w:cs="宋体"/>
          <w:szCs w:val="21"/>
        </w:rPr>
      </w:pPr>
      <w:r>
        <w:rPr>
          <w:rFonts w:hint="eastAsia" w:ascii="宋体" w:hAnsi="宋体" w:cs="宋体"/>
          <w:szCs w:val="21"/>
        </w:rPr>
        <w:t>24.开标程序</w:t>
      </w:r>
    </w:p>
    <w:p w14:paraId="2963F1EF">
      <w:pPr>
        <w:autoSpaceDE w:val="0"/>
        <w:autoSpaceDN w:val="0"/>
        <w:adjustRightInd w:val="0"/>
        <w:spacing w:line="400" w:lineRule="exact"/>
        <w:ind w:firstLine="420" w:firstLineChars="200"/>
        <w:rPr>
          <w:rFonts w:hint="eastAsia" w:ascii="宋体" w:hAnsi="宋体" w:cs="宋体"/>
          <w:kern w:val="0"/>
          <w:szCs w:val="21"/>
        </w:rPr>
      </w:pPr>
      <w:r>
        <w:rPr>
          <w:rFonts w:hint="eastAsia" w:ascii="宋体" w:hAnsi="宋体" w:cs="宋体"/>
          <w:bCs/>
          <w:szCs w:val="21"/>
        </w:rPr>
        <w:t>24.1</w:t>
      </w:r>
      <w:r>
        <w:rPr>
          <w:rFonts w:hint="eastAsia" w:ascii="宋体" w:hAnsi="宋体" w:cs="宋体"/>
          <w:kern w:val="0"/>
          <w:szCs w:val="21"/>
        </w:rPr>
        <w:t>开标形式：</w:t>
      </w:r>
    </w:p>
    <w:p w14:paraId="0B3233EE">
      <w:pPr>
        <w:autoSpaceDE w:val="0"/>
        <w:autoSpaceDN w:val="0"/>
        <w:adjustRightInd w:val="0"/>
        <w:spacing w:line="400" w:lineRule="exact"/>
        <w:ind w:firstLine="420" w:firstLineChars="200"/>
        <w:rPr>
          <w:rFonts w:hint="eastAsia" w:ascii="宋体" w:hAnsi="宋体" w:cs="宋体"/>
          <w:bCs/>
          <w:szCs w:val="21"/>
        </w:rPr>
      </w:pPr>
      <w:r>
        <w:rPr>
          <w:rFonts w:hint="eastAsia" w:ascii="宋体" w:hAnsi="宋体" w:cs="宋体"/>
          <w:szCs w:val="21"/>
        </w:rPr>
        <w:t>（1）</w:t>
      </w:r>
      <w:r>
        <w:rPr>
          <w:rFonts w:hint="eastAsia" w:ascii="宋体" w:hAnsi="宋体" w:cs="宋体"/>
          <w:bCs/>
          <w:szCs w:val="21"/>
        </w:rPr>
        <w:t>开标的准备工作由采购代理机构负责落实，采购代理机构必须基于广西政府采购云平台选取评审专家，如采购代理机构未按规定选取专家的，视为本次开评标无效，应当重新采购；</w:t>
      </w:r>
    </w:p>
    <w:p w14:paraId="5A253805">
      <w:pPr>
        <w:autoSpaceDE w:val="0"/>
        <w:autoSpaceDN w:val="0"/>
        <w:adjustRightInd w:val="0"/>
        <w:spacing w:line="400" w:lineRule="exact"/>
        <w:ind w:firstLine="420" w:firstLineChars="200"/>
        <w:rPr>
          <w:rFonts w:hint="eastAsia" w:ascii="宋体" w:hAnsi="宋体" w:cs="宋体"/>
          <w:bCs/>
          <w:szCs w:val="21"/>
        </w:rPr>
      </w:pPr>
      <w:r>
        <w:rPr>
          <w:rFonts w:hint="eastAsia" w:ascii="宋体" w:hAnsi="宋体" w:cs="宋体"/>
          <w:bCs/>
          <w:szCs w:val="21"/>
        </w:rPr>
        <w:t>（2）采购代理机构将按照招标文件规定的时间通过</w:t>
      </w:r>
      <w:r>
        <w:rPr>
          <w:rFonts w:hint="eastAsia" w:ascii="宋体" w:hAnsi="宋体" w:cs="宋体"/>
          <w:szCs w:val="21"/>
        </w:rPr>
        <w:t>广西政府采购云</w:t>
      </w:r>
      <w:r>
        <w:rPr>
          <w:rFonts w:hint="eastAsia" w:ascii="宋体" w:hAnsi="宋体" w:cs="宋体"/>
          <w:bCs/>
          <w:szCs w:val="21"/>
        </w:rPr>
        <w:t>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0294FB4D">
      <w:pPr>
        <w:autoSpaceDE w:val="0"/>
        <w:autoSpaceDN w:val="0"/>
        <w:adjustRightInd w:val="0"/>
        <w:spacing w:line="400" w:lineRule="exact"/>
        <w:ind w:firstLine="420" w:firstLineChars="200"/>
        <w:rPr>
          <w:rFonts w:hint="eastAsia" w:ascii="宋体" w:hAnsi="宋体" w:cs="宋体"/>
          <w:bCs/>
          <w:szCs w:val="21"/>
        </w:rPr>
      </w:pPr>
      <w:r>
        <w:rPr>
          <w:rFonts w:hint="eastAsia" w:ascii="宋体" w:hAnsi="宋体" w:cs="宋体"/>
          <w:bCs/>
          <w:szCs w:val="21"/>
        </w:rPr>
        <w:t>24.2开标程序：</w:t>
      </w:r>
    </w:p>
    <w:p w14:paraId="56ABCA2F">
      <w:pPr>
        <w:snapToGrid w:val="0"/>
        <w:spacing w:line="400" w:lineRule="exact"/>
        <w:ind w:firstLine="422" w:firstLineChars="200"/>
        <w:rPr>
          <w:rFonts w:hint="eastAsia" w:ascii="宋体" w:hAnsi="宋体" w:cs="宋体"/>
          <w:szCs w:val="21"/>
        </w:rPr>
      </w:pPr>
      <w:r>
        <w:rPr>
          <w:rFonts w:hint="eastAsia" w:ascii="宋体" w:hAnsi="宋体" w:cs="宋体"/>
          <w:b/>
          <w:szCs w:val="21"/>
        </w:rPr>
        <w:t>（1）解密电子投标文件。“</w:t>
      </w:r>
      <w:r>
        <w:rPr>
          <w:rFonts w:hint="eastAsia" w:ascii="宋体" w:hAnsi="宋体" w:cs="宋体"/>
          <w:szCs w:val="21"/>
        </w:rPr>
        <w:t>广西政府采购云平台”按开标时间自动提取所有投标文件。采购代理机构依托“广西政府采购云平台”向各投标人发出电子加密投标文件【开始解密】通知，由投标人按“投标人须知前附表”规定的时间内自行进行投标文件解密。投标人的法定代表人或其委托代理人</w:t>
      </w:r>
      <w:r>
        <w:rPr>
          <w:rFonts w:hint="eastAsia" w:ascii="宋体" w:hAnsi="宋体" w:cs="宋体"/>
          <w:b/>
          <w:szCs w:val="21"/>
        </w:rPr>
        <w:t>须携带加密时所用的CA锁准时登录到“广西政府采购云平台”电子开标大厅签到并对电子投标文件解密</w:t>
      </w:r>
      <w:r>
        <w:rPr>
          <w:rFonts w:hint="eastAsia" w:ascii="宋体" w:hAnsi="宋体" w:cs="宋体"/>
          <w:szCs w:val="21"/>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ascii="宋体" w:hAnsi="宋体" w:cs="宋体"/>
          <w:b/>
          <w:szCs w:val="21"/>
        </w:rPr>
        <w:t>均视为无效投标。</w:t>
      </w:r>
    </w:p>
    <w:p w14:paraId="01DE8B2F">
      <w:pPr>
        <w:snapToGrid w:val="0"/>
        <w:spacing w:line="400" w:lineRule="exact"/>
        <w:ind w:firstLine="420" w:firstLineChars="200"/>
        <w:rPr>
          <w:rFonts w:hint="eastAsia" w:ascii="宋体" w:hAnsi="宋体" w:cs="宋体"/>
          <w:szCs w:val="21"/>
        </w:rPr>
      </w:pPr>
      <w:r>
        <w:rPr>
          <w:rFonts w:hint="eastAsia" w:ascii="宋体" w:hAnsi="宋体" w:cs="宋体"/>
          <w:szCs w:val="21"/>
        </w:rPr>
        <w:t>（解密</w:t>
      </w:r>
      <w:r>
        <w:rPr>
          <w:rFonts w:hint="eastAsia" w:ascii="宋体" w:hAnsi="宋体" w:cs="宋体"/>
          <w:bCs/>
          <w:szCs w:val="21"/>
        </w:rPr>
        <w:t>异常情况处理：详见本章</w:t>
      </w:r>
      <w:r>
        <w:rPr>
          <w:rFonts w:hint="eastAsia" w:ascii="宋体" w:hAnsi="宋体" w:cs="宋体"/>
          <w:szCs w:val="21"/>
        </w:rPr>
        <w:t>29.4电子交易活动的中止。）</w:t>
      </w:r>
    </w:p>
    <w:p w14:paraId="1306DEBD">
      <w:pPr>
        <w:spacing w:line="400" w:lineRule="exact"/>
        <w:ind w:firstLine="420" w:firstLineChars="200"/>
        <w:rPr>
          <w:rFonts w:hint="eastAsia" w:ascii="宋体" w:hAnsi="宋体" w:cs="宋体"/>
          <w:szCs w:val="21"/>
        </w:rPr>
      </w:pPr>
      <w:r>
        <w:rPr>
          <w:rFonts w:hint="eastAsia" w:ascii="宋体" w:hAnsi="宋体" w:cs="宋体"/>
          <w:szCs w:val="21"/>
        </w:rPr>
        <w:t>（2）电子唱标。投标文件解密结束，各投标人报价均在“广西政府采购云平台”远程不见面开标大厅展示；</w:t>
      </w:r>
    </w:p>
    <w:p w14:paraId="174B2A01">
      <w:pPr>
        <w:spacing w:line="400" w:lineRule="exact"/>
        <w:ind w:firstLine="420" w:firstLineChars="200"/>
        <w:rPr>
          <w:rFonts w:hint="eastAsia" w:ascii="宋体" w:hAnsi="宋体" w:cs="宋体"/>
          <w:szCs w:val="21"/>
        </w:rPr>
      </w:pPr>
      <w:r>
        <w:rPr>
          <w:rFonts w:hint="eastAsia" w:ascii="宋体" w:hAnsi="宋体" w:cs="宋体"/>
          <w:szCs w:val="21"/>
        </w:rPr>
        <w:t>（3）签署电子《政府采购活动现场确认声明书》。通过邮件形式在远程不见面开标大厅发送各投标人签署电子《政府采购活动现场确认声明书》。</w:t>
      </w:r>
    </w:p>
    <w:p w14:paraId="23C6FDAB">
      <w:pPr>
        <w:spacing w:line="400" w:lineRule="exact"/>
        <w:ind w:firstLine="420" w:firstLineChars="200"/>
        <w:rPr>
          <w:rFonts w:hint="eastAsia" w:ascii="宋体" w:hAnsi="宋体" w:cs="宋体"/>
          <w:bCs/>
          <w:szCs w:val="21"/>
        </w:rPr>
      </w:pPr>
      <w:r>
        <w:rPr>
          <w:rFonts w:hint="eastAsia" w:ascii="宋体" w:hAnsi="宋体" w:cs="宋体"/>
          <w:bCs/>
          <w:szCs w:val="21"/>
        </w:rPr>
        <w:t>（4）开标过程由采购代理机构如实记录，并电子留痕，由参加电子开标的各投标人代表对电子开标记录在开标记录公布后15分钟内进行当场校核及勘误，并线上确认，未确认的视同认可开标结果。</w:t>
      </w:r>
    </w:p>
    <w:p w14:paraId="7A61362A">
      <w:pPr>
        <w:spacing w:line="400" w:lineRule="exact"/>
        <w:ind w:firstLine="420" w:firstLineChars="200"/>
        <w:rPr>
          <w:rFonts w:hint="eastAsia" w:ascii="宋体" w:hAnsi="宋体" w:cs="宋体"/>
          <w:bCs/>
          <w:szCs w:val="21"/>
        </w:rPr>
      </w:pPr>
      <w:r>
        <w:rPr>
          <w:rFonts w:hint="eastAsia" w:ascii="宋体" w:hAnsi="宋体" w:cs="宋体"/>
          <w:bCs/>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7759866A">
      <w:pPr>
        <w:spacing w:line="400" w:lineRule="exact"/>
        <w:ind w:firstLine="420" w:firstLineChars="200"/>
        <w:rPr>
          <w:rFonts w:hint="eastAsia" w:ascii="宋体" w:hAnsi="宋体" w:cs="宋体"/>
          <w:bCs/>
          <w:szCs w:val="21"/>
        </w:rPr>
      </w:pPr>
      <w:r>
        <w:rPr>
          <w:rFonts w:hint="eastAsia" w:ascii="宋体" w:hAnsi="宋体" w:cs="宋体"/>
          <w:bCs/>
          <w:szCs w:val="21"/>
        </w:rPr>
        <w:t>（6）开标结束。</w:t>
      </w:r>
    </w:p>
    <w:p w14:paraId="5AB78F99">
      <w:pPr>
        <w:snapToGrid w:val="0"/>
        <w:spacing w:line="400" w:lineRule="exact"/>
        <w:ind w:firstLine="422" w:firstLineChars="200"/>
        <w:rPr>
          <w:rFonts w:hint="eastAsia" w:ascii="宋体" w:hAnsi="宋体" w:cs="宋体"/>
          <w:szCs w:val="21"/>
        </w:rPr>
      </w:pPr>
      <w:r>
        <w:rPr>
          <w:rFonts w:hint="eastAsia" w:ascii="宋体" w:hAnsi="宋体" w:cs="宋体"/>
          <w:b/>
          <w:bCs/>
          <w:szCs w:val="21"/>
        </w:rPr>
        <w:t>特别说明：</w:t>
      </w:r>
      <w:r>
        <w:rPr>
          <w:rFonts w:hint="eastAsia" w:ascii="宋体" w:hAnsi="宋体" w:cs="宋体"/>
          <w:szCs w:val="21"/>
        </w:rPr>
        <w:t>如遇“广西政府采购云平台”电子化开标或评审程序调整的，按调整后执行。</w:t>
      </w:r>
    </w:p>
    <w:p w14:paraId="0AA3CB63">
      <w:pPr>
        <w:pStyle w:val="6"/>
        <w:keepNext w:val="0"/>
        <w:keepLines w:val="0"/>
        <w:spacing w:line="400" w:lineRule="exact"/>
        <w:jc w:val="center"/>
        <w:rPr>
          <w:rFonts w:hint="eastAsia" w:ascii="宋体" w:hAnsi="宋体" w:cs="宋体"/>
          <w:sz w:val="21"/>
          <w:szCs w:val="21"/>
        </w:rPr>
      </w:pPr>
      <w:bookmarkStart w:id="144" w:name="_Toc99033081"/>
      <w:bookmarkStart w:id="145" w:name="_Toc30777"/>
      <w:r>
        <w:rPr>
          <w:rFonts w:hint="eastAsia" w:ascii="宋体" w:hAnsi="宋体" w:cs="宋体"/>
          <w:sz w:val="21"/>
          <w:szCs w:val="21"/>
        </w:rPr>
        <w:t>五、资格审查</w:t>
      </w:r>
      <w:bookmarkEnd w:id="144"/>
      <w:bookmarkEnd w:id="145"/>
    </w:p>
    <w:p w14:paraId="23341E95">
      <w:pPr>
        <w:spacing w:line="400" w:lineRule="exact"/>
        <w:ind w:firstLine="420" w:firstLineChars="200"/>
        <w:rPr>
          <w:rFonts w:hint="eastAsia" w:ascii="宋体" w:hAnsi="宋体" w:cs="宋体"/>
          <w:szCs w:val="21"/>
        </w:rPr>
      </w:pPr>
      <w:r>
        <w:rPr>
          <w:rFonts w:hint="eastAsia" w:ascii="宋体" w:hAnsi="宋体" w:cs="宋体"/>
          <w:szCs w:val="21"/>
        </w:rPr>
        <w:t>25.资格审查</w:t>
      </w:r>
    </w:p>
    <w:p w14:paraId="3A277E6C">
      <w:pPr>
        <w:spacing w:line="400" w:lineRule="exact"/>
        <w:ind w:firstLine="422" w:firstLineChars="200"/>
        <w:rPr>
          <w:rFonts w:hint="eastAsia" w:ascii="宋体" w:hAnsi="宋体" w:cs="宋体"/>
          <w:b/>
          <w:bCs/>
          <w:szCs w:val="21"/>
        </w:rPr>
      </w:pPr>
      <w:r>
        <w:rPr>
          <w:rFonts w:hint="eastAsia" w:ascii="宋体" w:hAnsi="宋体" w:cs="宋体"/>
          <w:b/>
          <w:bCs/>
          <w:szCs w:val="21"/>
        </w:rPr>
        <w:t>25.1开标结束后，采购人或者采购代理机构通过电子开评标系统依据招标文件对电子投标文件进行线上资格审查。</w:t>
      </w:r>
    </w:p>
    <w:p w14:paraId="4BF92FD5">
      <w:pPr>
        <w:spacing w:line="400" w:lineRule="exact"/>
        <w:ind w:firstLine="420" w:firstLineChars="200"/>
        <w:rPr>
          <w:rFonts w:hint="eastAsia" w:ascii="宋体" w:hAnsi="宋体" w:cs="宋体"/>
          <w:szCs w:val="21"/>
        </w:rPr>
      </w:pPr>
      <w:r>
        <w:rPr>
          <w:rFonts w:hint="eastAsia" w:ascii="宋体" w:hAnsi="宋体" w:cs="宋体"/>
          <w:szCs w:val="21"/>
        </w:rPr>
        <w:t>25.2资格审查标准为本招标文件中载明对投标人资格要求的条件。本项目资格审查采用合格制，凡符合招标文件规定的投标人资格要求的投标人均通过资格审查。</w:t>
      </w:r>
    </w:p>
    <w:p w14:paraId="39D0590A">
      <w:pPr>
        <w:spacing w:line="400" w:lineRule="exact"/>
        <w:ind w:firstLine="422" w:firstLineChars="200"/>
        <w:rPr>
          <w:rFonts w:hint="eastAsia" w:ascii="宋体" w:hAnsi="宋体" w:cs="宋体"/>
          <w:b/>
          <w:bCs/>
          <w:szCs w:val="21"/>
        </w:rPr>
      </w:pPr>
      <w:bookmarkStart w:id="146" w:name="_25.3_投标人有下列情形之一的，资格审查不通过而导致其投标无效："/>
      <w:bookmarkEnd w:id="146"/>
      <w:r>
        <w:rPr>
          <w:rFonts w:hint="eastAsia" w:ascii="宋体" w:hAnsi="宋体" w:cs="宋体"/>
          <w:b/>
          <w:bCs/>
          <w:szCs w:val="21"/>
        </w:rPr>
        <w:t>25.3投标人有下列情形之一的，资格审查不通过，作无效投标处理：</w:t>
      </w:r>
    </w:p>
    <w:p w14:paraId="100D84EF">
      <w:pPr>
        <w:spacing w:line="400" w:lineRule="exact"/>
        <w:ind w:firstLine="420" w:firstLineChars="200"/>
        <w:rPr>
          <w:rFonts w:hint="eastAsia" w:ascii="宋体" w:hAnsi="宋体" w:cs="宋体"/>
          <w:szCs w:val="21"/>
        </w:rPr>
      </w:pPr>
      <w:r>
        <w:rPr>
          <w:rFonts w:hint="eastAsia" w:ascii="宋体" w:hAnsi="宋体" w:cs="宋体"/>
          <w:szCs w:val="21"/>
        </w:rPr>
        <w:t xml:space="preserve">（1）不具备招标文件中规定的资格要求的； </w:t>
      </w:r>
    </w:p>
    <w:p w14:paraId="267F2C19">
      <w:pPr>
        <w:spacing w:line="400" w:lineRule="exact"/>
        <w:ind w:firstLine="420" w:firstLineChars="200"/>
        <w:rPr>
          <w:rFonts w:hint="eastAsia" w:ascii="宋体" w:hAnsi="宋体" w:cs="宋体"/>
          <w:szCs w:val="21"/>
        </w:rPr>
      </w:pPr>
      <w:r>
        <w:rPr>
          <w:rFonts w:hint="eastAsia" w:ascii="宋体" w:hAnsi="宋体" w:cs="宋体"/>
          <w:szCs w:val="21"/>
        </w:rPr>
        <w:t>（2）在“信用中国”网站（www.creditchina.gov.cn）、中国政府采购网（www.ccgp.gov.cn）被列入失信被执行人、重大税收违法失信主体名单、政府采购严重违法失信行为记录名单及其他不符合《中华人民共和国政府采购法》第二十二条规定条件的；（注：其中信用查询规则见“投标人须知前附表”，广西政府采购云平台已与“信用中国 ”网站、中国政府采购网实现数据对接，审查专家可直接在线查询）</w:t>
      </w:r>
    </w:p>
    <w:p w14:paraId="25968C2E">
      <w:pPr>
        <w:spacing w:line="400" w:lineRule="exact"/>
        <w:ind w:firstLine="420" w:firstLineChars="200"/>
        <w:rPr>
          <w:rFonts w:hint="eastAsia" w:ascii="宋体" w:hAnsi="宋体" w:cs="宋体"/>
          <w:szCs w:val="21"/>
        </w:rPr>
      </w:pPr>
      <w:r>
        <w:rPr>
          <w:rFonts w:hint="eastAsia" w:ascii="宋体" w:hAnsi="宋体" w:cs="宋体"/>
          <w:szCs w:val="21"/>
        </w:rPr>
        <w:t>（3）同一合同项下的不同投标人，单位负责人为同一人或者存在直接控股、管理关系的；为本项目提供过整体设计、规范编制或者项目管理、监理、检测等服务的投标人，再参加该采购项目的其他采购活动的；</w:t>
      </w:r>
    </w:p>
    <w:p w14:paraId="3AFDF3FA">
      <w:pPr>
        <w:spacing w:line="400" w:lineRule="exact"/>
        <w:ind w:firstLine="420" w:firstLineChars="200"/>
        <w:rPr>
          <w:rFonts w:hint="eastAsia" w:ascii="宋体" w:hAnsi="宋体" w:cs="宋体"/>
          <w:szCs w:val="21"/>
        </w:rPr>
      </w:pPr>
      <w:r>
        <w:rPr>
          <w:rFonts w:hint="eastAsia" w:ascii="宋体" w:hAnsi="宋体" w:cs="宋体"/>
          <w:szCs w:val="21"/>
        </w:rPr>
        <w:t>（4）投标文件未提供任一项“投标人须知前附表”资格证明文件规定的“必须提供”的文件资料的；</w:t>
      </w:r>
    </w:p>
    <w:p w14:paraId="6742EAEC">
      <w:pPr>
        <w:spacing w:line="400" w:lineRule="exact"/>
        <w:ind w:firstLine="420" w:firstLineChars="200"/>
        <w:rPr>
          <w:rFonts w:hint="eastAsia" w:ascii="宋体" w:hAnsi="宋体" w:cs="宋体"/>
          <w:szCs w:val="21"/>
        </w:rPr>
      </w:pPr>
      <w:r>
        <w:rPr>
          <w:rFonts w:hint="eastAsia" w:ascii="宋体" w:hAnsi="宋体" w:cs="宋体"/>
          <w:szCs w:val="21"/>
        </w:rPr>
        <w:t>（5）投标文件提供的资格证明文件出现任一项不符合“投标人须知前附表”资格证明文件规定的“必须提供”的文件资料要求或者无效的。</w:t>
      </w:r>
    </w:p>
    <w:p w14:paraId="724D4588">
      <w:pPr>
        <w:spacing w:line="400" w:lineRule="exact"/>
        <w:ind w:firstLine="420" w:firstLineChars="200"/>
        <w:rPr>
          <w:rFonts w:hint="eastAsia" w:ascii="宋体" w:hAnsi="宋体" w:cs="宋体"/>
          <w:szCs w:val="21"/>
        </w:rPr>
      </w:pPr>
      <w:r>
        <w:rPr>
          <w:rFonts w:hint="eastAsia" w:ascii="宋体" w:hAnsi="宋体" w:cs="宋体"/>
          <w:szCs w:val="21"/>
        </w:rPr>
        <w:t>25.5资格审查的合格投标人不足3家的，不得评标。</w:t>
      </w:r>
    </w:p>
    <w:p w14:paraId="4905DABC">
      <w:pPr>
        <w:pStyle w:val="6"/>
        <w:keepNext w:val="0"/>
        <w:keepLines w:val="0"/>
        <w:spacing w:line="400" w:lineRule="exact"/>
        <w:jc w:val="center"/>
        <w:rPr>
          <w:rFonts w:hint="eastAsia" w:ascii="宋体" w:hAnsi="宋体" w:cs="宋体"/>
          <w:sz w:val="21"/>
          <w:szCs w:val="21"/>
        </w:rPr>
      </w:pPr>
      <w:bookmarkStart w:id="147" w:name="_Toc99033082"/>
      <w:bookmarkStart w:id="148" w:name="_Toc16702"/>
      <w:r>
        <w:rPr>
          <w:rFonts w:hint="eastAsia" w:ascii="宋体" w:hAnsi="宋体" w:cs="宋体"/>
          <w:sz w:val="21"/>
          <w:szCs w:val="21"/>
        </w:rPr>
        <w:t>六、评   标</w:t>
      </w:r>
      <w:bookmarkEnd w:id="147"/>
      <w:bookmarkEnd w:id="148"/>
    </w:p>
    <w:p w14:paraId="20505AD6">
      <w:pPr>
        <w:spacing w:line="400" w:lineRule="exact"/>
        <w:ind w:firstLine="420" w:firstLineChars="200"/>
        <w:rPr>
          <w:rFonts w:hint="eastAsia" w:ascii="宋体" w:hAnsi="宋体" w:cs="宋体"/>
          <w:szCs w:val="21"/>
        </w:rPr>
      </w:pPr>
      <w:bookmarkStart w:id="149" w:name="_26.组建评标委员会"/>
      <w:bookmarkEnd w:id="149"/>
      <w:r>
        <w:rPr>
          <w:rFonts w:hint="eastAsia" w:ascii="宋体" w:hAnsi="宋体" w:cs="宋体"/>
          <w:szCs w:val="21"/>
        </w:rPr>
        <w:t>26.组建评标委员会</w:t>
      </w:r>
    </w:p>
    <w:p w14:paraId="6EAB2E7C">
      <w:pPr>
        <w:spacing w:line="400" w:lineRule="exact"/>
        <w:ind w:firstLine="420" w:firstLineChars="200"/>
        <w:rPr>
          <w:rFonts w:hint="eastAsia" w:ascii="宋体" w:hAnsi="宋体" w:cs="宋体"/>
          <w:szCs w:val="21"/>
        </w:rPr>
      </w:pPr>
      <w:r>
        <w:rPr>
          <w:rFonts w:hint="eastAsia" w:ascii="宋体" w:hAnsi="宋体" w:cs="宋体"/>
          <w:szCs w:val="21"/>
        </w:rPr>
        <w:t>26.1评标委员会由采购人代表和评审专家组成，人数为7人及以上单数，其中评审专家不得少于成员总数的三分之二。</w:t>
      </w:r>
    </w:p>
    <w:p w14:paraId="4F748CDA">
      <w:pPr>
        <w:spacing w:line="400" w:lineRule="exact"/>
        <w:ind w:firstLine="420" w:firstLineChars="200"/>
        <w:rPr>
          <w:rFonts w:hint="eastAsia" w:ascii="宋体" w:hAnsi="宋体" w:cs="宋体"/>
          <w:szCs w:val="21"/>
        </w:rPr>
      </w:pPr>
      <w:r>
        <w:rPr>
          <w:rFonts w:hint="eastAsia" w:ascii="宋体" w:hAnsi="宋体" w:cs="宋体"/>
          <w:szCs w:val="21"/>
        </w:rPr>
        <w:t>26.2参加过采购项目前期咨询论证的专家，不得参加该采购项目的评审活动。</w:t>
      </w:r>
    </w:p>
    <w:p w14:paraId="698174DE">
      <w:pPr>
        <w:spacing w:line="400" w:lineRule="exact"/>
        <w:ind w:firstLine="420" w:firstLineChars="200"/>
        <w:rPr>
          <w:rFonts w:hint="eastAsia" w:ascii="宋体" w:hAnsi="宋体" w:cs="宋体"/>
          <w:szCs w:val="21"/>
        </w:rPr>
      </w:pPr>
      <w:r>
        <w:rPr>
          <w:rFonts w:hint="eastAsia" w:ascii="宋体" w:hAnsi="宋体" w:cs="宋体"/>
          <w:szCs w:val="21"/>
        </w:rPr>
        <w:t>27.评标的依据</w:t>
      </w:r>
    </w:p>
    <w:p w14:paraId="48E53CC0">
      <w:pPr>
        <w:spacing w:line="400" w:lineRule="exact"/>
        <w:ind w:firstLine="420" w:firstLineChars="200"/>
        <w:rPr>
          <w:rFonts w:hint="eastAsia" w:ascii="宋体" w:hAnsi="宋体" w:cs="宋体"/>
          <w:szCs w:val="21"/>
        </w:rPr>
      </w:pPr>
      <w:r>
        <w:rPr>
          <w:rFonts w:hint="eastAsia" w:ascii="宋体" w:hAnsi="宋体" w:cs="宋体"/>
          <w:szCs w:val="21"/>
        </w:rPr>
        <w:t>评标委员会以招标文件为依据对投标文件进行评审，“第四章 评标方法和评标标准”没有规定的方法、评审因素和标准，不作为评标依据。</w:t>
      </w:r>
    </w:p>
    <w:p w14:paraId="34F07ACC">
      <w:pPr>
        <w:spacing w:line="400" w:lineRule="exact"/>
        <w:ind w:firstLine="420" w:firstLineChars="200"/>
        <w:rPr>
          <w:rFonts w:hint="eastAsia" w:ascii="宋体" w:hAnsi="宋体" w:cs="宋体"/>
          <w:szCs w:val="21"/>
        </w:rPr>
      </w:pPr>
      <w:r>
        <w:rPr>
          <w:rFonts w:hint="eastAsia" w:ascii="宋体" w:hAnsi="宋体" w:cs="宋体"/>
          <w:szCs w:val="21"/>
        </w:rPr>
        <w:t>28.评标原则</w:t>
      </w:r>
    </w:p>
    <w:p w14:paraId="1B02886D">
      <w:pPr>
        <w:spacing w:line="400" w:lineRule="exact"/>
        <w:ind w:firstLine="420" w:firstLineChars="200"/>
        <w:rPr>
          <w:rFonts w:hint="eastAsia" w:ascii="宋体" w:hAnsi="宋体" w:cs="宋体"/>
          <w:szCs w:val="21"/>
        </w:rPr>
      </w:pPr>
      <w:r>
        <w:rPr>
          <w:rFonts w:hint="eastAsia" w:ascii="宋体" w:hAnsi="宋体" w:cs="宋体"/>
          <w:szCs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80A9E3E">
      <w:pPr>
        <w:spacing w:line="400" w:lineRule="exact"/>
        <w:ind w:firstLine="420" w:firstLineChars="200"/>
        <w:rPr>
          <w:rFonts w:hint="eastAsia" w:ascii="宋体" w:hAnsi="宋体" w:cs="宋体"/>
          <w:szCs w:val="21"/>
        </w:rPr>
      </w:pPr>
      <w:r>
        <w:rPr>
          <w:rFonts w:hint="eastAsia" w:ascii="宋体" w:hAnsi="宋体" w:cs="宋体"/>
          <w:szCs w:val="21"/>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50" w:name="_28.3评标方法。本项目将按须知前附表规定的评标办法进行评标，具体评标"/>
      <w:bookmarkEnd w:id="150"/>
    </w:p>
    <w:p w14:paraId="64AA8C1D">
      <w:pPr>
        <w:spacing w:line="400" w:lineRule="exact"/>
        <w:ind w:firstLine="420" w:firstLineChars="200"/>
        <w:rPr>
          <w:rFonts w:hint="eastAsia" w:ascii="宋体" w:hAnsi="宋体" w:cs="宋体"/>
          <w:szCs w:val="21"/>
        </w:rPr>
      </w:pPr>
      <w:r>
        <w:rPr>
          <w:rFonts w:hint="eastAsia" w:ascii="宋体" w:hAnsi="宋体" w:cs="宋体"/>
          <w:szCs w:val="21"/>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9AACC06">
      <w:pPr>
        <w:spacing w:line="400" w:lineRule="exact"/>
        <w:ind w:firstLine="420" w:firstLineChars="200"/>
        <w:rPr>
          <w:rFonts w:hint="eastAsia" w:ascii="宋体" w:hAnsi="宋体" w:cs="宋体"/>
          <w:szCs w:val="21"/>
        </w:rPr>
      </w:pPr>
      <w:r>
        <w:rPr>
          <w:rFonts w:hint="eastAsia" w:ascii="宋体" w:hAnsi="宋体" w:cs="宋体"/>
          <w:szCs w:val="21"/>
        </w:rPr>
        <w:t>28.4评标过程的监控。本项目电子评标过程实行网上留痕、全程录音、录像监控，投标人在评标过程中所进行的试图影响评标结果的不公正活动，可能导致其投标按无效处理。</w:t>
      </w:r>
    </w:p>
    <w:p w14:paraId="70C81946">
      <w:pPr>
        <w:spacing w:line="400" w:lineRule="exact"/>
        <w:ind w:firstLine="420" w:firstLineChars="200"/>
        <w:rPr>
          <w:rFonts w:hint="eastAsia" w:ascii="宋体" w:hAnsi="宋体" w:cs="宋体"/>
          <w:szCs w:val="21"/>
        </w:rPr>
      </w:pPr>
      <w:r>
        <w:rPr>
          <w:rFonts w:hint="eastAsia" w:ascii="宋体" w:hAnsi="宋体" w:cs="宋体"/>
          <w:szCs w:val="21"/>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1F204C5">
      <w:pPr>
        <w:spacing w:line="400" w:lineRule="exact"/>
        <w:ind w:firstLine="420" w:firstLineChars="200"/>
        <w:rPr>
          <w:rFonts w:hint="eastAsia" w:ascii="宋体" w:hAnsi="宋体" w:cs="宋体"/>
          <w:szCs w:val="21"/>
        </w:rPr>
      </w:pPr>
      <w:r>
        <w:rPr>
          <w:rFonts w:hint="eastAsia" w:ascii="宋体" w:hAnsi="宋体" w:cs="宋体"/>
          <w:szCs w:val="21"/>
        </w:rPr>
        <w:t>29.评标方法及中标候选人推荐</w:t>
      </w:r>
    </w:p>
    <w:p w14:paraId="4797CA9B">
      <w:pPr>
        <w:spacing w:line="400" w:lineRule="exact"/>
        <w:ind w:firstLine="420" w:firstLineChars="200"/>
        <w:rPr>
          <w:rFonts w:hint="eastAsia" w:ascii="宋体" w:hAnsi="宋体" w:cs="宋体"/>
          <w:szCs w:val="21"/>
        </w:rPr>
      </w:pPr>
      <w:r>
        <w:rPr>
          <w:rFonts w:hint="eastAsia" w:ascii="宋体" w:hAnsi="宋体" w:cs="宋体"/>
          <w:szCs w:val="21"/>
        </w:rPr>
        <w:t>29.1本项目的评标方法详见“投标人须知前附表”。</w:t>
      </w:r>
    </w:p>
    <w:p w14:paraId="1C5E13E9">
      <w:pPr>
        <w:spacing w:line="400" w:lineRule="exact"/>
        <w:ind w:firstLine="420" w:firstLineChars="200"/>
        <w:rPr>
          <w:rFonts w:hint="eastAsia" w:ascii="宋体" w:hAnsi="宋体" w:cs="宋体"/>
          <w:szCs w:val="21"/>
        </w:rPr>
      </w:pPr>
      <w:r>
        <w:rPr>
          <w:rFonts w:hint="eastAsia" w:ascii="宋体" w:hAnsi="宋体" w:cs="宋体"/>
          <w:szCs w:val="21"/>
        </w:rPr>
        <w:t>29.2中标候选人推荐数量详见“投标人须知前附表”。</w:t>
      </w:r>
    </w:p>
    <w:p w14:paraId="3ED1621D">
      <w:pPr>
        <w:spacing w:line="400" w:lineRule="exact"/>
        <w:ind w:firstLine="420" w:firstLineChars="200"/>
        <w:rPr>
          <w:rFonts w:hint="eastAsia" w:ascii="宋体" w:hAnsi="宋体" w:cs="宋体"/>
          <w:szCs w:val="21"/>
        </w:rPr>
      </w:pPr>
      <w:r>
        <w:rPr>
          <w:rFonts w:hint="eastAsia" w:ascii="宋体" w:hAnsi="宋体" w:cs="宋体"/>
          <w:szCs w:val="21"/>
        </w:rPr>
        <w:t>29.3评标委员会将按照“第四章 评标方法和评标标准”规定的方法、评审因素、标准和程序对投标文件进行评审。</w:t>
      </w:r>
    </w:p>
    <w:p w14:paraId="3E2597C5">
      <w:pPr>
        <w:spacing w:line="400" w:lineRule="exact"/>
        <w:ind w:firstLine="420" w:firstLineChars="200"/>
        <w:rPr>
          <w:rFonts w:hint="eastAsia" w:ascii="宋体" w:hAnsi="宋体" w:cs="宋体"/>
          <w:szCs w:val="21"/>
        </w:rPr>
      </w:pPr>
      <w:r>
        <w:rPr>
          <w:rFonts w:hint="eastAsia" w:ascii="宋体" w:hAnsi="宋体" w:cs="宋体"/>
          <w:szCs w:val="21"/>
        </w:rPr>
        <w:t>29.4电子交易活动的中止。采购过程中出现以下情形，导致电子交易平台无法正常运行，或者无法保证电子交易的公平、公正和安全时，采购代理机构可中止电子交易活动：</w:t>
      </w:r>
    </w:p>
    <w:p w14:paraId="1999A9E6">
      <w:pPr>
        <w:spacing w:line="400" w:lineRule="exact"/>
        <w:ind w:firstLine="420" w:firstLineChars="200"/>
        <w:rPr>
          <w:rFonts w:hint="eastAsia" w:ascii="宋体" w:hAnsi="宋体" w:cs="宋体"/>
          <w:szCs w:val="21"/>
        </w:rPr>
      </w:pPr>
      <w:r>
        <w:rPr>
          <w:rFonts w:hint="eastAsia" w:ascii="宋体" w:hAnsi="宋体" w:cs="宋体"/>
          <w:szCs w:val="21"/>
        </w:rPr>
        <w:t xml:space="preserve">（1）电子交易平台发生故障而无法登录访问的； </w:t>
      </w:r>
    </w:p>
    <w:p w14:paraId="0CBDCA2A">
      <w:pPr>
        <w:spacing w:line="400" w:lineRule="exact"/>
        <w:ind w:firstLine="420" w:firstLineChars="200"/>
        <w:rPr>
          <w:rFonts w:hint="eastAsia" w:ascii="宋体" w:hAnsi="宋体" w:cs="宋体"/>
          <w:szCs w:val="21"/>
        </w:rPr>
      </w:pPr>
      <w:r>
        <w:rPr>
          <w:rFonts w:hint="eastAsia" w:ascii="宋体" w:hAnsi="宋体" w:cs="宋体"/>
          <w:szCs w:val="21"/>
        </w:rPr>
        <w:t>（2）电子交易平台应用或数据库出现错误，不能进行正常操作的；</w:t>
      </w:r>
    </w:p>
    <w:p w14:paraId="4B68D8AA">
      <w:pPr>
        <w:spacing w:line="400" w:lineRule="exact"/>
        <w:ind w:firstLine="420" w:firstLineChars="200"/>
        <w:rPr>
          <w:rFonts w:hint="eastAsia" w:ascii="宋体" w:hAnsi="宋体" w:cs="宋体"/>
          <w:szCs w:val="21"/>
        </w:rPr>
      </w:pPr>
      <w:r>
        <w:rPr>
          <w:rFonts w:hint="eastAsia" w:ascii="宋体" w:hAnsi="宋体" w:cs="宋体"/>
          <w:szCs w:val="21"/>
        </w:rPr>
        <w:t>（3）电子交易平台发现严重安全漏洞，有潜在泄密危险的；</w:t>
      </w:r>
    </w:p>
    <w:p w14:paraId="23FDD73E">
      <w:pPr>
        <w:spacing w:line="400" w:lineRule="exact"/>
        <w:ind w:firstLine="420" w:firstLineChars="200"/>
        <w:rPr>
          <w:rFonts w:hint="eastAsia" w:ascii="宋体" w:hAnsi="宋体" w:cs="宋体"/>
          <w:szCs w:val="21"/>
        </w:rPr>
      </w:pPr>
      <w:r>
        <w:rPr>
          <w:rFonts w:hint="eastAsia" w:ascii="宋体" w:hAnsi="宋体" w:cs="宋体"/>
          <w:szCs w:val="21"/>
        </w:rPr>
        <w:t xml:space="preserve">（4）病毒发作导致不能进行正常操作的； </w:t>
      </w:r>
    </w:p>
    <w:p w14:paraId="3BB82FCF">
      <w:pPr>
        <w:spacing w:line="400" w:lineRule="exact"/>
        <w:ind w:firstLine="420" w:firstLineChars="200"/>
        <w:rPr>
          <w:rFonts w:hint="eastAsia" w:ascii="宋体" w:hAnsi="宋体" w:cs="宋体"/>
          <w:szCs w:val="21"/>
        </w:rPr>
      </w:pPr>
      <w:r>
        <w:rPr>
          <w:rFonts w:hint="eastAsia" w:ascii="宋体" w:hAnsi="宋体" w:cs="宋体"/>
          <w:szCs w:val="21"/>
        </w:rPr>
        <w:t>（5）其他无法保证电子交易的公平、公正和安全的情况。</w:t>
      </w:r>
    </w:p>
    <w:p w14:paraId="23AEDA67">
      <w:pPr>
        <w:spacing w:line="400" w:lineRule="exact"/>
        <w:ind w:firstLine="420" w:firstLineChars="200"/>
        <w:rPr>
          <w:rFonts w:hint="eastAsia" w:ascii="宋体" w:hAnsi="宋体" w:cs="宋体"/>
          <w:szCs w:val="21"/>
        </w:rPr>
      </w:pPr>
      <w:r>
        <w:rPr>
          <w:rFonts w:hint="eastAsia" w:ascii="宋体" w:hAnsi="宋体" w:cs="宋体"/>
          <w:szCs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1BB53D58">
      <w:pPr>
        <w:pStyle w:val="6"/>
        <w:keepNext w:val="0"/>
        <w:keepLines w:val="0"/>
        <w:spacing w:line="400" w:lineRule="exact"/>
        <w:jc w:val="center"/>
        <w:rPr>
          <w:rFonts w:hint="eastAsia" w:ascii="宋体" w:hAnsi="宋体" w:cs="宋体"/>
          <w:sz w:val="21"/>
          <w:szCs w:val="21"/>
        </w:rPr>
      </w:pPr>
      <w:bookmarkStart w:id="151" w:name="_Toc254970687"/>
      <w:bookmarkStart w:id="152" w:name="_Toc254970546"/>
      <w:bookmarkStart w:id="153" w:name="_Toc99033083"/>
      <w:bookmarkStart w:id="154" w:name="_Toc26723"/>
      <w:r>
        <w:rPr>
          <w:rFonts w:hint="eastAsia" w:ascii="宋体" w:hAnsi="宋体" w:cs="宋体"/>
          <w:sz w:val="21"/>
          <w:szCs w:val="21"/>
        </w:rPr>
        <w:t>七、</w:t>
      </w:r>
      <w:bookmarkEnd w:id="151"/>
      <w:bookmarkEnd w:id="152"/>
      <w:r>
        <w:rPr>
          <w:rFonts w:hint="eastAsia" w:ascii="宋体" w:hAnsi="宋体" w:cs="宋体"/>
          <w:sz w:val="21"/>
          <w:szCs w:val="21"/>
        </w:rPr>
        <w:t>中标和合同</w:t>
      </w:r>
      <w:bookmarkEnd w:id="153"/>
      <w:bookmarkEnd w:id="154"/>
    </w:p>
    <w:p w14:paraId="5D687DBD">
      <w:pPr>
        <w:spacing w:line="400" w:lineRule="exact"/>
        <w:ind w:firstLine="420" w:firstLineChars="200"/>
        <w:rPr>
          <w:rFonts w:hint="eastAsia" w:ascii="宋体" w:hAnsi="宋体" w:cs="宋体"/>
          <w:szCs w:val="21"/>
        </w:rPr>
      </w:pPr>
      <w:r>
        <w:rPr>
          <w:rFonts w:hint="eastAsia" w:ascii="宋体" w:hAnsi="宋体" w:cs="宋体"/>
          <w:szCs w:val="21"/>
        </w:rPr>
        <w:t>30.确定中标人</w:t>
      </w:r>
    </w:p>
    <w:p w14:paraId="4282DE4A">
      <w:pPr>
        <w:spacing w:line="400" w:lineRule="exact"/>
        <w:ind w:firstLine="420" w:firstLineChars="200"/>
        <w:rPr>
          <w:rFonts w:hint="eastAsia" w:ascii="宋体" w:hAnsi="宋体" w:cs="宋体"/>
          <w:szCs w:val="21"/>
        </w:rPr>
      </w:pPr>
      <w:r>
        <w:rPr>
          <w:rFonts w:hint="eastAsia" w:ascii="宋体" w:hAnsi="宋体" w:cs="宋体"/>
          <w:szCs w:val="21"/>
        </w:rPr>
        <w:t>30.1本项目授权评标委员会直接按第四章“评标方法及标准”的规定排列中标候选人顺序，并依照次序确定中标人。</w:t>
      </w:r>
    </w:p>
    <w:p w14:paraId="59EE6EE0">
      <w:pPr>
        <w:spacing w:line="400" w:lineRule="exact"/>
        <w:ind w:firstLine="420" w:firstLineChars="200"/>
        <w:rPr>
          <w:rFonts w:hint="eastAsia" w:ascii="宋体" w:hAnsi="宋体" w:cs="宋体"/>
          <w:b/>
          <w:bCs/>
          <w:szCs w:val="21"/>
        </w:rPr>
      </w:pPr>
      <w:r>
        <w:rPr>
          <w:rFonts w:hint="eastAsia" w:ascii="宋体" w:hAnsi="宋体" w:cs="宋体"/>
          <w:szCs w:val="21"/>
        </w:rPr>
        <w:t>30.2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71A76D0">
      <w:pPr>
        <w:spacing w:line="400" w:lineRule="exact"/>
        <w:ind w:firstLine="420" w:firstLineChars="200"/>
        <w:rPr>
          <w:rFonts w:hint="eastAsia" w:ascii="宋体" w:hAnsi="宋体" w:cs="宋体"/>
          <w:szCs w:val="21"/>
        </w:rPr>
      </w:pPr>
      <w:r>
        <w:rPr>
          <w:rFonts w:hint="eastAsia" w:ascii="宋体" w:hAnsi="宋体" w:cs="宋体"/>
          <w:szCs w:val="21"/>
        </w:rPr>
        <w:t>30.3采购人在收到评标报告5个工作日内未按评标报告推荐的中标候选人顺序确定中标人，又不能说明合法理由的，视同按评标报告推荐的顺序确定排名第一的中标候选人为中标人。</w:t>
      </w:r>
    </w:p>
    <w:p w14:paraId="7C8AC4D4">
      <w:pPr>
        <w:spacing w:line="400" w:lineRule="exact"/>
        <w:ind w:firstLine="420" w:firstLineChars="200"/>
        <w:rPr>
          <w:rFonts w:hint="eastAsia" w:ascii="宋体" w:hAnsi="宋体" w:cs="宋体"/>
          <w:szCs w:val="21"/>
        </w:rPr>
      </w:pPr>
      <w:r>
        <w:rPr>
          <w:rFonts w:hint="eastAsia" w:ascii="宋体" w:hAnsi="宋体" w:cs="宋体"/>
          <w:szCs w:val="21"/>
        </w:rPr>
        <w:t>30.4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158ECABB">
      <w:pPr>
        <w:spacing w:line="400" w:lineRule="exact"/>
        <w:ind w:firstLine="420" w:firstLineChars="200"/>
        <w:rPr>
          <w:rFonts w:hint="eastAsia" w:ascii="宋体" w:hAnsi="宋体" w:cs="宋体"/>
          <w:szCs w:val="21"/>
        </w:rPr>
      </w:pPr>
      <w:r>
        <w:rPr>
          <w:rFonts w:hint="eastAsia" w:ascii="宋体" w:hAnsi="宋体" w:cs="宋体"/>
          <w:szCs w:val="21"/>
        </w:rPr>
        <w:t>30.5出现下列情形之一的，应予废标：</w:t>
      </w:r>
    </w:p>
    <w:p w14:paraId="2A9D0CAA">
      <w:pPr>
        <w:spacing w:line="400" w:lineRule="exact"/>
        <w:ind w:firstLine="420" w:firstLineChars="200"/>
        <w:rPr>
          <w:rFonts w:hint="eastAsia" w:ascii="宋体" w:hAnsi="宋体" w:cs="宋体"/>
          <w:szCs w:val="21"/>
        </w:rPr>
      </w:pPr>
      <w:r>
        <w:rPr>
          <w:rFonts w:hint="eastAsia" w:ascii="宋体" w:hAnsi="宋体" w:cs="宋体"/>
          <w:szCs w:val="21"/>
        </w:rPr>
        <w:t>（1）符合专业条件的投标人或者对招标文件作实质响应的投标人不足三家的；</w:t>
      </w:r>
    </w:p>
    <w:p w14:paraId="0A86BB69">
      <w:pPr>
        <w:spacing w:line="400" w:lineRule="exact"/>
        <w:ind w:firstLine="420" w:firstLineChars="200"/>
        <w:rPr>
          <w:rFonts w:hint="eastAsia" w:ascii="宋体" w:hAnsi="宋体" w:cs="宋体"/>
          <w:szCs w:val="21"/>
        </w:rPr>
      </w:pPr>
      <w:r>
        <w:rPr>
          <w:rFonts w:hint="eastAsia" w:ascii="宋体" w:hAnsi="宋体" w:cs="宋体"/>
          <w:szCs w:val="21"/>
        </w:rPr>
        <w:t>（2）出现影响采购公正的，违法、违规行为的；</w:t>
      </w:r>
    </w:p>
    <w:p w14:paraId="75314F06">
      <w:pPr>
        <w:spacing w:line="400" w:lineRule="exact"/>
        <w:ind w:firstLine="420" w:firstLineChars="200"/>
        <w:rPr>
          <w:rFonts w:hint="eastAsia" w:ascii="宋体" w:hAnsi="宋体" w:cs="宋体"/>
          <w:szCs w:val="21"/>
        </w:rPr>
      </w:pPr>
      <w:r>
        <w:rPr>
          <w:rFonts w:hint="eastAsia" w:ascii="宋体" w:hAnsi="宋体" w:cs="宋体"/>
          <w:szCs w:val="21"/>
        </w:rPr>
        <w:t>（3）投标人的报价均超过了采购预算，采购人不能支付的；</w:t>
      </w:r>
    </w:p>
    <w:p w14:paraId="2465CBDC">
      <w:pPr>
        <w:spacing w:line="400" w:lineRule="exact"/>
        <w:ind w:firstLine="420" w:firstLineChars="200"/>
        <w:rPr>
          <w:rFonts w:hint="eastAsia" w:ascii="宋体" w:hAnsi="宋体" w:cs="宋体"/>
          <w:szCs w:val="21"/>
        </w:rPr>
      </w:pPr>
      <w:r>
        <w:rPr>
          <w:rFonts w:hint="eastAsia" w:ascii="宋体" w:hAnsi="宋体" w:cs="宋体"/>
          <w:szCs w:val="21"/>
        </w:rPr>
        <w:t>（4）因重大变故，采购任务取消的。</w:t>
      </w:r>
    </w:p>
    <w:p w14:paraId="187347F8">
      <w:pPr>
        <w:spacing w:line="400" w:lineRule="exact"/>
        <w:ind w:firstLine="420" w:firstLineChars="200"/>
        <w:rPr>
          <w:rFonts w:hint="eastAsia" w:ascii="宋体" w:hAnsi="宋体" w:cs="宋体"/>
          <w:szCs w:val="21"/>
        </w:rPr>
      </w:pPr>
      <w:r>
        <w:rPr>
          <w:rFonts w:hint="eastAsia" w:ascii="宋体" w:hAnsi="宋体" w:cs="宋体"/>
          <w:szCs w:val="21"/>
        </w:rPr>
        <w:t>废标后，采购人应当将废标理由通知所有投标人。</w:t>
      </w:r>
    </w:p>
    <w:p w14:paraId="4B094FD2">
      <w:pPr>
        <w:spacing w:line="400" w:lineRule="exact"/>
        <w:ind w:firstLine="420" w:firstLineChars="200"/>
        <w:rPr>
          <w:rFonts w:hint="eastAsia" w:ascii="宋体" w:hAnsi="宋体" w:cs="宋体"/>
          <w:szCs w:val="21"/>
        </w:rPr>
      </w:pPr>
      <w:r>
        <w:rPr>
          <w:rFonts w:hint="eastAsia" w:ascii="宋体" w:hAnsi="宋体" w:cs="宋体"/>
          <w:szCs w:val="21"/>
        </w:rPr>
        <w:t>30.6中标供应商无正当理由拒签合同的，根据《中华人民共和国政府采购法》第七十七条第一款规定处理。</w:t>
      </w:r>
    </w:p>
    <w:p w14:paraId="4DD9FEED">
      <w:pPr>
        <w:spacing w:line="400" w:lineRule="exact"/>
        <w:ind w:firstLine="420" w:firstLineChars="200"/>
        <w:rPr>
          <w:rFonts w:hint="eastAsia" w:ascii="宋体" w:hAnsi="宋体" w:cs="宋体"/>
          <w:szCs w:val="21"/>
        </w:rPr>
      </w:pPr>
      <w:r>
        <w:rPr>
          <w:rFonts w:hint="eastAsia" w:ascii="宋体" w:hAnsi="宋体" w:cs="宋体"/>
          <w:szCs w:val="21"/>
        </w:rPr>
        <w:t>30.7中标人拒绝签订政府采购合同（包括但不限于放弃中标、因不可抗力不能履行合同而放弃签订合同），采购人可以按照评审报告推荐的中标候选人名单排序，确定下一候选人为中标投标人，也可以重新开展政府采购活动。拒绝签订政府采购合同的中标人不得参加对该项目重新开展的采购活动。</w:t>
      </w:r>
    </w:p>
    <w:p w14:paraId="33B1FA16">
      <w:pPr>
        <w:spacing w:line="400" w:lineRule="exact"/>
        <w:ind w:firstLine="420" w:firstLineChars="200"/>
        <w:rPr>
          <w:rFonts w:hint="eastAsia" w:ascii="宋体" w:hAnsi="宋体" w:cs="宋体"/>
          <w:szCs w:val="21"/>
        </w:rPr>
      </w:pPr>
      <w:r>
        <w:rPr>
          <w:rFonts w:hint="eastAsia" w:ascii="宋体" w:hAnsi="宋体" w:cs="宋体"/>
          <w:szCs w:val="21"/>
        </w:rPr>
        <w:t>30.8根据《中华人民共和国民法典》第五百六十三条，因不可抗力致使不能实现合同目的的，当事人可以解除合同。</w:t>
      </w:r>
    </w:p>
    <w:p w14:paraId="1C805F7C">
      <w:pPr>
        <w:spacing w:line="400" w:lineRule="exact"/>
        <w:ind w:firstLine="420" w:firstLineChars="200"/>
        <w:rPr>
          <w:rFonts w:hint="eastAsia" w:ascii="宋体" w:hAnsi="宋体" w:cs="宋体"/>
          <w:szCs w:val="21"/>
        </w:rPr>
      </w:pPr>
      <w:r>
        <w:rPr>
          <w:rFonts w:hint="eastAsia" w:ascii="宋体" w:hAnsi="宋体" w:cs="宋体"/>
          <w:szCs w:val="21"/>
        </w:rPr>
        <w:t>31. 结果公告</w:t>
      </w:r>
    </w:p>
    <w:p w14:paraId="41694B23">
      <w:pPr>
        <w:spacing w:line="400" w:lineRule="exact"/>
        <w:ind w:firstLine="420" w:firstLineChars="200"/>
        <w:rPr>
          <w:rFonts w:hint="eastAsia" w:ascii="宋体" w:hAnsi="宋体" w:cs="宋体"/>
          <w:szCs w:val="21"/>
        </w:rPr>
      </w:pPr>
      <w:r>
        <w:rPr>
          <w:rFonts w:hint="eastAsia" w:ascii="宋体" w:hAnsi="宋体" w:cs="宋体"/>
          <w:szCs w:val="21"/>
        </w:rPr>
        <w:t>31.1在中标供应商确定之日起2个工作日内，由采购代理机构</w:t>
      </w:r>
      <w:r>
        <w:rPr>
          <w:rFonts w:hint="eastAsia" w:ascii="宋体" w:hAnsi="宋体" w:cs="宋体"/>
          <w:b/>
          <w:szCs w:val="21"/>
        </w:rPr>
        <w:t>在招标公告发布媒体上</w:t>
      </w:r>
      <w:r>
        <w:rPr>
          <w:rFonts w:hint="eastAsia" w:ascii="宋体" w:hAnsi="宋体" w:cs="宋体"/>
          <w:szCs w:val="21"/>
        </w:rPr>
        <w:t>发布中标结果公告，中标结果公告期限为1个工作日，发布中标结果公告的同时向中标供应商发出中标通知书。</w:t>
      </w:r>
      <w:r>
        <w:rPr>
          <w:rFonts w:hint="eastAsia" w:ascii="宋体" w:hAnsi="宋体" w:cs="宋体"/>
          <w:b/>
          <w:szCs w:val="21"/>
        </w:rPr>
        <w:t>采购代理机构发出中标通知书前，应当对中标人信用进行核实，对列入失信被执行人、重大税收违法失信主体名单、政府采购严重违法失信行为记录名单及其他不符合《中华人民共和国政府采购法》第二十二条规定条件的投标人，取消其中标资格，并确定排名第二的中标候选人为中标人。</w:t>
      </w:r>
      <w:r>
        <w:rPr>
          <w:rFonts w:hint="eastAsia" w:ascii="宋体" w:hAnsi="宋体" w:cs="宋体"/>
          <w:szCs w:val="21"/>
        </w:rPr>
        <w:t>排名第二的中标候选人因前款规定的同样原因被取消中标资格的，授权的评标委员会可以确定排名第三的中标候选人为中标人，以此类推。</w:t>
      </w:r>
    </w:p>
    <w:p w14:paraId="19BC7045">
      <w:pPr>
        <w:spacing w:line="400" w:lineRule="exact"/>
        <w:ind w:firstLine="420" w:firstLineChars="200"/>
        <w:rPr>
          <w:rFonts w:hint="eastAsia" w:ascii="宋体" w:hAnsi="宋体" w:cs="宋体"/>
          <w:szCs w:val="21"/>
        </w:rPr>
      </w:pPr>
      <w:r>
        <w:rPr>
          <w:rFonts w:hint="eastAsia" w:ascii="宋体" w:hAnsi="宋体" w:cs="宋体"/>
          <w:szCs w:val="21"/>
        </w:rPr>
        <w:t>以上信息查询记录及相关证据与采购文件一并保存。</w:t>
      </w:r>
    </w:p>
    <w:p w14:paraId="356C20D7">
      <w:pPr>
        <w:spacing w:line="400" w:lineRule="exact"/>
        <w:ind w:firstLine="420" w:firstLineChars="200"/>
        <w:rPr>
          <w:rFonts w:hint="eastAsia" w:ascii="宋体" w:hAnsi="宋体" w:cs="宋体"/>
          <w:szCs w:val="21"/>
        </w:rPr>
      </w:pPr>
      <w:r>
        <w:rPr>
          <w:rFonts w:hint="eastAsia" w:ascii="宋体" w:hAnsi="宋体" w:cs="宋体"/>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2E1B7A24">
      <w:pPr>
        <w:spacing w:line="400" w:lineRule="exact"/>
        <w:ind w:firstLine="420" w:firstLineChars="200"/>
        <w:rPr>
          <w:rFonts w:hint="eastAsia" w:ascii="宋体" w:hAnsi="宋体" w:cs="宋体"/>
          <w:szCs w:val="21"/>
        </w:rPr>
      </w:pPr>
      <w:r>
        <w:rPr>
          <w:rFonts w:hint="eastAsia" w:ascii="宋体" w:hAnsi="宋体" w:cs="宋体"/>
          <w:szCs w:val="21"/>
        </w:rPr>
        <w:t>32.发出中标通知书</w:t>
      </w:r>
    </w:p>
    <w:p w14:paraId="354A1580">
      <w:pPr>
        <w:spacing w:line="400" w:lineRule="exact"/>
        <w:ind w:firstLine="420" w:firstLineChars="200"/>
        <w:rPr>
          <w:rFonts w:hint="eastAsia" w:ascii="宋体" w:hAnsi="宋体" w:cs="宋体"/>
          <w:szCs w:val="21"/>
        </w:rPr>
      </w:pPr>
      <w:r>
        <w:rPr>
          <w:rFonts w:hint="eastAsia" w:ascii="宋体" w:hAnsi="宋体" w:cs="宋体"/>
          <w:szCs w:val="21"/>
        </w:rPr>
        <w:t>32.1在发布中标公告的同时，采购代理机构向中标人通过“广西政府采购云平台”发出电子中标通知书。</w:t>
      </w:r>
    </w:p>
    <w:p w14:paraId="30966B1A">
      <w:pPr>
        <w:spacing w:line="400" w:lineRule="exact"/>
        <w:ind w:firstLine="420" w:firstLineChars="200"/>
        <w:rPr>
          <w:rFonts w:hint="eastAsia" w:ascii="宋体" w:hAnsi="宋体" w:cs="宋体"/>
          <w:b/>
          <w:szCs w:val="21"/>
        </w:rPr>
      </w:pPr>
      <w:r>
        <w:rPr>
          <w:rFonts w:hint="eastAsia" w:ascii="宋体" w:hAnsi="宋体" w:cs="宋体"/>
          <w:szCs w:val="21"/>
        </w:rPr>
        <w:t>32.2对未通过资格审查的投标人，采购人或采购机构应当告知其未通过的原因；采用综合评分办法评审的，采购人或采购机构还应当告知未中标人本人的评审得分与排序。</w:t>
      </w:r>
    </w:p>
    <w:p w14:paraId="38BCAF63">
      <w:pPr>
        <w:spacing w:line="400" w:lineRule="exact"/>
        <w:ind w:firstLine="420" w:firstLineChars="200"/>
        <w:rPr>
          <w:rFonts w:hint="eastAsia" w:ascii="宋体" w:hAnsi="宋体" w:cs="宋体"/>
          <w:szCs w:val="21"/>
        </w:rPr>
      </w:pPr>
      <w:r>
        <w:rPr>
          <w:rFonts w:hint="eastAsia" w:ascii="宋体" w:hAnsi="宋体" w:cs="宋体"/>
          <w:szCs w:val="21"/>
        </w:rPr>
        <w:t>33. 无义务解释未中标原因</w:t>
      </w:r>
    </w:p>
    <w:p w14:paraId="14CD1B9B">
      <w:pPr>
        <w:spacing w:line="400" w:lineRule="exact"/>
        <w:ind w:firstLine="422" w:firstLineChars="200"/>
        <w:rPr>
          <w:rFonts w:hint="eastAsia" w:ascii="宋体" w:hAnsi="宋体" w:cs="宋体"/>
          <w:b/>
          <w:szCs w:val="21"/>
        </w:rPr>
      </w:pPr>
      <w:r>
        <w:rPr>
          <w:rFonts w:hint="eastAsia" w:ascii="宋体" w:hAnsi="宋体" w:cs="宋体"/>
          <w:b/>
          <w:szCs w:val="21"/>
        </w:rPr>
        <w:t>采购代理机构无义务向未中标的投标人解释未中标原因和退还投标文件。</w:t>
      </w:r>
    </w:p>
    <w:p w14:paraId="469E9CDA">
      <w:pPr>
        <w:spacing w:line="400" w:lineRule="exact"/>
        <w:ind w:firstLine="420" w:firstLineChars="200"/>
        <w:rPr>
          <w:rFonts w:hint="eastAsia" w:ascii="宋体" w:hAnsi="宋体" w:cs="宋体"/>
          <w:szCs w:val="21"/>
        </w:rPr>
      </w:pPr>
      <w:r>
        <w:rPr>
          <w:rFonts w:hint="eastAsia" w:ascii="宋体" w:hAnsi="宋体" w:cs="宋体"/>
          <w:szCs w:val="21"/>
        </w:rPr>
        <w:t>34.合同授予标准</w:t>
      </w:r>
    </w:p>
    <w:p w14:paraId="52D2B43A">
      <w:pPr>
        <w:spacing w:line="400" w:lineRule="exact"/>
        <w:ind w:firstLine="420" w:firstLineChars="200"/>
        <w:rPr>
          <w:rFonts w:hint="eastAsia" w:ascii="宋体" w:hAnsi="宋体" w:cs="宋体"/>
          <w:szCs w:val="21"/>
        </w:rPr>
      </w:pPr>
      <w:r>
        <w:rPr>
          <w:rFonts w:hint="eastAsia" w:ascii="宋体" w:hAnsi="宋体" w:cs="宋体"/>
          <w:szCs w:val="21"/>
        </w:rPr>
        <w:t>合同将授予被确定实质上响应招标文件要求，具备履行合同能力的中标人（招标文件另有约定多名中标人的除外）。</w:t>
      </w:r>
    </w:p>
    <w:p w14:paraId="1A4EEAA1">
      <w:pPr>
        <w:spacing w:line="400" w:lineRule="exact"/>
        <w:ind w:firstLine="420" w:firstLineChars="200"/>
        <w:rPr>
          <w:rFonts w:hint="eastAsia" w:ascii="宋体" w:hAnsi="宋体" w:cs="宋体"/>
          <w:szCs w:val="21"/>
        </w:rPr>
      </w:pPr>
      <w:r>
        <w:rPr>
          <w:rFonts w:hint="eastAsia" w:ascii="宋体" w:hAnsi="宋体" w:cs="宋体"/>
          <w:szCs w:val="21"/>
        </w:rPr>
        <w:t>35.履约保证金</w:t>
      </w:r>
    </w:p>
    <w:p w14:paraId="6F0A3F57">
      <w:pPr>
        <w:adjustRightInd w:val="0"/>
        <w:snapToGrid w:val="0"/>
        <w:spacing w:line="400" w:lineRule="exact"/>
        <w:ind w:firstLine="420" w:firstLineChars="200"/>
        <w:rPr>
          <w:rFonts w:hint="eastAsia" w:ascii="宋体" w:hAnsi="宋体" w:cs="宋体"/>
          <w:kern w:val="0"/>
          <w:szCs w:val="21"/>
          <w:lang w:val="zh-CN"/>
        </w:rPr>
      </w:pPr>
      <w:bookmarkStart w:id="155" w:name="_39.1中标人须于签订合同前按本须知前附表规定的金额转账或电汇到指定账"/>
      <w:bookmarkEnd w:id="155"/>
      <w:r>
        <w:rPr>
          <w:rFonts w:hint="eastAsia" w:ascii="宋体" w:hAnsi="宋体" w:cs="宋体"/>
          <w:kern w:val="0"/>
          <w:szCs w:val="21"/>
          <w:lang w:val="zh-CN"/>
        </w:rPr>
        <w:t>见“投标人须知前附表”。</w:t>
      </w:r>
    </w:p>
    <w:p w14:paraId="69EAA914">
      <w:pPr>
        <w:spacing w:line="400" w:lineRule="exact"/>
        <w:ind w:firstLine="420" w:firstLineChars="200"/>
        <w:rPr>
          <w:rFonts w:hint="eastAsia" w:ascii="宋体" w:hAnsi="宋体" w:cs="宋体"/>
          <w:szCs w:val="21"/>
        </w:rPr>
      </w:pPr>
      <w:r>
        <w:rPr>
          <w:rFonts w:hint="eastAsia" w:ascii="宋体" w:hAnsi="宋体" w:cs="宋体"/>
          <w:szCs w:val="21"/>
        </w:rPr>
        <w:t>36.签订合同</w:t>
      </w:r>
    </w:p>
    <w:p w14:paraId="02A87C2F">
      <w:pPr>
        <w:spacing w:line="400" w:lineRule="exact"/>
        <w:ind w:firstLine="420" w:firstLineChars="200"/>
        <w:rPr>
          <w:rFonts w:hint="eastAsia" w:ascii="宋体" w:hAnsi="宋体" w:cs="宋体"/>
          <w:szCs w:val="21"/>
          <w:lang w:val="zh-CN"/>
        </w:rPr>
      </w:pPr>
      <w:bookmarkStart w:id="156" w:name="_40.1投标人接到中标通知书后，按须知前附表规定向采购人出示相关资格证"/>
      <w:bookmarkEnd w:id="156"/>
      <w:r>
        <w:rPr>
          <w:rFonts w:hint="eastAsia" w:ascii="宋体" w:hAnsi="宋体" w:cs="宋体"/>
          <w:szCs w:val="21"/>
        </w:rPr>
        <w:t xml:space="preserve"> 36.1中标人领取中标通知书（书面或电子）后，按“投标人须知前附表”规定向采购人出示相关证明材料，经采购人核验合格后方可签订采购合同（书面或电子）。如中标人为联合体的，联合体各方就采购合同约定的事项对采购人承担连带责任。电子采购合同由采购人与中标供应商根据招标文件、投标文件等内容通过广西政府采购云平台电子交易平台在线签订，自动备案。</w:t>
      </w:r>
    </w:p>
    <w:p w14:paraId="1FADEAE0">
      <w:pPr>
        <w:spacing w:line="400" w:lineRule="exact"/>
        <w:ind w:firstLine="420" w:firstLineChars="200"/>
        <w:rPr>
          <w:rFonts w:hint="eastAsia" w:ascii="宋体" w:hAnsi="宋体" w:cs="宋体"/>
          <w:szCs w:val="21"/>
        </w:rPr>
      </w:pPr>
      <w:r>
        <w:rPr>
          <w:rFonts w:hint="eastAsia" w:ascii="宋体" w:hAnsi="宋体" w:cs="宋体"/>
          <w:szCs w:val="21"/>
        </w:rPr>
        <w:t>36.2签订合同时间：按中标通知书规定的时间与采购人签订合同（最长不能超过25日）。</w:t>
      </w:r>
    </w:p>
    <w:p w14:paraId="468AADBC">
      <w:pPr>
        <w:spacing w:line="400" w:lineRule="exact"/>
        <w:ind w:firstLine="420" w:firstLineChars="200"/>
        <w:rPr>
          <w:rFonts w:hint="eastAsia" w:ascii="宋体" w:hAnsi="宋体" w:cs="宋体"/>
          <w:szCs w:val="21"/>
        </w:rPr>
      </w:pPr>
      <w:r>
        <w:rPr>
          <w:rFonts w:hint="eastAsia" w:ascii="宋体" w:hAnsi="宋体" w:cs="宋体"/>
          <w:szCs w:val="21"/>
        </w:rPr>
        <w:t>36.3中标人拒绝与采购人签订合同的，采购人可以按照评审报告推荐的中标候选人名单排序，确定下一候选人为中标人，也可以重新开展政府采购活动。中标人放弃中标项目，拒绝与采购人签订合同的，其投标保证金将不予退还，并上缴国库，给采购人造成损失的，还应当赔偿损失，并作为不良行为记录在案。如采购人无正当理由拒签合同的，给中标人造成损失的，中标人可追究采购人承担相应的法律责任。</w:t>
      </w:r>
    </w:p>
    <w:p w14:paraId="2A0A66F0">
      <w:pPr>
        <w:spacing w:line="400" w:lineRule="exact"/>
        <w:ind w:firstLine="420" w:firstLineChars="200"/>
        <w:rPr>
          <w:rFonts w:hint="eastAsia" w:ascii="宋体" w:hAnsi="宋体" w:cs="宋体"/>
          <w:szCs w:val="21"/>
        </w:rPr>
      </w:pPr>
      <w:r>
        <w:rPr>
          <w:rFonts w:hint="eastAsia" w:ascii="宋体" w:hAnsi="宋体" w:cs="宋体"/>
          <w:szCs w:val="21"/>
        </w:rPr>
        <w:t>36.4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730981A">
      <w:pPr>
        <w:spacing w:line="400" w:lineRule="exact"/>
        <w:ind w:firstLine="420" w:firstLineChars="200"/>
        <w:rPr>
          <w:rFonts w:hint="eastAsia" w:ascii="宋体" w:hAnsi="宋体" w:cs="宋体"/>
          <w:szCs w:val="21"/>
        </w:rPr>
      </w:pPr>
      <w:r>
        <w:rPr>
          <w:rFonts w:hint="eastAsia" w:ascii="宋体" w:hAnsi="宋体" w:cs="宋体"/>
          <w:szCs w:val="21"/>
        </w:rPr>
        <w:t>36.5采购人或中标人不得单方面向合同另一方提出任何招标文件没有约定的条件或不合理的要求，作为签订合同的条件；也不得协商另行订立背离招标文件和合同实质性内容的协议。</w:t>
      </w:r>
    </w:p>
    <w:p w14:paraId="4312E6A3">
      <w:pPr>
        <w:spacing w:line="400" w:lineRule="exact"/>
        <w:ind w:firstLine="420" w:firstLineChars="200"/>
        <w:rPr>
          <w:rFonts w:hint="eastAsia" w:ascii="宋体" w:hAnsi="宋体" w:cs="宋体"/>
          <w:szCs w:val="21"/>
        </w:rPr>
      </w:pPr>
      <w:r>
        <w:rPr>
          <w:rFonts w:hint="eastAsia" w:ascii="宋体" w:hAnsi="宋体" w:cs="宋体"/>
          <w:szCs w:val="21"/>
        </w:rPr>
        <w:t>36.6如签订合同并生效后，中标供应商无故拒绝或延期，除按照合同条款处理外，将承担相应的法律责任。</w:t>
      </w:r>
    </w:p>
    <w:p w14:paraId="1689FAF2">
      <w:pPr>
        <w:spacing w:line="400" w:lineRule="exact"/>
        <w:ind w:firstLine="422" w:firstLineChars="200"/>
        <w:rPr>
          <w:rFonts w:hint="eastAsia" w:ascii="宋体" w:hAnsi="宋体" w:cs="宋体"/>
          <w:b/>
          <w:szCs w:val="21"/>
        </w:rPr>
      </w:pPr>
      <w:r>
        <w:rPr>
          <w:rFonts w:hint="eastAsia" w:ascii="宋体" w:hAnsi="宋体" w:cs="宋体"/>
          <w:b/>
          <w:szCs w:val="21"/>
        </w:rPr>
        <w:t>36.7采购人需追加与合同标的相同的货物或者服务的，在不改变原合同条款且已报财政部门批准落实资金的前提下，可从原中标供应商处添购，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68E8C96F">
      <w:pPr>
        <w:spacing w:line="400" w:lineRule="exact"/>
        <w:ind w:firstLine="420" w:firstLineChars="200"/>
        <w:rPr>
          <w:rFonts w:hint="eastAsia" w:ascii="宋体" w:hAnsi="宋体" w:cs="宋体"/>
          <w:szCs w:val="21"/>
        </w:rPr>
      </w:pPr>
      <w:bookmarkStart w:id="157" w:name="_41.政府采购合同公告"/>
      <w:bookmarkEnd w:id="157"/>
      <w:r>
        <w:rPr>
          <w:rFonts w:hint="eastAsia" w:ascii="宋体" w:hAnsi="宋体" w:cs="宋体"/>
          <w:szCs w:val="21"/>
        </w:rPr>
        <w:t>37.政府采购合同公告</w:t>
      </w:r>
    </w:p>
    <w:p w14:paraId="1BD42443">
      <w:pPr>
        <w:spacing w:line="400" w:lineRule="exact"/>
        <w:ind w:firstLine="420" w:firstLineChars="200"/>
        <w:rPr>
          <w:rFonts w:hint="eastAsia" w:ascii="宋体" w:hAnsi="宋体" w:cs="宋体"/>
          <w:szCs w:val="21"/>
        </w:rPr>
      </w:pPr>
      <w:r>
        <w:rPr>
          <w:rFonts w:hint="eastAsia" w:ascii="宋体" w:hAnsi="宋体" w:cs="宋体"/>
          <w:szCs w:val="21"/>
        </w:rPr>
        <w:t>采购人或者受托采购代理机构应当自政府采购合同签订之日起2个工作日内，将政府采购合同</w:t>
      </w:r>
      <w:r>
        <w:rPr>
          <w:rFonts w:hint="eastAsia" w:ascii="宋体" w:hAnsi="宋体" w:cs="宋体"/>
          <w:bCs/>
          <w:szCs w:val="21"/>
        </w:rPr>
        <w:t>在以下媒体上发布</w:t>
      </w:r>
      <w:r>
        <w:rPr>
          <w:rFonts w:hint="eastAsia" w:ascii="宋体" w:hAnsi="宋体" w:cs="宋体"/>
          <w:kern w:val="0"/>
          <w:szCs w:val="21"/>
        </w:rPr>
        <w:t xml:space="preserve"> “广西政府采购网”（http://zfcg.gxzf.gov.cn）</w:t>
      </w:r>
      <w:r>
        <w:rPr>
          <w:rFonts w:hint="eastAsia" w:ascii="宋体" w:hAnsi="宋体" w:cs="宋体"/>
          <w:szCs w:val="21"/>
        </w:rPr>
        <w:t>上公告，但政府采购合同中涉及国家秘密、商业秘密的内容除外。</w:t>
      </w:r>
    </w:p>
    <w:p w14:paraId="270AE9F2">
      <w:pPr>
        <w:spacing w:line="400" w:lineRule="exact"/>
        <w:ind w:firstLine="420" w:firstLineChars="200"/>
        <w:rPr>
          <w:rFonts w:hint="eastAsia" w:ascii="宋体" w:hAnsi="宋体" w:cs="宋体"/>
          <w:szCs w:val="21"/>
        </w:rPr>
      </w:pPr>
      <w:r>
        <w:rPr>
          <w:rFonts w:hint="eastAsia" w:ascii="宋体" w:hAnsi="宋体" w:cs="宋体"/>
          <w:szCs w:val="21"/>
        </w:rPr>
        <w:t>38. 询问、质疑和投诉</w:t>
      </w:r>
    </w:p>
    <w:p w14:paraId="09475624">
      <w:pPr>
        <w:spacing w:line="400" w:lineRule="exact"/>
        <w:ind w:firstLine="422" w:firstLineChars="200"/>
        <w:rPr>
          <w:rFonts w:hint="eastAsia" w:ascii="宋体" w:hAnsi="宋体" w:cs="宋体"/>
          <w:b/>
          <w:szCs w:val="21"/>
        </w:rPr>
      </w:pPr>
      <w:r>
        <w:rPr>
          <w:rFonts w:hint="eastAsia" w:ascii="宋体" w:hAnsi="宋体" w:cs="宋体"/>
          <w:b/>
          <w:szCs w:val="21"/>
        </w:rPr>
        <w:t>38.1询问</w:t>
      </w:r>
    </w:p>
    <w:p w14:paraId="69D7A70D">
      <w:pPr>
        <w:spacing w:line="400" w:lineRule="exact"/>
        <w:ind w:firstLine="420" w:firstLineChars="200"/>
        <w:rPr>
          <w:rFonts w:hint="eastAsia" w:ascii="宋体" w:hAnsi="宋体" w:cs="宋体"/>
          <w:bCs/>
          <w:szCs w:val="21"/>
        </w:rPr>
      </w:pPr>
      <w:r>
        <w:rPr>
          <w:rFonts w:hint="eastAsia" w:ascii="宋体" w:hAnsi="宋体" w:cs="宋体"/>
          <w:bCs/>
          <w:szCs w:val="21"/>
        </w:rPr>
        <w:t>38.1.1投标人在开标前对政府采购活动事项有疑问的，可以向采购人或采购代理机构项目负责人提出询问。</w:t>
      </w:r>
    </w:p>
    <w:p w14:paraId="01098B17">
      <w:pPr>
        <w:spacing w:line="400" w:lineRule="exact"/>
        <w:ind w:firstLine="420" w:firstLineChars="200"/>
        <w:rPr>
          <w:rFonts w:hint="eastAsia" w:ascii="宋体" w:hAnsi="宋体" w:cs="宋体"/>
          <w:bCs/>
          <w:szCs w:val="21"/>
        </w:rPr>
      </w:pPr>
      <w:r>
        <w:rPr>
          <w:rFonts w:hint="eastAsia" w:ascii="宋体" w:hAnsi="宋体" w:cs="宋体"/>
          <w:bCs/>
          <w:szCs w:val="21"/>
        </w:rPr>
        <w:t>38.1.2采购人或采购人委托的采购代理机构自受理询问之日起3个工作日内对投标人依法提出的询问作出答复，</w:t>
      </w:r>
      <w:r>
        <w:rPr>
          <w:rFonts w:hint="eastAsia" w:ascii="宋体" w:hAnsi="宋体" w:cs="宋体"/>
          <w:szCs w:val="21"/>
        </w:rPr>
        <w:t>但答复内容不得涉及商业秘密</w:t>
      </w:r>
      <w:r>
        <w:rPr>
          <w:rFonts w:hint="eastAsia" w:ascii="宋体" w:hAnsi="宋体" w:cs="宋体"/>
          <w:bCs/>
          <w:szCs w:val="21"/>
        </w:rPr>
        <w:t>。</w:t>
      </w:r>
    </w:p>
    <w:p w14:paraId="324E4167">
      <w:pPr>
        <w:spacing w:line="400" w:lineRule="exact"/>
        <w:ind w:firstLine="420" w:firstLineChars="200"/>
        <w:rPr>
          <w:rFonts w:hint="eastAsia" w:ascii="宋体" w:hAnsi="宋体" w:cs="宋体"/>
          <w:bCs/>
          <w:szCs w:val="21"/>
        </w:rPr>
      </w:pPr>
      <w:r>
        <w:rPr>
          <w:rFonts w:hint="eastAsia" w:ascii="宋体" w:hAnsi="宋体" w:cs="宋体"/>
          <w:bCs/>
          <w:szCs w:val="21"/>
        </w:rPr>
        <w:t>38.1.3 询问事项可能影响中标、成交结果的，采购人应当暂停签订合同，已经签订合同的，应当中止履行合同。</w:t>
      </w:r>
    </w:p>
    <w:p w14:paraId="58819AA4">
      <w:pPr>
        <w:spacing w:line="400" w:lineRule="exact"/>
        <w:ind w:firstLine="420" w:firstLineChars="200"/>
        <w:rPr>
          <w:rFonts w:hint="eastAsia" w:ascii="宋体" w:hAnsi="宋体" w:cs="宋体"/>
          <w:szCs w:val="21"/>
        </w:rPr>
      </w:pPr>
      <w:r>
        <w:rPr>
          <w:rFonts w:hint="eastAsia" w:ascii="宋体" w:hAnsi="宋体" w:cs="宋体"/>
          <w:szCs w:val="21"/>
        </w:rPr>
        <w:t>38.2质疑</w:t>
      </w:r>
    </w:p>
    <w:p w14:paraId="0FA6C96F">
      <w:pPr>
        <w:spacing w:line="400" w:lineRule="exact"/>
        <w:ind w:firstLine="420" w:firstLineChars="200"/>
        <w:rPr>
          <w:rFonts w:hint="eastAsia" w:ascii="宋体" w:hAnsi="宋体" w:cs="宋体"/>
          <w:b/>
          <w:szCs w:val="21"/>
        </w:rPr>
      </w:pPr>
      <w:r>
        <w:rPr>
          <w:rFonts w:hint="eastAsia" w:ascii="宋体" w:hAnsi="宋体" w:cs="宋体"/>
          <w:szCs w:val="21"/>
        </w:rPr>
        <w:t>38.2.1</w:t>
      </w:r>
      <w:r>
        <w:rPr>
          <w:rFonts w:hint="eastAsia" w:ascii="宋体" w:hAnsi="宋体" w:cs="宋体"/>
          <w:b/>
          <w:szCs w:val="21"/>
        </w:rPr>
        <w:t xml:space="preserve">投标人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2A6B4514">
      <w:pPr>
        <w:spacing w:line="400" w:lineRule="exact"/>
        <w:ind w:firstLine="420" w:firstLineChars="200"/>
        <w:rPr>
          <w:rFonts w:hint="eastAsia" w:ascii="宋体" w:hAnsi="宋体" w:cs="宋体"/>
          <w:bCs/>
          <w:szCs w:val="21"/>
        </w:rPr>
      </w:pPr>
      <w:r>
        <w:rPr>
          <w:rFonts w:hint="eastAsia" w:ascii="宋体" w:hAnsi="宋体" w:cs="宋体"/>
          <w:bCs/>
          <w:szCs w:val="21"/>
        </w:rPr>
        <w:t>（1）潜在投标人依法获取公开招标文件后，认为采购文件使自己的权益受到损害的，应当在公开招标文件公告期限届满之日起7个工作日内提出质疑。</w:t>
      </w:r>
      <w:r>
        <w:rPr>
          <w:rFonts w:hint="eastAsia" w:ascii="宋体" w:hAnsi="宋体" w:cs="宋体"/>
          <w:szCs w:val="21"/>
        </w:rPr>
        <w:t>委托代理协议无特殊约定的，</w:t>
      </w:r>
      <w:r>
        <w:rPr>
          <w:rFonts w:hint="eastAsia" w:ascii="宋体" w:hAnsi="宋体" w:cs="宋体"/>
          <w:bCs/>
          <w:szCs w:val="21"/>
        </w:rPr>
        <w:t>对公开招标文件中采购需求（含资格要求、采购预算和评分办法）的质疑由采购人受理并负责答复；对公开招标文件中的采购执行程序的质疑由采购代理机构受理并负责答复。</w:t>
      </w:r>
    </w:p>
    <w:p w14:paraId="5DD1E835">
      <w:pPr>
        <w:spacing w:line="400" w:lineRule="exact"/>
        <w:ind w:firstLine="420" w:firstLineChars="200"/>
        <w:rPr>
          <w:rFonts w:hint="eastAsia" w:ascii="宋体" w:hAnsi="宋体" w:cs="宋体"/>
          <w:bCs/>
          <w:szCs w:val="21"/>
        </w:rPr>
      </w:pPr>
      <w:r>
        <w:rPr>
          <w:rFonts w:hint="eastAsia" w:ascii="宋体" w:hAnsi="宋体" w:cs="宋体"/>
          <w:bCs/>
          <w:szCs w:val="21"/>
        </w:rPr>
        <w:t>（2）投标人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76D53A90">
      <w:pPr>
        <w:spacing w:line="400" w:lineRule="exact"/>
        <w:ind w:firstLine="420" w:firstLineChars="200"/>
        <w:rPr>
          <w:rFonts w:hint="eastAsia" w:ascii="宋体" w:hAnsi="宋体" w:cs="宋体"/>
          <w:bCs/>
          <w:szCs w:val="21"/>
        </w:rPr>
      </w:pPr>
      <w:r>
        <w:rPr>
          <w:rFonts w:hint="eastAsia" w:ascii="宋体" w:hAnsi="宋体" w:cs="宋体"/>
          <w:bCs/>
          <w:szCs w:val="21"/>
        </w:rPr>
        <w:t>（3）投标人认为中标或者成交结果使自己的权益受到损害的，应当在中标或者成交结果公告期限届满之日起7个工作日内提出质疑，由采购人受理并负责答复。</w:t>
      </w:r>
    </w:p>
    <w:p w14:paraId="08A449AF">
      <w:pPr>
        <w:spacing w:line="400" w:lineRule="exact"/>
        <w:ind w:firstLine="420" w:firstLineChars="200"/>
        <w:rPr>
          <w:rFonts w:hint="eastAsia" w:ascii="宋体" w:hAnsi="宋体" w:cs="宋体"/>
          <w:b/>
          <w:bCs/>
          <w:szCs w:val="21"/>
        </w:rPr>
      </w:pPr>
      <w:r>
        <w:rPr>
          <w:rFonts w:hint="eastAsia" w:ascii="宋体" w:hAnsi="宋体" w:cs="宋体"/>
          <w:bCs/>
          <w:szCs w:val="21"/>
        </w:rPr>
        <w:t>（4）</w:t>
      </w:r>
      <w:r>
        <w:rPr>
          <w:rFonts w:hint="eastAsia" w:ascii="宋体" w:hAnsi="宋体" w:cs="宋体"/>
          <w:szCs w:val="21"/>
        </w:rPr>
        <w:t>质疑材料接收要求：质疑供应商须按照招标文件“第七章  质疑、投诉证明材料格式”要求，提供相应完整材料内容才受理。材料缺项或未按照质疑材料格式提供的，不予受理，为此造成的后果由供应商自行承担。</w:t>
      </w:r>
    </w:p>
    <w:p w14:paraId="099983C9">
      <w:pPr>
        <w:spacing w:line="400" w:lineRule="exact"/>
        <w:ind w:firstLine="422" w:firstLineChars="200"/>
        <w:rPr>
          <w:rFonts w:hint="eastAsia" w:ascii="宋体" w:hAnsi="宋体" w:cs="宋体"/>
          <w:bCs/>
          <w:szCs w:val="21"/>
        </w:rPr>
      </w:pPr>
      <w:r>
        <w:rPr>
          <w:rFonts w:hint="eastAsia" w:ascii="宋体" w:hAnsi="宋体" w:cs="宋体"/>
          <w:b/>
          <w:bCs/>
          <w:szCs w:val="21"/>
        </w:rPr>
        <w:t>38.2.2</w:t>
      </w:r>
      <w:r>
        <w:rPr>
          <w:rFonts w:hint="eastAsia" w:ascii="宋体" w:hAnsi="宋体" w:cs="宋体"/>
          <w:bCs/>
          <w:szCs w:val="21"/>
        </w:rPr>
        <w:t>供应商质疑实行实名制，其质疑应当有具体的质疑事项及事实根据，质疑应当坚持依法依规、诚实信用原则，不得进行虚假、恶意质疑。</w:t>
      </w:r>
    </w:p>
    <w:p w14:paraId="39FD6659">
      <w:pPr>
        <w:spacing w:line="400" w:lineRule="exact"/>
        <w:ind w:firstLine="422" w:firstLineChars="200"/>
        <w:rPr>
          <w:rFonts w:hint="eastAsia" w:ascii="宋体" w:hAnsi="宋体" w:cs="宋体"/>
          <w:bCs/>
          <w:szCs w:val="21"/>
        </w:rPr>
      </w:pPr>
      <w:r>
        <w:rPr>
          <w:rFonts w:hint="eastAsia" w:ascii="宋体" w:hAnsi="宋体" w:cs="宋体"/>
          <w:b/>
          <w:bCs/>
          <w:szCs w:val="21"/>
        </w:rPr>
        <w:t>38.2.3</w:t>
      </w:r>
      <w:r>
        <w:rPr>
          <w:rFonts w:hint="eastAsia" w:ascii="宋体" w:hAnsi="宋体" w:cs="宋体"/>
          <w:bCs/>
          <w:szCs w:val="21"/>
        </w:rPr>
        <w:t xml:space="preserve"> 质疑供应商可以委托代理人办理质疑事务。委托代理人应熟悉相关业务情况。代理人办理质疑事务时，除提交质疑书外，还应当提交质疑供应商的授权委托书原件和委托代理人身份证明复印件</w:t>
      </w:r>
      <w:r>
        <w:rPr>
          <w:rFonts w:hint="eastAsia" w:ascii="宋体" w:hAnsi="宋体" w:cs="宋体"/>
          <w:szCs w:val="21"/>
        </w:rPr>
        <w:t>。</w:t>
      </w:r>
    </w:p>
    <w:p w14:paraId="1B724244">
      <w:pPr>
        <w:spacing w:line="400" w:lineRule="exact"/>
        <w:ind w:firstLine="422" w:firstLineChars="200"/>
        <w:rPr>
          <w:rFonts w:hint="eastAsia" w:ascii="宋体" w:hAnsi="宋体" w:cs="宋体"/>
          <w:b/>
          <w:bCs/>
          <w:szCs w:val="21"/>
        </w:rPr>
      </w:pPr>
      <w:r>
        <w:rPr>
          <w:rFonts w:hint="eastAsia" w:ascii="宋体" w:hAnsi="宋体" w:cs="宋体"/>
          <w:b/>
          <w:bCs/>
          <w:szCs w:val="21"/>
        </w:rPr>
        <w:t>38.2.4 质疑供应商提起质疑应当符合下列条件：</w:t>
      </w:r>
    </w:p>
    <w:p w14:paraId="76BA9042">
      <w:pPr>
        <w:spacing w:line="400" w:lineRule="exact"/>
        <w:ind w:firstLine="420" w:firstLineChars="200"/>
        <w:rPr>
          <w:rFonts w:hint="eastAsia" w:ascii="宋体" w:hAnsi="宋体" w:cs="宋体"/>
          <w:bCs/>
          <w:szCs w:val="21"/>
        </w:rPr>
      </w:pPr>
      <w:r>
        <w:rPr>
          <w:rFonts w:hint="eastAsia" w:ascii="宋体" w:hAnsi="宋体" w:cs="宋体"/>
          <w:bCs/>
          <w:szCs w:val="21"/>
        </w:rPr>
        <w:t>（1）质疑供应商是参与所质疑项目采购活动的投标人（潜在投标人已依法获取可质疑的采购文件的，可以对该采购文件质疑）；</w:t>
      </w:r>
    </w:p>
    <w:p w14:paraId="376558F9">
      <w:pPr>
        <w:spacing w:line="400" w:lineRule="exact"/>
        <w:ind w:firstLine="420" w:firstLineChars="200"/>
        <w:rPr>
          <w:rFonts w:hint="eastAsia" w:ascii="宋体" w:hAnsi="宋体" w:cs="宋体"/>
          <w:bCs/>
          <w:szCs w:val="21"/>
        </w:rPr>
      </w:pPr>
      <w:r>
        <w:rPr>
          <w:rFonts w:hint="eastAsia" w:ascii="宋体" w:hAnsi="宋体" w:cs="宋体"/>
          <w:bCs/>
          <w:szCs w:val="21"/>
        </w:rPr>
        <w:t>（2）质疑函内容符合本章第38.2.5项的规定；</w:t>
      </w:r>
    </w:p>
    <w:p w14:paraId="0D28B9D0">
      <w:pPr>
        <w:spacing w:line="400" w:lineRule="exact"/>
        <w:ind w:firstLine="420" w:firstLineChars="200"/>
        <w:rPr>
          <w:rFonts w:hint="eastAsia" w:ascii="宋体" w:hAnsi="宋体" w:cs="宋体"/>
          <w:bCs/>
          <w:szCs w:val="21"/>
        </w:rPr>
      </w:pPr>
      <w:r>
        <w:rPr>
          <w:rFonts w:hint="eastAsia" w:ascii="宋体" w:hAnsi="宋体" w:cs="宋体"/>
          <w:bCs/>
          <w:szCs w:val="21"/>
        </w:rPr>
        <w:t>（3）在质疑有效期限内提起质疑；</w:t>
      </w:r>
    </w:p>
    <w:p w14:paraId="6DE00076">
      <w:pPr>
        <w:spacing w:line="400" w:lineRule="exact"/>
        <w:ind w:firstLine="420" w:firstLineChars="200"/>
        <w:rPr>
          <w:rFonts w:hint="eastAsia" w:ascii="宋体" w:hAnsi="宋体" w:cs="宋体"/>
          <w:bCs/>
          <w:szCs w:val="21"/>
        </w:rPr>
      </w:pPr>
      <w:r>
        <w:rPr>
          <w:rFonts w:hint="eastAsia" w:ascii="宋体" w:hAnsi="宋体" w:cs="宋体"/>
          <w:bCs/>
          <w:szCs w:val="21"/>
        </w:rPr>
        <w:t>（4）属于所质疑的采购人或采购人委托的采购代理机构组织的采购活动；</w:t>
      </w:r>
    </w:p>
    <w:p w14:paraId="63137BCD">
      <w:pPr>
        <w:spacing w:line="400" w:lineRule="exact"/>
        <w:ind w:firstLine="420" w:firstLineChars="200"/>
        <w:rPr>
          <w:rFonts w:hint="eastAsia" w:ascii="宋体" w:hAnsi="宋体" w:cs="宋体"/>
          <w:bCs/>
          <w:szCs w:val="21"/>
        </w:rPr>
      </w:pPr>
      <w:r>
        <w:rPr>
          <w:rFonts w:hint="eastAsia" w:ascii="宋体" w:hAnsi="宋体" w:cs="宋体"/>
          <w:bCs/>
          <w:szCs w:val="21"/>
        </w:rPr>
        <w:t xml:space="preserve">（5）同一质疑事项未经采购人或采购人委托的采购代理机构质疑处理； </w:t>
      </w:r>
    </w:p>
    <w:p w14:paraId="59C9232E">
      <w:pPr>
        <w:spacing w:line="400" w:lineRule="exact"/>
        <w:ind w:firstLine="420" w:firstLineChars="200"/>
        <w:rPr>
          <w:rFonts w:hint="eastAsia" w:ascii="宋体" w:hAnsi="宋体" w:cs="宋体"/>
          <w:bCs/>
          <w:szCs w:val="21"/>
        </w:rPr>
      </w:pPr>
      <w:r>
        <w:rPr>
          <w:rFonts w:hint="eastAsia" w:ascii="宋体" w:hAnsi="宋体" w:cs="宋体"/>
          <w:bCs/>
          <w:szCs w:val="21"/>
        </w:rPr>
        <w:t>（6）供应商对同一采购程序环节的质疑应当在质疑有效期内一次性提出；</w:t>
      </w:r>
    </w:p>
    <w:p w14:paraId="0F0C0E16">
      <w:pPr>
        <w:spacing w:line="400" w:lineRule="exact"/>
        <w:ind w:firstLine="420" w:firstLineChars="200"/>
        <w:rPr>
          <w:rFonts w:hint="eastAsia" w:ascii="宋体" w:hAnsi="宋体" w:cs="宋体"/>
          <w:bCs/>
          <w:szCs w:val="21"/>
        </w:rPr>
      </w:pPr>
      <w:r>
        <w:rPr>
          <w:rFonts w:hint="eastAsia" w:ascii="宋体" w:hAnsi="宋体" w:cs="宋体"/>
          <w:bCs/>
          <w:szCs w:val="21"/>
        </w:rPr>
        <w:t>（7）供应商提交质疑应当提交必要的证明材料，证明材料应以合法手段取得；</w:t>
      </w:r>
    </w:p>
    <w:p w14:paraId="42E8280E">
      <w:pPr>
        <w:spacing w:line="400" w:lineRule="exact"/>
        <w:ind w:firstLine="420" w:firstLineChars="200"/>
        <w:rPr>
          <w:rFonts w:hint="eastAsia" w:ascii="宋体" w:hAnsi="宋体" w:cs="宋体"/>
          <w:szCs w:val="21"/>
        </w:rPr>
      </w:pPr>
      <w:r>
        <w:rPr>
          <w:rFonts w:hint="eastAsia" w:ascii="宋体" w:hAnsi="宋体" w:cs="宋体"/>
          <w:bCs/>
          <w:szCs w:val="21"/>
        </w:rPr>
        <w:t>（8）财政部门规定的其他条件。</w:t>
      </w:r>
    </w:p>
    <w:p w14:paraId="74B194AA">
      <w:pPr>
        <w:spacing w:line="400" w:lineRule="exact"/>
        <w:ind w:firstLine="420" w:firstLineChars="200"/>
        <w:rPr>
          <w:rFonts w:hint="eastAsia" w:ascii="宋体" w:hAnsi="宋体" w:cs="宋体"/>
          <w:b/>
          <w:szCs w:val="21"/>
        </w:rPr>
      </w:pPr>
      <w:bookmarkStart w:id="158" w:name="_9.2质疑、投诉应当采用书面形式，质疑函、投诉书均应明确阐述招标文件、"/>
      <w:bookmarkEnd w:id="158"/>
      <w:r>
        <w:rPr>
          <w:rFonts w:hint="eastAsia" w:ascii="宋体" w:hAnsi="宋体" w:cs="宋体"/>
          <w:szCs w:val="21"/>
        </w:rPr>
        <w:t xml:space="preserve"> 38.2.5 </w:t>
      </w:r>
      <w:r>
        <w:rPr>
          <w:rFonts w:hint="eastAsia" w:ascii="宋体" w:hAnsi="宋体" w:cs="宋体"/>
          <w:bCs/>
          <w:szCs w:val="21"/>
        </w:rPr>
        <w:t>供应商提出质疑应当提交质疑函和必要的证明材料，针对同一采购程序环节的质疑必须在法定质疑期内一次性提出。质疑函应当包括下列内容（质疑函格式后附）：</w:t>
      </w:r>
    </w:p>
    <w:p w14:paraId="4A38508F">
      <w:pPr>
        <w:spacing w:line="400" w:lineRule="exact"/>
        <w:ind w:firstLine="420" w:firstLineChars="200"/>
        <w:rPr>
          <w:rFonts w:hint="eastAsia" w:ascii="宋体" w:hAnsi="宋体" w:cs="宋体"/>
          <w:bCs/>
          <w:szCs w:val="21"/>
        </w:rPr>
      </w:pPr>
      <w:r>
        <w:rPr>
          <w:rFonts w:hint="eastAsia" w:ascii="宋体" w:hAnsi="宋体" w:cs="宋体"/>
          <w:bCs/>
          <w:szCs w:val="21"/>
        </w:rPr>
        <w:t>（1）投标人的姓名或者名称、地址、邮编、联系人及联系电话；</w:t>
      </w:r>
    </w:p>
    <w:p w14:paraId="43C05B2D">
      <w:pPr>
        <w:spacing w:line="400" w:lineRule="exact"/>
        <w:ind w:firstLine="420" w:firstLineChars="200"/>
        <w:rPr>
          <w:rFonts w:hint="eastAsia" w:ascii="宋体" w:hAnsi="宋体" w:cs="宋体"/>
          <w:bCs/>
          <w:szCs w:val="21"/>
        </w:rPr>
      </w:pPr>
      <w:r>
        <w:rPr>
          <w:rFonts w:hint="eastAsia" w:ascii="宋体" w:hAnsi="宋体" w:cs="宋体"/>
          <w:bCs/>
          <w:szCs w:val="21"/>
        </w:rPr>
        <w:t>（2）质疑项目的名称、编号；</w:t>
      </w:r>
    </w:p>
    <w:p w14:paraId="382C1AA7">
      <w:pPr>
        <w:spacing w:line="400" w:lineRule="exact"/>
        <w:ind w:firstLine="420" w:firstLineChars="200"/>
        <w:rPr>
          <w:rFonts w:hint="eastAsia" w:ascii="宋体" w:hAnsi="宋体" w:cs="宋体"/>
          <w:bCs/>
          <w:szCs w:val="21"/>
        </w:rPr>
      </w:pPr>
      <w:r>
        <w:rPr>
          <w:rFonts w:hint="eastAsia" w:ascii="宋体" w:hAnsi="宋体" w:cs="宋体"/>
          <w:bCs/>
          <w:szCs w:val="21"/>
        </w:rPr>
        <w:t>（3）具体、明确的质疑事项和与质疑事项相关的请求；</w:t>
      </w:r>
    </w:p>
    <w:p w14:paraId="226152ED">
      <w:pPr>
        <w:spacing w:line="400" w:lineRule="exact"/>
        <w:ind w:firstLine="420" w:firstLineChars="200"/>
        <w:rPr>
          <w:rFonts w:hint="eastAsia" w:ascii="宋体" w:hAnsi="宋体" w:cs="宋体"/>
          <w:bCs/>
          <w:szCs w:val="21"/>
        </w:rPr>
      </w:pPr>
      <w:r>
        <w:rPr>
          <w:rFonts w:hint="eastAsia" w:ascii="宋体" w:hAnsi="宋体" w:cs="宋体"/>
          <w:bCs/>
          <w:szCs w:val="21"/>
        </w:rPr>
        <w:t>（4）事实依据（列明权益受到损害的事实和理由）；</w:t>
      </w:r>
    </w:p>
    <w:p w14:paraId="5A600497">
      <w:pPr>
        <w:spacing w:line="400" w:lineRule="exact"/>
        <w:ind w:firstLine="420" w:firstLineChars="200"/>
        <w:rPr>
          <w:rFonts w:hint="eastAsia" w:ascii="宋体" w:hAnsi="宋体" w:cs="宋体"/>
          <w:bCs/>
          <w:szCs w:val="21"/>
        </w:rPr>
      </w:pPr>
      <w:r>
        <w:rPr>
          <w:rFonts w:hint="eastAsia" w:ascii="宋体" w:hAnsi="宋体" w:cs="宋体"/>
          <w:bCs/>
          <w:szCs w:val="21"/>
        </w:rPr>
        <w:t>（5）必要的法律依据；</w:t>
      </w:r>
    </w:p>
    <w:p w14:paraId="4E025F50">
      <w:pPr>
        <w:spacing w:line="400" w:lineRule="exact"/>
        <w:ind w:firstLine="420" w:firstLineChars="200"/>
        <w:rPr>
          <w:rFonts w:hint="eastAsia" w:ascii="宋体" w:hAnsi="宋体" w:cs="宋体"/>
          <w:bCs/>
          <w:szCs w:val="21"/>
        </w:rPr>
      </w:pPr>
      <w:r>
        <w:rPr>
          <w:rFonts w:hint="eastAsia" w:ascii="宋体" w:hAnsi="宋体" w:cs="宋体"/>
          <w:bCs/>
          <w:szCs w:val="21"/>
        </w:rPr>
        <w:t>（6）提出质疑的日期。</w:t>
      </w:r>
    </w:p>
    <w:p w14:paraId="7CB0AD64">
      <w:pPr>
        <w:spacing w:line="400" w:lineRule="exact"/>
        <w:ind w:firstLine="420" w:firstLineChars="200"/>
        <w:rPr>
          <w:rFonts w:hint="eastAsia" w:ascii="宋体" w:hAnsi="宋体" w:cs="宋体"/>
          <w:bCs/>
          <w:szCs w:val="21"/>
        </w:rPr>
      </w:pPr>
      <w:r>
        <w:rPr>
          <w:rFonts w:hint="eastAsia" w:ascii="宋体" w:hAnsi="宋体" w:cs="宋体"/>
          <w:bCs/>
          <w:szCs w:val="21"/>
        </w:rPr>
        <w:t>供应商为自然人的，应当由本人签字；供应商为法人或者其他组织的，应当由法定代表人、主要负责人，或者其委托代理人签字或者盖章，并加盖公章。</w:t>
      </w:r>
    </w:p>
    <w:p w14:paraId="011F3EC2">
      <w:pPr>
        <w:spacing w:line="400" w:lineRule="exact"/>
        <w:ind w:firstLine="422" w:firstLineChars="200"/>
        <w:rPr>
          <w:rFonts w:hint="eastAsia" w:ascii="宋体" w:hAnsi="宋体" w:cs="宋体"/>
          <w:b/>
          <w:szCs w:val="21"/>
        </w:rPr>
      </w:pPr>
      <w:r>
        <w:rPr>
          <w:rFonts w:hint="eastAsia" w:ascii="宋体" w:hAnsi="宋体" w:cs="宋体"/>
          <w:b/>
          <w:szCs w:val="21"/>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2C5D2325">
      <w:pPr>
        <w:spacing w:line="400" w:lineRule="exact"/>
        <w:ind w:firstLine="420" w:firstLineChars="200"/>
        <w:rPr>
          <w:rFonts w:hint="eastAsia" w:ascii="宋体" w:hAnsi="宋体" w:cs="宋体"/>
          <w:bCs/>
          <w:szCs w:val="21"/>
        </w:rPr>
      </w:pPr>
      <w:r>
        <w:rPr>
          <w:rFonts w:hint="eastAsia" w:ascii="宋体" w:hAnsi="宋体" w:cs="宋体"/>
          <w:szCs w:val="21"/>
        </w:rPr>
        <w:t>3</w:t>
      </w:r>
      <w:r>
        <w:rPr>
          <w:rFonts w:hint="eastAsia" w:ascii="宋体" w:hAnsi="宋体" w:cs="宋体"/>
          <w:bCs/>
          <w:szCs w:val="21"/>
        </w:rPr>
        <w:t>8.2.7采购人、采购代理机构认为供应商质疑不成立，或者成立但未对中标结果构成影响的，继续开展采购活动；认为供应商质疑成立且影响或者可能影响中标结果的，按照下列情况处理：</w:t>
      </w:r>
    </w:p>
    <w:p w14:paraId="07E80840">
      <w:pPr>
        <w:spacing w:line="400" w:lineRule="exact"/>
        <w:ind w:firstLine="420" w:firstLineChars="200"/>
        <w:rPr>
          <w:rFonts w:hint="eastAsia" w:ascii="宋体" w:hAnsi="宋体" w:cs="宋体"/>
          <w:bCs/>
          <w:szCs w:val="21"/>
        </w:rPr>
      </w:pPr>
      <w:r>
        <w:rPr>
          <w:rFonts w:hint="eastAsia" w:ascii="宋体" w:hAnsi="宋体" w:cs="宋体"/>
          <w:bCs/>
          <w:szCs w:val="21"/>
        </w:rPr>
        <w:t>（一）对招标文件提出的质疑，依法通过澄清或者修改可以继续开展采购活动的，澄清或者修改招标文件后继续开展采购活动；否则应当修改招标文件后重新开展采购活动。</w:t>
      </w:r>
    </w:p>
    <w:p w14:paraId="6F98930D">
      <w:pPr>
        <w:spacing w:line="400" w:lineRule="exact"/>
        <w:ind w:firstLine="420" w:firstLineChars="200"/>
        <w:rPr>
          <w:rFonts w:hint="eastAsia" w:ascii="宋体" w:hAnsi="宋体" w:cs="宋体"/>
          <w:bCs/>
          <w:szCs w:val="21"/>
        </w:rPr>
      </w:pPr>
      <w:r>
        <w:rPr>
          <w:rFonts w:hint="eastAsia" w:ascii="宋体" w:hAnsi="宋体" w:cs="宋体"/>
          <w:bCs/>
          <w:szCs w:val="21"/>
        </w:rPr>
        <w:t>（二）对采购过程、中标结果提出的质疑，合格供应商符合法定数量时，可以从合格的中标候选人中另行确定中标供应商的，应当依法另行确定中标供应商；否则应当重新开展采购活动。</w:t>
      </w:r>
    </w:p>
    <w:p w14:paraId="525B31CD">
      <w:pPr>
        <w:spacing w:line="400" w:lineRule="exact"/>
        <w:ind w:firstLine="420" w:firstLineChars="200"/>
        <w:rPr>
          <w:rFonts w:hint="eastAsia" w:ascii="宋体" w:hAnsi="宋体" w:cs="宋体"/>
          <w:bCs/>
          <w:szCs w:val="21"/>
        </w:rPr>
      </w:pPr>
      <w:r>
        <w:rPr>
          <w:rFonts w:hint="eastAsia" w:ascii="宋体" w:hAnsi="宋体" w:cs="宋体"/>
          <w:bCs/>
          <w:szCs w:val="21"/>
        </w:rPr>
        <w:t>质疑答复导致中标结果改变的，采购人或者采购代理机构应当将有关情况书面报告本级财政部门。</w:t>
      </w:r>
    </w:p>
    <w:p w14:paraId="7611FE83">
      <w:pPr>
        <w:spacing w:line="400" w:lineRule="exact"/>
        <w:ind w:firstLine="422" w:firstLineChars="200"/>
        <w:rPr>
          <w:rFonts w:hint="eastAsia" w:ascii="宋体" w:hAnsi="宋体" w:cs="宋体"/>
          <w:b/>
          <w:szCs w:val="21"/>
        </w:rPr>
      </w:pPr>
      <w:r>
        <w:rPr>
          <w:rFonts w:hint="eastAsia" w:ascii="宋体" w:hAnsi="宋体" w:cs="宋体"/>
          <w:b/>
          <w:szCs w:val="21"/>
        </w:rPr>
        <w:t>38.3投诉</w:t>
      </w:r>
    </w:p>
    <w:p w14:paraId="3CC29605">
      <w:pPr>
        <w:spacing w:line="400" w:lineRule="exact"/>
        <w:ind w:firstLine="422" w:firstLineChars="200"/>
        <w:rPr>
          <w:rFonts w:hint="eastAsia" w:ascii="宋体" w:hAnsi="宋体" w:cs="宋体"/>
          <w:bCs/>
          <w:szCs w:val="21"/>
        </w:rPr>
      </w:pPr>
      <w:r>
        <w:rPr>
          <w:rFonts w:hint="eastAsia" w:ascii="宋体" w:hAnsi="宋体" w:cs="宋体"/>
          <w:b/>
          <w:szCs w:val="21"/>
        </w:rPr>
        <w:t>38.3</w:t>
      </w:r>
      <w:r>
        <w:rPr>
          <w:rFonts w:hint="eastAsia" w:ascii="宋体" w:hAnsi="宋体" w:cs="宋体"/>
          <w:bCs/>
          <w:szCs w:val="21"/>
        </w:rPr>
        <w:t>.</w:t>
      </w:r>
      <w:r>
        <w:rPr>
          <w:rFonts w:hint="eastAsia" w:ascii="宋体" w:hAnsi="宋体" w:cs="宋体"/>
          <w:b/>
          <w:bCs/>
          <w:szCs w:val="21"/>
        </w:rPr>
        <w:t xml:space="preserve">1 </w:t>
      </w:r>
      <w:r>
        <w:rPr>
          <w:rFonts w:hint="eastAsia" w:ascii="宋体" w:hAnsi="宋体" w:cs="宋体"/>
          <w:bCs/>
          <w:szCs w:val="21"/>
        </w:rPr>
        <w:t xml:space="preserve"> 供应商认为采购文件、采购过程、中标和成交结果使自己的合法权益受到损害的，应当首先依法向采购人或采购人委托的</w:t>
      </w:r>
      <w:r>
        <w:rPr>
          <w:rFonts w:hint="eastAsia" w:ascii="宋体" w:hAnsi="宋体" w:cs="宋体"/>
          <w:szCs w:val="21"/>
        </w:rPr>
        <w:t>采购代理机构</w:t>
      </w:r>
      <w:r>
        <w:rPr>
          <w:rFonts w:hint="eastAsia" w:ascii="宋体" w:hAnsi="宋体" w:cs="宋体"/>
          <w:bCs/>
          <w:szCs w:val="21"/>
        </w:rPr>
        <w:t>提出质疑。对采购人、</w:t>
      </w:r>
      <w:r>
        <w:rPr>
          <w:rFonts w:hint="eastAsia" w:ascii="宋体" w:hAnsi="宋体" w:cs="宋体"/>
          <w:szCs w:val="21"/>
        </w:rPr>
        <w:t>采购代理机构</w:t>
      </w:r>
      <w:r>
        <w:rPr>
          <w:rFonts w:hint="eastAsia" w:ascii="宋体" w:hAnsi="宋体" w:cs="宋体"/>
          <w:bCs/>
          <w:szCs w:val="21"/>
        </w:rPr>
        <w:t>的答复不满意，或者采购人、</w:t>
      </w:r>
      <w:r>
        <w:rPr>
          <w:rFonts w:hint="eastAsia" w:ascii="宋体" w:hAnsi="宋体" w:cs="宋体"/>
          <w:szCs w:val="21"/>
        </w:rPr>
        <w:t>采购代理机构</w:t>
      </w:r>
      <w:r>
        <w:rPr>
          <w:rFonts w:hint="eastAsia" w:ascii="宋体" w:hAnsi="宋体" w:cs="宋体"/>
          <w:bCs/>
          <w:szCs w:val="21"/>
        </w:rPr>
        <w:t>未在规定期限内做出答复的，供应商可以在答复期满后15个工作日内向同级政府采购监督管理部门提起投诉，投诉联系方式见“投标人须知前附表”。</w:t>
      </w:r>
    </w:p>
    <w:p w14:paraId="1F6D55EF">
      <w:pPr>
        <w:spacing w:line="400" w:lineRule="exact"/>
        <w:ind w:firstLine="422" w:firstLineChars="200"/>
        <w:rPr>
          <w:rFonts w:hint="eastAsia" w:ascii="宋体" w:hAnsi="宋体" w:cs="宋体"/>
          <w:bCs/>
          <w:szCs w:val="21"/>
        </w:rPr>
      </w:pPr>
      <w:r>
        <w:rPr>
          <w:rFonts w:hint="eastAsia" w:ascii="宋体" w:hAnsi="宋体" w:cs="宋体"/>
          <w:b/>
          <w:szCs w:val="21"/>
        </w:rPr>
        <w:t xml:space="preserve">38.3.2 </w:t>
      </w:r>
      <w:r>
        <w:rPr>
          <w:rFonts w:hint="eastAsia" w:ascii="宋体" w:hAnsi="宋体" w:cs="宋体"/>
          <w:szCs w:val="21"/>
        </w:rPr>
        <w:t xml:space="preserve"> 供应商投诉时，应当提交投诉书，并按照被投诉采购人、采购代理机构和与投诉事项有关的供应商数量提供投诉书的副本。投诉书应当包括下列主要内容（如材料中有外文资料应同时附上对应的中文译本）</w:t>
      </w:r>
      <w:r>
        <w:rPr>
          <w:rFonts w:hint="eastAsia" w:ascii="宋体" w:hAnsi="宋体" w:cs="宋体"/>
          <w:bCs/>
          <w:szCs w:val="21"/>
        </w:rPr>
        <w:t>（投诉书格式后附）</w:t>
      </w:r>
      <w:r>
        <w:rPr>
          <w:rFonts w:hint="eastAsia" w:ascii="宋体" w:hAnsi="宋体" w:cs="宋体"/>
          <w:szCs w:val="21"/>
        </w:rPr>
        <w:t>：</w:t>
      </w:r>
    </w:p>
    <w:p w14:paraId="4E140C87">
      <w:pPr>
        <w:spacing w:line="400" w:lineRule="exact"/>
        <w:ind w:firstLine="420" w:firstLineChars="200"/>
        <w:rPr>
          <w:rFonts w:hint="eastAsia" w:ascii="宋体" w:hAnsi="宋体" w:cs="宋体"/>
          <w:szCs w:val="21"/>
        </w:rPr>
      </w:pPr>
      <w:r>
        <w:rPr>
          <w:rFonts w:hint="eastAsia" w:ascii="宋体" w:hAnsi="宋体" w:cs="宋体"/>
          <w:szCs w:val="21"/>
        </w:rPr>
        <w:t xml:space="preserve">（1）投诉人和被投诉人的名称、地址、邮编、联系人及联系电话等； </w:t>
      </w:r>
    </w:p>
    <w:p w14:paraId="2E4C242C">
      <w:pPr>
        <w:spacing w:line="400" w:lineRule="exact"/>
        <w:ind w:firstLine="420" w:firstLineChars="200"/>
        <w:rPr>
          <w:rFonts w:hint="eastAsia" w:ascii="宋体" w:hAnsi="宋体" w:cs="宋体"/>
          <w:szCs w:val="21"/>
        </w:rPr>
      </w:pPr>
      <w:r>
        <w:rPr>
          <w:rFonts w:hint="eastAsia" w:ascii="宋体" w:hAnsi="宋体" w:cs="宋体"/>
          <w:szCs w:val="21"/>
        </w:rPr>
        <w:t xml:space="preserve">（2）质疑和质疑答复情况及相关证明材料； </w:t>
      </w:r>
    </w:p>
    <w:p w14:paraId="2964F647">
      <w:pPr>
        <w:spacing w:line="400" w:lineRule="exact"/>
        <w:ind w:firstLine="420" w:firstLineChars="200"/>
        <w:rPr>
          <w:rFonts w:hint="eastAsia" w:ascii="宋体" w:hAnsi="宋体" w:cs="宋体"/>
          <w:szCs w:val="21"/>
        </w:rPr>
      </w:pPr>
      <w:r>
        <w:rPr>
          <w:rFonts w:hint="eastAsia" w:ascii="宋体" w:hAnsi="宋体" w:cs="宋体"/>
          <w:szCs w:val="21"/>
        </w:rPr>
        <w:t>（3）具体、明确的投诉事项和与投诉事项相关的投诉请求；</w:t>
      </w:r>
    </w:p>
    <w:p w14:paraId="10D9A8C2">
      <w:pPr>
        <w:spacing w:line="400" w:lineRule="exact"/>
        <w:ind w:firstLine="420" w:firstLineChars="200"/>
        <w:rPr>
          <w:rFonts w:hint="eastAsia" w:ascii="宋体" w:hAnsi="宋体" w:cs="宋体"/>
          <w:szCs w:val="21"/>
        </w:rPr>
      </w:pPr>
      <w:r>
        <w:rPr>
          <w:rFonts w:hint="eastAsia" w:ascii="宋体" w:hAnsi="宋体" w:cs="宋体"/>
          <w:szCs w:val="21"/>
        </w:rPr>
        <w:t>（4）事实依据；</w:t>
      </w:r>
    </w:p>
    <w:p w14:paraId="7E99C347">
      <w:pPr>
        <w:spacing w:line="400" w:lineRule="exact"/>
        <w:ind w:firstLine="420" w:firstLineChars="200"/>
        <w:rPr>
          <w:rFonts w:hint="eastAsia" w:ascii="宋体" w:hAnsi="宋体" w:cs="宋体"/>
          <w:szCs w:val="21"/>
        </w:rPr>
      </w:pPr>
      <w:r>
        <w:rPr>
          <w:rFonts w:hint="eastAsia" w:ascii="宋体" w:hAnsi="宋体" w:cs="宋体"/>
          <w:szCs w:val="21"/>
        </w:rPr>
        <w:t>（5）法律依据；</w:t>
      </w:r>
    </w:p>
    <w:p w14:paraId="4D9BA0E6">
      <w:pPr>
        <w:spacing w:line="400" w:lineRule="exact"/>
        <w:ind w:firstLine="420" w:firstLineChars="200"/>
        <w:rPr>
          <w:rFonts w:hint="eastAsia" w:ascii="宋体" w:hAnsi="宋体" w:cs="宋体"/>
          <w:szCs w:val="21"/>
        </w:rPr>
      </w:pPr>
      <w:r>
        <w:rPr>
          <w:rFonts w:hint="eastAsia" w:ascii="宋体" w:hAnsi="宋体" w:cs="宋体"/>
          <w:szCs w:val="21"/>
        </w:rPr>
        <w:t>（6）提起投诉的日期。</w:t>
      </w:r>
    </w:p>
    <w:p w14:paraId="5E78467A">
      <w:pPr>
        <w:spacing w:line="400" w:lineRule="exact"/>
        <w:ind w:firstLine="420" w:firstLineChars="200"/>
        <w:rPr>
          <w:rFonts w:hint="eastAsia" w:ascii="宋体" w:hAnsi="宋体" w:cs="宋体"/>
          <w:szCs w:val="21"/>
        </w:rPr>
      </w:pPr>
      <w:r>
        <w:rPr>
          <w:rFonts w:hint="eastAsia" w:ascii="宋体" w:hAnsi="宋体" w:cs="宋体"/>
          <w:szCs w:val="21"/>
        </w:rPr>
        <w:t>（7）附件材料：营业执照副本内页复印件（要求证件有效并清晰反映企业法人经营范围）；近期连续三个月依法缴纳税收和在职职工社会保障资金证明材料（复印件）。</w:t>
      </w:r>
      <w:r>
        <w:rPr>
          <w:rFonts w:hint="eastAsia" w:ascii="宋体" w:hAnsi="宋体" w:cs="宋体"/>
          <w:szCs w:val="21"/>
        </w:rPr>
        <w:tab/>
      </w:r>
    </w:p>
    <w:p w14:paraId="2A9AFC7D">
      <w:pPr>
        <w:spacing w:line="400" w:lineRule="exact"/>
        <w:ind w:firstLine="422" w:firstLineChars="200"/>
        <w:rPr>
          <w:rFonts w:hint="eastAsia" w:ascii="宋体" w:hAnsi="宋体" w:cs="宋体"/>
          <w:bCs/>
          <w:szCs w:val="21"/>
        </w:rPr>
      </w:pPr>
      <w:r>
        <w:rPr>
          <w:rFonts w:hint="eastAsia" w:ascii="宋体" w:hAnsi="宋体" w:cs="宋体"/>
          <w:b/>
          <w:szCs w:val="21"/>
        </w:rPr>
        <w:t xml:space="preserve">38.3.3  </w:t>
      </w:r>
      <w:r>
        <w:rPr>
          <w:rFonts w:hint="eastAsia" w:ascii="宋体" w:hAnsi="宋体" w:cs="宋体"/>
          <w:szCs w:val="21"/>
        </w:rPr>
        <w:t>投诉人可以委托代理人办理投诉事务。</w:t>
      </w:r>
      <w:r>
        <w:rPr>
          <w:rFonts w:hint="eastAsia" w:ascii="宋体" w:hAnsi="宋体" w:cs="宋体"/>
          <w:bCs/>
          <w:szCs w:val="21"/>
        </w:rPr>
        <w:t>委托代理人应熟悉相关业务情况。</w:t>
      </w:r>
      <w:r>
        <w:rPr>
          <w:rFonts w:hint="eastAsia" w:ascii="宋体" w:hAnsi="宋体" w:cs="宋体"/>
          <w:szCs w:val="21"/>
        </w:rPr>
        <w:t>代理人办理投诉事务时，除提交投诉书外，还应当提交投诉人的授权委托书原件和委托代理人身份证明复印件。</w:t>
      </w:r>
    </w:p>
    <w:p w14:paraId="772DA0C8">
      <w:pPr>
        <w:spacing w:line="400" w:lineRule="exact"/>
        <w:ind w:firstLine="422" w:firstLineChars="200"/>
        <w:rPr>
          <w:rFonts w:hint="eastAsia" w:ascii="宋体" w:hAnsi="宋体" w:cs="宋体"/>
          <w:szCs w:val="21"/>
        </w:rPr>
      </w:pPr>
      <w:r>
        <w:rPr>
          <w:rFonts w:hint="eastAsia" w:ascii="宋体" w:hAnsi="宋体" w:cs="宋体"/>
          <w:b/>
          <w:szCs w:val="21"/>
        </w:rPr>
        <w:t>38.3.4</w:t>
      </w:r>
      <w:r>
        <w:rPr>
          <w:rFonts w:hint="eastAsia" w:ascii="宋体" w:hAnsi="宋体" w:cs="宋体"/>
          <w:szCs w:val="21"/>
        </w:rPr>
        <w:t xml:space="preserve">  投诉人提起投诉应当符合下列条件：</w:t>
      </w:r>
    </w:p>
    <w:p w14:paraId="15D4CF5E">
      <w:pPr>
        <w:spacing w:line="400" w:lineRule="exact"/>
        <w:ind w:firstLine="420" w:firstLineChars="200"/>
        <w:rPr>
          <w:rFonts w:hint="eastAsia" w:ascii="宋体" w:hAnsi="宋体" w:cs="宋体"/>
          <w:szCs w:val="21"/>
        </w:rPr>
      </w:pPr>
      <w:r>
        <w:rPr>
          <w:rFonts w:hint="eastAsia" w:ascii="宋体" w:hAnsi="宋体" w:cs="宋体"/>
          <w:szCs w:val="21"/>
        </w:rPr>
        <w:t>（1）投诉人是参与所投诉政府采购活动的投标人；</w:t>
      </w:r>
    </w:p>
    <w:p w14:paraId="42A0AC03">
      <w:pPr>
        <w:spacing w:line="400" w:lineRule="exact"/>
        <w:ind w:firstLine="420" w:firstLineChars="200"/>
        <w:rPr>
          <w:rFonts w:hint="eastAsia" w:ascii="宋体" w:hAnsi="宋体" w:cs="宋体"/>
          <w:szCs w:val="21"/>
        </w:rPr>
      </w:pPr>
      <w:r>
        <w:rPr>
          <w:rFonts w:hint="eastAsia" w:ascii="宋体" w:hAnsi="宋体" w:cs="宋体"/>
          <w:szCs w:val="21"/>
        </w:rPr>
        <w:t>（2）提起投诉前已依法进行质疑；</w:t>
      </w:r>
    </w:p>
    <w:p w14:paraId="5FBD4042">
      <w:pPr>
        <w:spacing w:line="400" w:lineRule="exact"/>
        <w:ind w:firstLine="420" w:firstLineChars="200"/>
        <w:rPr>
          <w:rFonts w:hint="eastAsia" w:ascii="宋体" w:hAnsi="宋体" w:cs="宋体"/>
          <w:szCs w:val="21"/>
        </w:rPr>
      </w:pPr>
      <w:r>
        <w:rPr>
          <w:rFonts w:hint="eastAsia" w:ascii="宋体" w:hAnsi="宋体" w:cs="宋体"/>
          <w:szCs w:val="21"/>
        </w:rPr>
        <w:t>（3）投诉书内容符合本章第38.3.2项的规定；</w:t>
      </w:r>
    </w:p>
    <w:p w14:paraId="0CA4D1F0">
      <w:pPr>
        <w:spacing w:line="400" w:lineRule="exact"/>
        <w:ind w:firstLine="420" w:firstLineChars="200"/>
        <w:rPr>
          <w:rFonts w:hint="eastAsia" w:ascii="宋体" w:hAnsi="宋体" w:cs="宋体"/>
          <w:szCs w:val="21"/>
        </w:rPr>
      </w:pPr>
      <w:r>
        <w:rPr>
          <w:rFonts w:hint="eastAsia" w:ascii="宋体" w:hAnsi="宋体" w:cs="宋体"/>
          <w:szCs w:val="21"/>
        </w:rPr>
        <w:t>（4）在投诉有效期限内提起投诉；</w:t>
      </w:r>
    </w:p>
    <w:p w14:paraId="1C91AF43">
      <w:pPr>
        <w:spacing w:line="400" w:lineRule="exact"/>
        <w:ind w:firstLine="420" w:firstLineChars="200"/>
        <w:rPr>
          <w:rFonts w:hint="eastAsia" w:ascii="宋体" w:hAnsi="宋体" w:cs="宋体"/>
          <w:szCs w:val="21"/>
        </w:rPr>
      </w:pPr>
      <w:r>
        <w:rPr>
          <w:rFonts w:hint="eastAsia" w:ascii="宋体" w:hAnsi="宋体" w:cs="宋体"/>
          <w:szCs w:val="21"/>
        </w:rPr>
        <w:t>（5）属于政府采购监督管理部门管辖；</w:t>
      </w:r>
    </w:p>
    <w:p w14:paraId="6863811E">
      <w:pPr>
        <w:spacing w:line="400" w:lineRule="exact"/>
        <w:ind w:firstLine="420" w:firstLineChars="200"/>
        <w:rPr>
          <w:rFonts w:hint="eastAsia" w:ascii="宋体" w:hAnsi="宋体" w:cs="宋体"/>
          <w:szCs w:val="21"/>
        </w:rPr>
      </w:pPr>
      <w:r>
        <w:rPr>
          <w:rFonts w:hint="eastAsia" w:ascii="宋体" w:hAnsi="宋体" w:cs="宋体"/>
          <w:szCs w:val="21"/>
        </w:rPr>
        <w:t>（6）同一投诉事项未经</w:t>
      </w:r>
      <w:r>
        <w:rPr>
          <w:rFonts w:hint="eastAsia" w:ascii="宋体" w:hAnsi="宋体" w:cs="宋体"/>
          <w:bCs/>
          <w:szCs w:val="21"/>
        </w:rPr>
        <w:t>政府采购监督管理部门</w:t>
      </w:r>
      <w:r>
        <w:rPr>
          <w:rFonts w:hint="eastAsia" w:ascii="宋体" w:hAnsi="宋体" w:cs="宋体"/>
          <w:szCs w:val="21"/>
        </w:rPr>
        <w:t>投诉处理；</w:t>
      </w:r>
    </w:p>
    <w:p w14:paraId="09998471">
      <w:pPr>
        <w:spacing w:line="400" w:lineRule="exact"/>
        <w:ind w:firstLine="420" w:firstLineChars="200"/>
        <w:rPr>
          <w:rFonts w:hint="eastAsia" w:ascii="宋体" w:hAnsi="宋体" w:cs="宋体"/>
          <w:szCs w:val="21"/>
        </w:rPr>
      </w:pPr>
      <w:r>
        <w:rPr>
          <w:rFonts w:hint="eastAsia" w:ascii="宋体" w:hAnsi="宋体" w:cs="宋体"/>
          <w:szCs w:val="21"/>
        </w:rPr>
        <w:t>（7）国务院财政部门规定的其他条件。</w:t>
      </w:r>
    </w:p>
    <w:p w14:paraId="571DD750">
      <w:pPr>
        <w:spacing w:line="400" w:lineRule="exact"/>
        <w:ind w:firstLine="422" w:firstLineChars="200"/>
        <w:rPr>
          <w:rFonts w:hint="eastAsia" w:ascii="宋体" w:hAnsi="宋体" w:cs="宋体"/>
          <w:szCs w:val="21"/>
        </w:rPr>
      </w:pPr>
      <w:r>
        <w:rPr>
          <w:rFonts w:hint="eastAsia" w:ascii="宋体" w:hAnsi="宋体" w:cs="宋体"/>
          <w:b/>
          <w:szCs w:val="21"/>
        </w:rPr>
        <w:t>38.3.5</w:t>
      </w:r>
      <w:r>
        <w:rPr>
          <w:rFonts w:hint="eastAsia" w:ascii="宋体" w:hAnsi="宋体" w:cs="宋体"/>
          <w:szCs w:val="21"/>
        </w:rPr>
        <w:t xml:space="preserve">  政府采购监督管理部门自受理投诉之日起30个工作日内，对投诉事项作出处理决定，并以书面形式通知投诉人、被投诉人及其他与投诉处理结果有利害关系的政府采购当事人。并将投诉结果在http://zfcg.gxzf.gov.cn (广西壮族自治区政府采购网)发布。</w:t>
      </w:r>
    </w:p>
    <w:p w14:paraId="3E94EDC0">
      <w:pPr>
        <w:spacing w:line="400" w:lineRule="exact"/>
        <w:ind w:firstLine="422" w:firstLineChars="200"/>
        <w:rPr>
          <w:rFonts w:hint="eastAsia" w:ascii="宋体" w:hAnsi="宋体" w:cs="宋体"/>
          <w:szCs w:val="21"/>
        </w:rPr>
      </w:pPr>
      <w:r>
        <w:rPr>
          <w:rFonts w:hint="eastAsia" w:ascii="宋体" w:hAnsi="宋体" w:cs="宋体"/>
          <w:b/>
          <w:szCs w:val="21"/>
        </w:rPr>
        <w:t>38.3.6</w:t>
      </w:r>
      <w:r>
        <w:rPr>
          <w:rFonts w:hint="eastAsia" w:ascii="宋体" w:hAnsi="宋体" w:cs="宋体"/>
          <w:szCs w:val="21"/>
        </w:rPr>
        <w:t xml:space="preserve">  政府采购监督管理部门在处理投诉事项期间，可以视具体情况暂停采购活动。</w:t>
      </w:r>
    </w:p>
    <w:p w14:paraId="797181BB">
      <w:pPr>
        <w:pStyle w:val="6"/>
        <w:keepNext w:val="0"/>
        <w:keepLines w:val="0"/>
        <w:spacing w:line="400" w:lineRule="exact"/>
        <w:jc w:val="center"/>
        <w:rPr>
          <w:rFonts w:hint="eastAsia" w:ascii="宋体" w:hAnsi="宋体" w:cs="宋体"/>
          <w:sz w:val="21"/>
          <w:szCs w:val="21"/>
        </w:rPr>
      </w:pPr>
      <w:r>
        <w:rPr>
          <w:rFonts w:hint="eastAsia" w:ascii="宋体" w:hAnsi="宋体" w:cs="宋体"/>
          <w:sz w:val="21"/>
          <w:szCs w:val="21"/>
        </w:rPr>
        <w:t>八、验收</w:t>
      </w:r>
    </w:p>
    <w:p w14:paraId="10C42AD9">
      <w:pPr>
        <w:spacing w:line="400" w:lineRule="exact"/>
        <w:ind w:firstLine="422" w:firstLineChars="200"/>
        <w:rPr>
          <w:rFonts w:hint="eastAsia" w:ascii="宋体" w:hAnsi="宋体" w:cs="宋体"/>
          <w:b/>
          <w:szCs w:val="21"/>
        </w:rPr>
      </w:pPr>
      <w:r>
        <w:rPr>
          <w:rFonts w:hint="eastAsia" w:ascii="宋体" w:hAnsi="宋体" w:cs="宋体"/>
          <w:b/>
          <w:szCs w:val="21"/>
        </w:rPr>
        <w:t>39.验收</w:t>
      </w:r>
    </w:p>
    <w:p w14:paraId="30B501C3">
      <w:pPr>
        <w:tabs>
          <w:tab w:val="left" w:pos="0"/>
        </w:tabs>
        <w:spacing w:line="400" w:lineRule="exact"/>
        <w:ind w:firstLine="480"/>
        <w:rPr>
          <w:rFonts w:hint="eastAsia" w:ascii="宋体" w:hAnsi="宋体" w:cs="宋体"/>
          <w:szCs w:val="21"/>
        </w:rPr>
      </w:pPr>
      <w:r>
        <w:rPr>
          <w:rFonts w:hint="eastAsia" w:ascii="宋体" w:hAnsi="宋体" w:cs="宋体"/>
          <w:szCs w:val="21"/>
        </w:rPr>
        <w:t>39.1采购人组织对中标供应商履约的验收。大型或者复杂的政府采购项目，应当邀请国家认可的质量检测机构参加验收工作。验收方成员应当在验收书上签字，并承担相应的法律责任。如果发现与合同中要求不符，中标供应商须承担由此发生的一切损失和费用，并接受相应的处理。</w:t>
      </w:r>
    </w:p>
    <w:p w14:paraId="64E07966">
      <w:pPr>
        <w:tabs>
          <w:tab w:val="left" w:pos="0"/>
        </w:tabs>
        <w:spacing w:line="400" w:lineRule="exact"/>
        <w:ind w:firstLine="480"/>
        <w:rPr>
          <w:rFonts w:hint="eastAsia" w:ascii="宋体" w:hAnsi="宋体" w:cs="宋体"/>
          <w:szCs w:val="21"/>
        </w:rPr>
      </w:pPr>
      <w:r>
        <w:rPr>
          <w:rFonts w:hint="eastAsia" w:ascii="宋体" w:hAnsi="宋体" w:cs="宋体"/>
          <w:szCs w:val="21"/>
        </w:rPr>
        <w:t>39.2采购人可以邀请参加本项目的其他投标人或者第三方机构参与验收。参与验收的投标人或者第三方机构的意见作为验收书的参考资料一并存档。</w:t>
      </w:r>
    </w:p>
    <w:p w14:paraId="75655826">
      <w:pPr>
        <w:tabs>
          <w:tab w:val="left" w:pos="0"/>
        </w:tabs>
        <w:spacing w:line="400" w:lineRule="exact"/>
        <w:ind w:firstLine="480"/>
        <w:rPr>
          <w:rFonts w:hint="eastAsia" w:ascii="宋体" w:hAnsi="宋体" w:cs="宋体"/>
          <w:szCs w:val="21"/>
        </w:rPr>
      </w:pPr>
      <w:r>
        <w:rPr>
          <w:rFonts w:hint="eastAsia" w:ascii="宋体" w:hAnsi="宋体" w:cs="宋体"/>
          <w:szCs w:val="21"/>
        </w:rPr>
        <w:t>39.3严格按照采购合同开展履约验收。采购人成立验收小组，按照采购合同的约定对中标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4B0603F">
      <w:pPr>
        <w:tabs>
          <w:tab w:val="left" w:pos="0"/>
        </w:tabs>
        <w:spacing w:line="400" w:lineRule="exact"/>
        <w:ind w:firstLine="480"/>
        <w:rPr>
          <w:rFonts w:hint="eastAsia" w:ascii="宋体" w:hAnsi="宋体" w:cs="宋体"/>
          <w:szCs w:val="21"/>
        </w:rPr>
      </w:pPr>
      <w:r>
        <w:rPr>
          <w:rFonts w:hint="eastAsia" w:ascii="宋体" w:hAnsi="宋体" w:cs="宋体"/>
          <w:szCs w:val="21"/>
        </w:rPr>
        <w:t>39.4验收合格的项目，采购人将根据采购合同的约定及时向中标供应商支付采购资金。验收不合格的项目，采购人将依法及时处理。采购合同的履行、违约责任和解决争议的方式等适用《中华人民共和国民法典》。中标供应商在履约过程中有政府采购法律法规规定的违法违规情形的，采购人应当及时报告本级财政部门。</w:t>
      </w:r>
    </w:p>
    <w:p w14:paraId="26632C97">
      <w:pPr>
        <w:pStyle w:val="6"/>
        <w:keepNext w:val="0"/>
        <w:keepLines w:val="0"/>
        <w:spacing w:line="400" w:lineRule="exact"/>
        <w:jc w:val="center"/>
        <w:rPr>
          <w:rFonts w:hint="eastAsia" w:ascii="宋体" w:hAnsi="宋体" w:cs="宋体"/>
          <w:sz w:val="21"/>
          <w:szCs w:val="21"/>
        </w:rPr>
      </w:pPr>
      <w:bookmarkStart w:id="159" w:name="_八、其他事项"/>
      <w:bookmarkEnd w:id="159"/>
      <w:bookmarkStart w:id="160" w:name="_Toc27466"/>
      <w:bookmarkStart w:id="161" w:name="_Toc99033084"/>
      <w:r>
        <w:rPr>
          <w:rFonts w:hint="eastAsia" w:ascii="宋体" w:hAnsi="宋体" w:cs="宋体"/>
          <w:sz w:val="21"/>
          <w:szCs w:val="21"/>
        </w:rPr>
        <w:t>九、其他事项</w:t>
      </w:r>
      <w:bookmarkEnd w:id="160"/>
      <w:bookmarkEnd w:id="161"/>
    </w:p>
    <w:p w14:paraId="7E914543">
      <w:pPr>
        <w:spacing w:line="400" w:lineRule="exact"/>
        <w:ind w:firstLine="420" w:firstLineChars="200"/>
        <w:rPr>
          <w:rFonts w:hint="eastAsia" w:ascii="宋体" w:hAnsi="宋体" w:cs="宋体"/>
          <w:szCs w:val="21"/>
        </w:rPr>
      </w:pPr>
      <w:bookmarkStart w:id="162" w:name="_42.代理服务费"/>
      <w:bookmarkEnd w:id="162"/>
      <w:r>
        <w:rPr>
          <w:rFonts w:hint="eastAsia" w:ascii="宋体" w:hAnsi="宋体" w:cs="宋体"/>
          <w:szCs w:val="21"/>
        </w:rPr>
        <w:t>40.代理服务费</w:t>
      </w:r>
    </w:p>
    <w:p w14:paraId="08D55FB4">
      <w:pPr>
        <w:spacing w:line="400" w:lineRule="exact"/>
        <w:ind w:firstLine="422" w:firstLineChars="200"/>
        <w:rPr>
          <w:rFonts w:hint="eastAsia" w:ascii="宋体" w:hAnsi="宋体" w:cs="宋体"/>
          <w:b/>
          <w:szCs w:val="21"/>
        </w:rPr>
      </w:pPr>
      <w:r>
        <w:rPr>
          <w:rFonts w:hint="eastAsia" w:ascii="宋体" w:hAnsi="宋体" w:cs="宋体"/>
          <w:b/>
          <w:szCs w:val="21"/>
        </w:rPr>
        <w:t>40.1代理服务收费标准及缴费账户详见“投标人须知前附表”，投标人为联合体的，可以由联合体中的一方或者多方共同交纳代理服务费。</w:t>
      </w:r>
    </w:p>
    <w:p w14:paraId="6CED20F2">
      <w:pPr>
        <w:pStyle w:val="7"/>
        <w:keepNext w:val="0"/>
        <w:keepLines w:val="0"/>
        <w:spacing w:before="0" w:after="0" w:line="400" w:lineRule="exact"/>
        <w:ind w:left="420" w:leftChars="200"/>
        <w:rPr>
          <w:rFonts w:hint="eastAsia" w:asciiTheme="minorEastAsia" w:hAnsiTheme="minorEastAsia" w:eastAsiaTheme="minorEastAsia" w:cstheme="minorEastAsia"/>
          <w:b w:val="0"/>
          <w:sz w:val="21"/>
          <w:szCs w:val="21"/>
        </w:rPr>
      </w:pPr>
      <w:r>
        <w:rPr>
          <w:rFonts w:hint="eastAsia" w:asciiTheme="minorEastAsia" w:hAnsiTheme="minorEastAsia" w:eastAsiaTheme="minorEastAsia" w:cstheme="minorEastAsia"/>
          <w:sz w:val="21"/>
          <w:szCs w:val="21"/>
        </w:rPr>
        <w:t>40.2</w:t>
      </w:r>
      <w:r>
        <w:rPr>
          <w:rFonts w:hint="eastAsia" w:asciiTheme="minorEastAsia" w:hAnsiTheme="minorEastAsia" w:eastAsiaTheme="minorEastAsia" w:cstheme="minorEastAsia"/>
          <w:b w:val="0"/>
          <w:sz w:val="21"/>
          <w:szCs w:val="21"/>
        </w:rPr>
        <w:t>代理服务收费标准：</w:t>
      </w:r>
    </w:p>
    <w:tbl>
      <w:tblPr>
        <w:tblStyle w:val="18"/>
        <w:tblW w:w="8108"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290"/>
      </w:tblGrid>
      <w:tr w14:paraId="35D1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472" w:type="dxa"/>
            <w:tcBorders>
              <w:tl2br w:val="single" w:color="auto" w:sz="4" w:space="0"/>
            </w:tcBorders>
          </w:tcPr>
          <w:p w14:paraId="6D9DD772">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费率</w:t>
            </w:r>
          </w:p>
          <w:p w14:paraId="456FE476">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中标金额</w:t>
            </w:r>
          </w:p>
        </w:tc>
        <w:tc>
          <w:tcPr>
            <w:tcW w:w="1659" w:type="dxa"/>
            <w:vAlign w:val="center"/>
          </w:tcPr>
          <w:p w14:paraId="5C93B470">
            <w:pPr>
              <w:spacing w:line="400" w:lineRule="exact"/>
              <w:ind w:firstLine="105"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货物招标</w:t>
            </w:r>
          </w:p>
        </w:tc>
        <w:tc>
          <w:tcPr>
            <w:tcW w:w="1687" w:type="dxa"/>
            <w:vAlign w:val="center"/>
          </w:tcPr>
          <w:p w14:paraId="4702265E">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服务招标</w:t>
            </w:r>
          </w:p>
        </w:tc>
        <w:tc>
          <w:tcPr>
            <w:tcW w:w="1290" w:type="dxa"/>
            <w:vAlign w:val="center"/>
          </w:tcPr>
          <w:p w14:paraId="36F3EDAA">
            <w:pPr>
              <w:spacing w:line="4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工程招标</w:t>
            </w:r>
          </w:p>
        </w:tc>
      </w:tr>
      <w:tr w14:paraId="4AC6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AA925C6">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100万元以下</w:t>
            </w:r>
          </w:p>
        </w:tc>
        <w:tc>
          <w:tcPr>
            <w:tcW w:w="1659" w:type="dxa"/>
          </w:tcPr>
          <w:p w14:paraId="460035D5">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  1.5%                </w:t>
            </w:r>
          </w:p>
        </w:tc>
        <w:tc>
          <w:tcPr>
            <w:tcW w:w="1687" w:type="dxa"/>
          </w:tcPr>
          <w:p w14:paraId="5272D3BE">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1.5%</w:t>
            </w:r>
          </w:p>
        </w:tc>
        <w:tc>
          <w:tcPr>
            <w:tcW w:w="1290" w:type="dxa"/>
          </w:tcPr>
          <w:p w14:paraId="17592F6A">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1.0% </w:t>
            </w:r>
          </w:p>
        </w:tc>
      </w:tr>
      <w:tr w14:paraId="5992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6418999">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100～500万元</w:t>
            </w:r>
          </w:p>
        </w:tc>
        <w:tc>
          <w:tcPr>
            <w:tcW w:w="1659" w:type="dxa"/>
          </w:tcPr>
          <w:p w14:paraId="2380BED9">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1.1%                 </w:t>
            </w:r>
          </w:p>
        </w:tc>
        <w:tc>
          <w:tcPr>
            <w:tcW w:w="1687" w:type="dxa"/>
          </w:tcPr>
          <w:p w14:paraId="25182F10">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0.8%</w:t>
            </w:r>
          </w:p>
        </w:tc>
        <w:tc>
          <w:tcPr>
            <w:tcW w:w="1290" w:type="dxa"/>
          </w:tcPr>
          <w:p w14:paraId="71B24EBF">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0.7% </w:t>
            </w:r>
          </w:p>
        </w:tc>
      </w:tr>
      <w:tr w14:paraId="16DD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CE7D6CD">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500～1000万元</w:t>
            </w:r>
          </w:p>
        </w:tc>
        <w:tc>
          <w:tcPr>
            <w:tcW w:w="1659" w:type="dxa"/>
          </w:tcPr>
          <w:p w14:paraId="6E304583">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  0.8%                </w:t>
            </w:r>
          </w:p>
        </w:tc>
        <w:tc>
          <w:tcPr>
            <w:tcW w:w="1687" w:type="dxa"/>
          </w:tcPr>
          <w:p w14:paraId="74D17446">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0.45%</w:t>
            </w:r>
          </w:p>
        </w:tc>
        <w:tc>
          <w:tcPr>
            <w:tcW w:w="1290" w:type="dxa"/>
          </w:tcPr>
          <w:p w14:paraId="17150956">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0.55%</w:t>
            </w:r>
          </w:p>
        </w:tc>
      </w:tr>
      <w:tr w14:paraId="5485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00245D7">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1000～5000万元</w:t>
            </w:r>
          </w:p>
        </w:tc>
        <w:tc>
          <w:tcPr>
            <w:tcW w:w="1659" w:type="dxa"/>
          </w:tcPr>
          <w:p w14:paraId="003B41A8">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0.5%                </w:t>
            </w:r>
          </w:p>
        </w:tc>
        <w:tc>
          <w:tcPr>
            <w:tcW w:w="1687" w:type="dxa"/>
          </w:tcPr>
          <w:p w14:paraId="51F51E5D">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0.25%</w:t>
            </w:r>
          </w:p>
        </w:tc>
        <w:tc>
          <w:tcPr>
            <w:tcW w:w="1290" w:type="dxa"/>
          </w:tcPr>
          <w:p w14:paraId="5E6F7F14">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0.35% </w:t>
            </w:r>
          </w:p>
        </w:tc>
      </w:tr>
      <w:tr w14:paraId="01A2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8F2CCA6">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5000万元～1亿元</w:t>
            </w:r>
          </w:p>
        </w:tc>
        <w:tc>
          <w:tcPr>
            <w:tcW w:w="1659" w:type="dxa"/>
          </w:tcPr>
          <w:p w14:paraId="2191A2E3">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 xml:space="preserve">0.25%                 </w:t>
            </w:r>
          </w:p>
        </w:tc>
        <w:tc>
          <w:tcPr>
            <w:tcW w:w="1687" w:type="dxa"/>
          </w:tcPr>
          <w:p w14:paraId="16738210">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0.1%</w:t>
            </w:r>
          </w:p>
        </w:tc>
        <w:tc>
          <w:tcPr>
            <w:tcW w:w="1290" w:type="dxa"/>
          </w:tcPr>
          <w:p w14:paraId="053B9AF4">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0.2%</w:t>
            </w:r>
          </w:p>
        </w:tc>
      </w:tr>
      <w:tr w14:paraId="228B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69D9F56">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1～5亿元</w:t>
            </w:r>
          </w:p>
        </w:tc>
        <w:tc>
          <w:tcPr>
            <w:tcW w:w="1659" w:type="dxa"/>
          </w:tcPr>
          <w:p w14:paraId="101CE39F">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0.05%</w:t>
            </w:r>
          </w:p>
        </w:tc>
        <w:tc>
          <w:tcPr>
            <w:tcW w:w="1687" w:type="dxa"/>
          </w:tcPr>
          <w:p w14:paraId="39880670">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0.05%</w:t>
            </w:r>
          </w:p>
        </w:tc>
        <w:tc>
          <w:tcPr>
            <w:tcW w:w="1290" w:type="dxa"/>
          </w:tcPr>
          <w:p w14:paraId="109FEF91">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0.05%</w:t>
            </w:r>
          </w:p>
        </w:tc>
      </w:tr>
      <w:tr w14:paraId="5D39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F3A0B3B">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5～10亿元</w:t>
            </w:r>
          </w:p>
        </w:tc>
        <w:tc>
          <w:tcPr>
            <w:tcW w:w="1659" w:type="dxa"/>
          </w:tcPr>
          <w:p w14:paraId="02611754">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0.035%</w:t>
            </w:r>
          </w:p>
        </w:tc>
        <w:tc>
          <w:tcPr>
            <w:tcW w:w="1687" w:type="dxa"/>
          </w:tcPr>
          <w:p w14:paraId="4871E8D4">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0.035%</w:t>
            </w:r>
          </w:p>
        </w:tc>
        <w:tc>
          <w:tcPr>
            <w:tcW w:w="1290" w:type="dxa"/>
          </w:tcPr>
          <w:p w14:paraId="3F94EB95">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0.035%</w:t>
            </w:r>
          </w:p>
        </w:tc>
      </w:tr>
      <w:tr w14:paraId="0157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36DF34A">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10～50亿元</w:t>
            </w:r>
          </w:p>
        </w:tc>
        <w:tc>
          <w:tcPr>
            <w:tcW w:w="1659" w:type="dxa"/>
          </w:tcPr>
          <w:p w14:paraId="2FAF0811">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0.008%</w:t>
            </w:r>
          </w:p>
        </w:tc>
        <w:tc>
          <w:tcPr>
            <w:tcW w:w="1687" w:type="dxa"/>
          </w:tcPr>
          <w:p w14:paraId="4F4FB466">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0.008%</w:t>
            </w:r>
          </w:p>
        </w:tc>
        <w:tc>
          <w:tcPr>
            <w:tcW w:w="1290" w:type="dxa"/>
          </w:tcPr>
          <w:p w14:paraId="5F017A66">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0.008%</w:t>
            </w:r>
          </w:p>
        </w:tc>
      </w:tr>
      <w:tr w14:paraId="4B35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8633227">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50～100亿元</w:t>
            </w:r>
          </w:p>
        </w:tc>
        <w:tc>
          <w:tcPr>
            <w:tcW w:w="1659" w:type="dxa"/>
          </w:tcPr>
          <w:p w14:paraId="24FAE75D">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0.006%</w:t>
            </w:r>
          </w:p>
        </w:tc>
        <w:tc>
          <w:tcPr>
            <w:tcW w:w="1687" w:type="dxa"/>
          </w:tcPr>
          <w:p w14:paraId="6027A71C">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0.006%</w:t>
            </w:r>
          </w:p>
        </w:tc>
        <w:tc>
          <w:tcPr>
            <w:tcW w:w="1290" w:type="dxa"/>
          </w:tcPr>
          <w:p w14:paraId="263297B2">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0.006%</w:t>
            </w:r>
          </w:p>
        </w:tc>
      </w:tr>
      <w:tr w14:paraId="2778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647A383">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100亿以上</w:t>
            </w:r>
          </w:p>
        </w:tc>
        <w:tc>
          <w:tcPr>
            <w:tcW w:w="1659" w:type="dxa"/>
          </w:tcPr>
          <w:p w14:paraId="08C2A775">
            <w:pPr>
              <w:spacing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0.004%</w:t>
            </w:r>
          </w:p>
        </w:tc>
        <w:tc>
          <w:tcPr>
            <w:tcW w:w="1687" w:type="dxa"/>
          </w:tcPr>
          <w:p w14:paraId="6C18188C">
            <w:pPr>
              <w:spacing w:line="400" w:lineRule="exact"/>
              <w:ind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0.004%</w:t>
            </w:r>
          </w:p>
        </w:tc>
        <w:tc>
          <w:tcPr>
            <w:tcW w:w="1290" w:type="dxa"/>
          </w:tcPr>
          <w:p w14:paraId="68FE23A5">
            <w:pPr>
              <w:spacing w:line="400" w:lineRule="exact"/>
              <w:ind w:firstLine="105" w:firstLineChars="5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0.004%</w:t>
            </w:r>
          </w:p>
        </w:tc>
      </w:tr>
    </w:tbl>
    <w:p w14:paraId="1B49CE6A">
      <w:pPr>
        <w:adjustRightInd w:val="0"/>
        <w:snapToGrid w:val="0"/>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注: </w:t>
      </w:r>
    </w:p>
    <w:p w14:paraId="5489FE89">
      <w:pPr>
        <w:adjustRightInd w:val="0"/>
        <w:snapToGrid w:val="0"/>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（1）按本表费率计算的收费为采购代理的收费基准价格；</w:t>
      </w:r>
    </w:p>
    <w:p w14:paraId="5BEBD864">
      <w:pPr>
        <w:adjustRightInd w:val="0"/>
        <w:snapToGrid w:val="0"/>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（2）采购代理收费按差额定率累进法计算。</w:t>
      </w:r>
    </w:p>
    <w:p w14:paraId="7CEFAA98">
      <w:pPr>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例如：某服务采购代理业务中标金额或者暂定价为150万元，计算采购代理收费额如下：</w:t>
      </w:r>
    </w:p>
    <w:p w14:paraId="745F1D3C">
      <w:pPr>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100 万元 ×l.5 ％＝ 1.5 万元</w:t>
      </w:r>
    </w:p>
    <w:p w14:paraId="0B56AB55">
      <w:pPr>
        <w:spacing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150 － 100 ）万元 ×0.8％＝ 0.4万元</w:t>
      </w:r>
    </w:p>
    <w:p w14:paraId="741D9DF1">
      <w:pPr>
        <w:spacing w:line="400" w:lineRule="exact"/>
        <w:ind w:firstLine="420" w:firstLineChars="200"/>
        <w:rPr>
          <w:rFonts w:hint="eastAsia" w:ascii="宋体" w:hAnsi="宋体" w:cs="宋体"/>
          <w:szCs w:val="21"/>
        </w:rPr>
      </w:pPr>
      <w:r>
        <w:rPr>
          <w:rFonts w:hint="eastAsia" w:asciiTheme="minorEastAsia" w:hAnsiTheme="minorEastAsia" w:eastAsiaTheme="minorEastAsia" w:cstheme="minorEastAsia"/>
          <w:szCs w:val="21"/>
        </w:rPr>
        <w:t>合计收费＝ 1.5 ＋ 0.4＝ 1.9万元</w:t>
      </w:r>
    </w:p>
    <w:p w14:paraId="29D87E18">
      <w:pPr>
        <w:spacing w:line="400" w:lineRule="exact"/>
        <w:ind w:firstLine="420" w:firstLineChars="200"/>
        <w:rPr>
          <w:rFonts w:hint="eastAsia" w:ascii="宋体" w:hAnsi="宋体" w:cs="宋体"/>
          <w:szCs w:val="21"/>
        </w:rPr>
      </w:pPr>
      <w:r>
        <w:rPr>
          <w:rFonts w:hint="eastAsia" w:ascii="宋体" w:hAnsi="宋体" w:cs="宋体"/>
          <w:szCs w:val="21"/>
        </w:rPr>
        <w:t>41. 需要补充的其他内容</w:t>
      </w:r>
    </w:p>
    <w:p w14:paraId="30416227">
      <w:pPr>
        <w:spacing w:line="400" w:lineRule="exact"/>
        <w:ind w:firstLine="420" w:firstLineChars="200"/>
        <w:rPr>
          <w:rFonts w:hint="eastAsia" w:ascii="宋体" w:hAnsi="宋体" w:cs="宋体"/>
          <w:szCs w:val="21"/>
        </w:rPr>
      </w:pPr>
      <w:r>
        <w:rPr>
          <w:rFonts w:hint="eastAsia" w:ascii="宋体" w:hAnsi="宋体" w:cs="宋体"/>
          <w:szCs w:val="21"/>
        </w:rPr>
        <w:t>41.1本招标文件解释规则详见“投标人须知前附表”。</w:t>
      </w:r>
    </w:p>
    <w:p w14:paraId="3B955BA2">
      <w:pPr>
        <w:spacing w:line="400" w:lineRule="exact"/>
        <w:ind w:firstLine="420" w:firstLineChars="200"/>
        <w:rPr>
          <w:rFonts w:hint="eastAsia" w:ascii="宋体" w:hAnsi="宋体" w:cs="宋体"/>
          <w:szCs w:val="21"/>
        </w:rPr>
      </w:pPr>
      <w:r>
        <w:rPr>
          <w:rFonts w:hint="eastAsia" w:ascii="宋体" w:hAnsi="宋体" w:cs="宋体"/>
          <w:szCs w:val="21"/>
        </w:rPr>
        <w:t>41.2 其他事项详见“投标人须知前附表”。</w:t>
      </w:r>
    </w:p>
    <w:p w14:paraId="7C0DB236">
      <w:pPr>
        <w:spacing w:line="400" w:lineRule="exact"/>
        <w:ind w:firstLine="420" w:firstLineChars="200"/>
        <w:rPr>
          <w:rFonts w:hint="eastAsia" w:ascii="宋体" w:hAnsi="宋体" w:cs="宋体"/>
          <w:szCs w:val="21"/>
        </w:rPr>
      </w:pPr>
      <w:r>
        <w:rPr>
          <w:rFonts w:hint="eastAsia" w:ascii="宋体" w:hAnsi="宋体" w:cs="宋体"/>
          <w:szCs w:val="21"/>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投标人提供的服务的人员为中小企业依照《中华人民共和国劳动合同法》订立劳动合同的从业人员，不对其中涉及的货物的制造商和工程承建商作出要求的，享受本文件规定的中小企业扶持政策。</w:t>
      </w:r>
    </w:p>
    <w:p w14:paraId="5B169D49">
      <w:pPr>
        <w:spacing w:line="400" w:lineRule="exact"/>
        <w:ind w:firstLine="420" w:firstLineChars="200"/>
        <w:rPr>
          <w:rFonts w:hint="eastAsia" w:ascii="宋体" w:hAnsi="宋体" w:cs="宋体"/>
          <w:szCs w:val="21"/>
        </w:rPr>
      </w:pPr>
      <w:r>
        <w:rPr>
          <w:rFonts w:hint="eastAsia" w:ascii="宋体" w:hAnsi="宋体" w:cs="宋体"/>
          <w:szCs w:val="21"/>
        </w:rPr>
        <w:t>以联合体形式参加政府采购活动，联合体各方均为中小企业的，联合体视同中小企业。其中，联合体各方均为小微企业的，联合体视同小微企业。</w:t>
      </w:r>
    </w:p>
    <w:p w14:paraId="64C635C0">
      <w:pPr>
        <w:spacing w:line="400" w:lineRule="exact"/>
        <w:ind w:firstLine="420" w:firstLineChars="200"/>
        <w:rPr>
          <w:rFonts w:hint="eastAsia" w:ascii="宋体" w:hAnsi="宋体" w:cs="宋体"/>
          <w:szCs w:val="21"/>
        </w:rPr>
      </w:pPr>
      <w:r>
        <w:rPr>
          <w:rFonts w:hint="eastAsia" w:ascii="宋体" w:hAnsi="宋体" w:cs="宋体"/>
          <w:szCs w:val="21"/>
        </w:rPr>
        <w:t>依据本文件规定享受扶持政策获得政府采购合同的，小微企业不得将合同分包给大中型企业，中型企业不得将合同分包给大型企业。</w:t>
      </w:r>
    </w:p>
    <w:p w14:paraId="5A3498EE">
      <w:pPr>
        <w:pStyle w:val="11"/>
        <w:spacing w:before="120" w:after="120" w:line="400" w:lineRule="exact"/>
        <w:ind w:firstLine="420" w:firstLineChars="200"/>
        <w:contextualSpacing/>
        <w:rPr>
          <w:rFonts w:hint="eastAsia" w:hAnsi="宋体" w:cs="宋体"/>
          <w:sz w:val="21"/>
        </w:rPr>
      </w:pPr>
    </w:p>
    <w:p w14:paraId="77326E5E">
      <w:pPr>
        <w:pStyle w:val="2"/>
        <w:spacing w:line="400" w:lineRule="exact"/>
        <w:ind w:left="449" w:leftChars="114" w:hanging="210" w:hangingChars="100"/>
        <w:rPr>
          <w:rFonts w:hint="eastAsia" w:ascii="宋体" w:hAnsi="宋体" w:cs="宋体"/>
          <w:sz w:val="21"/>
          <w:szCs w:val="21"/>
        </w:rPr>
      </w:pPr>
      <w:r>
        <w:rPr>
          <w:rFonts w:hint="eastAsia" w:ascii="宋体" w:hAnsi="宋体" w:cs="宋体"/>
          <w:sz w:val="21"/>
          <w:szCs w:val="21"/>
        </w:rPr>
        <w:br w:type="page"/>
      </w:r>
    </w:p>
    <w:p w14:paraId="2735E0E1">
      <w:pPr>
        <w:pStyle w:val="2"/>
        <w:spacing w:line="400" w:lineRule="exact"/>
        <w:ind w:left="449" w:leftChars="114" w:hanging="210" w:hangingChars="100"/>
        <w:rPr>
          <w:rFonts w:hint="eastAsia" w:ascii="宋体" w:hAnsi="宋体" w:cs="宋体"/>
          <w:sz w:val="21"/>
          <w:szCs w:val="21"/>
        </w:rPr>
      </w:pPr>
    </w:p>
    <w:p w14:paraId="49E5EB9E">
      <w:pPr>
        <w:pStyle w:val="2"/>
        <w:spacing w:line="400" w:lineRule="exact"/>
        <w:ind w:left="449" w:leftChars="114" w:hanging="210" w:hangingChars="100"/>
        <w:rPr>
          <w:rFonts w:hint="eastAsia" w:ascii="宋体" w:hAnsi="宋体" w:cs="宋体"/>
          <w:sz w:val="21"/>
          <w:szCs w:val="21"/>
        </w:rPr>
      </w:pPr>
    </w:p>
    <w:p w14:paraId="2D818F74">
      <w:pPr>
        <w:pStyle w:val="2"/>
        <w:spacing w:line="400" w:lineRule="exact"/>
        <w:ind w:left="449" w:leftChars="114" w:hanging="210" w:hangingChars="100"/>
        <w:rPr>
          <w:rFonts w:hint="eastAsia" w:ascii="宋体" w:hAnsi="宋体" w:cs="宋体"/>
          <w:sz w:val="21"/>
          <w:szCs w:val="21"/>
        </w:rPr>
      </w:pPr>
    </w:p>
    <w:p w14:paraId="1FD25FE8">
      <w:pPr>
        <w:pStyle w:val="11"/>
        <w:snapToGrid w:val="0"/>
        <w:spacing w:before="120" w:after="120" w:line="400" w:lineRule="exact"/>
        <w:rPr>
          <w:rFonts w:hint="eastAsia" w:hAnsi="宋体" w:cs="宋体"/>
          <w:sz w:val="21"/>
        </w:rPr>
      </w:pPr>
    </w:p>
    <w:p w14:paraId="7B2A8C45">
      <w:pPr>
        <w:pStyle w:val="11"/>
        <w:snapToGrid w:val="0"/>
        <w:spacing w:before="120" w:after="120" w:line="400" w:lineRule="exact"/>
        <w:rPr>
          <w:rFonts w:hint="eastAsia" w:hAnsi="宋体" w:cs="宋体"/>
          <w:sz w:val="21"/>
        </w:rPr>
      </w:pPr>
    </w:p>
    <w:p w14:paraId="09D37F7E">
      <w:pPr>
        <w:pStyle w:val="11"/>
        <w:snapToGrid w:val="0"/>
        <w:spacing w:before="120" w:after="120" w:line="400" w:lineRule="exact"/>
        <w:rPr>
          <w:rFonts w:hint="eastAsia" w:hAnsi="宋体" w:cs="宋体"/>
          <w:sz w:val="21"/>
        </w:rPr>
      </w:pPr>
    </w:p>
    <w:p w14:paraId="662EB95C">
      <w:pPr>
        <w:pStyle w:val="11"/>
        <w:snapToGrid w:val="0"/>
        <w:spacing w:before="120" w:after="120" w:line="400" w:lineRule="exact"/>
        <w:rPr>
          <w:rFonts w:hint="eastAsia" w:hAnsi="宋体" w:cs="宋体"/>
          <w:sz w:val="21"/>
        </w:rPr>
      </w:pPr>
    </w:p>
    <w:p w14:paraId="4556DFA1">
      <w:pPr>
        <w:pStyle w:val="11"/>
        <w:snapToGrid w:val="0"/>
        <w:spacing w:before="120" w:after="120" w:line="400" w:lineRule="exact"/>
        <w:rPr>
          <w:rFonts w:hint="eastAsia" w:hAnsi="宋体" w:cs="宋体"/>
          <w:sz w:val="21"/>
        </w:rPr>
      </w:pPr>
    </w:p>
    <w:p w14:paraId="5499C593">
      <w:pPr>
        <w:pStyle w:val="11"/>
        <w:snapToGrid w:val="0"/>
        <w:spacing w:before="120" w:after="120" w:line="400" w:lineRule="exact"/>
        <w:rPr>
          <w:rFonts w:hint="eastAsia" w:hAnsi="宋体" w:cs="宋体"/>
          <w:sz w:val="21"/>
        </w:rPr>
      </w:pPr>
    </w:p>
    <w:p w14:paraId="504FEEAA">
      <w:pPr>
        <w:pStyle w:val="11"/>
        <w:snapToGrid w:val="0"/>
        <w:spacing w:before="120" w:after="120" w:line="400" w:lineRule="exact"/>
        <w:rPr>
          <w:rFonts w:hint="eastAsia" w:hAnsi="宋体" w:cs="宋体"/>
          <w:sz w:val="21"/>
        </w:rPr>
      </w:pPr>
    </w:p>
    <w:p w14:paraId="0C126822">
      <w:pPr>
        <w:pStyle w:val="11"/>
        <w:snapToGrid w:val="0"/>
        <w:spacing w:before="120" w:after="120" w:line="400" w:lineRule="exact"/>
        <w:rPr>
          <w:rFonts w:hint="eastAsia" w:hAnsi="宋体" w:cs="宋体"/>
          <w:sz w:val="21"/>
        </w:rPr>
      </w:pPr>
    </w:p>
    <w:p w14:paraId="08C722DC">
      <w:pPr>
        <w:pStyle w:val="11"/>
        <w:snapToGrid w:val="0"/>
        <w:spacing w:before="120" w:after="120" w:line="400" w:lineRule="exact"/>
        <w:rPr>
          <w:rFonts w:hint="eastAsia" w:hAnsi="宋体" w:cs="宋体"/>
          <w:sz w:val="21"/>
        </w:rPr>
      </w:pPr>
    </w:p>
    <w:p w14:paraId="612FE251">
      <w:pPr>
        <w:pStyle w:val="4"/>
        <w:tabs>
          <w:tab w:val="left" w:pos="0"/>
          <w:tab w:val="left" w:pos="3165"/>
          <w:tab w:val="center" w:pos="4153"/>
        </w:tabs>
        <w:autoSpaceDE w:val="0"/>
        <w:autoSpaceDN w:val="0"/>
        <w:adjustRightInd w:val="0"/>
        <w:spacing w:before="0" w:after="0" w:line="400" w:lineRule="exact"/>
        <w:jc w:val="center"/>
        <w:rPr>
          <w:rFonts w:hint="eastAsia" w:ascii="方正小标宋_GBK" w:hAnsi="方正小标宋_GBK" w:eastAsia="方正小标宋_GBK" w:cs="方正小标宋_GBK"/>
          <w:bCs w:val="0"/>
          <w:kern w:val="2"/>
          <w:sz w:val="21"/>
          <w:szCs w:val="21"/>
        </w:rPr>
      </w:pPr>
      <w:bookmarkStart w:id="163" w:name="_Toc74320803"/>
      <w:bookmarkStart w:id="164" w:name="_Toc330456896"/>
      <w:bookmarkStart w:id="165" w:name="_Toc254970548"/>
      <w:bookmarkStart w:id="166" w:name="_Toc254970689"/>
      <w:r>
        <w:rPr>
          <w:rFonts w:hint="eastAsia" w:ascii="方正小标宋_GBK" w:hAnsi="方正小标宋_GBK" w:eastAsia="方正小标宋_GBK" w:cs="方正小标宋_GBK"/>
          <w:bCs w:val="0"/>
          <w:kern w:val="2"/>
          <w:sz w:val="21"/>
          <w:szCs w:val="21"/>
        </w:rPr>
        <w:t>第四章  评标方法及评标标准</w:t>
      </w:r>
      <w:bookmarkEnd w:id="163"/>
      <w:bookmarkEnd w:id="164"/>
      <w:bookmarkEnd w:id="165"/>
      <w:bookmarkEnd w:id="166"/>
    </w:p>
    <w:p w14:paraId="5EE729F2">
      <w:pPr>
        <w:pStyle w:val="11"/>
        <w:spacing w:line="400" w:lineRule="exact"/>
        <w:rPr>
          <w:rFonts w:hint="eastAsia" w:hAnsi="宋体" w:cs="宋体"/>
          <w:b/>
          <w:sz w:val="21"/>
        </w:rPr>
      </w:pPr>
    </w:p>
    <w:p w14:paraId="1D80A50F">
      <w:pPr>
        <w:pStyle w:val="5"/>
        <w:spacing w:line="400" w:lineRule="exact"/>
        <w:jc w:val="center"/>
        <w:rPr>
          <w:rFonts w:hint="eastAsia" w:ascii="宋体" w:hAnsi="宋体" w:eastAsia="宋体"/>
          <w:sz w:val="21"/>
          <w:szCs w:val="21"/>
        </w:rPr>
      </w:pPr>
      <w:r>
        <w:rPr>
          <w:rFonts w:hint="eastAsia"/>
        </w:rPr>
        <w:br w:type="page"/>
      </w:r>
      <w:r>
        <w:rPr>
          <w:rFonts w:hint="eastAsia" w:ascii="宋体" w:hAnsi="宋体" w:eastAsia="宋体"/>
          <w:sz w:val="21"/>
          <w:szCs w:val="21"/>
        </w:rPr>
        <w:t>第一节 评标方法</w:t>
      </w:r>
    </w:p>
    <w:p w14:paraId="466285F5">
      <w:pPr>
        <w:pStyle w:val="11"/>
        <w:tabs>
          <w:tab w:val="left" w:pos="2472"/>
        </w:tabs>
        <w:spacing w:line="400" w:lineRule="exact"/>
        <w:ind w:firstLine="420" w:firstLineChars="200"/>
        <w:rPr>
          <w:rFonts w:hint="eastAsia" w:hAnsi="宋体" w:cs="宋体"/>
          <w:sz w:val="21"/>
        </w:rPr>
      </w:pPr>
      <w:r>
        <w:rPr>
          <w:rFonts w:hint="eastAsia" w:hAnsi="宋体" w:cs="宋体"/>
          <w:sz w:val="21"/>
        </w:rPr>
        <w:t>本项目采用</w:t>
      </w:r>
      <w:r>
        <w:rPr>
          <w:rFonts w:hint="eastAsia" w:hAnsi="宋体" w:cs="宋体"/>
          <w:sz w:val="21"/>
          <w:u w:val="single"/>
        </w:rPr>
        <w:t>以下勾选的方式</w:t>
      </w:r>
      <w:r>
        <w:rPr>
          <w:rFonts w:hint="eastAsia" w:hAnsi="宋体" w:cs="宋体"/>
          <w:sz w:val="21"/>
        </w:rPr>
        <w:t>进行评审。</w:t>
      </w:r>
    </w:p>
    <w:p w14:paraId="42D167A2">
      <w:pPr>
        <w:pStyle w:val="11"/>
        <w:spacing w:line="400" w:lineRule="exact"/>
        <w:ind w:firstLine="200"/>
        <w:rPr>
          <w:rFonts w:hint="eastAsia" w:hAnsi="宋体" w:cs="宋体"/>
          <w:sz w:val="21"/>
        </w:rPr>
      </w:pPr>
      <w:r>
        <w:rPr>
          <w:rFonts w:hint="eastAsia" w:hAnsi="宋体" w:cs="宋体"/>
          <w:sz w:val="21"/>
        </w:rPr>
        <w:t>□最低评标价法，是指投标文件满足招标文件全部实质性要求，且投标报价最低的投标人为中标候选人的评标方法。</w:t>
      </w:r>
    </w:p>
    <w:p w14:paraId="703924FC">
      <w:pPr>
        <w:autoSpaceDE w:val="0"/>
        <w:autoSpaceDN w:val="0"/>
        <w:adjustRightInd w:val="0"/>
        <w:spacing w:line="400" w:lineRule="exact"/>
        <w:ind w:firstLine="420" w:firstLineChars="200"/>
        <w:rPr>
          <w:rFonts w:hint="eastAsia" w:ascii="宋体" w:hAnsi="宋体" w:cs="宋体"/>
          <w:szCs w:val="21"/>
        </w:rPr>
      </w:pPr>
      <w:r>
        <w:rPr>
          <w:rFonts w:hint="eastAsia" w:ascii="宋体" w:hAnsi="宋体" w:cs="宋体"/>
          <w:szCs w:val="21"/>
        </w:rPr>
        <w:t>☑综合评分法，</w:t>
      </w:r>
      <w:r>
        <w:rPr>
          <w:rFonts w:hint="eastAsia" w:ascii="宋体" w:hAnsi="宋体"/>
          <w:szCs w:val="21"/>
        </w:rPr>
        <w:t>采用综合评分法的，评标委员会将根据总得分由高到低排列次序并推荐中标候选人。综合得分相同的，按照投标报价低的优先；综合得分和投标报价相同的，按照技术评分高的优先；综合得分、投标报价和技术评分相同的，按照商务评分高的优先。综合得分、投标报价、技术评分、商务评分均相同的，由评标委员会采用不记名投票决定，票数高的优先推荐。</w:t>
      </w:r>
    </w:p>
    <w:p w14:paraId="19B97ECC">
      <w:pPr>
        <w:pStyle w:val="5"/>
        <w:spacing w:line="400" w:lineRule="exact"/>
        <w:jc w:val="center"/>
        <w:rPr>
          <w:rFonts w:hint="eastAsia" w:ascii="宋体" w:hAnsi="宋体" w:eastAsia="宋体"/>
          <w:sz w:val="21"/>
          <w:szCs w:val="21"/>
        </w:rPr>
      </w:pPr>
      <w:bookmarkStart w:id="167" w:name="_Toc99033087"/>
      <w:bookmarkStart w:id="168" w:name="_Toc31357"/>
      <w:r>
        <w:rPr>
          <w:rFonts w:hint="eastAsia" w:ascii="宋体" w:hAnsi="宋体" w:eastAsia="宋体"/>
          <w:sz w:val="21"/>
          <w:szCs w:val="21"/>
        </w:rPr>
        <w:t>第二节 评标程序</w:t>
      </w:r>
      <w:bookmarkEnd w:id="167"/>
      <w:bookmarkEnd w:id="168"/>
    </w:p>
    <w:p w14:paraId="6C69555F">
      <w:pPr>
        <w:spacing w:line="400" w:lineRule="exact"/>
        <w:ind w:firstLine="422" w:firstLineChars="200"/>
        <w:rPr>
          <w:rFonts w:hint="eastAsia" w:ascii="宋体" w:hAnsi="宋体" w:cs="宋体"/>
          <w:b/>
          <w:szCs w:val="21"/>
        </w:rPr>
      </w:pPr>
      <w:r>
        <w:rPr>
          <w:rFonts w:hint="eastAsia" w:ascii="宋体" w:hAnsi="宋体" w:cs="宋体"/>
          <w:b/>
          <w:szCs w:val="21"/>
        </w:rPr>
        <w:t>1.符合性审查</w:t>
      </w:r>
    </w:p>
    <w:p w14:paraId="64EAC508">
      <w:pPr>
        <w:spacing w:line="400" w:lineRule="exact"/>
        <w:ind w:firstLine="420" w:firstLineChars="200"/>
        <w:rPr>
          <w:rFonts w:hint="eastAsia" w:ascii="宋体" w:hAnsi="宋体" w:cs="宋体"/>
          <w:szCs w:val="21"/>
        </w:rPr>
      </w:pPr>
      <w:r>
        <w:rPr>
          <w:rFonts w:hint="eastAsia" w:ascii="宋体" w:hAnsi="宋体" w:cs="宋体"/>
          <w:szCs w:val="21"/>
        </w:rPr>
        <w:t>评标委员会应当对符合资格的投标人的投标文件进行投标报价、商务、技术等实质性内容符合性审查，以确定其是否满足招标文件的实质性要求。</w:t>
      </w:r>
    </w:p>
    <w:p w14:paraId="33D85832">
      <w:pPr>
        <w:spacing w:line="400" w:lineRule="exact"/>
        <w:ind w:firstLine="422" w:firstLineChars="200"/>
        <w:rPr>
          <w:rFonts w:hint="eastAsia" w:ascii="宋体" w:hAnsi="宋体" w:cs="宋体"/>
          <w:b/>
          <w:szCs w:val="21"/>
        </w:rPr>
      </w:pPr>
      <w:r>
        <w:rPr>
          <w:rFonts w:hint="eastAsia" w:ascii="宋体" w:hAnsi="宋体" w:cs="宋体"/>
          <w:b/>
          <w:szCs w:val="21"/>
        </w:rPr>
        <w:t>2.符合性审查不通过而导致投标无效的情形</w:t>
      </w:r>
    </w:p>
    <w:p w14:paraId="5C1EF6EA">
      <w:pPr>
        <w:spacing w:line="400" w:lineRule="exact"/>
        <w:ind w:firstLine="420" w:firstLineChars="200"/>
        <w:rPr>
          <w:rFonts w:hint="eastAsia" w:ascii="宋体" w:hAnsi="宋体" w:cs="宋体"/>
          <w:szCs w:val="21"/>
        </w:rPr>
      </w:pPr>
      <w:r>
        <w:rPr>
          <w:rFonts w:hint="eastAsia" w:ascii="宋体" w:hAnsi="宋体" w:cs="宋体"/>
          <w:szCs w:val="21"/>
        </w:rPr>
        <w:t>投标人的投标文件中存在对招标文件的任何实质性要求和条件的负偏离，将被视为投标无效。</w:t>
      </w:r>
    </w:p>
    <w:p w14:paraId="708C619C">
      <w:pPr>
        <w:spacing w:line="400" w:lineRule="exact"/>
        <w:ind w:firstLine="420" w:firstLineChars="200"/>
        <w:rPr>
          <w:rFonts w:hint="eastAsia" w:ascii="宋体" w:hAnsi="宋体" w:cs="宋体"/>
          <w:szCs w:val="21"/>
        </w:rPr>
      </w:pPr>
      <w:r>
        <w:rPr>
          <w:rFonts w:hint="eastAsia" w:ascii="宋体" w:hAnsi="宋体" w:cs="宋体"/>
          <w:szCs w:val="21"/>
        </w:rPr>
        <w:t>2.1在报价评审时，如发现下列情形之一的，将被视为投标无效：</w:t>
      </w:r>
    </w:p>
    <w:p w14:paraId="74417DC0">
      <w:pPr>
        <w:spacing w:line="400" w:lineRule="exact"/>
        <w:ind w:firstLine="420" w:firstLineChars="200"/>
        <w:rPr>
          <w:rFonts w:hint="eastAsia" w:ascii="宋体" w:hAnsi="宋体" w:cs="宋体"/>
          <w:szCs w:val="21"/>
        </w:rPr>
      </w:pPr>
      <w:r>
        <w:rPr>
          <w:rFonts w:hint="eastAsia" w:ascii="宋体" w:hAnsi="宋体" w:cs="宋体"/>
          <w:szCs w:val="21"/>
        </w:rPr>
        <w:t>（1）投标文件未提供“投标人须知前附表”第13.1条规定中“必须提供”的文件资料的；</w:t>
      </w:r>
    </w:p>
    <w:p w14:paraId="0735124E">
      <w:pPr>
        <w:spacing w:line="400" w:lineRule="exact"/>
        <w:ind w:firstLine="420" w:firstLineChars="200"/>
        <w:rPr>
          <w:rFonts w:hint="eastAsia" w:ascii="宋体" w:hAnsi="宋体" w:cs="宋体"/>
          <w:szCs w:val="21"/>
        </w:rPr>
      </w:pPr>
      <w:r>
        <w:rPr>
          <w:rFonts w:hint="eastAsia" w:ascii="宋体" w:hAnsi="宋体" w:cs="宋体"/>
          <w:szCs w:val="21"/>
        </w:rPr>
        <w:t>（2）未采用人民币报价或者未按照招标文件标明的币种报价的；</w:t>
      </w:r>
    </w:p>
    <w:p w14:paraId="578BC50B">
      <w:pPr>
        <w:spacing w:line="400" w:lineRule="exact"/>
        <w:ind w:firstLine="420" w:firstLineChars="200"/>
        <w:rPr>
          <w:rFonts w:hint="eastAsia" w:ascii="宋体" w:hAnsi="宋体" w:cs="宋体"/>
          <w:szCs w:val="21"/>
        </w:rPr>
      </w:pPr>
      <w:r>
        <w:rPr>
          <w:rFonts w:hint="eastAsia" w:ascii="宋体" w:hAnsi="宋体" w:cs="宋体"/>
          <w:szCs w:val="21"/>
        </w:rPr>
        <w:t>（3）报价超出招标文件规定最高限价，或者超出采购预算金额的；</w:t>
      </w:r>
    </w:p>
    <w:p w14:paraId="31E5E25F">
      <w:pPr>
        <w:spacing w:line="400" w:lineRule="exact"/>
        <w:ind w:firstLine="420" w:firstLineChars="200"/>
        <w:rPr>
          <w:rFonts w:hint="eastAsia" w:ascii="宋体" w:hAnsi="宋体" w:cs="宋体"/>
          <w:szCs w:val="21"/>
        </w:rPr>
      </w:pPr>
      <w:r>
        <w:rPr>
          <w:rFonts w:hint="eastAsia" w:ascii="宋体" w:hAnsi="宋体" w:cs="宋体"/>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0517B858">
      <w:pPr>
        <w:spacing w:line="400" w:lineRule="exact"/>
        <w:ind w:firstLine="420" w:firstLineChars="200"/>
        <w:rPr>
          <w:rFonts w:hint="eastAsia" w:ascii="宋体" w:hAnsi="宋体" w:cs="宋体"/>
          <w:szCs w:val="21"/>
        </w:rPr>
      </w:pPr>
      <w:r>
        <w:rPr>
          <w:rFonts w:hint="eastAsia" w:ascii="宋体" w:hAnsi="宋体" w:cs="宋体"/>
          <w:szCs w:val="21"/>
        </w:rPr>
        <w:t>（5）修正后的报价，投标人不确认的；</w:t>
      </w:r>
    </w:p>
    <w:p w14:paraId="1C7ECE2E">
      <w:pPr>
        <w:spacing w:line="400" w:lineRule="exact"/>
        <w:ind w:firstLine="420" w:firstLineChars="200"/>
        <w:rPr>
          <w:rFonts w:hint="eastAsia" w:ascii="宋体" w:hAnsi="宋体" w:cs="宋体"/>
          <w:szCs w:val="21"/>
        </w:rPr>
      </w:pPr>
      <w:r>
        <w:rPr>
          <w:rFonts w:hint="eastAsia" w:ascii="宋体" w:hAnsi="宋体" w:cs="宋体"/>
          <w:szCs w:val="21"/>
        </w:rPr>
        <w:t>（6）投标人属于本章第5条第（2）项情形的。</w:t>
      </w:r>
    </w:p>
    <w:p w14:paraId="4F1B4215">
      <w:pPr>
        <w:spacing w:line="400" w:lineRule="exact"/>
        <w:ind w:firstLine="420" w:firstLineChars="200"/>
        <w:rPr>
          <w:rFonts w:hint="eastAsia" w:ascii="宋体" w:hAnsi="宋体" w:cs="宋体"/>
          <w:szCs w:val="21"/>
        </w:rPr>
      </w:pPr>
      <w:r>
        <w:rPr>
          <w:rFonts w:hint="eastAsia" w:ascii="宋体" w:hAnsi="宋体" w:cs="宋体"/>
          <w:szCs w:val="21"/>
        </w:rPr>
        <w:t>2.2在商务评审时，如发现下列情形之一的，将被视为投标无效：</w:t>
      </w:r>
    </w:p>
    <w:p w14:paraId="57B1FBB5">
      <w:pPr>
        <w:spacing w:line="400" w:lineRule="exact"/>
        <w:ind w:firstLine="420" w:firstLineChars="200"/>
        <w:rPr>
          <w:rFonts w:hint="eastAsia" w:ascii="宋体" w:hAnsi="宋体" w:cs="宋体"/>
          <w:szCs w:val="21"/>
        </w:rPr>
      </w:pPr>
      <w:r>
        <w:rPr>
          <w:rFonts w:hint="eastAsia" w:ascii="宋体" w:hAnsi="宋体" w:cs="宋体"/>
          <w:szCs w:val="21"/>
        </w:rPr>
        <w:t>（1）投标文件未按招标文件要求签署、盖章的；</w:t>
      </w:r>
    </w:p>
    <w:p w14:paraId="62ED41A4">
      <w:pPr>
        <w:spacing w:line="400" w:lineRule="exact"/>
        <w:ind w:firstLine="420" w:firstLineChars="200"/>
        <w:rPr>
          <w:rFonts w:hint="eastAsia" w:ascii="宋体" w:hAnsi="宋体" w:cs="宋体"/>
          <w:szCs w:val="21"/>
        </w:rPr>
      </w:pPr>
      <w:r>
        <w:rPr>
          <w:rFonts w:hint="eastAsia" w:ascii="宋体" w:hAnsi="宋体" w:cs="宋体"/>
          <w:szCs w:val="21"/>
        </w:rPr>
        <w:t xml:space="preserve">（2）委托代理人未能出具有效身份证明或者出具的身份证明与授权委托书中的信息不符的； </w:t>
      </w:r>
    </w:p>
    <w:p w14:paraId="27C0ECE5">
      <w:pPr>
        <w:spacing w:line="400" w:lineRule="exact"/>
        <w:ind w:firstLine="420" w:firstLineChars="200"/>
        <w:rPr>
          <w:rFonts w:hint="eastAsia" w:ascii="宋体" w:hAnsi="宋体" w:cs="宋体"/>
          <w:szCs w:val="21"/>
        </w:rPr>
      </w:pPr>
      <w:r>
        <w:rPr>
          <w:rFonts w:hint="eastAsia" w:ascii="宋体" w:hAnsi="宋体" w:cs="宋体"/>
          <w:szCs w:val="21"/>
        </w:rPr>
        <w:t>（3）投标文件未提供“投标人须知前附表”第13.1条规定中“必须提供”或者“委托时必须提供”的文件资料的；</w:t>
      </w:r>
    </w:p>
    <w:p w14:paraId="02F43550">
      <w:pPr>
        <w:spacing w:line="400" w:lineRule="exact"/>
        <w:ind w:firstLine="420" w:firstLineChars="200"/>
        <w:rPr>
          <w:rFonts w:hint="eastAsia" w:ascii="宋体" w:hAnsi="宋体" w:cs="宋体"/>
          <w:szCs w:val="21"/>
        </w:rPr>
      </w:pPr>
      <w:r>
        <w:rPr>
          <w:rFonts w:hint="eastAsia" w:ascii="宋体" w:hAnsi="宋体" w:cs="宋体"/>
          <w:szCs w:val="21"/>
        </w:rPr>
        <w:t>（4）投标有效期、项目完成时间（交货时间、服务完成时间或者服务期等）、质保期、售后服务等招标文件中标“▲”的商务条款发生负偏离的；</w:t>
      </w:r>
    </w:p>
    <w:p w14:paraId="5D5FE5E3">
      <w:pPr>
        <w:spacing w:line="400" w:lineRule="exact"/>
        <w:ind w:firstLine="420" w:firstLineChars="200"/>
        <w:rPr>
          <w:rFonts w:hint="eastAsia" w:ascii="宋体" w:hAnsi="宋体" w:cs="宋体"/>
          <w:szCs w:val="21"/>
        </w:rPr>
      </w:pPr>
      <w:r>
        <w:rPr>
          <w:rFonts w:hint="eastAsia" w:ascii="宋体" w:hAnsi="宋体" w:cs="宋体"/>
          <w:szCs w:val="21"/>
        </w:rPr>
        <w:t>（5）商务条款评审允许负偏离的条款数超过“投标人须知前附表”规定项数的。</w:t>
      </w:r>
    </w:p>
    <w:p w14:paraId="02A5F233">
      <w:pPr>
        <w:spacing w:line="400" w:lineRule="exact"/>
        <w:ind w:firstLine="420" w:firstLineChars="200"/>
        <w:rPr>
          <w:rFonts w:hint="eastAsia" w:ascii="宋体" w:hAnsi="宋体" w:cs="宋体"/>
          <w:szCs w:val="21"/>
        </w:rPr>
      </w:pPr>
      <w:r>
        <w:rPr>
          <w:rFonts w:hint="eastAsia" w:ascii="宋体" w:hAnsi="宋体" w:cs="宋体"/>
          <w:szCs w:val="21"/>
        </w:rPr>
        <w:t>（6）投标文件的实质性内容未使用中文表述、使用计量单位不符合招标文件要求的；</w:t>
      </w:r>
    </w:p>
    <w:p w14:paraId="48A9F151">
      <w:pPr>
        <w:spacing w:line="400" w:lineRule="exact"/>
        <w:ind w:firstLine="420" w:firstLineChars="200"/>
        <w:rPr>
          <w:rFonts w:hint="eastAsia" w:ascii="宋体" w:hAnsi="宋体" w:cs="宋体"/>
          <w:szCs w:val="21"/>
        </w:rPr>
      </w:pPr>
      <w:r>
        <w:rPr>
          <w:rFonts w:hint="eastAsia" w:ascii="宋体" w:hAnsi="宋体" w:cs="宋体"/>
          <w:szCs w:val="21"/>
        </w:rPr>
        <w:t>（7）投标文件中的文件资料因填写不齐全或者内容虚假或者出现其他情形而导致被评标委员会认定无效的；</w:t>
      </w:r>
    </w:p>
    <w:p w14:paraId="1A9A8409">
      <w:pPr>
        <w:spacing w:line="400" w:lineRule="exact"/>
        <w:ind w:firstLine="420" w:firstLineChars="200"/>
        <w:rPr>
          <w:rFonts w:hint="eastAsia" w:ascii="宋体" w:hAnsi="宋体" w:cs="宋体"/>
          <w:szCs w:val="21"/>
        </w:rPr>
      </w:pPr>
      <w:r>
        <w:rPr>
          <w:rFonts w:hint="eastAsia" w:ascii="宋体" w:hAnsi="宋体" w:cs="宋体"/>
          <w:szCs w:val="21"/>
        </w:rPr>
        <w:t>（8）投标文件含有采购人不能接受的附加条件的；</w:t>
      </w:r>
    </w:p>
    <w:p w14:paraId="42E77A2E">
      <w:pPr>
        <w:spacing w:line="400" w:lineRule="exact"/>
        <w:ind w:firstLine="420" w:firstLineChars="200"/>
        <w:rPr>
          <w:rFonts w:hint="eastAsia" w:ascii="宋体" w:hAnsi="宋体" w:cs="宋体"/>
          <w:szCs w:val="21"/>
        </w:rPr>
      </w:pPr>
      <w:r>
        <w:rPr>
          <w:rFonts w:hint="eastAsia" w:ascii="宋体" w:hAnsi="宋体" w:cs="宋体"/>
          <w:szCs w:val="21"/>
        </w:rPr>
        <w:t>（9）未响应招标文件实质性要求的；</w:t>
      </w:r>
    </w:p>
    <w:p w14:paraId="35A339AE">
      <w:pPr>
        <w:spacing w:line="400" w:lineRule="exact"/>
        <w:ind w:firstLine="420" w:firstLineChars="200"/>
        <w:rPr>
          <w:rFonts w:hint="eastAsia" w:ascii="宋体" w:hAnsi="宋体" w:cs="宋体"/>
          <w:szCs w:val="21"/>
        </w:rPr>
      </w:pPr>
      <w:r>
        <w:rPr>
          <w:rFonts w:hint="eastAsia" w:ascii="宋体" w:hAnsi="宋体" w:cs="宋体"/>
          <w:szCs w:val="21"/>
        </w:rPr>
        <w:t>（10）属于投标人须知正文第9.2条情形的；</w:t>
      </w:r>
    </w:p>
    <w:p w14:paraId="64F3FBF1">
      <w:pPr>
        <w:spacing w:line="400" w:lineRule="exact"/>
        <w:ind w:firstLine="420" w:firstLineChars="200"/>
        <w:rPr>
          <w:rFonts w:hint="eastAsia" w:ascii="宋体" w:hAnsi="宋体" w:cs="宋体"/>
          <w:szCs w:val="21"/>
        </w:rPr>
      </w:pPr>
      <w:r>
        <w:rPr>
          <w:rFonts w:hint="eastAsia" w:ascii="宋体" w:hAnsi="宋体" w:cs="宋体"/>
          <w:szCs w:val="21"/>
        </w:rPr>
        <w:t>（11）法律、法规和招标文件规定的其他无效情形。</w:t>
      </w:r>
    </w:p>
    <w:p w14:paraId="19817E61">
      <w:pPr>
        <w:spacing w:line="400" w:lineRule="exact"/>
        <w:ind w:firstLine="420" w:firstLineChars="200"/>
        <w:rPr>
          <w:rFonts w:hint="eastAsia" w:ascii="宋体" w:hAnsi="宋体" w:cs="宋体"/>
          <w:szCs w:val="21"/>
        </w:rPr>
      </w:pPr>
      <w:r>
        <w:rPr>
          <w:rFonts w:hint="eastAsia" w:ascii="宋体" w:hAnsi="宋体" w:cs="宋体"/>
          <w:szCs w:val="21"/>
        </w:rPr>
        <w:t>2.3在技术评审时，如发现下列情形之一的，将被视为投标无效：</w:t>
      </w:r>
    </w:p>
    <w:p w14:paraId="11D39EA5">
      <w:pPr>
        <w:spacing w:line="400" w:lineRule="exact"/>
        <w:ind w:firstLine="420" w:firstLineChars="200"/>
        <w:rPr>
          <w:rFonts w:hint="eastAsia" w:ascii="宋体" w:hAnsi="宋体" w:cs="宋体"/>
          <w:szCs w:val="21"/>
        </w:rPr>
      </w:pPr>
      <w:r>
        <w:rPr>
          <w:rFonts w:hint="eastAsia" w:ascii="宋体" w:hAnsi="宋体" w:cs="宋体"/>
          <w:szCs w:val="21"/>
        </w:rPr>
        <w:t>（1）不满足招标文件要求的服务内容、技术要求、安全、质量标准，或者与招标文件中标“▲”的技术需求发生负偏离的；</w:t>
      </w:r>
    </w:p>
    <w:p w14:paraId="0FDC9A1C">
      <w:pPr>
        <w:spacing w:line="400" w:lineRule="exact"/>
        <w:ind w:firstLine="420" w:firstLineChars="200"/>
        <w:rPr>
          <w:rFonts w:hint="eastAsia" w:ascii="宋体" w:hAnsi="宋体" w:cs="宋体"/>
          <w:szCs w:val="21"/>
        </w:rPr>
      </w:pPr>
      <w:r>
        <w:rPr>
          <w:rFonts w:hint="eastAsia" w:ascii="宋体" w:hAnsi="宋体" w:cs="宋体"/>
          <w:szCs w:val="21"/>
        </w:rPr>
        <w:t>（2）技术需求评审允许负偏离的条款数超过“投标人须知前附表”规定项数的；</w:t>
      </w:r>
    </w:p>
    <w:p w14:paraId="33E60AB8">
      <w:pPr>
        <w:spacing w:line="400" w:lineRule="exact"/>
        <w:ind w:firstLine="420" w:firstLineChars="200"/>
        <w:rPr>
          <w:rFonts w:hint="eastAsia" w:ascii="宋体" w:hAnsi="宋体" w:cs="宋体"/>
          <w:szCs w:val="21"/>
        </w:rPr>
      </w:pPr>
      <w:r>
        <w:rPr>
          <w:rFonts w:hint="eastAsia" w:ascii="宋体" w:hAnsi="宋体" w:cs="宋体"/>
          <w:szCs w:val="21"/>
        </w:rPr>
        <w:t>（3）投标文件未提供“投标人须知前附表”第13.1条规定中“必须提供”的文件资料的；</w:t>
      </w:r>
    </w:p>
    <w:p w14:paraId="2E7D11C0">
      <w:pPr>
        <w:spacing w:line="400" w:lineRule="exact"/>
        <w:ind w:firstLine="420" w:firstLineChars="200"/>
        <w:rPr>
          <w:rFonts w:hint="eastAsia" w:ascii="宋体" w:hAnsi="宋体" w:cs="宋体"/>
          <w:szCs w:val="21"/>
        </w:rPr>
      </w:pPr>
      <w:r>
        <w:rPr>
          <w:rFonts w:hint="eastAsia" w:ascii="宋体" w:hAnsi="宋体" w:cs="宋体"/>
          <w:szCs w:val="21"/>
        </w:rPr>
        <w:t>（4）虚假投标，或者出现其他情形而导致被评标委员会认定无效的；</w:t>
      </w:r>
    </w:p>
    <w:p w14:paraId="7AAF6AFB">
      <w:pPr>
        <w:spacing w:line="400" w:lineRule="exact"/>
        <w:ind w:firstLine="420" w:firstLineChars="200"/>
        <w:rPr>
          <w:rFonts w:hint="eastAsia" w:ascii="宋体" w:hAnsi="宋体" w:cs="宋体"/>
          <w:szCs w:val="21"/>
        </w:rPr>
      </w:pPr>
      <w:r>
        <w:rPr>
          <w:rFonts w:hint="eastAsia" w:ascii="宋体" w:hAnsi="宋体" w:cs="宋体"/>
          <w:szCs w:val="21"/>
        </w:rPr>
        <w:t>（5）招标文件未允许但存在一个或者一个以上备选（替代）投标方案的。</w:t>
      </w:r>
    </w:p>
    <w:p w14:paraId="10136290">
      <w:pPr>
        <w:spacing w:line="400" w:lineRule="exact"/>
        <w:ind w:firstLine="422" w:firstLineChars="200"/>
        <w:rPr>
          <w:rFonts w:hint="eastAsia" w:ascii="宋体" w:hAnsi="宋体" w:cs="宋体"/>
          <w:b/>
          <w:szCs w:val="21"/>
        </w:rPr>
      </w:pPr>
      <w:r>
        <w:rPr>
          <w:rFonts w:hint="eastAsia" w:ascii="宋体" w:hAnsi="宋体" w:cs="宋体"/>
          <w:b/>
          <w:szCs w:val="21"/>
        </w:rPr>
        <w:t>3.澄清补正、说明或者补正</w:t>
      </w:r>
    </w:p>
    <w:p w14:paraId="0A915C7B">
      <w:pPr>
        <w:spacing w:line="400" w:lineRule="exact"/>
        <w:ind w:firstLine="420" w:firstLineChars="200"/>
        <w:rPr>
          <w:rFonts w:hint="eastAsia" w:ascii="宋体" w:hAnsi="宋体" w:cs="宋体"/>
          <w:szCs w:val="21"/>
        </w:rPr>
      </w:pPr>
      <w:r>
        <w:rPr>
          <w:rFonts w:hint="eastAsia" w:ascii="宋体" w:hAnsi="宋体" w:cs="宋体"/>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13E8E301">
      <w:pPr>
        <w:spacing w:line="400" w:lineRule="exact"/>
        <w:ind w:firstLine="420" w:firstLineChars="200"/>
        <w:rPr>
          <w:rFonts w:hint="eastAsia" w:ascii="宋体" w:hAnsi="宋体" w:cs="宋体"/>
          <w:szCs w:val="21"/>
        </w:rPr>
      </w:pPr>
      <w:r>
        <w:rPr>
          <w:rFonts w:hint="eastAsia" w:ascii="宋体" w:hAnsi="宋体" w:cs="宋体"/>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5BA7300E">
      <w:pPr>
        <w:spacing w:line="400" w:lineRule="exact"/>
        <w:ind w:firstLine="422" w:firstLineChars="200"/>
        <w:rPr>
          <w:rFonts w:hint="eastAsia" w:ascii="宋体" w:hAnsi="宋体" w:cs="宋体"/>
          <w:b/>
          <w:szCs w:val="21"/>
        </w:rPr>
      </w:pPr>
      <w:r>
        <w:rPr>
          <w:rFonts w:hint="eastAsia" w:ascii="宋体" w:hAnsi="宋体" w:cs="宋体"/>
          <w:b/>
          <w:szCs w:val="21"/>
        </w:rPr>
        <w:t>4.投标文件修正</w:t>
      </w:r>
    </w:p>
    <w:p w14:paraId="178A0FA5">
      <w:pPr>
        <w:spacing w:line="400" w:lineRule="exact"/>
        <w:ind w:firstLine="420" w:firstLineChars="200"/>
        <w:rPr>
          <w:rFonts w:hint="eastAsia" w:ascii="宋体" w:hAnsi="宋体" w:cs="宋体"/>
          <w:szCs w:val="21"/>
        </w:rPr>
      </w:pPr>
      <w:r>
        <w:rPr>
          <w:rFonts w:hint="eastAsia" w:ascii="宋体" w:hAnsi="宋体" w:cs="宋体"/>
          <w:szCs w:val="21"/>
        </w:rPr>
        <w:t xml:space="preserve">4.1投标文件报价出现前后不一致的，按照下列规定修正： </w:t>
      </w:r>
    </w:p>
    <w:p w14:paraId="489DDC74">
      <w:pPr>
        <w:spacing w:line="400" w:lineRule="exact"/>
        <w:ind w:firstLine="420" w:firstLineChars="200"/>
        <w:rPr>
          <w:rFonts w:hint="eastAsia" w:ascii="宋体" w:hAnsi="宋体" w:cs="宋体"/>
          <w:szCs w:val="21"/>
        </w:rPr>
      </w:pPr>
      <w:r>
        <w:rPr>
          <w:rFonts w:hint="eastAsia" w:ascii="宋体" w:hAnsi="宋体" w:cs="宋体"/>
          <w:szCs w:val="21"/>
        </w:rPr>
        <w:t>（1）报价文件中“开标一览表”内容与投标文件中相应内容不一致的，以“开标一览表”为准；</w:t>
      </w:r>
    </w:p>
    <w:p w14:paraId="723057D8">
      <w:pPr>
        <w:spacing w:line="400" w:lineRule="exact"/>
        <w:ind w:firstLine="420" w:firstLineChars="200"/>
        <w:rPr>
          <w:rFonts w:hint="eastAsia" w:ascii="宋体" w:hAnsi="宋体" w:cs="宋体"/>
          <w:szCs w:val="21"/>
        </w:rPr>
      </w:pPr>
      <w:r>
        <w:rPr>
          <w:rFonts w:hint="eastAsia" w:ascii="宋体" w:hAnsi="宋体" w:cs="宋体"/>
          <w:szCs w:val="21"/>
        </w:rPr>
        <w:t>（2）大写金额和小写金额不一致的，以大写金额为准；</w:t>
      </w:r>
    </w:p>
    <w:p w14:paraId="616892DB">
      <w:pPr>
        <w:spacing w:line="400" w:lineRule="exact"/>
        <w:ind w:firstLine="420" w:firstLineChars="200"/>
        <w:rPr>
          <w:rFonts w:hint="eastAsia" w:ascii="宋体" w:hAnsi="宋体" w:cs="宋体"/>
          <w:szCs w:val="21"/>
        </w:rPr>
      </w:pPr>
      <w:r>
        <w:rPr>
          <w:rFonts w:hint="eastAsia" w:ascii="宋体" w:hAnsi="宋体" w:cs="宋体"/>
          <w:szCs w:val="21"/>
        </w:rPr>
        <w:t>（3）单价金额小数点或者百分比有明显错位的，以开标一览表的总价为准，并修改单价；</w:t>
      </w:r>
    </w:p>
    <w:p w14:paraId="7A7F5D21">
      <w:pPr>
        <w:spacing w:line="400" w:lineRule="exact"/>
        <w:ind w:firstLine="420" w:firstLineChars="200"/>
        <w:rPr>
          <w:rFonts w:hint="eastAsia" w:ascii="宋体" w:hAnsi="宋体" w:cs="宋体"/>
          <w:szCs w:val="21"/>
        </w:rPr>
      </w:pPr>
      <w:r>
        <w:rPr>
          <w:rFonts w:hint="eastAsia" w:ascii="宋体" w:hAnsi="宋体" w:cs="宋体"/>
          <w:szCs w:val="21"/>
        </w:rPr>
        <w:t>（4）总价金额与按单价汇总金额不一致的，以单价金额计算结果为准。</w:t>
      </w:r>
    </w:p>
    <w:p w14:paraId="0D8A0CEF">
      <w:pPr>
        <w:spacing w:line="400" w:lineRule="exact"/>
        <w:ind w:firstLine="420" w:firstLineChars="200"/>
        <w:rPr>
          <w:rFonts w:hint="eastAsia" w:ascii="宋体" w:hAnsi="宋体" w:cs="宋体"/>
          <w:szCs w:val="21"/>
        </w:rPr>
      </w:pPr>
      <w:r>
        <w:rPr>
          <w:rFonts w:hint="eastAsia" w:ascii="宋体" w:hAnsi="宋体" w:cs="宋体"/>
          <w:szCs w:val="21"/>
        </w:rPr>
        <w:t>同时出现两种以上不一致的，按照以上（1）-（4）规定的顺序修正。修正后的报价经投标人确认后产生约束力，投标人不确认的，其投标无效。</w:t>
      </w:r>
    </w:p>
    <w:p w14:paraId="2169B10A">
      <w:pPr>
        <w:spacing w:line="400" w:lineRule="exact"/>
        <w:ind w:firstLine="420" w:firstLineChars="200"/>
        <w:rPr>
          <w:rFonts w:hint="eastAsia" w:ascii="宋体" w:hAnsi="宋体" w:cs="宋体"/>
          <w:szCs w:val="21"/>
        </w:rPr>
      </w:pPr>
      <w:r>
        <w:rPr>
          <w:rFonts w:hint="eastAsia" w:ascii="宋体" w:hAnsi="宋体" w:cs="宋体"/>
          <w:szCs w:val="21"/>
        </w:rPr>
        <w:t>4.2经投标人确认修正后的报价若超过采购预算金额或者最高限价，投标人的投标文件作无效投标处理。</w:t>
      </w:r>
    </w:p>
    <w:p w14:paraId="47A6D293">
      <w:pPr>
        <w:spacing w:line="400" w:lineRule="exact"/>
        <w:ind w:firstLine="420" w:firstLineChars="200"/>
        <w:rPr>
          <w:rFonts w:hint="eastAsia" w:ascii="宋体" w:hAnsi="宋体" w:cs="宋体"/>
          <w:szCs w:val="21"/>
        </w:rPr>
      </w:pPr>
      <w:r>
        <w:rPr>
          <w:rFonts w:hint="eastAsia" w:ascii="宋体" w:hAnsi="宋体" w:cs="宋体"/>
          <w:szCs w:val="21"/>
        </w:rPr>
        <w:t>4.3经投标人确认修正后的报价作为签订合同的依据，并以此报价计算价格分。</w:t>
      </w:r>
    </w:p>
    <w:p w14:paraId="07D5E7A3">
      <w:pPr>
        <w:spacing w:line="400" w:lineRule="exact"/>
        <w:ind w:firstLine="422" w:firstLineChars="200"/>
        <w:rPr>
          <w:rFonts w:hint="eastAsia" w:ascii="宋体" w:hAnsi="宋体" w:cs="宋体"/>
          <w:b/>
          <w:szCs w:val="21"/>
        </w:rPr>
      </w:pPr>
      <w:r>
        <w:rPr>
          <w:rFonts w:hint="eastAsia" w:ascii="宋体" w:hAnsi="宋体" w:cs="宋体"/>
          <w:b/>
          <w:szCs w:val="21"/>
        </w:rPr>
        <w:t>5.比较与评价</w:t>
      </w:r>
    </w:p>
    <w:p w14:paraId="2C17B59C">
      <w:pPr>
        <w:spacing w:line="400" w:lineRule="exact"/>
        <w:ind w:firstLine="420" w:firstLineChars="200"/>
        <w:rPr>
          <w:rFonts w:hint="eastAsia" w:ascii="宋体" w:hAnsi="宋体" w:cs="宋体"/>
          <w:szCs w:val="21"/>
        </w:rPr>
      </w:pPr>
      <w:r>
        <w:rPr>
          <w:rFonts w:hint="eastAsia" w:ascii="宋体" w:hAnsi="宋体" w:cs="宋体"/>
          <w:szCs w:val="21"/>
        </w:rPr>
        <w:t>5.1评标委员会按照招标文件中规定的评标方法和评标标准，对符合性审查合格的投标文件进行商务和技术评估，综合比较与评价。</w:t>
      </w:r>
    </w:p>
    <w:p w14:paraId="5ED5F9CA">
      <w:pPr>
        <w:spacing w:line="400" w:lineRule="exact"/>
        <w:ind w:firstLine="420" w:firstLineChars="200"/>
        <w:rPr>
          <w:rFonts w:hint="eastAsia" w:ascii="宋体" w:hAnsi="宋体" w:cs="宋体"/>
          <w:szCs w:val="21"/>
        </w:rPr>
      </w:pPr>
      <w:r>
        <w:rPr>
          <w:rFonts w:hint="eastAsia" w:ascii="宋体" w:hAnsi="宋体" w:cs="宋体"/>
          <w:szCs w:val="21"/>
        </w:rPr>
        <w:t>5.2评标委员会独立对每个投标人的投标文件进行评价，并汇总每个投标人的得分。</w:t>
      </w:r>
    </w:p>
    <w:p w14:paraId="40DFC1D0">
      <w:pPr>
        <w:spacing w:line="400" w:lineRule="exact"/>
        <w:ind w:firstLine="420" w:firstLineChars="200"/>
        <w:rPr>
          <w:rFonts w:hint="eastAsia" w:ascii="宋体" w:hAnsi="宋体" w:cs="宋体"/>
          <w:szCs w:val="21"/>
        </w:rPr>
      </w:pPr>
      <w:r>
        <w:rPr>
          <w:rFonts w:hint="eastAsia" w:ascii="宋体" w:hAnsi="宋体" w:cs="宋体"/>
          <w:szCs w:val="21"/>
        </w:rPr>
        <w:t>（1）评标委员会成员要根据政府采购法律法规和采购文件所载明的评审方法、标准进行评审。对投标人的价格分等客观评分项的评分应当一致，对其他需要借助专业知识评判的主观评分项，应当严格按照评分细则公正评分。</w:t>
      </w:r>
    </w:p>
    <w:p w14:paraId="508FC137">
      <w:pPr>
        <w:spacing w:line="400" w:lineRule="exact"/>
        <w:ind w:firstLine="420" w:firstLineChars="200"/>
        <w:rPr>
          <w:rFonts w:hint="eastAsia" w:ascii="宋体" w:hAnsi="宋体" w:cs="宋体"/>
          <w:szCs w:val="21"/>
        </w:rPr>
      </w:pPr>
      <w:r>
        <w:rPr>
          <w:rFonts w:hint="eastAsia" w:ascii="宋体" w:hAnsi="宋体" w:cs="宋体"/>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67F7C47F">
      <w:pPr>
        <w:spacing w:line="400" w:lineRule="exact"/>
        <w:ind w:firstLine="420" w:firstLineChars="200"/>
        <w:rPr>
          <w:rFonts w:hint="eastAsia" w:ascii="宋体" w:hAnsi="宋体" w:cs="宋体"/>
          <w:szCs w:val="21"/>
        </w:rPr>
      </w:pPr>
      <w:r>
        <w:rPr>
          <w:rFonts w:hint="eastAsia" w:ascii="宋体" w:hAnsi="宋体" w:cs="宋体"/>
          <w:szCs w:val="21"/>
        </w:rPr>
        <w:t>5.3评标委员会按照招标文件中规定的评标方法和标准计算各投标人的报价得分。在计算过程中，不得去掉最高报价或者最低报价。</w:t>
      </w:r>
    </w:p>
    <w:p w14:paraId="5889B7D0">
      <w:pPr>
        <w:spacing w:line="400" w:lineRule="exact"/>
        <w:ind w:firstLine="420" w:firstLineChars="200"/>
        <w:rPr>
          <w:rFonts w:hint="eastAsia" w:ascii="宋体" w:hAnsi="宋体" w:cs="宋体"/>
          <w:szCs w:val="21"/>
        </w:rPr>
      </w:pPr>
      <w:r>
        <w:rPr>
          <w:rFonts w:hint="eastAsia" w:ascii="宋体" w:hAnsi="宋体" w:cs="宋体"/>
          <w:szCs w:val="21"/>
        </w:rPr>
        <w:t>5.4各投标人的得分为所有评委的有效评分的算术平均数。</w:t>
      </w:r>
    </w:p>
    <w:p w14:paraId="0D7CFDFB">
      <w:pPr>
        <w:spacing w:line="400" w:lineRule="exact"/>
        <w:ind w:firstLine="420" w:firstLineChars="200"/>
        <w:rPr>
          <w:rFonts w:hint="eastAsia" w:ascii="宋体" w:hAnsi="宋体" w:cs="宋体"/>
          <w:szCs w:val="21"/>
        </w:rPr>
      </w:pPr>
      <w:r>
        <w:rPr>
          <w:rFonts w:hint="eastAsia" w:ascii="宋体" w:hAnsi="宋体" w:cs="宋体"/>
          <w:szCs w:val="21"/>
        </w:rPr>
        <w:t>5.5评标委员会按照招标文件中的规定推荐中标候选人。</w:t>
      </w:r>
    </w:p>
    <w:p w14:paraId="2BAA0307">
      <w:pPr>
        <w:spacing w:line="400" w:lineRule="exact"/>
        <w:ind w:firstLine="420" w:firstLineChars="200"/>
        <w:rPr>
          <w:rFonts w:hint="eastAsia" w:ascii="宋体" w:hAnsi="宋体" w:cs="宋体"/>
          <w:szCs w:val="21"/>
        </w:rPr>
      </w:pPr>
      <w:r>
        <w:rPr>
          <w:rFonts w:hint="eastAsia" w:ascii="宋体" w:hAnsi="宋体" w:cs="宋体"/>
          <w:szCs w:val="21"/>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2BC00BB6">
      <w:pPr>
        <w:spacing w:line="400" w:lineRule="exact"/>
        <w:ind w:firstLine="422" w:firstLineChars="200"/>
        <w:rPr>
          <w:rFonts w:hint="eastAsia" w:ascii="宋体" w:hAnsi="宋体" w:cs="宋体"/>
          <w:b/>
          <w:szCs w:val="21"/>
        </w:rPr>
      </w:pPr>
      <w:r>
        <w:rPr>
          <w:rFonts w:hint="eastAsia" w:ascii="宋体" w:hAnsi="宋体" w:cs="宋体"/>
          <w:b/>
          <w:szCs w:val="21"/>
        </w:rPr>
        <w:t>6.评审复核</w:t>
      </w:r>
    </w:p>
    <w:p w14:paraId="5683AABB">
      <w:pPr>
        <w:spacing w:line="400" w:lineRule="exact"/>
        <w:ind w:firstLine="420" w:firstLineChars="200"/>
        <w:rPr>
          <w:rFonts w:hint="eastAsia" w:ascii="宋体" w:hAnsi="宋体" w:cs="宋体"/>
          <w:szCs w:val="21"/>
        </w:rPr>
      </w:pPr>
      <w:r>
        <w:rPr>
          <w:rFonts w:hint="eastAsia" w:ascii="宋体" w:hAnsi="宋体" w:cs="宋体"/>
          <w:szCs w:val="21"/>
        </w:rPr>
        <w:t>6.1评标报告签署前，评标委员会要对评审结果进行复核，复核意见要体现在评标报告中。</w:t>
      </w:r>
    </w:p>
    <w:p w14:paraId="0CD6A7E2">
      <w:pPr>
        <w:spacing w:line="400" w:lineRule="exact"/>
        <w:ind w:firstLine="420" w:firstLineChars="200"/>
        <w:rPr>
          <w:rFonts w:hint="eastAsia" w:ascii="宋体" w:hAnsi="宋体" w:cs="宋体"/>
          <w:szCs w:val="21"/>
        </w:rPr>
      </w:pPr>
      <w:r>
        <w:rPr>
          <w:rFonts w:hint="eastAsia" w:ascii="宋体" w:hAnsi="宋体" w:cs="宋体"/>
          <w:szCs w:val="21"/>
        </w:rPr>
        <w:t>6.2评标结果汇总完成后，除下列情形外，任何人不得修改评标结果：</w:t>
      </w:r>
    </w:p>
    <w:p w14:paraId="2CEEA263">
      <w:pPr>
        <w:spacing w:line="400" w:lineRule="exact"/>
        <w:ind w:firstLine="420" w:firstLineChars="200"/>
        <w:rPr>
          <w:rFonts w:hint="eastAsia" w:ascii="宋体" w:hAnsi="宋体" w:cs="宋体"/>
          <w:szCs w:val="21"/>
        </w:rPr>
      </w:pPr>
      <w:r>
        <w:rPr>
          <w:rFonts w:hint="eastAsia" w:ascii="宋体" w:hAnsi="宋体" w:cs="宋体"/>
          <w:szCs w:val="21"/>
        </w:rPr>
        <w:t>（一）分值汇总计算错误的；</w:t>
      </w:r>
    </w:p>
    <w:p w14:paraId="37CE09FE">
      <w:pPr>
        <w:spacing w:line="400" w:lineRule="exact"/>
        <w:ind w:firstLine="420" w:firstLineChars="200"/>
        <w:rPr>
          <w:rFonts w:hint="eastAsia" w:ascii="宋体" w:hAnsi="宋体" w:cs="宋体"/>
          <w:szCs w:val="21"/>
        </w:rPr>
      </w:pPr>
      <w:r>
        <w:rPr>
          <w:rFonts w:hint="eastAsia" w:ascii="宋体" w:hAnsi="宋体" w:cs="宋体"/>
          <w:szCs w:val="21"/>
        </w:rPr>
        <w:t>（二）分项评分超出评分标准范围的；</w:t>
      </w:r>
    </w:p>
    <w:p w14:paraId="6A538FED">
      <w:pPr>
        <w:spacing w:line="400" w:lineRule="exact"/>
        <w:ind w:firstLine="420" w:firstLineChars="200"/>
        <w:rPr>
          <w:rFonts w:hint="eastAsia" w:ascii="宋体" w:hAnsi="宋体" w:cs="宋体"/>
          <w:szCs w:val="21"/>
        </w:rPr>
      </w:pPr>
      <w:r>
        <w:rPr>
          <w:rFonts w:hint="eastAsia" w:ascii="宋体" w:hAnsi="宋体" w:cs="宋体"/>
          <w:szCs w:val="21"/>
        </w:rPr>
        <w:t>（三）评标委员会成员对客观评审因素评分不一致的；</w:t>
      </w:r>
    </w:p>
    <w:p w14:paraId="53116E3D">
      <w:pPr>
        <w:spacing w:line="400" w:lineRule="exact"/>
        <w:ind w:firstLine="420" w:firstLineChars="200"/>
        <w:rPr>
          <w:rFonts w:hint="eastAsia" w:ascii="宋体" w:hAnsi="宋体" w:cs="宋体"/>
          <w:szCs w:val="21"/>
        </w:rPr>
      </w:pPr>
      <w:r>
        <w:rPr>
          <w:rFonts w:hint="eastAsia" w:ascii="宋体" w:hAnsi="宋体" w:cs="宋体"/>
          <w:szCs w:val="21"/>
        </w:rPr>
        <w:t>（四）经评标委员会认定评分畸高、畸低的。</w:t>
      </w:r>
    </w:p>
    <w:p w14:paraId="3EE73D3C">
      <w:pPr>
        <w:snapToGrid w:val="0"/>
        <w:spacing w:line="400" w:lineRule="exact"/>
        <w:ind w:firstLine="424" w:firstLineChars="202"/>
        <w:jc w:val="left"/>
        <w:rPr>
          <w:rFonts w:hint="eastAsia" w:ascii="宋体" w:hAnsi="宋体" w:cs="宋体"/>
          <w:szCs w:val="21"/>
        </w:rPr>
      </w:pPr>
      <w:r>
        <w:rPr>
          <w:rFonts w:hint="eastAsia" w:ascii="宋体" w:hAnsi="宋体" w:cs="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65A39DD">
      <w:pPr>
        <w:pStyle w:val="5"/>
        <w:spacing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r>
        <w:rPr>
          <w:rFonts w:hint="eastAsia" w:ascii="宋体" w:hAnsi="宋体" w:eastAsia="宋体"/>
          <w:sz w:val="21"/>
          <w:szCs w:val="21"/>
        </w:rPr>
        <w:t>第三节 评分标准</w:t>
      </w:r>
    </w:p>
    <w:p w14:paraId="2D1BAFCB">
      <w:pPr>
        <w:pStyle w:val="6"/>
        <w:keepNext w:val="0"/>
        <w:keepLines w:val="0"/>
        <w:spacing w:line="400" w:lineRule="exact"/>
        <w:jc w:val="center"/>
        <w:rPr>
          <w:rFonts w:hint="eastAsia" w:ascii="宋体" w:hAnsi="宋体" w:cs="宋体"/>
          <w:b w:val="0"/>
          <w:sz w:val="21"/>
          <w:szCs w:val="21"/>
        </w:rPr>
      </w:pPr>
      <w:r>
        <w:rPr>
          <w:rFonts w:hint="eastAsia" w:ascii="宋体" w:hAnsi="宋体" w:cs="宋体"/>
          <w:sz w:val="21"/>
          <w:szCs w:val="21"/>
        </w:rPr>
        <w:t>综合评分法</w:t>
      </w:r>
    </w:p>
    <w:p w14:paraId="063DEC1F">
      <w:pPr>
        <w:pStyle w:val="11"/>
        <w:spacing w:line="400" w:lineRule="exact"/>
        <w:ind w:firstLine="420"/>
        <w:rPr>
          <w:rFonts w:hint="eastAsia" w:hAnsi="宋体"/>
          <w:bCs/>
          <w:sz w:val="21"/>
        </w:rPr>
      </w:pPr>
      <w:r>
        <w:rPr>
          <w:rFonts w:hint="eastAsia" w:hAnsi="宋体"/>
          <w:bCs/>
          <w:sz w:val="21"/>
        </w:rPr>
        <w:t>注：</w:t>
      </w:r>
    </w:p>
    <w:p w14:paraId="528F2353">
      <w:pPr>
        <w:pStyle w:val="11"/>
        <w:spacing w:line="400" w:lineRule="exact"/>
        <w:ind w:firstLine="420"/>
        <w:rPr>
          <w:rFonts w:hint="eastAsia" w:hAnsi="宋体"/>
          <w:bCs/>
          <w:sz w:val="21"/>
        </w:rPr>
      </w:pPr>
      <w:r>
        <w:rPr>
          <w:rFonts w:hint="eastAsia" w:hAnsi="宋体"/>
          <w:bCs/>
          <w:sz w:val="21"/>
        </w:rPr>
        <w:t>1、计分方法按四舍五入取至百分位。</w:t>
      </w:r>
    </w:p>
    <w:p w14:paraId="72FFD8B2">
      <w:pPr>
        <w:pStyle w:val="11"/>
        <w:spacing w:line="400" w:lineRule="exact"/>
        <w:ind w:firstLine="420"/>
        <w:rPr>
          <w:b/>
          <w:sz w:val="21"/>
        </w:rPr>
      </w:pPr>
      <w:r>
        <w:rPr>
          <w:rFonts w:hint="eastAsia" w:hAnsi="宋体"/>
          <w:bCs/>
          <w:sz w:val="21"/>
        </w:rPr>
        <w:t>2、商务技术评审因素为客观评分项的，应在评分项目或评分标准中予以标注为“客观分”。对投标人的客观评分项目，各评标专家评分应当一致。</w:t>
      </w:r>
    </w:p>
    <w:p w14:paraId="3817D5FE">
      <w:pPr>
        <w:pStyle w:val="5"/>
        <w:spacing w:line="400" w:lineRule="exact"/>
        <w:jc w:val="left"/>
        <w:rPr>
          <w:rFonts w:hint="eastAsia" w:ascii="宋体" w:hAnsi="宋体" w:eastAsia="宋体"/>
          <w:sz w:val="21"/>
          <w:szCs w:val="21"/>
        </w:rPr>
      </w:pPr>
      <w:r>
        <w:rPr>
          <w:rFonts w:hint="eastAsia" w:ascii="宋体" w:hAnsi="宋体" w:eastAsia="宋体"/>
          <w:sz w:val="21"/>
          <w:szCs w:val="21"/>
        </w:rPr>
        <w:t>1.分标1（A分标）评分标准：</w:t>
      </w:r>
    </w:p>
    <w:tbl>
      <w:tblPr>
        <w:tblStyle w:val="18"/>
        <w:tblW w:w="8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6"/>
        <w:gridCol w:w="1136"/>
        <w:gridCol w:w="6396"/>
      </w:tblGrid>
      <w:tr w14:paraId="4FD3E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9" w:hRule="atLeast"/>
          <w:jc w:val="center"/>
        </w:trPr>
        <w:tc>
          <w:tcPr>
            <w:tcW w:w="966" w:type="dxa"/>
            <w:vAlign w:val="center"/>
          </w:tcPr>
          <w:p w14:paraId="79BC23FB">
            <w:pPr>
              <w:spacing w:line="400" w:lineRule="exact"/>
              <w:jc w:val="center"/>
              <w:rPr>
                <w:rFonts w:hint="eastAsia" w:ascii="宋体" w:hAnsi="宋体" w:cs="宋体"/>
                <w:b/>
                <w:bCs/>
                <w:szCs w:val="21"/>
              </w:rPr>
            </w:pPr>
            <w:bookmarkStart w:id="169" w:name="_Toc99033089"/>
            <w:bookmarkStart w:id="170" w:name="_Toc20798"/>
            <w:r>
              <w:rPr>
                <w:rFonts w:hint="eastAsia" w:ascii="宋体" w:hAnsi="宋体" w:cs="宋体"/>
                <w:b/>
                <w:bCs/>
                <w:szCs w:val="21"/>
              </w:rPr>
              <w:t>评标项目</w:t>
            </w:r>
          </w:p>
        </w:tc>
        <w:tc>
          <w:tcPr>
            <w:tcW w:w="1136" w:type="dxa"/>
            <w:vAlign w:val="center"/>
          </w:tcPr>
          <w:p w14:paraId="7D77809C">
            <w:pPr>
              <w:spacing w:line="400" w:lineRule="exact"/>
              <w:jc w:val="center"/>
              <w:rPr>
                <w:rFonts w:hint="eastAsia" w:ascii="宋体" w:hAnsi="宋体" w:cs="宋体"/>
                <w:b/>
                <w:bCs/>
                <w:szCs w:val="21"/>
              </w:rPr>
            </w:pPr>
            <w:r>
              <w:rPr>
                <w:rFonts w:hint="eastAsia" w:ascii="宋体" w:hAnsi="宋体" w:cs="宋体"/>
                <w:b/>
                <w:bCs/>
                <w:szCs w:val="21"/>
              </w:rPr>
              <w:t>评标</w:t>
            </w:r>
          </w:p>
          <w:p w14:paraId="1080709B">
            <w:pPr>
              <w:spacing w:line="400" w:lineRule="exact"/>
              <w:jc w:val="center"/>
              <w:rPr>
                <w:rFonts w:hint="eastAsia" w:ascii="宋体" w:hAnsi="宋体" w:cs="宋体"/>
                <w:b/>
                <w:bCs/>
                <w:szCs w:val="21"/>
              </w:rPr>
            </w:pPr>
            <w:r>
              <w:rPr>
                <w:rFonts w:hint="eastAsia" w:ascii="宋体" w:hAnsi="宋体" w:cs="宋体"/>
                <w:b/>
                <w:bCs/>
                <w:szCs w:val="21"/>
              </w:rPr>
              <w:t>分值</w:t>
            </w:r>
          </w:p>
        </w:tc>
        <w:tc>
          <w:tcPr>
            <w:tcW w:w="6396" w:type="dxa"/>
            <w:vAlign w:val="center"/>
          </w:tcPr>
          <w:p w14:paraId="39A03C01">
            <w:pPr>
              <w:spacing w:line="400" w:lineRule="exact"/>
              <w:jc w:val="center"/>
              <w:rPr>
                <w:rFonts w:hint="eastAsia" w:ascii="宋体" w:hAnsi="宋体" w:cs="宋体"/>
                <w:b/>
                <w:bCs/>
                <w:szCs w:val="21"/>
              </w:rPr>
            </w:pPr>
            <w:r>
              <w:rPr>
                <w:rFonts w:hint="eastAsia" w:ascii="宋体" w:hAnsi="宋体" w:cs="宋体"/>
                <w:b/>
                <w:bCs/>
                <w:szCs w:val="21"/>
              </w:rPr>
              <w:t>评标方法描述</w:t>
            </w:r>
          </w:p>
        </w:tc>
      </w:tr>
      <w:tr w14:paraId="34807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8498" w:type="dxa"/>
            <w:gridSpan w:val="3"/>
            <w:vAlign w:val="center"/>
          </w:tcPr>
          <w:p w14:paraId="658B4476">
            <w:pPr>
              <w:spacing w:line="400" w:lineRule="exact"/>
              <w:jc w:val="center"/>
              <w:rPr>
                <w:rFonts w:hint="eastAsia" w:ascii="宋体" w:hAnsi="宋体" w:cs="宋体"/>
                <w:szCs w:val="21"/>
              </w:rPr>
            </w:pPr>
            <w:r>
              <w:rPr>
                <w:rFonts w:hint="eastAsia" w:ascii="宋体" w:hAnsi="宋体" w:cs="宋体"/>
                <w:b/>
                <w:bCs/>
                <w:szCs w:val="21"/>
              </w:rPr>
              <w:t>（一）价格分（满分10分）</w:t>
            </w:r>
          </w:p>
        </w:tc>
      </w:tr>
      <w:tr w14:paraId="15D4B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7" w:hRule="atLeast"/>
          <w:jc w:val="center"/>
        </w:trPr>
        <w:tc>
          <w:tcPr>
            <w:tcW w:w="966" w:type="dxa"/>
            <w:vAlign w:val="center"/>
          </w:tcPr>
          <w:p w14:paraId="29628508">
            <w:pPr>
              <w:spacing w:line="400" w:lineRule="exact"/>
              <w:jc w:val="center"/>
              <w:rPr>
                <w:rFonts w:hint="eastAsia" w:ascii="宋体" w:hAnsi="宋体" w:cs="宋体"/>
                <w:szCs w:val="21"/>
              </w:rPr>
            </w:pPr>
            <w:r>
              <w:rPr>
                <w:rFonts w:hint="eastAsia" w:ascii="宋体" w:hAnsi="宋体" w:cs="宋体"/>
                <w:b/>
                <w:bCs/>
                <w:szCs w:val="21"/>
              </w:rPr>
              <w:t>投标报价</w:t>
            </w:r>
          </w:p>
        </w:tc>
        <w:tc>
          <w:tcPr>
            <w:tcW w:w="1136" w:type="dxa"/>
            <w:vAlign w:val="center"/>
          </w:tcPr>
          <w:p w14:paraId="030509A7">
            <w:pPr>
              <w:spacing w:line="400" w:lineRule="exact"/>
              <w:jc w:val="center"/>
              <w:rPr>
                <w:rFonts w:hint="eastAsia" w:ascii="宋体" w:hAnsi="宋体" w:cs="宋体"/>
                <w:szCs w:val="21"/>
              </w:rPr>
            </w:pPr>
            <w:r>
              <w:rPr>
                <w:rFonts w:hint="eastAsia" w:ascii="宋体" w:hAnsi="宋体" w:cs="宋体"/>
                <w:szCs w:val="21"/>
              </w:rPr>
              <w:t>10分</w:t>
            </w:r>
          </w:p>
        </w:tc>
        <w:tc>
          <w:tcPr>
            <w:tcW w:w="6396" w:type="dxa"/>
            <w:vAlign w:val="center"/>
          </w:tcPr>
          <w:p w14:paraId="67AAEEB8">
            <w:pPr>
              <w:spacing w:line="400" w:lineRule="exact"/>
              <w:rPr>
                <w:rFonts w:hint="eastAsia" w:ascii="宋体" w:hAnsi="宋体" w:cs="宋体"/>
                <w:szCs w:val="21"/>
              </w:rPr>
            </w:pPr>
            <w:r>
              <w:rPr>
                <w:rFonts w:hint="eastAsia" w:ascii="宋体" w:hAnsi="宋体" w:cs="宋体"/>
                <w:szCs w:val="21"/>
              </w:rPr>
              <w:t>（1）评标报价为投标人的投标报价进行政策性扣除后的价格，评标报价只是作为评标时使用。最终中标人的中标金额等于投标报价。</w:t>
            </w:r>
          </w:p>
          <w:p w14:paraId="7F24C3AB">
            <w:pPr>
              <w:spacing w:line="400" w:lineRule="exact"/>
              <w:rPr>
                <w:rFonts w:hint="eastAsia" w:ascii="宋体" w:hAnsi="宋体" w:cs="宋体"/>
                <w:szCs w:val="21"/>
              </w:rPr>
            </w:pPr>
            <w:r>
              <w:rPr>
                <w:rFonts w:hint="eastAsia" w:ascii="宋体" w:hAnsi="宋体" w:cs="宋体"/>
                <w:szCs w:val="21"/>
              </w:rPr>
              <w:t>（2）按照《政府采购促进中小企业发展管理办法》（财库〔2020〕46号）的规定，投标人在其投标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14:paraId="1E550CAC">
            <w:pPr>
              <w:spacing w:line="400" w:lineRule="exact"/>
              <w:rPr>
                <w:rFonts w:hint="eastAsia" w:ascii="宋体" w:hAnsi="宋体" w:cs="宋体"/>
                <w:szCs w:val="21"/>
              </w:rPr>
            </w:pPr>
            <w:r>
              <w:rPr>
                <w:rFonts w:hint="eastAsia" w:ascii="宋体" w:hAnsi="宋体" w:cs="宋体"/>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67F457C">
            <w:pPr>
              <w:spacing w:line="400" w:lineRule="exact"/>
              <w:rPr>
                <w:rFonts w:hint="eastAsia" w:ascii="宋体" w:hAnsi="宋体" w:cs="宋体"/>
                <w:szCs w:val="21"/>
              </w:rPr>
            </w:pPr>
            <w:r>
              <w:rPr>
                <w:rFonts w:hint="eastAsia" w:ascii="宋体" w:hAnsi="宋体" w:cs="宋体"/>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E71506D">
            <w:pPr>
              <w:spacing w:line="400" w:lineRule="exact"/>
              <w:rPr>
                <w:rFonts w:hint="eastAsia" w:ascii="宋体" w:hAnsi="宋体" w:cs="宋体"/>
                <w:szCs w:val="21"/>
              </w:rPr>
            </w:pPr>
            <w:r>
              <w:rPr>
                <w:rFonts w:hint="eastAsia" w:ascii="宋体" w:hAnsi="宋体" w:cs="宋体"/>
                <w:szCs w:val="21"/>
              </w:rPr>
              <w:t>（5）政策性扣除计算方法。</w:t>
            </w:r>
          </w:p>
          <w:p w14:paraId="1B886212">
            <w:pPr>
              <w:spacing w:line="400" w:lineRule="exact"/>
              <w:rPr>
                <w:rFonts w:hint="eastAsia" w:ascii="宋体" w:hAnsi="宋体" w:cs="宋体"/>
                <w:szCs w:val="21"/>
              </w:rPr>
            </w:pPr>
            <w:r>
              <w:rPr>
                <w:rFonts w:hint="eastAsia" w:ascii="宋体" w:hAnsi="宋体" w:cs="宋体"/>
                <w:szCs w:val="21"/>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投标报价×（1-4%）。除上述情况外，评标报价=投标报价。</w:t>
            </w:r>
          </w:p>
          <w:p w14:paraId="49404FCA">
            <w:pPr>
              <w:spacing w:line="400" w:lineRule="exact"/>
              <w:rPr>
                <w:rFonts w:hint="eastAsia" w:ascii="宋体" w:hAnsi="宋体" w:cs="宋体"/>
                <w:szCs w:val="21"/>
              </w:rPr>
            </w:pPr>
            <w:r>
              <w:rPr>
                <w:rFonts w:hint="eastAsia" w:ascii="宋体" w:hAnsi="宋体" w:cs="宋体"/>
                <w:szCs w:val="21"/>
              </w:rPr>
              <w:t>（6）满足招标文件要求且评标报价最低的评标报价为评标基准价，其价格分为满分。</w:t>
            </w:r>
          </w:p>
          <w:p w14:paraId="7C94AD3B">
            <w:pPr>
              <w:spacing w:line="400" w:lineRule="exact"/>
              <w:rPr>
                <w:rFonts w:hint="eastAsia" w:ascii="宋体" w:hAnsi="宋体" w:cs="宋体"/>
                <w:szCs w:val="21"/>
              </w:rPr>
            </w:pPr>
            <w:r>
              <w:rPr>
                <w:rFonts w:hint="eastAsia" w:ascii="宋体" w:hAnsi="宋体" w:cs="宋体"/>
                <w:szCs w:val="21"/>
              </w:rPr>
              <w:t>（7）价格分计算公式：</w:t>
            </w:r>
          </w:p>
          <w:p w14:paraId="6308459E">
            <w:pPr>
              <w:spacing w:line="400" w:lineRule="exact"/>
              <w:rPr>
                <w:rFonts w:hint="eastAsia" w:ascii="宋体" w:hAnsi="宋体" w:cs="宋体"/>
                <w:szCs w:val="21"/>
              </w:rPr>
            </w:pPr>
            <w:r>
              <w:rPr>
                <w:rFonts w:hint="eastAsia" w:ascii="宋体" w:hAnsi="宋体" w:cs="宋体"/>
                <w:szCs w:val="21"/>
              </w:rPr>
              <w:t>价格分=（评标基准价／评标报价）×10分。</w:t>
            </w:r>
          </w:p>
          <w:p w14:paraId="3B83FAFB">
            <w:pPr>
              <w:spacing w:line="400" w:lineRule="exact"/>
              <w:rPr>
                <w:rFonts w:hint="eastAsia" w:ascii="宋体" w:hAnsi="宋体" w:cs="宋体"/>
                <w:szCs w:val="21"/>
              </w:rPr>
            </w:pPr>
            <w:r>
              <w:rPr>
                <w:rFonts w:hint="eastAsia" w:ascii="宋体" w:hAnsi="宋体" w:cs="宋体"/>
                <w:szCs w:val="21"/>
              </w:rPr>
              <w:t>（8）异常低价说明</w:t>
            </w:r>
          </w:p>
          <w:p w14:paraId="3A2B387B">
            <w:pPr>
              <w:spacing w:line="400" w:lineRule="exact"/>
              <w:rPr>
                <w:rFonts w:hint="eastAsia" w:ascii="宋体" w:hAnsi="宋体" w:cs="宋体"/>
                <w:szCs w:val="21"/>
              </w:rPr>
            </w:pPr>
            <w:r>
              <w:rPr>
                <w:rFonts w:hint="eastAsia" w:ascii="宋体" w:hAnsi="宋体" w:cs="宋体"/>
                <w:szCs w:val="21"/>
              </w:rPr>
              <w:t>1）根据《关于推动解决政府采购异常低价问题的通知》财库〔2026〕2号要求，政府采购评审中出现下列情形之一的，评审委员会应当启动异常低价响应审查程序：</w:t>
            </w:r>
          </w:p>
          <w:p w14:paraId="1D36AD33">
            <w:pPr>
              <w:spacing w:line="400" w:lineRule="exact"/>
              <w:rPr>
                <w:rFonts w:hint="eastAsia" w:ascii="宋体" w:hAnsi="宋体" w:cs="宋体"/>
                <w:szCs w:val="21"/>
              </w:rPr>
            </w:pPr>
            <w:r>
              <w:rPr>
                <w:rFonts w:hint="eastAsia" w:ascii="宋体" w:hAnsi="宋体" w:cs="宋体"/>
                <w:szCs w:val="21"/>
              </w:rPr>
              <w:t>①响应报价低于全部通过符合性审查供应商响应报价平均值50%的，即响应报价&lt;全部通过符合性审查供应商响应报价平均值×50%；</w:t>
            </w:r>
          </w:p>
          <w:p w14:paraId="375C5689">
            <w:pPr>
              <w:spacing w:line="400" w:lineRule="exact"/>
              <w:rPr>
                <w:rFonts w:hint="eastAsia" w:ascii="宋体" w:hAnsi="宋体" w:cs="宋体"/>
                <w:szCs w:val="21"/>
              </w:rPr>
            </w:pPr>
            <w:r>
              <w:rPr>
                <w:rFonts w:hint="eastAsia" w:ascii="宋体" w:hAnsi="宋体" w:cs="宋体"/>
                <w:szCs w:val="21"/>
              </w:rPr>
              <w:t>②响应报价低于通过符合性审查的次低报价供应商响应报价50%的，即响应报价&lt;通过符合性审查的次低报价供应商投标（响应）报价×50%；</w:t>
            </w:r>
          </w:p>
          <w:p w14:paraId="174BD685">
            <w:pPr>
              <w:spacing w:line="400" w:lineRule="exact"/>
              <w:rPr>
                <w:rFonts w:hint="eastAsia" w:ascii="宋体" w:hAnsi="宋体" w:cs="宋体"/>
                <w:szCs w:val="21"/>
              </w:rPr>
            </w:pPr>
            <w:r>
              <w:rPr>
                <w:rFonts w:hint="eastAsia" w:ascii="宋体" w:hAnsi="宋体" w:cs="宋体"/>
                <w:szCs w:val="21"/>
              </w:rPr>
              <w:t>③响应报价低于采购项目最高限价45%的，即响应报价&lt;采购项目最高限价×45%；</w:t>
            </w:r>
          </w:p>
          <w:p w14:paraId="5D820341">
            <w:pPr>
              <w:spacing w:line="400" w:lineRule="exact"/>
              <w:rPr>
                <w:rFonts w:hint="eastAsia" w:ascii="宋体" w:hAnsi="宋体" w:cs="宋体"/>
                <w:szCs w:val="21"/>
              </w:rPr>
            </w:pPr>
            <w:r>
              <w:rPr>
                <w:rFonts w:hint="eastAsia" w:ascii="宋体" w:hAnsi="宋体" w:cs="宋体"/>
                <w:szCs w:val="21"/>
              </w:rPr>
              <w:t>④评审委员会基于专业判断，认为供应商报价过低，有可能影响产品质量或者不能诚信履约的其他情形。</w:t>
            </w:r>
          </w:p>
          <w:p w14:paraId="1431A989">
            <w:pPr>
              <w:spacing w:line="400" w:lineRule="exact"/>
              <w:rPr>
                <w:rFonts w:hint="eastAsia" w:ascii="宋体" w:hAnsi="宋体" w:cs="宋体"/>
                <w:szCs w:val="21"/>
              </w:rPr>
            </w:pPr>
            <w:r>
              <w:rPr>
                <w:rFonts w:hint="eastAsia" w:ascii="宋体" w:hAnsi="宋体" w:cs="宋体"/>
                <w:szCs w:val="21"/>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5B11FC7">
            <w:pPr>
              <w:spacing w:line="400" w:lineRule="exact"/>
              <w:rPr>
                <w:rFonts w:hint="eastAsia" w:ascii="宋体" w:hAnsi="宋体" w:cs="宋体"/>
                <w:szCs w:val="21"/>
              </w:rPr>
            </w:pPr>
            <w:r>
              <w:rPr>
                <w:rFonts w:hint="eastAsia" w:ascii="宋体" w:hAnsi="宋体" w:cs="宋体"/>
                <w:szCs w:val="21"/>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C335D7C">
            <w:pPr>
              <w:spacing w:line="400" w:lineRule="exact"/>
              <w:rPr>
                <w:rFonts w:hint="eastAsia" w:ascii="宋体" w:hAnsi="宋体" w:cs="宋体"/>
                <w:szCs w:val="21"/>
              </w:rPr>
            </w:pPr>
            <w:r>
              <w:rPr>
                <w:rFonts w:hint="eastAsia" w:ascii="宋体" w:hAnsi="宋体" w:cs="宋体"/>
                <w:szCs w:val="21"/>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6BB66B6F">
            <w:pPr>
              <w:spacing w:line="400" w:lineRule="exact"/>
              <w:rPr>
                <w:rFonts w:hint="eastAsia" w:ascii="宋体" w:hAnsi="宋体" w:cs="宋体"/>
                <w:szCs w:val="21"/>
              </w:rPr>
            </w:pPr>
            <w:r>
              <w:rPr>
                <w:rFonts w:hint="eastAsia" w:ascii="宋体" w:hAnsi="宋体" w:cs="宋体"/>
                <w:szCs w:val="21"/>
              </w:rPr>
              <w:t>5）异常低价投标（响应）审查的启动原因、审查意见和审查结果应当在评审报告中记录，并随供应商提供的相关书面说明及证明材料，以及评审委员会有关互联网浏览、查询历史一并归档。</w:t>
            </w:r>
          </w:p>
        </w:tc>
      </w:tr>
      <w:tr w14:paraId="70AF3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8498" w:type="dxa"/>
            <w:gridSpan w:val="3"/>
            <w:vAlign w:val="center"/>
          </w:tcPr>
          <w:p w14:paraId="6A6AAE4E">
            <w:pPr>
              <w:spacing w:line="400" w:lineRule="exact"/>
              <w:jc w:val="center"/>
              <w:rPr>
                <w:rFonts w:hint="eastAsia" w:ascii="宋体" w:hAnsi="宋体" w:cs="宋体"/>
                <w:szCs w:val="21"/>
              </w:rPr>
            </w:pPr>
            <w:r>
              <w:rPr>
                <w:rFonts w:hint="eastAsia" w:ascii="宋体" w:hAnsi="宋体" w:cs="宋体"/>
                <w:b/>
                <w:bCs/>
                <w:szCs w:val="21"/>
              </w:rPr>
              <w:t>（二）技术分（满分78分）</w:t>
            </w:r>
          </w:p>
        </w:tc>
      </w:tr>
      <w:tr w14:paraId="26A9E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2" w:hRule="atLeast"/>
          <w:jc w:val="center"/>
        </w:trPr>
        <w:tc>
          <w:tcPr>
            <w:tcW w:w="966" w:type="dxa"/>
            <w:vAlign w:val="center"/>
          </w:tcPr>
          <w:p w14:paraId="5D0CECDE">
            <w:pPr>
              <w:spacing w:line="400" w:lineRule="exact"/>
              <w:jc w:val="center"/>
              <w:rPr>
                <w:rFonts w:hint="eastAsia" w:ascii="宋体" w:hAnsi="宋体" w:cs="宋体"/>
                <w:szCs w:val="21"/>
              </w:rPr>
            </w:pPr>
            <w:r>
              <w:rPr>
                <w:rFonts w:hint="eastAsia" w:ascii="宋体" w:hAnsi="宋体" w:cs="宋体"/>
                <w:szCs w:val="21"/>
              </w:rPr>
              <w:t>项目技术方案分</w:t>
            </w:r>
          </w:p>
        </w:tc>
        <w:tc>
          <w:tcPr>
            <w:tcW w:w="1136" w:type="dxa"/>
            <w:vAlign w:val="center"/>
          </w:tcPr>
          <w:p w14:paraId="45121472">
            <w:pPr>
              <w:spacing w:line="400" w:lineRule="exact"/>
              <w:jc w:val="center"/>
              <w:rPr>
                <w:rFonts w:hint="eastAsia" w:ascii="宋体" w:hAnsi="宋体" w:cs="宋体"/>
                <w:szCs w:val="21"/>
              </w:rPr>
            </w:pPr>
            <w:r>
              <w:rPr>
                <w:rFonts w:hint="eastAsia" w:ascii="宋体" w:hAnsi="宋体" w:cs="宋体"/>
                <w:szCs w:val="21"/>
              </w:rPr>
              <w:t>25分</w:t>
            </w:r>
          </w:p>
        </w:tc>
        <w:tc>
          <w:tcPr>
            <w:tcW w:w="6396" w:type="dxa"/>
            <w:vAlign w:val="center"/>
          </w:tcPr>
          <w:p w14:paraId="56F11E21">
            <w:pPr>
              <w:spacing w:line="400" w:lineRule="exact"/>
              <w:rPr>
                <w:rFonts w:hint="eastAsia" w:ascii="宋体" w:hAnsi="宋体" w:cs="宋体"/>
                <w:szCs w:val="21"/>
              </w:rPr>
            </w:pPr>
            <w:r>
              <w:rPr>
                <w:rFonts w:hint="eastAsia" w:ascii="宋体" w:hAnsi="宋体" w:cs="宋体"/>
                <w:szCs w:val="21"/>
              </w:rPr>
              <w:t>由评标委员会在打分前根据供应商的技术方案评定打分。</w:t>
            </w:r>
          </w:p>
          <w:p w14:paraId="12E74003">
            <w:pPr>
              <w:spacing w:line="400" w:lineRule="exact"/>
              <w:rPr>
                <w:rFonts w:hint="eastAsia" w:ascii="宋体" w:hAnsi="宋体" w:cs="宋体"/>
                <w:szCs w:val="21"/>
              </w:rPr>
            </w:pPr>
            <w:r>
              <w:rPr>
                <w:rFonts w:hint="eastAsia" w:ascii="宋体" w:hAnsi="宋体" w:cs="宋体"/>
                <w:szCs w:val="21"/>
              </w:rPr>
              <w:t>一档（5分）：对本项目需求完全响应，对采购文件所要求的总体服务范围及内容理解不全面，方案描述内容粗略。方案仅含概述，基本照搬招标文件采购需求内容，无其他具体实施内容和框架。</w:t>
            </w:r>
          </w:p>
          <w:p w14:paraId="2B0CD01A">
            <w:pPr>
              <w:spacing w:line="400" w:lineRule="exact"/>
              <w:rPr>
                <w:rFonts w:hint="eastAsia" w:ascii="宋体" w:hAnsi="宋体" w:cs="宋体"/>
                <w:szCs w:val="21"/>
              </w:rPr>
            </w:pPr>
            <w:r>
              <w:rPr>
                <w:rFonts w:hint="eastAsia" w:ascii="宋体" w:hAnsi="宋体" w:cs="宋体"/>
                <w:szCs w:val="21"/>
              </w:rPr>
              <w:t>二档（10分）：对采购文件所要求的总体服务范围及内容理解较为简单，方案描述内容简单。整体技术方案合理，方案符合基本要求。方案仅含概述和简单的方案框架和内容。</w:t>
            </w:r>
          </w:p>
          <w:p w14:paraId="3B0496A3">
            <w:pPr>
              <w:spacing w:line="400" w:lineRule="exact"/>
              <w:rPr>
                <w:rFonts w:hint="eastAsia" w:ascii="宋体" w:hAnsi="宋体" w:cs="宋体"/>
                <w:szCs w:val="21"/>
              </w:rPr>
            </w:pPr>
            <w:r>
              <w:rPr>
                <w:rFonts w:hint="eastAsia" w:ascii="宋体" w:hAnsi="宋体" w:cs="宋体"/>
                <w:szCs w:val="21"/>
              </w:rPr>
              <w:t>三档（15分）：对采购文件所要求的总体服务范围及内容基本理解，方案描述详细；整体技术方案科学合理、表述清晰，软件开发、产品和技术方案满足采购需求且科学合理，在二档的基础上有简单的技术实施路线、工作计划等，但方案逻辑不严密，存在漏洞。</w:t>
            </w:r>
          </w:p>
          <w:p w14:paraId="7448A65E">
            <w:pPr>
              <w:spacing w:line="400" w:lineRule="exact"/>
              <w:rPr>
                <w:rFonts w:hint="eastAsia" w:ascii="宋体" w:hAnsi="宋体" w:cs="宋体"/>
                <w:szCs w:val="21"/>
              </w:rPr>
            </w:pPr>
            <w:r>
              <w:rPr>
                <w:rFonts w:hint="eastAsia" w:ascii="宋体" w:hAnsi="宋体" w:cs="宋体"/>
                <w:szCs w:val="21"/>
              </w:rPr>
              <w:t>四档（20分）：对采购文件所要求的总体服务范围及内容理解全面，方案描述详细，方案内容完全响应采购需求。整体技术方案科学合理、表述清晰，各需求项的方案针对性强；对项目基本情况及建设目标把握准确，建设思路清晰，需求分析合理，技术路线成熟先进，总体架构逻辑清晰，系统功能设计全面完善。在三档的基础上有详细的技术实现路线、工作计划、人员组织安排、进度保障措施等。</w:t>
            </w:r>
          </w:p>
          <w:p w14:paraId="25953A48">
            <w:pPr>
              <w:spacing w:line="400" w:lineRule="exact"/>
              <w:rPr>
                <w:rFonts w:hint="eastAsia" w:ascii="宋体" w:hAnsi="宋体" w:cs="宋体"/>
                <w:szCs w:val="21"/>
              </w:rPr>
            </w:pPr>
            <w:r>
              <w:rPr>
                <w:rFonts w:hint="eastAsia" w:ascii="宋体" w:hAnsi="宋体" w:cs="宋体"/>
                <w:szCs w:val="21"/>
              </w:rPr>
              <w:t>五档（25分）：对采购文件所要求的总体服务范围及内容理解全面，方案描述详细，方案内容完全响应采购需求；整体技术方案科学合理、表述清晰，各需求项的方案针对性强，对项目情况及建设目标把握准确，明确项目建设的必要性；整体项目建设思路清晰，需求分析合理，技术路线成熟先进，能提供项目的总体架构图且总体架构逻辑清晰，系统功能设计全面完善；对软件开发、产品和技术的总体要求层次清晰，对整体系统体系结构和应用功能描述详细。在四档的基础上，有详细的应急管理措施、质量管理措施、例行巡检方案、文档管理措施等。</w:t>
            </w:r>
          </w:p>
          <w:p w14:paraId="59B050CE">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5C6A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5" w:hRule="atLeast"/>
          <w:jc w:val="center"/>
        </w:trPr>
        <w:tc>
          <w:tcPr>
            <w:tcW w:w="966" w:type="dxa"/>
            <w:tcBorders>
              <w:bottom w:val="single" w:color="auto" w:sz="4" w:space="0"/>
            </w:tcBorders>
            <w:vAlign w:val="center"/>
          </w:tcPr>
          <w:p w14:paraId="57712E60">
            <w:pPr>
              <w:spacing w:line="400" w:lineRule="exact"/>
              <w:jc w:val="center"/>
              <w:rPr>
                <w:rFonts w:hint="eastAsia" w:ascii="宋体" w:hAnsi="宋体" w:cs="宋体"/>
                <w:szCs w:val="21"/>
              </w:rPr>
            </w:pPr>
            <w:r>
              <w:rPr>
                <w:rFonts w:hint="eastAsia" w:ascii="宋体" w:hAnsi="宋体" w:cs="宋体"/>
                <w:szCs w:val="21"/>
              </w:rPr>
              <w:t>项目团队管理方案分</w:t>
            </w:r>
          </w:p>
        </w:tc>
        <w:tc>
          <w:tcPr>
            <w:tcW w:w="1136" w:type="dxa"/>
            <w:tcBorders>
              <w:bottom w:val="single" w:color="auto" w:sz="4" w:space="0"/>
            </w:tcBorders>
            <w:vAlign w:val="center"/>
          </w:tcPr>
          <w:p w14:paraId="4BCBFD82">
            <w:pPr>
              <w:spacing w:line="400" w:lineRule="exact"/>
              <w:jc w:val="center"/>
              <w:rPr>
                <w:rFonts w:hint="eastAsia" w:ascii="宋体" w:hAnsi="宋体" w:cs="宋体"/>
                <w:szCs w:val="21"/>
              </w:rPr>
            </w:pPr>
            <w:r>
              <w:rPr>
                <w:rFonts w:hint="eastAsia" w:ascii="宋体" w:hAnsi="宋体" w:cs="宋体"/>
                <w:szCs w:val="21"/>
              </w:rPr>
              <w:t>15分</w:t>
            </w:r>
          </w:p>
        </w:tc>
        <w:tc>
          <w:tcPr>
            <w:tcW w:w="6396" w:type="dxa"/>
            <w:tcBorders>
              <w:bottom w:val="single" w:color="auto" w:sz="4" w:space="0"/>
            </w:tcBorders>
            <w:vAlign w:val="center"/>
          </w:tcPr>
          <w:p w14:paraId="1CA6A532">
            <w:pPr>
              <w:spacing w:line="400" w:lineRule="exact"/>
              <w:rPr>
                <w:rFonts w:hint="eastAsia" w:ascii="宋体" w:hAnsi="宋体" w:cs="宋体"/>
                <w:szCs w:val="21"/>
              </w:rPr>
            </w:pPr>
            <w:r>
              <w:rPr>
                <w:rFonts w:hint="eastAsia" w:ascii="宋体" w:hAnsi="宋体" w:cs="宋体"/>
                <w:szCs w:val="21"/>
              </w:rPr>
              <w:t>由评委在打分前根据供应商的项目团队管理方案评定打分，达不到一档要求的不得分。</w:t>
            </w:r>
          </w:p>
          <w:p w14:paraId="13A0967A">
            <w:pPr>
              <w:spacing w:line="400" w:lineRule="exact"/>
              <w:jc w:val="left"/>
              <w:textAlignment w:val="baseline"/>
              <w:rPr>
                <w:rFonts w:hint="eastAsia" w:ascii="宋体" w:hAnsi="宋体" w:cs="宋体"/>
                <w:szCs w:val="21"/>
              </w:rPr>
            </w:pPr>
            <w:r>
              <w:rPr>
                <w:rFonts w:hint="eastAsia" w:ascii="宋体" w:hAnsi="宋体" w:cs="宋体"/>
                <w:szCs w:val="21"/>
              </w:rPr>
              <w:t>一档（3分）：投标人提供了简略的项目团队管理方案，基本满足采购需求。</w:t>
            </w:r>
          </w:p>
          <w:p w14:paraId="18FF575F">
            <w:pPr>
              <w:spacing w:line="400" w:lineRule="exact"/>
              <w:jc w:val="left"/>
              <w:textAlignment w:val="baseline"/>
              <w:rPr>
                <w:rFonts w:hint="eastAsia" w:ascii="宋体" w:hAnsi="宋体" w:cs="宋体"/>
                <w:szCs w:val="21"/>
              </w:rPr>
            </w:pPr>
            <w:r>
              <w:rPr>
                <w:rFonts w:hint="eastAsia" w:ascii="宋体" w:hAnsi="宋体" w:cs="宋体"/>
                <w:szCs w:val="21"/>
              </w:rPr>
              <w:t>二档（7分）：投标人针对本项目制定有可行的项目</w:t>
            </w:r>
            <w:r>
              <w:rPr>
                <w:rFonts w:hint="eastAsia" w:ascii="宋体" w:hAnsi="宋体" w:cs="宋体"/>
                <w:bCs/>
                <w:kern w:val="0"/>
                <w:szCs w:val="21"/>
              </w:rPr>
              <w:t>团队（包含驻场团队及配套技术支撑团队等）管理方案</w:t>
            </w:r>
            <w:r>
              <w:rPr>
                <w:rFonts w:hint="eastAsia" w:ascii="宋体" w:hAnsi="宋体" w:cs="宋体"/>
                <w:szCs w:val="21"/>
              </w:rPr>
              <w:t>，投标人针对本项目制定有项目管理制度，具有项目实施流程、服务内容规范、故障处理规范。</w:t>
            </w:r>
          </w:p>
          <w:p w14:paraId="781E7D81">
            <w:pPr>
              <w:spacing w:line="400" w:lineRule="exact"/>
              <w:jc w:val="left"/>
              <w:textAlignment w:val="baseline"/>
              <w:rPr>
                <w:rFonts w:hint="eastAsia" w:ascii="宋体" w:hAnsi="宋体" w:cs="宋体"/>
                <w:szCs w:val="21"/>
              </w:rPr>
            </w:pPr>
            <w:r>
              <w:rPr>
                <w:rFonts w:hint="eastAsia" w:ascii="宋体" w:hAnsi="宋体" w:cs="宋体"/>
                <w:szCs w:val="21"/>
              </w:rPr>
              <w:t>三档（11分）：在满足二档的基础上对团队管理制度、服务实施流程进行了细化，明确不同岗位的项目人员在建设过程中的职责，能满足项目建设要求，项目实施流程、服务内容规范、故障处理规范详细、可行性强，且具有质量管理制度。</w:t>
            </w:r>
          </w:p>
          <w:p w14:paraId="47098DA8">
            <w:pPr>
              <w:spacing w:line="400" w:lineRule="exact"/>
              <w:jc w:val="left"/>
              <w:textAlignment w:val="baseline"/>
              <w:rPr>
                <w:rFonts w:hint="eastAsia" w:ascii="宋体" w:hAnsi="宋体" w:cs="宋体"/>
                <w:szCs w:val="21"/>
              </w:rPr>
            </w:pPr>
            <w:r>
              <w:rPr>
                <w:rFonts w:hint="eastAsia" w:ascii="宋体" w:hAnsi="宋体" w:cs="宋体"/>
                <w:szCs w:val="21"/>
              </w:rPr>
              <w:t>四档（15分）：在满足三档的基础上，投标人针对本项目建立了项目服务管理体系，包括组织架构、岗位设置、制度及流程（故障处理流程和资源管理流程）、服务内容规范、故障处理规范等，项目管理制度完全满足项目要求，岗位设置配备、项目实施流程科学合理的；对服务管理规范有详尽的描述，包括服务时间、行为规范、驻场服务支持规范、问题反馈等；方案有详细的服务方法以保证项目服务的质量；有针对本项目的质量管理制度，质量管理制度符合本项目采购需求，确保能提供高质量的服务。</w:t>
            </w:r>
          </w:p>
          <w:p w14:paraId="5514C7F1">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0E6FB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6" w:type="dxa"/>
            <w:tcBorders>
              <w:top w:val="single" w:color="auto" w:sz="4" w:space="0"/>
            </w:tcBorders>
            <w:vAlign w:val="center"/>
          </w:tcPr>
          <w:p w14:paraId="27F417FE">
            <w:pPr>
              <w:spacing w:line="400" w:lineRule="exact"/>
              <w:jc w:val="center"/>
              <w:rPr>
                <w:rFonts w:hint="eastAsia" w:ascii="宋体" w:hAnsi="宋体" w:cs="宋体"/>
                <w:szCs w:val="21"/>
              </w:rPr>
            </w:pPr>
            <w:r>
              <w:rPr>
                <w:rFonts w:hint="eastAsia" w:ascii="宋体" w:hAnsi="宋体" w:cs="宋体"/>
                <w:szCs w:val="21"/>
              </w:rPr>
              <w:t>项目团队技术实力分</w:t>
            </w:r>
          </w:p>
        </w:tc>
        <w:tc>
          <w:tcPr>
            <w:tcW w:w="1136" w:type="dxa"/>
            <w:tcBorders>
              <w:top w:val="single" w:color="auto" w:sz="4" w:space="0"/>
            </w:tcBorders>
            <w:vAlign w:val="center"/>
          </w:tcPr>
          <w:p w14:paraId="75A30EDE">
            <w:pPr>
              <w:spacing w:line="400" w:lineRule="exact"/>
              <w:jc w:val="center"/>
              <w:rPr>
                <w:rFonts w:hint="eastAsia" w:ascii="宋体" w:hAnsi="宋体" w:cs="宋体"/>
                <w:szCs w:val="21"/>
              </w:rPr>
            </w:pPr>
            <w:r>
              <w:rPr>
                <w:rFonts w:hint="eastAsia" w:ascii="宋体" w:hAnsi="宋体" w:cs="宋体"/>
                <w:szCs w:val="21"/>
              </w:rPr>
              <w:t>23分</w:t>
            </w:r>
          </w:p>
        </w:tc>
        <w:tc>
          <w:tcPr>
            <w:tcW w:w="6396" w:type="dxa"/>
            <w:tcBorders>
              <w:top w:val="single" w:color="auto" w:sz="4" w:space="0"/>
            </w:tcBorders>
            <w:vAlign w:val="center"/>
          </w:tcPr>
          <w:p w14:paraId="1F691D51">
            <w:pPr>
              <w:spacing w:line="400" w:lineRule="exact"/>
              <w:rPr>
                <w:rFonts w:hint="eastAsia" w:ascii="宋体" w:hAnsi="宋体" w:cs="宋体"/>
                <w:b/>
                <w:bCs/>
                <w:szCs w:val="21"/>
              </w:rPr>
            </w:pPr>
            <w:r>
              <w:rPr>
                <w:rFonts w:hint="eastAsia" w:ascii="宋体" w:hAnsi="宋体" w:cs="宋体"/>
                <w:b/>
                <w:bCs/>
                <w:szCs w:val="21"/>
              </w:rPr>
              <w:t>（一）项目人员数量分，满分5分。</w:t>
            </w:r>
          </w:p>
          <w:p w14:paraId="4C9A867B">
            <w:pPr>
              <w:spacing w:line="400" w:lineRule="exact"/>
              <w:rPr>
                <w:rFonts w:hint="eastAsia" w:ascii="宋体" w:hAnsi="宋体" w:cs="宋体"/>
                <w:szCs w:val="21"/>
              </w:rPr>
            </w:pPr>
            <w:r>
              <w:rPr>
                <w:rFonts w:hint="eastAsia" w:ascii="宋体" w:hAnsi="宋体" w:cs="宋体"/>
                <w:szCs w:val="21"/>
              </w:rPr>
              <w:t>在满足采购需求最低人数7人的基础上，每增加1名项目人员加0.5分，满分5分。</w:t>
            </w:r>
          </w:p>
          <w:p w14:paraId="415F9B3A">
            <w:pPr>
              <w:spacing w:line="400" w:lineRule="exact"/>
              <w:rPr>
                <w:rFonts w:hint="eastAsia" w:ascii="宋体" w:hAnsi="宋体" w:cs="宋体"/>
                <w:b/>
                <w:bCs/>
                <w:szCs w:val="21"/>
              </w:rPr>
            </w:pPr>
            <w:r>
              <w:rPr>
                <w:rFonts w:hint="eastAsia" w:ascii="宋体" w:hAnsi="宋体" w:cs="宋体"/>
                <w:b/>
                <w:bCs/>
                <w:szCs w:val="21"/>
              </w:rPr>
              <w:t>（二）项目人员技术实力分，满分18分。（每人按最高职称计一次分。）</w:t>
            </w:r>
          </w:p>
          <w:p w14:paraId="6397A87C">
            <w:pPr>
              <w:spacing w:line="400" w:lineRule="exact"/>
              <w:rPr>
                <w:rFonts w:hint="eastAsia" w:ascii="宋体" w:hAnsi="宋体" w:cs="宋体"/>
                <w:szCs w:val="21"/>
              </w:rPr>
            </w:pPr>
            <w:r>
              <w:rPr>
                <w:rFonts w:hint="eastAsia" w:ascii="宋体" w:hAnsi="宋体" w:cs="宋体"/>
                <w:szCs w:val="21"/>
              </w:rPr>
              <w:t>1.管理人员实力分，满分10分。</w:t>
            </w:r>
          </w:p>
          <w:p w14:paraId="31525089">
            <w:pPr>
              <w:spacing w:line="400" w:lineRule="exact"/>
              <w:rPr>
                <w:rFonts w:hint="eastAsia" w:ascii="宋体" w:hAnsi="宋体" w:cs="宋体"/>
                <w:szCs w:val="21"/>
              </w:rPr>
            </w:pPr>
            <w:r>
              <w:rPr>
                <w:rFonts w:hint="eastAsia" w:ascii="宋体" w:hAnsi="宋体" w:cs="宋体"/>
                <w:szCs w:val="21"/>
              </w:rPr>
              <w:t>（1）</w:t>
            </w:r>
            <w:r>
              <w:rPr>
                <w:rFonts w:hint="eastAsia" w:ascii="宋体" w:hAnsi="宋体" w:cs="宋体"/>
                <w:bCs/>
                <w:kern w:val="0"/>
                <w:szCs w:val="21"/>
              </w:rPr>
              <w:t>项目负责人（1人，不得同时兼任技术负责人），满分6分。</w:t>
            </w:r>
          </w:p>
          <w:p w14:paraId="30B215EE">
            <w:pPr>
              <w:pStyle w:val="27"/>
              <w:spacing w:line="400" w:lineRule="exact"/>
              <w:jc w:val="left"/>
              <w:rPr>
                <w:rFonts w:hint="eastAsia" w:ascii="宋体" w:hAnsi="宋体" w:cs="宋体"/>
                <w:bCs/>
                <w:kern w:val="0"/>
                <w:szCs w:val="21"/>
              </w:rPr>
            </w:pPr>
            <w:r>
              <w:rPr>
                <w:rFonts w:hint="eastAsia" w:ascii="宋体" w:hAnsi="宋体" w:cs="宋体"/>
                <w:bCs/>
                <w:kern w:val="0"/>
                <w:szCs w:val="21"/>
              </w:rPr>
              <w:t>1）持证情况，满分4分。</w:t>
            </w:r>
          </w:p>
          <w:p w14:paraId="4807DA7F">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①具有信息系统项目管理师（高级）资格证书，得2分；</w:t>
            </w:r>
          </w:p>
          <w:p w14:paraId="7A751F2F">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②具有高级网络信息安全工程师，得2分；</w:t>
            </w:r>
          </w:p>
          <w:p w14:paraId="71187672">
            <w:pPr>
              <w:pStyle w:val="27"/>
              <w:spacing w:line="400" w:lineRule="exact"/>
              <w:ind w:firstLine="0" w:firstLineChars="0"/>
              <w:jc w:val="left"/>
              <w:rPr>
                <w:rFonts w:hint="eastAsia" w:ascii="宋体" w:hAnsi="宋体" w:cs="宋体"/>
                <w:bCs/>
                <w:kern w:val="0"/>
                <w:szCs w:val="21"/>
              </w:rPr>
            </w:pPr>
            <w:r>
              <w:rPr>
                <w:rFonts w:hint="eastAsia" w:ascii="宋体" w:hAnsi="宋体" w:cs="宋体"/>
                <w:szCs w:val="21"/>
              </w:rPr>
              <w:t>③</w:t>
            </w:r>
            <w:r>
              <w:rPr>
                <w:rFonts w:hint="eastAsia" w:ascii="宋体" w:hAnsi="宋体" w:cs="宋体"/>
                <w:bCs/>
                <w:kern w:val="0"/>
                <w:szCs w:val="21"/>
              </w:rPr>
              <w:t>具有系统架构设计师（高级）资格证书职称，得2分。</w:t>
            </w:r>
          </w:p>
          <w:p w14:paraId="667677CC">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④具有系统规划与管理师（高级）资格证书职称，得2分。</w:t>
            </w:r>
          </w:p>
          <w:p w14:paraId="1DD9DFFE">
            <w:pPr>
              <w:pStyle w:val="27"/>
              <w:spacing w:line="400" w:lineRule="exact"/>
              <w:jc w:val="left"/>
              <w:rPr>
                <w:rFonts w:hint="eastAsia" w:ascii="宋体" w:hAnsi="宋体" w:cs="宋体"/>
                <w:bCs/>
                <w:kern w:val="0"/>
                <w:szCs w:val="21"/>
              </w:rPr>
            </w:pPr>
            <w:r>
              <w:rPr>
                <w:rFonts w:hint="eastAsia" w:ascii="宋体" w:hAnsi="宋体" w:cs="宋体"/>
                <w:bCs/>
                <w:kern w:val="0"/>
                <w:szCs w:val="21"/>
              </w:rPr>
              <w:t>2）项目负责人业绩，满分2分。</w:t>
            </w:r>
          </w:p>
          <w:p w14:paraId="3034ED35">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提供2022年1月1日至今，作为负责人承担过信息化项目业绩，每提供1个业绩材料得1分，满分2分。</w:t>
            </w:r>
          </w:p>
          <w:p w14:paraId="555CD728">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（2）技术负责人（1人，不得同时兼任项目负责人），满分4分。</w:t>
            </w:r>
          </w:p>
          <w:p w14:paraId="769408FF">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①具有生态环境类高级职称，得2分；</w:t>
            </w:r>
          </w:p>
          <w:p w14:paraId="65A6A702">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②具有注册核安全工程师证书，得2分。</w:t>
            </w:r>
          </w:p>
          <w:p w14:paraId="36FCB8C1">
            <w:pPr>
              <w:spacing w:line="400" w:lineRule="exact"/>
              <w:rPr>
                <w:rFonts w:hint="eastAsia" w:ascii="宋体" w:hAnsi="宋体" w:cs="宋体"/>
                <w:szCs w:val="21"/>
              </w:rPr>
            </w:pPr>
            <w:r>
              <w:rPr>
                <w:rFonts w:hint="eastAsia" w:ascii="宋体" w:hAnsi="宋体" w:cs="宋体"/>
                <w:szCs w:val="21"/>
              </w:rPr>
              <w:t>2.团队其他人员实力分，满分8分。</w:t>
            </w:r>
          </w:p>
          <w:p w14:paraId="268A7E63">
            <w:pPr>
              <w:pStyle w:val="2"/>
              <w:spacing w:line="400" w:lineRule="exact"/>
              <w:rPr>
                <w:rFonts w:hint="eastAsia" w:ascii="宋体" w:hAnsi="宋体" w:cs="宋体"/>
                <w:sz w:val="21"/>
                <w:szCs w:val="21"/>
              </w:rPr>
            </w:pPr>
            <w:r>
              <w:rPr>
                <w:rFonts w:hint="eastAsia" w:ascii="宋体" w:hAnsi="宋体" w:cs="宋体"/>
                <w:sz w:val="21"/>
                <w:szCs w:val="21"/>
              </w:rPr>
              <w:t>拟配备的项目团队成员（项目负责人、技术负责人除外），若具有：</w:t>
            </w:r>
          </w:p>
          <w:p w14:paraId="7BC83E6F">
            <w:pPr>
              <w:pStyle w:val="2"/>
              <w:spacing w:line="400" w:lineRule="exact"/>
              <w:rPr>
                <w:rFonts w:hint="eastAsia" w:ascii="宋体" w:hAnsi="宋体" w:cs="宋体"/>
                <w:sz w:val="21"/>
                <w:szCs w:val="21"/>
              </w:rPr>
            </w:pPr>
            <w:r>
              <w:rPr>
                <w:rFonts w:hint="eastAsia" w:ascii="宋体" w:hAnsi="宋体" w:cs="宋体"/>
                <w:sz w:val="21"/>
                <w:szCs w:val="21"/>
              </w:rPr>
              <w:t>（1）生态环境类高级职称；</w:t>
            </w:r>
          </w:p>
          <w:p w14:paraId="5A712498">
            <w:pPr>
              <w:pStyle w:val="2"/>
              <w:spacing w:line="400" w:lineRule="exact"/>
              <w:rPr>
                <w:rFonts w:hint="eastAsia" w:ascii="宋体" w:hAnsi="宋体" w:cs="宋体"/>
                <w:sz w:val="21"/>
                <w:szCs w:val="21"/>
              </w:rPr>
            </w:pPr>
            <w:r>
              <w:rPr>
                <w:rFonts w:hint="eastAsia" w:ascii="宋体" w:hAnsi="宋体" w:cs="宋体"/>
                <w:sz w:val="21"/>
                <w:szCs w:val="21"/>
              </w:rPr>
              <w:t>（2）计算机技术与软件专业技术资格高级职称；</w:t>
            </w:r>
          </w:p>
          <w:p w14:paraId="6AF0F601">
            <w:pPr>
              <w:pStyle w:val="2"/>
              <w:spacing w:line="400" w:lineRule="exact"/>
              <w:rPr>
                <w:rFonts w:hint="eastAsia" w:ascii="宋体" w:hAnsi="宋体" w:cs="宋体"/>
                <w:sz w:val="21"/>
                <w:szCs w:val="21"/>
              </w:rPr>
            </w:pPr>
            <w:r>
              <w:rPr>
                <w:rFonts w:hint="eastAsia" w:ascii="宋体" w:hAnsi="宋体" w:cs="宋体"/>
                <w:sz w:val="21"/>
                <w:szCs w:val="21"/>
              </w:rPr>
              <w:t>（3）注册核安全工程师证书；</w:t>
            </w:r>
          </w:p>
          <w:p w14:paraId="4E9E41F2">
            <w:pPr>
              <w:pStyle w:val="2"/>
              <w:widowControl/>
              <w:spacing w:line="400" w:lineRule="exact"/>
              <w:rPr>
                <w:rFonts w:hint="eastAsia" w:ascii="宋体" w:hAnsi="宋体" w:cs="宋体"/>
                <w:sz w:val="21"/>
                <w:szCs w:val="21"/>
              </w:rPr>
            </w:pPr>
            <w:r>
              <w:rPr>
                <w:rFonts w:hint="eastAsia" w:ascii="宋体" w:hAnsi="宋体" w:cs="宋体"/>
                <w:sz w:val="21"/>
                <w:szCs w:val="21"/>
              </w:rPr>
              <w:t>上述职称或证书每具备一个得1分，同一个人多个证书不可以累计分值，本小项满分8分。</w:t>
            </w:r>
          </w:p>
          <w:p w14:paraId="3ACF9AC5">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5EF2B962">
            <w:pPr>
              <w:pStyle w:val="2"/>
              <w:spacing w:line="400" w:lineRule="exact"/>
              <w:rPr>
                <w:rFonts w:hint="eastAsia" w:ascii="宋体" w:hAnsi="宋体" w:cs="宋体"/>
                <w:b/>
                <w:bCs/>
                <w:sz w:val="21"/>
                <w:szCs w:val="21"/>
              </w:rPr>
            </w:pPr>
            <w:r>
              <w:rPr>
                <w:rFonts w:hint="eastAsia" w:ascii="宋体" w:hAnsi="宋体" w:cs="宋体"/>
                <w:b/>
                <w:bCs/>
                <w:sz w:val="21"/>
                <w:szCs w:val="21"/>
              </w:rPr>
              <w:t>（1）以上人员不能与售后服务人员重复。</w:t>
            </w:r>
          </w:p>
          <w:p w14:paraId="38A62CA7">
            <w:pPr>
              <w:pStyle w:val="2"/>
              <w:spacing w:line="400" w:lineRule="exact"/>
              <w:rPr>
                <w:rFonts w:hint="eastAsia" w:ascii="宋体" w:hAnsi="宋体" w:cs="宋体"/>
                <w:b/>
                <w:bCs/>
                <w:sz w:val="21"/>
                <w:szCs w:val="21"/>
              </w:rPr>
            </w:pPr>
            <w:r>
              <w:rPr>
                <w:rFonts w:hint="eastAsia" w:ascii="宋体" w:hAnsi="宋体" w:cs="宋体"/>
                <w:b/>
                <w:bCs/>
                <w:sz w:val="21"/>
                <w:szCs w:val="21"/>
              </w:rPr>
              <w:t>（2）拟投入人员应为投标人在职在岗正式员工（非退休），投标文件需提供劳动合同复印件或事业单位编制证明复印件等相关证明材料并加盖投标单位公章，否则不计分。</w:t>
            </w:r>
          </w:p>
          <w:p w14:paraId="7BED0172">
            <w:pPr>
              <w:pStyle w:val="2"/>
              <w:spacing w:line="400" w:lineRule="exact"/>
              <w:rPr>
                <w:rFonts w:hint="eastAsia" w:ascii="宋体" w:hAnsi="宋体" w:cs="宋体"/>
                <w:b/>
                <w:bCs/>
                <w:sz w:val="21"/>
                <w:szCs w:val="21"/>
              </w:rPr>
            </w:pPr>
            <w:r>
              <w:rPr>
                <w:rFonts w:hint="eastAsia" w:ascii="宋体" w:hAnsi="宋体" w:cs="宋体"/>
                <w:b/>
                <w:bCs/>
                <w:sz w:val="21"/>
                <w:szCs w:val="21"/>
              </w:rPr>
              <w:t>（3）提供项目实施人员职称及资质证书等证明材料（以上证书均要求在有效期内）（全国计算机技术与软件专业技术资格(水平)证书须同时提供官方网站（中国计算机技术职业资格网或中国人事考试网）查询验证的证明截图）并加盖公章；提供作为负责人相关业绩合同扫描件（如合同不能体现人员姓名，须同时提供合同甲方证明文件扫描件或盖章的项目报告扫描件，提供的证明材料须能体现工作内容等，如无法体现，另附业主证明、项目验收材料等相关证明材料体现工作内容等，否则不得分）。</w:t>
            </w:r>
          </w:p>
          <w:p w14:paraId="4BFA499C">
            <w:pPr>
              <w:pStyle w:val="2"/>
              <w:spacing w:line="400" w:lineRule="exact"/>
              <w:rPr>
                <w:rFonts w:hint="eastAsia" w:ascii="宋体" w:hAnsi="宋体" w:cs="宋体"/>
                <w:sz w:val="21"/>
                <w:szCs w:val="21"/>
              </w:rPr>
            </w:pPr>
            <w:r>
              <w:rPr>
                <w:rFonts w:hint="eastAsia" w:ascii="宋体" w:hAnsi="宋体" w:cs="宋体"/>
                <w:b/>
                <w:bCs/>
                <w:sz w:val="21"/>
                <w:szCs w:val="21"/>
              </w:rPr>
              <w:t>无法提供证明材料或提供证明材料不完整的，不得分。</w:t>
            </w:r>
          </w:p>
        </w:tc>
      </w:tr>
      <w:tr w14:paraId="0190B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3" w:hRule="atLeast"/>
          <w:jc w:val="center"/>
        </w:trPr>
        <w:tc>
          <w:tcPr>
            <w:tcW w:w="966" w:type="dxa"/>
            <w:tcBorders>
              <w:top w:val="single" w:color="auto" w:sz="4" w:space="0"/>
            </w:tcBorders>
            <w:vAlign w:val="center"/>
          </w:tcPr>
          <w:p w14:paraId="5A909D25">
            <w:pPr>
              <w:spacing w:line="400" w:lineRule="exact"/>
              <w:jc w:val="center"/>
              <w:rPr>
                <w:rFonts w:hint="eastAsia" w:ascii="宋体" w:hAnsi="宋体" w:cs="宋体"/>
                <w:szCs w:val="21"/>
              </w:rPr>
            </w:pPr>
            <w:r>
              <w:rPr>
                <w:rFonts w:hint="eastAsia" w:ascii="宋体" w:hAnsi="宋体" w:cs="宋体"/>
                <w:bCs/>
                <w:kern w:val="0"/>
                <w:szCs w:val="21"/>
              </w:rPr>
              <w:t>演示分</w:t>
            </w:r>
          </w:p>
        </w:tc>
        <w:tc>
          <w:tcPr>
            <w:tcW w:w="1136" w:type="dxa"/>
            <w:tcBorders>
              <w:top w:val="single" w:color="auto" w:sz="4" w:space="0"/>
            </w:tcBorders>
            <w:vAlign w:val="center"/>
          </w:tcPr>
          <w:p w14:paraId="6243A1B0">
            <w:pPr>
              <w:spacing w:line="400" w:lineRule="exact"/>
              <w:jc w:val="center"/>
              <w:rPr>
                <w:rFonts w:hint="eastAsia" w:ascii="宋体" w:hAnsi="宋体" w:cs="宋体"/>
                <w:szCs w:val="21"/>
              </w:rPr>
            </w:pPr>
            <w:r>
              <w:rPr>
                <w:rFonts w:hint="eastAsia" w:ascii="宋体" w:hAnsi="宋体" w:cs="宋体"/>
                <w:szCs w:val="21"/>
              </w:rPr>
              <w:t>10分</w:t>
            </w:r>
          </w:p>
        </w:tc>
        <w:tc>
          <w:tcPr>
            <w:tcW w:w="6396" w:type="dxa"/>
            <w:tcBorders>
              <w:top w:val="single" w:color="auto" w:sz="4" w:space="0"/>
            </w:tcBorders>
            <w:vAlign w:val="center"/>
          </w:tcPr>
          <w:p w14:paraId="2FE0A910">
            <w:pPr>
              <w:pStyle w:val="2"/>
              <w:spacing w:line="400" w:lineRule="exact"/>
              <w:rPr>
                <w:rFonts w:hint="eastAsia" w:ascii="宋体" w:hAnsi="宋体" w:cs="宋体"/>
                <w:sz w:val="21"/>
                <w:szCs w:val="21"/>
              </w:rPr>
            </w:pPr>
            <w:r>
              <w:rPr>
                <w:rFonts w:hint="eastAsia" w:ascii="宋体" w:hAnsi="宋体" w:cs="宋体"/>
                <w:sz w:val="21"/>
                <w:szCs w:val="21"/>
              </w:rPr>
              <w:t>不符合项目需求或未提供演示，演示分计0分。若投标人放弃演示，则演示评分项计0分。投标人须选择与本分标实际建设内容相类似的信息化领域已建成的真实系统或根据本分标实际建设需求搭建系统进行现场系统演示，使用PPT、图片演示、视频播放等非原型方式演示的不予认可。</w:t>
            </w:r>
          </w:p>
          <w:p w14:paraId="12330050">
            <w:pPr>
              <w:pStyle w:val="2"/>
              <w:spacing w:line="400" w:lineRule="exact"/>
              <w:rPr>
                <w:rFonts w:hint="eastAsia" w:ascii="宋体" w:hAnsi="宋体" w:cs="宋体"/>
                <w:sz w:val="21"/>
                <w:szCs w:val="21"/>
              </w:rPr>
            </w:pPr>
            <w:r>
              <w:rPr>
                <w:rFonts w:hint="eastAsia" w:ascii="宋体" w:hAnsi="宋体" w:cs="宋体"/>
                <w:sz w:val="21"/>
                <w:szCs w:val="21"/>
              </w:rPr>
              <w:t>展示的系统核心功能主要有：①应急组织体系（用户体系）及其管理；②日常数据管理，包括但不限于监测数据、应急预案数据、应急岗位数据等；③应急值班；④应急资源管理；⑤监测数据的统计与分析、可视化等；⑥任务全生命周期管理；⑦</w:t>
            </w:r>
            <w:r>
              <w:rPr>
                <w:rFonts w:hint="eastAsia" w:ascii="宋体" w:hAnsi="宋体" w:cs="宋体"/>
                <w:sz w:val="21"/>
                <w:szCs w:val="21"/>
                <w:lang w:eastAsia="zh-CN"/>
              </w:rPr>
              <w:t>网情</w:t>
            </w:r>
            <w:r>
              <w:rPr>
                <w:rFonts w:hint="eastAsia" w:ascii="宋体" w:hAnsi="宋体" w:cs="宋体"/>
                <w:sz w:val="21"/>
                <w:szCs w:val="21"/>
              </w:rPr>
              <w:t>监控；⑧演习模拟；⑨事故后果预测；⑩APP各类数据的录入；⑪核技术利用企业监督管理等；⑫多源数据可视化；⑬权限控制；⑭任务跟踪；⑮辐射数据态势分析；⑯移动端任务匹配。</w:t>
            </w:r>
          </w:p>
          <w:p w14:paraId="16946E23">
            <w:pPr>
              <w:rPr>
                <w:rFonts w:hint="eastAsia" w:ascii="宋体" w:hAnsi="宋体" w:cs="宋体"/>
                <w:szCs w:val="21"/>
              </w:rPr>
            </w:pPr>
          </w:p>
          <w:p w14:paraId="1485FC06">
            <w:pPr>
              <w:pStyle w:val="2"/>
              <w:spacing w:line="400" w:lineRule="exact"/>
              <w:rPr>
                <w:rFonts w:hint="eastAsia" w:ascii="宋体" w:hAnsi="宋体" w:cs="宋体"/>
                <w:sz w:val="21"/>
                <w:szCs w:val="21"/>
              </w:rPr>
            </w:pPr>
            <w:r>
              <w:rPr>
                <w:rFonts w:hint="eastAsia" w:ascii="宋体" w:hAnsi="宋体" w:cs="宋体"/>
                <w:sz w:val="21"/>
                <w:szCs w:val="21"/>
              </w:rPr>
              <w:t>（一）演示功能模块分，满分8分。</w:t>
            </w:r>
          </w:p>
          <w:p w14:paraId="49B9BE5D">
            <w:pPr>
              <w:pStyle w:val="2"/>
              <w:spacing w:line="400" w:lineRule="exact"/>
              <w:rPr>
                <w:rFonts w:hint="eastAsia" w:ascii="宋体" w:hAnsi="宋体" w:cs="宋体"/>
                <w:sz w:val="21"/>
                <w:szCs w:val="21"/>
              </w:rPr>
            </w:pPr>
            <w:r>
              <w:rPr>
                <w:rFonts w:hint="eastAsia" w:ascii="宋体" w:hAnsi="宋体" w:cs="宋体"/>
                <w:sz w:val="21"/>
                <w:szCs w:val="21"/>
              </w:rPr>
              <w:t>一档（2分）：演示功能模块数量能体现出上述核心功能模块①-⑯中的4-7项的，得2分。</w:t>
            </w:r>
          </w:p>
          <w:p w14:paraId="3FD219E9">
            <w:pPr>
              <w:pStyle w:val="2"/>
              <w:spacing w:line="400" w:lineRule="exact"/>
              <w:rPr>
                <w:rFonts w:hint="eastAsia" w:ascii="宋体" w:hAnsi="宋体" w:cs="宋体"/>
                <w:sz w:val="21"/>
                <w:szCs w:val="21"/>
              </w:rPr>
            </w:pPr>
            <w:r>
              <w:rPr>
                <w:rFonts w:hint="eastAsia" w:ascii="宋体" w:hAnsi="宋体" w:cs="宋体"/>
                <w:sz w:val="21"/>
                <w:szCs w:val="21"/>
              </w:rPr>
              <w:t>二档（5分）：演示功能模块数量能体现出上述核心功能模块①-⑯中的8-12项的，得5分。</w:t>
            </w:r>
          </w:p>
          <w:p w14:paraId="288BE981">
            <w:pPr>
              <w:pStyle w:val="2"/>
              <w:spacing w:line="400" w:lineRule="exact"/>
              <w:rPr>
                <w:rFonts w:hint="eastAsia" w:ascii="宋体" w:hAnsi="宋体" w:cs="宋体"/>
                <w:sz w:val="21"/>
                <w:szCs w:val="21"/>
              </w:rPr>
            </w:pPr>
            <w:r>
              <w:rPr>
                <w:rFonts w:hint="eastAsia" w:ascii="宋体" w:hAnsi="宋体" w:cs="宋体"/>
                <w:sz w:val="21"/>
                <w:szCs w:val="21"/>
              </w:rPr>
              <w:t>三档（8分）：演示功能模块数量能体现出上述核心功能模块①-⑯中的13-16项的，得8分。</w:t>
            </w:r>
          </w:p>
          <w:p w14:paraId="61D7CDE1">
            <w:pPr>
              <w:pStyle w:val="3"/>
              <w:spacing w:before="0" w:after="0" w:line="400" w:lineRule="exact"/>
              <w:jc w:val="both"/>
              <w:rPr>
                <w:rFonts w:hint="eastAsia" w:ascii="宋体" w:hAnsi="宋体" w:cs="宋体"/>
                <w:sz w:val="21"/>
                <w:szCs w:val="21"/>
              </w:rPr>
            </w:pPr>
            <w:r>
              <w:rPr>
                <w:rFonts w:hint="eastAsia" w:ascii="宋体" w:hAnsi="宋体" w:cs="宋体"/>
                <w:sz w:val="21"/>
                <w:szCs w:val="21"/>
              </w:rPr>
              <w:t>注：不满足一档的得0分。</w:t>
            </w:r>
          </w:p>
          <w:p w14:paraId="3287163F">
            <w:pPr>
              <w:pStyle w:val="2"/>
              <w:spacing w:line="400" w:lineRule="exact"/>
              <w:rPr>
                <w:rFonts w:hint="eastAsia" w:ascii="宋体" w:hAnsi="宋体" w:cs="宋体"/>
                <w:sz w:val="21"/>
                <w:szCs w:val="21"/>
              </w:rPr>
            </w:pPr>
            <w:r>
              <w:rPr>
                <w:rFonts w:hint="eastAsia" w:ascii="宋体" w:hAnsi="宋体" w:cs="宋体"/>
                <w:sz w:val="21"/>
                <w:szCs w:val="21"/>
              </w:rPr>
              <w:t>（二）数据真实性与业务逻辑：演示中使用真实业务数据或高度仿真的测试数据，能体现系统在实际业务场景下的运行逻辑与数据流转过程，得1分。</w:t>
            </w:r>
          </w:p>
          <w:p w14:paraId="541B7D69">
            <w:pPr>
              <w:pStyle w:val="2"/>
              <w:spacing w:line="400" w:lineRule="exact"/>
              <w:rPr>
                <w:rFonts w:hint="eastAsia" w:ascii="宋体" w:hAnsi="宋体" w:cs="宋体"/>
                <w:sz w:val="21"/>
                <w:szCs w:val="21"/>
              </w:rPr>
            </w:pPr>
            <w:r>
              <w:rPr>
                <w:rFonts w:hint="eastAsia" w:ascii="宋体" w:hAnsi="宋体" w:cs="宋体"/>
                <w:sz w:val="21"/>
                <w:szCs w:val="21"/>
              </w:rPr>
              <w:t>（三）系统交互与用户体验：系统界面清晰、操作便捷、响应迅速，用户交互流程合理，符合行业系统使用习惯，得1分。</w:t>
            </w:r>
          </w:p>
          <w:p w14:paraId="2B25CD6E">
            <w:pPr>
              <w:rPr>
                <w:rFonts w:hint="eastAsia" w:ascii="宋体" w:hAnsi="宋体" w:cs="宋体"/>
                <w:szCs w:val="21"/>
              </w:rPr>
            </w:pPr>
          </w:p>
          <w:p w14:paraId="0EA32D3D">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702CC84D">
            <w:pPr>
              <w:spacing w:line="400" w:lineRule="exact"/>
              <w:jc w:val="left"/>
              <w:rPr>
                <w:rFonts w:hint="eastAsia" w:ascii="宋体" w:hAnsi="宋体" w:cs="宋体"/>
                <w:b/>
                <w:kern w:val="0"/>
                <w:szCs w:val="21"/>
              </w:rPr>
            </w:pPr>
            <w:r>
              <w:rPr>
                <w:rFonts w:hint="eastAsia" w:ascii="宋体" w:hAnsi="宋体" w:cs="宋体"/>
                <w:b/>
                <w:kern w:val="0"/>
                <w:szCs w:val="21"/>
              </w:rPr>
              <w:t>（1）投标人须演示系统，演示完毕接受评标专家对演示系统进行问询（专家问询时间不作限制）。</w:t>
            </w:r>
          </w:p>
          <w:p w14:paraId="1ACFC5D5">
            <w:pPr>
              <w:spacing w:line="400" w:lineRule="exact"/>
              <w:jc w:val="left"/>
              <w:rPr>
                <w:rFonts w:hint="eastAsia" w:ascii="宋体" w:hAnsi="宋体" w:cs="宋体"/>
                <w:b/>
                <w:kern w:val="0"/>
                <w:szCs w:val="21"/>
              </w:rPr>
            </w:pPr>
            <w:r>
              <w:rPr>
                <w:rFonts w:hint="eastAsia" w:ascii="宋体" w:hAnsi="宋体" w:cs="宋体"/>
                <w:b/>
                <w:kern w:val="0"/>
                <w:szCs w:val="21"/>
              </w:rPr>
              <w:t>（2）系统演示时长需控制在20分钟以内，放弃演示本项不得分。</w:t>
            </w:r>
          </w:p>
          <w:p w14:paraId="69B69DEB">
            <w:pPr>
              <w:widowControl/>
              <w:spacing w:line="400" w:lineRule="exact"/>
              <w:jc w:val="left"/>
              <w:rPr>
                <w:rFonts w:hint="eastAsia" w:ascii="宋体" w:hAnsi="宋体" w:cs="宋体"/>
                <w:szCs w:val="21"/>
              </w:rPr>
            </w:pPr>
            <w:r>
              <w:rPr>
                <w:rFonts w:hint="eastAsia" w:ascii="宋体" w:hAnsi="宋体" w:cs="宋体"/>
                <w:b/>
                <w:kern w:val="0"/>
                <w:szCs w:val="21"/>
              </w:rPr>
              <w:t>（3）投标人自行准备网络环境等相关演示条件，因投标人自身原因导致系统无法正常演示的，由投标人自行承担相应责任。</w:t>
            </w:r>
          </w:p>
        </w:tc>
      </w:tr>
      <w:tr w14:paraId="49F5D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3" w:hRule="atLeast"/>
          <w:jc w:val="center"/>
        </w:trPr>
        <w:tc>
          <w:tcPr>
            <w:tcW w:w="966" w:type="dxa"/>
            <w:vAlign w:val="center"/>
          </w:tcPr>
          <w:p w14:paraId="27477252">
            <w:pPr>
              <w:spacing w:line="400" w:lineRule="exact"/>
              <w:jc w:val="center"/>
              <w:rPr>
                <w:rFonts w:hint="eastAsia" w:ascii="宋体" w:hAnsi="宋体" w:cs="宋体"/>
                <w:szCs w:val="21"/>
              </w:rPr>
            </w:pPr>
            <w:r>
              <w:rPr>
                <w:rFonts w:hint="eastAsia" w:ascii="宋体" w:hAnsi="宋体" w:cs="宋体"/>
                <w:szCs w:val="21"/>
              </w:rPr>
              <w:t>售后</w:t>
            </w:r>
          </w:p>
          <w:p w14:paraId="4FDE1C68">
            <w:pPr>
              <w:spacing w:line="400" w:lineRule="exact"/>
              <w:jc w:val="center"/>
              <w:rPr>
                <w:rFonts w:hint="eastAsia" w:ascii="宋体" w:hAnsi="宋体" w:cs="宋体"/>
                <w:szCs w:val="21"/>
              </w:rPr>
            </w:pPr>
            <w:r>
              <w:rPr>
                <w:rFonts w:hint="eastAsia" w:ascii="宋体" w:hAnsi="宋体" w:cs="宋体"/>
                <w:szCs w:val="21"/>
              </w:rPr>
              <w:t>服务</w:t>
            </w:r>
          </w:p>
        </w:tc>
        <w:tc>
          <w:tcPr>
            <w:tcW w:w="1136" w:type="dxa"/>
            <w:vAlign w:val="center"/>
          </w:tcPr>
          <w:p w14:paraId="4B44EAFB">
            <w:pPr>
              <w:spacing w:line="400" w:lineRule="exact"/>
              <w:jc w:val="center"/>
              <w:rPr>
                <w:rFonts w:hint="eastAsia" w:ascii="宋体" w:hAnsi="宋体" w:cs="宋体"/>
                <w:szCs w:val="21"/>
              </w:rPr>
            </w:pPr>
            <w:r>
              <w:rPr>
                <w:rFonts w:hint="eastAsia" w:ascii="宋体" w:hAnsi="宋体" w:cs="宋体"/>
                <w:szCs w:val="21"/>
              </w:rPr>
              <w:t>5分</w:t>
            </w:r>
          </w:p>
        </w:tc>
        <w:tc>
          <w:tcPr>
            <w:tcW w:w="6396" w:type="dxa"/>
            <w:vAlign w:val="center"/>
          </w:tcPr>
          <w:p w14:paraId="3553989C">
            <w:pPr>
              <w:spacing w:line="400" w:lineRule="exact"/>
              <w:rPr>
                <w:rFonts w:hint="eastAsia" w:ascii="宋体" w:hAnsi="宋体" w:cs="宋体"/>
                <w:szCs w:val="21"/>
              </w:rPr>
            </w:pPr>
            <w:r>
              <w:rPr>
                <w:rFonts w:hint="eastAsia" w:ascii="宋体" w:hAnsi="宋体" w:cs="宋体"/>
                <w:szCs w:val="21"/>
              </w:rPr>
              <w:t>由评委在打分前根据供应商的售后服务评定打分，以下各项不得重复计分：</w:t>
            </w:r>
          </w:p>
          <w:p w14:paraId="5E4BFBC1">
            <w:pPr>
              <w:spacing w:line="400" w:lineRule="exact"/>
              <w:rPr>
                <w:rFonts w:hint="eastAsia" w:ascii="宋体" w:hAnsi="宋体" w:cs="宋体"/>
                <w:szCs w:val="21"/>
              </w:rPr>
            </w:pPr>
            <w:r>
              <w:rPr>
                <w:rFonts w:hint="eastAsia" w:ascii="宋体" w:hAnsi="宋体" w:cs="宋体"/>
                <w:szCs w:val="21"/>
              </w:rPr>
              <w:t>一档（1分）：提交的售后服务方案满足采购文件的售后服务要求，针对本项目提供售后服务支持，能满足售后服务响应时间要求。</w:t>
            </w:r>
          </w:p>
          <w:p w14:paraId="1DB60FD4">
            <w:pPr>
              <w:spacing w:line="400" w:lineRule="exact"/>
              <w:rPr>
                <w:rFonts w:hint="eastAsia" w:ascii="宋体" w:hAnsi="宋体" w:cs="宋体"/>
                <w:szCs w:val="21"/>
              </w:rPr>
            </w:pPr>
            <w:r>
              <w:rPr>
                <w:rFonts w:hint="eastAsia" w:ascii="宋体" w:hAnsi="宋体" w:cs="宋体"/>
                <w:szCs w:val="21"/>
              </w:rPr>
              <w:t>二档（3分）：在满足一档要求的基础上，提供售后服务流程图，包括故障处理、现场维护、紧急维护、重要服务、电话维护、需求变更、主动巡检等流程图。拟投入本次项目的售后服务团队配备3-5名专职售后服务人员，能提供售后服务热线电话。</w:t>
            </w:r>
          </w:p>
          <w:p w14:paraId="092FFA32">
            <w:pPr>
              <w:spacing w:line="400" w:lineRule="exact"/>
              <w:rPr>
                <w:rFonts w:hint="eastAsia" w:ascii="宋体" w:hAnsi="宋体" w:cs="宋体"/>
                <w:szCs w:val="21"/>
              </w:rPr>
            </w:pPr>
            <w:r>
              <w:rPr>
                <w:rFonts w:hint="eastAsia" w:ascii="宋体" w:hAnsi="宋体" w:cs="宋体"/>
                <w:szCs w:val="21"/>
              </w:rPr>
              <w:t>三档（5分）：在满足二档要求的基础上，能提供详细描述电话支持服务、远程技术支持服务、现场技术支持服务、紧急故障应急预案制定及处理服务、软件维护服务、培训服务、巡检服务、回访服务等的服务内容及服务交付规范的；提供售后应急预案，提供完备的售后服务措施，售后服务质量控制到位，售后响应时间优于招标文件要求。拟投入本次项目的售后服务团队配备＞5名专职售后服务人员。</w:t>
            </w:r>
          </w:p>
          <w:p w14:paraId="42CB0C39">
            <w:pPr>
              <w:spacing w:line="400" w:lineRule="exact"/>
              <w:rPr>
                <w:rFonts w:hint="eastAsia" w:ascii="宋体" w:hAnsi="宋体" w:cs="宋体"/>
                <w:b/>
                <w:bCs/>
                <w:szCs w:val="21"/>
              </w:rPr>
            </w:pPr>
            <w:r>
              <w:rPr>
                <w:rFonts w:hint="eastAsia" w:ascii="宋体" w:hAnsi="宋体" w:cs="宋体"/>
                <w:b/>
                <w:bCs/>
                <w:szCs w:val="21"/>
              </w:rPr>
              <w:t>注：以上人员不能与团队服务人员重复。拟投入人员应为投标人在职在岗正式员工（非退休），投标文件需提供售后人员劳动合同复印件或事业单位编制证明复印件等相关证明材料并加盖投标单位公章，否则不计分。</w:t>
            </w:r>
          </w:p>
          <w:p w14:paraId="69AEDC1A">
            <w:pPr>
              <w:spacing w:line="400" w:lineRule="exact"/>
              <w:rPr>
                <w:rFonts w:hint="eastAsia" w:ascii="宋体" w:hAnsi="宋体" w:cs="宋体"/>
                <w:szCs w:val="21"/>
              </w:rPr>
            </w:pPr>
            <w:r>
              <w:rPr>
                <w:rFonts w:hint="eastAsia" w:ascii="宋体" w:hAnsi="宋体" w:cs="宋体"/>
                <w:b/>
                <w:bCs/>
                <w:szCs w:val="21"/>
              </w:rPr>
              <w:t>未提供方案或不符合最低入档条件的不得分。</w:t>
            </w:r>
          </w:p>
        </w:tc>
      </w:tr>
      <w:tr w14:paraId="259B1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8498" w:type="dxa"/>
            <w:gridSpan w:val="3"/>
            <w:vAlign w:val="center"/>
          </w:tcPr>
          <w:p w14:paraId="34ABB602">
            <w:pPr>
              <w:spacing w:line="400" w:lineRule="exact"/>
              <w:jc w:val="center"/>
              <w:rPr>
                <w:rFonts w:hint="eastAsia" w:ascii="宋体" w:hAnsi="宋体" w:cs="宋体"/>
                <w:szCs w:val="21"/>
              </w:rPr>
            </w:pPr>
            <w:r>
              <w:rPr>
                <w:rFonts w:hint="eastAsia" w:ascii="宋体" w:hAnsi="宋体" w:cs="宋体"/>
                <w:b/>
                <w:bCs/>
                <w:szCs w:val="21"/>
              </w:rPr>
              <w:t>（三）商务分（满分12分）</w:t>
            </w:r>
          </w:p>
        </w:tc>
      </w:tr>
      <w:tr w14:paraId="35D3D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6" w:type="dxa"/>
            <w:vAlign w:val="center"/>
          </w:tcPr>
          <w:p w14:paraId="0FA79597">
            <w:pPr>
              <w:spacing w:line="400" w:lineRule="exact"/>
              <w:jc w:val="center"/>
              <w:rPr>
                <w:rFonts w:hint="eastAsia" w:ascii="宋体" w:hAnsi="宋体" w:cs="宋体"/>
                <w:b/>
                <w:bCs/>
                <w:szCs w:val="21"/>
              </w:rPr>
            </w:pPr>
            <w:r>
              <w:rPr>
                <w:rFonts w:hint="eastAsia" w:ascii="宋体" w:hAnsi="宋体" w:cs="宋体"/>
                <w:szCs w:val="21"/>
              </w:rPr>
              <w:t>信誉分</w:t>
            </w:r>
          </w:p>
        </w:tc>
        <w:tc>
          <w:tcPr>
            <w:tcW w:w="1136" w:type="dxa"/>
            <w:vAlign w:val="center"/>
          </w:tcPr>
          <w:p w14:paraId="63897D45">
            <w:pPr>
              <w:spacing w:line="400" w:lineRule="exact"/>
              <w:jc w:val="center"/>
              <w:rPr>
                <w:rFonts w:hint="eastAsia" w:ascii="宋体" w:hAnsi="宋体" w:cs="宋体"/>
                <w:szCs w:val="21"/>
              </w:rPr>
            </w:pPr>
            <w:r>
              <w:rPr>
                <w:rFonts w:hint="eastAsia" w:ascii="宋体" w:hAnsi="宋体" w:cs="宋体"/>
                <w:szCs w:val="21"/>
              </w:rPr>
              <w:t>2分</w:t>
            </w:r>
          </w:p>
        </w:tc>
        <w:tc>
          <w:tcPr>
            <w:tcW w:w="6396" w:type="dxa"/>
            <w:vAlign w:val="center"/>
          </w:tcPr>
          <w:p w14:paraId="351458E6">
            <w:pPr>
              <w:widowControl/>
              <w:numPr>
                <w:ilvl w:val="0"/>
                <w:numId w:val="3"/>
              </w:numPr>
              <w:spacing w:line="400" w:lineRule="exact"/>
              <w:rPr>
                <w:rFonts w:hint="eastAsia" w:ascii="宋体" w:hAnsi="宋体" w:cs="宋体"/>
                <w:szCs w:val="21"/>
              </w:rPr>
            </w:pPr>
            <w:r>
              <w:rPr>
                <w:rFonts w:hint="eastAsia" w:ascii="宋体" w:hAnsi="宋体" w:cs="宋体"/>
                <w:szCs w:val="21"/>
              </w:rPr>
              <w:t>供应商具备ISO27001（信息安全体系）得2分，满分2分。</w:t>
            </w:r>
          </w:p>
          <w:p w14:paraId="210362DF">
            <w:pPr>
              <w:spacing w:line="400" w:lineRule="exact"/>
              <w:rPr>
                <w:rFonts w:hint="eastAsia" w:ascii="宋体" w:hAnsi="宋体" w:cs="宋体"/>
                <w:szCs w:val="21"/>
              </w:rPr>
            </w:pPr>
            <w:r>
              <w:rPr>
                <w:rFonts w:hint="eastAsia" w:ascii="宋体" w:hAnsi="宋体" w:cs="宋体"/>
                <w:b/>
                <w:bCs/>
                <w:szCs w:val="21"/>
              </w:rPr>
              <w:t>注：提供相关证书复印件并加盖公章，否则不得分。</w:t>
            </w:r>
          </w:p>
        </w:tc>
      </w:tr>
      <w:tr w14:paraId="59F10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5" w:hRule="atLeast"/>
          <w:jc w:val="center"/>
        </w:trPr>
        <w:tc>
          <w:tcPr>
            <w:tcW w:w="966" w:type="dxa"/>
            <w:vAlign w:val="center"/>
          </w:tcPr>
          <w:p w14:paraId="3E1EB02D">
            <w:pPr>
              <w:spacing w:line="400" w:lineRule="exact"/>
              <w:jc w:val="center"/>
              <w:rPr>
                <w:rFonts w:hint="eastAsia" w:ascii="宋体" w:hAnsi="宋体" w:cs="宋体"/>
                <w:b/>
                <w:bCs/>
                <w:szCs w:val="21"/>
              </w:rPr>
            </w:pPr>
            <w:r>
              <w:rPr>
                <w:rFonts w:hint="eastAsia" w:ascii="宋体" w:hAnsi="宋体" w:cs="宋体"/>
                <w:szCs w:val="21"/>
              </w:rPr>
              <w:t>业绩分</w:t>
            </w:r>
          </w:p>
        </w:tc>
        <w:tc>
          <w:tcPr>
            <w:tcW w:w="1136" w:type="dxa"/>
            <w:vAlign w:val="center"/>
          </w:tcPr>
          <w:p w14:paraId="28F18B60">
            <w:pPr>
              <w:spacing w:line="400" w:lineRule="exact"/>
              <w:jc w:val="center"/>
              <w:rPr>
                <w:rFonts w:hint="eastAsia" w:ascii="宋体" w:hAnsi="宋体" w:cs="宋体"/>
                <w:szCs w:val="21"/>
              </w:rPr>
            </w:pPr>
            <w:r>
              <w:rPr>
                <w:rFonts w:hint="eastAsia" w:ascii="宋体" w:hAnsi="宋体" w:cs="宋体"/>
                <w:szCs w:val="21"/>
              </w:rPr>
              <w:t>10分</w:t>
            </w:r>
          </w:p>
        </w:tc>
        <w:tc>
          <w:tcPr>
            <w:tcW w:w="6396" w:type="dxa"/>
            <w:vAlign w:val="center"/>
          </w:tcPr>
          <w:p w14:paraId="344F327B">
            <w:pPr>
              <w:spacing w:line="400" w:lineRule="exact"/>
              <w:rPr>
                <w:rFonts w:hint="eastAsia" w:ascii="宋体" w:hAnsi="宋体" w:cs="宋体"/>
                <w:szCs w:val="21"/>
              </w:rPr>
            </w:pPr>
            <w:r>
              <w:rPr>
                <w:rFonts w:hint="eastAsia" w:ascii="宋体" w:hAnsi="宋体" w:cs="宋体"/>
                <w:szCs w:val="21"/>
              </w:rPr>
              <w:t>投标人提供2022年1月1日至今，投标人承担过生态环境信息类或国产技术栈信息类等相关项目业绩，每提供1个业绩材料得2分，满分10分。</w:t>
            </w:r>
          </w:p>
          <w:p w14:paraId="04BE7E9D">
            <w:pPr>
              <w:spacing w:line="400" w:lineRule="exact"/>
              <w:rPr>
                <w:rFonts w:hint="eastAsia" w:ascii="宋体" w:hAnsi="宋体" w:cs="宋体"/>
                <w:szCs w:val="21"/>
              </w:rPr>
            </w:pPr>
            <w:r>
              <w:rPr>
                <w:rFonts w:hint="eastAsia" w:ascii="宋体" w:hAnsi="宋体" w:cs="宋体"/>
                <w:b/>
                <w:bCs/>
                <w:szCs w:val="21"/>
              </w:rPr>
              <w:t>注：提供相关证明材料并加盖公章，证明材料复印件（中标通知书或项目合同或验收报告或其他履行合同或政府指令委托文件）须能体现工作内容等，如无法体现，另附业主证明等相关证明材料体现工作内容，并经评标委员会认可为准，否则不得分。</w:t>
            </w:r>
          </w:p>
        </w:tc>
      </w:tr>
      <w:tr w14:paraId="56C73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8498" w:type="dxa"/>
            <w:gridSpan w:val="3"/>
            <w:vAlign w:val="center"/>
          </w:tcPr>
          <w:p w14:paraId="4DEB49D2">
            <w:pPr>
              <w:spacing w:line="400" w:lineRule="exact"/>
              <w:rPr>
                <w:rFonts w:hint="eastAsia" w:ascii="宋体" w:hAnsi="宋体" w:cs="宋体"/>
                <w:szCs w:val="21"/>
              </w:rPr>
            </w:pPr>
            <w:r>
              <w:rPr>
                <w:rFonts w:hint="eastAsia" w:ascii="宋体" w:hAnsi="宋体" w:cs="宋体"/>
                <w:b/>
                <w:szCs w:val="21"/>
              </w:rPr>
              <w:t>总得分=</w:t>
            </w:r>
            <w:r>
              <w:rPr>
                <w:rFonts w:hint="eastAsia" w:ascii="宋体" w:hAnsi="宋体" w:cs="宋体"/>
                <w:b/>
                <w:bCs/>
                <w:szCs w:val="21"/>
              </w:rPr>
              <w:t>（一）</w:t>
            </w:r>
            <w:r>
              <w:rPr>
                <w:rFonts w:hint="eastAsia" w:ascii="宋体" w:hAnsi="宋体" w:cs="宋体"/>
                <w:b/>
                <w:szCs w:val="21"/>
              </w:rPr>
              <w:t>+</w:t>
            </w:r>
            <w:r>
              <w:rPr>
                <w:rFonts w:hint="eastAsia" w:ascii="宋体" w:hAnsi="宋体" w:cs="宋体"/>
                <w:b/>
                <w:bCs/>
                <w:szCs w:val="21"/>
              </w:rPr>
              <w:t>（二）</w:t>
            </w:r>
            <w:r>
              <w:rPr>
                <w:rFonts w:hint="eastAsia" w:ascii="宋体" w:hAnsi="宋体" w:cs="宋体"/>
                <w:b/>
                <w:szCs w:val="21"/>
              </w:rPr>
              <w:t>+</w:t>
            </w:r>
            <w:r>
              <w:rPr>
                <w:rFonts w:hint="eastAsia" w:ascii="宋体" w:hAnsi="宋体" w:cs="宋体"/>
                <w:b/>
                <w:bCs/>
                <w:szCs w:val="21"/>
              </w:rPr>
              <w:t>（三）</w:t>
            </w:r>
          </w:p>
        </w:tc>
      </w:tr>
      <w:tr w14:paraId="60188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498" w:type="dxa"/>
            <w:gridSpan w:val="3"/>
            <w:vAlign w:val="center"/>
          </w:tcPr>
          <w:p w14:paraId="46937597">
            <w:pPr>
              <w:pStyle w:val="2"/>
              <w:spacing w:line="400" w:lineRule="exact"/>
              <w:rPr>
                <w:rFonts w:hint="eastAsia" w:ascii="宋体" w:hAnsi="宋体" w:cs="宋体"/>
                <w:sz w:val="21"/>
                <w:szCs w:val="21"/>
              </w:rPr>
            </w:pPr>
            <w:r>
              <w:rPr>
                <w:rFonts w:hint="eastAsia" w:ascii="宋体" w:hAnsi="宋体" w:cs="宋体"/>
                <w:b/>
                <w:sz w:val="21"/>
                <w:szCs w:val="21"/>
              </w:rPr>
              <w:t>分标1（A分标）接受联合体投标，接受最多三个投标人（含牵头人数量）组成一个投标联合体参与投标，投标人可以参与一个分标也可以参与多个分标竞标，但为了确保服务的进度及质量，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p>
        </w:tc>
      </w:tr>
    </w:tbl>
    <w:p w14:paraId="7AD16169">
      <w:pPr>
        <w:rPr>
          <w:rFonts w:hint="eastAsia" w:ascii="宋体" w:hAnsi="宋体"/>
          <w:szCs w:val="21"/>
        </w:rPr>
      </w:pPr>
    </w:p>
    <w:p w14:paraId="04564C71">
      <w:pPr>
        <w:rPr>
          <w:rFonts w:hint="eastAsia" w:ascii="宋体" w:hAnsi="宋体"/>
          <w:szCs w:val="21"/>
        </w:rPr>
      </w:pPr>
      <w:r>
        <w:rPr>
          <w:rFonts w:hint="eastAsia" w:ascii="宋体" w:hAnsi="宋体"/>
          <w:szCs w:val="21"/>
        </w:rPr>
        <w:br w:type="page"/>
      </w:r>
    </w:p>
    <w:p w14:paraId="666C8996">
      <w:pPr>
        <w:pStyle w:val="5"/>
        <w:spacing w:line="400" w:lineRule="exact"/>
        <w:jc w:val="left"/>
        <w:rPr>
          <w:rFonts w:hint="eastAsia" w:ascii="宋体" w:hAnsi="宋体" w:eastAsia="宋体"/>
          <w:sz w:val="21"/>
          <w:szCs w:val="21"/>
        </w:rPr>
      </w:pPr>
      <w:r>
        <w:rPr>
          <w:rFonts w:hint="eastAsia" w:ascii="宋体" w:hAnsi="宋体" w:eastAsia="宋体"/>
          <w:sz w:val="21"/>
          <w:szCs w:val="21"/>
        </w:rPr>
        <w:t>2.分标2（B分标）</w:t>
      </w:r>
      <w:r>
        <w:rPr>
          <w:rFonts w:hint="eastAsia" w:hAnsi="宋体" w:cs="宋体"/>
          <w:sz w:val="21"/>
        </w:rPr>
        <w:t>评分标准：</w:t>
      </w:r>
    </w:p>
    <w:tbl>
      <w:tblPr>
        <w:tblStyle w:val="18"/>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8"/>
        <w:gridCol w:w="1139"/>
        <w:gridCol w:w="6409"/>
      </w:tblGrid>
      <w:tr w14:paraId="54E54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7B8A0261">
            <w:pPr>
              <w:spacing w:line="400" w:lineRule="exact"/>
              <w:jc w:val="center"/>
              <w:rPr>
                <w:rFonts w:hint="eastAsia" w:ascii="宋体" w:hAnsi="宋体" w:cs="宋体"/>
                <w:b/>
                <w:bCs/>
                <w:szCs w:val="21"/>
              </w:rPr>
            </w:pPr>
            <w:r>
              <w:rPr>
                <w:rFonts w:hint="eastAsia" w:ascii="宋体" w:hAnsi="宋体" w:cs="宋体"/>
                <w:b/>
                <w:bCs/>
                <w:szCs w:val="21"/>
              </w:rPr>
              <w:t>评标项目</w:t>
            </w:r>
          </w:p>
        </w:tc>
        <w:tc>
          <w:tcPr>
            <w:tcW w:w="1139" w:type="dxa"/>
            <w:vAlign w:val="center"/>
          </w:tcPr>
          <w:p w14:paraId="6073CADD">
            <w:pPr>
              <w:spacing w:line="400" w:lineRule="exact"/>
              <w:jc w:val="center"/>
              <w:rPr>
                <w:rFonts w:hint="eastAsia" w:ascii="宋体" w:hAnsi="宋体" w:cs="宋体"/>
                <w:b/>
                <w:bCs/>
                <w:szCs w:val="21"/>
              </w:rPr>
            </w:pPr>
            <w:r>
              <w:rPr>
                <w:rFonts w:hint="eastAsia" w:ascii="宋体" w:hAnsi="宋体" w:cs="宋体"/>
                <w:b/>
                <w:bCs/>
                <w:szCs w:val="21"/>
              </w:rPr>
              <w:t>评标</w:t>
            </w:r>
          </w:p>
          <w:p w14:paraId="41C011DD">
            <w:pPr>
              <w:spacing w:line="400" w:lineRule="exact"/>
              <w:jc w:val="center"/>
              <w:rPr>
                <w:rFonts w:hint="eastAsia" w:ascii="宋体" w:hAnsi="宋体" w:cs="宋体"/>
                <w:b/>
                <w:bCs/>
                <w:szCs w:val="21"/>
              </w:rPr>
            </w:pPr>
            <w:r>
              <w:rPr>
                <w:rFonts w:hint="eastAsia" w:ascii="宋体" w:hAnsi="宋体" w:cs="宋体"/>
                <w:b/>
                <w:bCs/>
                <w:szCs w:val="21"/>
              </w:rPr>
              <w:t>分值</w:t>
            </w:r>
          </w:p>
        </w:tc>
        <w:tc>
          <w:tcPr>
            <w:tcW w:w="6409" w:type="dxa"/>
            <w:vAlign w:val="center"/>
          </w:tcPr>
          <w:p w14:paraId="375A0CBE">
            <w:pPr>
              <w:spacing w:line="400" w:lineRule="exact"/>
              <w:jc w:val="center"/>
              <w:rPr>
                <w:rFonts w:hint="eastAsia" w:ascii="宋体" w:hAnsi="宋体" w:cs="宋体"/>
                <w:b/>
                <w:bCs/>
                <w:szCs w:val="21"/>
              </w:rPr>
            </w:pPr>
            <w:r>
              <w:rPr>
                <w:rFonts w:hint="eastAsia" w:ascii="宋体" w:hAnsi="宋体" w:cs="宋体"/>
                <w:b/>
                <w:bCs/>
                <w:szCs w:val="21"/>
              </w:rPr>
              <w:t>评标方法描述</w:t>
            </w:r>
          </w:p>
        </w:tc>
      </w:tr>
      <w:tr w14:paraId="4383E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8516" w:type="dxa"/>
            <w:gridSpan w:val="3"/>
            <w:vAlign w:val="center"/>
          </w:tcPr>
          <w:p w14:paraId="7733BC31">
            <w:pPr>
              <w:spacing w:line="400" w:lineRule="exact"/>
              <w:jc w:val="center"/>
              <w:rPr>
                <w:rFonts w:hint="eastAsia" w:ascii="宋体" w:hAnsi="宋体" w:cs="宋体"/>
                <w:szCs w:val="21"/>
              </w:rPr>
            </w:pPr>
            <w:r>
              <w:rPr>
                <w:rFonts w:hint="eastAsia" w:ascii="宋体" w:hAnsi="宋体" w:cs="宋体"/>
                <w:b/>
                <w:bCs/>
                <w:szCs w:val="21"/>
              </w:rPr>
              <w:t>（一）价格分（满分10分）</w:t>
            </w:r>
          </w:p>
        </w:tc>
      </w:tr>
      <w:tr w14:paraId="49315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40FC9503">
            <w:pPr>
              <w:spacing w:line="400" w:lineRule="exact"/>
              <w:jc w:val="center"/>
              <w:rPr>
                <w:rFonts w:hint="eastAsia" w:ascii="宋体" w:hAnsi="宋体" w:cs="宋体"/>
                <w:szCs w:val="21"/>
              </w:rPr>
            </w:pPr>
            <w:r>
              <w:rPr>
                <w:rFonts w:hint="eastAsia" w:ascii="宋体" w:hAnsi="宋体" w:cs="宋体"/>
                <w:b/>
                <w:bCs/>
                <w:szCs w:val="21"/>
              </w:rPr>
              <w:t>投标报价</w:t>
            </w:r>
          </w:p>
        </w:tc>
        <w:tc>
          <w:tcPr>
            <w:tcW w:w="1139" w:type="dxa"/>
            <w:vAlign w:val="center"/>
          </w:tcPr>
          <w:p w14:paraId="01BA25AB">
            <w:pPr>
              <w:spacing w:line="400" w:lineRule="exact"/>
              <w:jc w:val="center"/>
              <w:rPr>
                <w:rFonts w:hint="eastAsia" w:ascii="宋体" w:hAnsi="宋体" w:cs="宋体"/>
                <w:szCs w:val="21"/>
              </w:rPr>
            </w:pPr>
            <w:r>
              <w:rPr>
                <w:rFonts w:hint="eastAsia" w:ascii="宋体" w:hAnsi="宋体" w:cs="宋体"/>
                <w:szCs w:val="21"/>
              </w:rPr>
              <w:t>10分</w:t>
            </w:r>
          </w:p>
        </w:tc>
        <w:tc>
          <w:tcPr>
            <w:tcW w:w="6409" w:type="dxa"/>
            <w:vAlign w:val="center"/>
          </w:tcPr>
          <w:p w14:paraId="4D99F04D">
            <w:pPr>
              <w:spacing w:line="400" w:lineRule="exact"/>
              <w:rPr>
                <w:rFonts w:hint="eastAsia" w:ascii="宋体" w:hAnsi="宋体" w:cs="宋体"/>
                <w:szCs w:val="21"/>
              </w:rPr>
            </w:pPr>
            <w:r>
              <w:rPr>
                <w:rFonts w:hint="eastAsia" w:ascii="宋体" w:hAnsi="宋体" w:cs="宋体"/>
                <w:szCs w:val="21"/>
              </w:rPr>
              <w:t>（1）评标报价为投标人的投标报价进行政策性扣除后的价格，评标报价只是作为评标时使用。最终中标人的中标金额等于投标报价。</w:t>
            </w:r>
          </w:p>
          <w:p w14:paraId="7D08D049">
            <w:pPr>
              <w:spacing w:line="400" w:lineRule="exact"/>
              <w:rPr>
                <w:rFonts w:hint="eastAsia" w:ascii="宋体" w:hAnsi="宋体" w:cs="宋体"/>
                <w:szCs w:val="21"/>
              </w:rPr>
            </w:pPr>
            <w:r>
              <w:rPr>
                <w:rFonts w:hint="eastAsia" w:ascii="宋体" w:hAnsi="宋体" w:cs="宋体"/>
                <w:szCs w:val="21"/>
              </w:rPr>
              <w:t>（2）按照《政府采购促进中小企业发展管理办法》（财库〔2020〕46号）的规定，投标人在其投标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14:paraId="5E73ED59">
            <w:pPr>
              <w:spacing w:line="400" w:lineRule="exact"/>
              <w:rPr>
                <w:rFonts w:hint="eastAsia" w:ascii="宋体" w:hAnsi="宋体" w:cs="宋体"/>
                <w:szCs w:val="21"/>
              </w:rPr>
            </w:pPr>
            <w:r>
              <w:rPr>
                <w:rFonts w:hint="eastAsia" w:ascii="宋体" w:hAnsi="宋体" w:cs="宋体"/>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8F799CA">
            <w:pPr>
              <w:spacing w:line="400" w:lineRule="exact"/>
              <w:rPr>
                <w:rFonts w:hint="eastAsia" w:ascii="宋体" w:hAnsi="宋体" w:cs="宋体"/>
                <w:szCs w:val="21"/>
              </w:rPr>
            </w:pPr>
            <w:r>
              <w:rPr>
                <w:rFonts w:hint="eastAsia" w:ascii="宋体" w:hAnsi="宋体" w:cs="宋体"/>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98706A7">
            <w:pPr>
              <w:spacing w:line="400" w:lineRule="exact"/>
              <w:rPr>
                <w:rFonts w:hint="eastAsia" w:ascii="宋体" w:hAnsi="宋体" w:cs="宋体"/>
                <w:szCs w:val="21"/>
              </w:rPr>
            </w:pPr>
            <w:r>
              <w:rPr>
                <w:rFonts w:hint="eastAsia" w:ascii="宋体" w:hAnsi="宋体" w:cs="宋体"/>
                <w:szCs w:val="21"/>
              </w:rPr>
              <w:t>（5）政策性扣除计算方法。</w:t>
            </w:r>
          </w:p>
          <w:p w14:paraId="32209C6A">
            <w:pPr>
              <w:spacing w:line="400" w:lineRule="exact"/>
              <w:rPr>
                <w:rFonts w:hint="eastAsia" w:ascii="宋体" w:hAnsi="宋体" w:cs="宋体"/>
                <w:szCs w:val="21"/>
              </w:rPr>
            </w:pPr>
            <w:r>
              <w:rPr>
                <w:rFonts w:hint="eastAsia" w:ascii="宋体" w:hAnsi="宋体" w:cs="宋体"/>
                <w:szCs w:val="21"/>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投标报价×（1-4%）。除上述情况外，评标报价=投标报价。</w:t>
            </w:r>
          </w:p>
          <w:p w14:paraId="7EDA11C1">
            <w:pPr>
              <w:spacing w:line="400" w:lineRule="exact"/>
              <w:rPr>
                <w:rFonts w:hint="eastAsia" w:ascii="宋体" w:hAnsi="宋体" w:cs="宋体"/>
                <w:szCs w:val="21"/>
              </w:rPr>
            </w:pPr>
            <w:r>
              <w:rPr>
                <w:rFonts w:hint="eastAsia" w:ascii="宋体" w:hAnsi="宋体" w:cs="宋体"/>
                <w:szCs w:val="21"/>
              </w:rPr>
              <w:t>（6）满足招标文件要求且评标报价最低的评标报价为评标基准价，其价格分为满分。</w:t>
            </w:r>
          </w:p>
          <w:p w14:paraId="234801AF">
            <w:pPr>
              <w:spacing w:line="400" w:lineRule="exact"/>
              <w:rPr>
                <w:rFonts w:hint="eastAsia" w:ascii="宋体" w:hAnsi="宋体" w:cs="宋体"/>
                <w:szCs w:val="21"/>
              </w:rPr>
            </w:pPr>
            <w:r>
              <w:rPr>
                <w:rFonts w:hint="eastAsia" w:ascii="宋体" w:hAnsi="宋体" w:cs="宋体"/>
                <w:szCs w:val="21"/>
              </w:rPr>
              <w:t>（7）价格分计算公式：</w:t>
            </w:r>
          </w:p>
          <w:p w14:paraId="4257716B">
            <w:pPr>
              <w:spacing w:line="400" w:lineRule="exact"/>
              <w:rPr>
                <w:rFonts w:hint="eastAsia" w:ascii="宋体" w:hAnsi="宋体" w:cs="宋体"/>
                <w:szCs w:val="21"/>
              </w:rPr>
            </w:pPr>
            <w:r>
              <w:rPr>
                <w:rFonts w:hint="eastAsia" w:ascii="宋体" w:hAnsi="宋体" w:cs="宋体"/>
                <w:szCs w:val="21"/>
              </w:rPr>
              <w:t>价格分=(评标基准价／评标报价)×10分。</w:t>
            </w:r>
          </w:p>
          <w:p w14:paraId="7B94E1EF">
            <w:pPr>
              <w:spacing w:line="400" w:lineRule="exact"/>
              <w:rPr>
                <w:rFonts w:hint="eastAsia" w:ascii="宋体" w:hAnsi="宋体" w:cs="宋体"/>
                <w:szCs w:val="21"/>
              </w:rPr>
            </w:pPr>
            <w:r>
              <w:rPr>
                <w:rFonts w:hint="eastAsia" w:ascii="宋体" w:hAnsi="宋体" w:cs="宋体"/>
                <w:szCs w:val="21"/>
              </w:rPr>
              <w:t>（8）异常低价说明</w:t>
            </w:r>
          </w:p>
          <w:p w14:paraId="4F567232">
            <w:pPr>
              <w:spacing w:line="400" w:lineRule="exact"/>
              <w:rPr>
                <w:rFonts w:hint="eastAsia" w:ascii="宋体" w:hAnsi="宋体" w:cs="宋体"/>
                <w:szCs w:val="21"/>
              </w:rPr>
            </w:pPr>
            <w:r>
              <w:rPr>
                <w:rFonts w:hint="eastAsia" w:ascii="宋体" w:hAnsi="宋体" w:cs="宋体"/>
                <w:szCs w:val="21"/>
              </w:rPr>
              <w:t xml:space="preserve">     1）根据《关于推动解决政府采购异常低价问题的通知》财库〔2026〕2号要求，政府采购评审中出现下列情形之一的，评审委员会应当启动异常低价响应审查程序：</w:t>
            </w:r>
          </w:p>
          <w:p w14:paraId="4301C1DB">
            <w:pPr>
              <w:spacing w:line="400" w:lineRule="exact"/>
              <w:rPr>
                <w:rFonts w:hint="eastAsia" w:ascii="宋体" w:hAnsi="宋体" w:cs="宋体"/>
                <w:szCs w:val="21"/>
              </w:rPr>
            </w:pPr>
            <w:r>
              <w:rPr>
                <w:rFonts w:hint="eastAsia" w:ascii="宋体" w:hAnsi="宋体" w:cs="宋体"/>
                <w:szCs w:val="21"/>
              </w:rPr>
              <w:t>①响应报价低于全部通过符合性审查供应商响应报价平均值50%的，即响应报价&lt;全部通过符合性审查供应商响应报价平均值×50%；</w:t>
            </w:r>
          </w:p>
          <w:p w14:paraId="294D00E5">
            <w:pPr>
              <w:spacing w:line="400" w:lineRule="exact"/>
              <w:rPr>
                <w:rFonts w:hint="eastAsia" w:ascii="宋体" w:hAnsi="宋体" w:cs="宋体"/>
                <w:szCs w:val="21"/>
              </w:rPr>
            </w:pPr>
            <w:r>
              <w:rPr>
                <w:rFonts w:hint="eastAsia" w:ascii="宋体" w:hAnsi="宋体" w:cs="宋体"/>
                <w:szCs w:val="21"/>
              </w:rPr>
              <w:t>②响应报价低于通过符合性审查的次低报价供应商响应报价50%的，即响应报价&lt;通过符合性审查的次低报价供应商投标（响应）报价×50%；</w:t>
            </w:r>
          </w:p>
          <w:p w14:paraId="2EA1247F">
            <w:pPr>
              <w:spacing w:line="400" w:lineRule="exact"/>
              <w:rPr>
                <w:rFonts w:hint="eastAsia" w:ascii="宋体" w:hAnsi="宋体" w:cs="宋体"/>
                <w:szCs w:val="21"/>
              </w:rPr>
            </w:pPr>
            <w:r>
              <w:rPr>
                <w:rFonts w:hint="eastAsia" w:ascii="宋体" w:hAnsi="宋体" w:cs="宋体"/>
                <w:szCs w:val="21"/>
              </w:rPr>
              <w:t>③响应报价低于采购项目最高限价45%的，即响应报价&lt;采购项目最高限价×45%；</w:t>
            </w:r>
          </w:p>
          <w:p w14:paraId="089A292E">
            <w:pPr>
              <w:spacing w:line="400" w:lineRule="exact"/>
              <w:rPr>
                <w:rFonts w:hint="eastAsia" w:ascii="宋体" w:hAnsi="宋体" w:cs="宋体"/>
                <w:szCs w:val="21"/>
              </w:rPr>
            </w:pPr>
            <w:r>
              <w:rPr>
                <w:rFonts w:hint="eastAsia" w:ascii="宋体" w:hAnsi="宋体" w:cs="宋体"/>
                <w:szCs w:val="21"/>
              </w:rPr>
              <w:t>④评审委员会基于专业判断，认为供应商报价过低，有可能影响产品质量或者不能诚信履约的其他情形。</w:t>
            </w:r>
          </w:p>
          <w:p w14:paraId="23830981">
            <w:pPr>
              <w:spacing w:line="400" w:lineRule="exact"/>
              <w:rPr>
                <w:rFonts w:hint="eastAsia" w:ascii="宋体" w:hAnsi="宋体" w:cs="宋体"/>
                <w:szCs w:val="21"/>
              </w:rPr>
            </w:pPr>
            <w:r>
              <w:rPr>
                <w:rFonts w:hint="eastAsia" w:ascii="宋体" w:hAnsi="宋体" w:cs="宋体"/>
                <w:szCs w:val="21"/>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32A6AB91">
            <w:pPr>
              <w:spacing w:line="400" w:lineRule="exact"/>
              <w:rPr>
                <w:rFonts w:hint="eastAsia" w:ascii="宋体" w:hAnsi="宋体" w:cs="宋体"/>
                <w:szCs w:val="21"/>
              </w:rPr>
            </w:pPr>
            <w:r>
              <w:rPr>
                <w:rFonts w:hint="eastAsia" w:ascii="宋体" w:hAnsi="宋体" w:cs="宋体"/>
                <w:szCs w:val="21"/>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5EC71BF1">
            <w:pPr>
              <w:spacing w:line="400" w:lineRule="exact"/>
              <w:rPr>
                <w:rFonts w:hint="eastAsia" w:ascii="宋体" w:hAnsi="宋体" w:cs="宋体"/>
                <w:szCs w:val="21"/>
              </w:rPr>
            </w:pPr>
            <w:r>
              <w:rPr>
                <w:rFonts w:hint="eastAsia" w:ascii="宋体" w:hAnsi="宋体" w:cs="宋体"/>
                <w:szCs w:val="21"/>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1699AA08">
            <w:pPr>
              <w:spacing w:line="400" w:lineRule="exact"/>
              <w:rPr>
                <w:rFonts w:hint="eastAsia" w:ascii="宋体" w:hAnsi="宋体" w:cs="宋体"/>
                <w:szCs w:val="21"/>
              </w:rPr>
            </w:pPr>
            <w:r>
              <w:rPr>
                <w:rFonts w:hint="eastAsia" w:ascii="宋体" w:hAnsi="宋体" w:cs="宋体"/>
                <w:szCs w:val="21"/>
              </w:rPr>
              <w:t>　　5）异常低价投标（响应）审查的启动原因、审查意见和审查结果应当在评审报告中记录，并随供应商提供的相关书面说明及证明材料，以及评审委员会有关互联网浏览、查询历史一并归档。</w:t>
            </w:r>
          </w:p>
        </w:tc>
      </w:tr>
      <w:tr w14:paraId="2DF1B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31991EEB">
            <w:pPr>
              <w:spacing w:line="400" w:lineRule="exact"/>
              <w:jc w:val="center"/>
              <w:rPr>
                <w:rFonts w:hint="eastAsia" w:ascii="宋体" w:hAnsi="宋体" w:cs="宋体"/>
                <w:szCs w:val="21"/>
              </w:rPr>
            </w:pPr>
            <w:r>
              <w:rPr>
                <w:rFonts w:hint="eastAsia" w:ascii="宋体" w:hAnsi="宋体" w:cs="宋体"/>
                <w:b/>
                <w:bCs/>
                <w:szCs w:val="21"/>
              </w:rPr>
              <w:t>（二）技术分（满分80分）</w:t>
            </w:r>
          </w:p>
        </w:tc>
      </w:tr>
      <w:tr w14:paraId="2D627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BEC4B20">
            <w:pPr>
              <w:spacing w:line="400" w:lineRule="exact"/>
              <w:jc w:val="center"/>
              <w:rPr>
                <w:rFonts w:hint="eastAsia" w:ascii="宋体" w:hAnsi="宋体" w:cs="宋体"/>
                <w:szCs w:val="21"/>
              </w:rPr>
            </w:pPr>
            <w:r>
              <w:rPr>
                <w:rFonts w:hint="eastAsia" w:ascii="宋体" w:hAnsi="宋体" w:cs="宋体"/>
                <w:szCs w:val="21"/>
              </w:rPr>
              <w:t>需求分析与总体设计</w:t>
            </w:r>
          </w:p>
        </w:tc>
        <w:tc>
          <w:tcPr>
            <w:tcW w:w="1139" w:type="dxa"/>
            <w:vAlign w:val="center"/>
          </w:tcPr>
          <w:p w14:paraId="4477BA8B">
            <w:pPr>
              <w:spacing w:line="400" w:lineRule="exact"/>
              <w:jc w:val="center"/>
              <w:rPr>
                <w:rFonts w:hint="eastAsia" w:ascii="宋体" w:hAnsi="宋体" w:cs="宋体"/>
                <w:szCs w:val="21"/>
              </w:rPr>
            </w:pPr>
            <w:r>
              <w:rPr>
                <w:rFonts w:hint="eastAsia" w:ascii="宋体" w:hAnsi="宋体" w:cs="宋体"/>
                <w:szCs w:val="21"/>
              </w:rPr>
              <w:t>15分</w:t>
            </w:r>
          </w:p>
        </w:tc>
        <w:tc>
          <w:tcPr>
            <w:tcW w:w="6409" w:type="dxa"/>
            <w:vAlign w:val="center"/>
          </w:tcPr>
          <w:p w14:paraId="28E8D89C">
            <w:pPr>
              <w:spacing w:line="400" w:lineRule="exact"/>
              <w:rPr>
                <w:rFonts w:hint="eastAsia" w:ascii="宋体" w:hAnsi="宋体" w:cs="宋体"/>
                <w:szCs w:val="21"/>
              </w:rPr>
            </w:pPr>
            <w:r>
              <w:rPr>
                <w:rFonts w:hint="eastAsia" w:ascii="宋体" w:hAnsi="宋体" w:cs="宋体"/>
                <w:szCs w:val="21"/>
              </w:rPr>
              <w:t>由评标委员会在打分前根据供应商的需求分析与总体设计方案评定打分</w:t>
            </w:r>
          </w:p>
          <w:p w14:paraId="67ECD646">
            <w:pPr>
              <w:spacing w:line="400" w:lineRule="exact"/>
              <w:rPr>
                <w:rFonts w:hint="eastAsia" w:ascii="宋体" w:hAnsi="宋体" w:cs="宋体"/>
                <w:szCs w:val="21"/>
              </w:rPr>
            </w:pPr>
            <w:r>
              <w:rPr>
                <w:rFonts w:hint="eastAsia" w:ascii="宋体" w:hAnsi="宋体" w:cs="宋体"/>
                <w:szCs w:val="21"/>
              </w:rPr>
              <w:t>一档（5分）：对项目功能与性能需求开展分析，提供需求分析方案，至少包括功能需求分析、性能需求分析，对项目的重难点展开分析，并基于需求分析给出总体设计方案，至少包括总体技术方案，方案内容部分匹配采购人实际需求。</w:t>
            </w:r>
          </w:p>
          <w:p w14:paraId="07E8DB5C">
            <w:pPr>
              <w:spacing w:line="400" w:lineRule="exact"/>
              <w:rPr>
                <w:rFonts w:hint="eastAsia" w:ascii="宋体" w:hAnsi="宋体" w:cs="宋体"/>
                <w:szCs w:val="21"/>
              </w:rPr>
            </w:pPr>
            <w:r>
              <w:rPr>
                <w:rFonts w:hint="eastAsia" w:ascii="宋体" w:hAnsi="宋体" w:cs="宋体"/>
                <w:szCs w:val="21"/>
              </w:rPr>
              <w:t>二档（10分）：对项目建设业务、功能与性能需求开展分析，提供需求分析方案，至少包括业务需求分析、功能需求分析、性能需求分析，对项目的重难点展开分析，提供至少两个方面的重难点分析，并基于需求分析给出总体设计方案，至少包括总体架构设计、总体技术方案，方案内容详实科学、逻辑清晰、完全匹配采购人实际需求、具备可操作性。</w:t>
            </w:r>
          </w:p>
          <w:p w14:paraId="0A5C6BF3">
            <w:pPr>
              <w:spacing w:line="400" w:lineRule="exact"/>
              <w:rPr>
                <w:rFonts w:hint="eastAsia" w:ascii="宋体" w:hAnsi="宋体" w:cs="宋体"/>
                <w:szCs w:val="21"/>
              </w:rPr>
            </w:pPr>
            <w:r>
              <w:rPr>
                <w:rFonts w:hint="eastAsia" w:ascii="宋体" w:hAnsi="宋体" w:cs="宋体"/>
                <w:szCs w:val="21"/>
              </w:rPr>
              <w:t>三档（15分）：充分理解本项目软件系统开发与重构工作需求，提供需求分析方案，至少包括现状分析、业务需求分析、功能需求分析、性能需求分析，需求分析方案理解透彻、针对性强，对项目的重难点展开分析，提供至少三个方面的重难点分析，并针对重难点提出针对性解决措施，在此之上提出系统总体设计，至少包括总体架构图、总体技术方案，以图文方式阐释、设计架构全面、层级分明、逻辑清晰，可操作性强、准确，技术路线科学、适用。</w:t>
            </w:r>
          </w:p>
          <w:p w14:paraId="24FB74FF">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77E3F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1BF1E92D">
            <w:pPr>
              <w:spacing w:line="400" w:lineRule="exact"/>
              <w:jc w:val="center"/>
              <w:rPr>
                <w:rFonts w:hint="eastAsia" w:ascii="宋体" w:hAnsi="宋体" w:cs="宋体"/>
                <w:szCs w:val="21"/>
              </w:rPr>
            </w:pPr>
            <w:r>
              <w:rPr>
                <w:rFonts w:hint="eastAsia" w:ascii="宋体" w:hAnsi="宋体" w:cs="宋体"/>
                <w:szCs w:val="21"/>
              </w:rPr>
              <w:t>系统应功能设计技术方案分</w:t>
            </w:r>
          </w:p>
        </w:tc>
        <w:tc>
          <w:tcPr>
            <w:tcW w:w="1139" w:type="dxa"/>
            <w:vAlign w:val="center"/>
          </w:tcPr>
          <w:p w14:paraId="1AB9EA68">
            <w:pPr>
              <w:spacing w:line="400" w:lineRule="exact"/>
              <w:jc w:val="center"/>
              <w:rPr>
                <w:rFonts w:hint="eastAsia" w:ascii="宋体" w:hAnsi="宋体" w:cs="宋体"/>
                <w:szCs w:val="21"/>
              </w:rPr>
            </w:pPr>
            <w:r>
              <w:rPr>
                <w:rFonts w:hint="eastAsia" w:ascii="宋体" w:hAnsi="宋体" w:cs="宋体"/>
                <w:szCs w:val="21"/>
              </w:rPr>
              <w:t>20分</w:t>
            </w:r>
          </w:p>
        </w:tc>
        <w:tc>
          <w:tcPr>
            <w:tcW w:w="6409" w:type="dxa"/>
            <w:vAlign w:val="center"/>
          </w:tcPr>
          <w:p w14:paraId="40C58A7C">
            <w:pPr>
              <w:spacing w:line="400" w:lineRule="exact"/>
              <w:rPr>
                <w:rFonts w:hint="eastAsia" w:ascii="宋体" w:hAnsi="宋体" w:cs="宋体"/>
                <w:szCs w:val="21"/>
              </w:rPr>
            </w:pPr>
            <w:r>
              <w:rPr>
                <w:rFonts w:hint="eastAsia" w:ascii="宋体" w:hAnsi="宋体" w:cs="宋体"/>
                <w:szCs w:val="21"/>
              </w:rPr>
              <w:t>由评标委员会在打分前根据供应商的系统功能设计技术方案评定打分。</w:t>
            </w:r>
          </w:p>
          <w:p w14:paraId="10F2E3A8">
            <w:pPr>
              <w:spacing w:line="400" w:lineRule="exact"/>
              <w:rPr>
                <w:rFonts w:hint="eastAsia" w:ascii="宋体" w:hAnsi="宋体" w:cs="宋体"/>
                <w:szCs w:val="21"/>
              </w:rPr>
            </w:pPr>
            <w:r>
              <w:rPr>
                <w:rFonts w:hint="eastAsia" w:ascii="宋体" w:hAnsi="宋体" w:cs="宋体"/>
                <w:szCs w:val="21"/>
              </w:rPr>
              <w:t>一档（5分）：对采购文件所要求的总体建设范围及内容理解不全面，提供系统功能设计方案，方案描述简单，方案内容部分响应采购需求。</w:t>
            </w:r>
          </w:p>
          <w:p w14:paraId="1C948502">
            <w:pPr>
              <w:spacing w:line="400" w:lineRule="exact"/>
              <w:rPr>
                <w:rFonts w:hint="eastAsia" w:ascii="宋体" w:hAnsi="宋体" w:cs="宋体"/>
                <w:szCs w:val="21"/>
              </w:rPr>
            </w:pPr>
            <w:r>
              <w:rPr>
                <w:rFonts w:hint="eastAsia" w:ascii="宋体" w:hAnsi="宋体" w:cs="宋体"/>
                <w:szCs w:val="21"/>
              </w:rPr>
              <w:t>二档（10分）：对采购文件所要求的总体建设范围及内容基本理解，方案内容响应采购需求，至少包括项目建设必要性和系统功能设计方案：项目必要性分析明确，系统功能设计方案满足采购需求而且科学合理，满足技术要求的内容，方案思路清晰，兼容性强，系统功能设计完整。</w:t>
            </w:r>
          </w:p>
          <w:p w14:paraId="1E35C045">
            <w:pPr>
              <w:spacing w:line="400" w:lineRule="exact"/>
              <w:rPr>
                <w:rFonts w:hint="eastAsia" w:ascii="宋体" w:hAnsi="宋体" w:cs="宋体"/>
                <w:szCs w:val="21"/>
              </w:rPr>
            </w:pPr>
            <w:r>
              <w:rPr>
                <w:rFonts w:hint="eastAsia" w:ascii="宋体" w:hAnsi="宋体" w:cs="宋体"/>
                <w:szCs w:val="21"/>
              </w:rPr>
              <w:t>三档（15分）：对采购文件所要求的总体建设范围及内容理解全面，方案描述详细，方案内容完全响应采购需求，至少包括项目建设目标、项目建设必要性和系统功能设计方案：对项目建设目标把握准确，项目必要性分析明确，各需求项的系统功能设计方案针对性强，建设思路清晰，系统功能设计全面完善。</w:t>
            </w:r>
          </w:p>
          <w:p w14:paraId="5A77766A">
            <w:pPr>
              <w:spacing w:line="400" w:lineRule="exact"/>
              <w:rPr>
                <w:rFonts w:hint="eastAsia" w:ascii="宋体" w:hAnsi="宋体" w:cs="宋体"/>
                <w:szCs w:val="21"/>
              </w:rPr>
            </w:pPr>
            <w:r>
              <w:rPr>
                <w:rFonts w:hint="eastAsia" w:ascii="宋体" w:hAnsi="宋体" w:cs="宋体"/>
                <w:szCs w:val="21"/>
              </w:rPr>
              <w:t>四档（20分）：对采购文件所要求的总体建设范围及内容理解全面，方案描述详细，方案内容完全响应采购需求，至少包括项目建设目标、项目建设必要性和系统功能设计方案；对项目建设目标把握准确，提供至少三个方面的建设目标；明确项目建设的必要性，从至少三个方面分析项目必要性；各需求项的系统功能设计方案针对性强、科学性强、表述清晰，以图文形式呈现。</w:t>
            </w:r>
          </w:p>
          <w:p w14:paraId="322DCCC0">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59303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2" w:hRule="atLeast"/>
          <w:jc w:val="center"/>
        </w:trPr>
        <w:tc>
          <w:tcPr>
            <w:tcW w:w="968" w:type="dxa"/>
            <w:vAlign w:val="center"/>
          </w:tcPr>
          <w:p w14:paraId="3C60C12C">
            <w:pPr>
              <w:spacing w:line="400" w:lineRule="exact"/>
              <w:jc w:val="center"/>
              <w:rPr>
                <w:rFonts w:hint="eastAsia" w:ascii="宋体" w:hAnsi="宋体" w:cs="宋体"/>
                <w:szCs w:val="21"/>
              </w:rPr>
            </w:pPr>
            <w:r>
              <w:rPr>
                <w:rFonts w:hint="eastAsia" w:ascii="宋体" w:hAnsi="宋体" w:cs="宋体"/>
                <w:szCs w:val="21"/>
              </w:rPr>
              <w:t>实施能力分</w:t>
            </w:r>
          </w:p>
        </w:tc>
        <w:tc>
          <w:tcPr>
            <w:tcW w:w="1139" w:type="dxa"/>
            <w:vAlign w:val="center"/>
          </w:tcPr>
          <w:p w14:paraId="0A3E62F4">
            <w:pPr>
              <w:spacing w:line="400" w:lineRule="exact"/>
              <w:jc w:val="center"/>
              <w:rPr>
                <w:rFonts w:hint="eastAsia" w:ascii="宋体" w:hAnsi="宋体" w:cs="宋体"/>
                <w:szCs w:val="21"/>
              </w:rPr>
            </w:pPr>
            <w:r>
              <w:rPr>
                <w:rFonts w:hint="eastAsia" w:ascii="宋体" w:hAnsi="宋体" w:cs="宋体"/>
                <w:szCs w:val="21"/>
              </w:rPr>
              <w:t>12分</w:t>
            </w:r>
          </w:p>
        </w:tc>
        <w:tc>
          <w:tcPr>
            <w:tcW w:w="6409" w:type="dxa"/>
            <w:vAlign w:val="center"/>
          </w:tcPr>
          <w:p w14:paraId="7C065418">
            <w:pPr>
              <w:spacing w:line="400" w:lineRule="exact"/>
              <w:rPr>
                <w:rFonts w:hint="eastAsia" w:ascii="宋体" w:hAnsi="宋体" w:cs="宋体"/>
                <w:szCs w:val="21"/>
              </w:rPr>
            </w:pPr>
            <w:r>
              <w:rPr>
                <w:rFonts w:hint="eastAsia" w:ascii="宋体" w:hAnsi="宋体" w:cs="宋体"/>
                <w:szCs w:val="21"/>
              </w:rPr>
              <w:t>由评委在打分前根据供应商的实施方案评定打分，</w:t>
            </w:r>
            <w:r>
              <w:rPr>
                <w:rFonts w:hint="eastAsia" w:ascii="宋体" w:hAnsi="宋体" w:cs="宋体"/>
                <w:b/>
                <w:bCs/>
                <w:szCs w:val="21"/>
              </w:rPr>
              <w:t>未提供方案或不符合最低入档条件的不得分</w:t>
            </w:r>
            <w:r>
              <w:rPr>
                <w:rFonts w:hint="eastAsia" w:ascii="宋体" w:hAnsi="宋体" w:cs="宋体"/>
                <w:szCs w:val="21"/>
              </w:rPr>
              <w:t>。</w:t>
            </w:r>
          </w:p>
          <w:p w14:paraId="1EFE5777">
            <w:pPr>
              <w:spacing w:line="400" w:lineRule="exact"/>
              <w:rPr>
                <w:rFonts w:hint="eastAsia" w:ascii="宋体" w:hAnsi="宋体" w:cs="宋体"/>
                <w:szCs w:val="21"/>
              </w:rPr>
            </w:pPr>
            <w:r>
              <w:rPr>
                <w:rFonts w:hint="eastAsia" w:ascii="宋体" w:hAnsi="宋体" w:cs="宋体"/>
                <w:szCs w:val="21"/>
              </w:rPr>
              <w:t>一档（4分）：具有项目实施方案，方案内容简单，基本可行，软件开发及进度计划基本合理，软件测试方案、安装调试方案和验收措施合理，能满足采购文件要求的。项目团队人员配备结构简单，项目负责人1名；团队人员不少于（不含项目负责人）6名。</w:t>
            </w:r>
          </w:p>
          <w:p w14:paraId="245FB552">
            <w:pPr>
              <w:spacing w:line="400" w:lineRule="exact"/>
              <w:rPr>
                <w:rFonts w:hint="eastAsia" w:ascii="宋体" w:hAnsi="宋体" w:cs="宋体"/>
                <w:szCs w:val="21"/>
              </w:rPr>
            </w:pPr>
            <w:r>
              <w:rPr>
                <w:rFonts w:hint="eastAsia" w:ascii="宋体" w:hAnsi="宋体" w:cs="宋体"/>
                <w:szCs w:val="21"/>
              </w:rPr>
              <w:t>二档（8分）：具有项目实施方案，方案内容比较全面，基本可行，软件开发及进度计划合理，软件测试方案、安装调试方案和验收措施合理，系统测试人员和安装维保人员配置等综合较好、安全保障措施较好，项目实施方案切实可行，项目管理制度及方法严谨，制定的项目培训计划较为丰富。项目团队人员配备结构基本齐全，配备有项目负责人1名；技术负责人1名；团队人员（不含项目负责人、技术负责人）不少于9名。项目负责人、技术负责人不可为同一个人。</w:t>
            </w:r>
          </w:p>
          <w:p w14:paraId="6DB540EF">
            <w:pPr>
              <w:spacing w:line="400" w:lineRule="exact"/>
              <w:rPr>
                <w:rFonts w:hint="eastAsia" w:ascii="宋体" w:hAnsi="宋体" w:cs="宋体"/>
                <w:szCs w:val="21"/>
              </w:rPr>
            </w:pPr>
            <w:r>
              <w:rPr>
                <w:rFonts w:hint="eastAsia" w:ascii="宋体" w:hAnsi="宋体" w:cs="宋体"/>
                <w:szCs w:val="21"/>
              </w:rPr>
              <w:t>三档（12分）：具有项目实施方案，方案内容详实，制定详细、完备的实施计划、培训计划和回访计划，制定科学规范、合理可行的服务标准，全部满足采购文件要求。软件开发及安装进度计划合理。项目团队人员配备结构齐全，配备有项目负责人1名；技术负责人1名；团队人员（不含项目负责人、技术负责人）不少于12名人员，项目负责人、技术负责人不可为同一个人。</w:t>
            </w:r>
          </w:p>
          <w:p w14:paraId="3592F491">
            <w:pPr>
              <w:spacing w:line="400" w:lineRule="exact"/>
              <w:rPr>
                <w:rFonts w:hint="eastAsia" w:ascii="宋体" w:hAnsi="宋体" w:cs="宋体"/>
                <w:szCs w:val="21"/>
              </w:rPr>
            </w:pPr>
            <w:r>
              <w:rPr>
                <w:rFonts w:hint="eastAsia" w:ascii="宋体" w:hAnsi="宋体" w:cs="宋体"/>
                <w:b/>
                <w:bCs/>
                <w:szCs w:val="21"/>
              </w:rPr>
              <w:t>注：拟投入本项目的以上人员不能与售后服务人员重复，必须是投标人在职在岗正式员工（非退休），投标文件需提供项目实施人员劳动合同复印件或事业单位编制证明复印件等相关证明材料并加盖单位公章，否则不计分。</w:t>
            </w:r>
          </w:p>
        </w:tc>
      </w:tr>
      <w:tr w14:paraId="6C3B6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5" w:hRule="atLeast"/>
          <w:jc w:val="center"/>
        </w:trPr>
        <w:tc>
          <w:tcPr>
            <w:tcW w:w="968" w:type="dxa"/>
            <w:vAlign w:val="center"/>
          </w:tcPr>
          <w:p w14:paraId="1D25C9BC">
            <w:pPr>
              <w:spacing w:line="400" w:lineRule="exact"/>
              <w:jc w:val="center"/>
              <w:rPr>
                <w:rFonts w:hint="eastAsia" w:ascii="宋体" w:hAnsi="宋体" w:cs="宋体"/>
                <w:szCs w:val="21"/>
              </w:rPr>
            </w:pPr>
            <w:r>
              <w:rPr>
                <w:rFonts w:hint="eastAsia" w:ascii="宋体" w:hAnsi="宋体" w:cs="宋体"/>
                <w:szCs w:val="21"/>
              </w:rPr>
              <w:t>项目负责人分</w:t>
            </w:r>
          </w:p>
          <w:p w14:paraId="13F5B965">
            <w:pPr>
              <w:spacing w:line="400" w:lineRule="exact"/>
              <w:rPr>
                <w:rFonts w:hint="eastAsia" w:ascii="宋体" w:hAnsi="宋体" w:cs="宋体"/>
                <w:szCs w:val="21"/>
              </w:rPr>
            </w:pPr>
          </w:p>
        </w:tc>
        <w:tc>
          <w:tcPr>
            <w:tcW w:w="1139" w:type="dxa"/>
            <w:vAlign w:val="center"/>
          </w:tcPr>
          <w:p w14:paraId="37105E92">
            <w:pPr>
              <w:spacing w:line="400" w:lineRule="exact"/>
              <w:ind w:firstLine="210" w:firstLineChars="100"/>
              <w:rPr>
                <w:rFonts w:hint="eastAsia" w:ascii="宋体" w:hAnsi="宋体" w:cs="宋体"/>
                <w:szCs w:val="21"/>
              </w:rPr>
            </w:pPr>
            <w:r>
              <w:rPr>
                <w:rFonts w:hint="eastAsia" w:ascii="宋体" w:hAnsi="宋体" w:cs="宋体"/>
                <w:szCs w:val="21"/>
              </w:rPr>
              <w:t>3分</w:t>
            </w:r>
          </w:p>
        </w:tc>
        <w:tc>
          <w:tcPr>
            <w:tcW w:w="6409" w:type="dxa"/>
            <w:vAlign w:val="center"/>
          </w:tcPr>
          <w:p w14:paraId="73EF5DF2">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项目负责人，满分3分。</w:t>
            </w:r>
          </w:p>
          <w:p w14:paraId="670B4E6E">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①具有信息系统项目管理师（高级）资格证书，得2分；</w:t>
            </w:r>
          </w:p>
          <w:p w14:paraId="15DF9098">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②具有高级网络信息安全工程师证书，得2分；</w:t>
            </w:r>
          </w:p>
          <w:p w14:paraId="64A50CC6">
            <w:pPr>
              <w:pStyle w:val="27"/>
              <w:spacing w:line="400" w:lineRule="exact"/>
              <w:ind w:firstLine="0" w:firstLineChars="0"/>
              <w:jc w:val="left"/>
              <w:rPr>
                <w:rFonts w:hint="eastAsia" w:ascii="宋体" w:hAnsi="宋体" w:cs="宋体"/>
                <w:bCs/>
                <w:kern w:val="0"/>
                <w:szCs w:val="21"/>
              </w:rPr>
            </w:pPr>
            <w:r>
              <w:rPr>
                <w:rFonts w:hint="eastAsia" w:ascii="宋体" w:hAnsi="宋体" w:cs="宋体"/>
                <w:szCs w:val="21"/>
              </w:rPr>
              <w:t>③</w:t>
            </w:r>
            <w:r>
              <w:rPr>
                <w:rFonts w:hint="eastAsia" w:ascii="宋体" w:hAnsi="宋体" w:cs="宋体"/>
                <w:bCs/>
                <w:kern w:val="0"/>
                <w:szCs w:val="21"/>
              </w:rPr>
              <w:t>具有系统架构设计师（高级）资格证书，得2分；</w:t>
            </w:r>
          </w:p>
          <w:p w14:paraId="4764DD0C">
            <w:pPr>
              <w:spacing w:line="400" w:lineRule="exact"/>
              <w:jc w:val="left"/>
              <w:rPr>
                <w:rFonts w:hint="eastAsia" w:ascii="宋体" w:hAnsi="宋体" w:cs="宋体"/>
                <w:bCs/>
                <w:kern w:val="0"/>
                <w:szCs w:val="21"/>
              </w:rPr>
            </w:pPr>
            <w:r>
              <w:rPr>
                <w:rFonts w:hint="eastAsia" w:ascii="宋体" w:hAnsi="宋体" w:cs="宋体"/>
                <w:bCs/>
                <w:kern w:val="0"/>
                <w:szCs w:val="21"/>
              </w:rPr>
              <w:t>④具有系统规划与管理师（高级）资格证书，得2分；</w:t>
            </w:r>
          </w:p>
          <w:p w14:paraId="3715F498">
            <w:pPr>
              <w:spacing w:line="400" w:lineRule="exact"/>
              <w:jc w:val="left"/>
              <w:rPr>
                <w:rFonts w:hint="eastAsia" w:ascii="宋体" w:hAnsi="宋体" w:cs="宋体"/>
                <w:bCs/>
                <w:kern w:val="0"/>
                <w:szCs w:val="21"/>
              </w:rPr>
            </w:pPr>
            <w:r>
              <w:rPr>
                <w:rFonts w:hint="eastAsia" w:ascii="宋体" w:hAnsi="宋体" w:cs="宋体"/>
                <w:bCs/>
                <w:kern w:val="0"/>
                <w:szCs w:val="21"/>
              </w:rPr>
              <w:t>⑤具有环境类、计算机类任一专业中级职称的，得1分。</w:t>
            </w:r>
          </w:p>
          <w:p w14:paraId="1C6E8D7D">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5E907EB4">
            <w:pPr>
              <w:pStyle w:val="2"/>
              <w:spacing w:line="400" w:lineRule="exact"/>
              <w:rPr>
                <w:rFonts w:hint="eastAsia" w:ascii="宋体" w:hAnsi="宋体" w:cs="宋体"/>
                <w:b/>
                <w:bCs/>
                <w:sz w:val="21"/>
                <w:szCs w:val="21"/>
              </w:rPr>
            </w:pPr>
            <w:r>
              <w:rPr>
                <w:rFonts w:hint="eastAsia" w:ascii="宋体" w:hAnsi="宋体" w:cs="宋体"/>
                <w:b/>
                <w:bCs/>
                <w:sz w:val="21"/>
                <w:szCs w:val="21"/>
              </w:rPr>
              <w:t>（1）以上人员不能与售后服务人员重复。</w:t>
            </w:r>
          </w:p>
          <w:p w14:paraId="315F6B29">
            <w:pPr>
              <w:pStyle w:val="2"/>
              <w:spacing w:line="400" w:lineRule="exact"/>
              <w:rPr>
                <w:rFonts w:hint="eastAsia" w:ascii="宋体" w:hAnsi="宋体" w:cs="宋体"/>
                <w:b/>
                <w:bCs/>
                <w:sz w:val="21"/>
                <w:szCs w:val="21"/>
              </w:rPr>
            </w:pPr>
            <w:r>
              <w:rPr>
                <w:rFonts w:hint="eastAsia" w:ascii="宋体" w:hAnsi="宋体" w:cs="宋体"/>
                <w:b/>
                <w:bCs/>
                <w:sz w:val="21"/>
                <w:szCs w:val="21"/>
              </w:rPr>
              <w:t>（2）拟投入人员应为投标人在职在岗正式员工（非退休），投标文件需提供项目实施人员劳动合同复印件或事业单位编制证明复印件等相关证明材料并加盖投标单位公章，否则不计分。</w:t>
            </w:r>
          </w:p>
          <w:p w14:paraId="1FA4BEBF">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7E861FDD">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2C36E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64AB027">
            <w:pPr>
              <w:spacing w:line="400" w:lineRule="exact"/>
              <w:rPr>
                <w:rFonts w:hint="eastAsia" w:ascii="宋体" w:hAnsi="宋体" w:cs="宋体"/>
                <w:szCs w:val="21"/>
              </w:rPr>
            </w:pPr>
            <w:r>
              <w:rPr>
                <w:rFonts w:hint="eastAsia" w:ascii="宋体" w:hAnsi="宋体" w:cs="宋体"/>
                <w:szCs w:val="21"/>
              </w:rPr>
              <w:t>技术负责人得分</w:t>
            </w:r>
          </w:p>
        </w:tc>
        <w:tc>
          <w:tcPr>
            <w:tcW w:w="1139" w:type="dxa"/>
            <w:vAlign w:val="center"/>
          </w:tcPr>
          <w:p w14:paraId="5E117DC1">
            <w:pPr>
              <w:spacing w:line="400" w:lineRule="exact"/>
              <w:ind w:firstLine="210" w:firstLineChars="100"/>
              <w:rPr>
                <w:rFonts w:hint="eastAsia" w:ascii="宋体" w:hAnsi="宋体" w:cs="宋体"/>
                <w:szCs w:val="21"/>
              </w:rPr>
            </w:pPr>
            <w:r>
              <w:rPr>
                <w:rFonts w:hint="eastAsia" w:ascii="宋体" w:hAnsi="宋体" w:cs="宋体"/>
                <w:szCs w:val="21"/>
              </w:rPr>
              <w:t>3分</w:t>
            </w:r>
          </w:p>
        </w:tc>
        <w:tc>
          <w:tcPr>
            <w:tcW w:w="6409" w:type="dxa"/>
            <w:vAlign w:val="center"/>
          </w:tcPr>
          <w:p w14:paraId="0A235243">
            <w:pPr>
              <w:spacing w:line="400" w:lineRule="exact"/>
              <w:jc w:val="left"/>
              <w:rPr>
                <w:rFonts w:hint="eastAsia" w:ascii="宋体" w:hAnsi="宋体" w:cs="宋体"/>
                <w:szCs w:val="21"/>
              </w:rPr>
            </w:pPr>
            <w:r>
              <w:rPr>
                <w:rFonts w:hint="eastAsia" w:ascii="宋体" w:hAnsi="宋体" w:cs="宋体"/>
                <w:szCs w:val="21"/>
              </w:rPr>
              <w:t>技术负责人（1人，项目负责人除外），满分3分。</w:t>
            </w:r>
          </w:p>
          <w:p w14:paraId="5E5A107A">
            <w:pPr>
              <w:spacing w:line="400" w:lineRule="exact"/>
              <w:jc w:val="left"/>
              <w:rPr>
                <w:rFonts w:hint="eastAsia" w:ascii="宋体" w:hAnsi="宋体" w:cs="宋体"/>
                <w:szCs w:val="21"/>
              </w:rPr>
            </w:pPr>
            <w:r>
              <w:rPr>
                <w:rFonts w:hint="eastAsia" w:ascii="宋体" w:hAnsi="宋体" w:cs="宋体"/>
                <w:szCs w:val="21"/>
              </w:rPr>
              <w:t>具有</w:t>
            </w:r>
            <w:r>
              <w:rPr>
                <w:rFonts w:hint="eastAsia" w:ascii="宋体" w:hAnsi="宋体" w:cs="宋体"/>
                <w:bCs/>
                <w:kern w:val="0"/>
                <w:szCs w:val="21"/>
              </w:rPr>
              <w:t>系统架构设计师</w:t>
            </w:r>
            <w:r>
              <w:rPr>
                <w:rFonts w:hint="eastAsia" w:ascii="宋体" w:hAnsi="宋体" w:cs="宋体"/>
                <w:szCs w:val="21"/>
              </w:rPr>
              <w:t>证书（高级）的，得2分；</w:t>
            </w:r>
          </w:p>
          <w:p w14:paraId="6CBEB712">
            <w:pPr>
              <w:spacing w:line="400" w:lineRule="exact"/>
              <w:jc w:val="left"/>
              <w:rPr>
                <w:rFonts w:hint="eastAsia" w:ascii="宋体" w:hAnsi="宋体" w:cs="宋体"/>
                <w:szCs w:val="21"/>
              </w:rPr>
            </w:pPr>
            <w:r>
              <w:rPr>
                <w:rFonts w:hint="eastAsia" w:ascii="宋体" w:hAnsi="宋体" w:cs="宋体"/>
                <w:szCs w:val="21"/>
              </w:rPr>
              <w:t>具有软件设计师（中级）证书得1分；</w:t>
            </w:r>
          </w:p>
          <w:p w14:paraId="14BDA786">
            <w:pPr>
              <w:spacing w:line="400" w:lineRule="exact"/>
              <w:jc w:val="left"/>
              <w:rPr>
                <w:rFonts w:hint="eastAsia" w:ascii="宋体" w:hAnsi="宋体" w:cs="宋体"/>
                <w:szCs w:val="21"/>
              </w:rPr>
            </w:pPr>
            <w:r>
              <w:rPr>
                <w:rFonts w:hint="eastAsia" w:ascii="宋体" w:hAnsi="宋体" w:cs="宋体"/>
                <w:szCs w:val="21"/>
              </w:rPr>
              <w:t>具有数据库系统工程师（中级）证书得1分。</w:t>
            </w:r>
          </w:p>
          <w:p w14:paraId="4CACCCE7">
            <w:pPr>
              <w:spacing w:line="400" w:lineRule="exact"/>
              <w:rPr>
                <w:rFonts w:hint="eastAsia" w:ascii="宋体" w:hAnsi="宋体" w:cs="宋体"/>
                <w:b/>
                <w:bCs/>
                <w:szCs w:val="21"/>
              </w:rPr>
            </w:pPr>
            <w:r>
              <w:rPr>
                <w:rFonts w:hint="eastAsia" w:ascii="宋体" w:hAnsi="宋体" w:cs="宋体"/>
                <w:b/>
                <w:bCs/>
                <w:szCs w:val="21"/>
              </w:rPr>
              <w:t>注：</w:t>
            </w:r>
          </w:p>
          <w:p w14:paraId="0A67C1FE">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034EB2B5">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09E414B4">
            <w:pPr>
              <w:spacing w:line="400" w:lineRule="exact"/>
              <w:rPr>
                <w:rFonts w:hint="eastAsia" w:ascii="宋体" w:hAnsi="宋体" w:cs="宋体"/>
                <w:b/>
                <w:bCs/>
                <w:kern w:val="0"/>
                <w:szCs w:val="21"/>
              </w:rPr>
            </w:pPr>
            <w:r>
              <w:rPr>
                <w:rFonts w:hint="eastAsia" w:ascii="宋体" w:hAnsi="宋体" w:cs="宋体"/>
                <w:b/>
                <w:bCs/>
                <w:kern w:val="0"/>
                <w:szCs w:val="21"/>
              </w:rPr>
              <w:t>（3）提供项目实施人员相关证书等证明材料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3C43B69D">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5A121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514B6678">
            <w:pPr>
              <w:spacing w:line="400" w:lineRule="exact"/>
              <w:rPr>
                <w:rFonts w:hint="eastAsia" w:ascii="宋体" w:hAnsi="宋体" w:cs="宋体"/>
                <w:szCs w:val="21"/>
              </w:rPr>
            </w:pPr>
            <w:r>
              <w:rPr>
                <w:rFonts w:hint="eastAsia" w:ascii="宋体" w:hAnsi="宋体" w:cs="宋体"/>
                <w:bCs/>
                <w:kern w:val="0"/>
                <w:szCs w:val="21"/>
              </w:rPr>
              <w:t>团队人员配置得分</w:t>
            </w:r>
          </w:p>
        </w:tc>
        <w:tc>
          <w:tcPr>
            <w:tcW w:w="1139" w:type="dxa"/>
            <w:vAlign w:val="center"/>
          </w:tcPr>
          <w:p w14:paraId="5BA885B7">
            <w:pPr>
              <w:spacing w:line="400" w:lineRule="exact"/>
              <w:ind w:firstLine="210" w:firstLineChars="100"/>
              <w:rPr>
                <w:rFonts w:hint="eastAsia" w:ascii="宋体" w:hAnsi="宋体" w:cs="宋体"/>
                <w:szCs w:val="21"/>
              </w:rPr>
            </w:pPr>
            <w:r>
              <w:rPr>
                <w:rFonts w:hint="eastAsia" w:ascii="宋体" w:hAnsi="宋体" w:cs="宋体"/>
                <w:szCs w:val="21"/>
              </w:rPr>
              <w:t>8分</w:t>
            </w:r>
          </w:p>
        </w:tc>
        <w:tc>
          <w:tcPr>
            <w:tcW w:w="6409" w:type="dxa"/>
            <w:vAlign w:val="center"/>
          </w:tcPr>
          <w:p w14:paraId="1D7B35B7">
            <w:pPr>
              <w:spacing w:line="400" w:lineRule="exact"/>
              <w:jc w:val="left"/>
              <w:rPr>
                <w:rFonts w:hint="eastAsia" w:ascii="宋体" w:hAnsi="宋体" w:cs="宋体"/>
                <w:szCs w:val="21"/>
              </w:rPr>
            </w:pPr>
            <w:r>
              <w:rPr>
                <w:rFonts w:hint="eastAsia" w:ascii="宋体" w:hAnsi="宋体" w:cs="宋体"/>
                <w:szCs w:val="21"/>
              </w:rPr>
              <w:t>拟配备的项目团队成员（项目负责人和技术负责人除外），若具有：</w:t>
            </w:r>
          </w:p>
          <w:p w14:paraId="1D3416F1">
            <w:pPr>
              <w:spacing w:line="400" w:lineRule="exact"/>
              <w:jc w:val="left"/>
              <w:rPr>
                <w:rFonts w:hint="eastAsia" w:ascii="宋体" w:hAnsi="宋体" w:cs="宋体"/>
                <w:szCs w:val="21"/>
              </w:rPr>
            </w:pPr>
            <w:r>
              <w:rPr>
                <w:rFonts w:hint="eastAsia" w:ascii="宋体" w:hAnsi="宋体" w:cs="宋体"/>
                <w:szCs w:val="21"/>
              </w:rPr>
              <w:t>（1）信息系统项目管理师（高级），得2分；</w:t>
            </w:r>
          </w:p>
          <w:p w14:paraId="47DB38BA">
            <w:pPr>
              <w:spacing w:line="400" w:lineRule="exact"/>
              <w:jc w:val="left"/>
              <w:rPr>
                <w:rFonts w:hint="eastAsia" w:ascii="宋体" w:hAnsi="宋体" w:cs="宋体"/>
                <w:szCs w:val="21"/>
              </w:rPr>
            </w:pPr>
            <w:r>
              <w:rPr>
                <w:rFonts w:hint="eastAsia" w:ascii="宋体" w:hAnsi="宋体" w:cs="宋体"/>
                <w:szCs w:val="21"/>
              </w:rPr>
              <w:t>（2）软件设计师（中级）证书，得1分；</w:t>
            </w:r>
          </w:p>
          <w:p w14:paraId="5C027FFF">
            <w:pPr>
              <w:spacing w:line="400" w:lineRule="exact"/>
              <w:jc w:val="left"/>
              <w:rPr>
                <w:rFonts w:hint="eastAsia" w:ascii="宋体" w:hAnsi="宋体" w:cs="宋体"/>
                <w:szCs w:val="21"/>
              </w:rPr>
            </w:pPr>
            <w:r>
              <w:rPr>
                <w:rFonts w:hint="eastAsia" w:ascii="宋体" w:hAnsi="宋体" w:cs="宋体"/>
                <w:szCs w:val="21"/>
              </w:rPr>
              <w:t>（3）软件评测师（中级）证书，得1分；</w:t>
            </w:r>
          </w:p>
          <w:p w14:paraId="23DFEA84">
            <w:pPr>
              <w:spacing w:line="400" w:lineRule="exact"/>
              <w:jc w:val="left"/>
              <w:rPr>
                <w:rFonts w:hint="eastAsia" w:ascii="宋体" w:hAnsi="宋体" w:cs="宋体"/>
                <w:szCs w:val="21"/>
              </w:rPr>
            </w:pPr>
            <w:r>
              <w:rPr>
                <w:rFonts w:hint="eastAsia" w:ascii="宋体" w:hAnsi="宋体" w:cs="宋体"/>
                <w:szCs w:val="21"/>
              </w:rPr>
              <w:t>（4）网络工程师（中级）证书，得1分；</w:t>
            </w:r>
          </w:p>
          <w:p w14:paraId="3B73E01B">
            <w:pPr>
              <w:spacing w:line="400" w:lineRule="exact"/>
              <w:jc w:val="left"/>
              <w:rPr>
                <w:rFonts w:hint="eastAsia" w:ascii="宋体" w:hAnsi="宋体" w:cs="宋体"/>
                <w:szCs w:val="21"/>
              </w:rPr>
            </w:pPr>
            <w:r>
              <w:rPr>
                <w:rFonts w:hint="eastAsia" w:ascii="宋体" w:hAnsi="宋体" w:cs="宋体"/>
                <w:szCs w:val="21"/>
              </w:rPr>
              <w:t>（5）系统集成项目管理工程师（中级）证书，得1分；</w:t>
            </w:r>
          </w:p>
          <w:p w14:paraId="50DEAA67">
            <w:pPr>
              <w:spacing w:line="400" w:lineRule="exact"/>
              <w:jc w:val="left"/>
              <w:rPr>
                <w:rFonts w:hint="eastAsia" w:ascii="宋体" w:hAnsi="宋体" w:cs="宋体"/>
                <w:szCs w:val="21"/>
              </w:rPr>
            </w:pPr>
            <w:r>
              <w:rPr>
                <w:rFonts w:hint="eastAsia" w:ascii="宋体" w:hAnsi="宋体" w:cs="宋体"/>
                <w:szCs w:val="21"/>
              </w:rPr>
              <w:t>（6）环境保护相关专业，中级职称得1分，高级职称得2分；</w:t>
            </w:r>
          </w:p>
          <w:p w14:paraId="1018C2BE">
            <w:pPr>
              <w:spacing w:line="400" w:lineRule="exact"/>
              <w:jc w:val="left"/>
              <w:rPr>
                <w:rFonts w:hint="eastAsia" w:ascii="宋体" w:hAnsi="宋体" w:cs="宋体"/>
                <w:szCs w:val="21"/>
              </w:rPr>
            </w:pPr>
            <w:r>
              <w:rPr>
                <w:rFonts w:hint="eastAsia" w:ascii="宋体" w:hAnsi="宋体" w:cs="宋体"/>
                <w:szCs w:val="21"/>
              </w:rPr>
              <w:t>（7）人工智能相关专业，中级职称得1分，高级职称得2分；</w:t>
            </w:r>
          </w:p>
          <w:p w14:paraId="5B5F0764">
            <w:pPr>
              <w:spacing w:line="400" w:lineRule="exact"/>
              <w:jc w:val="left"/>
              <w:rPr>
                <w:rFonts w:hint="eastAsia" w:ascii="宋体" w:hAnsi="宋体" w:cs="宋体"/>
                <w:szCs w:val="21"/>
              </w:rPr>
            </w:pPr>
            <w:r>
              <w:rPr>
                <w:rFonts w:hint="eastAsia" w:ascii="宋体" w:hAnsi="宋体" w:cs="宋体"/>
                <w:szCs w:val="21"/>
              </w:rPr>
              <w:t>（8）注册信息安全专业人员（CISP）证书，得1分；</w:t>
            </w:r>
          </w:p>
          <w:p w14:paraId="5AAB5A8B">
            <w:pPr>
              <w:spacing w:line="400" w:lineRule="exact"/>
              <w:jc w:val="left"/>
              <w:rPr>
                <w:rFonts w:hint="eastAsia" w:ascii="宋体" w:hAnsi="宋体" w:cs="宋体"/>
                <w:szCs w:val="21"/>
              </w:rPr>
            </w:pPr>
            <w:r>
              <w:rPr>
                <w:rFonts w:hint="eastAsia" w:ascii="宋体" w:hAnsi="宋体" w:cs="宋体"/>
                <w:szCs w:val="21"/>
              </w:rPr>
              <w:t>本小项满分8分。</w:t>
            </w:r>
          </w:p>
          <w:p w14:paraId="4BCA900A">
            <w:pPr>
              <w:spacing w:line="400" w:lineRule="exact"/>
              <w:rPr>
                <w:rFonts w:hint="eastAsia" w:ascii="宋体" w:hAnsi="宋体" w:cs="宋体"/>
                <w:b/>
                <w:bCs/>
                <w:szCs w:val="21"/>
              </w:rPr>
            </w:pPr>
            <w:r>
              <w:rPr>
                <w:rFonts w:hint="eastAsia" w:ascii="宋体" w:hAnsi="宋体" w:cs="宋体"/>
                <w:b/>
                <w:bCs/>
                <w:szCs w:val="21"/>
              </w:rPr>
              <w:t>注：</w:t>
            </w:r>
          </w:p>
          <w:p w14:paraId="1FC37822">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6477C264">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2CA4ADF6">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011464D2">
            <w:pPr>
              <w:spacing w:line="400" w:lineRule="exact"/>
              <w:rPr>
                <w:rFonts w:hint="eastAsia" w:ascii="宋体" w:hAnsi="宋体" w:cs="宋体"/>
                <w:szCs w:val="21"/>
              </w:rPr>
            </w:pPr>
            <w:r>
              <w:rPr>
                <w:rFonts w:hint="eastAsia" w:ascii="宋体" w:hAnsi="宋体" w:cs="宋体"/>
                <w:b/>
                <w:bCs/>
                <w:kern w:val="0"/>
                <w:szCs w:val="21"/>
              </w:rPr>
              <w:t>（4）团队成员中同一人员同时具有多个证书的不累计计分。无法提供证明材料或提供证明材料不完整的，不得分。</w:t>
            </w:r>
          </w:p>
        </w:tc>
      </w:tr>
      <w:tr w14:paraId="19FEB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3CA2AF92">
            <w:pPr>
              <w:spacing w:line="400" w:lineRule="exact"/>
              <w:jc w:val="center"/>
              <w:rPr>
                <w:rFonts w:hint="eastAsia" w:ascii="宋体" w:hAnsi="宋体" w:cs="宋体"/>
                <w:szCs w:val="21"/>
              </w:rPr>
            </w:pPr>
            <w:r>
              <w:rPr>
                <w:rFonts w:hint="eastAsia" w:ascii="宋体" w:hAnsi="宋体" w:cs="宋体"/>
                <w:bCs/>
                <w:kern w:val="0"/>
                <w:szCs w:val="21"/>
              </w:rPr>
              <w:t>演示分</w:t>
            </w:r>
          </w:p>
        </w:tc>
        <w:tc>
          <w:tcPr>
            <w:tcW w:w="1139" w:type="dxa"/>
            <w:vAlign w:val="center"/>
          </w:tcPr>
          <w:p w14:paraId="4FB77007">
            <w:pPr>
              <w:spacing w:line="400" w:lineRule="exact"/>
              <w:jc w:val="center"/>
              <w:rPr>
                <w:rFonts w:hint="eastAsia" w:ascii="宋体" w:hAnsi="宋体" w:cs="宋体"/>
                <w:szCs w:val="21"/>
              </w:rPr>
            </w:pPr>
            <w:r>
              <w:rPr>
                <w:rFonts w:hint="eastAsia" w:ascii="宋体" w:hAnsi="宋体" w:cs="宋体"/>
                <w:szCs w:val="21"/>
              </w:rPr>
              <w:t>10分</w:t>
            </w:r>
          </w:p>
        </w:tc>
        <w:tc>
          <w:tcPr>
            <w:tcW w:w="6409" w:type="dxa"/>
            <w:vAlign w:val="center"/>
          </w:tcPr>
          <w:p w14:paraId="57B2EEBC">
            <w:pPr>
              <w:pStyle w:val="2"/>
              <w:spacing w:line="400" w:lineRule="exact"/>
              <w:rPr>
                <w:rFonts w:hint="eastAsia" w:ascii="宋体" w:hAnsi="宋体" w:cs="宋体"/>
                <w:sz w:val="21"/>
                <w:szCs w:val="21"/>
              </w:rPr>
            </w:pPr>
            <w:r>
              <w:rPr>
                <w:rFonts w:hint="eastAsia" w:ascii="宋体" w:hAnsi="宋体" w:cs="宋体"/>
                <w:sz w:val="21"/>
                <w:szCs w:val="21"/>
              </w:rPr>
              <w:t>（一）不符合项目需求或未提供演示，演示分计0分。</w:t>
            </w:r>
          </w:p>
          <w:p w14:paraId="011E7454">
            <w:pPr>
              <w:pStyle w:val="2"/>
              <w:spacing w:line="400" w:lineRule="exact"/>
              <w:rPr>
                <w:rFonts w:hint="eastAsia" w:ascii="宋体" w:hAnsi="宋体" w:cs="宋体"/>
                <w:sz w:val="21"/>
                <w:szCs w:val="21"/>
              </w:rPr>
            </w:pPr>
            <w:r>
              <w:rPr>
                <w:rFonts w:hint="eastAsia" w:ascii="宋体" w:hAnsi="宋体" w:cs="宋体"/>
                <w:sz w:val="21"/>
                <w:szCs w:val="21"/>
              </w:rPr>
              <w:t>（二）投标人须选择与本分标实际建设内容相类似的信息化领域已建成的真实系统或根据本分标实际建设需求搭建系统进行现场系统演示，使用PPT、图片演示、视频播放等非原型方式演示的不予认可。</w:t>
            </w:r>
          </w:p>
          <w:p w14:paraId="54BB22BF">
            <w:pPr>
              <w:pStyle w:val="2"/>
              <w:spacing w:line="400" w:lineRule="exact"/>
              <w:rPr>
                <w:rFonts w:hint="eastAsia" w:ascii="宋体" w:hAnsi="宋体" w:cs="宋体"/>
                <w:sz w:val="21"/>
                <w:szCs w:val="21"/>
              </w:rPr>
            </w:pPr>
            <w:r>
              <w:rPr>
                <w:rFonts w:hint="eastAsia" w:ascii="宋体" w:hAnsi="宋体" w:cs="宋体"/>
                <w:sz w:val="21"/>
                <w:szCs w:val="21"/>
              </w:rPr>
              <w:t>（三）功能演示（</w:t>
            </w:r>
            <w:r>
              <w:rPr>
                <w:rFonts w:hint="eastAsia" w:ascii="宋体" w:hAnsi="宋体" w:cs="宋体"/>
                <w:b/>
                <w:bCs/>
                <w:sz w:val="21"/>
                <w:szCs w:val="21"/>
              </w:rPr>
              <w:t>每少演示1个小项（如（1））扣1分。</w:t>
            </w:r>
            <w:r>
              <w:rPr>
                <w:rFonts w:hint="eastAsia" w:ascii="宋体" w:hAnsi="宋体" w:cs="宋体"/>
                <w:sz w:val="21"/>
                <w:szCs w:val="21"/>
              </w:rPr>
              <w:t>）</w:t>
            </w:r>
          </w:p>
          <w:p w14:paraId="50CD160B">
            <w:pPr>
              <w:pStyle w:val="2"/>
              <w:spacing w:line="400" w:lineRule="exact"/>
              <w:rPr>
                <w:rFonts w:hint="eastAsia" w:ascii="宋体" w:hAnsi="宋体" w:cs="宋体"/>
                <w:sz w:val="21"/>
                <w:szCs w:val="21"/>
              </w:rPr>
            </w:pPr>
            <w:r>
              <w:rPr>
                <w:rFonts w:hint="eastAsia" w:ascii="宋体" w:hAnsi="宋体" w:cs="宋体"/>
                <w:sz w:val="21"/>
                <w:szCs w:val="21"/>
              </w:rPr>
              <w:t>1.生态环境智慧执法应用（4分）</w:t>
            </w:r>
          </w:p>
          <w:p w14:paraId="0901D820">
            <w:pPr>
              <w:pStyle w:val="2"/>
              <w:spacing w:line="400" w:lineRule="exact"/>
              <w:rPr>
                <w:rFonts w:hint="eastAsia" w:ascii="宋体" w:hAnsi="宋体" w:cs="宋体"/>
                <w:sz w:val="21"/>
                <w:szCs w:val="21"/>
              </w:rPr>
            </w:pPr>
            <w:r>
              <w:rPr>
                <w:rFonts w:hint="eastAsia" w:ascii="宋体" w:hAnsi="宋体" w:cs="宋体"/>
                <w:sz w:val="21"/>
                <w:szCs w:val="21"/>
              </w:rPr>
              <w:t>（1）执法：演示执法对象、机构、人员、装备管理功能。</w:t>
            </w:r>
          </w:p>
          <w:p w14:paraId="60955C0A">
            <w:pPr>
              <w:pStyle w:val="2"/>
              <w:spacing w:line="400" w:lineRule="exact"/>
              <w:rPr>
                <w:rFonts w:hint="eastAsia" w:ascii="宋体" w:hAnsi="宋体" w:cs="宋体"/>
                <w:sz w:val="21"/>
                <w:szCs w:val="21"/>
              </w:rPr>
            </w:pPr>
            <w:r>
              <w:rPr>
                <w:rFonts w:hint="eastAsia" w:ascii="宋体" w:hAnsi="宋体" w:cs="宋体"/>
                <w:sz w:val="21"/>
                <w:szCs w:val="21"/>
              </w:rPr>
              <w:t>（2）行政处罚：演示一般处罚流程、自由裁量功能。</w:t>
            </w:r>
          </w:p>
          <w:p w14:paraId="60416672">
            <w:pPr>
              <w:pStyle w:val="2"/>
              <w:spacing w:line="400" w:lineRule="exact"/>
              <w:rPr>
                <w:rFonts w:hint="eastAsia" w:ascii="宋体" w:hAnsi="宋体" w:cs="宋体"/>
                <w:sz w:val="21"/>
                <w:szCs w:val="21"/>
              </w:rPr>
            </w:pPr>
            <w:r>
              <w:rPr>
                <w:rFonts w:hint="eastAsia" w:ascii="宋体" w:hAnsi="宋体" w:cs="宋体"/>
                <w:sz w:val="21"/>
                <w:szCs w:val="21"/>
              </w:rPr>
              <w:t>（3）污染源监控：演示超标督办、数据标记功能。</w:t>
            </w:r>
          </w:p>
          <w:p w14:paraId="6E3B2A4D">
            <w:pPr>
              <w:pStyle w:val="2"/>
              <w:spacing w:line="400" w:lineRule="exact"/>
              <w:rPr>
                <w:rFonts w:hint="eastAsia" w:ascii="宋体" w:hAnsi="宋体" w:cs="宋体"/>
                <w:sz w:val="21"/>
                <w:szCs w:val="21"/>
              </w:rPr>
            </w:pPr>
            <w:r>
              <w:rPr>
                <w:rFonts w:hint="eastAsia" w:ascii="宋体" w:hAnsi="宋体" w:cs="宋体"/>
                <w:sz w:val="21"/>
                <w:szCs w:val="21"/>
              </w:rPr>
              <w:t>（4）信用评价：演示动态评价、信用修复功能。</w:t>
            </w:r>
          </w:p>
          <w:p w14:paraId="2ABA6CFB">
            <w:pPr>
              <w:pStyle w:val="2"/>
              <w:spacing w:line="400" w:lineRule="exact"/>
              <w:rPr>
                <w:rFonts w:hint="eastAsia" w:ascii="宋体" w:hAnsi="宋体" w:cs="宋体"/>
                <w:sz w:val="21"/>
                <w:szCs w:val="21"/>
              </w:rPr>
            </w:pPr>
            <w:r>
              <w:rPr>
                <w:rFonts w:hint="eastAsia" w:ascii="宋体" w:hAnsi="宋体" w:cs="宋体"/>
                <w:sz w:val="21"/>
                <w:szCs w:val="21"/>
              </w:rPr>
              <w:t>2.环保项目库管理应用（2分）</w:t>
            </w:r>
          </w:p>
          <w:p w14:paraId="0FC242C2">
            <w:pPr>
              <w:pStyle w:val="2"/>
              <w:spacing w:line="400" w:lineRule="exact"/>
              <w:rPr>
                <w:rFonts w:hint="eastAsia" w:ascii="宋体" w:hAnsi="宋体" w:cs="宋体"/>
                <w:sz w:val="21"/>
                <w:szCs w:val="21"/>
              </w:rPr>
            </w:pPr>
            <w:r>
              <w:rPr>
                <w:rFonts w:hint="eastAsia" w:ascii="宋体" w:hAnsi="宋体" w:cs="宋体"/>
                <w:sz w:val="21"/>
                <w:szCs w:val="21"/>
              </w:rPr>
              <w:t>（1）演示环保专项资金项目库管理。</w:t>
            </w:r>
          </w:p>
          <w:p w14:paraId="36DC7564">
            <w:pPr>
              <w:pStyle w:val="2"/>
              <w:spacing w:line="400" w:lineRule="exact"/>
              <w:rPr>
                <w:rFonts w:hint="eastAsia" w:ascii="宋体" w:hAnsi="宋体" w:cs="宋体"/>
                <w:sz w:val="21"/>
                <w:szCs w:val="21"/>
              </w:rPr>
            </w:pPr>
            <w:r>
              <w:rPr>
                <w:rFonts w:hint="eastAsia" w:ascii="宋体" w:hAnsi="宋体" w:cs="宋体"/>
                <w:sz w:val="21"/>
                <w:szCs w:val="21"/>
              </w:rPr>
              <w:t>（2）演示申请/储备/实施/淘汰库的项目管理功能。</w:t>
            </w:r>
          </w:p>
          <w:p w14:paraId="2EBA6F5E">
            <w:pPr>
              <w:pStyle w:val="2"/>
              <w:spacing w:line="400" w:lineRule="exact"/>
              <w:rPr>
                <w:rFonts w:hint="eastAsia" w:ascii="宋体" w:hAnsi="宋体" w:cs="宋体"/>
                <w:sz w:val="21"/>
                <w:szCs w:val="21"/>
              </w:rPr>
            </w:pPr>
            <w:r>
              <w:rPr>
                <w:rFonts w:hint="eastAsia" w:ascii="宋体" w:hAnsi="宋体" w:cs="宋体"/>
                <w:sz w:val="21"/>
                <w:szCs w:val="21"/>
              </w:rPr>
              <w:t>3.项目准入研判应用（2分）</w:t>
            </w:r>
          </w:p>
          <w:p w14:paraId="3FAEF672">
            <w:pPr>
              <w:pStyle w:val="2"/>
              <w:spacing w:line="400" w:lineRule="exact"/>
              <w:rPr>
                <w:rFonts w:hint="eastAsia" w:ascii="宋体" w:hAnsi="宋体" w:cs="宋体"/>
                <w:sz w:val="21"/>
                <w:szCs w:val="21"/>
              </w:rPr>
            </w:pPr>
            <w:r>
              <w:rPr>
                <w:rFonts w:hint="eastAsia" w:ascii="宋体" w:hAnsi="宋体" w:cs="宋体"/>
                <w:sz w:val="21"/>
                <w:szCs w:val="21"/>
              </w:rPr>
              <w:t>（1）演示分区管控、“三区三线”、站点与污染源等空间信息展示功能。</w:t>
            </w:r>
          </w:p>
          <w:p w14:paraId="40A04653">
            <w:pPr>
              <w:pStyle w:val="2"/>
              <w:spacing w:line="400" w:lineRule="exact"/>
              <w:rPr>
                <w:rFonts w:hint="eastAsia" w:ascii="宋体" w:hAnsi="宋体" w:cs="宋体"/>
                <w:sz w:val="21"/>
                <w:szCs w:val="21"/>
              </w:rPr>
            </w:pPr>
            <w:r>
              <w:rPr>
                <w:rFonts w:hint="eastAsia" w:ascii="宋体" w:hAnsi="宋体" w:cs="宋体"/>
                <w:sz w:val="21"/>
                <w:szCs w:val="21"/>
              </w:rPr>
              <w:t>（2）演示项目准入研判与报告下载功能。</w:t>
            </w:r>
          </w:p>
          <w:p w14:paraId="7F145D91">
            <w:pPr>
              <w:pStyle w:val="2"/>
              <w:spacing w:line="400" w:lineRule="exact"/>
              <w:rPr>
                <w:rFonts w:hint="eastAsia" w:ascii="宋体" w:hAnsi="宋体" w:cs="宋体"/>
                <w:sz w:val="21"/>
                <w:szCs w:val="21"/>
              </w:rPr>
            </w:pPr>
            <w:r>
              <w:rPr>
                <w:rFonts w:hint="eastAsia" w:ascii="宋体" w:hAnsi="宋体" w:cs="宋体"/>
                <w:sz w:val="21"/>
                <w:szCs w:val="21"/>
              </w:rPr>
              <w:t>4.实验室信息管理系统（2分）</w:t>
            </w:r>
          </w:p>
          <w:p w14:paraId="518149D9">
            <w:pPr>
              <w:pStyle w:val="2"/>
              <w:spacing w:line="400" w:lineRule="exact"/>
              <w:rPr>
                <w:rFonts w:hint="eastAsia" w:ascii="宋体" w:hAnsi="宋体" w:cs="宋体"/>
                <w:sz w:val="21"/>
                <w:szCs w:val="21"/>
              </w:rPr>
            </w:pPr>
            <w:r>
              <w:rPr>
                <w:rFonts w:hint="eastAsia" w:ascii="宋体" w:hAnsi="宋体" w:cs="宋体"/>
                <w:sz w:val="21"/>
                <w:szCs w:val="21"/>
              </w:rPr>
              <w:t>（1）演示监测人员、仪器设备、标准物资/试剂/耗材管理功能。</w:t>
            </w:r>
          </w:p>
          <w:p w14:paraId="1B92FE82">
            <w:pPr>
              <w:pStyle w:val="2"/>
              <w:spacing w:line="400" w:lineRule="exact"/>
              <w:rPr>
                <w:rFonts w:hint="eastAsia" w:ascii="宋体" w:hAnsi="宋体" w:cs="宋体"/>
                <w:sz w:val="21"/>
                <w:szCs w:val="21"/>
              </w:rPr>
            </w:pPr>
            <w:r>
              <w:rPr>
                <w:rFonts w:hint="eastAsia" w:ascii="宋体" w:hAnsi="宋体" w:cs="宋体"/>
                <w:sz w:val="21"/>
                <w:szCs w:val="21"/>
              </w:rPr>
              <w:t>（2）演示监测计划、采样、样品管理、数据分析、质控管理功能。</w:t>
            </w:r>
          </w:p>
          <w:p w14:paraId="391DF4CD">
            <w:pPr>
              <w:rPr>
                <w:rFonts w:hint="eastAsia" w:ascii="宋体" w:hAnsi="宋体" w:cs="宋体"/>
                <w:szCs w:val="21"/>
              </w:rPr>
            </w:pPr>
          </w:p>
          <w:p w14:paraId="591FEEFA">
            <w:pPr>
              <w:pStyle w:val="2"/>
              <w:spacing w:line="400" w:lineRule="exact"/>
              <w:rPr>
                <w:rFonts w:hint="eastAsia" w:ascii="宋体" w:hAnsi="宋体" w:cs="宋体"/>
                <w:b/>
                <w:bCs/>
                <w:sz w:val="21"/>
                <w:szCs w:val="21"/>
              </w:rPr>
            </w:pPr>
            <w:r>
              <w:rPr>
                <w:rFonts w:hint="eastAsia" w:ascii="宋体" w:hAnsi="宋体" w:cs="宋体"/>
                <w:b/>
                <w:bCs/>
                <w:szCs w:val="21"/>
              </w:rPr>
              <w:t>演示项目实际运行情况、功能特点。</w:t>
            </w:r>
          </w:p>
          <w:p w14:paraId="16A0040B">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7C82F353">
            <w:pPr>
              <w:pStyle w:val="2"/>
              <w:spacing w:line="400" w:lineRule="exact"/>
              <w:rPr>
                <w:rFonts w:hint="eastAsia" w:ascii="宋体" w:hAnsi="宋体" w:cs="宋体"/>
                <w:b/>
                <w:bCs/>
                <w:sz w:val="21"/>
                <w:szCs w:val="21"/>
              </w:rPr>
            </w:pPr>
            <w:r>
              <w:rPr>
                <w:rFonts w:hint="eastAsia" w:ascii="宋体" w:hAnsi="宋体" w:cs="宋体"/>
                <w:b/>
                <w:bCs/>
                <w:sz w:val="21"/>
                <w:szCs w:val="21"/>
              </w:rPr>
              <w:t>（1）投标人须演示系统，演示完毕接受评标专家对演示系统进行问询（专家问询时间不作限制）。</w:t>
            </w:r>
          </w:p>
          <w:p w14:paraId="76908FC6">
            <w:pPr>
              <w:pStyle w:val="2"/>
              <w:spacing w:line="400" w:lineRule="exact"/>
              <w:rPr>
                <w:rFonts w:hint="eastAsia" w:ascii="宋体" w:hAnsi="宋体" w:cs="宋体"/>
                <w:b/>
                <w:bCs/>
                <w:sz w:val="21"/>
                <w:szCs w:val="21"/>
              </w:rPr>
            </w:pPr>
            <w:r>
              <w:rPr>
                <w:rFonts w:hint="eastAsia" w:ascii="宋体" w:hAnsi="宋体" w:cs="宋体"/>
                <w:b/>
                <w:bCs/>
                <w:sz w:val="21"/>
                <w:szCs w:val="21"/>
              </w:rPr>
              <w:t>（2）系统演示时长需控制在20分钟以内，放弃演示本项不得分。</w:t>
            </w:r>
          </w:p>
          <w:p w14:paraId="1948D25D">
            <w:pPr>
              <w:pStyle w:val="2"/>
              <w:spacing w:line="400" w:lineRule="exact"/>
              <w:rPr>
                <w:rFonts w:hint="eastAsia" w:ascii="宋体" w:hAnsi="宋体" w:cs="宋体"/>
                <w:sz w:val="21"/>
                <w:szCs w:val="21"/>
              </w:rPr>
            </w:pPr>
            <w:r>
              <w:rPr>
                <w:rFonts w:hint="eastAsia" w:ascii="宋体" w:hAnsi="宋体" w:cs="宋体"/>
                <w:b/>
                <w:bCs/>
                <w:sz w:val="21"/>
                <w:szCs w:val="21"/>
              </w:rPr>
              <w:t>（3）投标人自行准备网络环境等相关演示条件，因投标人自身原因导致系统无法正常演示的，由投标人自行承担相应责任。</w:t>
            </w:r>
          </w:p>
        </w:tc>
      </w:tr>
      <w:tr w14:paraId="36E4D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B8B37BE">
            <w:pPr>
              <w:spacing w:line="400" w:lineRule="exact"/>
              <w:jc w:val="center"/>
              <w:rPr>
                <w:rFonts w:hint="eastAsia" w:ascii="宋体" w:hAnsi="宋体" w:cs="宋体"/>
                <w:szCs w:val="21"/>
              </w:rPr>
            </w:pPr>
            <w:r>
              <w:rPr>
                <w:rFonts w:hint="eastAsia" w:ascii="宋体" w:hAnsi="宋体" w:cs="宋体"/>
                <w:szCs w:val="21"/>
              </w:rPr>
              <w:t>售后</w:t>
            </w:r>
          </w:p>
          <w:p w14:paraId="7145943F">
            <w:pPr>
              <w:spacing w:line="400" w:lineRule="exact"/>
              <w:jc w:val="center"/>
              <w:rPr>
                <w:rFonts w:hint="eastAsia" w:ascii="宋体" w:hAnsi="宋体" w:cs="宋体"/>
                <w:szCs w:val="21"/>
              </w:rPr>
            </w:pPr>
            <w:r>
              <w:rPr>
                <w:rFonts w:hint="eastAsia" w:ascii="宋体" w:hAnsi="宋体" w:cs="宋体"/>
                <w:szCs w:val="21"/>
              </w:rPr>
              <w:t>服务</w:t>
            </w:r>
          </w:p>
        </w:tc>
        <w:tc>
          <w:tcPr>
            <w:tcW w:w="1139" w:type="dxa"/>
            <w:vAlign w:val="center"/>
          </w:tcPr>
          <w:p w14:paraId="5A24F8FC">
            <w:pPr>
              <w:spacing w:line="400" w:lineRule="exact"/>
              <w:jc w:val="center"/>
              <w:rPr>
                <w:rFonts w:hint="eastAsia" w:ascii="宋体" w:hAnsi="宋体" w:cs="宋体"/>
                <w:szCs w:val="21"/>
              </w:rPr>
            </w:pPr>
            <w:r>
              <w:rPr>
                <w:rFonts w:hint="eastAsia" w:ascii="宋体" w:hAnsi="宋体" w:cs="宋体"/>
                <w:szCs w:val="21"/>
              </w:rPr>
              <w:t>9分</w:t>
            </w:r>
          </w:p>
        </w:tc>
        <w:tc>
          <w:tcPr>
            <w:tcW w:w="6409" w:type="dxa"/>
            <w:vAlign w:val="center"/>
          </w:tcPr>
          <w:p w14:paraId="2E512943">
            <w:pPr>
              <w:spacing w:line="400" w:lineRule="exact"/>
              <w:rPr>
                <w:rFonts w:hint="eastAsia" w:ascii="宋体" w:hAnsi="宋体" w:cs="宋体"/>
                <w:szCs w:val="21"/>
              </w:rPr>
            </w:pPr>
            <w:r>
              <w:rPr>
                <w:rFonts w:hint="eastAsia" w:ascii="宋体" w:hAnsi="宋体" w:cs="宋体"/>
                <w:szCs w:val="21"/>
              </w:rPr>
              <w:t>由评委在打分前根据供应商的售后服务评定打分，以下各项不得重复计分：</w:t>
            </w:r>
          </w:p>
          <w:p w14:paraId="6FD628A0">
            <w:pPr>
              <w:spacing w:line="400" w:lineRule="exact"/>
              <w:rPr>
                <w:rFonts w:hint="eastAsia" w:ascii="宋体" w:hAnsi="宋体" w:cs="宋体"/>
                <w:szCs w:val="21"/>
              </w:rPr>
            </w:pPr>
            <w:r>
              <w:rPr>
                <w:rFonts w:hint="eastAsia" w:ascii="宋体" w:hAnsi="宋体" w:cs="宋体"/>
                <w:szCs w:val="21"/>
              </w:rPr>
              <w:t>一档（3分）：提交的售后服务方案满足采购文件的售后服务要求，针对本项目提供售后服务支持，能满足售后服务响应时间要求。</w:t>
            </w:r>
          </w:p>
          <w:p w14:paraId="17299465">
            <w:pPr>
              <w:spacing w:line="400" w:lineRule="exact"/>
              <w:rPr>
                <w:rFonts w:hint="eastAsia" w:ascii="宋体" w:hAnsi="宋体" w:cs="宋体"/>
                <w:szCs w:val="21"/>
              </w:rPr>
            </w:pPr>
            <w:r>
              <w:rPr>
                <w:rFonts w:hint="eastAsia" w:ascii="宋体" w:hAnsi="宋体" w:cs="宋体"/>
                <w:szCs w:val="21"/>
              </w:rPr>
              <w:t>二档（6分）：在满足一档要求的基础上，提供售后服务流程图，包括故障处理、现场维护、紧急维护、重要服务、电话维护、需求变更、主动巡检等流程图，能提供服务热线电话。</w:t>
            </w:r>
          </w:p>
          <w:p w14:paraId="27F736A6">
            <w:pPr>
              <w:spacing w:line="400" w:lineRule="exact"/>
              <w:rPr>
                <w:rFonts w:hint="eastAsia" w:ascii="宋体" w:hAnsi="宋体" w:cs="宋体"/>
                <w:szCs w:val="21"/>
              </w:rPr>
            </w:pPr>
            <w:r>
              <w:rPr>
                <w:rFonts w:hint="eastAsia" w:ascii="宋体" w:hAnsi="宋体" w:cs="宋体"/>
                <w:szCs w:val="21"/>
              </w:rPr>
              <w:t>三档（9分）：在满足二档要求的基础上，能提详细描述电话支持服务、远程技术支持服务、现场技术支持服务、紧急故障应急预案制定及处理服务、软件维护服务、培训服务、巡检服务、回访服务等的服务内容及服务交付规范的；提供应急预案，提供完备的服务措施，服务质量控制到位，响应时间优于招标文件要求。拟投入本次项目的售后服务团队配备专职售后服务人员，专职售后服务人员中持有中国计算机技术与软件专业技术资格中级及以上证书，人数≥1人。</w:t>
            </w:r>
          </w:p>
          <w:p w14:paraId="3954010D">
            <w:pPr>
              <w:spacing w:line="400" w:lineRule="exact"/>
              <w:rPr>
                <w:rFonts w:hint="eastAsia" w:ascii="宋体" w:hAnsi="宋体" w:cs="宋体"/>
                <w:b/>
                <w:bCs/>
                <w:szCs w:val="21"/>
              </w:rPr>
            </w:pPr>
            <w:r>
              <w:rPr>
                <w:rFonts w:hint="eastAsia" w:ascii="宋体" w:hAnsi="宋体" w:cs="宋体"/>
                <w:b/>
                <w:bCs/>
                <w:szCs w:val="21"/>
              </w:rPr>
              <w:t>注：</w:t>
            </w:r>
          </w:p>
          <w:p w14:paraId="78C1D513">
            <w:pPr>
              <w:spacing w:line="400" w:lineRule="exact"/>
              <w:rPr>
                <w:rFonts w:hint="eastAsia" w:ascii="宋体" w:hAnsi="宋体" w:cs="宋体"/>
                <w:szCs w:val="21"/>
              </w:rPr>
            </w:pPr>
            <w:r>
              <w:rPr>
                <w:rFonts w:hint="eastAsia" w:ascii="宋体" w:hAnsi="宋体" w:cs="宋体"/>
                <w:b/>
                <w:bCs/>
                <w:szCs w:val="21"/>
              </w:rPr>
              <w:t>以上人员不能与团队服务人员重复。拟投入人员应为投标人在职在岗正式员工（非退休），投标文件需提供售后人员相关证书的证明材料复印件（以上证书均要求在有效期内）（全国计算机技术与软件专业技术资格(水平)证书须同时提供官方网站（中国计算机技术职业资格网或中国人事考试网）查询验证的证明截图）、劳动合同复印件或事业单位编制证明复印件等相关证明材料并加盖投标单位公章，否则不计分。未提供方案或不符合最低入档条件的不得分。</w:t>
            </w:r>
          </w:p>
        </w:tc>
      </w:tr>
      <w:tr w14:paraId="2D08C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50F7A8AB">
            <w:pPr>
              <w:spacing w:line="400" w:lineRule="exact"/>
              <w:jc w:val="center"/>
              <w:rPr>
                <w:rFonts w:hint="eastAsia" w:ascii="宋体" w:hAnsi="宋体" w:cs="宋体"/>
                <w:szCs w:val="21"/>
              </w:rPr>
            </w:pPr>
            <w:r>
              <w:rPr>
                <w:rFonts w:hint="eastAsia" w:ascii="宋体" w:hAnsi="宋体" w:cs="宋体"/>
                <w:b/>
                <w:bCs/>
                <w:szCs w:val="21"/>
              </w:rPr>
              <w:t>（三）商务分（满分10分）</w:t>
            </w:r>
          </w:p>
        </w:tc>
      </w:tr>
      <w:tr w14:paraId="152F3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3E601C1B">
            <w:pPr>
              <w:spacing w:line="400" w:lineRule="exact"/>
              <w:jc w:val="center"/>
              <w:rPr>
                <w:rFonts w:hint="eastAsia" w:ascii="宋体" w:hAnsi="宋体" w:cs="宋体"/>
                <w:b/>
                <w:bCs/>
                <w:szCs w:val="21"/>
              </w:rPr>
            </w:pPr>
            <w:r>
              <w:rPr>
                <w:rFonts w:hint="eastAsia" w:ascii="宋体" w:hAnsi="宋体" w:cs="宋体"/>
                <w:szCs w:val="21"/>
              </w:rPr>
              <w:t>信誉分</w:t>
            </w:r>
          </w:p>
        </w:tc>
        <w:tc>
          <w:tcPr>
            <w:tcW w:w="1139" w:type="dxa"/>
            <w:vAlign w:val="center"/>
          </w:tcPr>
          <w:p w14:paraId="3FEF151E">
            <w:pPr>
              <w:spacing w:line="400" w:lineRule="exact"/>
              <w:jc w:val="center"/>
              <w:rPr>
                <w:rFonts w:hint="eastAsia" w:ascii="宋体" w:hAnsi="宋体" w:cs="宋体"/>
                <w:szCs w:val="21"/>
              </w:rPr>
            </w:pPr>
            <w:r>
              <w:rPr>
                <w:rFonts w:hint="eastAsia" w:ascii="宋体" w:hAnsi="宋体" w:cs="宋体"/>
                <w:szCs w:val="21"/>
              </w:rPr>
              <w:t>2分</w:t>
            </w:r>
          </w:p>
        </w:tc>
        <w:tc>
          <w:tcPr>
            <w:tcW w:w="6409" w:type="dxa"/>
            <w:vAlign w:val="center"/>
          </w:tcPr>
          <w:p w14:paraId="740E2C25">
            <w:pPr>
              <w:spacing w:line="400" w:lineRule="exact"/>
              <w:rPr>
                <w:rFonts w:hint="eastAsia" w:ascii="宋体" w:hAnsi="宋体" w:cs="宋体"/>
                <w:szCs w:val="21"/>
              </w:rPr>
            </w:pPr>
            <w:r>
              <w:rPr>
                <w:rFonts w:hint="eastAsia" w:ascii="宋体" w:hAnsi="宋体" w:cs="宋体"/>
                <w:szCs w:val="21"/>
              </w:rPr>
              <w:t>供应商具备ISO9001质量管理体系认证的得2分，满分2分。</w:t>
            </w:r>
          </w:p>
          <w:p w14:paraId="0D5AC4BE">
            <w:pPr>
              <w:spacing w:line="400" w:lineRule="exact"/>
              <w:rPr>
                <w:rFonts w:hint="eastAsia" w:ascii="宋体" w:hAnsi="宋体" w:cs="宋体"/>
                <w:szCs w:val="21"/>
              </w:rPr>
            </w:pPr>
            <w:r>
              <w:rPr>
                <w:rFonts w:hint="eastAsia" w:ascii="宋体" w:hAnsi="宋体" w:cs="宋体"/>
                <w:b/>
                <w:bCs/>
                <w:szCs w:val="21"/>
              </w:rPr>
              <w:t>注：提供相关证书复印件并加盖公章，否则不得分。</w:t>
            </w:r>
          </w:p>
        </w:tc>
      </w:tr>
      <w:tr w14:paraId="496AB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4BB107D3">
            <w:pPr>
              <w:spacing w:line="400" w:lineRule="exact"/>
              <w:jc w:val="center"/>
              <w:rPr>
                <w:rFonts w:hint="eastAsia" w:ascii="宋体" w:hAnsi="宋体" w:cs="宋体"/>
                <w:b/>
                <w:bCs/>
                <w:szCs w:val="21"/>
              </w:rPr>
            </w:pPr>
            <w:r>
              <w:rPr>
                <w:rFonts w:hint="eastAsia" w:ascii="宋体" w:hAnsi="宋体" w:cs="宋体"/>
                <w:szCs w:val="21"/>
              </w:rPr>
              <w:t>业绩分</w:t>
            </w:r>
          </w:p>
        </w:tc>
        <w:tc>
          <w:tcPr>
            <w:tcW w:w="1139" w:type="dxa"/>
            <w:vAlign w:val="center"/>
          </w:tcPr>
          <w:p w14:paraId="45D6E427">
            <w:pPr>
              <w:spacing w:line="400" w:lineRule="exact"/>
              <w:jc w:val="center"/>
              <w:rPr>
                <w:rFonts w:hint="eastAsia" w:ascii="宋体" w:hAnsi="宋体" w:cs="宋体"/>
                <w:szCs w:val="21"/>
              </w:rPr>
            </w:pPr>
            <w:r>
              <w:rPr>
                <w:rFonts w:hint="eastAsia" w:ascii="宋体" w:hAnsi="宋体" w:cs="宋体"/>
                <w:szCs w:val="21"/>
              </w:rPr>
              <w:t>8分</w:t>
            </w:r>
          </w:p>
        </w:tc>
        <w:tc>
          <w:tcPr>
            <w:tcW w:w="6409" w:type="dxa"/>
            <w:vAlign w:val="center"/>
          </w:tcPr>
          <w:p w14:paraId="45DC8DC4">
            <w:pPr>
              <w:spacing w:line="400" w:lineRule="exact"/>
              <w:rPr>
                <w:rFonts w:hint="eastAsia" w:ascii="宋体" w:hAnsi="宋体" w:cs="宋体"/>
                <w:szCs w:val="21"/>
              </w:rPr>
            </w:pPr>
            <w:r>
              <w:rPr>
                <w:rFonts w:hint="eastAsia" w:ascii="宋体" w:hAnsi="宋体" w:cs="宋体"/>
                <w:szCs w:val="21"/>
              </w:rPr>
              <w:t>投标人提供2022年1月1日至今投标人承担过类似信息化系统开发或国产技术栈适配项目等相关业绩，每提供1个得2分，满分8分。</w:t>
            </w:r>
          </w:p>
          <w:p w14:paraId="4E6E44C9">
            <w:pPr>
              <w:spacing w:line="400" w:lineRule="exact"/>
              <w:rPr>
                <w:rFonts w:hint="eastAsia" w:ascii="宋体" w:hAnsi="宋体" w:cs="宋体"/>
                <w:szCs w:val="21"/>
              </w:rPr>
            </w:pPr>
            <w:r>
              <w:rPr>
                <w:rFonts w:hint="eastAsia" w:ascii="宋体" w:hAnsi="宋体" w:cs="宋体"/>
                <w:b/>
                <w:bCs/>
                <w:szCs w:val="21"/>
              </w:rPr>
              <w:t>注：提供相关证明材料并加盖公章，证明材料复印件（中标通知书或项目合同或验收报告或其他履行合同或政府指令委托文件）须能体现工作内容等，如无法体现，另附业主证明等相关证明材料体现工作内容，并经评标委员会认可为准，否则不得分。</w:t>
            </w:r>
          </w:p>
        </w:tc>
      </w:tr>
      <w:tr w14:paraId="07823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3A3461B1">
            <w:pPr>
              <w:spacing w:line="400" w:lineRule="exact"/>
              <w:rPr>
                <w:rFonts w:hint="eastAsia" w:ascii="宋体" w:hAnsi="宋体" w:cs="宋体"/>
                <w:szCs w:val="21"/>
              </w:rPr>
            </w:pPr>
            <w:r>
              <w:rPr>
                <w:rFonts w:hint="eastAsia" w:ascii="宋体" w:hAnsi="宋体" w:cs="宋体"/>
                <w:b/>
                <w:szCs w:val="21"/>
              </w:rPr>
              <w:t>总得分=</w:t>
            </w:r>
            <w:r>
              <w:rPr>
                <w:rFonts w:hint="eastAsia" w:ascii="宋体" w:hAnsi="宋体" w:cs="宋体"/>
                <w:b/>
                <w:bCs/>
                <w:szCs w:val="21"/>
              </w:rPr>
              <w:t>（一）</w:t>
            </w:r>
            <w:r>
              <w:rPr>
                <w:rFonts w:hint="eastAsia" w:ascii="宋体" w:hAnsi="宋体" w:cs="宋体"/>
                <w:b/>
                <w:szCs w:val="21"/>
              </w:rPr>
              <w:t>+</w:t>
            </w:r>
            <w:r>
              <w:rPr>
                <w:rFonts w:hint="eastAsia" w:ascii="宋体" w:hAnsi="宋体" w:cs="宋体"/>
                <w:b/>
                <w:bCs/>
                <w:szCs w:val="21"/>
              </w:rPr>
              <w:t>（二）</w:t>
            </w:r>
            <w:r>
              <w:rPr>
                <w:rFonts w:hint="eastAsia" w:ascii="宋体" w:hAnsi="宋体" w:cs="宋体"/>
                <w:b/>
                <w:szCs w:val="21"/>
              </w:rPr>
              <w:t>+</w:t>
            </w:r>
            <w:r>
              <w:rPr>
                <w:rFonts w:hint="eastAsia" w:ascii="宋体" w:hAnsi="宋体" w:cs="宋体"/>
                <w:b/>
                <w:bCs/>
                <w:szCs w:val="21"/>
              </w:rPr>
              <w:t>（三）</w:t>
            </w:r>
          </w:p>
        </w:tc>
      </w:tr>
      <w:tr w14:paraId="2080B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423459EF">
            <w:pPr>
              <w:spacing w:line="400" w:lineRule="exact"/>
              <w:rPr>
                <w:rFonts w:hint="eastAsia" w:ascii="宋体" w:hAnsi="宋体" w:cs="宋体"/>
                <w:b/>
                <w:szCs w:val="21"/>
              </w:rPr>
            </w:pPr>
            <w:r>
              <w:rPr>
                <w:rFonts w:hint="eastAsia" w:ascii="宋体" w:hAnsi="宋体" w:cs="宋体"/>
                <w:b/>
                <w:szCs w:val="21"/>
              </w:rPr>
              <w:t>分标2（B分标）不接受联合体投标，投标人可以参与一个分标也可以参与多个分标竞标，但为了确保服务的进度及质量，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p>
        </w:tc>
      </w:tr>
    </w:tbl>
    <w:p w14:paraId="7303FD2B">
      <w:pPr>
        <w:rPr>
          <w:rFonts w:hint="eastAsia" w:ascii="宋体" w:hAnsi="宋体"/>
          <w:szCs w:val="21"/>
        </w:rPr>
      </w:pPr>
    </w:p>
    <w:p w14:paraId="2BBB9F67">
      <w:pPr>
        <w:rPr>
          <w:rFonts w:hint="eastAsia" w:ascii="宋体" w:hAnsi="宋体"/>
          <w:szCs w:val="21"/>
        </w:rPr>
      </w:pPr>
    </w:p>
    <w:p w14:paraId="77CA3F85">
      <w:pPr>
        <w:pStyle w:val="2"/>
        <w:rPr>
          <w:rFonts w:hint="eastAsia" w:ascii="宋体" w:hAnsi="宋体"/>
          <w:sz w:val="21"/>
          <w:szCs w:val="21"/>
        </w:rPr>
      </w:pPr>
    </w:p>
    <w:p w14:paraId="62BA6552">
      <w:pPr>
        <w:pStyle w:val="3"/>
        <w:outlineLvl w:val="9"/>
      </w:pPr>
    </w:p>
    <w:p w14:paraId="56331701">
      <w:pPr>
        <w:rPr>
          <w:rFonts w:hint="eastAsia" w:ascii="宋体" w:hAnsi="宋体"/>
          <w:szCs w:val="21"/>
        </w:rPr>
      </w:pPr>
      <w:r>
        <w:rPr>
          <w:rFonts w:hint="eastAsia" w:ascii="宋体" w:hAnsi="宋体"/>
          <w:szCs w:val="21"/>
        </w:rPr>
        <w:br w:type="page"/>
      </w:r>
    </w:p>
    <w:p w14:paraId="6598A38F">
      <w:pPr>
        <w:pStyle w:val="5"/>
        <w:spacing w:line="400" w:lineRule="exact"/>
        <w:jc w:val="left"/>
        <w:rPr>
          <w:rFonts w:hint="eastAsia" w:ascii="宋体" w:hAnsi="宋体" w:eastAsia="宋体"/>
          <w:sz w:val="21"/>
          <w:szCs w:val="21"/>
        </w:rPr>
      </w:pPr>
      <w:r>
        <w:rPr>
          <w:rFonts w:hint="eastAsia" w:ascii="宋体" w:hAnsi="宋体" w:eastAsia="宋体"/>
          <w:sz w:val="21"/>
          <w:szCs w:val="21"/>
        </w:rPr>
        <w:t>3.分标3（C分标）</w:t>
      </w:r>
      <w:r>
        <w:rPr>
          <w:rFonts w:hint="eastAsia" w:hAnsi="宋体" w:cs="宋体"/>
          <w:sz w:val="21"/>
        </w:rPr>
        <w:t>评分标准：</w:t>
      </w:r>
    </w:p>
    <w:tbl>
      <w:tblPr>
        <w:tblStyle w:val="18"/>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8"/>
        <w:gridCol w:w="1139"/>
        <w:gridCol w:w="6409"/>
      </w:tblGrid>
      <w:tr w14:paraId="520FE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13FF964">
            <w:pPr>
              <w:spacing w:line="400" w:lineRule="exact"/>
              <w:jc w:val="center"/>
              <w:rPr>
                <w:rFonts w:hint="eastAsia" w:ascii="宋体" w:hAnsi="宋体" w:cs="宋体"/>
                <w:b/>
                <w:bCs/>
                <w:szCs w:val="21"/>
              </w:rPr>
            </w:pPr>
            <w:r>
              <w:rPr>
                <w:rFonts w:hint="eastAsia" w:ascii="宋体" w:hAnsi="宋体" w:cs="宋体"/>
                <w:b/>
                <w:bCs/>
                <w:szCs w:val="21"/>
              </w:rPr>
              <w:t>评标项目</w:t>
            </w:r>
          </w:p>
        </w:tc>
        <w:tc>
          <w:tcPr>
            <w:tcW w:w="1139" w:type="dxa"/>
            <w:vAlign w:val="center"/>
          </w:tcPr>
          <w:p w14:paraId="4975DDE9">
            <w:pPr>
              <w:spacing w:line="400" w:lineRule="exact"/>
              <w:jc w:val="center"/>
              <w:rPr>
                <w:rFonts w:hint="eastAsia" w:ascii="宋体" w:hAnsi="宋体" w:cs="宋体"/>
                <w:b/>
                <w:bCs/>
                <w:szCs w:val="21"/>
              </w:rPr>
            </w:pPr>
            <w:r>
              <w:rPr>
                <w:rFonts w:hint="eastAsia" w:ascii="宋体" w:hAnsi="宋体" w:cs="宋体"/>
                <w:b/>
                <w:bCs/>
                <w:szCs w:val="21"/>
              </w:rPr>
              <w:t>评标</w:t>
            </w:r>
          </w:p>
          <w:p w14:paraId="78218260">
            <w:pPr>
              <w:spacing w:line="400" w:lineRule="exact"/>
              <w:jc w:val="center"/>
              <w:rPr>
                <w:rFonts w:hint="eastAsia" w:ascii="宋体" w:hAnsi="宋体" w:cs="宋体"/>
                <w:b/>
                <w:bCs/>
                <w:szCs w:val="21"/>
              </w:rPr>
            </w:pPr>
            <w:r>
              <w:rPr>
                <w:rFonts w:hint="eastAsia" w:ascii="宋体" w:hAnsi="宋体" w:cs="宋体"/>
                <w:b/>
                <w:bCs/>
                <w:szCs w:val="21"/>
              </w:rPr>
              <w:t>分值</w:t>
            </w:r>
          </w:p>
        </w:tc>
        <w:tc>
          <w:tcPr>
            <w:tcW w:w="6409" w:type="dxa"/>
            <w:vAlign w:val="center"/>
          </w:tcPr>
          <w:p w14:paraId="494BEBD9">
            <w:pPr>
              <w:spacing w:line="400" w:lineRule="exact"/>
              <w:jc w:val="center"/>
              <w:rPr>
                <w:rFonts w:hint="eastAsia" w:ascii="宋体" w:hAnsi="宋体" w:cs="宋体"/>
                <w:b/>
                <w:bCs/>
                <w:szCs w:val="21"/>
              </w:rPr>
            </w:pPr>
            <w:r>
              <w:rPr>
                <w:rFonts w:hint="eastAsia" w:ascii="宋体" w:hAnsi="宋体" w:cs="宋体"/>
                <w:b/>
                <w:bCs/>
                <w:szCs w:val="21"/>
              </w:rPr>
              <w:t>评标方法描述</w:t>
            </w:r>
          </w:p>
        </w:tc>
      </w:tr>
      <w:tr w14:paraId="2E738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8516" w:type="dxa"/>
            <w:gridSpan w:val="3"/>
            <w:vAlign w:val="center"/>
          </w:tcPr>
          <w:p w14:paraId="75EBB89B">
            <w:pPr>
              <w:spacing w:line="400" w:lineRule="exact"/>
              <w:jc w:val="center"/>
              <w:rPr>
                <w:rFonts w:hint="eastAsia" w:ascii="宋体" w:hAnsi="宋体" w:cs="宋体"/>
                <w:szCs w:val="21"/>
              </w:rPr>
            </w:pPr>
            <w:r>
              <w:rPr>
                <w:rFonts w:hint="eastAsia" w:ascii="宋体" w:hAnsi="宋体" w:cs="宋体"/>
                <w:b/>
                <w:bCs/>
                <w:szCs w:val="21"/>
              </w:rPr>
              <w:t>（一）价格分（满分10分）</w:t>
            </w:r>
          </w:p>
        </w:tc>
      </w:tr>
      <w:tr w14:paraId="744F7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51DD18B0">
            <w:pPr>
              <w:spacing w:line="400" w:lineRule="exact"/>
              <w:jc w:val="center"/>
              <w:rPr>
                <w:rFonts w:hint="eastAsia" w:ascii="宋体" w:hAnsi="宋体" w:cs="宋体"/>
                <w:szCs w:val="21"/>
              </w:rPr>
            </w:pPr>
            <w:r>
              <w:rPr>
                <w:rFonts w:hint="eastAsia" w:ascii="宋体" w:hAnsi="宋体" w:cs="宋体"/>
                <w:b/>
                <w:bCs/>
                <w:szCs w:val="21"/>
              </w:rPr>
              <w:t>投标报价</w:t>
            </w:r>
          </w:p>
        </w:tc>
        <w:tc>
          <w:tcPr>
            <w:tcW w:w="1139" w:type="dxa"/>
            <w:vAlign w:val="center"/>
          </w:tcPr>
          <w:p w14:paraId="14F7B86B">
            <w:pPr>
              <w:spacing w:line="400" w:lineRule="exact"/>
              <w:jc w:val="center"/>
              <w:rPr>
                <w:rFonts w:hint="eastAsia" w:ascii="宋体" w:hAnsi="宋体" w:cs="宋体"/>
                <w:szCs w:val="21"/>
              </w:rPr>
            </w:pPr>
            <w:r>
              <w:rPr>
                <w:rFonts w:hint="eastAsia" w:ascii="宋体" w:hAnsi="宋体" w:cs="宋体"/>
                <w:szCs w:val="21"/>
              </w:rPr>
              <w:t>10分</w:t>
            </w:r>
          </w:p>
        </w:tc>
        <w:tc>
          <w:tcPr>
            <w:tcW w:w="6409" w:type="dxa"/>
            <w:vAlign w:val="center"/>
          </w:tcPr>
          <w:p w14:paraId="1216D305">
            <w:pPr>
              <w:spacing w:line="400" w:lineRule="exact"/>
              <w:rPr>
                <w:rFonts w:hint="eastAsia" w:ascii="宋体" w:hAnsi="宋体" w:cs="宋体"/>
                <w:szCs w:val="21"/>
              </w:rPr>
            </w:pPr>
            <w:r>
              <w:rPr>
                <w:rFonts w:hint="eastAsia" w:ascii="宋体" w:hAnsi="宋体" w:cs="宋体"/>
                <w:szCs w:val="21"/>
              </w:rPr>
              <w:t>（1）评标报价为投标人的投标报价进行政策性扣除后的价格，评标报价只是作为评标时使用。最终中标人的中标金额等于投标报价。</w:t>
            </w:r>
          </w:p>
          <w:p w14:paraId="5D2FD766">
            <w:pPr>
              <w:spacing w:line="400" w:lineRule="exact"/>
              <w:rPr>
                <w:rFonts w:hint="eastAsia" w:ascii="宋体" w:hAnsi="宋体" w:cs="宋体"/>
                <w:szCs w:val="21"/>
              </w:rPr>
            </w:pPr>
            <w:r>
              <w:rPr>
                <w:rFonts w:hint="eastAsia" w:ascii="宋体" w:hAnsi="宋体" w:cs="宋体"/>
                <w:szCs w:val="21"/>
              </w:rPr>
              <w:t>（2）按照《政府采购促进中小企业发展管理办法》（财库〔2020〕46号）的规定，投标人在其投标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14:paraId="4B436D23">
            <w:pPr>
              <w:spacing w:line="400" w:lineRule="exact"/>
              <w:rPr>
                <w:rFonts w:hint="eastAsia" w:ascii="宋体" w:hAnsi="宋体" w:cs="宋体"/>
                <w:szCs w:val="21"/>
              </w:rPr>
            </w:pPr>
            <w:r>
              <w:rPr>
                <w:rFonts w:hint="eastAsia" w:ascii="宋体" w:hAnsi="宋体" w:cs="宋体"/>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63E718E">
            <w:pPr>
              <w:spacing w:line="400" w:lineRule="exact"/>
              <w:rPr>
                <w:rFonts w:hint="eastAsia" w:ascii="宋体" w:hAnsi="宋体" w:cs="宋体"/>
                <w:szCs w:val="21"/>
              </w:rPr>
            </w:pPr>
            <w:r>
              <w:rPr>
                <w:rFonts w:hint="eastAsia" w:ascii="宋体" w:hAnsi="宋体" w:cs="宋体"/>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862DBAC">
            <w:pPr>
              <w:spacing w:line="400" w:lineRule="exact"/>
              <w:rPr>
                <w:rFonts w:hint="eastAsia" w:ascii="宋体" w:hAnsi="宋体" w:cs="宋体"/>
                <w:szCs w:val="21"/>
              </w:rPr>
            </w:pPr>
            <w:r>
              <w:rPr>
                <w:rFonts w:hint="eastAsia" w:ascii="宋体" w:hAnsi="宋体" w:cs="宋体"/>
                <w:szCs w:val="21"/>
              </w:rPr>
              <w:t>（5）政策性扣除计算方法。</w:t>
            </w:r>
          </w:p>
          <w:p w14:paraId="59ED027B">
            <w:pPr>
              <w:spacing w:line="400" w:lineRule="exact"/>
              <w:rPr>
                <w:rFonts w:hint="eastAsia" w:ascii="宋体" w:hAnsi="宋体" w:cs="宋体"/>
                <w:szCs w:val="21"/>
              </w:rPr>
            </w:pPr>
            <w:r>
              <w:rPr>
                <w:rFonts w:hint="eastAsia" w:ascii="宋体" w:hAnsi="宋体" w:cs="宋体"/>
                <w:szCs w:val="21"/>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投标报价×（1-4%）。除上述情况外，评标报价=投标报价。</w:t>
            </w:r>
          </w:p>
          <w:p w14:paraId="700DC11F">
            <w:pPr>
              <w:spacing w:line="400" w:lineRule="exact"/>
              <w:rPr>
                <w:rFonts w:hint="eastAsia" w:ascii="宋体" w:hAnsi="宋体" w:cs="宋体"/>
                <w:szCs w:val="21"/>
              </w:rPr>
            </w:pPr>
            <w:r>
              <w:rPr>
                <w:rFonts w:hint="eastAsia" w:ascii="宋体" w:hAnsi="宋体" w:cs="宋体"/>
                <w:szCs w:val="21"/>
              </w:rPr>
              <w:t>（6）满足招标文件要求且评标报价最低的评标报价为评标基准价，其价格分为满分。</w:t>
            </w:r>
          </w:p>
          <w:p w14:paraId="528F527A">
            <w:pPr>
              <w:spacing w:line="400" w:lineRule="exact"/>
              <w:rPr>
                <w:rFonts w:hint="eastAsia" w:ascii="宋体" w:hAnsi="宋体" w:cs="宋体"/>
                <w:szCs w:val="21"/>
              </w:rPr>
            </w:pPr>
            <w:r>
              <w:rPr>
                <w:rFonts w:hint="eastAsia" w:ascii="宋体" w:hAnsi="宋体" w:cs="宋体"/>
                <w:szCs w:val="21"/>
              </w:rPr>
              <w:t>（7）价格分计算公式：</w:t>
            </w:r>
          </w:p>
          <w:p w14:paraId="2ABFE32E">
            <w:pPr>
              <w:spacing w:line="400" w:lineRule="exact"/>
              <w:rPr>
                <w:rFonts w:hint="eastAsia" w:ascii="宋体" w:hAnsi="宋体" w:cs="宋体"/>
                <w:szCs w:val="21"/>
              </w:rPr>
            </w:pPr>
            <w:r>
              <w:rPr>
                <w:rFonts w:hint="eastAsia" w:ascii="宋体" w:hAnsi="宋体" w:cs="宋体"/>
                <w:szCs w:val="21"/>
              </w:rPr>
              <w:t>价格分=(评标基准价／评标报价)×10分。</w:t>
            </w:r>
          </w:p>
          <w:p w14:paraId="2D02DD4B">
            <w:pPr>
              <w:spacing w:line="400" w:lineRule="exact"/>
              <w:rPr>
                <w:rFonts w:hint="eastAsia" w:ascii="宋体" w:hAnsi="宋体" w:cs="宋体"/>
                <w:szCs w:val="21"/>
              </w:rPr>
            </w:pPr>
            <w:r>
              <w:rPr>
                <w:rFonts w:hint="eastAsia" w:ascii="宋体" w:hAnsi="宋体" w:cs="宋体"/>
                <w:szCs w:val="21"/>
              </w:rPr>
              <w:t>（8）异常低价说明</w:t>
            </w:r>
          </w:p>
          <w:p w14:paraId="3B6C81DC">
            <w:pPr>
              <w:spacing w:line="400" w:lineRule="exact"/>
              <w:rPr>
                <w:rFonts w:hint="eastAsia" w:ascii="宋体" w:hAnsi="宋体" w:cs="宋体"/>
                <w:szCs w:val="21"/>
              </w:rPr>
            </w:pPr>
            <w:r>
              <w:rPr>
                <w:rFonts w:hint="eastAsia" w:ascii="宋体" w:hAnsi="宋体" w:cs="宋体"/>
                <w:szCs w:val="21"/>
              </w:rPr>
              <w:t xml:space="preserve">     1）根据《关于推动解决政府采购异常低价问题的通知》财库〔2026〕2号要求，政府采购评审中出现下列情形之一的，评审委员会应当启动异常低价响应审查程序：</w:t>
            </w:r>
          </w:p>
          <w:p w14:paraId="5D064548">
            <w:pPr>
              <w:spacing w:line="400" w:lineRule="exact"/>
              <w:rPr>
                <w:rFonts w:hint="eastAsia" w:ascii="宋体" w:hAnsi="宋体" w:cs="宋体"/>
                <w:szCs w:val="21"/>
              </w:rPr>
            </w:pPr>
            <w:r>
              <w:rPr>
                <w:rFonts w:hint="eastAsia" w:ascii="宋体" w:hAnsi="宋体" w:cs="宋体"/>
                <w:szCs w:val="21"/>
              </w:rPr>
              <w:t>①响应报价低于全部通过符合性审查供应商响应报价平均值50%的，即响应报价&lt;全部通过符合性审查供应商响应报价平均值×50%；</w:t>
            </w:r>
          </w:p>
          <w:p w14:paraId="579F2C14">
            <w:pPr>
              <w:spacing w:line="400" w:lineRule="exact"/>
              <w:rPr>
                <w:rFonts w:hint="eastAsia" w:ascii="宋体" w:hAnsi="宋体" w:cs="宋体"/>
                <w:szCs w:val="21"/>
              </w:rPr>
            </w:pPr>
            <w:r>
              <w:rPr>
                <w:rFonts w:hint="eastAsia" w:ascii="宋体" w:hAnsi="宋体" w:cs="宋体"/>
                <w:szCs w:val="21"/>
              </w:rPr>
              <w:t>②响应报价低于通过符合性审查的次低报价供应商响应报价50%的，即响应报价&lt;通过符合性审查的次低报价供应商投标（响应）报价×50%；</w:t>
            </w:r>
          </w:p>
          <w:p w14:paraId="104D43E5">
            <w:pPr>
              <w:spacing w:line="400" w:lineRule="exact"/>
              <w:rPr>
                <w:rFonts w:hint="eastAsia" w:ascii="宋体" w:hAnsi="宋体" w:cs="宋体"/>
                <w:szCs w:val="21"/>
              </w:rPr>
            </w:pPr>
            <w:r>
              <w:rPr>
                <w:rFonts w:hint="eastAsia" w:ascii="宋体" w:hAnsi="宋体" w:cs="宋体"/>
                <w:szCs w:val="21"/>
              </w:rPr>
              <w:t>③响应报价低于采购项目最高限价45%的，即响应报价&lt;采购项目最高限价×45%；</w:t>
            </w:r>
          </w:p>
          <w:p w14:paraId="40296CC9">
            <w:pPr>
              <w:spacing w:line="400" w:lineRule="exact"/>
              <w:rPr>
                <w:rFonts w:hint="eastAsia" w:ascii="宋体" w:hAnsi="宋体" w:cs="宋体"/>
                <w:szCs w:val="21"/>
              </w:rPr>
            </w:pPr>
            <w:r>
              <w:rPr>
                <w:rFonts w:hint="eastAsia" w:ascii="宋体" w:hAnsi="宋体" w:cs="宋体"/>
                <w:szCs w:val="21"/>
              </w:rPr>
              <w:t>④评审委员会基于专业判断，认为供应商报价过低，有可能影响产品质量或者不能诚信履约的其他情形。</w:t>
            </w:r>
          </w:p>
          <w:p w14:paraId="2B573A2F">
            <w:pPr>
              <w:spacing w:line="400" w:lineRule="exact"/>
              <w:rPr>
                <w:rFonts w:hint="eastAsia" w:ascii="宋体" w:hAnsi="宋体" w:cs="宋体"/>
                <w:szCs w:val="21"/>
              </w:rPr>
            </w:pPr>
            <w:r>
              <w:rPr>
                <w:rFonts w:hint="eastAsia" w:ascii="宋体" w:hAnsi="宋体" w:cs="宋体"/>
                <w:szCs w:val="21"/>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879FE82">
            <w:pPr>
              <w:spacing w:line="400" w:lineRule="exact"/>
              <w:rPr>
                <w:rFonts w:hint="eastAsia" w:ascii="宋体" w:hAnsi="宋体" w:cs="宋体"/>
                <w:szCs w:val="21"/>
              </w:rPr>
            </w:pPr>
            <w:r>
              <w:rPr>
                <w:rFonts w:hint="eastAsia" w:ascii="宋体" w:hAnsi="宋体" w:cs="宋体"/>
                <w:szCs w:val="21"/>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6250AB38">
            <w:pPr>
              <w:spacing w:line="400" w:lineRule="exact"/>
              <w:rPr>
                <w:rFonts w:hint="eastAsia" w:ascii="宋体" w:hAnsi="宋体" w:cs="宋体"/>
                <w:szCs w:val="21"/>
              </w:rPr>
            </w:pPr>
            <w:r>
              <w:rPr>
                <w:rFonts w:hint="eastAsia" w:ascii="宋体" w:hAnsi="宋体" w:cs="宋体"/>
                <w:szCs w:val="21"/>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3BF065AC">
            <w:pPr>
              <w:spacing w:line="400" w:lineRule="exact"/>
              <w:rPr>
                <w:rFonts w:hint="eastAsia" w:ascii="宋体" w:hAnsi="宋体" w:cs="宋体"/>
                <w:szCs w:val="21"/>
              </w:rPr>
            </w:pPr>
            <w:r>
              <w:rPr>
                <w:rFonts w:hint="eastAsia" w:ascii="宋体" w:hAnsi="宋体" w:cs="宋体"/>
                <w:szCs w:val="21"/>
              </w:rPr>
              <w:t>　　5）异常低价投标（响应）审查的启动原因、审查意见和审查结果应当在评审报告中记录，并随供应商提供的相关书面说明及证明材料，以及评审委员会有关互联网浏览、查询历史一并归档。</w:t>
            </w:r>
          </w:p>
        </w:tc>
      </w:tr>
      <w:tr w14:paraId="25073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510A369F">
            <w:pPr>
              <w:spacing w:line="400" w:lineRule="exact"/>
              <w:jc w:val="center"/>
              <w:rPr>
                <w:rFonts w:hint="eastAsia" w:ascii="宋体" w:hAnsi="宋体" w:cs="宋体"/>
                <w:szCs w:val="21"/>
              </w:rPr>
            </w:pPr>
            <w:r>
              <w:rPr>
                <w:rFonts w:hint="eastAsia" w:ascii="宋体" w:hAnsi="宋体" w:cs="宋体"/>
                <w:b/>
                <w:bCs/>
                <w:szCs w:val="21"/>
              </w:rPr>
              <w:t>（二）技术分（满分78分）</w:t>
            </w:r>
          </w:p>
        </w:tc>
      </w:tr>
      <w:tr w14:paraId="60709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0DA0AD76">
            <w:pPr>
              <w:spacing w:line="400" w:lineRule="exact"/>
              <w:jc w:val="center"/>
              <w:rPr>
                <w:rFonts w:hint="eastAsia" w:ascii="宋体" w:hAnsi="宋体" w:cs="宋体"/>
                <w:szCs w:val="21"/>
              </w:rPr>
            </w:pPr>
            <w:r>
              <w:rPr>
                <w:rFonts w:hint="eastAsia" w:ascii="宋体" w:hAnsi="宋体" w:cs="宋体"/>
                <w:szCs w:val="21"/>
              </w:rPr>
              <w:t>项目技术方案分</w:t>
            </w:r>
          </w:p>
        </w:tc>
        <w:tc>
          <w:tcPr>
            <w:tcW w:w="1139" w:type="dxa"/>
            <w:vAlign w:val="center"/>
          </w:tcPr>
          <w:p w14:paraId="0A0B838C">
            <w:pPr>
              <w:spacing w:line="400" w:lineRule="exact"/>
              <w:jc w:val="center"/>
              <w:rPr>
                <w:rFonts w:hint="eastAsia" w:ascii="宋体" w:hAnsi="宋体" w:cs="宋体"/>
                <w:szCs w:val="21"/>
              </w:rPr>
            </w:pPr>
            <w:r>
              <w:rPr>
                <w:rFonts w:hint="eastAsia" w:ascii="宋体" w:hAnsi="宋体" w:cs="宋体"/>
                <w:szCs w:val="21"/>
              </w:rPr>
              <w:t>25分</w:t>
            </w:r>
          </w:p>
        </w:tc>
        <w:tc>
          <w:tcPr>
            <w:tcW w:w="6409" w:type="dxa"/>
            <w:vAlign w:val="center"/>
          </w:tcPr>
          <w:p w14:paraId="2B7B525A">
            <w:pPr>
              <w:spacing w:line="400" w:lineRule="exact"/>
              <w:rPr>
                <w:rFonts w:hint="eastAsia" w:ascii="宋体" w:hAnsi="宋体" w:cs="宋体"/>
                <w:szCs w:val="21"/>
              </w:rPr>
            </w:pPr>
            <w:r>
              <w:rPr>
                <w:rFonts w:hint="eastAsia" w:ascii="宋体" w:hAnsi="宋体" w:cs="宋体"/>
                <w:szCs w:val="21"/>
              </w:rPr>
              <w:t>由评标委员会在打分前根据供应商的技术方案评定打分。</w:t>
            </w:r>
          </w:p>
          <w:p w14:paraId="62737DDF">
            <w:pPr>
              <w:spacing w:line="400" w:lineRule="exact"/>
              <w:rPr>
                <w:rFonts w:hint="eastAsia" w:ascii="宋体" w:hAnsi="宋体" w:cs="宋体"/>
                <w:szCs w:val="21"/>
              </w:rPr>
            </w:pPr>
            <w:r>
              <w:rPr>
                <w:rFonts w:hint="eastAsia" w:ascii="宋体" w:hAnsi="宋体" w:cs="宋体"/>
                <w:szCs w:val="21"/>
              </w:rPr>
              <w:t>一档（5分）：对采购文件所要求的总体服务范围及内容理解不全面，方案描述较简单，方案内容部分响应采购需求。</w:t>
            </w:r>
          </w:p>
          <w:p w14:paraId="06C98AFF">
            <w:pPr>
              <w:spacing w:line="400" w:lineRule="exact"/>
              <w:rPr>
                <w:rFonts w:hint="eastAsia" w:ascii="宋体" w:hAnsi="宋体" w:cs="宋体"/>
                <w:szCs w:val="21"/>
              </w:rPr>
            </w:pPr>
            <w:r>
              <w:rPr>
                <w:rFonts w:hint="eastAsia" w:ascii="宋体" w:hAnsi="宋体" w:cs="宋体"/>
                <w:szCs w:val="21"/>
              </w:rPr>
              <w:t>二档（10分）：对采购文件所要求的总体服务范围及内容理解不全面，方案描述简单，方案内容部分响应采购需求；整体技术方案合理，方案符合基本要求、表述清晰，所用产品性能基本满足要求。</w:t>
            </w:r>
          </w:p>
          <w:p w14:paraId="040FBF67">
            <w:pPr>
              <w:spacing w:line="400" w:lineRule="exact"/>
              <w:rPr>
                <w:rFonts w:hint="eastAsia" w:ascii="宋体" w:hAnsi="宋体" w:cs="宋体"/>
                <w:szCs w:val="21"/>
              </w:rPr>
            </w:pPr>
            <w:r>
              <w:rPr>
                <w:rFonts w:hint="eastAsia" w:ascii="宋体" w:hAnsi="宋体" w:cs="宋体"/>
                <w:szCs w:val="21"/>
              </w:rPr>
              <w:t>三档（15分）：对采购文件所要求的总体服务范围及内容基本理解，方案描述详细，方案内容基本响应采购需求；整体技术方案科学合理、表述清晰，软件开发、产品和技术方案满足采购需求而且科学合理，有明确的技术实现路线，满足技术要求的内容，方案思路清晰，兼容性强。</w:t>
            </w:r>
          </w:p>
          <w:p w14:paraId="0C374053">
            <w:pPr>
              <w:spacing w:line="400" w:lineRule="exact"/>
              <w:rPr>
                <w:rFonts w:hint="eastAsia" w:ascii="宋体" w:hAnsi="宋体" w:cs="宋体"/>
                <w:szCs w:val="21"/>
              </w:rPr>
            </w:pPr>
            <w:r>
              <w:rPr>
                <w:rFonts w:hint="eastAsia" w:ascii="宋体" w:hAnsi="宋体" w:cs="宋体"/>
                <w:szCs w:val="21"/>
              </w:rPr>
              <w:t>四档（20分）：对采购文件所要求的总体服务范围及内容理解全面，方案描述详细，方案内容完全响应采购需求；整体技术方案科学合理、表述清晰，各需求项的方案针对性强；对项目基本情况及建设目标把握准确，建设思路清晰，需求分析合理，技术路线成熟先进，总体架构逻辑清晰，系统功能设计全面完善。</w:t>
            </w:r>
          </w:p>
          <w:p w14:paraId="5E9803DD">
            <w:pPr>
              <w:spacing w:line="400" w:lineRule="exact"/>
              <w:rPr>
                <w:rFonts w:hint="eastAsia" w:ascii="宋体" w:hAnsi="宋体" w:cs="宋体"/>
                <w:szCs w:val="21"/>
              </w:rPr>
            </w:pPr>
            <w:r>
              <w:rPr>
                <w:rFonts w:hint="eastAsia" w:ascii="宋体" w:hAnsi="宋体" w:cs="宋体"/>
                <w:szCs w:val="21"/>
              </w:rPr>
              <w:t>五档（25分）：对采购文件所要求的总体服务范围及内容理解全面，方案描述详细，方案内容完全响应采购需求；整体技术方案科学合理、表述清晰，各需求项的方案针对性强，对项目情况及建设目标把握准确，明确项目建设的必要性；整体项目建设思路清晰，需求分析合理，技术路线成熟先进，能提供项目的总体架构图且总体架构逻辑清晰，系统功能设计全面完善；对软件开发、产品和技术的总体要求层次清晰，对整体系统体系结构和应用功能描述详细。</w:t>
            </w:r>
          </w:p>
          <w:p w14:paraId="01830A4A">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09EE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2" w:hRule="atLeast"/>
          <w:jc w:val="center"/>
        </w:trPr>
        <w:tc>
          <w:tcPr>
            <w:tcW w:w="968" w:type="dxa"/>
            <w:vAlign w:val="center"/>
          </w:tcPr>
          <w:p w14:paraId="1E770382">
            <w:pPr>
              <w:spacing w:line="400" w:lineRule="exact"/>
              <w:jc w:val="center"/>
              <w:rPr>
                <w:rFonts w:hint="eastAsia" w:ascii="宋体" w:hAnsi="宋体" w:cs="宋体"/>
                <w:szCs w:val="21"/>
              </w:rPr>
            </w:pPr>
            <w:r>
              <w:rPr>
                <w:rFonts w:hint="eastAsia" w:ascii="宋体" w:hAnsi="宋体" w:cs="宋体"/>
                <w:szCs w:val="21"/>
              </w:rPr>
              <w:t>实施能力分</w:t>
            </w:r>
          </w:p>
        </w:tc>
        <w:tc>
          <w:tcPr>
            <w:tcW w:w="1139" w:type="dxa"/>
            <w:vAlign w:val="center"/>
          </w:tcPr>
          <w:p w14:paraId="6023E4AC">
            <w:pPr>
              <w:spacing w:line="400" w:lineRule="exact"/>
              <w:jc w:val="center"/>
              <w:rPr>
                <w:rFonts w:hint="eastAsia" w:ascii="宋体" w:hAnsi="宋体" w:cs="宋体"/>
                <w:szCs w:val="21"/>
              </w:rPr>
            </w:pPr>
            <w:r>
              <w:rPr>
                <w:rFonts w:hint="eastAsia" w:ascii="宋体" w:hAnsi="宋体" w:cs="宋体"/>
                <w:szCs w:val="21"/>
              </w:rPr>
              <w:t>13分</w:t>
            </w:r>
          </w:p>
        </w:tc>
        <w:tc>
          <w:tcPr>
            <w:tcW w:w="6409" w:type="dxa"/>
            <w:vAlign w:val="center"/>
          </w:tcPr>
          <w:p w14:paraId="41457CF3">
            <w:pPr>
              <w:spacing w:line="400" w:lineRule="exact"/>
              <w:rPr>
                <w:rFonts w:hint="eastAsia" w:ascii="宋体" w:hAnsi="宋体" w:cs="宋体"/>
                <w:szCs w:val="21"/>
              </w:rPr>
            </w:pPr>
            <w:r>
              <w:rPr>
                <w:rFonts w:hint="eastAsia" w:ascii="宋体" w:hAnsi="宋体" w:cs="宋体"/>
                <w:szCs w:val="21"/>
              </w:rPr>
              <w:t>1.由评委在打分前根据供应商的实施方案评定打分，</w:t>
            </w:r>
            <w:r>
              <w:rPr>
                <w:rFonts w:hint="eastAsia" w:ascii="宋体" w:hAnsi="宋体" w:cs="宋体"/>
                <w:b/>
                <w:bCs/>
                <w:szCs w:val="21"/>
              </w:rPr>
              <w:t>未提供方案或不符合最低入档条件的不得分</w:t>
            </w:r>
            <w:r>
              <w:rPr>
                <w:rFonts w:hint="eastAsia" w:ascii="宋体" w:hAnsi="宋体" w:cs="宋体"/>
                <w:szCs w:val="21"/>
              </w:rPr>
              <w:t>。</w:t>
            </w:r>
          </w:p>
          <w:p w14:paraId="0B9FFAE7">
            <w:pPr>
              <w:spacing w:line="400" w:lineRule="exact"/>
              <w:rPr>
                <w:rFonts w:hint="eastAsia" w:ascii="宋体" w:hAnsi="宋体" w:cs="宋体"/>
                <w:szCs w:val="21"/>
              </w:rPr>
            </w:pPr>
            <w:r>
              <w:rPr>
                <w:rFonts w:hint="eastAsia" w:ascii="宋体" w:hAnsi="宋体" w:cs="宋体"/>
                <w:szCs w:val="21"/>
              </w:rPr>
              <w:t>一档（1分）：提供了实施方案，实施方案内容简单，缺少一些关键点，方案存在漏洞，内容不清晰，不能完全满足采购需求。项目团队人员配备结构简单，项目负责人1名；团队人员不少于（不含项目负责人）5名。</w:t>
            </w:r>
          </w:p>
          <w:p w14:paraId="79645E5B">
            <w:pPr>
              <w:spacing w:line="400" w:lineRule="exact"/>
              <w:rPr>
                <w:rFonts w:hint="eastAsia" w:ascii="宋体" w:hAnsi="宋体" w:cs="宋体"/>
                <w:szCs w:val="21"/>
              </w:rPr>
            </w:pPr>
            <w:r>
              <w:rPr>
                <w:rFonts w:hint="eastAsia" w:ascii="宋体" w:hAnsi="宋体" w:cs="宋体"/>
                <w:szCs w:val="21"/>
              </w:rPr>
              <w:t>二档（5分）：提供了实施方案，实施方案涵盖了大部分关键环节，清晰度、合理性和可行性基本满足采购需求。项目团队人员配备结构简单，项目负责人1名；团队人员不少于（不含项目负责人）7名，其中持有中国计算机技术与软件专业技术资格中级资格及以上证书或中级职称及以上证书人数不少于3名。</w:t>
            </w:r>
          </w:p>
          <w:p w14:paraId="7CDCCD3D">
            <w:pPr>
              <w:spacing w:line="400" w:lineRule="exact"/>
              <w:rPr>
                <w:rFonts w:hint="eastAsia" w:ascii="宋体" w:hAnsi="宋体" w:cs="宋体"/>
                <w:szCs w:val="21"/>
              </w:rPr>
            </w:pPr>
            <w:r>
              <w:rPr>
                <w:rFonts w:hint="eastAsia" w:ascii="宋体" w:hAnsi="宋体" w:cs="宋体"/>
                <w:szCs w:val="21"/>
              </w:rPr>
              <w:t>三档（9分）：提供了实施方案，实施方案涵盖了业务流程、业务应用系统设计、设备建设等所有关键环节，每个环节描述较清晰。具有较高的合理性和可行性，能够满足项目实际需求但缺乏足够的细节和灵活性。项目团队人员配备结构基本齐全，配备有项目负责人1名；技术负责人1名；团队人员（不含项目负责人、技术负责人）不少于9名，其中持有中国计算机技术与软件专业技术资格中级资格及以上证书或中级职称及以上证书人数不少于4名。项目负责人、技术负责人不可为同一个人。</w:t>
            </w:r>
          </w:p>
          <w:p w14:paraId="2EE0E40B">
            <w:pPr>
              <w:spacing w:line="400" w:lineRule="exact"/>
              <w:rPr>
                <w:rFonts w:hint="eastAsia" w:ascii="宋体" w:hAnsi="宋体" w:cs="宋体"/>
                <w:szCs w:val="21"/>
              </w:rPr>
            </w:pPr>
            <w:r>
              <w:rPr>
                <w:rFonts w:hint="eastAsia" w:ascii="宋体" w:hAnsi="宋体" w:cs="宋体"/>
                <w:szCs w:val="21"/>
              </w:rPr>
              <w:t>四档（13分）：提供的实施方案涵盖了业务流程、业务应用系统设计、设备建设等所有关键环节，每个环节描述都非常清晰明了。具有高度的合理性和可行性，完全贴合采购需求，具有足够的细节和灵活性，确保项目能够按计划顺利实施并验收。项目团队人员配备结构齐全，配备有项目负责人1名；技术负责人1名；团队人员（不含项目负责人、技术负责人）不少于11名人员，其中持有中国计算机技术与软件专业技术资格中级资格及以上证书或中级职称及以上证书人数不少于5名。项目负责人、技术负责人不可为同一个人。</w:t>
            </w:r>
          </w:p>
          <w:p w14:paraId="78C5DF4F">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503AE661">
            <w:pPr>
              <w:pStyle w:val="2"/>
              <w:spacing w:line="400" w:lineRule="exact"/>
              <w:rPr>
                <w:rFonts w:hint="eastAsia" w:ascii="宋体" w:hAnsi="宋体" w:cs="宋体"/>
                <w:b/>
                <w:bCs/>
                <w:sz w:val="21"/>
                <w:szCs w:val="21"/>
              </w:rPr>
            </w:pPr>
            <w:r>
              <w:rPr>
                <w:rFonts w:hint="eastAsia" w:ascii="宋体" w:hAnsi="宋体" w:cs="宋体"/>
                <w:b/>
                <w:bCs/>
                <w:sz w:val="21"/>
                <w:szCs w:val="21"/>
              </w:rPr>
              <w:t>（1）以上人员不能与售后服务人员重复。</w:t>
            </w:r>
          </w:p>
          <w:p w14:paraId="1FB7C49F">
            <w:pPr>
              <w:pStyle w:val="2"/>
              <w:spacing w:line="400" w:lineRule="exact"/>
              <w:rPr>
                <w:rFonts w:hint="eastAsia" w:ascii="宋体" w:hAnsi="宋体" w:cs="宋体"/>
                <w:b/>
                <w:bCs/>
                <w:sz w:val="21"/>
                <w:szCs w:val="21"/>
              </w:rPr>
            </w:pPr>
            <w:r>
              <w:rPr>
                <w:rFonts w:hint="eastAsia" w:ascii="宋体" w:hAnsi="宋体" w:cs="宋体"/>
                <w:b/>
                <w:bCs/>
                <w:sz w:val="21"/>
                <w:szCs w:val="21"/>
              </w:rPr>
              <w:t>（2）拟投入人员应为投标人在职在岗正式员工（非退休），投标文件需提供项目实施人员劳动合同复印件或事业单位编制证明复印件等相关证明材料并加盖投标单位公章，否则不计分。</w:t>
            </w:r>
          </w:p>
          <w:p w14:paraId="6DF8AC65">
            <w:pPr>
              <w:spacing w:line="400" w:lineRule="exact"/>
              <w:rPr>
                <w:rFonts w:hint="eastAsia" w:ascii="宋体" w:hAnsi="宋体" w:cs="宋体"/>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（全国计算机技术与软件专业技术资格(水平)证书须同时提供官方网站（中国计算机技术职业资格网或中国人事考试网）查询验证的证明截图）并加盖公章；无法提供证明材料或提供证明材料不完整的，不得分。</w:t>
            </w:r>
          </w:p>
        </w:tc>
      </w:tr>
      <w:tr w14:paraId="7E511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14EFB9AC">
            <w:pPr>
              <w:spacing w:line="400" w:lineRule="exact"/>
              <w:rPr>
                <w:rFonts w:hint="eastAsia" w:ascii="宋体" w:hAnsi="宋体" w:cs="宋体"/>
                <w:szCs w:val="21"/>
              </w:rPr>
            </w:pPr>
            <w:r>
              <w:rPr>
                <w:rFonts w:hint="eastAsia" w:ascii="宋体" w:hAnsi="宋体" w:cs="宋体"/>
                <w:szCs w:val="21"/>
              </w:rPr>
              <w:t>项目负责人能力分</w:t>
            </w:r>
          </w:p>
          <w:p w14:paraId="7AC0D86F">
            <w:pPr>
              <w:spacing w:line="400" w:lineRule="exact"/>
              <w:jc w:val="center"/>
              <w:rPr>
                <w:rFonts w:hint="eastAsia" w:ascii="宋体" w:hAnsi="宋体" w:cs="宋体"/>
                <w:szCs w:val="21"/>
              </w:rPr>
            </w:pPr>
          </w:p>
        </w:tc>
        <w:tc>
          <w:tcPr>
            <w:tcW w:w="1139" w:type="dxa"/>
            <w:vAlign w:val="center"/>
          </w:tcPr>
          <w:p w14:paraId="19CEE087">
            <w:pPr>
              <w:spacing w:line="400" w:lineRule="exact"/>
              <w:ind w:firstLine="210" w:firstLineChars="100"/>
              <w:rPr>
                <w:rFonts w:hint="eastAsia" w:ascii="宋体" w:hAnsi="宋体" w:cs="宋体"/>
                <w:szCs w:val="21"/>
              </w:rPr>
            </w:pPr>
            <w:r>
              <w:rPr>
                <w:rFonts w:hint="eastAsia" w:ascii="宋体" w:hAnsi="宋体" w:cs="宋体"/>
                <w:szCs w:val="21"/>
              </w:rPr>
              <w:t>6分</w:t>
            </w:r>
          </w:p>
        </w:tc>
        <w:tc>
          <w:tcPr>
            <w:tcW w:w="6409" w:type="dxa"/>
            <w:vAlign w:val="center"/>
          </w:tcPr>
          <w:p w14:paraId="42E4A1E2">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（1）项目负责人持证情况，满分4分。</w:t>
            </w:r>
          </w:p>
          <w:p w14:paraId="1E063BFC">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①具有信息系统项目管理师（高级）资格证书，得2分；</w:t>
            </w:r>
          </w:p>
          <w:p w14:paraId="5C3504A2">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②具有高级网络信息安全工程师，得2分；</w:t>
            </w:r>
          </w:p>
          <w:p w14:paraId="2AF362C0">
            <w:pPr>
              <w:pStyle w:val="27"/>
              <w:spacing w:line="400" w:lineRule="exact"/>
              <w:ind w:firstLine="0" w:firstLineChars="0"/>
              <w:jc w:val="left"/>
              <w:rPr>
                <w:rFonts w:hint="eastAsia" w:ascii="宋体" w:hAnsi="宋体" w:cs="宋体"/>
                <w:bCs/>
                <w:kern w:val="0"/>
                <w:szCs w:val="21"/>
              </w:rPr>
            </w:pPr>
            <w:r>
              <w:rPr>
                <w:rFonts w:hint="eastAsia" w:ascii="宋体" w:hAnsi="宋体" w:cs="宋体"/>
                <w:szCs w:val="21"/>
              </w:rPr>
              <w:t>③</w:t>
            </w:r>
            <w:r>
              <w:rPr>
                <w:rFonts w:hint="eastAsia" w:ascii="宋体" w:hAnsi="宋体" w:cs="宋体"/>
                <w:bCs/>
                <w:kern w:val="0"/>
                <w:szCs w:val="21"/>
              </w:rPr>
              <w:t>具有系统架构设计师（高级）资格证书，得2分；</w:t>
            </w:r>
          </w:p>
          <w:p w14:paraId="6FD73570">
            <w:pPr>
              <w:spacing w:line="400" w:lineRule="exact"/>
              <w:jc w:val="left"/>
              <w:rPr>
                <w:rFonts w:hint="eastAsia" w:ascii="宋体" w:hAnsi="宋体" w:cs="宋体"/>
                <w:bCs/>
                <w:kern w:val="0"/>
                <w:szCs w:val="21"/>
              </w:rPr>
            </w:pPr>
            <w:r>
              <w:rPr>
                <w:rFonts w:hint="eastAsia" w:ascii="宋体" w:hAnsi="宋体" w:cs="宋体"/>
                <w:bCs/>
                <w:kern w:val="0"/>
                <w:szCs w:val="21"/>
              </w:rPr>
              <w:t>④具有系统规划与管理师（高级）资格证书，得2分；</w:t>
            </w:r>
          </w:p>
          <w:p w14:paraId="1C8F1230">
            <w:pPr>
              <w:spacing w:line="400" w:lineRule="exact"/>
              <w:rPr>
                <w:rFonts w:hint="eastAsia" w:ascii="宋体" w:hAnsi="宋体" w:cs="宋体"/>
                <w:bCs/>
                <w:kern w:val="0"/>
                <w:szCs w:val="21"/>
              </w:rPr>
            </w:pPr>
            <w:r>
              <w:rPr>
                <w:rFonts w:hint="eastAsia" w:ascii="宋体" w:hAnsi="宋体" w:cs="宋体"/>
                <w:bCs/>
                <w:kern w:val="0"/>
                <w:szCs w:val="21"/>
              </w:rPr>
              <w:t>⑤具有环境类、计算机类任一专业中级职称的，得1分。</w:t>
            </w:r>
          </w:p>
          <w:p w14:paraId="7CB8C14A">
            <w:pPr>
              <w:pStyle w:val="16"/>
              <w:widowControl w:val="0"/>
              <w:spacing w:before="0" w:beforeAutospacing="0" w:after="0" w:afterAutospacing="0" w:line="400" w:lineRule="exact"/>
              <w:rPr>
                <w:rFonts w:hint="eastAsia" w:cs="宋体"/>
                <w:bCs/>
                <w:sz w:val="21"/>
                <w:szCs w:val="21"/>
              </w:rPr>
            </w:pPr>
            <w:r>
              <w:rPr>
                <w:rFonts w:hint="eastAsia" w:cs="宋体"/>
                <w:bCs/>
                <w:sz w:val="21"/>
                <w:szCs w:val="21"/>
                <w:lang w:bidi="ar"/>
              </w:rPr>
              <w:t>（2）项目负责人业绩，满分2分。</w:t>
            </w:r>
          </w:p>
          <w:p w14:paraId="5F7B6181">
            <w:pPr>
              <w:pStyle w:val="2"/>
            </w:pPr>
            <w:r>
              <w:rPr>
                <w:rFonts w:hint="eastAsia" w:ascii="宋体" w:hAnsi="宋体" w:cs="宋体"/>
                <w:bCs/>
                <w:sz w:val="21"/>
                <w:szCs w:val="21"/>
                <w:lang w:bidi="ar"/>
              </w:rPr>
              <w:t>提供2022年1月1日至今，作为负责人承担过信息化项目业绩，每提供1个业绩材料得1分，满分2分。</w:t>
            </w:r>
          </w:p>
          <w:p w14:paraId="6646895A">
            <w:pPr>
              <w:spacing w:line="400" w:lineRule="exact"/>
              <w:rPr>
                <w:rFonts w:hint="eastAsia" w:ascii="宋体" w:hAnsi="宋体" w:cs="宋体"/>
                <w:b/>
                <w:bCs/>
                <w:szCs w:val="21"/>
              </w:rPr>
            </w:pPr>
            <w:r>
              <w:rPr>
                <w:rFonts w:hint="eastAsia" w:ascii="宋体" w:hAnsi="宋体" w:cs="宋体"/>
                <w:b/>
                <w:bCs/>
                <w:szCs w:val="21"/>
              </w:rPr>
              <w:t>注：</w:t>
            </w:r>
          </w:p>
          <w:p w14:paraId="23DE4933">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68D19325">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0273178F">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r>
              <w:rPr>
                <w:rFonts w:hint="eastAsia" w:ascii="宋体" w:hAnsi="宋体" w:cs="宋体"/>
                <w:b/>
                <w:bCs/>
                <w:szCs w:val="21"/>
              </w:rPr>
              <w:t>提供作为负责人相关业绩合同扫描件（如合同不能体现人员姓名，须同时提供合同甲方证明文件扫描件或盖章的项目报告扫描件，提供的证明材料须能体现工作内容等，如无法体现，另附业主证明、项目验收材料等相关证明材料体现工作内容等，否则不得分）。</w:t>
            </w:r>
          </w:p>
          <w:p w14:paraId="4B9EFB81">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0F1D6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35EEF5A6">
            <w:pPr>
              <w:spacing w:line="400" w:lineRule="exact"/>
              <w:jc w:val="center"/>
              <w:rPr>
                <w:rFonts w:hint="eastAsia" w:ascii="宋体" w:hAnsi="宋体" w:cs="宋体"/>
                <w:szCs w:val="21"/>
              </w:rPr>
            </w:pPr>
            <w:r>
              <w:rPr>
                <w:rFonts w:hint="eastAsia" w:ascii="宋体" w:hAnsi="宋体" w:cs="宋体"/>
                <w:szCs w:val="21"/>
              </w:rPr>
              <w:t>团队成员能力分</w:t>
            </w:r>
          </w:p>
        </w:tc>
        <w:tc>
          <w:tcPr>
            <w:tcW w:w="1139" w:type="dxa"/>
            <w:vAlign w:val="center"/>
          </w:tcPr>
          <w:p w14:paraId="491C4FDB">
            <w:pPr>
              <w:spacing w:line="400" w:lineRule="exact"/>
              <w:ind w:firstLine="210" w:firstLineChars="100"/>
              <w:rPr>
                <w:rFonts w:hint="eastAsia" w:ascii="宋体" w:hAnsi="宋体" w:cs="宋体"/>
                <w:szCs w:val="21"/>
              </w:rPr>
            </w:pPr>
            <w:r>
              <w:rPr>
                <w:rFonts w:hint="eastAsia" w:ascii="宋体" w:hAnsi="宋体" w:cs="宋体"/>
                <w:szCs w:val="21"/>
              </w:rPr>
              <w:t>8分</w:t>
            </w:r>
          </w:p>
        </w:tc>
        <w:tc>
          <w:tcPr>
            <w:tcW w:w="6409" w:type="dxa"/>
            <w:vAlign w:val="center"/>
          </w:tcPr>
          <w:p w14:paraId="51D977DD">
            <w:pPr>
              <w:spacing w:line="400" w:lineRule="exact"/>
              <w:rPr>
                <w:rFonts w:hint="eastAsia" w:ascii="宋体" w:hAnsi="宋体" w:cs="宋体"/>
                <w:szCs w:val="21"/>
              </w:rPr>
            </w:pPr>
            <w:r>
              <w:rPr>
                <w:rFonts w:hint="eastAsia" w:ascii="宋体" w:hAnsi="宋体" w:cs="宋体"/>
                <w:szCs w:val="21"/>
              </w:rPr>
              <w:t>拟配备的项目团队成员（项目负责人除外），若具有：</w:t>
            </w:r>
          </w:p>
          <w:p w14:paraId="18E86D82">
            <w:pPr>
              <w:spacing w:line="400" w:lineRule="exact"/>
              <w:rPr>
                <w:rFonts w:hint="eastAsia" w:ascii="宋体" w:hAnsi="宋体" w:cs="宋体"/>
                <w:szCs w:val="21"/>
              </w:rPr>
            </w:pPr>
            <w:r>
              <w:rPr>
                <w:rFonts w:hint="eastAsia" w:ascii="宋体" w:hAnsi="宋体" w:cs="宋体"/>
                <w:szCs w:val="21"/>
              </w:rPr>
              <w:t>（1）信息系统项目管理师（高级）,得2分；</w:t>
            </w:r>
          </w:p>
          <w:p w14:paraId="5DD5C4AE">
            <w:pPr>
              <w:spacing w:line="400" w:lineRule="exact"/>
              <w:rPr>
                <w:rFonts w:hint="eastAsia" w:ascii="宋体" w:hAnsi="宋体" w:cs="宋体"/>
                <w:szCs w:val="21"/>
              </w:rPr>
            </w:pPr>
            <w:r>
              <w:rPr>
                <w:rFonts w:hint="eastAsia" w:ascii="宋体" w:hAnsi="宋体" w:cs="宋体"/>
                <w:szCs w:val="21"/>
              </w:rPr>
              <w:t>（2）系统架构设计师（高级）,得2分；</w:t>
            </w:r>
          </w:p>
          <w:p w14:paraId="62B9FA6E">
            <w:pPr>
              <w:spacing w:line="400" w:lineRule="exact"/>
              <w:rPr>
                <w:rFonts w:hint="eastAsia" w:ascii="宋体" w:hAnsi="宋体" w:cs="宋体"/>
                <w:szCs w:val="21"/>
              </w:rPr>
            </w:pPr>
            <w:r>
              <w:rPr>
                <w:rFonts w:hint="eastAsia" w:ascii="宋体" w:hAnsi="宋体" w:cs="宋体"/>
                <w:szCs w:val="21"/>
              </w:rPr>
              <w:t>（3）系统分析师（高级）,得2分；</w:t>
            </w:r>
          </w:p>
          <w:p w14:paraId="1912ACB2">
            <w:pPr>
              <w:spacing w:line="400" w:lineRule="exact"/>
              <w:rPr>
                <w:rFonts w:hint="eastAsia" w:ascii="宋体" w:hAnsi="宋体" w:cs="宋体"/>
                <w:szCs w:val="21"/>
              </w:rPr>
            </w:pPr>
            <w:r>
              <w:rPr>
                <w:rFonts w:hint="eastAsia" w:ascii="宋体" w:hAnsi="宋体" w:cs="宋体"/>
                <w:szCs w:val="21"/>
              </w:rPr>
              <w:t>（4）系统集成项目管理工程师（中级），得1分；</w:t>
            </w:r>
          </w:p>
          <w:p w14:paraId="43979BC6">
            <w:pPr>
              <w:spacing w:line="400" w:lineRule="exact"/>
              <w:rPr>
                <w:rFonts w:hint="eastAsia" w:ascii="宋体" w:hAnsi="宋体" w:cs="宋体"/>
                <w:szCs w:val="21"/>
              </w:rPr>
            </w:pPr>
            <w:r>
              <w:rPr>
                <w:rFonts w:hint="eastAsia" w:ascii="宋体" w:hAnsi="宋体" w:cs="宋体"/>
                <w:szCs w:val="21"/>
              </w:rPr>
              <w:t>（5）软件评测师（中级），得1分；</w:t>
            </w:r>
          </w:p>
          <w:p w14:paraId="53236849">
            <w:pPr>
              <w:spacing w:line="400" w:lineRule="exact"/>
              <w:rPr>
                <w:rFonts w:hint="eastAsia" w:ascii="宋体" w:hAnsi="宋体" w:cs="宋体"/>
                <w:szCs w:val="21"/>
              </w:rPr>
            </w:pPr>
            <w:r>
              <w:rPr>
                <w:rFonts w:hint="eastAsia" w:ascii="宋体" w:hAnsi="宋体" w:cs="宋体"/>
                <w:szCs w:val="21"/>
              </w:rPr>
              <w:t>本项满分8分。</w:t>
            </w:r>
          </w:p>
          <w:p w14:paraId="1756A90E">
            <w:pPr>
              <w:spacing w:line="400" w:lineRule="exact"/>
              <w:rPr>
                <w:rFonts w:hint="eastAsia" w:ascii="宋体" w:hAnsi="宋体" w:cs="宋体"/>
                <w:b/>
                <w:bCs/>
                <w:szCs w:val="21"/>
              </w:rPr>
            </w:pPr>
            <w:r>
              <w:rPr>
                <w:rFonts w:hint="eastAsia" w:ascii="宋体" w:hAnsi="宋体" w:cs="宋体"/>
                <w:b/>
                <w:bCs/>
                <w:szCs w:val="21"/>
              </w:rPr>
              <w:t>注：</w:t>
            </w:r>
          </w:p>
          <w:p w14:paraId="7825BD5B">
            <w:pPr>
              <w:spacing w:line="400" w:lineRule="exact"/>
              <w:rPr>
                <w:rFonts w:hint="eastAsia" w:ascii="宋体" w:hAnsi="宋体" w:cs="宋体"/>
                <w:b/>
                <w:bCs/>
                <w:szCs w:val="21"/>
              </w:rPr>
            </w:pPr>
            <w:r>
              <w:rPr>
                <w:rFonts w:hint="eastAsia" w:ascii="宋体" w:hAnsi="宋体" w:cs="宋体"/>
                <w:b/>
                <w:bCs/>
                <w:szCs w:val="21"/>
              </w:rPr>
              <w:t>（1）以上人员不能与售后服务人员重复。团队成员中同一人员同时具有多个证书的不累计计分。</w:t>
            </w:r>
          </w:p>
          <w:p w14:paraId="7EC70A42">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0B1EA62F">
            <w:pPr>
              <w:spacing w:line="400" w:lineRule="exact"/>
              <w:rPr>
                <w:rFonts w:hint="eastAsia" w:ascii="宋体" w:hAnsi="宋体" w:cs="宋体"/>
                <w:b/>
                <w:bCs/>
                <w:kern w:val="0"/>
                <w:szCs w:val="21"/>
              </w:rPr>
            </w:pPr>
            <w:r>
              <w:rPr>
                <w:rFonts w:hint="eastAsia" w:ascii="宋体" w:hAnsi="宋体" w:cs="宋体"/>
                <w:b/>
                <w:bCs/>
                <w:kern w:val="0"/>
                <w:szCs w:val="21"/>
              </w:rPr>
              <w:t>（3）提供项目实施人员相关资质证书等证明材料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4957613A">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605BD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1BC746D1">
            <w:pPr>
              <w:spacing w:line="400" w:lineRule="exact"/>
              <w:jc w:val="center"/>
              <w:rPr>
                <w:rFonts w:hint="eastAsia" w:ascii="宋体" w:hAnsi="宋体" w:cs="宋体"/>
                <w:szCs w:val="21"/>
              </w:rPr>
            </w:pPr>
            <w:r>
              <w:rPr>
                <w:rFonts w:hint="eastAsia" w:ascii="宋体" w:hAnsi="宋体" w:cs="宋体"/>
                <w:bCs/>
                <w:kern w:val="0"/>
                <w:szCs w:val="21"/>
              </w:rPr>
              <w:t>演示分</w:t>
            </w:r>
          </w:p>
        </w:tc>
        <w:tc>
          <w:tcPr>
            <w:tcW w:w="1139" w:type="dxa"/>
            <w:vAlign w:val="center"/>
          </w:tcPr>
          <w:p w14:paraId="027AE7AF">
            <w:pPr>
              <w:spacing w:line="400" w:lineRule="exact"/>
              <w:jc w:val="center"/>
              <w:rPr>
                <w:rFonts w:hint="eastAsia" w:ascii="宋体" w:hAnsi="宋体" w:cs="宋体"/>
                <w:szCs w:val="21"/>
              </w:rPr>
            </w:pPr>
            <w:r>
              <w:rPr>
                <w:rFonts w:hint="eastAsia" w:ascii="宋体" w:hAnsi="宋体" w:cs="宋体"/>
                <w:szCs w:val="21"/>
              </w:rPr>
              <w:t>10分</w:t>
            </w:r>
          </w:p>
        </w:tc>
        <w:tc>
          <w:tcPr>
            <w:tcW w:w="6409" w:type="dxa"/>
            <w:vAlign w:val="center"/>
          </w:tcPr>
          <w:p w14:paraId="50B5FDF0">
            <w:pPr>
              <w:pStyle w:val="2"/>
              <w:spacing w:line="400" w:lineRule="exact"/>
              <w:rPr>
                <w:rFonts w:hint="eastAsia" w:ascii="宋体" w:hAnsi="宋体" w:cs="宋体"/>
                <w:sz w:val="21"/>
                <w:szCs w:val="21"/>
              </w:rPr>
            </w:pPr>
            <w:r>
              <w:rPr>
                <w:rFonts w:hint="eastAsia" w:ascii="宋体" w:hAnsi="宋体" w:cs="宋体"/>
                <w:sz w:val="21"/>
                <w:szCs w:val="21"/>
              </w:rPr>
              <w:t>（一）不符合项目需求或未提供演示，演示分计0分。</w:t>
            </w:r>
          </w:p>
          <w:p w14:paraId="2FFB0552">
            <w:pPr>
              <w:pStyle w:val="2"/>
              <w:spacing w:line="400" w:lineRule="exact"/>
              <w:rPr>
                <w:rFonts w:hint="eastAsia" w:ascii="宋体" w:hAnsi="宋体" w:cs="宋体"/>
                <w:sz w:val="21"/>
                <w:szCs w:val="21"/>
              </w:rPr>
            </w:pPr>
            <w:r>
              <w:rPr>
                <w:rFonts w:hint="eastAsia" w:ascii="宋体" w:hAnsi="宋体" w:cs="宋体"/>
                <w:sz w:val="21"/>
                <w:szCs w:val="21"/>
              </w:rPr>
              <w:t>（二）投标人须选择与本分标实际建设内容相类似的信息化领域已建成的真实系统或根据本分标实际建设需求搭建系统进行现场系统演示，使用PPT、图片演示、视频播放等非原型方式演示的不予认可。</w:t>
            </w:r>
          </w:p>
          <w:p w14:paraId="1608FE11">
            <w:pPr>
              <w:pStyle w:val="2"/>
              <w:spacing w:line="400" w:lineRule="exact"/>
              <w:rPr>
                <w:rFonts w:hint="eastAsia" w:ascii="宋体" w:hAnsi="宋体" w:cs="宋体"/>
                <w:sz w:val="21"/>
                <w:szCs w:val="21"/>
              </w:rPr>
            </w:pPr>
            <w:r>
              <w:rPr>
                <w:rFonts w:hint="eastAsia" w:ascii="宋体" w:hAnsi="宋体" w:cs="宋体"/>
                <w:sz w:val="21"/>
                <w:szCs w:val="21"/>
              </w:rPr>
              <w:t>（三）功能演示</w:t>
            </w:r>
          </w:p>
          <w:p w14:paraId="73E63A5A">
            <w:pPr>
              <w:pStyle w:val="2"/>
              <w:spacing w:line="400" w:lineRule="exact"/>
              <w:rPr>
                <w:rFonts w:hint="eastAsia" w:ascii="宋体" w:hAnsi="宋体" w:cs="宋体"/>
                <w:sz w:val="21"/>
                <w:szCs w:val="21"/>
              </w:rPr>
            </w:pPr>
            <w:r>
              <w:rPr>
                <w:rFonts w:hint="eastAsia" w:ascii="宋体" w:hAnsi="宋体" w:cs="宋体"/>
                <w:sz w:val="21"/>
                <w:szCs w:val="21"/>
              </w:rPr>
              <w:t>1.多组织架构演示：演示多组织架构的管理，支持组织多维度矩阵，不同组织业务独立。</w:t>
            </w:r>
          </w:p>
          <w:p w14:paraId="3D671E83">
            <w:pPr>
              <w:pStyle w:val="2"/>
              <w:spacing w:line="400" w:lineRule="exact"/>
              <w:rPr>
                <w:rFonts w:hint="eastAsia" w:ascii="宋体" w:hAnsi="宋体" w:cs="宋体"/>
                <w:sz w:val="21"/>
                <w:szCs w:val="21"/>
              </w:rPr>
            </w:pPr>
            <w:r>
              <w:rPr>
                <w:rFonts w:hint="eastAsia" w:ascii="宋体" w:hAnsi="宋体" w:cs="宋体"/>
                <w:sz w:val="21"/>
                <w:szCs w:val="21"/>
              </w:rPr>
              <w:t>2.全局搜索能力：通过任意关键字进行全局搜索，提供高级筛选条件，根据关键词和匹配字进行搜索，搜索结果可导出excel文件。</w:t>
            </w:r>
          </w:p>
          <w:p w14:paraId="5372BD5D">
            <w:pPr>
              <w:pStyle w:val="2"/>
              <w:spacing w:line="400" w:lineRule="exact"/>
              <w:rPr>
                <w:rFonts w:hint="eastAsia" w:ascii="宋体" w:hAnsi="宋体" w:cs="宋体"/>
                <w:sz w:val="21"/>
                <w:szCs w:val="21"/>
              </w:rPr>
            </w:pPr>
            <w:r>
              <w:rPr>
                <w:rFonts w:hint="eastAsia" w:ascii="宋体" w:hAnsi="宋体" w:cs="宋体"/>
                <w:sz w:val="21"/>
                <w:szCs w:val="21"/>
              </w:rPr>
              <w:t>3.业务流程能力：演示业务流程能力，支持根据特定事项发起自由流，支持流程的模拟仿真测试。</w:t>
            </w:r>
          </w:p>
          <w:p w14:paraId="586D76D4">
            <w:pPr>
              <w:pStyle w:val="2"/>
              <w:spacing w:line="400" w:lineRule="exact"/>
              <w:rPr>
                <w:rFonts w:hint="eastAsia" w:ascii="宋体" w:hAnsi="宋体" w:cs="宋体"/>
                <w:sz w:val="21"/>
                <w:szCs w:val="21"/>
              </w:rPr>
            </w:pPr>
            <w:r>
              <w:rPr>
                <w:rFonts w:hint="eastAsia" w:ascii="宋体" w:hAnsi="宋体" w:cs="宋体"/>
                <w:sz w:val="21"/>
                <w:szCs w:val="21"/>
              </w:rPr>
              <w:t>4.项目全流程管理能力，包含项目立项、项目变更、项目进度管理。</w:t>
            </w:r>
          </w:p>
          <w:p w14:paraId="36F5B681">
            <w:pPr>
              <w:pStyle w:val="2"/>
              <w:spacing w:line="400" w:lineRule="exact"/>
              <w:rPr>
                <w:rFonts w:hint="eastAsia" w:ascii="宋体" w:hAnsi="宋体" w:cs="宋体"/>
                <w:sz w:val="21"/>
                <w:szCs w:val="21"/>
              </w:rPr>
            </w:pPr>
            <w:r>
              <w:rPr>
                <w:rFonts w:hint="eastAsia" w:ascii="宋体" w:hAnsi="宋体" w:cs="宋体"/>
                <w:sz w:val="21"/>
                <w:szCs w:val="21"/>
              </w:rPr>
              <w:t>5.请休假功能：假期管理后台可配置不同的假期种类，根据自身的内部规则设置具体休假的规则，假期额度的发放规则，发放时间均可自定义处理。</w:t>
            </w:r>
          </w:p>
          <w:p w14:paraId="3BCFAA5B">
            <w:pPr>
              <w:pStyle w:val="2"/>
              <w:spacing w:line="400" w:lineRule="exact"/>
              <w:rPr>
                <w:rFonts w:hint="eastAsia" w:ascii="宋体" w:hAnsi="宋体" w:cs="宋体"/>
                <w:sz w:val="21"/>
                <w:szCs w:val="21"/>
              </w:rPr>
            </w:pPr>
            <w:r>
              <w:rPr>
                <w:rFonts w:hint="eastAsia" w:ascii="宋体" w:hAnsi="宋体" w:cs="宋体"/>
                <w:sz w:val="21"/>
                <w:szCs w:val="21"/>
              </w:rPr>
              <w:t>6.资产全生命周期管理能力，包含资产登记、查询、盘点、借出、维修、处置等功能。</w:t>
            </w:r>
          </w:p>
          <w:p w14:paraId="434CC352">
            <w:pPr>
              <w:pStyle w:val="2"/>
              <w:spacing w:line="400" w:lineRule="exact"/>
              <w:rPr>
                <w:rFonts w:hint="eastAsia" w:ascii="宋体" w:hAnsi="宋体" w:cs="宋体"/>
                <w:sz w:val="21"/>
                <w:szCs w:val="21"/>
              </w:rPr>
            </w:pPr>
            <w:r>
              <w:rPr>
                <w:rFonts w:hint="eastAsia" w:ascii="宋体" w:hAnsi="宋体" w:cs="宋体"/>
                <w:sz w:val="21"/>
                <w:szCs w:val="21"/>
              </w:rPr>
              <w:t>7.低代码平台能力：可视化配置，拖拉控件生成应用，无需代码即可快捷构建各类应用。多终端功能同步。</w:t>
            </w:r>
          </w:p>
          <w:p w14:paraId="5E2108B2">
            <w:pPr>
              <w:pStyle w:val="2"/>
              <w:spacing w:line="400" w:lineRule="exact"/>
              <w:rPr>
                <w:rFonts w:hint="eastAsia" w:ascii="宋体" w:hAnsi="宋体" w:cs="宋体"/>
                <w:sz w:val="21"/>
                <w:szCs w:val="21"/>
              </w:rPr>
            </w:pPr>
            <w:r>
              <w:rPr>
                <w:rFonts w:hint="eastAsia" w:ascii="宋体" w:hAnsi="宋体" w:cs="宋体"/>
                <w:sz w:val="21"/>
                <w:szCs w:val="21"/>
              </w:rPr>
              <w:t>8.电子档案基本功能演示：系统支持归档文件批量编辑，能对业务数据字段与档案数据字段进行匹配。对于数据需要修改入库信息，可将数据移动到对应的档案门类库中，无需删除，无需重新录入。</w:t>
            </w:r>
          </w:p>
          <w:p w14:paraId="3E40CFB3">
            <w:pPr>
              <w:pStyle w:val="2"/>
              <w:spacing w:line="400" w:lineRule="exact"/>
              <w:rPr>
                <w:rFonts w:hint="eastAsia" w:ascii="宋体" w:hAnsi="宋体" w:cs="宋体"/>
                <w:sz w:val="21"/>
                <w:szCs w:val="21"/>
              </w:rPr>
            </w:pPr>
            <w:r>
              <w:rPr>
                <w:rFonts w:hint="eastAsia" w:ascii="宋体" w:hAnsi="宋体" w:cs="宋体"/>
                <w:sz w:val="21"/>
                <w:szCs w:val="21"/>
              </w:rPr>
              <w:t>9.电子档案可与审批流程、公文流程对接。</w:t>
            </w:r>
          </w:p>
          <w:p w14:paraId="1FB903B9">
            <w:pPr>
              <w:pStyle w:val="2"/>
              <w:spacing w:line="400" w:lineRule="exact"/>
              <w:rPr>
                <w:rFonts w:hint="eastAsia" w:ascii="宋体" w:hAnsi="宋体" w:cs="宋体"/>
                <w:sz w:val="21"/>
                <w:szCs w:val="21"/>
              </w:rPr>
            </w:pPr>
            <w:r>
              <w:rPr>
                <w:rFonts w:hint="eastAsia" w:ascii="宋体" w:hAnsi="宋体" w:cs="宋体"/>
                <w:sz w:val="21"/>
                <w:szCs w:val="21"/>
              </w:rPr>
              <w:t>10.权限管理：新建用户能一站式设定人员权限，在人员离职时能对权限（角色、报表权限）及事项（已办、待办）进行批量移交。</w:t>
            </w:r>
          </w:p>
          <w:p w14:paraId="2A98F6B0">
            <w:pPr>
              <w:pStyle w:val="2"/>
              <w:spacing w:line="400" w:lineRule="exact"/>
              <w:rPr>
                <w:rFonts w:hint="eastAsia" w:ascii="宋体" w:hAnsi="宋体" w:cs="宋体"/>
                <w:b/>
                <w:bCs/>
                <w:sz w:val="21"/>
                <w:szCs w:val="21"/>
              </w:rPr>
            </w:pPr>
            <w:r>
              <w:rPr>
                <w:rFonts w:hint="eastAsia" w:ascii="宋体" w:hAnsi="宋体" w:cs="宋体"/>
                <w:b/>
                <w:bCs/>
                <w:sz w:val="21"/>
                <w:szCs w:val="21"/>
              </w:rPr>
              <w:t>逐个功能进行演示、每少演示一个功能点或者不符合该功能点需求扣1分，扣完为止。</w:t>
            </w:r>
          </w:p>
          <w:p w14:paraId="5C98CF83">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61BF7ABD">
            <w:pPr>
              <w:pStyle w:val="2"/>
              <w:spacing w:line="400" w:lineRule="exact"/>
              <w:rPr>
                <w:rFonts w:hint="eastAsia" w:ascii="宋体" w:hAnsi="宋体" w:cs="宋体"/>
                <w:b/>
                <w:bCs/>
                <w:sz w:val="21"/>
                <w:szCs w:val="21"/>
              </w:rPr>
            </w:pPr>
            <w:r>
              <w:rPr>
                <w:rFonts w:hint="eastAsia" w:ascii="宋体" w:hAnsi="宋体" w:cs="宋体"/>
                <w:b/>
                <w:bCs/>
                <w:sz w:val="21"/>
                <w:szCs w:val="21"/>
              </w:rPr>
              <w:t>（1）投标人须演示系统，演示完毕接受评标专家对演示系统进行问询（专家问询时间不作限制）。</w:t>
            </w:r>
          </w:p>
          <w:p w14:paraId="42FF4D21">
            <w:pPr>
              <w:pStyle w:val="2"/>
              <w:spacing w:line="400" w:lineRule="exact"/>
              <w:rPr>
                <w:rFonts w:hint="eastAsia" w:ascii="宋体" w:hAnsi="宋体" w:cs="宋体"/>
                <w:b/>
                <w:bCs/>
                <w:sz w:val="21"/>
                <w:szCs w:val="21"/>
              </w:rPr>
            </w:pPr>
            <w:r>
              <w:rPr>
                <w:rFonts w:hint="eastAsia" w:ascii="宋体" w:hAnsi="宋体" w:cs="宋体"/>
                <w:b/>
                <w:bCs/>
                <w:sz w:val="21"/>
                <w:szCs w:val="21"/>
              </w:rPr>
              <w:t>（2）系统演示时长需控制在20分钟以内，放弃演示本项不得分。</w:t>
            </w:r>
          </w:p>
          <w:p w14:paraId="417B4AC3">
            <w:pPr>
              <w:pStyle w:val="2"/>
              <w:spacing w:line="400" w:lineRule="exact"/>
              <w:rPr>
                <w:rFonts w:hint="eastAsia" w:ascii="宋体" w:hAnsi="宋体" w:cs="宋体"/>
                <w:sz w:val="21"/>
                <w:szCs w:val="21"/>
              </w:rPr>
            </w:pPr>
            <w:r>
              <w:rPr>
                <w:rFonts w:hint="eastAsia" w:ascii="宋体" w:hAnsi="宋体" w:cs="宋体"/>
                <w:b/>
                <w:bCs/>
                <w:sz w:val="21"/>
                <w:szCs w:val="21"/>
              </w:rPr>
              <w:t>（3）投标人自行准备网络环境等相关演示条件，因投标人自身原因导致系统无法正常演示的，由投标人自行承担相应责任。</w:t>
            </w:r>
          </w:p>
        </w:tc>
      </w:tr>
      <w:tr w14:paraId="2C8DA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5BA95190">
            <w:pPr>
              <w:spacing w:line="400" w:lineRule="exact"/>
              <w:rPr>
                <w:rFonts w:hint="eastAsia" w:ascii="宋体" w:hAnsi="宋体" w:cs="宋体"/>
                <w:szCs w:val="21"/>
              </w:rPr>
            </w:pPr>
            <w:r>
              <w:rPr>
                <w:rFonts w:hint="eastAsia" w:ascii="宋体" w:hAnsi="宋体" w:cs="宋体"/>
                <w:szCs w:val="21"/>
              </w:rPr>
              <w:t>售后</w:t>
            </w:r>
          </w:p>
          <w:p w14:paraId="0C8622DF">
            <w:pPr>
              <w:spacing w:line="400" w:lineRule="exact"/>
              <w:jc w:val="center"/>
              <w:rPr>
                <w:rFonts w:hint="eastAsia" w:ascii="宋体" w:hAnsi="宋体" w:cs="宋体"/>
                <w:szCs w:val="21"/>
              </w:rPr>
            </w:pPr>
            <w:r>
              <w:rPr>
                <w:rFonts w:hint="eastAsia" w:ascii="宋体" w:hAnsi="宋体" w:cs="宋体"/>
                <w:szCs w:val="21"/>
              </w:rPr>
              <w:t>服务分</w:t>
            </w:r>
          </w:p>
        </w:tc>
        <w:tc>
          <w:tcPr>
            <w:tcW w:w="1139" w:type="dxa"/>
            <w:vAlign w:val="center"/>
          </w:tcPr>
          <w:p w14:paraId="22C348D6">
            <w:pPr>
              <w:spacing w:line="400" w:lineRule="exact"/>
              <w:jc w:val="center"/>
              <w:rPr>
                <w:rFonts w:hint="eastAsia" w:ascii="宋体" w:hAnsi="宋体" w:cs="宋体"/>
                <w:szCs w:val="21"/>
              </w:rPr>
            </w:pPr>
            <w:r>
              <w:rPr>
                <w:rFonts w:hint="eastAsia" w:ascii="宋体" w:hAnsi="宋体" w:cs="宋体"/>
                <w:szCs w:val="21"/>
              </w:rPr>
              <w:t>13分</w:t>
            </w:r>
          </w:p>
        </w:tc>
        <w:tc>
          <w:tcPr>
            <w:tcW w:w="6409" w:type="dxa"/>
            <w:vAlign w:val="center"/>
          </w:tcPr>
          <w:p w14:paraId="1C4DB7FC">
            <w:pPr>
              <w:pStyle w:val="2"/>
              <w:spacing w:line="400" w:lineRule="exact"/>
              <w:rPr>
                <w:rFonts w:hint="eastAsia" w:ascii="宋体" w:hAnsi="宋体" w:cs="宋体"/>
                <w:sz w:val="21"/>
                <w:szCs w:val="21"/>
              </w:rPr>
            </w:pPr>
            <w:r>
              <w:rPr>
                <w:rFonts w:hint="eastAsia" w:ascii="宋体" w:hAnsi="宋体" w:cs="宋体"/>
                <w:sz w:val="21"/>
                <w:szCs w:val="21"/>
              </w:rPr>
              <w:t>（一）由评委在打分前根据供应商的售后服务评定打分，以下各项不得重复计分：</w:t>
            </w:r>
          </w:p>
          <w:p w14:paraId="229793C5">
            <w:pPr>
              <w:pStyle w:val="2"/>
              <w:spacing w:line="400" w:lineRule="exact"/>
              <w:rPr>
                <w:rFonts w:hint="eastAsia" w:ascii="宋体" w:hAnsi="宋体" w:cs="宋体"/>
                <w:sz w:val="21"/>
                <w:szCs w:val="21"/>
              </w:rPr>
            </w:pPr>
            <w:r>
              <w:rPr>
                <w:rFonts w:hint="eastAsia" w:ascii="宋体" w:hAnsi="宋体" w:cs="宋体"/>
                <w:sz w:val="21"/>
                <w:szCs w:val="21"/>
              </w:rPr>
              <w:t>一档（2分）：提交的售后服务方案满足采购文件的售后服务要求，针对本项目提供售后服务支持，能满足售后服务响应时间要求，投入本次项目的软件产品提供2年质保服务（含故障处理、小版本升级、漏洞修补）。</w:t>
            </w:r>
          </w:p>
          <w:p w14:paraId="1282B735">
            <w:pPr>
              <w:pStyle w:val="2"/>
              <w:spacing w:line="400" w:lineRule="exact"/>
              <w:rPr>
                <w:rFonts w:hint="eastAsia" w:ascii="宋体" w:hAnsi="宋体" w:cs="宋体"/>
                <w:sz w:val="21"/>
                <w:szCs w:val="21"/>
              </w:rPr>
            </w:pPr>
            <w:r>
              <w:rPr>
                <w:rFonts w:hint="eastAsia" w:ascii="宋体" w:hAnsi="宋体" w:cs="宋体"/>
                <w:sz w:val="21"/>
                <w:szCs w:val="21"/>
              </w:rPr>
              <w:t>二档（6分）：在满足一档要求的基础上，提供售后服务流程图，包括故障处理、现场维护、紧急维护、重要服务、电话维护、需求变更、主动巡检等流程图。拟投入本次项目的售后服务团队配备≥3名专职售后服务人员，能提供服务热线电话，投入本次项目的软件产品提供3年质保服务（含故障处理、小版本升级、漏洞修补）。</w:t>
            </w:r>
          </w:p>
          <w:p w14:paraId="73494E48">
            <w:pPr>
              <w:pStyle w:val="2"/>
              <w:spacing w:line="400" w:lineRule="exact"/>
              <w:rPr>
                <w:rFonts w:hint="eastAsia" w:ascii="宋体" w:hAnsi="宋体" w:cs="宋体"/>
                <w:sz w:val="21"/>
                <w:szCs w:val="21"/>
              </w:rPr>
            </w:pPr>
            <w:r>
              <w:rPr>
                <w:rFonts w:hint="eastAsia" w:ascii="宋体" w:hAnsi="宋体" w:cs="宋体"/>
                <w:sz w:val="21"/>
                <w:szCs w:val="21"/>
              </w:rPr>
              <w:t>三档（10分）：在满足二档要求的基础上，能提详细描述电话支持服务、远程技术支持服务、现场技术支持服务、紧急故障应急预案制定及处理服务、软件维护服务、培训服务、巡检服务、回访服务等的服务内容及服务交付规范的；提供应急预案，提供完备的服务措施，服务质量控制到位，响应时间满足招标文件要求。拟投入本次项目的售后服务团队配备≥4名专职售后服务人员，投入本次项目的软件产品提供4年质保服务（含故障处理、小版本升级、漏洞修补）。</w:t>
            </w:r>
          </w:p>
          <w:p w14:paraId="57F3A75B">
            <w:pPr>
              <w:pStyle w:val="2"/>
              <w:spacing w:line="400" w:lineRule="exact"/>
              <w:rPr>
                <w:rFonts w:hint="eastAsia" w:ascii="宋体" w:hAnsi="宋体" w:cs="宋体"/>
                <w:b/>
                <w:bCs/>
                <w:sz w:val="21"/>
                <w:szCs w:val="21"/>
              </w:rPr>
            </w:pPr>
            <w:r>
              <w:rPr>
                <w:rFonts w:hint="eastAsia" w:ascii="宋体" w:hAnsi="宋体" w:cs="宋体"/>
                <w:b/>
                <w:bCs/>
                <w:sz w:val="21"/>
                <w:szCs w:val="21"/>
              </w:rPr>
              <w:t>注：</w:t>
            </w:r>
          </w:p>
          <w:p w14:paraId="3843AA22">
            <w:pPr>
              <w:pStyle w:val="2"/>
              <w:spacing w:line="400" w:lineRule="exact"/>
              <w:rPr>
                <w:rFonts w:hint="eastAsia" w:ascii="宋体" w:hAnsi="宋体" w:cs="宋体"/>
                <w:b/>
                <w:bCs/>
                <w:sz w:val="21"/>
                <w:szCs w:val="21"/>
              </w:rPr>
            </w:pPr>
            <w:r>
              <w:rPr>
                <w:rFonts w:hint="eastAsia" w:ascii="宋体" w:hAnsi="宋体" w:cs="宋体"/>
                <w:b/>
                <w:bCs/>
                <w:sz w:val="21"/>
                <w:szCs w:val="21"/>
              </w:rPr>
              <w:t>以上人员不能与团队服务人员重复。拟投入人员应为投标人在职在岗正式员工（非退休），投标文件需提供项目实施人员劳动合同复印件或事业单位编制证明复印件等相关证明材料并加盖投标单位公章，否则不计分。未提供方案或不符合最低入档条件的不得分。</w:t>
            </w:r>
          </w:p>
          <w:p w14:paraId="791312C0">
            <w:pPr>
              <w:pStyle w:val="2"/>
              <w:spacing w:line="400" w:lineRule="exact"/>
              <w:rPr>
                <w:rFonts w:hint="eastAsia" w:ascii="宋体" w:hAnsi="宋体" w:cs="宋体"/>
                <w:sz w:val="21"/>
                <w:szCs w:val="21"/>
              </w:rPr>
            </w:pPr>
            <w:r>
              <w:rPr>
                <w:rFonts w:hint="eastAsia" w:ascii="宋体" w:hAnsi="宋体" w:cs="宋体"/>
                <w:sz w:val="21"/>
                <w:szCs w:val="21"/>
              </w:rPr>
              <w:t>（二）供应商承诺在质保期为用户利用低代码平台自建流程出现的问题提供技术支持，得1分，满足第一个要求基础上不限次数免费提供总建设功能点5%以上新增需求的得2分，满足第一个要求基础上不限次数免费提供总建设功能点10%以上新增需求的得3分。满分3分。</w:t>
            </w:r>
          </w:p>
          <w:p w14:paraId="41AC06FE">
            <w:pPr>
              <w:pStyle w:val="2"/>
              <w:spacing w:line="400" w:lineRule="exact"/>
              <w:rPr>
                <w:rFonts w:hint="eastAsia" w:ascii="宋体" w:hAnsi="宋体" w:cs="宋体"/>
                <w:sz w:val="21"/>
                <w:szCs w:val="21"/>
              </w:rPr>
            </w:pPr>
            <w:r>
              <w:rPr>
                <w:rFonts w:hint="eastAsia" w:ascii="宋体" w:hAnsi="宋体" w:cs="宋体"/>
                <w:b/>
                <w:bCs/>
                <w:sz w:val="21"/>
                <w:szCs w:val="21"/>
              </w:rPr>
              <w:t>注：提供承诺书加盖公章原件，并经评标委员会认可为准，否则不得分。</w:t>
            </w:r>
          </w:p>
        </w:tc>
      </w:tr>
      <w:tr w14:paraId="3D772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7DFFDCA8">
            <w:pPr>
              <w:spacing w:line="400" w:lineRule="exact"/>
              <w:jc w:val="center"/>
              <w:rPr>
                <w:rFonts w:hint="eastAsia" w:ascii="宋体" w:hAnsi="宋体" w:cs="宋体"/>
                <w:szCs w:val="21"/>
              </w:rPr>
            </w:pPr>
            <w:r>
              <w:rPr>
                <w:rFonts w:hint="eastAsia" w:ascii="宋体" w:hAnsi="宋体" w:cs="宋体"/>
                <w:szCs w:val="21"/>
              </w:rPr>
              <w:t>技术能力分</w:t>
            </w:r>
          </w:p>
        </w:tc>
        <w:tc>
          <w:tcPr>
            <w:tcW w:w="1139" w:type="dxa"/>
            <w:vAlign w:val="center"/>
          </w:tcPr>
          <w:p w14:paraId="11ECBC87">
            <w:pPr>
              <w:spacing w:line="400" w:lineRule="exact"/>
              <w:jc w:val="center"/>
              <w:rPr>
                <w:rFonts w:hint="eastAsia" w:ascii="宋体" w:hAnsi="宋体" w:cs="宋体"/>
                <w:szCs w:val="21"/>
              </w:rPr>
            </w:pPr>
            <w:r>
              <w:rPr>
                <w:rFonts w:hint="eastAsia" w:ascii="宋体" w:hAnsi="宋体" w:cs="宋体"/>
                <w:szCs w:val="21"/>
              </w:rPr>
              <w:t>3分</w:t>
            </w:r>
          </w:p>
        </w:tc>
        <w:tc>
          <w:tcPr>
            <w:tcW w:w="6409" w:type="dxa"/>
            <w:vAlign w:val="center"/>
          </w:tcPr>
          <w:p w14:paraId="567F2105">
            <w:pPr>
              <w:pStyle w:val="2"/>
              <w:spacing w:line="400" w:lineRule="exact"/>
              <w:rPr>
                <w:rFonts w:hint="eastAsia" w:ascii="宋体" w:hAnsi="宋体" w:cs="宋体"/>
                <w:sz w:val="21"/>
                <w:szCs w:val="21"/>
              </w:rPr>
            </w:pPr>
            <w:r>
              <w:rPr>
                <w:rFonts w:hint="eastAsia" w:ascii="宋体" w:hAnsi="宋体" w:cs="宋体"/>
                <w:sz w:val="21"/>
                <w:szCs w:val="21"/>
              </w:rPr>
              <w:t>（1）供应商承诺提供用户并发数1000</w:t>
            </w:r>
            <w:r>
              <w:rPr>
                <w:rStyle w:val="22"/>
                <w:rFonts w:hint="eastAsia" w:ascii="宋体" w:hAnsi="宋体" w:cs="宋体"/>
                <w:lang w:val="en-US" w:eastAsia="zh-CN"/>
              </w:rPr>
              <w:t>-1999的</w:t>
            </w:r>
            <w:r>
              <w:rPr>
                <w:rFonts w:hint="eastAsia" w:ascii="宋体" w:hAnsi="宋体" w:cs="宋体"/>
                <w:sz w:val="21"/>
                <w:szCs w:val="21"/>
              </w:rPr>
              <w:t>，得1分，并发数2000-3000的得2分，3000（不含）以上的得3分。满分3分。并发数按在线用户算，不按客户端算。</w:t>
            </w:r>
          </w:p>
          <w:p w14:paraId="59D0593D">
            <w:pPr>
              <w:spacing w:line="400" w:lineRule="exact"/>
              <w:rPr>
                <w:rFonts w:hint="eastAsia" w:ascii="宋体" w:hAnsi="宋体" w:cs="宋体"/>
                <w:b/>
                <w:bCs/>
                <w:szCs w:val="21"/>
              </w:rPr>
            </w:pPr>
            <w:r>
              <w:rPr>
                <w:rFonts w:hint="eastAsia" w:ascii="宋体" w:hAnsi="宋体" w:cs="宋体"/>
                <w:b/>
                <w:bCs/>
                <w:szCs w:val="21"/>
              </w:rPr>
              <w:t>注：提供承诺书加盖公章原件，并经评标委员会认可为准，否则不得分。</w:t>
            </w:r>
          </w:p>
        </w:tc>
      </w:tr>
      <w:tr w14:paraId="72E74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466BDBC4">
            <w:pPr>
              <w:spacing w:line="400" w:lineRule="exact"/>
              <w:jc w:val="center"/>
              <w:rPr>
                <w:rFonts w:hint="eastAsia" w:ascii="宋体" w:hAnsi="宋体" w:cs="宋体"/>
                <w:szCs w:val="21"/>
              </w:rPr>
            </w:pPr>
            <w:r>
              <w:rPr>
                <w:rFonts w:hint="eastAsia" w:ascii="宋体" w:hAnsi="宋体" w:cs="宋体"/>
                <w:b/>
                <w:bCs/>
                <w:szCs w:val="21"/>
              </w:rPr>
              <w:t>（三）商务分（满分12分）</w:t>
            </w:r>
          </w:p>
        </w:tc>
      </w:tr>
      <w:tr w14:paraId="11EFC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7629F493">
            <w:pPr>
              <w:spacing w:line="400" w:lineRule="exact"/>
              <w:jc w:val="center"/>
              <w:rPr>
                <w:rFonts w:hint="eastAsia" w:ascii="宋体" w:hAnsi="宋体" w:cs="宋体"/>
                <w:b/>
                <w:bCs/>
                <w:szCs w:val="21"/>
              </w:rPr>
            </w:pPr>
            <w:r>
              <w:rPr>
                <w:rFonts w:hint="eastAsia" w:ascii="宋体" w:hAnsi="宋体" w:cs="宋体"/>
                <w:szCs w:val="21"/>
              </w:rPr>
              <w:t>信誉分</w:t>
            </w:r>
          </w:p>
        </w:tc>
        <w:tc>
          <w:tcPr>
            <w:tcW w:w="1139" w:type="dxa"/>
            <w:vAlign w:val="center"/>
          </w:tcPr>
          <w:p w14:paraId="3F5A47D0">
            <w:pPr>
              <w:spacing w:line="400" w:lineRule="exact"/>
              <w:jc w:val="center"/>
              <w:rPr>
                <w:rFonts w:hint="eastAsia" w:ascii="宋体" w:hAnsi="宋体" w:cs="宋体"/>
                <w:szCs w:val="21"/>
              </w:rPr>
            </w:pPr>
            <w:r>
              <w:rPr>
                <w:rFonts w:hint="eastAsia" w:ascii="宋体" w:hAnsi="宋体" w:cs="宋体"/>
                <w:szCs w:val="21"/>
              </w:rPr>
              <w:t>2分</w:t>
            </w:r>
          </w:p>
        </w:tc>
        <w:tc>
          <w:tcPr>
            <w:tcW w:w="6409" w:type="dxa"/>
            <w:vAlign w:val="center"/>
          </w:tcPr>
          <w:p w14:paraId="080BB59C">
            <w:pPr>
              <w:pStyle w:val="2"/>
              <w:spacing w:line="400" w:lineRule="exact"/>
              <w:rPr>
                <w:rFonts w:hint="eastAsia" w:ascii="宋体" w:hAnsi="宋体" w:cs="宋体"/>
                <w:sz w:val="21"/>
                <w:szCs w:val="21"/>
              </w:rPr>
            </w:pPr>
            <w:r>
              <w:rPr>
                <w:rFonts w:hint="eastAsia" w:ascii="宋体" w:hAnsi="宋体" w:cs="宋体"/>
                <w:sz w:val="21"/>
                <w:szCs w:val="21"/>
              </w:rPr>
              <w:t>供应商具备ISO9001质量管理体系认证的得2分，满分2分。</w:t>
            </w:r>
          </w:p>
          <w:p w14:paraId="30BEDB95">
            <w:pPr>
              <w:pStyle w:val="2"/>
              <w:spacing w:line="400" w:lineRule="exact"/>
              <w:rPr>
                <w:rFonts w:hint="eastAsia" w:ascii="宋体" w:hAnsi="宋体" w:cs="宋体"/>
                <w:sz w:val="21"/>
                <w:szCs w:val="21"/>
              </w:rPr>
            </w:pPr>
            <w:r>
              <w:rPr>
                <w:rFonts w:hint="eastAsia" w:ascii="宋体" w:hAnsi="宋体" w:cs="宋体"/>
                <w:b/>
                <w:bCs/>
                <w:sz w:val="21"/>
                <w:szCs w:val="21"/>
              </w:rPr>
              <w:t>注：提供相关证书复印件并加盖公章，证书应能体现投标产品名称，承诺书加盖公章原件，并经评标委员会认可为准，否则不得分。</w:t>
            </w:r>
          </w:p>
        </w:tc>
      </w:tr>
      <w:tr w14:paraId="1806B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1971D7E0">
            <w:pPr>
              <w:spacing w:line="400" w:lineRule="exact"/>
              <w:jc w:val="center"/>
              <w:rPr>
                <w:rFonts w:hint="eastAsia" w:ascii="宋体" w:hAnsi="宋体" w:cs="宋体"/>
                <w:b/>
                <w:bCs/>
                <w:szCs w:val="21"/>
              </w:rPr>
            </w:pPr>
            <w:r>
              <w:rPr>
                <w:rFonts w:hint="eastAsia" w:ascii="宋体" w:hAnsi="宋体" w:cs="宋体"/>
                <w:szCs w:val="21"/>
              </w:rPr>
              <w:t>业绩分</w:t>
            </w:r>
          </w:p>
        </w:tc>
        <w:tc>
          <w:tcPr>
            <w:tcW w:w="1139" w:type="dxa"/>
            <w:vAlign w:val="center"/>
          </w:tcPr>
          <w:p w14:paraId="56F69D54">
            <w:pPr>
              <w:spacing w:line="400" w:lineRule="exact"/>
              <w:jc w:val="center"/>
              <w:rPr>
                <w:rFonts w:hint="eastAsia" w:ascii="宋体" w:hAnsi="宋体" w:cs="宋体"/>
                <w:szCs w:val="21"/>
              </w:rPr>
            </w:pPr>
            <w:r>
              <w:rPr>
                <w:rFonts w:hint="eastAsia" w:ascii="宋体" w:hAnsi="宋体" w:cs="宋体"/>
                <w:szCs w:val="21"/>
              </w:rPr>
              <w:t>10分</w:t>
            </w:r>
          </w:p>
        </w:tc>
        <w:tc>
          <w:tcPr>
            <w:tcW w:w="6409" w:type="dxa"/>
            <w:vAlign w:val="center"/>
          </w:tcPr>
          <w:p w14:paraId="7948945E">
            <w:pPr>
              <w:spacing w:line="400" w:lineRule="exact"/>
              <w:rPr>
                <w:rFonts w:hint="eastAsia" w:ascii="宋体" w:hAnsi="宋体" w:cs="宋体"/>
                <w:szCs w:val="21"/>
              </w:rPr>
            </w:pPr>
            <w:r>
              <w:rPr>
                <w:rFonts w:hint="eastAsia" w:ascii="宋体" w:hAnsi="宋体" w:cs="宋体"/>
                <w:szCs w:val="21"/>
              </w:rPr>
              <w:t>投标人提供2022年1月1日至今</w:t>
            </w:r>
            <w:bookmarkStart w:id="171" w:name="OLE_LINK1"/>
            <w:r>
              <w:rPr>
                <w:rFonts w:hint="eastAsia" w:ascii="宋体" w:hAnsi="宋体" w:cs="宋体"/>
                <w:szCs w:val="21"/>
                <w:lang w:eastAsia="zh-CN"/>
              </w:rPr>
              <w:t>，投标人承担过的</w:t>
            </w:r>
            <w:r>
              <w:rPr>
                <w:rFonts w:hint="eastAsia" w:ascii="宋体" w:hAnsi="宋体" w:cs="宋体"/>
                <w:szCs w:val="21"/>
              </w:rPr>
              <w:t>国产技术栈</w:t>
            </w:r>
            <w:bookmarkEnd w:id="171"/>
            <w:r>
              <w:rPr>
                <w:rFonts w:hint="eastAsia" w:ascii="宋体" w:hAnsi="宋体" w:cs="宋体"/>
                <w:szCs w:val="21"/>
              </w:rPr>
              <w:t>办公平台等项目业绩，每提供1个得2分，满分10分。</w:t>
            </w:r>
          </w:p>
          <w:p w14:paraId="5C01BD08">
            <w:pPr>
              <w:spacing w:line="400" w:lineRule="exact"/>
              <w:rPr>
                <w:rFonts w:hint="eastAsia" w:ascii="宋体" w:hAnsi="宋体" w:cs="宋体"/>
                <w:szCs w:val="21"/>
              </w:rPr>
            </w:pPr>
            <w:r>
              <w:rPr>
                <w:rFonts w:hint="eastAsia" w:ascii="宋体" w:hAnsi="宋体" w:cs="宋体"/>
                <w:b/>
                <w:bCs/>
                <w:szCs w:val="21"/>
              </w:rPr>
              <w:t>注：提供相关证明材料并加盖公章，证明材料复印件（中标通知书或项目合同或验收报告或其他履行合同或政府指令委托文件）须能体现工作内容等，如无法体现，另附业主证明等相关证明材料体现工作内容，并经评标委员会认可为准，否则不得分。</w:t>
            </w:r>
          </w:p>
        </w:tc>
      </w:tr>
      <w:tr w14:paraId="1B441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13F46F73">
            <w:pPr>
              <w:spacing w:line="400" w:lineRule="exact"/>
              <w:rPr>
                <w:rFonts w:hint="eastAsia" w:ascii="宋体" w:hAnsi="宋体" w:cs="宋体"/>
                <w:szCs w:val="21"/>
              </w:rPr>
            </w:pPr>
            <w:r>
              <w:rPr>
                <w:rFonts w:hint="eastAsia" w:ascii="宋体" w:hAnsi="宋体" w:cs="宋体"/>
                <w:b/>
                <w:szCs w:val="21"/>
              </w:rPr>
              <w:t>总得分=</w:t>
            </w:r>
            <w:r>
              <w:rPr>
                <w:rFonts w:hint="eastAsia" w:ascii="宋体" w:hAnsi="宋体" w:cs="宋体"/>
                <w:b/>
                <w:bCs/>
                <w:szCs w:val="21"/>
              </w:rPr>
              <w:t>（一）</w:t>
            </w:r>
            <w:r>
              <w:rPr>
                <w:rFonts w:hint="eastAsia" w:ascii="宋体" w:hAnsi="宋体" w:cs="宋体"/>
                <w:b/>
                <w:szCs w:val="21"/>
              </w:rPr>
              <w:t>+</w:t>
            </w:r>
            <w:r>
              <w:rPr>
                <w:rFonts w:hint="eastAsia" w:ascii="宋体" w:hAnsi="宋体" w:cs="宋体"/>
                <w:b/>
                <w:bCs/>
                <w:szCs w:val="21"/>
              </w:rPr>
              <w:t>（二）</w:t>
            </w:r>
            <w:r>
              <w:rPr>
                <w:rFonts w:hint="eastAsia" w:ascii="宋体" w:hAnsi="宋体" w:cs="宋体"/>
                <w:b/>
                <w:szCs w:val="21"/>
              </w:rPr>
              <w:t>+</w:t>
            </w:r>
            <w:r>
              <w:rPr>
                <w:rFonts w:hint="eastAsia" w:ascii="宋体" w:hAnsi="宋体" w:cs="宋体"/>
                <w:b/>
                <w:bCs/>
                <w:szCs w:val="21"/>
              </w:rPr>
              <w:t>（三）</w:t>
            </w:r>
          </w:p>
        </w:tc>
      </w:tr>
      <w:tr w14:paraId="0BEFF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16" w:type="dxa"/>
            <w:gridSpan w:val="3"/>
            <w:vAlign w:val="center"/>
          </w:tcPr>
          <w:p w14:paraId="5090177C">
            <w:pPr>
              <w:spacing w:line="400" w:lineRule="exact"/>
              <w:rPr>
                <w:rFonts w:hint="eastAsia" w:ascii="宋体" w:hAnsi="宋体" w:cs="宋体"/>
                <w:b/>
                <w:szCs w:val="21"/>
              </w:rPr>
            </w:pPr>
            <w:r>
              <w:rPr>
                <w:rFonts w:hint="eastAsia" w:ascii="宋体" w:hAnsi="宋体" w:cs="宋体"/>
                <w:b/>
                <w:szCs w:val="21"/>
              </w:rPr>
              <w:t>分标3（C分标）不接受联合体投标，投标人可以参与一个分标也可以参与多个分标竞标，但为了确保服务的进度及质量，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p>
        </w:tc>
      </w:tr>
    </w:tbl>
    <w:p w14:paraId="6F64CBBE">
      <w:pPr>
        <w:rPr>
          <w:rFonts w:hint="eastAsia" w:ascii="宋体" w:hAnsi="宋体"/>
          <w:szCs w:val="21"/>
        </w:rPr>
      </w:pPr>
    </w:p>
    <w:p w14:paraId="3B3F2ADD">
      <w:pPr>
        <w:rPr>
          <w:rFonts w:hint="eastAsia" w:ascii="宋体" w:hAnsi="宋体"/>
          <w:szCs w:val="21"/>
        </w:rPr>
      </w:pPr>
      <w:r>
        <w:rPr>
          <w:rFonts w:hint="eastAsia" w:ascii="宋体" w:hAnsi="宋体"/>
          <w:szCs w:val="21"/>
        </w:rPr>
        <w:br w:type="page"/>
      </w:r>
    </w:p>
    <w:p w14:paraId="5CCCE817">
      <w:pPr>
        <w:pStyle w:val="5"/>
        <w:spacing w:line="400" w:lineRule="exact"/>
        <w:jc w:val="left"/>
        <w:rPr>
          <w:rFonts w:hint="eastAsia" w:ascii="宋体" w:hAnsi="宋体" w:eastAsia="宋体"/>
          <w:sz w:val="21"/>
          <w:szCs w:val="21"/>
        </w:rPr>
      </w:pPr>
      <w:r>
        <w:rPr>
          <w:rFonts w:hint="eastAsia" w:ascii="宋体" w:hAnsi="宋体" w:eastAsia="宋体"/>
          <w:sz w:val="21"/>
          <w:szCs w:val="21"/>
        </w:rPr>
        <w:t>4.分标4（</w:t>
      </w:r>
      <w:r>
        <w:rPr>
          <w:rFonts w:hint="eastAsia" w:ascii="仿宋" w:hAnsi="仿宋" w:eastAsia="仿宋" w:cs="仿宋"/>
          <w:sz w:val="24"/>
        </w:rPr>
        <w:t>D分标</w:t>
      </w:r>
      <w:r>
        <w:rPr>
          <w:rFonts w:hint="eastAsia" w:ascii="宋体" w:hAnsi="宋体" w:eastAsia="宋体"/>
          <w:sz w:val="21"/>
          <w:szCs w:val="21"/>
        </w:rPr>
        <w:t>）</w:t>
      </w:r>
      <w:r>
        <w:rPr>
          <w:rFonts w:hint="eastAsia" w:hAnsi="宋体" w:cs="宋体"/>
          <w:sz w:val="21"/>
        </w:rPr>
        <w:t>评分标准：</w:t>
      </w:r>
    </w:p>
    <w:tbl>
      <w:tblPr>
        <w:tblStyle w:val="18"/>
        <w:tblW w:w="88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8"/>
        <w:gridCol w:w="1139"/>
        <w:gridCol w:w="6756"/>
      </w:tblGrid>
      <w:tr w14:paraId="42176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11832767">
            <w:pPr>
              <w:spacing w:line="400" w:lineRule="exact"/>
              <w:jc w:val="center"/>
              <w:rPr>
                <w:rFonts w:hint="eastAsia" w:ascii="宋体" w:hAnsi="宋体" w:cs="宋体"/>
                <w:b/>
                <w:bCs/>
                <w:szCs w:val="21"/>
              </w:rPr>
            </w:pPr>
            <w:r>
              <w:rPr>
                <w:rFonts w:hint="eastAsia" w:ascii="宋体" w:hAnsi="宋体" w:cs="宋体"/>
                <w:b/>
                <w:bCs/>
                <w:szCs w:val="21"/>
              </w:rPr>
              <w:t>评标项目</w:t>
            </w:r>
          </w:p>
        </w:tc>
        <w:tc>
          <w:tcPr>
            <w:tcW w:w="1139" w:type="dxa"/>
            <w:vAlign w:val="center"/>
          </w:tcPr>
          <w:p w14:paraId="0B01018E">
            <w:pPr>
              <w:spacing w:line="400" w:lineRule="exact"/>
              <w:jc w:val="center"/>
              <w:rPr>
                <w:rFonts w:hint="eastAsia" w:ascii="宋体" w:hAnsi="宋体" w:cs="宋体"/>
                <w:b/>
                <w:bCs/>
                <w:szCs w:val="21"/>
              </w:rPr>
            </w:pPr>
            <w:r>
              <w:rPr>
                <w:rFonts w:hint="eastAsia" w:ascii="宋体" w:hAnsi="宋体" w:cs="宋体"/>
                <w:b/>
                <w:bCs/>
                <w:szCs w:val="21"/>
              </w:rPr>
              <w:t>评标</w:t>
            </w:r>
          </w:p>
          <w:p w14:paraId="5594E0F8">
            <w:pPr>
              <w:spacing w:line="400" w:lineRule="exact"/>
              <w:jc w:val="center"/>
              <w:rPr>
                <w:rFonts w:hint="eastAsia" w:ascii="宋体" w:hAnsi="宋体" w:cs="宋体"/>
                <w:b/>
                <w:bCs/>
                <w:szCs w:val="21"/>
              </w:rPr>
            </w:pPr>
            <w:r>
              <w:rPr>
                <w:rFonts w:hint="eastAsia" w:ascii="宋体" w:hAnsi="宋体" w:cs="宋体"/>
                <w:b/>
                <w:bCs/>
                <w:szCs w:val="21"/>
              </w:rPr>
              <w:t>分值</w:t>
            </w:r>
          </w:p>
        </w:tc>
        <w:tc>
          <w:tcPr>
            <w:tcW w:w="6756" w:type="dxa"/>
            <w:vAlign w:val="center"/>
          </w:tcPr>
          <w:p w14:paraId="7BB61BF8">
            <w:pPr>
              <w:spacing w:line="400" w:lineRule="exact"/>
              <w:jc w:val="center"/>
              <w:rPr>
                <w:rFonts w:hint="eastAsia" w:ascii="宋体" w:hAnsi="宋体" w:cs="宋体"/>
                <w:b/>
                <w:bCs/>
                <w:szCs w:val="21"/>
              </w:rPr>
            </w:pPr>
            <w:r>
              <w:rPr>
                <w:rFonts w:hint="eastAsia" w:ascii="宋体" w:hAnsi="宋体" w:cs="宋体"/>
                <w:b/>
                <w:bCs/>
                <w:szCs w:val="21"/>
              </w:rPr>
              <w:t>评标方法描述</w:t>
            </w:r>
          </w:p>
        </w:tc>
      </w:tr>
      <w:tr w14:paraId="51325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8863" w:type="dxa"/>
            <w:gridSpan w:val="3"/>
            <w:vAlign w:val="center"/>
          </w:tcPr>
          <w:p w14:paraId="79EE7D0C">
            <w:pPr>
              <w:spacing w:line="400" w:lineRule="exact"/>
              <w:jc w:val="center"/>
              <w:rPr>
                <w:rFonts w:hint="eastAsia" w:ascii="宋体" w:hAnsi="宋体" w:cs="宋体"/>
                <w:szCs w:val="21"/>
              </w:rPr>
            </w:pPr>
            <w:r>
              <w:rPr>
                <w:rFonts w:hint="eastAsia" w:ascii="宋体" w:hAnsi="宋体" w:cs="宋体"/>
                <w:b/>
                <w:bCs/>
                <w:szCs w:val="21"/>
              </w:rPr>
              <w:t>（一）价格分（满分10分）</w:t>
            </w:r>
          </w:p>
        </w:tc>
      </w:tr>
      <w:tr w14:paraId="3FCCE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2CDF679F">
            <w:pPr>
              <w:spacing w:line="400" w:lineRule="exact"/>
              <w:jc w:val="center"/>
              <w:rPr>
                <w:rFonts w:hint="eastAsia" w:ascii="宋体" w:hAnsi="宋体" w:cs="宋体"/>
                <w:szCs w:val="21"/>
              </w:rPr>
            </w:pPr>
            <w:r>
              <w:rPr>
                <w:rFonts w:hint="eastAsia" w:ascii="宋体" w:hAnsi="宋体" w:cs="宋体"/>
                <w:b/>
                <w:bCs/>
                <w:szCs w:val="21"/>
              </w:rPr>
              <w:t>投标报价</w:t>
            </w:r>
          </w:p>
        </w:tc>
        <w:tc>
          <w:tcPr>
            <w:tcW w:w="1139" w:type="dxa"/>
            <w:vAlign w:val="center"/>
          </w:tcPr>
          <w:p w14:paraId="50A0E2DB">
            <w:pPr>
              <w:spacing w:line="400" w:lineRule="exact"/>
              <w:jc w:val="center"/>
              <w:rPr>
                <w:rFonts w:hint="eastAsia" w:ascii="宋体" w:hAnsi="宋体" w:cs="宋体"/>
                <w:szCs w:val="21"/>
              </w:rPr>
            </w:pPr>
            <w:r>
              <w:rPr>
                <w:rFonts w:hint="eastAsia" w:ascii="宋体" w:hAnsi="宋体" w:cs="宋体"/>
                <w:szCs w:val="21"/>
              </w:rPr>
              <w:t>10分</w:t>
            </w:r>
          </w:p>
        </w:tc>
        <w:tc>
          <w:tcPr>
            <w:tcW w:w="6756" w:type="dxa"/>
            <w:vAlign w:val="center"/>
          </w:tcPr>
          <w:p w14:paraId="6FDD856E">
            <w:pPr>
              <w:spacing w:line="400" w:lineRule="exact"/>
              <w:rPr>
                <w:rFonts w:hint="eastAsia" w:ascii="宋体" w:hAnsi="宋体" w:cs="宋体"/>
                <w:szCs w:val="21"/>
              </w:rPr>
            </w:pPr>
            <w:r>
              <w:rPr>
                <w:rFonts w:hint="eastAsia" w:ascii="宋体" w:hAnsi="宋体" w:cs="宋体"/>
                <w:szCs w:val="21"/>
              </w:rPr>
              <w:t>（1）评标报价为投标人的投标报价进行政策性扣除后的价格，评标报价只是作为评标时使用。最终中标人的中标金额等于投标报价。</w:t>
            </w:r>
          </w:p>
          <w:p w14:paraId="4935D93B">
            <w:pPr>
              <w:spacing w:line="400" w:lineRule="exact"/>
              <w:rPr>
                <w:rFonts w:hint="eastAsia" w:ascii="宋体" w:hAnsi="宋体" w:cs="宋体"/>
                <w:szCs w:val="21"/>
              </w:rPr>
            </w:pPr>
            <w:r>
              <w:rPr>
                <w:rFonts w:hint="eastAsia" w:ascii="宋体" w:hAnsi="宋体" w:cs="宋体"/>
                <w:szCs w:val="21"/>
              </w:rPr>
              <w:t>（2）按照《政府采购促进中小企业发展管理办法》（财库〔2020〕46号）的规定，投标人在其投标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14:paraId="0DEDFA98">
            <w:pPr>
              <w:spacing w:line="400" w:lineRule="exact"/>
              <w:rPr>
                <w:rFonts w:hint="eastAsia" w:ascii="宋体" w:hAnsi="宋体" w:cs="宋体"/>
                <w:szCs w:val="21"/>
              </w:rPr>
            </w:pPr>
            <w:r>
              <w:rPr>
                <w:rFonts w:hint="eastAsia" w:ascii="宋体" w:hAnsi="宋体" w:cs="宋体"/>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544248CB">
            <w:pPr>
              <w:spacing w:line="400" w:lineRule="exact"/>
              <w:rPr>
                <w:rFonts w:hint="eastAsia" w:ascii="宋体" w:hAnsi="宋体" w:cs="宋体"/>
                <w:szCs w:val="21"/>
              </w:rPr>
            </w:pPr>
            <w:r>
              <w:rPr>
                <w:rFonts w:hint="eastAsia" w:ascii="宋体" w:hAnsi="宋体" w:cs="宋体"/>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E03D15C">
            <w:pPr>
              <w:spacing w:line="400" w:lineRule="exact"/>
              <w:rPr>
                <w:rFonts w:hint="eastAsia" w:ascii="宋体" w:hAnsi="宋体" w:cs="宋体"/>
                <w:szCs w:val="21"/>
              </w:rPr>
            </w:pPr>
            <w:r>
              <w:rPr>
                <w:rFonts w:hint="eastAsia" w:ascii="宋体" w:hAnsi="宋体" w:cs="宋体"/>
                <w:szCs w:val="21"/>
              </w:rPr>
              <w:t>（5）政策性扣除计算方法。</w:t>
            </w:r>
          </w:p>
          <w:p w14:paraId="0EFDA354">
            <w:pPr>
              <w:spacing w:line="400" w:lineRule="exact"/>
              <w:rPr>
                <w:rFonts w:hint="eastAsia" w:ascii="宋体" w:hAnsi="宋体" w:cs="宋体"/>
                <w:szCs w:val="21"/>
              </w:rPr>
            </w:pPr>
            <w:r>
              <w:rPr>
                <w:rFonts w:hint="eastAsia" w:ascii="宋体" w:hAnsi="宋体" w:cs="宋体"/>
                <w:szCs w:val="21"/>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投标报价×（1-4%）。除上述情况外，评标报价=投标报价。</w:t>
            </w:r>
          </w:p>
          <w:p w14:paraId="7166F23D">
            <w:pPr>
              <w:spacing w:line="400" w:lineRule="exact"/>
              <w:rPr>
                <w:rFonts w:hint="eastAsia" w:ascii="宋体" w:hAnsi="宋体" w:cs="宋体"/>
                <w:szCs w:val="21"/>
              </w:rPr>
            </w:pPr>
            <w:r>
              <w:rPr>
                <w:rFonts w:hint="eastAsia" w:ascii="宋体" w:hAnsi="宋体" w:cs="宋体"/>
                <w:szCs w:val="21"/>
              </w:rPr>
              <w:t>（6）满足招标文件要求且评标报价最低的评标报价为评标基准价，其价格分为满分。</w:t>
            </w:r>
          </w:p>
          <w:p w14:paraId="4379F8D6">
            <w:pPr>
              <w:spacing w:line="400" w:lineRule="exact"/>
              <w:rPr>
                <w:rFonts w:hint="eastAsia" w:ascii="宋体" w:hAnsi="宋体" w:cs="宋体"/>
                <w:szCs w:val="21"/>
              </w:rPr>
            </w:pPr>
            <w:r>
              <w:rPr>
                <w:rFonts w:hint="eastAsia" w:ascii="宋体" w:hAnsi="宋体" w:cs="宋体"/>
                <w:szCs w:val="21"/>
              </w:rPr>
              <w:t>（7）价格分计算公式：</w:t>
            </w:r>
          </w:p>
          <w:p w14:paraId="0302C80C">
            <w:pPr>
              <w:spacing w:line="400" w:lineRule="exact"/>
              <w:rPr>
                <w:rFonts w:hint="eastAsia" w:ascii="宋体" w:hAnsi="宋体" w:cs="宋体"/>
                <w:szCs w:val="21"/>
              </w:rPr>
            </w:pPr>
            <w:r>
              <w:rPr>
                <w:rFonts w:hint="eastAsia" w:ascii="宋体" w:hAnsi="宋体" w:cs="宋体"/>
                <w:szCs w:val="21"/>
              </w:rPr>
              <w:t>价格分=(评标基准价／评标报价)×10分。</w:t>
            </w:r>
          </w:p>
          <w:p w14:paraId="45D0DA19">
            <w:pPr>
              <w:spacing w:line="400" w:lineRule="exact"/>
              <w:rPr>
                <w:rFonts w:hint="eastAsia" w:ascii="宋体" w:hAnsi="宋体" w:cs="宋体"/>
                <w:szCs w:val="21"/>
              </w:rPr>
            </w:pPr>
            <w:r>
              <w:rPr>
                <w:rFonts w:hint="eastAsia" w:ascii="宋体" w:hAnsi="宋体" w:cs="宋体"/>
                <w:szCs w:val="21"/>
              </w:rPr>
              <w:t>（8）异常低价说明</w:t>
            </w:r>
          </w:p>
          <w:p w14:paraId="07ECD60A">
            <w:pPr>
              <w:spacing w:line="400" w:lineRule="exact"/>
              <w:rPr>
                <w:rFonts w:hint="eastAsia" w:ascii="宋体" w:hAnsi="宋体" w:cs="宋体"/>
                <w:szCs w:val="21"/>
              </w:rPr>
            </w:pPr>
            <w:r>
              <w:rPr>
                <w:rFonts w:hint="eastAsia" w:ascii="宋体" w:hAnsi="宋体" w:cs="宋体"/>
                <w:szCs w:val="21"/>
              </w:rPr>
              <w:t xml:space="preserve">     1）根据《关于推动解决政府采购异常低价问题的通知》财库〔2026〕2号要求，政府采购评审中出现下列情形之一的，评审委员会应当启动异常低价响应审查程序：</w:t>
            </w:r>
          </w:p>
          <w:p w14:paraId="46C1100A">
            <w:pPr>
              <w:spacing w:line="400" w:lineRule="exact"/>
              <w:rPr>
                <w:rFonts w:hint="eastAsia" w:ascii="宋体" w:hAnsi="宋体" w:cs="宋体"/>
                <w:szCs w:val="21"/>
              </w:rPr>
            </w:pPr>
            <w:r>
              <w:rPr>
                <w:rFonts w:hint="eastAsia" w:ascii="宋体" w:hAnsi="宋体" w:cs="宋体"/>
                <w:szCs w:val="21"/>
              </w:rPr>
              <w:t>①响应报价低于全部通过符合性审查供应商响应报价平均值50%的，即响应报价&lt;全部通过符合性审查供应商响应报价平均值×50%；</w:t>
            </w:r>
          </w:p>
          <w:p w14:paraId="1F5BC415">
            <w:pPr>
              <w:spacing w:line="400" w:lineRule="exact"/>
              <w:rPr>
                <w:rFonts w:hint="eastAsia" w:ascii="宋体" w:hAnsi="宋体" w:cs="宋体"/>
                <w:szCs w:val="21"/>
              </w:rPr>
            </w:pPr>
            <w:r>
              <w:rPr>
                <w:rFonts w:hint="eastAsia" w:ascii="宋体" w:hAnsi="宋体" w:cs="宋体"/>
                <w:szCs w:val="21"/>
              </w:rPr>
              <w:t>②响应报价低于通过符合性审查的次低报价供应商响应报价50%的，即响应报价&lt;通过符合性审查的次低报价供应商投标（响应）报价×50%；</w:t>
            </w:r>
          </w:p>
          <w:p w14:paraId="2CFAF98F">
            <w:pPr>
              <w:spacing w:line="400" w:lineRule="exact"/>
              <w:rPr>
                <w:rFonts w:hint="eastAsia" w:ascii="宋体" w:hAnsi="宋体" w:cs="宋体"/>
                <w:szCs w:val="21"/>
              </w:rPr>
            </w:pPr>
            <w:r>
              <w:rPr>
                <w:rFonts w:hint="eastAsia" w:ascii="宋体" w:hAnsi="宋体" w:cs="宋体"/>
                <w:szCs w:val="21"/>
              </w:rPr>
              <w:t>③响应报价低于采购项目最高限价45%的，即响应报价&lt;采购项目最高限价×45%；</w:t>
            </w:r>
          </w:p>
          <w:p w14:paraId="00AF8ECE">
            <w:pPr>
              <w:spacing w:line="400" w:lineRule="exact"/>
              <w:rPr>
                <w:rFonts w:hint="eastAsia" w:ascii="宋体" w:hAnsi="宋体" w:cs="宋体"/>
                <w:szCs w:val="21"/>
              </w:rPr>
            </w:pPr>
            <w:r>
              <w:rPr>
                <w:rFonts w:hint="eastAsia" w:ascii="宋体" w:hAnsi="宋体" w:cs="宋体"/>
                <w:szCs w:val="21"/>
              </w:rPr>
              <w:t>④评审委员会基于专业判断，认为供应商报价过低，有可能影响产品质量或者不能诚信履约的其他情形。</w:t>
            </w:r>
          </w:p>
          <w:p w14:paraId="08E59AA3">
            <w:pPr>
              <w:spacing w:line="400" w:lineRule="exact"/>
              <w:rPr>
                <w:rFonts w:hint="eastAsia" w:ascii="宋体" w:hAnsi="宋体" w:cs="宋体"/>
                <w:szCs w:val="21"/>
              </w:rPr>
            </w:pPr>
            <w:r>
              <w:rPr>
                <w:rFonts w:hint="eastAsia" w:ascii="宋体" w:hAnsi="宋体" w:cs="宋体"/>
                <w:szCs w:val="21"/>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0FD51F9A">
            <w:pPr>
              <w:spacing w:line="400" w:lineRule="exact"/>
              <w:rPr>
                <w:rFonts w:hint="eastAsia" w:ascii="宋体" w:hAnsi="宋体" w:cs="宋体"/>
                <w:szCs w:val="21"/>
              </w:rPr>
            </w:pPr>
            <w:r>
              <w:rPr>
                <w:rFonts w:hint="eastAsia" w:ascii="宋体" w:hAnsi="宋体" w:cs="宋体"/>
                <w:szCs w:val="21"/>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0DAD4216">
            <w:pPr>
              <w:spacing w:line="400" w:lineRule="exact"/>
              <w:rPr>
                <w:rFonts w:hint="eastAsia" w:ascii="宋体" w:hAnsi="宋体" w:cs="宋体"/>
                <w:szCs w:val="21"/>
              </w:rPr>
            </w:pPr>
            <w:r>
              <w:rPr>
                <w:rFonts w:hint="eastAsia" w:ascii="宋体" w:hAnsi="宋体" w:cs="宋体"/>
                <w:szCs w:val="21"/>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3AFCF52B">
            <w:pPr>
              <w:spacing w:line="400" w:lineRule="exact"/>
              <w:rPr>
                <w:rFonts w:hint="eastAsia" w:ascii="宋体" w:hAnsi="宋体" w:cs="宋体"/>
                <w:szCs w:val="21"/>
              </w:rPr>
            </w:pPr>
            <w:r>
              <w:rPr>
                <w:rFonts w:hint="eastAsia" w:ascii="宋体" w:hAnsi="宋体" w:cs="宋体"/>
                <w:szCs w:val="21"/>
              </w:rPr>
              <w:t>　　5）异常低价投标（响应）审查的启动原因、审查意见和审查结果应当在评审报告中记录，并随供应商提供的相关书面说明及证明材料，以及评审委员会有关互联网浏览、查询历史一并归档。</w:t>
            </w:r>
          </w:p>
        </w:tc>
      </w:tr>
      <w:tr w14:paraId="4215F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63" w:type="dxa"/>
            <w:gridSpan w:val="3"/>
            <w:vAlign w:val="center"/>
          </w:tcPr>
          <w:p w14:paraId="2413EAA8">
            <w:pPr>
              <w:spacing w:line="400" w:lineRule="exact"/>
              <w:jc w:val="center"/>
              <w:rPr>
                <w:rFonts w:hint="eastAsia" w:ascii="宋体" w:hAnsi="宋体" w:cs="宋体"/>
                <w:szCs w:val="21"/>
              </w:rPr>
            </w:pPr>
            <w:r>
              <w:rPr>
                <w:rFonts w:hint="eastAsia" w:ascii="宋体" w:hAnsi="宋体" w:cs="宋体"/>
                <w:b/>
                <w:bCs/>
                <w:szCs w:val="21"/>
              </w:rPr>
              <w:t>（二）技术分（满分</w:t>
            </w:r>
            <w:r>
              <w:rPr>
                <w:rFonts w:ascii="宋体" w:hAnsi="宋体" w:cs="宋体"/>
                <w:b/>
                <w:bCs/>
                <w:szCs w:val="21"/>
              </w:rPr>
              <w:t>76</w:t>
            </w:r>
            <w:r>
              <w:rPr>
                <w:rFonts w:hint="eastAsia" w:ascii="宋体" w:hAnsi="宋体" w:cs="宋体"/>
                <w:b/>
                <w:bCs/>
                <w:szCs w:val="21"/>
              </w:rPr>
              <w:t>分）</w:t>
            </w:r>
          </w:p>
        </w:tc>
      </w:tr>
      <w:tr w14:paraId="02943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35A28967">
            <w:pPr>
              <w:spacing w:line="400" w:lineRule="exact"/>
              <w:jc w:val="center"/>
              <w:rPr>
                <w:rFonts w:hint="eastAsia" w:ascii="宋体" w:hAnsi="宋体" w:cs="宋体"/>
                <w:szCs w:val="21"/>
              </w:rPr>
            </w:pPr>
            <w:r>
              <w:rPr>
                <w:rFonts w:hint="eastAsia" w:ascii="宋体" w:hAnsi="宋体" w:cs="宋体"/>
                <w:szCs w:val="21"/>
              </w:rPr>
              <w:t>项目技术方案分</w:t>
            </w:r>
          </w:p>
        </w:tc>
        <w:tc>
          <w:tcPr>
            <w:tcW w:w="1139" w:type="dxa"/>
            <w:vAlign w:val="center"/>
          </w:tcPr>
          <w:p w14:paraId="092E4993">
            <w:pPr>
              <w:spacing w:line="400" w:lineRule="exact"/>
              <w:jc w:val="center"/>
              <w:rPr>
                <w:rFonts w:hint="eastAsia" w:ascii="宋体" w:hAnsi="宋体" w:cs="宋体"/>
                <w:szCs w:val="21"/>
              </w:rPr>
            </w:pPr>
            <w:r>
              <w:rPr>
                <w:rFonts w:hint="eastAsia" w:ascii="宋体" w:hAnsi="宋体" w:cs="宋体"/>
                <w:szCs w:val="21"/>
              </w:rPr>
              <w:t>30分</w:t>
            </w:r>
          </w:p>
        </w:tc>
        <w:tc>
          <w:tcPr>
            <w:tcW w:w="6756" w:type="dxa"/>
            <w:vAlign w:val="center"/>
          </w:tcPr>
          <w:p w14:paraId="131BD33D">
            <w:pPr>
              <w:spacing w:line="400" w:lineRule="exact"/>
              <w:rPr>
                <w:rFonts w:hint="eastAsia" w:ascii="宋体" w:hAnsi="宋体" w:cs="宋体"/>
                <w:szCs w:val="21"/>
              </w:rPr>
            </w:pPr>
            <w:r>
              <w:rPr>
                <w:rFonts w:hint="eastAsia" w:ascii="宋体" w:hAnsi="宋体" w:cs="宋体"/>
                <w:szCs w:val="21"/>
              </w:rPr>
              <w:t>由评标委员会在打分前根据供应商的技术方案评定打分。</w:t>
            </w:r>
          </w:p>
          <w:p w14:paraId="3F123F61">
            <w:pPr>
              <w:spacing w:line="400" w:lineRule="exact"/>
              <w:rPr>
                <w:rFonts w:hint="eastAsia" w:ascii="宋体" w:hAnsi="宋体" w:cs="宋体"/>
                <w:szCs w:val="21"/>
              </w:rPr>
            </w:pPr>
            <w:r>
              <w:rPr>
                <w:rFonts w:hint="eastAsia" w:ascii="宋体" w:hAnsi="宋体" w:cs="宋体"/>
                <w:szCs w:val="21"/>
              </w:rPr>
              <w:t>一档（6分）：对采购文件所要求的总体服务范围及内容理解不全面，方案描述较简单，方案内容部分响应采购需求。</w:t>
            </w:r>
          </w:p>
          <w:p w14:paraId="1B7F8396">
            <w:pPr>
              <w:spacing w:line="400" w:lineRule="exact"/>
              <w:rPr>
                <w:rFonts w:hint="eastAsia" w:ascii="宋体" w:hAnsi="宋体" w:cs="宋体"/>
                <w:szCs w:val="21"/>
              </w:rPr>
            </w:pPr>
            <w:r>
              <w:rPr>
                <w:rFonts w:hint="eastAsia" w:ascii="宋体" w:hAnsi="宋体" w:cs="宋体"/>
                <w:szCs w:val="21"/>
              </w:rPr>
              <w:t>二档（12分）：对采购文件所要求的总体服务范围及内容理解不全面，方案描述简单，方案内容部分响应采购需求；整体技术方案合理，方案符合基本要求、表述清晰，所用产品性能基本满足要求。</w:t>
            </w:r>
          </w:p>
          <w:p w14:paraId="1D2A38D3">
            <w:pPr>
              <w:spacing w:line="400" w:lineRule="exact"/>
              <w:rPr>
                <w:rFonts w:hint="eastAsia" w:ascii="宋体" w:hAnsi="宋体" w:cs="宋体"/>
                <w:szCs w:val="21"/>
              </w:rPr>
            </w:pPr>
            <w:r>
              <w:rPr>
                <w:rFonts w:hint="eastAsia" w:ascii="宋体" w:hAnsi="宋体" w:cs="宋体"/>
                <w:szCs w:val="21"/>
              </w:rPr>
              <w:t>三档（18分）：对采购文件所要求的总体服务范围及内容基本理解，方案描述详细，方案内容基本响应采购需求；整体技术方案科学合理、表述清晰，软件开发、产品和技术方案满足采购需求而且科学合理，有明确的技术实现路线，满足技术要求的内容，方案思路清晰，兼容性强。</w:t>
            </w:r>
          </w:p>
          <w:p w14:paraId="1A8402A4">
            <w:pPr>
              <w:spacing w:line="400" w:lineRule="exact"/>
              <w:rPr>
                <w:rFonts w:hint="eastAsia" w:ascii="宋体" w:hAnsi="宋体" w:cs="宋体"/>
                <w:szCs w:val="21"/>
              </w:rPr>
            </w:pPr>
            <w:r>
              <w:rPr>
                <w:rFonts w:hint="eastAsia" w:ascii="宋体" w:hAnsi="宋体" w:cs="宋体"/>
                <w:szCs w:val="21"/>
              </w:rPr>
              <w:t>四档（24分）：对采购文件所要求的总体服务范围及内容理解全面，方案描述详细，方案内容完全响应采购需求；整体技术方案科学合理、表述清晰，各需求项的方案针对性强；对项目基本情况及建设目标把握准确，建设思路清晰，需求分析合理，技术路线成熟先进，总体架构逻辑清晰，系统功能设计全面完善。</w:t>
            </w:r>
          </w:p>
          <w:p w14:paraId="5B33DAAD">
            <w:pPr>
              <w:spacing w:line="400" w:lineRule="exact"/>
              <w:rPr>
                <w:rFonts w:hint="eastAsia" w:ascii="宋体" w:hAnsi="宋体" w:cs="宋体"/>
                <w:szCs w:val="21"/>
              </w:rPr>
            </w:pPr>
            <w:r>
              <w:rPr>
                <w:rFonts w:hint="eastAsia" w:ascii="宋体" w:hAnsi="宋体" w:cs="宋体"/>
                <w:szCs w:val="21"/>
              </w:rPr>
              <w:t>五档（30分）：对采购文件所要求的总体服务范围及内容理解全面，方案描述详细，方案内容完全响应采购需求；整体技术方案科学合理、表述清晰，各需求项的方案针对性强，对项目情况及建设目标把握准确，明确项目建设的必要性；整体项目建设思路清晰，需求分析合理，技术路线成熟先进，能提供项目的总体架构图且总体架构逻辑清晰，系统功能设计全面完善；对软件开发、产品和技术的总体要求层次清晰，对整体系统体系结构和应用功能描述详细。</w:t>
            </w:r>
          </w:p>
          <w:p w14:paraId="5ACF8A53">
            <w:pPr>
              <w:spacing w:line="400" w:lineRule="exact"/>
              <w:rPr>
                <w:rFonts w:hint="eastAsia" w:ascii="宋体" w:hAnsi="宋体" w:cs="宋体"/>
                <w:szCs w:val="21"/>
              </w:rPr>
            </w:pPr>
            <w:r>
              <w:rPr>
                <w:rFonts w:hint="eastAsia" w:ascii="宋体" w:hAnsi="宋体" w:cs="宋体"/>
                <w:b/>
                <w:bCs/>
                <w:szCs w:val="21"/>
              </w:rPr>
              <w:t>注：未提供方案或不符合最低入档条件的不得分。</w:t>
            </w:r>
          </w:p>
        </w:tc>
      </w:tr>
      <w:tr w14:paraId="785BA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2" w:hRule="atLeast"/>
          <w:jc w:val="center"/>
        </w:trPr>
        <w:tc>
          <w:tcPr>
            <w:tcW w:w="968" w:type="dxa"/>
            <w:vAlign w:val="center"/>
          </w:tcPr>
          <w:p w14:paraId="22B06A64">
            <w:pPr>
              <w:spacing w:line="400" w:lineRule="exact"/>
              <w:jc w:val="center"/>
              <w:rPr>
                <w:rFonts w:hint="eastAsia" w:ascii="宋体" w:hAnsi="宋体" w:cs="宋体"/>
                <w:szCs w:val="21"/>
              </w:rPr>
            </w:pPr>
            <w:r>
              <w:rPr>
                <w:rFonts w:hint="eastAsia" w:ascii="宋体" w:hAnsi="宋体" w:cs="宋体"/>
                <w:szCs w:val="21"/>
              </w:rPr>
              <w:t>实施能力分</w:t>
            </w:r>
          </w:p>
        </w:tc>
        <w:tc>
          <w:tcPr>
            <w:tcW w:w="1139" w:type="dxa"/>
            <w:vAlign w:val="center"/>
          </w:tcPr>
          <w:p w14:paraId="1BDB8B37">
            <w:pPr>
              <w:spacing w:line="400" w:lineRule="exact"/>
              <w:jc w:val="center"/>
              <w:rPr>
                <w:rFonts w:hint="eastAsia" w:ascii="宋体" w:hAnsi="宋体" w:cs="宋体"/>
                <w:szCs w:val="21"/>
              </w:rPr>
            </w:pPr>
            <w:r>
              <w:rPr>
                <w:rFonts w:hint="eastAsia" w:ascii="宋体" w:hAnsi="宋体" w:cs="宋体"/>
                <w:szCs w:val="21"/>
              </w:rPr>
              <w:t>14分</w:t>
            </w:r>
          </w:p>
        </w:tc>
        <w:tc>
          <w:tcPr>
            <w:tcW w:w="6756" w:type="dxa"/>
            <w:vAlign w:val="center"/>
          </w:tcPr>
          <w:p w14:paraId="193B9501">
            <w:pPr>
              <w:spacing w:line="400" w:lineRule="exact"/>
              <w:rPr>
                <w:rFonts w:hint="eastAsia" w:ascii="宋体" w:hAnsi="宋体" w:cs="宋体"/>
                <w:szCs w:val="21"/>
              </w:rPr>
            </w:pPr>
            <w:r>
              <w:rPr>
                <w:rFonts w:hint="eastAsia" w:ascii="宋体" w:hAnsi="宋体" w:cs="宋体"/>
                <w:szCs w:val="21"/>
              </w:rPr>
              <w:t>1.由评委在打分前根据供应商的实施方案评定打分，未提供方案或不符合最低入档条件的不得分。</w:t>
            </w:r>
          </w:p>
          <w:p w14:paraId="051AAC52">
            <w:pPr>
              <w:spacing w:line="400" w:lineRule="exact"/>
              <w:rPr>
                <w:rFonts w:hint="eastAsia" w:ascii="宋体" w:hAnsi="宋体" w:cs="宋体"/>
                <w:szCs w:val="21"/>
              </w:rPr>
            </w:pPr>
            <w:r>
              <w:rPr>
                <w:rFonts w:hint="eastAsia" w:ascii="宋体" w:hAnsi="宋体" w:cs="宋体"/>
                <w:szCs w:val="21"/>
              </w:rPr>
              <w:t>一档（5分）：提供了实施方案，实施方案内容简单，缺少一些关键点，方案存在漏洞，内容不清晰，不能完全满足采购需求。项目团队人员配备结构简单，项目负责人1名；团队人员不少于（不含项目负责人、技术负责人）4名。</w:t>
            </w:r>
          </w:p>
          <w:p w14:paraId="144E4753">
            <w:pPr>
              <w:spacing w:line="400" w:lineRule="exact"/>
              <w:rPr>
                <w:rFonts w:hint="eastAsia" w:ascii="宋体" w:hAnsi="宋体" w:cs="宋体"/>
                <w:szCs w:val="21"/>
              </w:rPr>
            </w:pPr>
            <w:r>
              <w:rPr>
                <w:rFonts w:hint="eastAsia" w:ascii="宋体" w:hAnsi="宋体" w:cs="宋体"/>
                <w:szCs w:val="21"/>
              </w:rPr>
              <w:t>二档（8分）：提供了实施方案，实施方案涵盖了大部分关键环节，清晰度、合理性和可行性基本满足采购需求。项目团队人员配备结构简单，项目负责人1名；团队人员不少于（不含项目负责人、技术负责人）8名，其中持有中国计算机技术与软件专业技术资格中级资格及以上证书或生态环境类中级职称及以上证书人数不少于2名。</w:t>
            </w:r>
          </w:p>
          <w:p w14:paraId="74B04137">
            <w:pPr>
              <w:spacing w:line="400" w:lineRule="exact"/>
              <w:rPr>
                <w:rFonts w:hint="eastAsia" w:ascii="宋体" w:hAnsi="宋体" w:cs="宋体"/>
                <w:szCs w:val="21"/>
              </w:rPr>
            </w:pPr>
            <w:r>
              <w:rPr>
                <w:rFonts w:hint="eastAsia" w:ascii="宋体" w:hAnsi="宋体" w:cs="宋体"/>
                <w:szCs w:val="21"/>
              </w:rPr>
              <w:t>三档（11分）：提供了实施方案，实施方案涵盖了业务流程、业务应用系统设计、设备建设等所有关键环节，每个环节描述较清晰。具有较高的合理性和可行性，能够满足项目实际需求但缺乏足够的细节和灵活性。</w:t>
            </w:r>
          </w:p>
          <w:p w14:paraId="2A38C156">
            <w:pPr>
              <w:spacing w:line="400" w:lineRule="exact"/>
              <w:rPr>
                <w:rFonts w:hint="eastAsia" w:ascii="宋体" w:hAnsi="宋体" w:cs="宋体"/>
                <w:szCs w:val="21"/>
              </w:rPr>
            </w:pPr>
            <w:r>
              <w:rPr>
                <w:rFonts w:hint="eastAsia" w:ascii="宋体" w:hAnsi="宋体" w:cs="宋体"/>
                <w:szCs w:val="21"/>
              </w:rPr>
              <w:t>项目团队人员配备结构基本齐全，配备有项目负责人1名；技术负责人1名；团队人员（不含项目负责人、技术负责人）不少于12名，其中持有中国计算机技术与软件专业技术资格中级资格及以上证书或生态环境类中级职称及以上证书人数不少于4名，持有中国计算机技术与软件专业技术资格高级资格及以上证书或生态环境类高级职称及以上证书人数不少于2名。项目负责人、技术负责人不可为同一个人。</w:t>
            </w:r>
          </w:p>
          <w:p w14:paraId="6785B767">
            <w:pPr>
              <w:spacing w:line="400" w:lineRule="exact"/>
              <w:rPr>
                <w:rFonts w:hint="eastAsia" w:ascii="宋体" w:hAnsi="宋体" w:cs="宋体"/>
                <w:szCs w:val="21"/>
              </w:rPr>
            </w:pPr>
            <w:r>
              <w:rPr>
                <w:rFonts w:hint="eastAsia" w:ascii="宋体" w:hAnsi="宋体" w:cs="宋体"/>
                <w:szCs w:val="21"/>
              </w:rPr>
              <w:t>四档（14分）：提供的实施方案涵盖了业务流程、业务应用系统设计、设备建设等所有关键环节，每个环节描述都非常清晰明了。具有高度的合理性和可行性，完全贴合采购需求，具有足够的细节和灵活性，确保项目能够按计划顺利实施并验收。项目团队人员配备结构齐全，配备有项目负责人1名；技术负责人1名；团队人员（不含项目负责人、技术负责人）不少于16名人员，其中持有中国计算机技术与软件专业技术资格中级资格及以上证书或生态环境类中级职称及以上证书人数不少于8名，持有中国计算机技术与软件专业技术资格高级资格及以上证书或生态环境类高级职称及以上证书人数不少于6名。项目负责人、技术负责人不可为同一个人。</w:t>
            </w:r>
          </w:p>
          <w:p w14:paraId="3C2D5214">
            <w:pPr>
              <w:spacing w:line="400" w:lineRule="exact"/>
              <w:rPr>
                <w:rFonts w:hint="eastAsia" w:ascii="宋体" w:hAnsi="宋体" w:cs="宋体"/>
                <w:b/>
                <w:bCs/>
                <w:szCs w:val="21"/>
              </w:rPr>
            </w:pPr>
            <w:r>
              <w:rPr>
                <w:rFonts w:hint="eastAsia" w:ascii="宋体" w:hAnsi="宋体" w:cs="宋体"/>
                <w:b/>
                <w:bCs/>
                <w:szCs w:val="21"/>
              </w:rPr>
              <w:t>注：</w:t>
            </w:r>
          </w:p>
          <w:p w14:paraId="640AE3D7">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54303694">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229D65AD">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7E707D1E">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46B9D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968" w:type="dxa"/>
            <w:vAlign w:val="center"/>
          </w:tcPr>
          <w:p w14:paraId="41FE87B5">
            <w:pPr>
              <w:spacing w:line="400" w:lineRule="exact"/>
              <w:rPr>
                <w:rFonts w:hint="eastAsia" w:ascii="宋体" w:hAnsi="宋体" w:cs="宋体"/>
                <w:szCs w:val="21"/>
              </w:rPr>
            </w:pPr>
            <w:r>
              <w:rPr>
                <w:rFonts w:hint="eastAsia" w:ascii="宋体" w:hAnsi="宋体" w:cs="宋体"/>
                <w:szCs w:val="21"/>
              </w:rPr>
              <w:t>项目负责人能力分</w:t>
            </w:r>
          </w:p>
          <w:p w14:paraId="2D681940">
            <w:pPr>
              <w:spacing w:line="400" w:lineRule="exact"/>
              <w:jc w:val="center"/>
              <w:rPr>
                <w:rFonts w:hint="eastAsia" w:ascii="宋体" w:hAnsi="宋体" w:cs="宋体"/>
                <w:szCs w:val="21"/>
              </w:rPr>
            </w:pPr>
          </w:p>
        </w:tc>
        <w:tc>
          <w:tcPr>
            <w:tcW w:w="1139" w:type="dxa"/>
            <w:vAlign w:val="center"/>
          </w:tcPr>
          <w:p w14:paraId="6A3FE427">
            <w:pPr>
              <w:spacing w:line="400" w:lineRule="exact"/>
              <w:ind w:firstLine="210" w:firstLineChars="100"/>
              <w:rPr>
                <w:rFonts w:hint="eastAsia" w:ascii="宋体" w:hAnsi="宋体" w:cs="宋体"/>
                <w:szCs w:val="21"/>
              </w:rPr>
            </w:pPr>
            <w:r>
              <w:rPr>
                <w:rFonts w:hint="eastAsia" w:ascii="宋体" w:hAnsi="宋体" w:cs="宋体"/>
                <w:szCs w:val="21"/>
              </w:rPr>
              <w:t>6分</w:t>
            </w:r>
          </w:p>
        </w:tc>
        <w:tc>
          <w:tcPr>
            <w:tcW w:w="6756" w:type="dxa"/>
            <w:vAlign w:val="center"/>
          </w:tcPr>
          <w:p w14:paraId="18D3B238">
            <w:pPr>
              <w:spacing w:line="400" w:lineRule="exact"/>
              <w:jc w:val="left"/>
              <w:rPr>
                <w:rFonts w:hint="eastAsia" w:ascii="宋体" w:hAnsi="宋体" w:cs="宋体"/>
                <w:bCs/>
                <w:kern w:val="0"/>
                <w:szCs w:val="21"/>
              </w:rPr>
            </w:pPr>
            <w:r>
              <w:rPr>
                <w:rFonts w:hint="eastAsia" w:ascii="宋体" w:hAnsi="宋体" w:cs="宋体"/>
                <w:bCs/>
                <w:kern w:val="0"/>
                <w:szCs w:val="21"/>
              </w:rPr>
              <w:t>1）项目负责人持证情况，满分4分。</w:t>
            </w:r>
          </w:p>
          <w:p w14:paraId="665523F1">
            <w:pPr>
              <w:spacing w:line="400" w:lineRule="exact"/>
              <w:jc w:val="left"/>
              <w:rPr>
                <w:rFonts w:hint="eastAsia" w:ascii="宋体" w:hAnsi="宋体" w:cs="宋体"/>
                <w:szCs w:val="21"/>
              </w:rPr>
            </w:pPr>
            <w:r>
              <w:rPr>
                <w:rFonts w:hint="eastAsia" w:ascii="宋体" w:hAnsi="宋体" w:cs="宋体"/>
                <w:szCs w:val="21"/>
              </w:rPr>
              <w:t>①具有信息系统项目管理师（高级）资格证书，得2分；</w:t>
            </w:r>
          </w:p>
          <w:p w14:paraId="631FCF34">
            <w:pPr>
              <w:spacing w:line="400" w:lineRule="exact"/>
              <w:jc w:val="left"/>
              <w:rPr>
                <w:rFonts w:hint="eastAsia" w:ascii="宋体" w:hAnsi="宋体" w:cs="宋体"/>
                <w:szCs w:val="21"/>
              </w:rPr>
            </w:pPr>
            <w:r>
              <w:rPr>
                <w:rFonts w:hint="eastAsia" w:ascii="宋体" w:hAnsi="宋体" w:cs="宋体"/>
                <w:szCs w:val="21"/>
              </w:rPr>
              <w:t>②具有软件设计师（高级）资格证书职称，得2分；</w:t>
            </w:r>
          </w:p>
          <w:p w14:paraId="23502DA3">
            <w:pPr>
              <w:spacing w:line="400" w:lineRule="exact"/>
              <w:jc w:val="left"/>
              <w:rPr>
                <w:rFonts w:hint="eastAsia" w:ascii="宋体" w:hAnsi="宋体" w:cs="宋体"/>
                <w:szCs w:val="21"/>
              </w:rPr>
            </w:pPr>
            <w:r>
              <w:rPr>
                <w:rFonts w:hint="eastAsia" w:ascii="宋体" w:hAnsi="宋体" w:cs="宋体"/>
                <w:szCs w:val="21"/>
              </w:rPr>
              <w:t>③具有系统架构设计师（高级）资格证书职称，得2分。</w:t>
            </w:r>
          </w:p>
          <w:p w14:paraId="34C8637B">
            <w:pPr>
              <w:spacing w:line="400" w:lineRule="exact"/>
              <w:jc w:val="left"/>
              <w:rPr>
                <w:rFonts w:hint="eastAsia" w:ascii="宋体" w:hAnsi="宋体" w:cs="宋体"/>
                <w:szCs w:val="21"/>
              </w:rPr>
            </w:pPr>
            <w:r>
              <w:rPr>
                <w:rFonts w:hint="eastAsia" w:ascii="宋体" w:hAnsi="宋体" w:cs="宋体"/>
                <w:szCs w:val="21"/>
              </w:rPr>
              <w:t>④具有系统规划与管理师（高级）资格证书职称，得2分。</w:t>
            </w:r>
          </w:p>
          <w:p w14:paraId="5A23338E">
            <w:pPr>
              <w:pStyle w:val="27"/>
              <w:spacing w:line="400" w:lineRule="exact"/>
              <w:ind w:firstLine="0" w:firstLineChars="0"/>
              <w:jc w:val="left"/>
              <w:rPr>
                <w:rFonts w:hint="eastAsia" w:ascii="宋体" w:hAnsi="宋体" w:cs="宋体"/>
                <w:bCs/>
                <w:kern w:val="0"/>
                <w:szCs w:val="21"/>
              </w:rPr>
            </w:pPr>
            <w:r>
              <w:rPr>
                <w:rFonts w:hint="eastAsia" w:ascii="宋体" w:hAnsi="宋体" w:cs="宋体"/>
                <w:bCs/>
                <w:kern w:val="0"/>
                <w:szCs w:val="21"/>
              </w:rPr>
              <w:t>2）项目负责人业绩，满分2分。</w:t>
            </w:r>
          </w:p>
          <w:p w14:paraId="65BD99E8">
            <w:pPr>
              <w:spacing w:line="400" w:lineRule="exact"/>
              <w:jc w:val="left"/>
              <w:rPr>
                <w:rFonts w:ascii="宋体" w:hAnsi="宋体" w:cs="宋体"/>
                <w:bCs/>
                <w:kern w:val="0"/>
                <w:szCs w:val="21"/>
              </w:rPr>
            </w:pPr>
            <w:r>
              <w:rPr>
                <w:rFonts w:hint="eastAsia" w:ascii="宋体" w:hAnsi="宋体" w:cs="宋体"/>
                <w:bCs/>
                <w:kern w:val="0"/>
                <w:szCs w:val="21"/>
              </w:rPr>
              <w:t>提供2022年1月1日至今，作为负责人承担过信息化项目业绩，每提供1个业绩材料得1分，满分2分。</w:t>
            </w:r>
          </w:p>
          <w:p w14:paraId="6B325424">
            <w:pPr>
              <w:spacing w:line="400" w:lineRule="exact"/>
              <w:jc w:val="left"/>
              <w:rPr>
                <w:rFonts w:hint="eastAsia" w:ascii="宋体" w:hAnsi="宋体" w:cs="宋体"/>
                <w:bCs/>
                <w:kern w:val="0"/>
                <w:szCs w:val="21"/>
              </w:rPr>
            </w:pPr>
          </w:p>
          <w:p w14:paraId="25E80ECC">
            <w:pPr>
              <w:spacing w:line="400" w:lineRule="exact"/>
              <w:rPr>
                <w:rFonts w:hint="eastAsia" w:ascii="宋体" w:hAnsi="宋体" w:cs="宋体"/>
                <w:b/>
                <w:bCs/>
                <w:szCs w:val="21"/>
              </w:rPr>
            </w:pPr>
            <w:r>
              <w:rPr>
                <w:rFonts w:hint="eastAsia" w:ascii="宋体" w:hAnsi="宋体" w:cs="宋体"/>
                <w:b/>
                <w:bCs/>
                <w:szCs w:val="21"/>
              </w:rPr>
              <w:t>注：</w:t>
            </w:r>
          </w:p>
          <w:p w14:paraId="1B6B6716">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7F31D440">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06494867">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提供作为负责人相关业绩合同扫描件（如合同不能体现人员姓名，须同时提供合同甲方证明文件扫描件或盖章的项目报告</w:t>
            </w:r>
            <w:r>
              <w:rPr>
                <w:rFonts w:hint="eastAsia" w:ascii="宋体" w:hAnsi="宋体" w:cs="宋体"/>
                <w:b/>
                <w:bCs/>
                <w:szCs w:val="21"/>
              </w:rPr>
              <w:t>扫描件</w:t>
            </w:r>
            <w:r>
              <w:rPr>
                <w:rFonts w:hint="eastAsia" w:ascii="宋体" w:hAnsi="宋体" w:cs="宋体"/>
                <w:b/>
                <w:bCs/>
                <w:kern w:val="0"/>
                <w:szCs w:val="21"/>
              </w:rPr>
              <w:t>，提供的证明材料须能体现工作内容等，如无法体现，另附业主证明、项目验收材料等相关证明材料体现工作内容等，否则不得分）。</w:t>
            </w:r>
          </w:p>
          <w:p w14:paraId="142D7C7B">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28B75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5599DEFB">
            <w:pPr>
              <w:spacing w:line="400" w:lineRule="exact"/>
              <w:jc w:val="center"/>
              <w:rPr>
                <w:rFonts w:hint="eastAsia" w:ascii="宋体" w:hAnsi="宋体" w:cs="宋体"/>
                <w:szCs w:val="21"/>
              </w:rPr>
            </w:pPr>
            <w:r>
              <w:rPr>
                <w:rFonts w:hint="eastAsia" w:ascii="宋体" w:hAnsi="宋体" w:cs="宋体"/>
                <w:szCs w:val="21"/>
              </w:rPr>
              <w:t>技术负责人能力分</w:t>
            </w:r>
          </w:p>
        </w:tc>
        <w:tc>
          <w:tcPr>
            <w:tcW w:w="1139" w:type="dxa"/>
            <w:vAlign w:val="center"/>
          </w:tcPr>
          <w:p w14:paraId="0E67C4EA">
            <w:pPr>
              <w:spacing w:line="400" w:lineRule="exact"/>
              <w:ind w:firstLine="210" w:firstLineChars="100"/>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分</w:t>
            </w:r>
          </w:p>
        </w:tc>
        <w:tc>
          <w:tcPr>
            <w:tcW w:w="6756" w:type="dxa"/>
            <w:vAlign w:val="center"/>
          </w:tcPr>
          <w:p w14:paraId="11077B14">
            <w:pPr>
              <w:spacing w:line="400" w:lineRule="exact"/>
              <w:jc w:val="left"/>
              <w:rPr>
                <w:rFonts w:hint="eastAsia" w:ascii="宋体" w:hAnsi="宋体" w:cs="宋体"/>
                <w:szCs w:val="21"/>
              </w:rPr>
            </w:pPr>
            <w:r>
              <w:rPr>
                <w:rFonts w:hint="eastAsia" w:ascii="宋体" w:hAnsi="宋体" w:cs="宋体"/>
                <w:szCs w:val="21"/>
              </w:rPr>
              <w:t>技术负责人（1人，不得同时兼任项目负责人），满分</w:t>
            </w:r>
            <w:r>
              <w:rPr>
                <w:rFonts w:hint="eastAsia" w:ascii="宋体" w:hAnsi="宋体" w:cs="宋体"/>
                <w:szCs w:val="21"/>
                <w:lang w:val="en-US" w:eastAsia="zh-CN"/>
              </w:rPr>
              <w:t>4</w:t>
            </w:r>
            <w:r>
              <w:rPr>
                <w:rFonts w:hint="eastAsia" w:ascii="宋体" w:hAnsi="宋体" w:cs="宋体"/>
                <w:szCs w:val="21"/>
              </w:rPr>
              <w:t>分。</w:t>
            </w:r>
          </w:p>
          <w:p w14:paraId="4CA6069B">
            <w:pPr>
              <w:spacing w:line="400" w:lineRule="exact"/>
              <w:jc w:val="left"/>
              <w:rPr>
                <w:rFonts w:hint="eastAsia" w:ascii="宋体" w:hAnsi="宋体" w:cs="宋体"/>
                <w:szCs w:val="21"/>
              </w:rPr>
            </w:pPr>
            <w:r>
              <w:rPr>
                <w:rFonts w:hint="eastAsia" w:ascii="宋体" w:hAnsi="宋体" w:cs="宋体"/>
                <w:szCs w:val="21"/>
              </w:rPr>
              <w:t>技术负责人若持有中国计算机技术与软件专业技术资格（水平）证书</w:t>
            </w:r>
            <w:r>
              <w:rPr>
                <w:rFonts w:hint="eastAsia" w:ascii="宋体" w:hAnsi="宋体" w:cs="宋体"/>
                <w:szCs w:val="21"/>
                <w:lang w:eastAsia="zh-CN"/>
              </w:rPr>
              <w:t>或</w:t>
            </w:r>
            <w:r>
              <w:rPr>
                <w:rFonts w:hint="eastAsia" w:ascii="宋体" w:hAnsi="宋体" w:cs="宋体"/>
                <w:szCs w:val="21"/>
              </w:rPr>
              <w:t>生态环境类职称，每具备一个高级证书得2分，中级证书得1分，满分</w:t>
            </w:r>
            <w:r>
              <w:rPr>
                <w:rFonts w:hint="eastAsia" w:ascii="宋体" w:hAnsi="宋体" w:cs="宋体"/>
                <w:szCs w:val="21"/>
                <w:lang w:val="en-US" w:eastAsia="zh-CN"/>
              </w:rPr>
              <w:t>4</w:t>
            </w:r>
            <w:r>
              <w:rPr>
                <w:rFonts w:hint="eastAsia" w:ascii="宋体" w:hAnsi="宋体" w:cs="宋体"/>
                <w:szCs w:val="21"/>
              </w:rPr>
              <w:t>分。</w:t>
            </w:r>
          </w:p>
          <w:p w14:paraId="2CC93979">
            <w:pPr>
              <w:spacing w:line="400" w:lineRule="exact"/>
              <w:rPr>
                <w:rFonts w:hint="eastAsia" w:ascii="宋体" w:hAnsi="宋体" w:cs="宋体"/>
                <w:b/>
                <w:bCs/>
                <w:szCs w:val="21"/>
              </w:rPr>
            </w:pPr>
            <w:r>
              <w:rPr>
                <w:rFonts w:hint="eastAsia" w:ascii="宋体" w:hAnsi="宋体" w:cs="宋体"/>
                <w:b/>
                <w:bCs/>
                <w:szCs w:val="21"/>
              </w:rPr>
              <w:t>注：</w:t>
            </w:r>
          </w:p>
          <w:p w14:paraId="324FB22B">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1DC4FDB3">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46AF7EBF">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0EBBAF5E">
            <w:pPr>
              <w:spacing w:line="400" w:lineRule="exact"/>
              <w:rPr>
                <w:rFonts w:hint="eastAsia" w:ascii="宋体" w:hAnsi="宋体" w:cs="宋体"/>
                <w:szCs w:val="21"/>
              </w:rPr>
            </w:pPr>
            <w:r>
              <w:rPr>
                <w:rFonts w:hint="eastAsia" w:ascii="宋体" w:hAnsi="宋体" w:cs="宋体"/>
                <w:b/>
                <w:bCs/>
                <w:kern w:val="0"/>
                <w:szCs w:val="21"/>
              </w:rPr>
              <w:t>无法提供证明材料或提供证明材料不完整的，不得分。</w:t>
            </w:r>
          </w:p>
        </w:tc>
      </w:tr>
      <w:tr w14:paraId="0DE19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11DFADC">
            <w:pPr>
              <w:spacing w:line="400" w:lineRule="exact"/>
              <w:rPr>
                <w:rFonts w:hint="eastAsia" w:ascii="宋体" w:hAnsi="宋体" w:cs="宋体"/>
                <w:szCs w:val="21"/>
              </w:rPr>
            </w:pPr>
            <w:r>
              <w:rPr>
                <w:rFonts w:hint="eastAsia" w:ascii="宋体" w:hAnsi="宋体" w:cs="宋体"/>
                <w:bCs/>
                <w:kern w:val="0"/>
                <w:szCs w:val="21"/>
              </w:rPr>
              <w:t>团队人员配置得分</w:t>
            </w:r>
          </w:p>
        </w:tc>
        <w:tc>
          <w:tcPr>
            <w:tcW w:w="1139" w:type="dxa"/>
            <w:vAlign w:val="center"/>
          </w:tcPr>
          <w:p w14:paraId="19F2D4C2">
            <w:pPr>
              <w:spacing w:line="400" w:lineRule="exact"/>
              <w:ind w:firstLine="210" w:firstLineChars="100"/>
              <w:rPr>
                <w:rFonts w:hint="eastAsia" w:ascii="宋体" w:hAnsi="宋体" w:cs="宋体"/>
                <w:szCs w:val="21"/>
              </w:rPr>
            </w:pPr>
            <w:r>
              <w:rPr>
                <w:rFonts w:hint="eastAsia" w:ascii="宋体" w:hAnsi="宋体" w:cs="宋体"/>
                <w:szCs w:val="21"/>
              </w:rPr>
              <w:t>13分</w:t>
            </w:r>
          </w:p>
        </w:tc>
        <w:tc>
          <w:tcPr>
            <w:tcW w:w="6756" w:type="dxa"/>
            <w:vAlign w:val="center"/>
          </w:tcPr>
          <w:p w14:paraId="428850E0">
            <w:pPr>
              <w:spacing w:line="400" w:lineRule="exact"/>
              <w:rPr>
                <w:rFonts w:hint="eastAsia" w:ascii="宋体" w:hAnsi="宋体" w:cs="宋体"/>
                <w:szCs w:val="21"/>
              </w:rPr>
            </w:pPr>
            <w:r>
              <w:rPr>
                <w:rFonts w:hint="eastAsia" w:ascii="宋体" w:hAnsi="宋体" w:cs="宋体"/>
                <w:szCs w:val="21"/>
              </w:rPr>
              <w:t>拟配备的项目成员（项目负责人、技术负责人除外），若具有：</w:t>
            </w:r>
          </w:p>
          <w:p w14:paraId="6764241A">
            <w:pPr>
              <w:spacing w:line="400" w:lineRule="exact"/>
              <w:rPr>
                <w:rFonts w:hint="eastAsia" w:ascii="宋体" w:hAnsi="宋体" w:cs="宋体"/>
                <w:szCs w:val="21"/>
              </w:rPr>
            </w:pPr>
            <w:r>
              <w:rPr>
                <w:rFonts w:hint="eastAsia" w:ascii="宋体" w:hAnsi="宋体" w:cs="宋体"/>
                <w:szCs w:val="21"/>
              </w:rPr>
              <w:t>（1）生态环境相关专业职称（包含环境工程、环境监测、环境管理、环境科研、环境保护等）证书的，每有一人提供1个高级职称证书的得1分，最多得</w:t>
            </w:r>
            <w:r>
              <w:rPr>
                <w:rFonts w:hint="eastAsia" w:ascii="宋体" w:hAnsi="宋体" w:cs="宋体"/>
                <w:szCs w:val="21"/>
                <w:lang w:val="en-US" w:eastAsia="zh-CN"/>
              </w:rPr>
              <w:t>5</w:t>
            </w:r>
            <w:r>
              <w:rPr>
                <w:rFonts w:hint="eastAsia" w:ascii="宋体" w:hAnsi="宋体" w:cs="宋体"/>
                <w:szCs w:val="21"/>
              </w:rPr>
              <w:t>分；每有一人提供1个中级职称证书的得0.5分，最多得2分；不提供不得分，本项最多得</w:t>
            </w:r>
            <w:r>
              <w:rPr>
                <w:rFonts w:hint="eastAsia" w:ascii="宋体" w:hAnsi="宋体" w:cs="宋体"/>
                <w:szCs w:val="21"/>
                <w:lang w:val="en-US" w:eastAsia="zh-CN"/>
              </w:rPr>
              <w:t>7</w:t>
            </w:r>
            <w:r>
              <w:rPr>
                <w:rFonts w:hint="eastAsia" w:ascii="宋体" w:hAnsi="宋体" w:cs="宋体"/>
                <w:szCs w:val="21"/>
              </w:rPr>
              <w:t>分；同一人员拥有多个环境相关专业职称证书的不重复计分，以一个最高等级证书计算得分；</w:t>
            </w:r>
          </w:p>
          <w:p w14:paraId="19DDCBBF">
            <w:pPr>
              <w:spacing w:line="400" w:lineRule="exact"/>
              <w:rPr>
                <w:rFonts w:hint="eastAsia" w:ascii="宋体" w:hAnsi="宋体" w:cs="宋体"/>
                <w:szCs w:val="21"/>
              </w:rPr>
            </w:pPr>
            <w:r>
              <w:rPr>
                <w:rFonts w:hint="eastAsia" w:ascii="宋体" w:hAnsi="宋体" w:cs="宋体"/>
                <w:szCs w:val="21"/>
              </w:rPr>
              <w:t>（2）中国计算机技术与软件专业技术资格（水平）证书的，每有一人提供1个高级证书的得1分，最多得5分；每有一人提供1个中级证书的得0.5分，最多得1分；不提供不得分，本项最多得6分，同一人员拥有多个计算机技术与软件专业技术资格（水平）证书的不重复计分，以一个最高等级证书计算得分。</w:t>
            </w:r>
          </w:p>
          <w:p w14:paraId="7D01AB0A">
            <w:pPr>
              <w:spacing w:line="400" w:lineRule="exact"/>
              <w:rPr>
                <w:rFonts w:hint="eastAsia" w:ascii="宋体" w:hAnsi="宋体" w:cs="宋体"/>
                <w:b/>
                <w:bCs/>
                <w:szCs w:val="21"/>
              </w:rPr>
            </w:pPr>
            <w:r>
              <w:rPr>
                <w:rFonts w:hint="eastAsia" w:ascii="宋体" w:hAnsi="宋体" w:cs="宋体"/>
                <w:b/>
                <w:bCs/>
                <w:szCs w:val="21"/>
              </w:rPr>
              <w:t>注：</w:t>
            </w:r>
          </w:p>
          <w:p w14:paraId="5C256B0D">
            <w:pPr>
              <w:spacing w:line="400" w:lineRule="exact"/>
              <w:rPr>
                <w:rFonts w:hint="eastAsia" w:ascii="宋体" w:hAnsi="宋体" w:cs="宋体"/>
                <w:b/>
                <w:bCs/>
                <w:szCs w:val="21"/>
              </w:rPr>
            </w:pPr>
            <w:r>
              <w:rPr>
                <w:rFonts w:hint="eastAsia" w:ascii="宋体" w:hAnsi="宋体" w:cs="宋体"/>
                <w:b/>
                <w:bCs/>
                <w:szCs w:val="21"/>
              </w:rPr>
              <w:t>（1）以上人员不能与售后服务人员重复。</w:t>
            </w:r>
          </w:p>
          <w:p w14:paraId="03D3C670">
            <w:pPr>
              <w:spacing w:line="400" w:lineRule="exact"/>
              <w:rPr>
                <w:rFonts w:hint="eastAsia" w:ascii="宋体" w:hAnsi="宋体" w:cs="宋体"/>
                <w:b/>
                <w:bCs/>
                <w:szCs w:val="21"/>
              </w:rPr>
            </w:pPr>
            <w:r>
              <w:rPr>
                <w:rFonts w:hint="eastAsia" w:ascii="宋体" w:hAnsi="宋体" w:cs="宋体"/>
                <w:b/>
                <w:bCs/>
                <w:szCs w:val="21"/>
              </w:rPr>
              <w:t>（2）拟投入人员应为投标人在职在岗正式员工（非退休），投标文件需提供项目实施人员劳动合同复印件或事业单位编制证明复印件等相关证明材料并加盖投标单位公章，否则不计分。</w:t>
            </w:r>
          </w:p>
          <w:p w14:paraId="1C98B781">
            <w:pPr>
              <w:spacing w:line="400" w:lineRule="exact"/>
              <w:rPr>
                <w:rFonts w:hint="eastAsia" w:ascii="宋体" w:hAnsi="宋体" w:cs="宋体"/>
                <w:b/>
                <w:bCs/>
                <w:kern w:val="0"/>
                <w:szCs w:val="21"/>
              </w:rPr>
            </w:pPr>
            <w:r>
              <w:rPr>
                <w:rFonts w:hint="eastAsia" w:ascii="宋体" w:hAnsi="宋体" w:cs="宋体"/>
                <w:b/>
                <w:bCs/>
                <w:kern w:val="0"/>
                <w:szCs w:val="21"/>
              </w:rPr>
              <w:t>（3）提供项目实施人员职称及资质证书等证明材料</w:t>
            </w:r>
            <w:r>
              <w:rPr>
                <w:rFonts w:hint="eastAsia" w:ascii="宋体" w:hAnsi="宋体" w:cs="宋体"/>
                <w:b/>
                <w:bCs/>
                <w:szCs w:val="21"/>
              </w:rPr>
              <w:t>（以上证书均要求在有效期内）</w:t>
            </w:r>
            <w:r>
              <w:rPr>
                <w:rFonts w:hint="eastAsia" w:ascii="宋体" w:hAnsi="宋体" w:cs="宋体"/>
                <w:b/>
                <w:bCs/>
                <w:kern w:val="0"/>
                <w:szCs w:val="21"/>
              </w:rPr>
              <w:t>（全国计算机技术与软件专业技术资格(水平)证书须同时提供官方网站（中国计算机技术职业资格网或中国人事考试网）查询验证的证明截图）并加盖公章。</w:t>
            </w:r>
          </w:p>
          <w:p w14:paraId="33246FDE">
            <w:pPr>
              <w:spacing w:line="400" w:lineRule="exact"/>
              <w:rPr>
                <w:rFonts w:hint="eastAsia" w:ascii="宋体" w:hAnsi="宋体" w:cs="宋体"/>
                <w:b/>
                <w:bCs/>
                <w:kern w:val="0"/>
                <w:szCs w:val="21"/>
              </w:rPr>
            </w:pPr>
            <w:r>
              <w:rPr>
                <w:rFonts w:hint="eastAsia" w:ascii="宋体" w:hAnsi="宋体" w:cs="宋体"/>
                <w:b/>
                <w:bCs/>
                <w:kern w:val="0"/>
                <w:szCs w:val="21"/>
              </w:rPr>
              <w:t>（4）团队成员中同一人员同时具有多个证书的不累计计分。无法提供证明材料或提供证明材料不完整的，不得分。</w:t>
            </w:r>
          </w:p>
        </w:tc>
      </w:tr>
      <w:tr w14:paraId="07B41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968" w:type="dxa"/>
            <w:vAlign w:val="center"/>
          </w:tcPr>
          <w:p w14:paraId="044A9F14">
            <w:pPr>
              <w:spacing w:line="400" w:lineRule="exact"/>
              <w:rPr>
                <w:rFonts w:hint="eastAsia" w:ascii="宋体" w:hAnsi="宋体" w:cs="宋体"/>
                <w:szCs w:val="21"/>
              </w:rPr>
            </w:pPr>
            <w:r>
              <w:rPr>
                <w:rFonts w:hint="eastAsia" w:ascii="宋体" w:hAnsi="宋体" w:cs="宋体"/>
                <w:szCs w:val="21"/>
              </w:rPr>
              <w:t>售后</w:t>
            </w:r>
          </w:p>
          <w:p w14:paraId="3F36784B">
            <w:pPr>
              <w:spacing w:line="400" w:lineRule="exact"/>
              <w:jc w:val="center"/>
              <w:rPr>
                <w:rFonts w:hint="eastAsia" w:ascii="宋体" w:hAnsi="宋体" w:cs="宋体"/>
                <w:szCs w:val="21"/>
              </w:rPr>
            </w:pPr>
            <w:r>
              <w:rPr>
                <w:rFonts w:hint="eastAsia" w:ascii="宋体" w:hAnsi="宋体" w:cs="宋体"/>
                <w:szCs w:val="21"/>
              </w:rPr>
              <w:t>服务分</w:t>
            </w:r>
          </w:p>
        </w:tc>
        <w:tc>
          <w:tcPr>
            <w:tcW w:w="1139" w:type="dxa"/>
            <w:vAlign w:val="center"/>
          </w:tcPr>
          <w:p w14:paraId="6C65CEC4">
            <w:pPr>
              <w:spacing w:line="400" w:lineRule="exact"/>
              <w:jc w:val="center"/>
              <w:rPr>
                <w:rFonts w:hint="eastAsia" w:ascii="宋体" w:hAnsi="宋体" w:cs="宋体"/>
                <w:szCs w:val="21"/>
              </w:rPr>
            </w:pPr>
            <w:r>
              <w:rPr>
                <w:rFonts w:hint="eastAsia" w:ascii="宋体" w:hAnsi="宋体" w:cs="宋体"/>
                <w:szCs w:val="21"/>
              </w:rPr>
              <w:t>9分</w:t>
            </w:r>
          </w:p>
        </w:tc>
        <w:tc>
          <w:tcPr>
            <w:tcW w:w="6756" w:type="dxa"/>
            <w:vAlign w:val="center"/>
          </w:tcPr>
          <w:p w14:paraId="7C8D26C0">
            <w:pPr>
              <w:spacing w:line="400" w:lineRule="exact"/>
              <w:rPr>
                <w:rFonts w:hint="eastAsia" w:ascii="宋体" w:hAnsi="宋体" w:cs="宋体"/>
                <w:szCs w:val="21"/>
              </w:rPr>
            </w:pPr>
            <w:r>
              <w:rPr>
                <w:rFonts w:hint="eastAsia" w:ascii="宋体" w:hAnsi="宋体" w:cs="宋体"/>
                <w:szCs w:val="21"/>
              </w:rPr>
              <w:t>由评委在打分前根据供应商的售后服务评定打分，以下各项不得重复计分：</w:t>
            </w:r>
          </w:p>
          <w:p w14:paraId="4C2B9B4F">
            <w:pPr>
              <w:spacing w:line="400" w:lineRule="exact"/>
              <w:rPr>
                <w:rFonts w:hint="eastAsia" w:ascii="宋体" w:hAnsi="宋体" w:cs="宋体"/>
                <w:szCs w:val="21"/>
              </w:rPr>
            </w:pPr>
            <w:r>
              <w:rPr>
                <w:rFonts w:hint="eastAsia" w:ascii="宋体" w:hAnsi="宋体" w:cs="宋体"/>
                <w:szCs w:val="21"/>
              </w:rPr>
              <w:t>一档（3分）：提交的售后服务方案满足采购文件的售后服务要求，针对本项目提供售后服务支持，能满足售后服务响应时间要求。</w:t>
            </w:r>
          </w:p>
          <w:p w14:paraId="141E004C">
            <w:pPr>
              <w:spacing w:line="400" w:lineRule="exact"/>
              <w:rPr>
                <w:rFonts w:hint="eastAsia" w:ascii="宋体" w:hAnsi="宋体" w:cs="宋体"/>
                <w:szCs w:val="21"/>
              </w:rPr>
            </w:pPr>
            <w:r>
              <w:rPr>
                <w:rFonts w:hint="eastAsia" w:ascii="宋体" w:hAnsi="宋体" w:cs="宋体"/>
                <w:szCs w:val="21"/>
              </w:rPr>
              <w:t>二档（6分）：在满足一档要求的基础上，提供售后服务流程图，包括故障处理、现场维护、紧急维护、重要服务、电话维护、需求变更、主动巡检等流程图。拟投入本次项目的售后服务团队配备≥4名专职售后服务人员，能提供服务热线电话。</w:t>
            </w:r>
          </w:p>
          <w:p w14:paraId="05B11175">
            <w:pPr>
              <w:spacing w:line="400" w:lineRule="exact"/>
              <w:rPr>
                <w:rFonts w:hint="eastAsia" w:ascii="宋体" w:hAnsi="宋体" w:cs="宋体"/>
                <w:szCs w:val="21"/>
              </w:rPr>
            </w:pPr>
            <w:r>
              <w:rPr>
                <w:rFonts w:hint="eastAsia" w:ascii="宋体" w:hAnsi="宋体" w:cs="宋体"/>
                <w:szCs w:val="21"/>
              </w:rPr>
              <w:t>三档（9分）：在满足二档要求的基础上，能提详细描述电话支持服务、远程技术支持服务、现场技术支持服务、紧急故障应急预案制定及处理服务、软件维护服务、培训服务、巡检服务、回访服务等的服务内容及服务交付规范的；提供应急预案，提供完备的服务措施，服务质量控制到位，响应时间满足招标文件要求。拟投入本次项目的售后服务团队配备≥6名专职售后服务人员，</w:t>
            </w:r>
          </w:p>
          <w:p w14:paraId="1BAEAE92">
            <w:pPr>
              <w:spacing w:line="400" w:lineRule="exact"/>
              <w:rPr>
                <w:rFonts w:hint="eastAsia" w:ascii="宋体" w:hAnsi="宋体" w:cs="宋体"/>
                <w:szCs w:val="21"/>
              </w:rPr>
            </w:pPr>
            <w:r>
              <w:rPr>
                <w:rFonts w:hint="eastAsia" w:ascii="宋体" w:hAnsi="宋体" w:cs="宋体"/>
                <w:szCs w:val="21"/>
              </w:rPr>
              <w:t>注：</w:t>
            </w:r>
          </w:p>
          <w:p w14:paraId="360F669C">
            <w:pPr>
              <w:spacing w:line="400" w:lineRule="exact"/>
              <w:rPr>
                <w:rFonts w:hint="eastAsia" w:ascii="宋体" w:hAnsi="宋体" w:cs="宋体"/>
                <w:szCs w:val="21"/>
              </w:rPr>
            </w:pPr>
            <w:r>
              <w:rPr>
                <w:rFonts w:hint="eastAsia" w:ascii="宋体" w:hAnsi="宋体" w:cs="宋体"/>
                <w:szCs w:val="21"/>
              </w:rPr>
              <w:t>以上人员不能与团队服务人员重复。拟投入人员应为投标人在职在岗正式员工（非退休），投标文件需提供项目实施人员劳动合同复印件或事业单位编制证明复印件等相关证明材料并加盖投标单位公章，否则不计分。未提供方案或不符合最低入档条件的不得分。</w:t>
            </w:r>
          </w:p>
        </w:tc>
      </w:tr>
      <w:tr w14:paraId="281B8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63" w:type="dxa"/>
            <w:gridSpan w:val="3"/>
            <w:vAlign w:val="center"/>
          </w:tcPr>
          <w:p w14:paraId="5B5AD934">
            <w:pPr>
              <w:spacing w:line="400" w:lineRule="exact"/>
              <w:jc w:val="center"/>
              <w:rPr>
                <w:rFonts w:hint="eastAsia" w:ascii="宋体" w:hAnsi="宋体" w:cs="宋体"/>
                <w:szCs w:val="21"/>
              </w:rPr>
            </w:pPr>
            <w:r>
              <w:rPr>
                <w:rFonts w:hint="eastAsia" w:ascii="宋体" w:hAnsi="宋体" w:cs="宋体"/>
                <w:b/>
                <w:bCs/>
                <w:szCs w:val="21"/>
              </w:rPr>
              <w:t>（三）商务分（满分14分）</w:t>
            </w:r>
          </w:p>
        </w:tc>
      </w:tr>
      <w:tr w14:paraId="13165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70E7D93E">
            <w:pPr>
              <w:spacing w:line="400" w:lineRule="exact"/>
              <w:jc w:val="center"/>
              <w:rPr>
                <w:rFonts w:hint="eastAsia" w:ascii="宋体" w:hAnsi="宋体" w:cs="宋体"/>
                <w:b/>
                <w:bCs/>
                <w:szCs w:val="21"/>
              </w:rPr>
            </w:pPr>
            <w:r>
              <w:rPr>
                <w:rFonts w:hint="eastAsia" w:ascii="宋体" w:hAnsi="宋体" w:cs="宋体"/>
                <w:szCs w:val="21"/>
              </w:rPr>
              <w:t>信誉分</w:t>
            </w:r>
          </w:p>
        </w:tc>
        <w:tc>
          <w:tcPr>
            <w:tcW w:w="1139" w:type="dxa"/>
            <w:vAlign w:val="center"/>
          </w:tcPr>
          <w:p w14:paraId="552379A8">
            <w:pPr>
              <w:spacing w:line="400" w:lineRule="exact"/>
              <w:jc w:val="center"/>
              <w:rPr>
                <w:rFonts w:hint="eastAsia" w:ascii="宋体" w:hAnsi="宋体" w:cs="宋体"/>
                <w:szCs w:val="21"/>
              </w:rPr>
            </w:pPr>
            <w:r>
              <w:rPr>
                <w:rFonts w:hint="eastAsia" w:ascii="宋体" w:hAnsi="宋体" w:cs="宋体"/>
                <w:szCs w:val="21"/>
              </w:rPr>
              <w:t>2分</w:t>
            </w:r>
          </w:p>
        </w:tc>
        <w:tc>
          <w:tcPr>
            <w:tcW w:w="6756" w:type="dxa"/>
            <w:vAlign w:val="center"/>
          </w:tcPr>
          <w:p w14:paraId="0BE40938">
            <w:pPr>
              <w:spacing w:line="400" w:lineRule="exact"/>
              <w:rPr>
                <w:rFonts w:hint="eastAsia" w:ascii="宋体" w:hAnsi="宋体" w:cs="宋体"/>
                <w:szCs w:val="21"/>
              </w:rPr>
            </w:pPr>
            <w:r>
              <w:rPr>
                <w:rFonts w:hint="eastAsia" w:ascii="宋体" w:hAnsi="宋体" w:cs="宋体"/>
                <w:szCs w:val="21"/>
              </w:rPr>
              <w:t>（1）供应商具备ISO9001（质量管理体系）证书得2分，满分2分。</w:t>
            </w:r>
          </w:p>
          <w:p w14:paraId="7561E4B6">
            <w:pPr>
              <w:spacing w:line="400" w:lineRule="exact"/>
              <w:rPr>
                <w:rFonts w:hint="eastAsia" w:ascii="宋体" w:hAnsi="宋体" w:cs="宋体"/>
                <w:szCs w:val="21"/>
              </w:rPr>
            </w:pPr>
            <w:r>
              <w:rPr>
                <w:rFonts w:hint="eastAsia" w:ascii="宋体" w:hAnsi="宋体" w:cs="宋体"/>
                <w:b/>
                <w:bCs/>
                <w:szCs w:val="21"/>
              </w:rPr>
              <w:t>注：提供相关证书复印件并加盖公章，否则不得分。</w:t>
            </w:r>
          </w:p>
        </w:tc>
      </w:tr>
      <w:tr w14:paraId="5F7E0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 w:type="dxa"/>
            <w:vAlign w:val="center"/>
          </w:tcPr>
          <w:p w14:paraId="6881EC79">
            <w:pPr>
              <w:spacing w:line="400" w:lineRule="exact"/>
              <w:jc w:val="center"/>
              <w:rPr>
                <w:rFonts w:hint="eastAsia" w:ascii="宋体" w:hAnsi="宋体" w:cs="宋体"/>
                <w:b/>
                <w:bCs/>
                <w:szCs w:val="21"/>
              </w:rPr>
            </w:pPr>
            <w:r>
              <w:rPr>
                <w:rFonts w:hint="eastAsia" w:ascii="宋体" w:hAnsi="宋体" w:cs="宋体"/>
                <w:szCs w:val="21"/>
              </w:rPr>
              <w:t>业绩分</w:t>
            </w:r>
          </w:p>
        </w:tc>
        <w:tc>
          <w:tcPr>
            <w:tcW w:w="1139" w:type="dxa"/>
            <w:vAlign w:val="center"/>
          </w:tcPr>
          <w:p w14:paraId="1361194B">
            <w:pPr>
              <w:spacing w:line="400" w:lineRule="exact"/>
              <w:jc w:val="center"/>
              <w:rPr>
                <w:rFonts w:hint="eastAsia" w:ascii="宋体" w:hAnsi="宋体" w:cs="宋体"/>
                <w:szCs w:val="21"/>
              </w:rPr>
            </w:pPr>
            <w:r>
              <w:rPr>
                <w:rFonts w:hint="eastAsia" w:ascii="宋体" w:hAnsi="宋体" w:cs="宋体"/>
                <w:szCs w:val="21"/>
              </w:rPr>
              <w:t>12分</w:t>
            </w:r>
          </w:p>
        </w:tc>
        <w:tc>
          <w:tcPr>
            <w:tcW w:w="6756" w:type="dxa"/>
            <w:vAlign w:val="center"/>
          </w:tcPr>
          <w:p w14:paraId="1FB79CFA">
            <w:pPr>
              <w:spacing w:line="400" w:lineRule="exact"/>
              <w:rPr>
                <w:rFonts w:hint="eastAsia" w:ascii="宋体" w:hAnsi="宋体" w:cs="宋体"/>
                <w:szCs w:val="21"/>
              </w:rPr>
            </w:pPr>
            <w:r>
              <w:rPr>
                <w:rFonts w:hint="eastAsia" w:ascii="宋体" w:hAnsi="宋体" w:cs="宋体"/>
                <w:szCs w:val="21"/>
              </w:rPr>
              <w:t>投标人提供2022年1月1日至今投标人承担过生态环境类或国产技术栈类等相关项目业绩，每提供1个得2分，满分12分。</w:t>
            </w:r>
          </w:p>
          <w:p w14:paraId="32B9F87B">
            <w:pPr>
              <w:spacing w:line="400" w:lineRule="exact"/>
              <w:rPr>
                <w:rFonts w:hint="eastAsia" w:ascii="宋体" w:hAnsi="宋体" w:cs="宋体"/>
                <w:szCs w:val="21"/>
              </w:rPr>
            </w:pPr>
            <w:r>
              <w:rPr>
                <w:rFonts w:hint="eastAsia" w:ascii="宋体" w:hAnsi="宋体" w:cs="宋体"/>
                <w:b/>
                <w:bCs/>
                <w:szCs w:val="21"/>
              </w:rPr>
              <w:t>注：提供相关证明材料并加盖公章，证明材料复印件（中标通知书或项目合同或验收报告或其他履行合同或政府指令委托文件）须能体现工作内容等，如无法体现，另附业主证明等相关证明材料体现工作内容，并经评标委员会认可为准，否则不得分。</w:t>
            </w:r>
          </w:p>
        </w:tc>
      </w:tr>
      <w:tr w14:paraId="7A2A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63" w:type="dxa"/>
            <w:gridSpan w:val="3"/>
            <w:vAlign w:val="center"/>
          </w:tcPr>
          <w:p w14:paraId="32856E1E">
            <w:pPr>
              <w:spacing w:line="400" w:lineRule="exact"/>
              <w:rPr>
                <w:rFonts w:hint="eastAsia" w:ascii="宋体" w:hAnsi="宋体" w:cs="宋体"/>
                <w:szCs w:val="21"/>
              </w:rPr>
            </w:pPr>
            <w:r>
              <w:rPr>
                <w:rFonts w:hint="eastAsia" w:ascii="宋体" w:hAnsi="宋体" w:cs="宋体"/>
                <w:b/>
                <w:szCs w:val="21"/>
              </w:rPr>
              <w:t>总得分=</w:t>
            </w:r>
            <w:r>
              <w:rPr>
                <w:rFonts w:hint="eastAsia" w:ascii="宋体" w:hAnsi="宋体" w:cs="宋体"/>
                <w:b/>
                <w:bCs/>
                <w:szCs w:val="21"/>
              </w:rPr>
              <w:t>（一）</w:t>
            </w:r>
            <w:r>
              <w:rPr>
                <w:rFonts w:hint="eastAsia" w:ascii="宋体" w:hAnsi="宋体" w:cs="宋体"/>
                <w:b/>
                <w:szCs w:val="21"/>
              </w:rPr>
              <w:t>+</w:t>
            </w:r>
            <w:r>
              <w:rPr>
                <w:rFonts w:hint="eastAsia" w:ascii="宋体" w:hAnsi="宋体" w:cs="宋体"/>
                <w:b/>
                <w:bCs/>
                <w:szCs w:val="21"/>
              </w:rPr>
              <w:t>（二）</w:t>
            </w:r>
            <w:r>
              <w:rPr>
                <w:rFonts w:hint="eastAsia" w:ascii="宋体" w:hAnsi="宋体" w:cs="宋体"/>
                <w:b/>
                <w:szCs w:val="21"/>
              </w:rPr>
              <w:t>+</w:t>
            </w:r>
            <w:r>
              <w:rPr>
                <w:rFonts w:hint="eastAsia" w:ascii="宋体" w:hAnsi="宋体" w:cs="宋体"/>
                <w:b/>
                <w:bCs/>
                <w:szCs w:val="21"/>
              </w:rPr>
              <w:t>（三）</w:t>
            </w:r>
          </w:p>
        </w:tc>
      </w:tr>
      <w:tr w14:paraId="5E8DC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63" w:type="dxa"/>
            <w:gridSpan w:val="3"/>
            <w:vAlign w:val="center"/>
          </w:tcPr>
          <w:p w14:paraId="4619001D">
            <w:pPr>
              <w:spacing w:line="400" w:lineRule="exact"/>
              <w:rPr>
                <w:rFonts w:hint="eastAsia" w:ascii="宋体" w:hAnsi="宋体" w:cs="宋体"/>
                <w:b/>
                <w:szCs w:val="21"/>
              </w:rPr>
            </w:pPr>
            <w:r>
              <w:rPr>
                <w:rFonts w:hint="eastAsia" w:ascii="宋体" w:hAnsi="宋体" w:cs="宋体"/>
                <w:b/>
                <w:szCs w:val="21"/>
              </w:rPr>
              <w:t>分标4（D分标）接受联合体投标，接受最多三个投标人（含牵头人数量）组成一个投标联合体参与投标，投标人可以参与一个分标也可以参与多个分标竞标，但为了确保服务的进度及质量，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p>
        </w:tc>
      </w:tr>
    </w:tbl>
    <w:p w14:paraId="077C6FBE">
      <w:pPr>
        <w:rPr>
          <w:rFonts w:hint="eastAsia" w:ascii="宋体" w:hAnsi="宋体"/>
          <w:szCs w:val="21"/>
        </w:rPr>
      </w:pPr>
    </w:p>
    <w:p w14:paraId="6A4F95BA">
      <w:pPr>
        <w:rPr>
          <w:rFonts w:hint="eastAsia" w:ascii="宋体" w:hAnsi="宋体"/>
          <w:szCs w:val="21"/>
        </w:rPr>
      </w:pPr>
      <w:r>
        <w:rPr>
          <w:rFonts w:hint="eastAsia" w:ascii="宋体" w:hAnsi="宋体"/>
          <w:szCs w:val="21"/>
        </w:rPr>
        <w:br w:type="page"/>
      </w:r>
    </w:p>
    <w:p w14:paraId="5FDACAA5">
      <w:pPr>
        <w:pStyle w:val="5"/>
        <w:spacing w:line="400" w:lineRule="exact"/>
        <w:jc w:val="left"/>
        <w:rPr>
          <w:rFonts w:hint="eastAsia" w:ascii="宋体" w:hAnsi="宋体" w:eastAsia="宋体"/>
          <w:sz w:val="21"/>
          <w:szCs w:val="21"/>
        </w:rPr>
      </w:pPr>
      <w:r>
        <w:rPr>
          <w:rFonts w:hint="eastAsia" w:ascii="宋体" w:hAnsi="宋体" w:eastAsia="宋体"/>
          <w:sz w:val="21"/>
          <w:szCs w:val="21"/>
        </w:rPr>
        <w:t>5.分标5（E分标）评分标准：</w:t>
      </w:r>
    </w:p>
    <w:tbl>
      <w:tblPr>
        <w:tblStyle w:val="18"/>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397"/>
        <w:gridCol w:w="6095"/>
        <w:gridCol w:w="992"/>
      </w:tblGrid>
      <w:tr w14:paraId="7CB7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3D0DD047">
            <w:pPr>
              <w:spacing w:line="360" w:lineRule="auto"/>
              <w:jc w:val="center"/>
              <w:rPr>
                <w:rFonts w:hint="eastAsia" w:ascii="宋体" w:hAnsi="宋体" w:cs="宋体"/>
                <w:b/>
                <w:bCs/>
                <w:kern w:val="0"/>
                <w:szCs w:val="21"/>
              </w:rPr>
            </w:pPr>
            <w:r>
              <w:rPr>
                <w:rFonts w:hint="eastAsia" w:ascii="宋体" w:hAnsi="宋体" w:cs="宋体"/>
                <w:b/>
                <w:bCs/>
                <w:kern w:val="0"/>
                <w:szCs w:val="21"/>
              </w:rPr>
              <w:t>序号</w:t>
            </w:r>
          </w:p>
        </w:tc>
        <w:tc>
          <w:tcPr>
            <w:tcW w:w="1397" w:type="dxa"/>
            <w:vAlign w:val="center"/>
          </w:tcPr>
          <w:p w14:paraId="0361D270">
            <w:pPr>
              <w:spacing w:line="360" w:lineRule="auto"/>
              <w:jc w:val="center"/>
              <w:rPr>
                <w:rFonts w:hint="eastAsia" w:ascii="宋体" w:hAnsi="宋体" w:cs="宋体"/>
                <w:b/>
                <w:bCs/>
                <w:kern w:val="0"/>
                <w:szCs w:val="21"/>
              </w:rPr>
            </w:pPr>
            <w:r>
              <w:rPr>
                <w:rFonts w:hint="eastAsia" w:ascii="宋体" w:hAnsi="宋体" w:cs="宋体"/>
                <w:b/>
                <w:bCs/>
                <w:kern w:val="0"/>
                <w:szCs w:val="21"/>
              </w:rPr>
              <w:t>评审因素</w:t>
            </w:r>
          </w:p>
        </w:tc>
        <w:tc>
          <w:tcPr>
            <w:tcW w:w="6095" w:type="dxa"/>
            <w:vAlign w:val="center"/>
          </w:tcPr>
          <w:p w14:paraId="53BA7222">
            <w:pPr>
              <w:spacing w:line="360" w:lineRule="auto"/>
              <w:jc w:val="center"/>
              <w:rPr>
                <w:rFonts w:hint="eastAsia" w:ascii="宋体" w:hAnsi="宋体" w:cs="宋体"/>
                <w:b/>
                <w:bCs/>
                <w:kern w:val="0"/>
                <w:szCs w:val="21"/>
              </w:rPr>
            </w:pPr>
            <w:r>
              <w:rPr>
                <w:rFonts w:hint="eastAsia" w:ascii="宋体" w:hAnsi="宋体" w:cs="宋体"/>
                <w:b/>
                <w:bCs/>
                <w:kern w:val="0"/>
                <w:szCs w:val="21"/>
              </w:rPr>
              <w:t>评审因素具体内容</w:t>
            </w:r>
          </w:p>
        </w:tc>
        <w:tc>
          <w:tcPr>
            <w:tcW w:w="992" w:type="dxa"/>
            <w:vAlign w:val="center"/>
          </w:tcPr>
          <w:p w14:paraId="1DB5413C">
            <w:pPr>
              <w:spacing w:line="360" w:lineRule="auto"/>
              <w:jc w:val="center"/>
              <w:rPr>
                <w:rFonts w:hint="eastAsia" w:ascii="宋体" w:hAnsi="宋体" w:cs="宋体"/>
                <w:b/>
                <w:bCs/>
                <w:kern w:val="0"/>
                <w:szCs w:val="21"/>
              </w:rPr>
            </w:pPr>
            <w:r>
              <w:rPr>
                <w:rFonts w:hint="eastAsia" w:ascii="宋体" w:hAnsi="宋体" w:cs="宋体"/>
                <w:b/>
                <w:bCs/>
                <w:kern w:val="0"/>
                <w:szCs w:val="21"/>
              </w:rPr>
              <w:t>满分</w:t>
            </w:r>
          </w:p>
        </w:tc>
      </w:tr>
      <w:tr w14:paraId="44D4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63FD0C26">
            <w:pPr>
              <w:spacing w:line="360" w:lineRule="auto"/>
              <w:jc w:val="center"/>
              <w:rPr>
                <w:rFonts w:hint="eastAsia" w:ascii="宋体" w:hAnsi="宋体" w:cs="宋体"/>
                <w:b/>
                <w:kern w:val="0"/>
                <w:szCs w:val="21"/>
              </w:rPr>
            </w:pPr>
            <w:r>
              <w:rPr>
                <w:rFonts w:hint="eastAsia" w:ascii="宋体" w:hAnsi="宋体" w:cs="宋体"/>
                <w:b/>
                <w:kern w:val="0"/>
                <w:szCs w:val="21"/>
              </w:rPr>
              <w:t>1</w:t>
            </w:r>
          </w:p>
        </w:tc>
        <w:tc>
          <w:tcPr>
            <w:tcW w:w="1397" w:type="dxa"/>
            <w:vAlign w:val="center"/>
          </w:tcPr>
          <w:p w14:paraId="1128F32F">
            <w:pPr>
              <w:spacing w:line="360" w:lineRule="auto"/>
              <w:jc w:val="center"/>
              <w:rPr>
                <w:rFonts w:hint="eastAsia" w:ascii="宋体" w:hAnsi="宋体" w:cs="宋体"/>
                <w:bCs/>
                <w:kern w:val="0"/>
                <w:szCs w:val="21"/>
              </w:rPr>
            </w:pPr>
            <w:r>
              <w:rPr>
                <w:rFonts w:hint="eastAsia" w:ascii="宋体" w:hAnsi="宋体" w:cs="宋体"/>
                <w:b/>
                <w:bCs/>
                <w:kern w:val="0"/>
                <w:szCs w:val="21"/>
              </w:rPr>
              <w:t>价格分</w:t>
            </w:r>
          </w:p>
        </w:tc>
        <w:tc>
          <w:tcPr>
            <w:tcW w:w="6095" w:type="dxa"/>
            <w:vAlign w:val="center"/>
          </w:tcPr>
          <w:p w14:paraId="2D86A0E3">
            <w:pPr>
              <w:spacing w:line="400" w:lineRule="exact"/>
              <w:rPr>
                <w:rFonts w:hint="eastAsia" w:ascii="宋体" w:hAnsi="宋体" w:cs="宋体"/>
                <w:szCs w:val="21"/>
              </w:rPr>
            </w:pPr>
            <w:r>
              <w:rPr>
                <w:rFonts w:hint="eastAsia" w:ascii="宋体" w:hAnsi="宋体" w:cs="宋体"/>
                <w:szCs w:val="21"/>
              </w:rPr>
              <w:t>1.本分标专门面向中小企业，价格评审时，各供应商不重复享受政策，其评标报价=竞标报价。</w:t>
            </w:r>
          </w:p>
          <w:p w14:paraId="2FDD6F02">
            <w:pPr>
              <w:spacing w:line="400" w:lineRule="exact"/>
              <w:rPr>
                <w:rFonts w:hint="eastAsia" w:ascii="宋体" w:hAnsi="宋体" w:cs="宋体"/>
                <w:szCs w:val="21"/>
              </w:rPr>
            </w:pPr>
            <w:r>
              <w:rPr>
                <w:rFonts w:hint="eastAsia" w:ascii="宋体" w:hAnsi="宋体" w:cs="宋体"/>
                <w:szCs w:val="21"/>
              </w:rPr>
              <w:t>2.满足采购文件要求且评标报价最低的评标报价为评标基准价，其价格分为满分。</w:t>
            </w:r>
          </w:p>
          <w:p w14:paraId="5A31CC7C">
            <w:pPr>
              <w:spacing w:line="400" w:lineRule="exact"/>
              <w:rPr>
                <w:rFonts w:hint="eastAsia" w:ascii="宋体" w:hAnsi="宋体" w:cs="宋体"/>
                <w:szCs w:val="21"/>
              </w:rPr>
            </w:pPr>
            <w:r>
              <w:rPr>
                <w:rFonts w:hint="eastAsia" w:ascii="宋体" w:hAnsi="宋体" w:cs="宋体"/>
                <w:szCs w:val="21"/>
              </w:rPr>
              <w:t>3.价格分计算公式:某供应商报价分公式:某供应商价格分=基准价/某供应商评标报价金额×10分</w:t>
            </w:r>
          </w:p>
          <w:p w14:paraId="0DADA1CF">
            <w:pPr>
              <w:spacing w:line="400" w:lineRule="exact"/>
              <w:rPr>
                <w:rFonts w:hint="eastAsia" w:ascii="宋体" w:hAnsi="宋体" w:cs="宋体"/>
                <w:szCs w:val="21"/>
              </w:rPr>
            </w:pPr>
            <w:r>
              <w:rPr>
                <w:rFonts w:hint="eastAsia" w:ascii="宋体" w:hAnsi="宋体" w:cs="宋体"/>
                <w:szCs w:val="21"/>
              </w:rPr>
              <w:t>4.异常低价说明</w:t>
            </w:r>
          </w:p>
          <w:p w14:paraId="1D6E0E6C">
            <w:pPr>
              <w:spacing w:line="400" w:lineRule="exact"/>
              <w:rPr>
                <w:rFonts w:hint="eastAsia" w:ascii="宋体" w:hAnsi="宋体" w:cs="宋体"/>
                <w:szCs w:val="21"/>
              </w:rPr>
            </w:pPr>
            <w:r>
              <w:rPr>
                <w:rFonts w:hint="eastAsia" w:ascii="宋体" w:hAnsi="宋体" w:cs="宋体"/>
                <w:szCs w:val="21"/>
              </w:rPr>
              <w:t xml:space="preserve">     1）根据《关于推动解决政府采购异常低价问题的通知》财库〔2026〕2号要求，政府采购评审中出现下列情形之一的，评审委员会应当启动异常低价响应审查程序：</w:t>
            </w:r>
          </w:p>
          <w:p w14:paraId="647486EC">
            <w:pPr>
              <w:spacing w:line="400" w:lineRule="exact"/>
              <w:rPr>
                <w:rFonts w:hint="eastAsia" w:ascii="宋体" w:hAnsi="宋体" w:cs="宋体"/>
                <w:szCs w:val="21"/>
              </w:rPr>
            </w:pPr>
            <w:r>
              <w:rPr>
                <w:rFonts w:hint="eastAsia" w:ascii="宋体" w:hAnsi="宋体" w:cs="宋体"/>
                <w:szCs w:val="21"/>
              </w:rPr>
              <w:t>①响应报价低于全部通过符合性审查供应商响应报价平均值50%的，即响应报价&lt;全部通过符合性审查供应商响应报价平均值×50%；</w:t>
            </w:r>
          </w:p>
          <w:p w14:paraId="6E6B80B1">
            <w:pPr>
              <w:spacing w:line="400" w:lineRule="exact"/>
              <w:rPr>
                <w:rFonts w:hint="eastAsia" w:ascii="宋体" w:hAnsi="宋体" w:cs="宋体"/>
                <w:szCs w:val="21"/>
              </w:rPr>
            </w:pPr>
            <w:r>
              <w:rPr>
                <w:rFonts w:hint="eastAsia" w:ascii="宋体" w:hAnsi="宋体" w:cs="宋体"/>
                <w:szCs w:val="21"/>
              </w:rPr>
              <w:t>②响应报价低于通过符合性审查的次低报价供应商响应报价50%的，即响应报价&lt;通过符合性审查的次低报价供应商投标（响应）报价×50%；</w:t>
            </w:r>
          </w:p>
          <w:p w14:paraId="6E2352E8">
            <w:pPr>
              <w:spacing w:line="400" w:lineRule="exact"/>
              <w:rPr>
                <w:rFonts w:hint="eastAsia" w:ascii="宋体" w:hAnsi="宋体" w:cs="宋体"/>
                <w:szCs w:val="21"/>
              </w:rPr>
            </w:pPr>
            <w:r>
              <w:rPr>
                <w:rFonts w:hint="eastAsia" w:ascii="宋体" w:hAnsi="宋体" w:cs="宋体"/>
                <w:szCs w:val="21"/>
              </w:rPr>
              <w:t>③响应报价低于采购项目最高限价45%的，即响应报价&lt;采购项目最高限价×45%；</w:t>
            </w:r>
          </w:p>
          <w:p w14:paraId="1F25F956">
            <w:pPr>
              <w:spacing w:line="400" w:lineRule="exact"/>
              <w:rPr>
                <w:rFonts w:hint="eastAsia" w:ascii="宋体" w:hAnsi="宋体" w:cs="宋体"/>
                <w:szCs w:val="21"/>
              </w:rPr>
            </w:pPr>
            <w:r>
              <w:rPr>
                <w:rFonts w:hint="eastAsia" w:ascii="宋体" w:hAnsi="宋体" w:cs="宋体"/>
                <w:szCs w:val="21"/>
              </w:rPr>
              <w:t>④评审委员会基于专业判断，认为供应商报价过低，有可能影响产品质量或者不能诚信履约的其他情形。</w:t>
            </w:r>
          </w:p>
          <w:p w14:paraId="40500448">
            <w:pPr>
              <w:spacing w:line="400" w:lineRule="exact"/>
              <w:rPr>
                <w:rFonts w:hint="eastAsia" w:ascii="宋体" w:hAnsi="宋体" w:cs="宋体"/>
                <w:szCs w:val="21"/>
              </w:rPr>
            </w:pPr>
            <w:r>
              <w:rPr>
                <w:rFonts w:hint="eastAsia" w:ascii="宋体" w:hAnsi="宋体" w:cs="宋体"/>
                <w:szCs w:val="21"/>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7BCD5F3">
            <w:pPr>
              <w:spacing w:line="400" w:lineRule="exact"/>
              <w:rPr>
                <w:rFonts w:hint="eastAsia" w:ascii="宋体" w:hAnsi="宋体" w:cs="宋体"/>
                <w:szCs w:val="21"/>
              </w:rPr>
            </w:pPr>
            <w:r>
              <w:rPr>
                <w:rFonts w:hint="eastAsia" w:ascii="宋体" w:hAnsi="宋体" w:cs="宋体"/>
                <w:szCs w:val="21"/>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0CCD590D">
            <w:pPr>
              <w:spacing w:line="400" w:lineRule="exact"/>
              <w:rPr>
                <w:rFonts w:hint="eastAsia" w:ascii="宋体" w:hAnsi="宋体" w:cs="宋体"/>
                <w:szCs w:val="21"/>
              </w:rPr>
            </w:pPr>
            <w:r>
              <w:rPr>
                <w:rFonts w:hint="eastAsia" w:ascii="宋体" w:hAnsi="宋体" w:cs="宋体"/>
                <w:szCs w:val="21"/>
              </w:rPr>
              <w:t>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373BA60E">
            <w:pPr>
              <w:spacing w:line="360" w:lineRule="auto"/>
              <w:jc w:val="left"/>
              <w:rPr>
                <w:rFonts w:hint="eastAsia" w:ascii="宋体" w:hAnsi="宋体" w:cs="宋体"/>
                <w:bCs/>
                <w:szCs w:val="21"/>
              </w:rPr>
            </w:pPr>
            <w:r>
              <w:rPr>
                <w:rFonts w:hint="eastAsia" w:ascii="宋体" w:hAnsi="宋体" w:cs="宋体"/>
                <w:szCs w:val="21"/>
              </w:rPr>
              <w:t>　　5）异常低价投标（响应）审查的启动原因、审查意见和审查结果应当在评审报告中记录，并随供应商提供的相关书面说明及证明材料，以及评审委员会有关互联网浏览、查询历史一并归档。</w:t>
            </w:r>
          </w:p>
        </w:tc>
        <w:tc>
          <w:tcPr>
            <w:tcW w:w="992" w:type="dxa"/>
            <w:vAlign w:val="center"/>
          </w:tcPr>
          <w:p w14:paraId="41D88FE2">
            <w:pPr>
              <w:spacing w:line="360" w:lineRule="auto"/>
              <w:jc w:val="center"/>
              <w:rPr>
                <w:rFonts w:hint="eastAsia" w:ascii="宋体" w:hAnsi="宋体" w:cs="宋体"/>
                <w:kern w:val="0"/>
                <w:szCs w:val="21"/>
              </w:rPr>
            </w:pPr>
            <w:r>
              <w:rPr>
                <w:rFonts w:hint="eastAsia" w:ascii="宋体" w:hAnsi="宋体" w:cs="宋体"/>
                <w:kern w:val="0"/>
                <w:szCs w:val="21"/>
              </w:rPr>
              <w:t>10分</w:t>
            </w:r>
          </w:p>
        </w:tc>
      </w:tr>
      <w:tr w14:paraId="5085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1B32F16E">
            <w:pPr>
              <w:spacing w:line="360" w:lineRule="auto"/>
              <w:jc w:val="center"/>
              <w:rPr>
                <w:rFonts w:hint="eastAsia" w:ascii="宋体" w:hAnsi="宋体" w:cs="宋体"/>
                <w:b/>
                <w:bCs/>
                <w:kern w:val="0"/>
                <w:szCs w:val="21"/>
              </w:rPr>
            </w:pPr>
            <w:r>
              <w:rPr>
                <w:rFonts w:hint="eastAsia" w:ascii="宋体" w:hAnsi="宋体" w:cs="宋体"/>
                <w:b/>
                <w:bCs/>
                <w:kern w:val="0"/>
                <w:szCs w:val="21"/>
              </w:rPr>
              <w:t>2</w:t>
            </w:r>
          </w:p>
        </w:tc>
        <w:tc>
          <w:tcPr>
            <w:tcW w:w="1397" w:type="dxa"/>
            <w:vAlign w:val="center"/>
          </w:tcPr>
          <w:p w14:paraId="066E5E8A">
            <w:pPr>
              <w:spacing w:line="360" w:lineRule="auto"/>
              <w:jc w:val="center"/>
              <w:rPr>
                <w:rFonts w:hint="eastAsia" w:ascii="宋体" w:hAnsi="宋体" w:cs="宋体"/>
                <w:b/>
                <w:bCs/>
                <w:kern w:val="0"/>
                <w:szCs w:val="21"/>
              </w:rPr>
            </w:pPr>
            <w:r>
              <w:rPr>
                <w:rFonts w:hint="eastAsia" w:ascii="宋体" w:hAnsi="宋体" w:cs="宋体"/>
                <w:b/>
                <w:bCs/>
                <w:kern w:val="0"/>
                <w:szCs w:val="21"/>
              </w:rPr>
              <w:t>技术分</w:t>
            </w:r>
          </w:p>
        </w:tc>
        <w:tc>
          <w:tcPr>
            <w:tcW w:w="6095" w:type="dxa"/>
            <w:vAlign w:val="center"/>
          </w:tcPr>
          <w:p w14:paraId="7FDB4385">
            <w:pPr>
              <w:spacing w:line="360" w:lineRule="auto"/>
              <w:jc w:val="center"/>
              <w:rPr>
                <w:rFonts w:hint="eastAsia" w:ascii="宋体" w:hAnsi="宋体" w:cs="宋体"/>
                <w:b/>
                <w:bCs/>
                <w:kern w:val="0"/>
                <w:szCs w:val="21"/>
              </w:rPr>
            </w:pPr>
            <w:r>
              <w:rPr>
                <w:rFonts w:hint="eastAsia" w:ascii="宋体" w:hAnsi="宋体" w:cs="宋体"/>
                <w:b/>
                <w:bCs/>
                <w:kern w:val="0"/>
                <w:szCs w:val="21"/>
              </w:rPr>
              <w:t>评审因素</w:t>
            </w:r>
          </w:p>
        </w:tc>
        <w:tc>
          <w:tcPr>
            <w:tcW w:w="992" w:type="dxa"/>
            <w:vAlign w:val="center"/>
          </w:tcPr>
          <w:p w14:paraId="55B5DC9D">
            <w:pPr>
              <w:spacing w:line="360" w:lineRule="auto"/>
              <w:jc w:val="center"/>
              <w:rPr>
                <w:rFonts w:hint="eastAsia" w:ascii="宋体" w:hAnsi="宋体" w:cs="宋体"/>
                <w:b/>
                <w:bCs/>
                <w:kern w:val="0"/>
                <w:szCs w:val="21"/>
              </w:rPr>
            </w:pPr>
            <w:r>
              <w:rPr>
                <w:rFonts w:hint="eastAsia" w:ascii="宋体" w:hAnsi="宋体" w:cs="宋体"/>
                <w:b/>
                <w:bCs/>
                <w:kern w:val="0"/>
                <w:szCs w:val="21"/>
              </w:rPr>
              <w:t>60分</w:t>
            </w:r>
          </w:p>
        </w:tc>
      </w:tr>
      <w:tr w14:paraId="31A2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46EDB8EA">
            <w:pPr>
              <w:spacing w:line="360" w:lineRule="auto"/>
              <w:jc w:val="center"/>
              <w:rPr>
                <w:rFonts w:hint="eastAsia" w:ascii="宋体" w:hAnsi="宋体" w:cs="宋体"/>
                <w:bCs/>
                <w:kern w:val="0"/>
                <w:szCs w:val="21"/>
              </w:rPr>
            </w:pPr>
            <w:r>
              <w:rPr>
                <w:rFonts w:hint="eastAsia" w:ascii="宋体" w:hAnsi="宋体" w:cs="宋体"/>
                <w:bCs/>
                <w:kern w:val="0"/>
                <w:szCs w:val="21"/>
              </w:rPr>
              <w:t>2.1</w:t>
            </w:r>
          </w:p>
        </w:tc>
        <w:tc>
          <w:tcPr>
            <w:tcW w:w="1397" w:type="dxa"/>
            <w:vAlign w:val="center"/>
          </w:tcPr>
          <w:p w14:paraId="7D997F35">
            <w:pPr>
              <w:adjustRightInd w:val="0"/>
              <w:spacing w:line="380" w:lineRule="exact"/>
              <w:jc w:val="center"/>
              <w:textAlignment w:val="baseline"/>
              <w:rPr>
                <w:rFonts w:hint="eastAsia" w:ascii="宋体" w:hAnsi="宋体" w:cs="宋体"/>
                <w:bCs/>
                <w:kern w:val="0"/>
                <w:szCs w:val="21"/>
              </w:rPr>
            </w:pPr>
            <w:r>
              <w:rPr>
                <w:rFonts w:hint="eastAsia" w:ascii="宋体" w:hAnsi="宋体" w:cs="宋体"/>
                <w:szCs w:val="21"/>
              </w:rPr>
              <w:t>技术方案分</w:t>
            </w:r>
          </w:p>
        </w:tc>
        <w:tc>
          <w:tcPr>
            <w:tcW w:w="6095" w:type="dxa"/>
            <w:vAlign w:val="center"/>
          </w:tcPr>
          <w:p w14:paraId="05084DCA">
            <w:pPr>
              <w:pStyle w:val="11"/>
              <w:spacing w:line="380" w:lineRule="exact"/>
              <w:ind w:firstLine="420" w:firstLineChars="200"/>
              <w:rPr>
                <w:rFonts w:hint="eastAsia" w:hAnsi="宋体" w:cs="宋体"/>
                <w:sz w:val="21"/>
              </w:rPr>
            </w:pPr>
            <w:r>
              <w:rPr>
                <w:rFonts w:hint="eastAsia" w:hAnsi="宋体" w:cs="宋体"/>
                <w:sz w:val="21"/>
              </w:rPr>
              <w:t>由评委根据供应商提供的技术方案（包括：①项目建设背景、目标、范围、②项目的技术重点、难点、③监理要点）进行评定。</w:t>
            </w:r>
          </w:p>
          <w:p w14:paraId="7917C1FD">
            <w:pPr>
              <w:pStyle w:val="11"/>
              <w:spacing w:line="380" w:lineRule="exact"/>
              <w:ind w:firstLine="420" w:firstLineChars="200"/>
              <w:rPr>
                <w:rFonts w:hint="eastAsia" w:hAnsi="宋体" w:cs="宋体"/>
                <w:sz w:val="21"/>
              </w:rPr>
            </w:pPr>
            <w:r>
              <w:rPr>
                <w:rFonts w:hint="eastAsia" w:hAnsi="宋体" w:cs="宋体"/>
                <w:sz w:val="21"/>
              </w:rPr>
              <w:t>未提供方案或未达到一档要求的不得分。</w:t>
            </w:r>
          </w:p>
          <w:p w14:paraId="3F05D2AB">
            <w:pPr>
              <w:pStyle w:val="11"/>
              <w:spacing w:line="380" w:lineRule="exact"/>
              <w:ind w:firstLine="420" w:firstLineChars="200"/>
              <w:rPr>
                <w:rFonts w:hint="eastAsia" w:hAnsi="宋体" w:cs="宋体"/>
                <w:sz w:val="21"/>
              </w:rPr>
            </w:pPr>
            <w:r>
              <w:rPr>
                <w:rFonts w:hint="eastAsia" w:hAnsi="宋体" w:cs="宋体"/>
                <w:sz w:val="21"/>
              </w:rPr>
              <w:t>一档（3分）：上述3项内容仅提供1项，内容符合项目实施要求的。</w:t>
            </w:r>
          </w:p>
          <w:p w14:paraId="586CA696">
            <w:pPr>
              <w:pStyle w:val="11"/>
              <w:spacing w:line="380" w:lineRule="exact"/>
              <w:ind w:firstLine="420" w:firstLineChars="200"/>
              <w:rPr>
                <w:rFonts w:hint="eastAsia" w:hAnsi="宋体" w:cs="宋体"/>
                <w:sz w:val="21"/>
              </w:rPr>
            </w:pPr>
            <w:r>
              <w:rPr>
                <w:rFonts w:hint="eastAsia" w:hAnsi="宋体" w:cs="宋体"/>
                <w:sz w:val="21"/>
              </w:rPr>
              <w:t>二档（9分）：上述3项内容仅提供2项，内容符合项目实施要求的。</w:t>
            </w:r>
          </w:p>
          <w:p w14:paraId="05F5DE16">
            <w:pPr>
              <w:pStyle w:val="11"/>
              <w:spacing w:line="380" w:lineRule="exact"/>
              <w:ind w:firstLine="420" w:firstLineChars="200"/>
              <w:rPr>
                <w:rFonts w:hint="eastAsia" w:hAnsi="宋体" w:cs="宋体"/>
                <w:sz w:val="21"/>
              </w:rPr>
            </w:pPr>
            <w:r>
              <w:rPr>
                <w:rFonts w:hint="eastAsia" w:hAnsi="宋体" w:cs="宋体"/>
                <w:sz w:val="21"/>
              </w:rPr>
              <w:t>三档（15分）：提供上述3项内容，</w:t>
            </w:r>
            <w:r>
              <w:rPr>
                <w:rFonts w:hint="eastAsia" w:hAnsi="宋体" w:cs="宋体"/>
                <w:bCs/>
                <w:sz w:val="21"/>
              </w:rPr>
              <w:t>符合项目实施要求</w:t>
            </w:r>
            <w:r>
              <w:rPr>
                <w:rFonts w:hint="eastAsia" w:hAnsi="宋体" w:cs="宋体"/>
                <w:sz w:val="21"/>
              </w:rPr>
              <w:t xml:space="preserve">。 </w:t>
            </w:r>
          </w:p>
        </w:tc>
        <w:tc>
          <w:tcPr>
            <w:tcW w:w="992" w:type="dxa"/>
            <w:vAlign w:val="center"/>
          </w:tcPr>
          <w:p w14:paraId="756143B7">
            <w:pPr>
              <w:spacing w:line="360" w:lineRule="auto"/>
              <w:jc w:val="center"/>
              <w:rPr>
                <w:rFonts w:hint="eastAsia" w:ascii="宋体" w:hAnsi="宋体" w:cs="宋体"/>
                <w:bCs/>
                <w:kern w:val="0"/>
                <w:szCs w:val="21"/>
              </w:rPr>
            </w:pPr>
            <w:r>
              <w:rPr>
                <w:rFonts w:hint="eastAsia" w:ascii="宋体" w:hAnsi="宋体" w:cs="宋体"/>
                <w:bCs/>
                <w:kern w:val="0"/>
                <w:szCs w:val="21"/>
              </w:rPr>
              <w:t>15分</w:t>
            </w:r>
          </w:p>
        </w:tc>
      </w:tr>
      <w:tr w14:paraId="1277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5A55B18A">
            <w:pPr>
              <w:spacing w:line="360" w:lineRule="auto"/>
              <w:jc w:val="center"/>
              <w:rPr>
                <w:rFonts w:hint="eastAsia" w:ascii="宋体" w:hAnsi="宋体" w:cs="宋体"/>
                <w:bCs/>
                <w:kern w:val="0"/>
                <w:szCs w:val="21"/>
              </w:rPr>
            </w:pPr>
            <w:r>
              <w:rPr>
                <w:rFonts w:hint="eastAsia" w:ascii="宋体" w:hAnsi="宋体" w:cs="宋体"/>
                <w:bCs/>
                <w:kern w:val="0"/>
                <w:szCs w:val="21"/>
              </w:rPr>
              <w:t>2.2</w:t>
            </w:r>
          </w:p>
        </w:tc>
        <w:tc>
          <w:tcPr>
            <w:tcW w:w="1397" w:type="dxa"/>
            <w:vAlign w:val="center"/>
          </w:tcPr>
          <w:p w14:paraId="46ECD226">
            <w:pPr>
              <w:adjustRightInd w:val="0"/>
              <w:spacing w:line="380" w:lineRule="exact"/>
              <w:jc w:val="center"/>
              <w:textAlignment w:val="baseline"/>
              <w:rPr>
                <w:rFonts w:hint="eastAsia" w:ascii="宋体" w:hAnsi="宋体" w:cs="宋体"/>
                <w:bCs/>
                <w:kern w:val="0"/>
                <w:szCs w:val="21"/>
              </w:rPr>
            </w:pPr>
            <w:r>
              <w:rPr>
                <w:rFonts w:hint="eastAsia" w:ascii="宋体" w:hAnsi="宋体" w:cs="宋体"/>
                <w:szCs w:val="21"/>
              </w:rPr>
              <w:t>实施计划分</w:t>
            </w:r>
          </w:p>
        </w:tc>
        <w:tc>
          <w:tcPr>
            <w:tcW w:w="6095" w:type="dxa"/>
            <w:vAlign w:val="center"/>
          </w:tcPr>
          <w:p w14:paraId="41EB0FC2">
            <w:pPr>
              <w:pStyle w:val="11"/>
              <w:spacing w:line="380" w:lineRule="exact"/>
              <w:ind w:firstLine="420" w:firstLineChars="200"/>
              <w:rPr>
                <w:rFonts w:hint="eastAsia" w:hAnsi="宋体" w:cs="宋体"/>
                <w:sz w:val="21"/>
              </w:rPr>
            </w:pPr>
            <w:r>
              <w:rPr>
                <w:rFonts w:hint="eastAsia" w:hAnsi="宋体" w:cs="宋体"/>
                <w:sz w:val="21"/>
              </w:rPr>
              <w:t>由评委根据供应商提供的监理实施计划（包括：①施工方案深化设计的监理实施计划、②工程实施的监理实施计划、③工程验收的监理实施计划、④质量保证期的监理实施计划）进行评定。</w:t>
            </w:r>
          </w:p>
          <w:p w14:paraId="092F8FC3">
            <w:pPr>
              <w:pStyle w:val="11"/>
              <w:spacing w:line="380" w:lineRule="exact"/>
              <w:ind w:firstLine="420" w:firstLineChars="200"/>
              <w:rPr>
                <w:rFonts w:hint="eastAsia" w:hAnsi="宋体" w:cs="宋体"/>
                <w:sz w:val="21"/>
              </w:rPr>
            </w:pPr>
            <w:r>
              <w:rPr>
                <w:rFonts w:hint="eastAsia" w:hAnsi="宋体" w:cs="宋体"/>
                <w:sz w:val="21"/>
              </w:rPr>
              <w:t>未提供实施计划或未达到一档要求的不得分。</w:t>
            </w:r>
          </w:p>
          <w:p w14:paraId="2D6DFAB9">
            <w:pPr>
              <w:pStyle w:val="11"/>
              <w:spacing w:line="380" w:lineRule="exact"/>
              <w:ind w:firstLine="420" w:firstLineChars="200"/>
              <w:rPr>
                <w:rFonts w:hint="eastAsia" w:hAnsi="宋体" w:cs="宋体"/>
                <w:sz w:val="21"/>
              </w:rPr>
            </w:pPr>
            <w:r>
              <w:rPr>
                <w:rFonts w:hint="eastAsia" w:hAnsi="宋体" w:cs="宋体"/>
                <w:sz w:val="21"/>
              </w:rPr>
              <w:t>一档（3分）：上述4项内容仅提供2项，内容符合项目实施要求的。</w:t>
            </w:r>
          </w:p>
          <w:p w14:paraId="5D3E5209">
            <w:pPr>
              <w:pStyle w:val="11"/>
              <w:spacing w:line="380" w:lineRule="exact"/>
              <w:ind w:firstLine="420" w:firstLineChars="200"/>
              <w:rPr>
                <w:rFonts w:hint="eastAsia" w:hAnsi="宋体" w:cs="宋体"/>
                <w:sz w:val="21"/>
              </w:rPr>
            </w:pPr>
            <w:r>
              <w:rPr>
                <w:rFonts w:hint="eastAsia" w:hAnsi="宋体" w:cs="宋体"/>
                <w:sz w:val="21"/>
              </w:rPr>
              <w:t>二档（9分）：上述4项内容仅提供3项，内容符合项目实施要求的。</w:t>
            </w:r>
          </w:p>
          <w:p w14:paraId="5969144F">
            <w:pPr>
              <w:pStyle w:val="11"/>
              <w:spacing w:line="380" w:lineRule="exact"/>
              <w:ind w:firstLine="420" w:firstLineChars="200"/>
              <w:rPr>
                <w:rFonts w:hint="eastAsia" w:hAnsi="宋体" w:cs="宋体"/>
                <w:sz w:val="21"/>
              </w:rPr>
            </w:pPr>
            <w:r>
              <w:rPr>
                <w:rFonts w:hint="eastAsia" w:hAnsi="宋体" w:cs="宋体"/>
                <w:sz w:val="21"/>
              </w:rPr>
              <w:t>三档（15分）：提供上述4项内容，</w:t>
            </w:r>
            <w:r>
              <w:rPr>
                <w:rFonts w:hint="eastAsia" w:hAnsi="宋体" w:cs="宋体"/>
                <w:bCs/>
                <w:sz w:val="21"/>
              </w:rPr>
              <w:t>符合项目实施要求</w:t>
            </w:r>
            <w:r>
              <w:rPr>
                <w:rFonts w:hint="eastAsia" w:hAnsi="宋体" w:cs="宋体"/>
                <w:sz w:val="21"/>
              </w:rPr>
              <w:t>。</w:t>
            </w:r>
          </w:p>
        </w:tc>
        <w:tc>
          <w:tcPr>
            <w:tcW w:w="992" w:type="dxa"/>
            <w:vAlign w:val="center"/>
          </w:tcPr>
          <w:p w14:paraId="68208719">
            <w:pPr>
              <w:spacing w:line="360" w:lineRule="auto"/>
              <w:jc w:val="center"/>
              <w:rPr>
                <w:rFonts w:hint="eastAsia" w:ascii="宋体" w:hAnsi="宋体" w:cs="宋体"/>
                <w:bCs/>
                <w:kern w:val="0"/>
                <w:szCs w:val="21"/>
              </w:rPr>
            </w:pPr>
            <w:r>
              <w:rPr>
                <w:rFonts w:hint="eastAsia" w:ascii="宋体" w:hAnsi="宋体" w:cs="宋体"/>
                <w:bCs/>
                <w:kern w:val="0"/>
                <w:szCs w:val="21"/>
              </w:rPr>
              <w:t>15分</w:t>
            </w:r>
          </w:p>
        </w:tc>
      </w:tr>
      <w:tr w14:paraId="20E5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01635BFF">
            <w:pPr>
              <w:spacing w:line="360" w:lineRule="auto"/>
              <w:jc w:val="center"/>
              <w:rPr>
                <w:rFonts w:hint="eastAsia" w:ascii="宋体" w:hAnsi="宋体" w:cs="宋体"/>
                <w:bCs/>
                <w:kern w:val="0"/>
                <w:szCs w:val="21"/>
              </w:rPr>
            </w:pPr>
            <w:r>
              <w:rPr>
                <w:rFonts w:hint="eastAsia" w:ascii="宋体" w:hAnsi="宋体" w:cs="宋体"/>
                <w:bCs/>
                <w:kern w:val="0"/>
                <w:szCs w:val="21"/>
              </w:rPr>
              <w:t>2.3</w:t>
            </w:r>
          </w:p>
        </w:tc>
        <w:tc>
          <w:tcPr>
            <w:tcW w:w="1397" w:type="dxa"/>
            <w:vAlign w:val="center"/>
          </w:tcPr>
          <w:p w14:paraId="2CBC722B">
            <w:pPr>
              <w:spacing w:line="380" w:lineRule="exact"/>
              <w:jc w:val="center"/>
              <w:rPr>
                <w:rFonts w:hint="eastAsia" w:ascii="宋体" w:hAnsi="宋体" w:cs="宋体"/>
                <w:bCs/>
                <w:kern w:val="0"/>
                <w:szCs w:val="21"/>
              </w:rPr>
            </w:pPr>
            <w:r>
              <w:rPr>
                <w:rFonts w:hint="eastAsia" w:ascii="宋体" w:hAnsi="宋体" w:cs="宋体"/>
                <w:szCs w:val="21"/>
              </w:rPr>
              <w:t>质量保证措施分</w:t>
            </w:r>
          </w:p>
        </w:tc>
        <w:tc>
          <w:tcPr>
            <w:tcW w:w="6095" w:type="dxa"/>
            <w:vAlign w:val="center"/>
          </w:tcPr>
          <w:p w14:paraId="6AD52C5B">
            <w:pPr>
              <w:pStyle w:val="11"/>
              <w:spacing w:line="380" w:lineRule="exact"/>
              <w:ind w:firstLine="420" w:firstLineChars="200"/>
              <w:rPr>
                <w:rFonts w:hint="eastAsia" w:hAnsi="宋体" w:cs="宋体"/>
                <w:sz w:val="21"/>
              </w:rPr>
            </w:pPr>
            <w:r>
              <w:rPr>
                <w:rFonts w:hint="eastAsia" w:hAnsi="宋体" w:cs="宋体"/>
                <w:sz w:val="21"/>
              </w:rPr>
              <w:t>由评委根据供应商提供的监理服务质量保证措施（包括：①质量控制、②总体工程关键节点的质量把控、③工程验收的措施及程序、④应急措施）进行评定。</w:t>
            </w:r>
          </w:p>
          <w:p w14:paraId="51E80D5E">
            <w:pPr>
              <w:pStyle w:val="11"/>
              <w:spacing w:line="380" w:lineRule="exact"/>
              <w:ind w:firstLine="420" w:firstLineChars="200"/>
              <w:rPr>
                <w:rFonts w:hint="eastAsia" w:hAnsi="宋体" w:cs="宋体"/>
                <w:sz w:val="21"/>
              </w:rPr>
            </w:pPr>
            <w:r>
              <w:rPr>
                <w:rFonts w:hint="eastAsia" w:hAnsi="宋体" w:cs="宋体"/>
                <w:sz w:val="21"/>
              </w:rPr>
              <w:t>未提供质量保证措施或未达到一档要求的不得分。</w:t>
            </w:r>
          </w:p>
          <w:p w14:paraId="25C1DA68">
            <w:pPr>
              <w:pStyle w:val="11"/>
              <w:spacing w:line="380" w:lineRule="exact"/>
              <w:ind w:firstLine="420" w:firstLineChars="200"/>
              <w:rPr>
                <w:rFonts w:hint="eastAsia" w:hAnsi="宋体" w:cs="宋体"/>
                <w:sz w:val="21"/>
              </w:rPr>
            </w:pPr>
            <w:r>
              <w:rPr>
                <w:rFonts w:hint="eastAsia" w:hAnsi="宋体" w:cs="宋体"/>
                <w:sz w:val="21"/>
              </w:rPr>
              <w:t>一档（3分）：上述4项内容仅提供2项，内容符合项目实施要求的。</w:t>
            </w:r>
          </w:p>
          <w:p w14:paraId="292AC7AB">
            <w:pPr>
              <w:pStyle w:val="11"/>
              <w:spacing w:line="380" w:lineRule="exact"/>
              <w:ind w:firstLine="420" w:firstLineChars="200"/>
              <w:rPr>
                <w:rFonts w:hint="eastAsia" w:hAnsi="宋体" w:cs="宋体"/>
                <w:sz w:val="21"/>
              </w:rPr>
            </w:pPr>
            <w:r>
              <w:rPr>
                <w:rFonts w:hint="eastAsia" w:hAnsi="宋体" w:cs="宋体"/>
                <w:sz w:val="21"/>
              </w:rPr>
              <w:t>二档（6分）：上述4项内容仅提供3项，内容符合项目实施要求的。</w:t>
            </w:r>
          </w:p>
          <w:p w14:paraId="2F3DC512">
            <w:pPr>
              <w:pStyle w:val="11"/>
              <w:spacing w:line="380" w:lineRule="exact"/>
              <w:ind w:firstLine="420" w:firstLineChars="200"/>
              <w:rPr>
                <w:rFonts w:hint="eastAsia" w:hAnsi="宋体" w:cs="宋体"/>
                <w:bCs/>
                <w:sz w:val="21"/>
              </w:rPr>
            </w:pPr>
            <w:r>
              <w:rPr>
                <w:rFonts w:hint="eastAsia" w:hAnsi="宋体" w:cs="宋体"/>
                <w:sz w:val="21"/>
              </w:rPr>
              <w:t>三档（10分）：提供上述4项内容，</w:t>
            </w:r>
            <w:r>
              <w:rPr>
                <w:rFonts w:hint="eastAsia" w:hAnsi="宋体" w:cs="宋体"/>
                <w:bCs/>
                <w:sz w:val="21"/>
              </w:rPr>
              <w:t>符合项目实施要求</w:t>
            </w:r>
            <w:r>
              <w:rPr>
                <w:rFonts w:hint="eastAsia" w:hAnsi="宋体" w:cs="宋体"/>
                <w:sz w:val="21"/>
              </w:rPr>
              <w:t>。</w:t>
            </w:r>
          </w:p>
        </w:tc>
        <w:tc>
          <w:tcPr>
            <w:tcW w:w="992" w:type="dxa"/>
            <w:vAlign w:val="center"/>
          </w:tcPr>
          <w:p w14:paraId="6A3F53D0">
            <w:pPr>
              <w:spacing w:line="360" w:lineRule="auto"/>
              <w:jc w:val="center"/>
              <w:rPr>
                <w:rFonts w:hint="eastAsia" w:ascii="宋体" w:hAnsi="宋体" w:cs="宋体"/>
                <w:bCs/>
                <w:kern w:val="0"/>
                <w:szCs w:val="21"/>
              </w:rPr>
            </w:pPr>
            <w:r>
              <w:rPr>
                <w:rFonts w:hint="eastAsia" w:ascii="宋体" w:hAnsi="宋体" w:cs="宋体"/>
                <w:bCs/>
                <w:kern w:val="0"/>
                <w:szCs w:val="21"/>
              </w:rPr>
              <w:t>10分</w:t>
            </w:r>
          </w:p>
        </w:tc>
      </w:tr>
      <w:tr w14:paraId="3DD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6DD64628">
            <w:pPr>
              <w:spacing w:line="360" w:lineRule="auto"/>
              <w:jc w:val="center"/>
              <w:rPr>
                <w:rFonts w:hint="eastAsia" w:ascii="宋体" w:hAnsi="宋体" w:cs="宋体"/>
                <w:bCs/>
                <w:kern w:val="0"/>
                <w:szCs w:val="21"/>
              </w:rPr>
            </w:pPr>
            <w:r>
              <w:rPr>
                <w:rFonts w:hint="eastAsia" w:ascii="宋体" w:hAnsi="宋体" w:cs="宋体"/>
                <w:bCs/>
                <w:kern w:val="0"/>
                <w:szCs w:val="21"/>
              </w:rPr>
              <w:t>2.4</w:t>
            </w:r>
          </w:p>
        </w:tc>
        <w:tc>
          <w:tcPr>
            <w:tcW w:w="1397" w:type="dxa"/>
            <w:vAlign w:val="center"/>
          </w:tcPr>
          <w:p w14:paraId="50F18CC6">
            <w:pPr>
              <w:spacing w:line="380" w:lineRule="exact"/>
              <w:jc w:val="center"/>
              <w:rPr>
                <w:rFonts w:hint="eastAsia" w:ascii="宋体" w:hAnsi="宋体" w:cs="宋体"/>
                <w:bCs/>
                <w:kern w:val="0"/>
                <w:szCs w:val="21"/>
              </w:rPr>
            </w:pPr>
            <w:r>
              <w:rPr>
                <w:rFonts w:hint="eastAsia" w:ascii="宋体" w:hAnsi="宋体" w:cs="宋体"/>
                <w:szCs w:val="21"/>
              </w:rPr>
              <w:t>监理细则分</w:t>
            </w:r>
          </w:p>
        </w:tc>
        <w:tc>
          <w:tcPr>
            <w:tcW w:w="6095" w:type="dxa"/>
            <w:vAlign w:val="center"/>
          </w:tcPr>
          <w:p w14:paraId="56806811">
            <w:pPr>
              <w:pStyle w:val="11"/>
              <w:spacing w:line="380" w:lineRule="exact"/>
              <w:ind w:firstLine="420" w:firstLineChars="200"/>
              <w:rPr>
                <w:rFonts w:hint="eastAsia" w:hAnsi="宋体" w:cs="宋体"/>
                <w:sz w:val="21"/>
              </w:rPr>
            </w:pPr>
            <w:r>
              <w:rPr>
                <w:rFonts w:hint="eastAsia" w:hAnsi="宋体" w:cs="宋体"/>
                <w:sz w:val="21"/>
              </w:rPr>
              <w:t>由评委根据供应商对项目各监理阶段（设计阶段、实施阶段、验收阶段）各实施场所监理内容、方法进行评定，包括①监理细则结构、②监理工作流程、③监理方法三项：</w:t>
            </w:r>
          </w:p>
          <w:p w14:paraId="12683677">
            <w:pPr>
              <w:pStyle w:val="11"/>
              <w:spacing w:line="380" w:lineRule="exact"/>
              <w:ind w:firstLine="420" w:firstLineChars="200"/>
              <w:rPr>
                <w:rFonts w:hint="eastAsia" w:hAnsi="宋体" w:cs="宋体"/>
                <w:sz w:val="21"/>
              </w:rPr>
            </w:pPr>
            <w:r>
              <w:rPr>
                <w:rFonts w:hint="eastAsia" w:hAnsi="宋体" w:cs="宋体"/>
                <w:sz w:val="21"/>
              </w:rPr>
              <w:t>未提供监理细则或未达到一档要求的不得分。</w:t>
            </w:r>
          </w:p>
          <w:p w14:paraId="4F52F7E8">
            <w:pPr>
              <w:pStyle w:val="11"/>
              <w:spacing w:line="380" w:lineRule="exact"/>
              <w:ind w:firstLine="420" w:firstLineChars="200"/>
              <w:rPr>
                <w:rFonts w:hint="eastAsia" w:hAnsi="宋体" w:cs="宋体"/>
                <w:sz w:val="21"/>
              </w:rPr>
            </w:pPr>
            <w:r>
              <w:rPr>
                <w:rFonts w:hint="eastAsia" w:hAnsi="宋体" w:cs="宋体"/>
                <w:sz w:val="21"/>
              </w:rPr>
              <w:t>一档（3分）：上述3项内容仅提供1项，内容符合项目实施要求的。</w:t>
            </w:r>
          </w:p>
          <w:p w14:paraId="697DF258">
            <w:pPr>
              <w:pStyle w:val="11"/>
              <w:spacing w:line="380" w:lineRule="exact"/>
              <w:ind w:firstLine="420" w:firstLineChars="200"/>
              <w:rPr>
                <w:rFonts w:hint="eastAsia" w:hAnsi="宋体" w:cs="宋体"/>
                <w:sz w:val="21"/>
              </w:rPr>
            </w:pPr>
            <w:r>
              <w:rPr>
                <w:rFonts w:hint="eastAsia" w:hAnsi="宋体" w:cs="宋体"/>
                <w:sz w:val="21"/>
              </w:rPr>
              <w:t>二档（6分）：上述3项内容仅提供2项，内容符合项目实施要求的。</w:t>
            </w:r>
          </w:p>
          <w:p w14:paraId="1E3359F0">
            <w:pPr>
              <w:pStyle w:val="11"/>
              <w:spacing w:line="380" w:lineRule="exact"/>
              <w:ind w:firstLine="420" w:firstLineChars="200"/>
              <w:rPr>
                <w:rFonts w:hint="eastAsia" w:hAnsi="宋体" w:cs="宋体"/>
                <w:sz w:val="21"/>
              </w:rPr>
            </w:pPr>
            <w:r>
              <w:rPr>
                <w:rFonts w:hint="eastAsia" w:hAnsi="宋体" w:cs="宋体"/>
                <w:sz w:val="21"/>
              </w:rPr>
              <w:t>三档（10分）：提供上述3项内容，</w:t>
            </w:r>
            <w:r>
              <w:rPr>
                <w:rFonts w:hint="eastAsia" w:hAnsi="宋体" w:cs="宋体"/>
                <w:bCs/>
                <w:sz w:val="21"/>
              </w:rPr>
              <w:t>符合项目实施要求</w:t>
            </w:r>
            <w:r>
              <w:rPr>
                <w:rFonts w:hint="eastAsia" w:hAnsi="宋体" w:cs="宋体"/>
                <w:sz w:val="21"/>
              </w:rPr>
              <w:t>。</w:t>
            </w:r>
          </w:p>
        </w:tc>
        <w:tc>
          <w:tcPr>
            <w:tcW w:w="992" w:type="dxa"/>
            <w:vAlign w:val="center"/>
          </w:tcPr>
          <w:p w14:paraId="52854A73">
            <w:pPr>
              <w:spacing w:line="360" w:lineRule="auto"/>
              <w:jc w:val="center"/>
              <w:rPr>
                <w:rFonts w:hint="eastAsia" w:ascii="宋体" w:hAnsi="宋体" w:cs="宋体"/>
                <w:szCs w:val="21"/>
              </w:rPr>
            </w:pPr>
            <w:r>
              <w:rPr>
                <w:rFonts w:hint="eastAsia" w:ascii="宋体" w:hAnsi="宋体" w:cs="宋体"/>
                <w:szCs w:val="21"/>
              </w:rPr>
              <w:t>10分</w:t>
            </w:r>
          </w:p>
        </w:tc>
      </w:tr>
      <w:tr w14:paraId="1DF9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4" w:type="dxa"/>
            <w:vAlign w:val="center"/>
          </w:tcPr>
          <w:p w14:paraId="1E7D547E">
            <w:pPr>
              <w:spacing w:line="360" w:lineRule="auto"/>
              <w:jc w:val="center"/>
              <w:rPr>
                <w:rFonts w:hint="eastAsia" w:ascii="宋体" w:hAnsi="宋体" w:cs="宋体"/>
                <w:bCs/>
                <w:kern w:val="0"/>
                <w:szCs w:val="21"/>
              </w:rPr>
            </w:pPr>
            <w:r>
              <w:rPr>
                <w:rFonts w:hint="eastAsia" w:ascii="宋体" w:hAnsi="宋体" w:cs="宋体"/>
                <w:bCs/>
                <w:kern w:val="0"/>
                <w:szCs w:val="21"/>
              </w:rPr>
              <w:t>2.5</w:t>
            </w:r>
          </w:p>
        </w:tc>
        <w:tc>
          <w:tcPr>
            <w:tcW w:w="1397" w:type="dxa"/>
            <w:vAlign w:val="center"/>
          </w:tcPr>
          <w:p w14:paraId="4EFE72B1">
            <w:pPr>
              <w:spacing w:line="380" w:lineRule="exact"/>
              <w:jc w:val="center"/>
              <w:rPr>
                <w:rFonts w:hint="eastAsia" w:ascii="宋体" w:hAnsi="宋体" w:cs="宋体"/>
                <w:bCs/>
                <w:kern w:val="0"/>
                <w:szCs w:val="21"/>
              </w:rPr>
            </w:pPr>
            <w:r>
              <w:rPr>
                <w:rFonts w:hint="eastAsia" w:ascii="宋体" w:hAnsi="宋体" w:cs="宋体"/>
                <w:szCs w:val="21"/>
              </w:rPr>
              <w:t>合理化建议分</w:t>
            </w:r>
          </w:p>
        </w:tc>
        <w:tc>
          <w:tcPr>
            <w:tcW w:w="6095" w:type="dxa"/>
            <w:vAlign w:val="center"/>
          </w:tcPr>
          <w:p w14:paraId="32E87B54">
            <w:pPr>
              <w:pStyle w:val="11"/>
              <w:spacing w:line="380" w:lineRule="exact"/>
              <w:ind w:firstLine="420" w:firstLineChars="200"/>
              <w:rPr>
                <w:rFonts w:hint="eastAsia" w:hAnsi="宋体" w:cs="宋体"/>
                <w:sz w:val="21"/>
              </w:rPr>
            </w:pPr>
            <w:r>
              <w:rPr>
                <w:rFonts w:hint="eastAsia" w:hAnsi="宋体" w:cs="宋体"/>
                <w:sz w:val="21"/>
              </w:rPr>
              <w:t>对项目分别从项目建设和后期运维方面提出合理化建议。未提供合理化建议或未达到一档要求的不得分。</w:t>
            </w:r>
          </w:p>
          <w:p w14:paraId="43C05786">
            <w:pPr>
              <w:pStyle w:val="11"/>
              <w:spacing w:line="380" w:lineRule="exact"/>
              <w:ind w:firstLine="420" w:firstLineChars="200"/>
              <w:rPr>
                <w:rFonts w:hint="eastAsia" w:hAnsi="宋体" w:cs="宋体"/>
                <w:sz w:val="21"/>
              </w:rPr>
            </w:pPr>
            <w:r>
              <w:rPr>
                <w:rFonts w:hint="eastAsia" w:hAnsi="宋体" w:cs="宋体"/>
                <w:sz w:val="21"/>
              </w:rPr>
              <w:t>一档（3分）：对工程需求和设计进行规范化的技术描述，内容简单，合理化建议满足工程需求并符合相关法律、法规和标准，得3分。</w:t>
            </w:r>
          </w:p>
          <w:p w14:paraId="329046F6">
            <w:pPr>
              <w:pStyle w:val="11"/>
              <w:spacing w:line="380" w:lineRule="exact"/>
              <w:ind w:firstLine="420" w:firstLineChars="200"/>
              <w:rPr>
                <w:rFonts w:hint="eastAsia" w:hAnsi="宋体" w:cs="宋体"/>
                <w:sz w:val="21"/>
              </w:rPr>
            </w:pPr>
            <w:r>
              <w:rPr>
                <w:rFonts w:hint="eastAsia" w:hAnsi="宋体" w:cs="宋体"/>
                <w:sz w:val="21"/>
              </w:rPr>
              <w:t>二档（6分）：对工程需求和设计进行了充分的、规范化的技术描述，合理化建议满足工程需求并符合相关法律、法规和标准，贴切本项目特点，具有可验证性，得6分；</w:t>
            </w:r>
          </w:p>
          <w:p w14:paraId="6DDF4B3F">
            <w:pPr>
              <w:pStyle w:val="11"/>
              <w:spacing w:line="380" w:lineRule="exact"/>
              <w:ind w:firstLine="420" w:firstLineChars="200"/>
              <w:rPr>
                <w:rFonts w:hint="eastAsia" w:hAnsi="宋体" w:cs="宋体"/>
                <w:bCs/>
                <w:sz w:val="21"/>
              </w:rPr>
            </w:pPr>
            <w:r>
              <w:rPr>
                <w:rFonts w:hint="eastAsia" w:hAnsi="宋体" w:cs="宋体"/>
                <w:sz w:val="21"/>
              </w:rPr>
              <w:t>三档（10分）：对工程需求和设计进行了充分的、详细的、规范化的技术描述，合理化建议满足工程需求并符合相关法律、法规和标准，贴切本项目特点，具有可验证性、前瞻性，可以协助业主单位、承建单位消除设计方案在进入工程实施前及运维阶段可预见的缺陷，得10分。</w:t>
            </w:r>
          </w:p>
        </w:tc>
        <w:tc>
          <w:tcPr>
            <w:tcW w:w="992" w:type="dxa"/>
            <w:vAlign w:val="center"/>
          </w:tcPr>
          <w:p w14:paraId="6189E2A1">
            <w:pPr>
              <w:spacing w:line="360" w:lineRule="auto"/>
              <w:jc w:val="center"/>
              <w:rPr>
                <w:rFonts w:hint="eastAsia" w:ascii="宋体" w:hAnsi="宋体" w:cs="宋体"/>
                <w:bCs/>
                <w:kern w:val="0"/>
                <w:szCs w:val="21"/>
              </w:rPr>
            </w:pPr>
            <w:r>
              <w:rPr>
                <w:rFonts w:hint="eastAsia" w:ascii="宋体" w:hAnsi="宋体" w:cs="宋体"/>
                <w:bCs/>
                <w:kern w:val="0"/>
                <w:szCs w:val="21"/>
              </w:rPr>
              <w:t>10分</w:t>
            </w:r>
          </w:p>
        </w:tc>
      </w:tr>
      <w:tr w14:paraId="7FB1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3BC63938">
            <w:pPr>
              <w:spacing w:line="360" w:lineRule="auto"/>
              <w:jc w:val="center"/>
              <w:rPr>
                <w:rFonts w:hint="eastAsia" w:ascii="宋体" w:hAnsi="宋体" w:cs="宋体"/>
                <w:b/>
                <w:bCs/>
                <w:kern w:val="0"/>
                <w:szCs w:val="21"/>
              </w:rPr>
            </w:pPr>
            <w:r>
              <w:rPr>
                <w:rFonts w:hint="eastAsia" w:ascii="宋体" w:hAnsi="宋体" w:cs="宋体"/>
                <w:b/>
                <w:bCs/>
                <w:kern w:val="0"/>
                <w:szCs w:val="21"/>
              </w:rPr>
              <w:t>3</w:t>
            </w:r>
          </w:p>
        </w:tc>
        <w:tc>
          <w:tcPr>
            <w:tcW w:w="1397" w:type="dxa"/>
            <w:vAlign w:val="center"/>
          </w:tcPr>
          <w:p w14:paraId="459B206B">
            <w:pPr>
              <w:spacing w:line="360" w:lineRule="auto"/>
              <w:jc w:val="center"/>
              <w:rPr>
                <w:rFonts w:hint="eastAsia" w:ascii="宋体" w:hAnsi="宋体" w:cs="宋体"/>
                <w:b/>
                <w:bCs/>
                <w:kern w:val="0"/>
                <w:szCs w:val="21"/>
              </w:rPr>
            </w:pPr>
            <w:r>
              <w:rPr>
                <w:rFonts w:hint="eastAsia" w:ascii="宋体" w:hAnsi="宋体" w:cs="宋体"/>
                <w:b/>
                <w:bCs/>
                <w:kern w:val="0"/>
                <w:szCs w:val="21"/>
              </w:rPr>
              <w:t>商务分</w:t>
            </w:r>
          </w:p>
        </w:tc>
        <w:tc>
          <w:tcPr>
            <w:tcW w:w="6095" w:type="dxa"/>
            <w:vAlign w:val="center"/>
          </w:tcPr>
          <w:p w14:paraId="7E635437">
            <w:pPr>
              <w:spacing w:line="360" w:lineRule="auto"/>
              <w:jc w:val="center"/>
              <w:rPr>
                <w:rFonts w:hint="eastAsia" w:ascii="宋体" w:hAnsi="宋体" w:cs="宋体"/>
                <w:b/>
                <w:bCs/>
                <w:kern w:val="0"/>
                <w:szCs w:val="21"/>
              </w:rPr>
            </w:pPr>
            <w:r>
              <w:rPr>
                <w:rFonts w:hint="eastAsia" w:ascii="宋体" w:hAnsi="宋体" w:cs="宋体"/>
                <w:b/>
                <w:bCs/>
                <w:kern w:val="0"/>
                <w:szCs w:val="21"/>
              </w:rPr>
              <w:t>评审因素</w:t>
            </w:r>
          </w:p>
        </w:tc>
        <w:tc>
          <w:tcPr>
            <w:tcW w:w="992" w:type="dxa"/>
            <w:vAlign w:val="center"/>
          </w:tcPr>
          <w:p w14:paraId="3B259FD6">
            <w:pPr>
              <w:spacing w:line="360" w:lineRule="auto"/>
              <w:jc w:val="center"/>
              <w:rPr>
                <w:rFonts w:hint="eastAsia" w:ascii="宋体" w:hAnsi="宋体" w:cs="宋体"/>
                <w:b/>
                <w:bCs/>
                <w:kern w:val="0"/>
                <w:szCs w:val="21"/>
              </w:rPr>
            </w:pPr>
            <w:r>
              <w:rPr>
                <w:rFonts w:hint="eastAsia" w:ascii="宋体" w:hAnsi="宋体" w:cs="宋体"/>
                <w:b/>
                <w:bCs/>
                <w:kern w:val="0"/>
                <w:szCs w:val="21"/>
              </w:rPr>
              <w:t>30分</w:t>
            </w:r>
          </w:p>
        </w:tc>
      </w:tr>
      <w:tr w14:paraId="743F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29AD7643">
            <w:pPr>
              <w:spacing w:line="360" w:lineRule="auto"/>
              <w:jc w:val="center"/>
              <w:rPr>
                <w:rFonts w:hint="eastAsia" w:ascii="宋体" w:hAnsi="宋体" w:cs="宋体"/>
                <w:bCs/>
                <w:kern w:val="0"/>
                <w:szCs w:val="21"/>
              </w:rPr>
            </w:pPr>
            <w:r>
              <w:rPr>
                <w:rFonts w:hint="eastAsia" w:ascii="宋体" w:hAnsi="宋体" w:cs="宋体"/>
                <w:bCs/>
                <w:kern w:val="0"/>
                <w:szCs w:val="21"/>
              </w:rPr>
              <w:t>3.1</w:t>
            </w:r>
          </w:p>
        </w:tc>
        <w:tc>
          <w:tcPr>
            <w:tcW w:w="1397" w:type="dxa"/>
            <w:vAlign w:val="center"/>
          </w:tcPr>
          <w:p w14:paraId="4D86A373">
            <w:pPr>
              <w:widowControl/>
              <w:spacing w:line="380" w:lineRule="exact"/>
              <w:jc w:val="center"/>
              <w:rPr>
                <w:rFonts w:hint="eastAsia" w:ascii="宋体" w:hAnsi="宋体" w:cs="宋体"/>
                <w:bCs/>
                <w:kern w:val="0"/>
                <w:szCs w:val="21"/>
              </w:rPr>
            </w:pPr>
            <w:r>
              <w:rPr>
                <w:rFonts w:hint="eastAsia" w:ascii="宋体" w:hAnsi="宋体" w:cs="宋体"/>
                <w:szCs w:val="21"/>
              </w:rPr>
              <w:t>人员配置分</w:t>
            </w:r>
          </w:p>
        </w:tc>
        <w:tc>
          <w:tcPr>
            <w:tcW w:w="6095" w:type="dxa"/>
          </w:tcPr>
          <w:p w14:paraId="64CF11F1">
            <w:pPr>
              <w:pStyle w:val="11"/>
              <w:spacing w:line="380" w:lineRule="exact"/>
              <w:ind w:firstLine="420" w:firstLineChars="200"/>
              <w:rPr>
                <w:rFonts w:hint="eastAsia" w:hAnsi="宋体" w:cs="宋体"/>
                <w:bCs/>
                <w:sz w:val="21"/>
              </w:rPr>
            </w:pPr>
            <w:r>
              <w:rPr>
                <w:rFonts w:hint="eastAsia" w:hAnsi="宋体" w:cs="宋体"/>
                <w:bCs/>
                <w:sz w:val="21"/>
              </w:rPr>
              <w:t>1.拟投入本项目的总监理工程师（项目负责人）必须持有信息系统监理师资格证书，同时具有以下资质证书的，每项得2分，满分4分。</w:t>
            </w:r>
          </w:p>
          <w:p w14:paraId="6EBABADC">
            <w:pPr>
              <w:pStyle w:val="11"/>
              <w:spacing w:line="380" w:lineRule="exact"/>
              <w:ind w:firstLine="420" w:firstLineChars="200"/>
              <w:rPr>
                <w:rFonts w:hint="eastAsia" w:hAnsi="宋体" w:cs="宋体"/>
                <w:bCs/>
                <w:sz w:val="21"/>
              </w:rPr>
            </w:pPr>
            <w:r>
              <w:rPr>
                <w:rFonts w:hint="eastAsia" w:hAnsi="宋体" w:cs="宋体"/>
                <w:bCs/>
                <w:sz w:val="21"/>
              </w:rPr>
              <w:t>（1）具有人力资源和社会保障部门颁发的通信类、计算机类或工程系列（信息化）高级职称证书；</w:t>
            </w:r>
          </w:p>
          <w:p w14:paraId="4EDC8A74">
            <w:pPr>
              <w:pStyle w:val="11"/>
              <w:spacing w:line="380" w:lineRule="exact"/>
              <w:ind w:firstLine="420" w:firstLineChars="200"/>
              <w:rPr>
                <w:rFonts w:hint="eastAsia" w:hAnsi="宋体" w:cs="宋体"/>
                <w:bCs/>
                <w:sz w:val="21"/>
              </w:rPr>
            </w:pPr>
            <w:r>
              <w:rPr>
                <w:rFonts w:hint="eastAsia" w:hAnsi="宋体" w:cs="宋体"/>
                <w:bCs/>
                <w:sz w:val="21"/>
              </w:rPr>
              <w:t>（2）具有高级信息系统项目管理师证书；</w:t>
            </w:r>
          </w:p>
          <w:p w14:paraId="7EA52F35">
            <w:pPr>
              <w:pStyle w:val="11"/>
              <w:spacing w:line="380" w:lineRule="exact"/>
              <w:ind w:firstLine="420" w:firstLineChars="200"/>
              <w:rPr>
                <w:rFonts w:hint="eastAsia" w:hAnsi="宋体" w:cs="宋体"/>
                <w:bCs/>
                <w:sz w:val="21"/>
              </w:rPr>
            </w:pPr>
            <w:r>
              <w:rPr>
                <w:rFonts w:hint="eastAsia" w:hAnsi="宋体" w:cs="宋体"/>
                <w:bCs/>
                <w:sz w:val="21"/>
              </w:rPr>
              <w:t>注：以上评分项不重复计分。</w:t>
            </w:r>
          </w:p>
          <w:p w14:paraId="5C79BF1D">
            <w:pPr>
              <w:pStyle w:val="11"/>
              <w:spacing w:line="380" w:lineRule="exact"/>
              <w:ind w:firstLine="420" w:firstLineChars="200"/>
              <w:rPr>
                <w:rFonts w:hint="eastAsia" w:hAnsi="宋体" w:cs="宋体"/>
                <w:bCs/>
                <w:sz w:val="21"/>
              </w:rPr>
            </w:pPr>
            <w:r>
              <w:rPr>
                <w:rFonts w:hint="eastAsia" w:hAnsi="宋体" w:cs="宋体"/>
                <w:bCs/>
                <w:sz w:val="21"/>
              </w:rPr>
              <w:t>2.拟投入本项目的总监理工程师代表（技术负责人）必须持有信息系统监理师资格证书，同时具有以下资质证书的，每项得1分，满分3分。</w:t>
            </w:r>
          </w:p>
          <w:p w14:paraId="561CF645">
            <w:pPr>
              <w:pStyle w:val="11"/>
              <w:spacing w:line="380" w:lineRule="exact"/>
              <w:ind w:firstLine="420" w:firstLineChars="200"/>
              <w:rPr>
                <w:rFonts w:hint="eastAsia" w:hAnsi="宋体" w:cs="宋体"/>
                <w:bCs/>
                <w:sz w:val="21"/>
              </w:rPr>
            </w:pPr>
            <w:r>
              <w:rPr>
                <w:rFonts w:hint="eastAsia" w:hAnsi="宋体" w:cs="宋体"/>
                <w:bCs/>
                <w:sz w:val="21"/>
              </w:rPr>
              <w:t>（1）具有人力资源和社会保障部门颁发的通信类、计算机类或工程系列（信息化）中级及以上职称证书；</w:t>
            </w:r>
          </w:p>
          <w:p w14:paraId="11258310">
            <w:pPr>
              <w:pStyle w:val="11"/>
              <w:spacing w:line="380" w:lineRule="exact"/>
              <w:ind w:firstLine="420" w:firstLineChars="200"/>
              <w:rPr>
                <w:rFonts w:hint="eastAsia" w:hAnsi="宋体" w:cs="宋体"/>
                <w:bCs/>
                <w:sz w:val="21"/>
              </w:rPr>
            </w:pPr>
            <w:r>
              <w:rPr>
                <w:rFonts w:hint="eastAsia" w:hAnsi="宋体" w:cs="宋体"/>
                <w:bCs/>
                <w:sz w:val="21"/>
              </w:rPr>
              <w:t>（2）具有信息安全工程师证书；</w:t>
            </w:r>
          </w:p>
          <w:p w14:paraId="6B24E295">
            <w:pPr>
              <w:pStyle w:val="11"/>
              <w:spacing w:line="380" w:lineRule="exact"/>
              <w:ind w:firstLine="420" w:firstLineChars="200"/>
              <w:rPr>
                <w:rFonts w:hint="eastAsia" w:hAnsi="宋体" w:cs="宋体"/>
                <w:bCs/>
                <w:sz w:val="21"/>
              </w:rPr>
            </w:pPr>
            <w:r>
              <w:rPr>
                <w:rFonts w:hint="eastAsia" w:hAnsi="宋体" w:cs="宋体"/>
                <w:bCs/>
                <w:sz w:val="21"/>
              </w:rPr>
              <w:t>（3）具有系统集成项目管理工程师证书；</w:t>
            </w:r>
          </w:p>
          <w:p w14:paraId="78CB121F">
            <w:pPr>
              <w:pStyle w:val="11"/>
              <w:spacing w:line="380" w:lineRule="exact"/>
              <w:ind w:firstLine="420" w:firstLineChars="200"/>
              <w:rPr>
                <w:rFonts w:hint="eastAsia" w:hAnsi="宋体" w:cs="宋体"/>
                <w:bCs/>
                <w:sz w:val="21"/>
              </w:rPr>
            </w:pPr>
            <w:r>
              <w:rPr>
                <w:rFonts w:hint="eastAsia" w:hAnsi="宋体" w:cs="宋体"/>
                <w:bCs/>
                <w:sz w:val="21"/>
              </w:rPr>
              <w:t>（4）具有信息系统管理工程师证书。</w:t>
            </w:r>
          </w:p>
          <w:p w14:paraId="598263CD">
            <w:pPr>
              <w:pStyle w:val="11"/>
              <w:spacing w:line="380" w:lineRule="exact"/>
              <w:ind w:firstLine="420" w:firstLineChars="200"/>
              <w:rPr>
                <w:rFonts w:hint="eastAsia" w:hAnsi="宋体" w:cs="宋体"/>
                <w:bCs/>
                <w:sz w:val="21"/>
              </w:rPr>
            </w:pPr>
            <w:r>
              <w:rPr>
                <w:rFonts w:hint="eastAsia" w:hAnsi="宋体" w:cs="宋体"/>
                <w:bCs/>
                <w:sz w:val="21"/>
              </w:rPr>
              <w:t>注：以上评分项不重复计分。</w:t>
            </w:r>
          </w:p>
          <w:p w14:paraId="34C2F18F">
            <w:pPr>
              <w:pStyle w:val="11"/>
              <w:spacing w:line="380" w:lineRule="exact"/>
              <w:ind w:firstLine="420" w:firstLineChars="200"/>
              <w:rPr>
                <w:rFonts w:hint="eastAsia" w:hAnsi="宋体" w:cs="宋体"/>
                <w:bCs/>
                <w:sz w:val="21"/>
              </w:rPr>
            </w:pPr>
            <w:r>
              <w:rPr>
                <w:rFonts w:hint="eastAsia" w:hAnsi="宋体" w:cs="宋体"/>
                <w:bCs/>
                <w:sz w:val="21"/>
              </w:rPr>
              <w:t>3.拟投入项目组其他成员配备不少于3人（除项目负责人和技术负责人外）持有信息系统监理师资格证书，同时具有以下资质证书的，每项得1分，满分3分。</w:t>
            </w:r>
          </w:p>
          <w:p w14:paraId="469F162F">
            <w:pPr>
              <w:pStyle w:val="11"/>
              <w:spacing w:line="380" w:lineRule="exact"/>
              <w:ind w:firstLine="420" w:firstLineChars="200"/>
              <w:rPr>
                <w:rFonts w:hint="eastAsia" w:hAnsi="宋体" w:cs="宋体"/>
                <w:bCs/>
                <w:sz w:val="21"/>
              </w:rPr>
            </w:pPr>
            <w:r>
              <w:rPr>
                <w:rFonts w:hint="eastAsia" w:hAnsi="宋体" w:cs="宋体"/>
                <w:bCs/>
                <w:sz w:val="21"/>
              </w:rPr>
              <w:t>（1）具有人力资源和社会保障部门颁发的通信类、工程类或计算机类工程师资格或以上证书；</w:t>
            </w:r>
          </w:p>
          <w:p w14:paraId="1E4662F4">
            <w:pPr>
              <w:pStyle w:val="11"/>
              <w:spacing w:line="380" w:lineRule="exact"/>
              <w:ind w:firstLine="420" w:firstLineChars="200"/>
              <w:rPr>
                <w:rFonts w:hint="eastAsia" w:hAnsi="宋体" w:cs="宋体"/>
                <w:bCs/>
                <w:sz w:val="21"/>
              </w:rPr>
            </w:pPr>
            <w:r>
              <w:rPr>
                <w:rFonts w:hint="eastAsia" w:hAnsi="宋体" w:cs="宋体"/>
                <w:bCs/>
                <w:sz w:val="21"/>
              </w:rPr>
              <w:t>（2）具有系统集成项目管理工程师；</w:t>
            </w:r>
          </w:p>
          <w:p w14:paraId="2F2BDA25">
            <w:pPr>
              <w:pStyle w:val="11"/>
              <w:spacing w:line="380" w:lineRule="exact"/>
              <w:ind w:firstLine="420" w:firstLineChars="200"/>
              <w:rPr>
                <w:rFonts w:hint="eastAsia" w:hAnsi="宋体" w:cs="宋体"/>
                <w:bCs/>
                <w:sz w:val="21"/>
              </w:rPr>
            </w:pPr>
            <w:r>
              <w:rPr>
                <w:rFonts w:hint="eastAsia" w:hAnsi="宋体" w:cs="宋体"/>
                <w:bCs/>
                <w:sz w:val="21"/>
              </w:rPr>
              <w:t>（3）具有软件评测师证书；</w:t>
            </w:r>
          </w:p>
          <w:p w14:paraId="7232ABBD">
            <w:pPr>
              <w:pStyle w:val="11"/>
              <w:spacing w:line="380" w:lineRule="exact"/>
              <w:ind w:firstLine="420" w:firstLineChars="200"/>
              <w:rPr>
                <w:rFonts w:hint="eastAsia" w:hAnsi="宋体" w:cs="宋体"/>
                <w:bCs/>
                <w:sz w:val="21"/>
              </w:rPr>
            </w:pPr>
            <w:r>
              <w:rPr>
                <w:rFonts w:hint="eastAsia" w:hAnsi="宋体" w:cs="宋体"/>
                <w:bCs/>
                <w:sz w:val="21"/>
              </w:rPr>
              <w:t>（4）具有信息系统管理工程师证书；</w:t>
            </w:r>
          </w:p>
          <w:p w14:paraId="43511704">
            <w:pPr>
              <w:pStyle w:val="11"/>
              <w:spacing w:line="380" w:lineRule="exact"/>
              <w:ind w:firstLine="420" w:firstLineChars="200"/>
              <w:rPr>
                <w:rFonts w:hint="eastAsia" w:hAnsi="宋体" w:cs="宋体"/>
                <w:bCs/>
                <w:sz w:val="21"/>
              </w:rPr>
            </w:pPr>
            <w:r>
              <w:rPr>
                <w:rFonts w:hint="eastAsia" w:hAnsi="宋体" w:cs="宋体"/>
                <w:bCs/>
                <w:sz w:val="21"/>
              </w:rPr>
              <w:t>（5）具有信息安全工程师证书。</w:t>
            </w:r>
          </w:p>
          <w:p w14:paraId="75B9F791">
            <w:pPr>
              <w:pStyle w:val="11"/>
              <w:spacing w:line="380" w:lineRule="exact"/>
              <w:ind w:firstLine="422" w:firstLineChars="200"/>
              <w:rPr>
                <w:rFonts w:hint="eastAsia" w:hAnsi="宋体" w:cs="宋体"/>
                <w:b/>
                <w:sz w:val="21"/>
              </w:rPr>
            </w:pPr>
            <w:r>
              <w:rPr>
                <w:rFonts w:hint="eastAsia" w:hAnsi="宋体" w:cs="宋体"/>
                <w:b/>
                <w:sz w:val="21"/>
              </w:rPr>
              <w:t>注：1.以上评分项不重复计分，项目组其他成员每人最多评其中一项。</w:t>
            </w:r>
          </w:p>
          <w:p w14:paraId="3C28FC26">
            <w:pPr>
              <w:pStyle w:val="11"/>
              <w:spacing w:line="380" w:lineRule="exact"/>
              <w:ind w:firstLine="422" w:firstLineChars="200"/>
              <w:rPr>
                <w:rFonts w:hint="eastAsia" w:hAnsi="宋体" w:cs="宋体"/>
                <w:bCs/>
                <w:sz w:val="21"/>
              </w:rPr>
            </w:pPr>
            <w:r>
              <w:rPr>
                <w:rFonts w:hint="eastAsia" w:hAnsi="宋体" w:cs="宋体"/>
                <w:b/>
                <w:sz w:val="21"/>
              </w:rPr>
              <w:t>2.拟投入以上人员不能重复，必须是投标人在职在岗正式员工（非退休），投标文件需提供证书证明材料复印件（以上证书均要求在有效期内）、项目实施人员劳动合同复印件或事业单位编制证明复印件等相关证明材料并加盖单位公章，否则不计分。</w:t>
            </w:r>
          </w:p>
        </w:tc>
        <w:tc>
          <w:tcPr>
            <w:tcW w:w="992" w:type="dxa"/>
            <w:vAlign w:val="center"/>
          </w:tcPr>
          <w:p w14:paraId="69A687FC">
            <w:pPr>
              <w:spacing w:line="360" w:lineRule="auto"/>
              <w:jc w:val="center"/>
              <w:rPr>
                <w:rFonts w:hint="eastAsia" w:ascii="宋体" w:hAnsi="宋体" w:cs="宋体"/>
                <w:bCs/>
                <w:kern w:val="0"/>
                <w:szCs w:val="21"/>
              </w:rPr>
            </w:pPr>
            <w:r>
              <w:rPr>
                <w:rFonts w:hint="eastAsia" w:ascii="宋体" w:hAnsi="宋体" w:cs="宋体"/>
                <w:bCs/>
                <w:kern w:val="0"/>
                <w:szCs w:val="21"/>
              </w:rPr>
              <w:t>10分</w:t>
            </w:r>
          </w:p>
        </w:tc>
      </w:tr>
      <w:tr w14:paraId="1D91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0C733819">
            <w:pPr>
              <w:spacing w:line="360" w:lineRule="auto"/>
              <w:jc w:val="center"/>
              <w:rPr>
                <w:rFonts w:hint="eastAsia" w:ascii="宋体" w:hAnsi="宋体" w:cs="宋体"/>
                <w:bCs/>
                <w:kern w:val="0"/>
                <w:szCs w:val="21"/>
              </w:rPr>
            </w:pPr>
            <w:r>
              <w:rPr>
                <w:rFonts w:hint="eastAsia" w:ascii="宋体" w:hAnsi="宋体" w:cs="宋体"/>
                <w:bCs/>
                <w:kern w:val="0"/>
                <w:szCs w:val="21"/>
              </w:rPr>
              <w:t>3.2</w:t>
            </w:r>
          </w:p>
        </w:tc>
        <w:tc>
          <w:tcPr>
            <w:tcW w:w="1397" w:type="dxa"/>
            <w:vAlign w:val="center"/>
          </w:tcPr>
          <w:p w14:paraId="585424D9">
            <w:pPr>
              <w:pStyle w:val="11"/>
              <w:spacing w:line="380" w:lineRule="exact"/>
              <w:jc w:val="center"/>
              <w:rPr>
                <w:rFonts w:hint="eastAsia" w:hAnsi="宋体" w:cs="宋体"/>
                <w:bCs/>
                <w:sz w:val="21"/>
              </w:rPr>
            </w:pPr>
            <w:r>
              <w:rPr>
                <w:rFonts w:hint="eastAsia" w:hAnsi="宋体" w:cs="宋体"/>
                <w:sz w:val="21"/>
              </w:rPr>
              <w:t>业绩分</w:t>
            </w:r>
          </w:p>
        </w:tc>
        <w:tc>
          <w:tcPr>
            <w:tcW w:w="6095" w:type="dxa"/>
            <w:vAlign w:val="center"/>
          </w:tcPr>
          <w:p w14:paraId="4BF13B65">
            <w:pPr>
              <w:pStyle w:val="11"/>
              <w:spacing w:line="380" w:lineRule="exact"/>
              <w:ind w:firstLine="420" w:firstLineChars="200"/>
              <w:rPr>
                <w:rFonts w:hint="eastAsia" w:hAnsi="宋体" w:cs="宋体"/>
                <w:sz w:val="21"/>
              </w:rPr>
            </w:pPr>
            <w:r>
              <w:rPr>
                <w:rFonts w:hint="eastAsia" w:hAnsi="宋体" w:cs="宋体"/>
                <w:sz w:val="21"/>
              </w:rPr>
              <w:t>投标人从2022年1月1日至今，承接的类似监理服务业绩，投标文件中提供合同或中标通知书复印件，每个业绩得2分，满分10分。</w:t>
            </w:r>
          </w:p>
          <w:p w14:paraId="3C7B65C0">
            <w:pPr>
              <w:pStyle w:val="11"/>
              <w:spacing w:line="380" w:lineRule="exact"/>
              <w:ind w:firstLine="422" w:firstLineChars="200"/>
              <w:rPr>
                <w:rFonts w:hint="eastAsia" w:hAnsi="宋体" w:cs="宋体"/>
                <w:bCs/>
                <w:sz w:val="21"/>
              </w:rPr>
            </w:pPr>
            <w:r>
              <w:rPr>
                <w:rFonts w:hint="eastAsia" w:hAnsi="宋体" w:cs="宋体"/>
                <w:b/>
                <w:sz w:val="21"/>
              </w:rPr>
              <w:t>注：提供相关证明材料并加盖公章，证明材料复印件（中标通知书或项目合同或验收报告或其他履行合同或政府指令委托文件）须能体现工作内容等，如无法体现，另附业主证明等相关证明材料体现工作内容，并经评标委员会认可为准，否则不得分。</w:t>
            </w:r>
          </w:p>
        </w:tc>
        <w:tc>
          <w:tcPr>
            <w:tcW w:w="992" w:type="dxa"/>
            <w:vAlign w:val="center"/>
          </w:tcPr>
          <w:p w14:paraId="504DB409">
            <w:pPr>
              <w:spacing w:line="360" w:lineRule="auto"/>
              <w:jc w:val="center"/>
              <w:rPr>
                <w:rFonts w:hint="eastAsia" w:ascii="宋体" w:hAnsi="宋体" w:cs="宋体"/>
                <w:bCs/>
                <w:kern w:val="0"/>
                <w:szCs w:val="21"/>
              </w:rPr>
            </w:pPr>
            <w:r>
              <w:rPr>
                <w:rFonts w:hint="eastAsia" w:ascii="宋体" w:hAnsi="宋体" w:cs="宋体"/>
                <w:bCs/>
                <w:kern w:val="0"/>
                <w:szCs w:val="21"/>
              </w:rPr>
              <w:t>10分</w:t>
            </w:r>
          </w:p>
        </w:tc>
      </w:tr>
      <w:tr w14:paraId="2404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7064F3CD">
            <w:pPr>
              <w:spacing w:line="360" w:lineRule="auto"/>
              <w:jc w:val="center"/>
              <w:rPr>
                <w:rFonts w:hint="eastAsia" w:ascii="宋体" w:hAnsi="宋体" w:cs="宋体"/>
                <w:bCs/>
                <w:kern w:val="0"/>
                <w:szCs w:val="21"/>
              </w:rPr>
            </w:pPr>
            <w:r>
              <w:rPr>
                <w:rFonts w:hint="eastAsia" w:ascii="宋体" w:hAnsi="宋体" w:cs="宋体"/>
                <w:bCs/>
                <w:kern w:val="0"/>
                <w:szCs w:val="21"/>
              </w:rPr>
              <w:t>3.3</w:t>
            </w:r>
          </w:p>
        </w:tc>
        <w:tc>
          <w:tcPr>
            <w:tcW w:w="1397" w:type="dxa"/>
            <w:vAlign w:val="center"/>
          </w:tcPr>
          <w:p w14:paraId="638B180D">
            <w:pPr>
              <w:adjustRightInd w:val="0"/>
              <w:snapToGrid w:val="0"/>
              <w:spacing w:line="380" w:lineRule="exact"/>
              <w:jc w:val="center"/>
              <w:rPr>
                <w:rFonts w:hint="eastAsia" w:ascii="宋体" w:hAnsi="宋体" w:cs="宋体"/>
                <w:bCs/>
                <w:kern w:val="0"/>
                <w:szCs w:val="21"/>
              </w:rPr>
            </w:pPr>
            <w:r>
              <w:rPr>
                <w:rFonts w:hint="eastAsia" w:ascii="宋体" w:hAnsi="宋体" w:cs="宋体"/>
                <w:szCs w:val="21"/>
              </w:rPr>
              <w:t>项目管理能力分</w:t>
            </w:r>
          </w:p>
        </w:tc>
        <w:tc>
          <w:tcPr>
            <w:tcW w:w="6095" w:type="dxa"/>
            <w:vAlign w:val="center"/>
          </w:tcPr>
          <w:p w14:paraId="69ABDE58">
            <w:pPr>
              <w:pStyle w:val="11"/>
              <w:spacing w:line="380" w:lineRule="exact"/>
              <w:ind w:firstLine="420" w:firstLineChars="200"/>
              <w:rPr>
                <w:rFonts w:hint="eastAsia" w:hAnsi="宋体" w:cs="宋体"/>
                <w:bCs/>
                <w:sz w:val="21"/>
              </w:rPr>
            </w:pPr>
            <w:r>
              <w:rPr>
                <w:rFonts w:hint="eastAsia" w:hAnsi="宋体" w:cs="宋体"/>
                <w:sz w:val="21"/>
              </w:rPr>
              <w:t>有较强的项目管理能力：具有与项目管理系统相关的软件著作权证书，每项计1分，满分5分。</w:t>
            </w:r>
            <w:r>
              <w:rPr>
                <w:rFonts w:hint="eastAsia" w:hAnsi="宋体" w:cs="宋体"/>
                <w:b/>
                <w:bCs/>
                <w:sz w:val="21"/>
              </w:rPr>
              <w:t>（投标文件中提供证书复印件并加盖公章，否则不计分）</w:t>
            </w:r>
            <w:r>
              <w:rPr>
                <w:rFonts w:hint="eastAsia" w:hAnsi="宋体" w:cs="宋体"/>
                <w:sz w:val="21"/>
              </w:rPr>
              <w:t>。</w:t>
            </w:r>
          </w:p>
        </w:tc>
        <w:tc>
          <w:tcPr>
            <w:tcW w:w="992" w:type="dxa"/>
            <w:vAlign w:val="center"/>
          </w:tcPr>
          <w:p w14:paraId="78D2FB9B">
            <w:pPr>
              <w:spacing w:line="360" w:lineRule="auto"/>
              <w:jc w:val="center"/>
              <w:rPr>
                <w:rFonts w:hint="eastAsia" w:ascii="宋体" w:hAnsi="宋体" w:cs="宋体"/>
                <w:bCs/>
                <w:kern w:val="0"/>
                <w:szCs w:val="21"/>
              </w:rPr>
            </w:pPr>
            <w:r>
              <w:rPr>
                <w:rFonts w:hint="eastAsia" w:ascii="宋体" w:hAnsi="宋体" w:cs="宋体"/>
                <w:bCs/>
                <w:kern w:val="0"/>
                <w:szCs w:val="21"/>
              </w:rPr>
              <w:t>5分</w:t>
            </w:r>
          </w:p>
        </w:tc>
      </w:tr>
      <w:tr w14:paraId="3EF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C2EACC5">
            <w:pPr>
              <w:spacing w:line="360" w:lineRule="auto"/>
              <w:jc w:val="center"/>
              <w:rPr>
                <w:rFonts w:hint="eastAsia" w:ascii="宋体" w:hAnsi="宋体" w:cs="宋体"/>
                <w:bCs/>
                <w:kern w:val="0"/>
                <w:szCs w:val="21"/>
              </w:rPr>
            </w:pPr>
            <w:r>
              <w:rPr>
                <w:rFonts w:hint="eastAsia" w:ascii="宋体" w:hAnsi="宋体" w:cs="宋体"/>
                <w:bCs/>
                <w:kern w:val="0"/>
                <w:szCs w:val="21"/>
              </w:rPr>
              <w:t>3.5</w:t>
            </w:r>
          </w:p>
        </w:tc>
        <w:tc>
          <w:tcPr>
            <w:tcW w:w="1397" w:type="dxa"/>
            <w:vAlign w:val="center"/>
          </w:tcPr>
          <w:p w14:paraId="3F94B899">
            <w:pPr>
              <w:widowControl/>
              <w:spacing w:line="380" w:lineRule="exact"/>
              <w:jc w:val="center"/>
              <w:rPr>
                <w:rFonts w:hint="eastAsia" w:ascii="宋体" w:hAnsi="宋体" w:cs="宋体"/>
                <w:bCs/>
                <w:kern w:val="0"/>
                <w:szCs w:val="21"/>
              </w:rPr>
            </w:pPr>
            <w:r>
              <w:rPr>
                <w:rFonts w:hint="eastAsia" w:ascii="宋体" w:hAnsi="宋体" w:cs="宋体"/>
                <w:szCs w:val="21"/>
              </w:rPr>
              <w:t>售后服务分</w:t>
            </w:r>
          </w:p>
        </w:tc>
        <w:tc>
          <w:tcPr>
            <w:tcW w:w="6095" w:type="dxa"/>
          </w:tcPr>
          <w:p w14:paraId="07D70DC6">
            <w:pPr>
              <w:pStyle w:val="11"/>
              <w:spacing w:line="380" w:lineRule="exact"/>
              <w:ind w:firstLine="420" w:firstLineChars="200"/>
              <w:rPr>
                <w:rFonts w:hint="eastAsia" w:hAnsi="宋体" w:cs="宋体"/>
                <w:sz w:val="21"/>
              </w:rPr>
            </w:pPr>
            <w:r>
              <w:rPr>
                <w:rFonts w:hint="eastAsia" w:hAnsi="宋体" w:cs="宋体"/>
                <w:sz w:val="21"/>
              </w:rPr>
              <w:t>投标人需在项目所在地长期驻扎有监理员，针对本次项目所安排的监理技术人员列表，中途不能更换，需提供完整的售后服务承诺书，且售后服务承诺完整，内容详细，具有可操作性，有专人负责后续服务工作对接，</w:t>
            </w:r>
            <w:bookmarkStart w:id="172" w:name="OLE_LINK4"/>
            <w:r>
              <w:rPr>
                <w:rFonts w:hint="eastAsia" w:hAnsi="宋体" w:cs="宋体"/>
                <w:sz w:val="21"/>
              </w:rPr>
              <w:t>1小时内响应</w:t>
            </w:r>
            <w:bookmarkEnd w:id="172"/>
            <w:r>
              <w:rPr>
                <w:rFonts w:hint="eastAsia" w:hAnsi="宋体" w:cs="宋体"/>
                <w:sz w:val="21"/>
              </w:rPr>
              <w:t>并到达采购人指定地点解决问题的。</w:t>
            </w:r>
          </w:p>
          <w:p w14:paraId="3F7A1638">
            <w:pPr>
              <w:pStyle w:val="11"/>
              <w:spacing w:line="380" w:lineRule="exact"/>
              <w:ind w:firstLine="420" w:firstLineChars="200"/>
              <w:rPr>
                <w:rFonts w:hint="eastAsia" w:hAnsi="宋体" w:cs="宋体"/>
                <w:sz w:val="21"/>
              </w:rPr>
            </w:pPr>
            <w:r>
              <w:rPr>
                <w:rFonts w:hint="eastAsia" w:hAnsi="宋体" w:cs="宋体"/>
                <w:sz w:val="21"/>
              </w:rPr>
              <w:t>一档（1 分）提交的售后服务方案内容完整，符合采购文件要求。方案明确承诺针对本项目提供售后支持，且服务响应时间等关键指标均满足采购需求。</w:t>
            </w:r>
          </w:p>
          <w:p w14:paraId="11188F01">
            <w:pPr>
              <w:pStyle w:val="11"/>
              <w:spacing w:line="380" w:lineRule="exact"/>
              <w:ind w:firstLine="420" w:firstLineChars="200"/>
              <w:rPr>
                <w:rFonts w:hint="eastAsia" w:hAnsi="宋体" w:cs="宋体"/>
                <w:sz w:val="21"/>
              </w:rPr>
            </w:pPr>
            <w:r>
              <w:rPr>
                <w:rFonts w:hint="eastAsia" w:hAnsi="宋体" w:cs="宋体"/>
                <w:sz w:val="21"/>
              </w:rPr>
              <w:t>二档（3 分）在一档基础上，方案更具操作性：提供清晰的售后服务流程图，涵盖问题上报、诊断、协调处理及回访等核心环节；承诺配备不少于2名专职售后人员；设立7×24小时服务热线并建立工单跟踪与闭环管理机制。</w:t>
            </w:r>
          </w:p>
          <w:p w14:paraId="4668BD3B">
            <w:pPr>
              <w:pStyle w:val="11"/>
              <w:spacing w:line="380" w:lineRule="exact"/>
              <w:ind w:firstLine="420" w:firstLineChars="200"/>
              <w:rPr>
                <w:rFonts w:hint="eastAsia" w:hAnsi="宋体" w:cs="宋体"/>
                <w:sz w:val="21"/>
              </w:rPr>
            </w:pPr>
            <w:r>
              <w:rPr>
                <w:rFonts w:hint="eastAsia" w:hAnsi="宋体" w:cs="宋体"/>
                <w:sz w:val="21"/>
              </w:rPr>
              <w:t>三档（5 分）在二档基础上，方案体现卓越服务能力：详细定义了电话支持、远程协助、现场服务的具体内容与完成标准；提供应急预案；承诺提供优于招标文件售后服务要求的售后服务，并提交包括服务记录审查、定期评估在内的售后质量保障体系；团队配备不少于3名专职售后人员。</w:t>
            </w:r>
          </w:p>
        </w:tc>
        <w:tc>
          <w:tcPr>
            <w:tcW w:w="992" w:type="dxa"/>
            <w:vAlign w:val="center"/>
          </w:tcPr>
          <w:p w14:paraId="24E6763C">
            <w:pPr>
              <w:spacing w:line="360" w:lineRule="auto"/>
              <w:jc w:val="center"/>
              <w:rPr>
                <w:rFonts w:hint="eastAsia" w:ascii="宋体" w:hAnsi="宋体" w:cs="宋体"/>
                <w:bCs/>
                <w:kern w:val="0"/>
                <w:szCs w:val="21"/>
              </w:rPr>
            </w:pPr>
            <w:r>
              <w:rPr>
                <w:rFonts w:hint="eastAsia" w:ascii="宋体" w:hAnsi="宋体" w:cs="宋体"/>
                <w:bCs/>
                <w:kern w:val="0"/>
                <w:szCs w:val="21"/>
              </w:rPr>
              <w:t>5分</w:t>
            </w:r>
          </w:p>
        </w:tc>
      </w:tr>
      <w:tr w14:paraId="764E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8166" w:type="dxa"/>
            <w:gridSpan w:val="3"/>
            <w:vAlign w:val="center"/>
          </w:tcPr>
          <w:p w14:paraId="4F34D429">
            <w:pPr>
              <w:spacing w:line="360" w:lineRule="auto"/>
              <w:rPr>
                <w:rFonts w:hint="eastAsia" w:ascii="宋体" w:hAnsi="宋体" w:cs="宋体"/>
                <w:bCs/>
                <w:szCs w:val="21"/>
              </w:rPr>
            </w:pPr>
            <w:r>
              <w:rPr>
                <w:rFonts w:hint="eastAsia" w:ascii="宋体" w:hAnsi="宋体" w:cs="宋体"/>
                <w:b/>
                <w:szCs w:val="21"/>
              </w:rPr>
              <w:t>总得分=（一）+（二）+（三）</w:t>
            </w:r>
          </w:p>
        </w:tc>
        <w:tc>
          <w:tcPr>
            <w:tcW w:w="992" w:type="dxa"/>
            <w:vAlign w:val="center"/>
          </w:tcPr>
          <w:p w14:paraId="0225977F">
            <w:pPr>
              <w:spacing w:line="360" w:lineRule="auto"/>
              <w:jc w:val="center"/>
              <w:rPr>
                <w:rFonts w:hint="eastAsia" w:ascii="宋体" w:hAnsi="宋体" w:cs="宋体"/>
                <w:kern w:val="0"/>
                <w:szCs w:val="21"/>
              </w:rPr>
            </w:pPr>
            <w:r>
              <w:rPr>
                <w:rFonts w:hint="eastAsia" w:ascii="宋体" w:hAnsi="宋体" w:cs="宋体"/>
                <w:kern w:val="0"/>
                <w:szCs w:val="21"/>
              </w:rPr>
              <w:t>100分</w:t>
            </w:r>
          </w:p>
        </w:tc>
      </w:tr>
      <w:tr w14:paraId="14A1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158" w:type="dxa"/>
            <w:gridSpan w:val="4"/>
            <w:vAlign w:val="center"/>
          </w:tcPr>
          <w:p w14:paraId="6EF1BDAA">
            <w:pPr>
              <w:spacing w:line="360" w:lineRule="auto"/>
              <w:jc w:val="left"/>
              <w:rPr>
                <w:rFonts w:hint="eastAsia" w:ascii="宋体" w:hAnsi="宋体" w:cs="宋体"/>
                <w:kern w:val="0"/>
                <w:szCs w:val="21"/>
              </w:rPr>
            </w:pPr>
            <w:r>
              <w:rPr>
                <w:rFonts w:hint="eastAsia" w:ascii="宋体" w:hAnsi="宋体" w:cs="宋体"/>
                <w:b/>
                <w:szCs w:val="21"/>
              </w:rPr>
              <w:t>分标5（E分标）不接受联合体投标，投标人可以参与一个分标也可以参与多个分标竞标，但为了确保服务的进度及质量，一个投标人最多只能成为其中一个分标的第一中标候选人，在其它分标可以继续评审及排名，其它分标评审若成为第一中标候选人的则由第二中标候选人替代，以此类推。评标顺序：分标1（A分标）→分标2（B分标）→分标3（C分标）→分标4（D分标）→分标5（E分标）。</w:t>
            </w:r>
          </w:p>
        </w:tc>
      </w:tr>
    </w:tbl>
    <w:p w14:paraId="7218A2C9">
      <w:pPr>
        <w:rPr>
          <w:rFonts w:hint="eastAsia" w:ascii="宋体" w:hAnsi="宋体"/>
          <w:szCs w:val="21"/>
        </w:rPr>
      </w:pPr>
    </w:p>
    <w:p w14:paraId="585657EC">
      <w:pPr>
        <w:pStyle w:val="5"/>
        <w:spacing w:line="400" w:lineRule="exact"/>
        <w:jc w:val="center"/>
        <w:rPr>
          <w:rFonts w:hint="eastAsia" w:ascii="宋体" w:hAnsi="宋体" w:eastAsia="宋体"/>
          <w:sz w:val="21"/>
          <w:szCs w:val="21"/>
        </w:rPr>
      </w:pPr>
      <w:r>
        <w:rPr>
          <w:rFonts w:hint="eastAsia" w:ascii="宋体" w:hAnsi="宋体" w:eastAsia="宋体"/>
          <w:sz w:val="21"/>
          <w:szCs w:val="21"/>
        </w:rPr>
        <w:t>第四节 中标候选人推荐原则</w:t>
      </w:r>
      <w:bookmarkEnd w:id="169"/>
      <w:bookmarkEnd w:id="170"/>
    </w:p>
    <w:p w14:paraId="03890946">
      <w:pPr>
        <w:spacing w:line="400" w:lineRule="exact"/>
        <w:ind w:left="472"/>
        <w:contextualSpacing/>
        <w:rPr>
          <w:rFonts w:hint="eastAsia" w:ascii="宋体" w:hAnsi="宋体"/>
          <w:b/>
          <w:bCs/>
          <w:szCs w:val="21"/>
        </w:rPr>
      </w:pPr>
      <w:r>
        <w:rPr>
          <w:rFonts w:hint="eastAsia" w:ascii="宋体" w:hAnsi="宋体"/>
          <w:b/>
          <w:bCs/>
          <w:szCs w:val="21"/>
        </w:rPr>
        <w:t>（一）综合评分法</w:t>
      </w:r>
    </w:p>
    <w:p w14:paraId="5BA40F9C">
      <w:pPr>
        <w:pStyle w:val="11"/>
        <w:spacing w:line="400" w:lineRule="exact"/>
        <w:ind w:firstLine="420" w:firstLineChars="200"/>
        <w:contextualSpacing/>
        <w:rPr>
          <w:rFonts w:hint="eastAsia" w:hAnsi="宋体"/>
        </w:rPr>
      </w:pPr>
      <w:r>
        <w:rPr>
          <w:rFonts w:hint="eastAsia" w:hAnsi="宋体"/>
          <w:sz w:val="21"/>
        </w:rPr>
        <w:t>评标委员会将根据总得分由高到低排列次序并推荐中标候选人。</w:t>
      </w:r>
      <w:r>
        <w:rPr>
          <w:rFonts w:hint="eastAsia" w:hAnsi="宋体"/>
        </w:rPr>
        <w:t>采用综合评分法的，评标委员会将根据总得分由高到低排列次序并推荐中标候选人。综合得分相同的，按照投标报价低的优先；综合得分和投标报价相同的，按照技术评分高的优先；综合得分、投标报价和技术评分相同的，按照商务评分高的优先。综合得分、投标报价、技术评分、商务评分均相同的，由评标委员会采用不记名投票决定，票数高的优先推荐。</w:t>
      </w:r>
    </w:p>
    <w:p w14:paraId="4881B392">
      <w:pPr>
        <w:spacing w:line="400" w:lineRule="exact"/>
        <w:rPr>
          <w:rFonts w:hint="eastAsia" w:ascii="宋体" w:hAnsi="宋体" w:cs="宋体"/>
          <w:szCs w:val="21"/>
        </w:rPr>
      </w:pPr>
      <w:r>
        <w:rPr>
          <w:rFonts w:hint="eastAsia" w:ascii="宋体" w:hAnsi="宋体" w:cs="宋体"/>
          <w:szCs w:val="21"/>
        </w:rPr>
        <w:br w:type="page"/>
      </w:r>
    </w:p>
    <w:p w14:paraId="27575BE1">
      <w:pPr>
        <w:spacing w:line="400" w:lineRule="exact"/>
        <w:jc w:val="center"/>
        <w:rPr>
          <w:rFonts w:hint="eastAsia" w:ascii="宋体" w:hAnsi="宋体" w:cs="宋体"/>
          <w:szCs w:val="21"/>
        </w:rPr>
      </w:pPr>
    </w:p>
    <w:p w14:paraId="3FCBDEAC">
      <w:pPr>
        <w:spacing w:line="400" w:lineRule="exact"/>
        <w:jc w:val="center"/>
        <w:rPr>
          <w:rFonts w:hint="eastAsia" w:ascii="宋体" w:hAnsi="宋体" w:cs="宋体"/>
          <w:szCs w:val="21"/>
        </w:rPr>
      </w:pPr>
    </w:p>
    <w:p w14:paraId="0C615BE7">
      <w:pPr>
        <w:spacing w:line="400" w:lineRule="exact"/>
        <w:jc w:val="center"/>
        <w:rPr>
          <w:rFonts w:hint="eastAsia" w:ascii="宋体" w:hAnsi="宋体" w:cs="宋体"/>
          <w:szCs w:val="21"/>
        </w:rPr>
      </w:pPr>
    </w:p>
    <w:p w14:paraId="374E1909">
      <w:pPr>
        <w:spacing w:line="400" w:lineRule="exact"/>
        <w:jc w:val="center"/>
        <w:rPr>
          <w:rFonts w:hint="eastAsia" w:ascii="宋体" w:hAnsi="宋体" w:cs="宋体"/>
          <w:szCs w:val="21"/>
        </w:rPr>
      </w:pPr>
    </w:p>
    <w:p w14:paraId="265BB2D0">
      <w:pPr>
        <w:spacing w:line="400" w:lineRule="exact"/>
        <w:jc w:val="center"/>
        <w:rPr>
          <w:rFonts w:hint="eastAsia" w:ascii="宋体" w:hAnsi="宋体" w:cs="宋体"/>
          <w:szCs w:val="21"/>
        </w:rPr>
      </w:pPr>
    </w:p>
    <w:p w14:paraId="72A15774">
      <w:pPr>
        <w:spacing w:line="400" w:lineRule="exact"/>
        <w:jc w:val="center"/>
        <w:rPr>
          <w:rFonts w:hint="eastAsia" w:ascii="宋体" w:hAnsi="宋体" w:cs="宋体"/>
          <w:szCs w:val="21"/>
        </w:rPr>
      </w:pPr>
    </w:p>
    <w:p w14:paraId="3CB1BAC3">
      <w:pPr>
        <w:pStyle w:val="4"/>
        <w:tabs>
          <w:tab w:val="left" w:pos="0"/>
          <w:tab w:val="left" w:pos="3165"/>
          <w:tab w:val="center" w:pos="4153"/>
        </w:tabs>
        <w:autoSpaceDE w:val="0"/>
        <w:autoSpaceDN w:val="0"/>
        <w:adjustRightInd w:val="0"/>
        <w:spacing w:before="0" w:after="0" w:line="400" w:lineRule="exact"/>
        <w:jc w:val="center"/>
        <w:rPr>
          <w:rFonts w:hint="eastAsia" w:ascii="方正小标宋_GBK" w:hAnsi="方正小标宋_GBK" w:eastAsia="方正小标宋_GBK" w:cs="方正小标宋_GBK"/>
          <w:bCs w:val="0"/>
          <w:kern w:val="2"/>
          <w:sz w:val="21"/>
          <w:szCs w:val="21"/>
        </w:rPr>
      </w:pPr>
      <w:bookmarkStart w:id="173" w:name="_Toc74320804"/>
      <w:r>
        <w:rPr>
          <w:rFonts w:hint="eastAsia" w:ascii="方正小标宋_GBK" w:hAnsi="方正小标宋_GBK" w:eastAsia="方正小标宋_GBK" w:cs="方正小标宋_GBK"/>
          <w:bCs w:val="0"/>
          <w:kern w:val="2"/>
          <w:sz w:val="21"/>
          <w:szCs w:val="21"/>
        </w:rPr>
        <w:t>第五章  拟签订的合同文本</w:t>
      </w:r>
      <w:bookmarkEnd w:id="173"/>
    </w:p>
    <w:p w14:paraId="5C61E38F">
      <w:pPr>
        <w:snapToGrid w:val="0"/>
        <w:spacing w:line="400" w:lineRule="exact"/>
        <w:jc w:val="center"/>
        <w:rPr>
          <w:rFonts w:hint="eastAsia" w:ascii="宋体" w:hAnsi="宋体" w:cs="宋体"/>
          <w:bCs/>
          <w:szCs w:val="21"/>
        </w:rPr>
      </w:pPr>
    </w:p>
    <w:p w14:paraId="1FB46E35">
      <w:pPr>
        <w:snapToGrid w:val="0"/>
        <w:spacing w:line="400" w:lineRule="exact"/>
        <w:jc w:val="center"/>
        <w:rPr>
          <w:rFonts w:hint="eastAsia" w:ascii="宋体" w:hAnsi="宋体" w:cs="宋体"/>
          <w:bCs/>
          <w:szCs w:val="21"/>
        </w:rPr>
      </w:pPr>
    </w:p>
    <w:p w14:paraId="5CBCF6D6">
      <w:pPr>
        <w:snapToGrid w:val="0"/>
        <w:spacing w:line="400" w:lineRule="exact"/>
        <w:jc w:val="center"/>
        <w:rPr>
          <w:rFonts w:hint="eastAsia" w:ascii="宋体" w:hAnsi="宋体" w:cs="宋体"/>
          <w:bCs/>
          <w:szCs w:val="21"/>
        </w:rPr>
      </w:pPr>
    </w:p>
    <w:p w14:paraId="290EA237">
      <w:pPr>
        <w:snapToGrid w:val="0"/>
        <w:spacing w:line="400" w:lineRule="exact"/>
        <w:jc w:val="center"/>
        <w:rPr>
          <w:rFonts w:hint="eastAsia" w:ascii="宋体" w:hAnsi="宋体" w:cs="宋体"/>
          <w:bCs/>
          <w:szCs w:val="21"/>
        </w:rPr>
      </w:pPr>
    </w:p>
    <w:p w14:paraId="56F40220">
      <w:pPr>
        <w:snapToGrid w:val="0"/>
        <w:spacing w:line="400" w:lineRule="exact"/>
        <w:jc w:val="center"/>
        <w:rPr>
          <w:rFonts w:hint="eastAsia" w:ascii="宋体" w:hAnsi="宋体" w:cs="宋体"/>
          <w:bCs/>
          <w:szCs w:val="21"/>
        </w:rPr>
      </w:pPr>
    </w:p>
    <w:p w14:paraId="29D1ECB1">
      <w:pPr>
        <w:snapToGrid w:val="0"/>
        <w:spacing w:line="400" w:lineRule="exact"/>
        <w:jc w:val="center"/>
        <w:rPr>
          <w:rFonts w:hint="eastAsia" w:ascii="宋体" w:hAnsi="宋体" w:cs="宋体"/>
          <w:bCs/>
          <w:szCs w:val="21"/>
        </w:rPr>
      </w:pPr>
    </w:p>
    <w:p w14:paraId="29BB26FA">
      <w:pPr>
        <w:snapToGrid w:val="0"/>
        <w:spacing w:line="400" w:lineRule="exact"/>
        <w:jc w:val="center"/>
        <w:rPr>
          <w:rFonts w:hint="eastAsia" w:ascii="宋体" w:hAnsi="宋体" w:cs="宋体"/>
          <w:bCs/>
          <w:szCs w:val="21"/>
        </w:rPr>
      </w:pPr>
    </w:p>
    <w:p w14:paraId="4C90E8E0">
      <w:pPr>
        <w:snapToGrid w:val="0"/>
        <w:spacing w:line="400" w:lineRule="exact"/>
        <w:jc w:val="center"/>
        <w:rPr>
          <w:rFonts w:hint="eastAsia" w:ascii="宋体" w:hAnsi="宋体" w:cs="宋体"/>
          <w:bCs/>
          <w:szCs w:val="21"/>
        </w:rPr>
      </w:pPr>
    </w:p>
    <w:p w14:paraId="45A160ED">
      <w:pPr>
        <w:snapToGrid w:val="0"/>
        <w:spacing w:line="400" w:lineRule="exact"/>
        <w:jc w:val="center"/>
        <w:rPr>
          <w:rFonts w:hint="eastAsia" w:ascii="宋体" w:hAnsi="宋体" w:cs="宋体"/>
          <w:bCs/>
          <w:szCs w:val="21"/>
        </w:rPr>
      </w:pPr>
    </w:p>
    <w:p w14:paraId="3B4607EB">
      <w:pPr>
        <w:snapToGrid w:val="0"/>
        <w:spacing w:line="400" w:lineRule="exact"/>
        <w:jc w:val="center"/>
        <w:rPr>
          <w:rFonts w:hint="eastAsia" w:ascii="宋体" w:hAnsi="宋体" w:cs="宋体"/>
          <w:bCs/>
          <w:szCs w:val="21"/>
        </w:rPr>
      </w:pPr>
    </w:p>
    <w:p w14:paraId="749774F2">
      <w:pPr>
        <w:snapToGrid w:val="0"/>
        <w:spacing w:line="400" w:lineRule="exact"/>
        <w:jc w:val="center"/>
        <w:rPr>
          <w:rFonts w:hint="eastAsia" w:ascii="宋体" w:hAnsi="宋体" w:cs="宋体"/>
          <w:bCs/>
          <w:szCs w:val="21"/>
        </w:rPr>
      </w:pPr>
    </w:p>
    <w:p w14:paraId="48F75061">
      <w:pPr>
        <w:snapToGrid w:val="0"/>
        <w:spacing w:line="400" w:lineRule="exact"/>
        <w:jc w:val="center"/>
        <w:rPr>
          <w:rFonts w:hint="eastAsia" w:ascii="宋体" w:hAnsi="宋体" w:cs="宋体"/>
          <w:bCs/>
          <w:szCs w:val="21"/>
        </w:rPr>
      </w:pPr>
    </w:p>
    <w:p w14:paraId="5203840C">
      <w:pPr>
        <w:snapToGrid w:val="0"/>
        <w:spacing w:line="400" w:lineRule="exact"/>
        <w:jc w:val="left"/>
        <w:rPr>
          <w:rFonts w:hint="eastAsia" w:ascii="宋体" w:hAnsi="宋体" w:cs="宋体"/>
          <w:szCs w:val="21"/>
        </w:rPr>
      </w:pPr>
      <w:bookmarkStart w:id="174" w:name="_Hlk55381736"/>
    </w:p>
    <w:p w14:paraId="4A89A3D9">
      <w:pPr>
        <w:snapToGrid w:val="0"/>
        <w:spacing w:line="400" w:lineRule="exact"/>
        <w:jc w:val="center"/>
        <w:rPr>
          <w:rFonts w:hint="eastAsia" w:ascii="宋体" w:hAnsi="宋体" w:cs="宋体"/>
          <w:b/>
          <w:bCs/>
          <w:szCs w:val="21"/>
        </w:rPr>
      </w:pPr>
    </w:p>
    <w:p w14:paraId="395FB9D4">
      <w:pPr>
        <w:snapToGrid w:val="0"/>
        <w:spacing w:line="400" w:lineRule="exact"/>
        <w:jc w:val="center"/>
        <w:rPr>
          <w:rFonts w:hint="eastAsia" w:ascii="宋体" w:hAnsi="宋体" w:cs="宋体"/>
          <w:b/>
          <w:bCs/>
          <w:szCs w:val="21"/>
        </w:rPr>
      </w:pPr>
    </w:p>
    <w:p w14:paraId="3539421C">
      <w:pPr>
        <w:snapToGrid w:val="0"/>
        <w:spacing w:line="400" w:lineRule="exact"/>
        <w:jc w:val="center"/>
        <w:rPr>
          <w:rFonts w:hint="eastAsia" w:ascii="宋体" w:hAnsi="宋体" w:cs="宋体"/>
          <w:b/>
          <w:bCs/>
          <w:szCs w:val="21"/>
        </w:rPr>
      </w:pPr>
    </w:p>
    <w:p w14:paraId="756BAFB2">
      <w:pPr>
        <w:snapToGrid w:val="0"/>
        <w:spacing w:line="400" w:lineRule="exact"/>
        <w:jc w:val="center"/>
        <w:rPr>
          <w:rFonts w:hint="eastAsia" w:ascii="宋体" w:hAnsi="宋体" w:cs="宋体"/>
          <w:b/>
          <w:bCs/>
          <w:szCs w:val="21"/>
        </w:rPr>
        <w:sectPr>
          <w:pgSz w:w="11906" w:h="16838"/>
          <w:pgMar w:top="1440" w:right="1803" w:bottom="1440" w:left="1803" w:header="851" w:footer="567" w:gutter="0"/>
          <w:cols w:space="720" w:num="1"/>
          <w:titlePg/>
          <w:docGrid w:linePitch="312" w:charSpace="0"/>
        </w:sectPr>
      </w:pPr>
    </w:p>
    <w:bookmarkEnd w:id="174"/>
    <w:p w14:paraId="0AF0912A">
      <w:pPr>
        <w:spacing w:line="400" w:lineRule="exact"/>
        <w:jc w:val="center"/>
        <w:outlineLvl w:val="1"/>
        <w:rPr>
          <w:rFonts w:hint="eastAsia" w:ascii="宋体" w:hAnsi="宋体" w:cs="宋体"/>
          <w:b/>
          <w:bCs/>
          <w:szCs w:val="21"/>
        </w:rPr>
      </w:pPr>
      <w:r>
        <w:rPr>
          <w:rFonts w:hint="eastAsia" w:ascii="宋体" w:hAnsi="宋体" w:cs="宋体"/>
          <w:b/>
          <w:bCs/>
          <w:szCs w:val="21"/>
        </w:rPr>
        <w:t>广西壮族自治区政府采购项目合同</w:t>
      </w:r>
    </w:p>
    <w:p w14:paraId="369E7DCB">
      <w:pPr>
        <w:spacing w:line="400" w:lineRule="exact"/>
        <w:jc w:val="center"/>
        <w:rPr>
          <w:rFonts w:hint="eastAsia" w:ascii="宋体" w:hAnsi="宋体" w:cs="宋体"/>
          <w:b/>
          <w:bCs/>
          <w:szCs w:val="21"/>
        </w:rPr>
      </w:pPr>
    </w:p>
    <w:p w14:paraId="3DA089D2">
      <w:pPr>
        <w:spacing w:line="400" w:lineRule="exact"/>
        <w:ind w:firstLine="1674" w:firstLineChars="794"/>
        <w:rPr>
          <w:rFonts w:hint="eastAsia" w:ascii="宋体" w:hAnsi="宋体" w:cs="宋体"/>
          <w:b/>
          <w:bCs/>
          <w:szCs w:val="21"/>
        </w:rPr>
      </w:pPr>
    </w:p>
    <w:p w14:paraId="206C204B">
      <w:pPr>
        <w:tabs>
          <w:tab w:val="left" w:pos="7200"/>
        </w:tabs>
        <w:spacing w:line="400" w:lineRule="exact"/>
        <w:ind w:left="1692" w:leftChars="304" w:hanging="1054" w:hangingChars="500"/>
        <w:rPr>
          <w:rFonts w:hint="eastAsia" w:ascii="宋体" w:hAnsi="宋体" w:cs="宋体"/>
          <w:b/>
          <w:szCs w:val="21"/>
        </w:rPr>
      </w:pPr>
    </w:p>
    <w:p w14:paraId="7D600F26">
      <w:pPr>
        <w:tabs>
          <w:tab w:val="left" w:pos="7200"/>
        </w:tabs>
        <w:spacing w:line="400" w:lineRule="exact"/>
        <w:ind w:left="1692" w:leftChars="304" w:hanging="1054" w:hangingChars="500"/>
        <w:rPr>
          <w:rFonts w:hint="eastAsia" w:ascii="宋体" w:hAnsi="宋体" w:cs="宋体"/>
          <w:b/>
          <w:szCs w:val="21"/>
        </w:rPr>
      </w:pPr>
    </w:p>
    <w:p w14:paraId="2BCC6C3C">
      <w:pPr>
        <w:tabs>
          <w:tab w:val="left" w:pos="7200"/>
        </w:tabs>
        <w:spacing w:line="400" w:lineRule="exact"/>
        <w:ind w:left="1896" w:leftChars="903"/>
        <w:rPr>
          <w:rFonts w:hint="eastAsia" w:ascii="宋体" w:hAnsi="宋体" w:cs="宋体"/>
          <w:b/>
          <w:szCs w:val="21"/>
          <w:u w:val="single"/>
        </w:rPr>
      </w:pPr>
      <w:r>
        <w:rPr>
          <w:rFonts w:hint="eastAsia" w:ascii="宋体" w:hAnsi="宋体" w:cs="宋体"/>
          <w:b/>
          <w:spacing w:val="26"/>
          <w:kern w:val="0"/>
          <w:szCs w:val="21"/>
          <w:fitText w:val="1260" w:id="1210253353"/>
        </w:rPr>
        <w:t>项目名称</w:t>
      </w:r>
      <w:r>
        <w:rPr>
          <w:rFonts w:hint="eastAsia" w:ascii="宋体" w:hAnsi="宋体" w:cs="宋体"/>
          <w:b/>
          <w:spacing w:val="1"/>
          <w:kern w:val="0"/>
          <w:szCs w:val="21"/>
          <w:fitText w:val="1260" w:id="1210253353"/>
        </w:rPr>
        <w:t>：</w:t>
      </w:r>
    </w:p>
    <w:p w14:paraId="63B7F769">
      <w:pPr>
        <w:spacing w:line="400" w:lineRule="exact"/>
        <w:ind w:left="1896" w:leftChars="903"/>
        <w:rPr>
          <w:rFonts w:hint="eastAsia" w:ascii="宋体" w:hAnsi="宋体" w:cs="宋体"/>
          <w:b/>
          <w:szCs w:val="21"/>
        </w:rPr>
      </w:pPr>
    </w:p>
    <w:p w14:paraId="509280B0">
      <w:pPr>
        <w:pStyle w:val="12"/>
        <w:rPr>
          <w:rFonts w:hint="eastAsia" w:ascii="宋体" w:hAnsi="宋体" w:cs="宋体"/>
          <w:sz w:val="21"/>
          <w:szCs w:val="21"/>
        </w:rPr>
      </w:pPr>
    </w:p>
    <w:p w14:paraId="62461A57">
      <w:pPr>
        <w:spacing w:line="400" w:lineRule="exact"/>
        <w:ind w:left="1896" w:leftChars="903"/>
        <w:rPr>
          <w:rFonts w:hint="eastAsia" w:ascii="宋体" w:hAnsi="宋体" w:cs="宋体"/>
          <w:b/>
          <w:szCs w:val="21"/>
          <w:u w:val="single"/>
        </w:rPr>
      </w:pPr>
      <w:r>
        <w:rPr>
          <w:rFonts w:hint="eastAsia" w:ascii="宋体" w:hAnsi="宋体" w:cs="宋体"/>
          <w:b/>
          <w:spacing w:val="26"/>
          <w:kern w:val="0"/>
          <w:szCs w:val="21"/>
          <w:fitText w:val="1260" w:id="1"/>
        </w:rPr>
        <w:t>计划编号</w:t>
      </w:r>
      <w:r>
        <w:rPr>
          <w:rFonts w:hint="eastAsia" w:ascii="宋体" w:hAnsi="宋体" w:cs="宋体"/>
          <w:b/>
          <w:spacing w:val="1"/>
          <w:kern w:val="0"/>
          <w:szCs w:val="21"/>
          <w:fitText w:val="1260" w:id="1"/>
        </w:rPr>
        <w:t>：</w:t>
      </w:r>
    </w:p>
    <w:p w14:paraId="2B83054A">
      <w:pPr>
        <w:pStyle w:val="12"/>
        <w:rPr>
          <w:rFonts w:hint="eastAsia" w:ascii="宋体" w:hAnsi="宋体" w:cs="宋体"/>
          <w:sz w:val="21"/>
          <w:szCs w:val="21"/>
        </w:rPr>
      </w:pPr>
    </w:p>
    <w:p w14:paraId="6C58C3F6">
      <w:pPr>
        <w:pStyle w:val="12"/>
        <w:rPr>
          <w:rFonts w:hint="eastAsia" w:ascii="宋体" w:hAnsi="宋体" w:cs="宋体"/>
          <w:sz w:val="21"/>
          <w:szCs w:val="21"/>
        </w:rPr>
      </w:pPr>
    </w:p>
    <w:p w14:paraId="55FB87F1">
      <w:pPr>
        <w:tabs>
          <w:tab w:val="left" w:pos="7200"/>
        </w:tabs>
        <w:spacing w:line="400" w:lineRule="exact"/>
        <w:ind w:left="1896" w:leftChars="903"/>
        <w:rPr>
          <w:rFonts w:hint="eastAsia" w:ascii="宋体" w:hAnsi="宋体" w:cs="宋体"/>
          <w:b/>
          <w:szCs w:val="21"/>
          <w:u w:val="single"/>
        </w:rPr>
      </w:pPr>
      <w:r>
        <w:rPr>
          <w:rFonts w:hint="eastAsia" w:ascii="宋体" w:hAnsi="宋体" w:cs="宋体"/>
          <w:b/>
          <w:spacing w:val="70"/>
          <w:kern w:val="0"/>
          <w:szCs w:val="21"/>
          <w:fitText w:val="1260" w:id="2"/>
        </w:rPr>
        <w:t>采购人</w:t>
      </w:r>
      <w:r>
        <w:rPr>
          <w:rFonts w:hint="eastAsia" w:ascii="宋体" w:hAnsi="宋体" w:cs="宋体"/>
          <w:b/>
          <w:spacing w:val="0"/>
          <w:kern w:val="0"/>
          <w:szCs w:val="21"/>
          <w:fitText w:val="1260" w:id="2"/>
        </w:rPr>
        <w:t>：</w:t>
      </w:r>
      <w:r>
        <w:rPr>
          <w:rFonts w:hint="eastAsia" w:ascii="宋体" w:hAnsi="宋体" w:cs="宋体"/>
          <w:b/>
          <w:szCs w:val="21"/>
          <w:u w:val="single"/>
        </w:rPr>
        <w:t>广西壮族自治区环境信息中心</w:t>
      </w:r>
    </w:p>
    <w:p w14:paraId="47685153">
      <w:pPr>
        <w:tabs>
          <w:tab w:val="left" w:pos="7200"/>
        </w:tabs>
        <w:spacing w:line="400" w:lineRule="exact"/>
        <w:ind w:left="1896" w:leftChars="903"/>
        <w:rPr>
          <w:rFonts w:hint="eastAsia" w:ascii="宋体" w:hAnsi="宋体" w:cs="宋体"/>
          <w:b/>
          <w:szCs w:val="21"/>
          <w:u w:val="single"/>
        </w:rPr>
      </w:pPr>
    </w:p>
    <w:p w14:paraId="68039A7B">
      <w:pPr>
        <w:pStyle w:val="12"/>
        <w:rPr>
          <w:rFonts w:hint="eastAsia" w:ascii="宋体" w:hAnsi="宋体" w:cs="宋体"/>
          <w:sz w:val="21"/>
          <w:szCs w:val="21"/>
        </w:rPr>
      </w:pPr>
    </w:p>
    <w:p w14:paraId="1ADA1EAD">
      <w:pPr>
        <w:tabs>
          <w:tab w:val="left" w:pos="7200"/>
        </w:tabs>
        <w:spacing w:line="400" w:lineRule="exact"/>
        <w:ind w:left="1896" w:leftChars="903"/>
        <w:rPr>
          <w:rFonts w:hint="eastAsia" w:ascii="宋体" w:hAnsi="宋体" w:cs="宋体"/>
          <w:b/>
          <w:szCs w:val="21"/>
        </w:rPr>
      </w:pPr>
      <w:r>
        <w:rPr>
          <w:rFonts w:hint="eastAsia" w:ascii="宋体" w:hAnsi="宋体" w:cs="宋体"/>
          <w:b/>
          <w:spacing w:val="0"/>
          <w:kern w:val="0"/>
          <w:szCs w:val="21"/>
          <w:fitText w:val="1260" w:id="3"/>
        </w:rPr>
        <w:t>中标供应商：</w:t>
      </w:r>
    </w:p>
    <w:p w14:paraId="57C6C26C">
      <w:pPr>
        <w:tabs>
          <w:tab w:val="left" w:pos="7380"/>
        </w:tabs>
        <w:spacing w:line="400" w:lineRule="exact"/>
        <w:rPr>
          <w:rFonts w:hint="eastAsia" w:ascii="宋体" w:hAnsi="宋体" w:cs="宋体"/>
          <w:b/>
          <w:bCs/>
          <w:szCs w:val="21"/>
        </w:rPr>
      </w:pPr>
    </w:p>
    <w:p w14:paraId="108F7C04">
      <w:pPr>
        <w:spacing w:line="400" w:lineRule="exact"/>
        <w:ind w:firstLine="840" w:firstLineChars="400"/>
        <w:rPr>
          <w:rFonts w:hint="eastAsia" w:ascii="宋体" w:hAnsi="宋体" w:cs="宋体"/>
          <w:szCs w:val="21"/>
        </w:rPr>
      </w:pPr>
    </w:p>
    <w:p w14:paraId="385D2860">
      <w:pPr>
        <w:spacing w:line="400" w:lineRule="exact"/>
        <w:ind w:firstLine="1890" w:firstLineChars="900"/>
        <w:rPr>
          <w:rFonts w:hint="eastAsia" w:ascii="宋体" w:hAnsi="宋体" w:cs="宋体"/>
          <w:szCs w:val="21"/>
        </w:rPr>
      </w:pPr>
    </w:p>
    <w:p w14:paraId="77449605">
      <w:pPr>
        <w:spacing w:line="400" w:lineRule="exact"/>
        <w:rPr>
          <w:rFonts w:hint="eastAsia" w:ascii="宋体" w:hAnsi="宋体" w:cs="宋体"/>
          <w:szCs w:val="21"/>
        </w:rPr>
      </w:pPr>
    </w:p>
    <w:p w14:paraId="11D08D48">
      <w:pPr>
        <w:spacing w:line="400" w:lineRule="exact"/>
        <w:ind w:firstLine="1890" w:firstLineChars="900"/>
        <w:rPr>
          <w:rFonts w:hint="eastAsia" w:ascii="宋体" w:hAnsi="宋体" w:cs="宋体"/>
          <w:szCs w:val="21"/>
        </w:rPr>
      </w:pPr>
    </w:p>
    <w:p w14:paraId="064AAFF9">
      <w:pPr>
        <w:spacing w:line="400" w:lineRule="exact"/>
        <w:ind w:firstLine="1890" w:firstLineChars="900"/>
        <w:rPr>
          <w:rFonts w:hint="eastAsia" w:ascii="宋体" w:hAnsi="宋体" w:cs="宋体"/>
          <w:szCs w:val="21"/>
        </w:rPr>
      </w:pPr>
    </w:p>
    <w:p w14:paraId="707B2856">
      <w:pPr>
        <w:spacing w:line="400" w:lineRule="exact"/>
        <w:ind w:firstLine="1890" w:firstLineChars="900"/>
        <w:rPr>
          <w:rFonts w:hint="eastAsia" w:ascii="宋体" w:hAnsi="宋体" w:cs="宋体"/>
          <w:szCs w:val="21"/>
        </w:rPr>
      </w:pPr>
    </w:p>
    <w:p w14:paraId="65DFD593">
      <w:pPr>
        <w:spacing w:line="400" w:lineRule="exact"/>
        <w:ind w:firstLine="1890" w:firstLineChars="900"/>
        <w:rPr>
          <w:rFonts w:hint="eastAsia" w:ascii="宋体" w:hAnsi="宋体" w:cs="宋体"/>
          <w:b/>
          <w:bCs/>
          <w:szCs w:val="21"/>
        </w:rPr>
      </w:pPr>
      <w:r>
        <w:rPr>
          <w:rFonts w:hint="eastAsia" w:ascii="宋体" w:hAnsi="宋体" w:cs="宋体"/>
          <w:szCs w:val="21"/>
        </w:rPr>
        <w:t>签订日期：</w:t>
      </w:r>
      <w:r>
        <w:rPr>
          <w:rFonts w:hint="eastAsia" w:ascii="宋体" w:hAnsi="宋体" w:cs="宋体"/>
          <w:szCs w:val="21"/>
          <w:u w:val="single"/>
        </w:rPr>
        <w:t xml:space="preserve"> 2026</w:t>
      </w:r>
      <w:r>
        <w:rPr>
          <w:rFonts w:hint="eastAsia" w:ascii="宋体" w:hAnsi="宋体" w:cs="宋体"/>
          <w:szCs w:val="21"/>
        </w:rPr>
        <w:t>年月日</w:t>
      </w:r>
    </w:p>
    <w:p w14:paraId="648F25BD">
      <w:pPr>
        <w:spacing w:line="400" w:lineRule="exact"/>
        <w:ind w:firstLine="1890" w:firstLineChars="900"/>
        <w:rPr>
          <w:rFonts w:hint="eastAsia" w:ascii="宋体" w:hAnsi="宋体" w:cs="宋体"/>
          <w:bCs/>
          <w:szCs w:val="21"/>
        </w:rPr>
      </w:pPr>
    </w:p>
    <w:p w14:paraId="670EF2F6">
      <w:pPr>
        <w:spacing w:line="400" w:lineRule="exact"/>
        <w:ind w:firstLine="1890" w:firstLineChars="900"/>
        <w:rPr>
          <w:rFonts w:hint="eastAsia" w:ascii="宋体" w:hAnsi="宋体" w:cs="宋体"/>
          <w:bCs/>
          <w:szCs w:val="21"/>
        </w:rPr>
      </w:pPr>
      <w:r>
        <w:rPr>
          <w:rFonts w:hint="eastAsia" w:ascii="宋体" w:hAnsi="宋体" w:cs="宋体"/>
          <w:bCs/>
          <w:szCs w:val="21"/>
        </w:rPr>
        <w:t>合同编号：</w:t>
      </w:r>
    </w:p>
    <w:p w14:paraId="7A28D192">
      <w:pPr>
        <w:spacing w:line="600" w:lineRule="exact"/>
        <w:rPr>
          <w:rFonts w:hint="eastAsia" w:ascii="宋体" w:hAnsi="宋体" w:cs="宋体"/>
          <w:szCs w:val="21"/>
        </w:rPr>
      </w:pPr>
    </w:p>
    <w:p w14:paraId="13A88683">
      <w:pPr>
        <w:pStyle w:val="2"/>
        <w:rPr>
          <w:rFonts w:hint="eastAsia" w:ascii="宋体" w:hAnsi="宋体" w:cs="宋体"/>
          <w:sz w:val="21"/>
          <w:szCs w:val="21"/>
        </w:rPr>
      </w:pPr>
    </w:p>
    <w:p w14:paraId="1B2BCC51">
      <w:pPr>
        <w:pStyle w:val="3"/>
        <w:outlineLvl w:val="9"/>
        <w:rPr>
          <w:rFonts w:hint="eastAsia" w:ascii="宋体" w:hAnsi="宋体" w:cs="宋体"/>
          <w:b w:val="0"/>
          <w:bCs w:val="0"/>
          <w:sz w:val="21"/>
          <w:szCs w:val="21"/>
        </w:rPr>
      </w:pPr>
    </w:p>
    <w:p w14:paraId="52229F26">
      <w:pPr>
        <w:rPr>
          <w:rFonts w:hint="eastAsia" w:ascii="宋体" w:hAnsi="宋体" w:cs="宋体"/>
          <w:szCs w:val="21"/>
        </w:rPr>
      </w:pPr>
    </w:p>
    <w:p w14:paraId="336A4F77">
      <w:pPr>
        <w:pStyle w:val="2"/>
        <w:rPr>
          <w:rFonts w:hint="eastAsia" w:ascii="宋体" w:hAnsi="宋体" w:cs="宋体"/>
          <w:sz w:val="21"/>
          <w:szCs w:val="21"/>
        </w:rPr>
      </w:pPr>
    </w:p>
    <w:p w14:paraId="1759484D">
      <w:pPr>
        <w:pStyle w:val="3"/>
        <w:outlineLvl w:val="9"/>
        <w:rPr>
          <w:rFonts w:hint="eastAsia" w:ascii="宋体" w:hAnsi="宋体" w:cs="宋体"/>
          <w:b w:val="0"/>
          <w:bCs w:val="0"/>
          <w:sz w:val="21"/>
          <w:szCs w:val="21"/>
        </w:rPr>
      </w:pPr>
    </w:p>
    <w:p w14:paraId="0799518B">
      <w:pPr>
        <w:rPr>
          <w:rFonts w:hint="eastAsia" w:ascii="宋体" w:hAnsi="宋体" w:cs="宋体"/>
          <w:szCs w:val="21"/>
        </w:rPr>
      </w:pPr>
    </w:p>
    <w:p w14:paraId="6EA6F5CF">
      <w:pPr>
        <w:pStyle w:val="2"/>
      </w:pPr>
    </w:p>
    <w:p w14:paraId="25BDC822">
      <w:pPr>
        <w:pStyle w:val="3"/>
        <w:outlineLvl w:val="9"/>
      </w:pPr>
    </w:p>
    <w:p w14:paraId="23593A3C">
      <w:pPr>
        <w:spacing w:line="600" w:lineRule="exact"/>
        <w:outlineLvl w:val="1"/>
        <w:rPr>
          <w:rFonts w:hint="eastAsia" w:ascii="宋体" w:hAnsi="宋体" w:cs="宋体"/>
          <w:b/>
          <w:bCs/>
          <w:szCs w:val="21"/>
        </w:rPr>
      </w:pPr>
      <w:r>
        <w:rPr>
          <w:rFonts w:hint="eastAsia" w:ascii="宋体" w:hAnsi="宋体" w:cs="宋体"/>
          <w:b/>
          <w:bCs/>
          <w:szCs w:val="21"/>
        </w:rPr>
        <w:t>分标A/B/C/D合同格式</w:t>
      </w:r>
    </w:p>
    <w:p w14:paraId="0F130BA2">
      <w:pPr>
        <w:spacing w:line="600" w:lineRule="exact"/>
        <w:rPr>
          <w:rFonts w:hint="eastAsia" w:ascii="宋体" w:hAnsi="宋体" w:cs="宋体"/>
          <w:szCs w:val="21"/>
        </w:rPr>
      </w:pPr>
    </w:p>
    <w:p w14:paraId="6566F89C">
      <w:pPr>
        <w:spacing w:line="600" w:lineRule="exact"/>
        <w:rPr>
          <w:rFonts w:hint="eastAsia" w:ascii="宋体" w:hAnsi="宋体" w:cs="宋体"/>
          <w:szCs w:val="21"/>
        </w:rPr>
      </w:pPr>
    </w:p>
    <w:p w14:paraId="12A995A7">
      <w:pPr>
        <w:spacing w:line="600" w:lineRule="exact"/>
        <w:rPr>
          <w:rFonts w:hint="eastAsia" w:ascii="宋体" w:hAnsi="宋体" w:cs="宋体"/>
          <w:szCs w:val="21"/>
        </w:rPr>
      </w:pPr>
    </w:p>
    <w:p w14:paraId="2405956B">
      <w:pPr>
        <w:spacing w:line="600" w:lineRule="exact"/>
        <w:rPr>
          <w:rFonts w:hint="eastAsia" w:ascii="宋体" w:hAnsi="宋体" w:cs="宋体"/>
          <w:szCs w:val="21"/>
        </w:rPr>
      </w:pPr>
    </w:p>
    <w:p w14:paraId="03C42F0E">
      <w:pPr>
        <w:spacing w:line="600" w:lineRule="exact"/>
        <w:jc w:val="center"/>
        <w:rPr>
          <w:rFonts w:hint="eastAsia" w:ascii="宋体" w:hAnsi="宋体" w:cs="宋体"/>
          <w:b/>
          <w:bCs/>
          <w:sz w:val="32"/>
          <w:szCs w:val="32"/>
        </w:rPr>
      </w:pPr>
      <w:r>
        <w:rPr>
          <w:rFonts w:hint="eastAsia" w:ascii="宋体" w:hAnsi="宋体" w:cs="宋体"/>
          <w:b/>
          <w:bCs/>
          <w:sz w:val="32"/>
          <w:szCs w:val="32"/>
        </w:rPr>
        <w:t>广西壮族自治区政府采购项目合同A/B/C/D</w:t>
      </w:r>
    </w:p>
    <w:p w14:paraId="0ACA1531">
      <w:pPr>
        <w:spacing w:line="600" w:lineRule="exact"/>
        <w:rPr>
          <w:rFonts w:hint="eastAsia" w:ascii="宋体" w:hAnsi="宋体" w:cs="宋体"/>
          <w:szCs w:val="21"/>
        </w:rPr>
      </w:pPr>
    </w:p>
    <w:p w14:paraId="7CFC51B6">
      <w:pPr>
        <w:spacing w:line="600" w:lineRule="exact"/>
        <w:rPr>
          <w:rFonts w:hint="eastAsia" w:ascii="宋体" w:hAnsi="宋体" w:cs="宋体"/>
          <w:szCs w:val="21"/>
        </w:rPr>
      </w:pPr>
    </w:p>
    <w:p w14:paraId="204BC0D4">
      <w:pPr>
        <w:spacing w:line="600" w:lineRule="exact"/>
        <w:rPr>
          <w:rFonts w:hint="eastAsia" w:ascii="宋体" w:hAnsi="宋体" w:cs="宋体"/>
          <w:szCs w:val="21"/>
        </w:rPr>
      </w:pPr>
    </w:p>
    <w:p w14:paraId="08997BF3">
      <w:pPr>
        <w:spacing w:line="600" w:lineRule="exact"/>
        <w:ind w:firstLine="1200" w:firstLineChars="500"/>
        <w:rPr>
          <w:rFonts w:hint="eastAsia" w:ascii="宋体" w:hAnsi="宋体" w:cs="宋体"/>
          <w:sz w:val="24"/>
        </w:rPr>
      </w:pPr>
      <w:r>
        <w:rPr>
          <w:rFonts w:hint="eastAsia" w:ascii="宋体" w:hAnsi="宋体" w:cs="宋体"/>
          <w:sz w:val="24"/>
        </w:rPr>
        <w:t xml:space="preserve">项目名称：                      </w:t>
      </w:r>
    </w:p>
    <w:p w14:paraId="0D74BE94">
      <w:pPr>
        <w:spacing w:line="600" w:lineRule="exact"/>
        <w:rPr>
          <w:rFonts w:hint="eastAsia" w:ascii="宋体" w:hAnsi="宋体" w:cs="宋体"/>
          <w:sz w:val="24"/>
        </w:rPr>
      </w:pPr>
    </w:p>
    <w:p w14:paraId="5D859EC8">
      <w:pPr>
        <w:spacing w:line="600" w:lineRule="exact"/>
        <w:ind w:firstLine="1200" w:firstLineChars="500"/>
        <w:rPr>
          <w:rFonts w:hint="eastAsia" w:ascii="宋体" w:hAnsi="宋体" w:cs="宋体"/>
          <w:sz w:val="24"/>
        </w:rPr>
      </w:pPr>
      <w:r>
        <w:rPr>
          <w:rFonts w:hint="eastAsia" w:ascii="宋体" w:hAnsi="宋体" w:cs="宋体"/>
          <w:sz w:val="24"/>
        </w:rPr>
        <w:t xml:space="preserve">计划编号：                      </w:t>
      </w:r>
    </w:p>
    <w:p w14:paraId="150B17C7">
      <w:pPr>
        <w:spacing w:line="600" w:lineRule="exact"/>
        <w:rPr>
          <w:rFonts w:hint="eastAsia" w:ascii="宋体" w:hAnsi="宋体" w:cs="宋体"/>
          <w:sz w:val="24"/>
        </w:rPr>
      </w:pPr>
    </w:p>
    <w:p w14:paraId="458554F3">
      <w:pPr>
        <w:spacing w:line="600" w:lineRule="exact"/>
        <w:ind w:firstLine="1200" w:firstLineChars="500"/>
        <w:rPr>
          <w:rFonts w:hint="eastAsia" w:ascii="宋体" w:hAnsi="宋体" w:cs="宋体"/>
          <w:sz w:val="24"/>
        </w:rPr>
      </w:pPr>
      <w:r>
        <w:rPr>
          <w:rFonts w:hint="eastAsia" w:ascii="宋体" w:hAnsi="宋体" w:cs="宋体"/>
          <w:sz w:val="24"/>
        </w:rPr>
        <w:t xml:space="preserve">采购人：                         </w:t>
      </w:r>
    </w:p>
    <w:p w14:paraId="1EB6E871">
      <w:pPr>
        <w:spacing w:line="600" w:lineRule="exact"/>
        <w:rPr>
          <w:rFonts w:hint="eastAsia" w:ascii="宋体" w:hAnsi="宋体" w:cs="宋体"/>
          <w:sz w:val="24"/>
        </w:rPr>
      </w:pPr>
    </w:p>
    <w:p w14:paraId="2D4B926B">
      <w:pPr>
        <w:spacing w:line="600" w:lineRule="exact"/>
        <w:ind w:firstLine="1200" w:firstLineChars="500"/>
        <w:rPr>
          <w:rFonts w:hint="eastAsia" w:ascii="宋体" w:hAnsi="宋体" w:cs="宋体"/>
          <w:sz w:val="24"/>
        </w:rPr>
      </w:pPr>
      <w:r>
        <w:rPr>
          <w:rFonts w:hint="eastAsia" w:ascii="宋体" w:hAnsi="宋体" w:cs="宋体"/>
          <w:sz w:val="24"/>
        </w:rPr>
        <w:t xml:space="preserve">中标供应商：                        </w:t>
      </w:r>
    </w:p>
    <w:p w14:paraId="3EB47E36">
      <w:pPr>
        <w:spacing w:line="600" w:lineRule="exact"/>
        <w:rPr>
          <w:rFonts w:hint="eastAsia" w:ascii="宋体" w:hAnsi="宋体" w:cs="宋体"/>
          <w:sz w:val="24"/>
        </w:rPr>
      </w:pPr>
    </w:p>
    <w:p w14:paraId="2A6B34A4">
      <w:pPr>
        <w:spacing w:line="600" w:lineRule="exact"/>
        <w:rPr>
          <w:rFonts w:hint="eastAsia" w:ascii="宋体" w:hAnsi="宋体" w:cs="宋体"/>
          <w:sz w:val="24"/>
        </w:rPr>
      </w:pPr>
    </w:p>
    <w:p w14:paraId="5D083CD3">
      <w:pPr>
        <w:spacing w:line="600" w:lineRule="exact"/>
        <w:rPr>
          <w:rFonts w:hint="eastAsia" w:ascii="宋体" w:hAnsi="宋体" w:cs="宋体"/>
          <w:sz w:val="24"/>
        </w:rPr>
      </w:pPr>
    </w:p>
    <w:p w14:paraId="7C7DA2BE">
      <w:pPr>
        <w:spacing w:line="600" w:lineRule="exact"/>
        <w:rPr>
          <w:rFonts w:hint="eastAsia" w:ascii="宋体" w:hAnsi="宋体" w:cs="宋体"/>
          <w:sz w:val="24"/>
        </w:rPr>
      </w:pPr>
    </w:p>
    <w:p w14:paraId="0AD1447E">
      <w:pPr>
        <w:spacing w:line="600" w:lineRule="exact"/>
        <w:ind w:firstLine="1200" w:firstLineChars="500"/>
        <w:rPr>
          <w:rFonts w:hint="eastAsia" w:ascii="宋体" w:hAnsi="宋体" w:cs="宋体"/>
          <w:sz w:val="24"/>
        </w:rPr>
      </w:pPr>
      <w:r>
        <w:rPr>
          <w:rFonts w:hint="eastAsia" w:ascii="宋体" w:hAnsi="宋体" w:cs="宋体"/>
          <w:sz w:val="24"/>
        </w:rPr>
        <w:t>签订日期： 2026年     月     日</w:t>
      </w:r>
    </w:p>
    <w:p w14:paraId="6A357FD4">
      <w:pPr>
        <w:spacing w:line="600" w:lineRule="exact"/>
        <w:ind w:firstLine="1200" w:firstLineChars="500"/>
        <w:rPr>
          <w:rFonts w:hint="eastAsia" w:ascii="宋体" w:hAnsi="宋体" w:cs="宋体"/>
          <w:sz w:val="30"/>
          <w:szCs w:val="30"/>
        </w:rPr>
      </w:pPr>
      <w:r>
        <w:rPr>
          <w:rFonts w:hint="eastAsia" w:ascii="宋体" w:hAnsi="宋体" w:cs="宋体"/>
          <w:sz w:val="24"/>
        </w:rPr>
        <w:t xml:space="preserve">合同编号：     </w:t>
      </w:r>
    </w:p>
    <w:p w14:paraId="796751EA">
      <w:pPr>
        <w:spacing w:line="600" w:lineRule="exact"/>
        <w:rPr>
          <w:rFonts w:hint="eastAsia" w:ascii="宋体" w:hAnsi="宋体" w:cs="宋体"/>
          <w:szCs w:val="21"/>
        </w:rPr>
        <w:sectPr>
          <w:pgSz w:w="11906" w:h="16838"/>
          <w:pgMar w:top="1440" w:right="1800" w:bottom="1440" w:left="1800" w:header="851" w:footer="992" w:gutter="0"/>
          <w:cols w:space="720" w:num="1"/>
          <w:docGrid w:type="lines" w:linePitch="312" w:charSpace="0"/>
        </w:sectPr>
      </w:pPr>
    </w:p>
    <w:p w14:paraId="32C2F2BE">
      <w:pPr>
        <w:spacing w:line="600" w:lineRule="exact"/>
        <w:jc w:val="center"/>
        <w:rPr>
          <w:rFonts w:hint="eastAsia" w:ascii="宋体" w:hAnsi="宋体" w:cs="宋体"/>
          <w:szCs w:val="21"/>
        </w:rPr>
      </w:pPr>
      <w:r>
        <w:rPr>
          <w:rFonts w:hint="eastAsia" w:ascii="宋体" w:hAnsi="宋体" w:cs="宋体"/>
          <w:sz w:val="28"/>
          <w:szCs w:val="28"/>
        </w:rPr>
        <w:t>政府采购技术服务合同</w:t>
      </w:r>
    </w:p>
    <w:p w14:paraId="6760A1AE">
      <w:pPr>
        <w:spacing w:line="600" w:lineRule="exact"/>
        <w:rPr>
          <w:rFonts w:hint="eastAsia" w:ascii="宋体" w:hAnsi="宋体" w:cs="宋体"/>
          <w:szCs w:val="21"/>
          <w:u w:val="single"/>
        </w:rPr>
      </w:pPr>
      <w:r>
        <w:rPr>
          <w:rFonts w:hint="eastAsia" w:ascii="宋体" w:hAnsi="宋体" w:cs="宋体"/>
          <w:szCs w:val="21"/>
        </w:rPr>
        <w:t>采购计划号：</w:t>
      </w:r>
    </w:p>
    <w:p w14:paraId="137666B0">
      <w:pPr>
        <w:spacing w:line="600" w:lineRule="exact"/>
        <w:rPr>
          <w:rFonts w:hint="eastAsia" w:ascii="宋体" w:hAnsi="宋体" w:cs="宋体"/>
          <w:szCs w:val="21"/>
        </w:rPr>
      </w:pPr>
      <w:r>
        <w:rPr>
          <w:rFonts w:hint="eastAsia" w:ascii="宋体" w:hAnsi="宋体" w:cs="宋体"/>
          <w:szCs w:val="21"/>
        </w:rPr>
        <w:t>项目名称：</w:t>
      </w:r>
    </w:p>
    <w:p w14:paraId="70F72CB1">
      <w:pPr>
        <w:spacing w:line="600" w:lineRule="exact"/>
        <w:rPr>
          <w:rFonts w:hint="eastAsia" w:ascii="宋体" w:hAnsi="宋体" w:cs="宋体"/>
          <w:szCs w:val="21"/>
        </w:rPr>
      </w:pPr>
      <w:r>
        <w:rPr>
          <w:rFonts w:hint="eastAsia" w:ascii="宋体" w:hAnsi="宋体" w:cs="宋体"/>
          <w:szCs w:val="21"/>
        </w:rPr>
        <w:t>项目编号：</w:t>
      </w:r>
    </w:p>
    <w:p w14:paraId="76C45386">
      <w:pPr>
        <w:spacing w:line="600" w:lineRule="exact"/>
        <w:rPr>
          <w:rFonts w:hint="eastAsia" w:ascii="宋体" w:hAnsi="宋体" w:cs="宋体"/>
          <w:szCs w:val="21"/>
          <w:u w:val="single"/>
        </w:rPr>
      </w:pPr>
      <w:r>
        <w:rPr>
          <w:rFonts w:hint="eastAsia" w:ascii="宋体" w:hAnsi="宋体" w:cs="宋体"/>
          <w:szCs w:val="21"/>
        </w:rPr>
        <w:t>签订地点：</w:t>
      </w:r>
    </w:p>
    <w:p w14:paraId="51B78638">
      <w:pPr>
        <w:spacing w:line="600" w:lineRule="exact"/>
        <w:rPr>
          <w:rFonts w:hint="eastAsia" w:ascii="宋体" w:hAnsi="宋体" w:cs="宋体"/>
          <w:szCs w:val="21"/>
        </w:rPr>
      </w:pPr>
      <w:r>
        <w:rPr>
          <w:rFonts w:hint="eastAsia" w:ascii="宋体" w:hAnsi="宋体" w:cs="宋体"/>
          <w:szCs w:val="21"/>
        </w:rPr>
        <w:t>签订时间：</w:t>
      </w:r>
      <w:r>
        <w:rPr>
          <w:rFonts w:hint="eastAsia" w:ascii="宋体" w:hAnsi="宋体" w:cs="宋体"/>
          <w:szCs w:val="21"/>
          <w:u w:val="single"/>
        </w:rPr>
        <w:t xml:space="preserve">      年    月    日    </w:t>
      </w:r>
    </w:p>
    <w:p w14:paraId="086756B5">
      <w:pPr>
        <w:spacing w:line="600" w:lineRule="exact"/>
        <w:rPr>
          <w:rFonts w:hint="eastAsia" w:ascii="宋体" w:hAnsi="宋体" w:cs="宋体"/>
          <w:szCs w:val="21"/>
        </w:rPr>
      </w:pPr>
      <w:r>
        <w:rPr>
          <w:rFonts w:hint="eastAsia" w:ascii="宋体" w:hAnsi="宋体" w:cs="宋体"/>
          <w:szCs w:val="21"/>
        </w:rPr>
        <w:t>甲方（采购人）：</w:t>
      </w:r>
      <w:r>
        <w:rPr>
          <w:rFonts w:hint="eastAsia" w:ascii="宋体" w:hAnsi="宋体" w:cs="宋体"/>
          <w:szCs w:val="21"/>
          <w:u w:val="single"/>
        </w:rPr>
        <w:t>广西壮族自治区环境信息中心</w:t>
      </w:r>
    </w:p>
    <w:p w14:paraId="544A6602">
      <w:pPr>
        <w:spacing w:line="600" w:lineRule="exact"/>
        <w:rPr>
          <w:rFonts w:hint="eastAsia" w:ascii="宋体" w:hAnsi="宋体" w:cs="宋体"/>
          <w:szCs w:val="21"/>
        </w:rPr>
      </w:pPr>
      <w:r>
        <w:rPr>
          <w:rFonts w:hint="eastAsia" w:ascii="宋体" w:hAnsi="宋体" w:cs="宋体"/>
          <w:szCs w:val="21"/>
        </w:rPr>
        <w:t>住所地：</w:t>
      </w:r>
      <w:r>
        <w:rPr>
          <w:rFonts w:hint="eastAsia" w:ascii="宋体" w:hAnsi="宋体" w:cs="宋体"/>
          <w:szCs w:val="21"/>
          <w:u w:val="single"/>
        </w:rPr>
        <w:t>广西南宁市青秀区佛子岭路16号</w:t>
      </w:r>
    </w:p>
    <w:p w14:paraId="0E82D05F">
      <w:pPr>
        <w:spacing w:line="600" w:lineRule="exact"/>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任建福  </w:t>
      </w:r>
    </w:p>
    <w:p w14:paraId="69BD8F75">
      <w:pPr>
        <w:spacing w:line="600" w:lineRule="exact"/>
        <w:rPr>
          <w:rFonts w:hint="eastAsia" w:ascii="宋体" w:hAnsi="宋体" w:cs="宋体"/>
          <w:szCs w:val="21"/>
        </w:rPr>
      </w:pPr>
      <w:r>
        <w:rPr>
          <w:rFonts w:hint="eastAsia" w:ascii="宋体" w:hAnsi="宋体" w:cs="宋体"/>
          <w:szCs w:val="21"/>
        </w:rPr>
        <w:t>通讯地址：</w:t>
      </w:r>
      <w:r>
        <w:rPr>
          <w:rFonts w:hint="eastAsia" w:ascii="宋体" w:hAnsi="宋体" w:cs="宋体"/>
          <w:szCs w:val="21"/>
          <w:u w:val="single"/>
        </w:rPr>
        <w:t>广西南宁市青秀区佛子岭路16号</w:t>
      </w:r>
    </w:p>
    <w:p w14:paraId="58BB79D9">
      <w:pPr>
        <w:spacing w:line="600" w:lineRule="exact"/>
        <w:rPr>
          <w:rFonts w:hint="eastAsia" w:ascii="宋体" w:hAnsi="宋体" w:cs="宋体"/>
          <w:szCs w:val="21"/>
        </w:rPr>
      </w:pPr>
      <w:r>
        <w:rPr>
          <w:rFonts w:hint="eastAsia" w:ascii="宋体" w:hAnsi="宋体" w:cs="宋体"/>
          <w:szCs w:val="21"/>
        </w:rPr>
        <w:t>电子邮箱：</w:t>
      </w:r>
    </w:p>
    <w:p w14:paraId="5D2FE4FC">
      <w:pPr>
        <w:spacing w:line="600" w:lineRule="exact"/>
        <w:rPr>
          <w:rFonts w:hint="eastAsia" w:ascii="宋体" w:hAnsi="宋体" w:cs="宋体"/>
          <w:szCs w:val="21"/>
        </w:rPr>
      </w:pPr>
      <w:r>
        <w:rPr>
          <w:rFonts w:hint="eastAsia" w:ascii="宋体" w:hAnsi="宋体" w:cs="宋体"/>
          <w:szCs w:val="21"/>
        </w:rPr>
        <w:t>乙方（牵头人）：</w:t>
      </w:r>
    </w:p>
    <w:p w14:paraId="1FFBA9BE">
      <w:pPr>
        <w:spacing w:line="600" w:lineRule="exact"/>
        <w:rPr>
          <w:rFonts w:hint="eastAsia" w:ascii="宋体" w:hAnsi="宋体" w:cs="宋体"/>
          <w:szCs w:val="21"/>
        </w:rPr>
      </w:pPr>
      <w:r>
        <w:rPr>
          <w:rFonts w:hint="eastAsia" w:ascii="宋体" w:hAnsi="宋体" w:cs="宋体"/>
          <w:szCs w:val="21"/>
        </w:rPr>
        <w:t>住所地：</w:t>
      </w:r>
    </w:p>
    <w:p w14:paraId="3CBAE4BD">
      <w:pPr>
        <w:spacing w:line="600" w:lineRule="exact"/>
        <w:rPr>
          <w:rFonts w:hint="eastAsia" w:ascii="宋体" w:hAnsi="宋体" w:cs="宋体"/>
          <w:szCs w:val="21"/>
        </w:rPr>
      </w:pPr>
      <w:r>
        <w:rPr>
          <w:rFonts w:hint="eastAsia" w:ascii="宋体" w:hAnsi="宋体" w:cs="宋体"/>
          <w:szCs w:val="21"/>
        </w:rPr>
        <w:t>法定代表人：</w:t>
      </w:r>
    </w:p>
    <w:p w14:paraId="4C720241">
      <w:pPr>
        <w:spacing w:line="600" w:lineRule="exact"/>
        <w:rPr>
          <w:rFonts w:hint="eastAsia" w:ascii="宋体" w:hAnsi="宋体" w:cs="宋体"/>
          <w:szCs w:val="21"/>
        </w:rPr>
      </w:pPr>
      <w:r>
        <w:rPr>
          <w:rFonts w:hint="eastAsia" w:ascii="宋体" w:hAnsi="宋体" w:cs="宋体"/>
          <w:szCs w:val="21"/>
        </w:rPr>
        <w:t>通讯地址：</w:t>
      </w:r>
    </w:p>
    <w:p w14:paraId="45A755D1">
      <w:pPr>
        <w:spacing w:line="600" w:lineRule="exact"/>
        <w:rPr>
          <w:rFonts w:hint="eastAsia" w:ascii="宋体" w:hAnsi="宋体" w:cs="宋体"/>
          <w:szCs w:val="21"/>
        </w:rPr>
      </w:pPr>
      <w:r>
        <w:rPr>
          <w:rFonts w:hint="eastAsia" w:ascii="宋体" w:hAnsi="宋体" w:cs="宋体"/>
          <w:szCs w:val="21"/>
        </w:rPr>
        <w:t>联系电话：</w:t>
      </w:r>
    </w:p>
    <w:p w14:paraId="4C3E499E">
      <w:pPr>
        <w:spacing w:line="600" w:lineRule="exact"/>
        <w:rPr>
          <w:rFonts w:hint="eastAsia" w:ascii="宋体" w:hAnsi="宋体" w:cs="宋体"/>
          <w:szCs w:val="21"/>
        </w:rPr>
      </w:pPr>
      <w:r>
        <w:rPr>
          <w:rFonts w:hint="eastAsia" w:ascii="宋体" w:hAnsi="宋体" w:cs="宋体"/>
          <w:szCs w:val="21"/>
        </w:rPr>
        <w:t>电子邮箱：</w:t>
      </w:r>
    </w:p>
    <w:p w14:paraId="0FEC2C12">
      <w:pPr>
        <w:spacing w:line="600" w:lineRule="exact"/>
        <w:rPr>
          <w:rFonts w:hint="eastAsia" w:ascii="宋体" w:hAnsi="宋体" w:cs="宋体"/>
          <w:szCs w:val="21"/>
        </w:rPr>
      </w:pPr>
    </w:p>
    <w:p w14:paraId="7CF53415">
      <w:pPr>
        <w:spacing w:line="600" w:lineRule="exact"/>
        <w:jc w:val="center"/>
        <w:rPr>
          <w:rFonts w:hint="eastAsia" w:ascii="宋体" w:hAnsi="宋体" w:cs="宋体"/>
          <w:szCs w:val="21"/>
        </w:rPr>
      </w:pPr>
      <w:r>
        <w:rPr>
          <w:rFonts w:hint="eastAsia" w:ascii="宋体" w:hAnsi="宋体" w:cs="宋体"/>
          <w:szCs w:val="21"/>
        </w:rPr>
        <w:br w:type="page"/>
      </w:r>
      <w:r>
        <w:rPr>
          <w:rFonts w:hint="eastAsia" w:ascii="宋体" w:hAnsi="宋体" w:cs="宋体"/>
          <w:sz w:val="24"/>
        </w:rPr>
        <w:t>合同正文</w:t>
      </w:r>
    </w:p>
    <w:p w14:paraId="3F184FC4">
      <w:pPr>
        <w:spacing w:line="400" w:lineRule="exact"/>
        <w:ind w:firstLine="420" w:firstLineChars="200"/>
        <w:rPr>
          <w:rFonts w:hint="eastAsia" w:ascii="宋体" w:hAnsi="宋体" w:cs="宋体"/>
          <w:szCs w:val="21"/>
        </w:rPr>
      </w:pPr>
      <w:r>
        <w:rPr>
          <w:rFonts w:hint="eastAsia" w:ascii="宋体" w:hAnsi="宋体" w:cs="宋体"/>
          <w:szCs w:val="21"/>
        </w:rPr>
        <w:t>根据《中华人民共和国政府采购法》《中华人民共和国民法典》等法律、法规规定，按照招标文件（采购文件）规定条款和投标文件及承诺，采购人（甲方）与中标人（乙方）双方签订本合同。</w:t>
      </w:r>
    </w:p>
    <w:p w14:paraId="768FB05F">
      <w:pPr>
        <w:spacing w:line="600" w:lineRule="exact"/>
        <w:ind w:firstLine="422" w:firstLineChars="200"/>
        <w:rPr>
          <w:rFonts w:hint="eastAsia" w:ascii="宋体" w:hAnsi="宋体" w:cs="宋体"/>
          <w:b/>
          <w:bCs/>
          <w:szCs w:val="21"/>
        </w:rPr>
      </w:pPr>
      <w:r>
        <w:rPr>
          <w:rFonts w:hint="eastAsia" w:ascii="宋体" w:hAnsi="宋体" w:cs="宋体"/>
          <w:b/>
          <w:bCs/>
          <w:szCs w:val="21"/>
        </w:rPr>
        <w:t>第一条　合同标的</w:t>
      </w:r>
    </w:p>
    <w:p w14:paraId="264F4316">
      <w:pPr>
        <w:spacing w:line="600" w:lineRule="exact"/>
        <w:ind w:firstLine="420" w:firstLineChars="200"/>
        <w:rPr>
          <w:rFonts w:hint="eastAsia" w:ascii="宋体" w:hAnsi="宋体" w:cs="宋体"/>
          <w:szCs w:val="21"/>
        </w:rPr>
      </w:pPr>
      <w:r>
        <w:rPr>
          <w:rFonts w:hint="eastAsia" w:ascii="宋体" w:hAnsi="宋体" w:cs="宋体"/>
          <w:szCs w:val="21"/>
        </w:rPr>
        <w:t>1.服务一览表</w:t>
      </w:r>
    </w:p>
    <w:tbl>
      <w:tblPr>
        <w:tblStyle w:val="18"/>
        <w:tblW w:w="8815"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434"/>
        <w:gridCol w:w="2556"/>
        <w:gridCol w:w="990"/>
        <w:gridCol w:w="456"/>
        <w:gridCol w:w="1402"/>
        <w:gridCol w:w="1402"/>
      </w:tblGrid>
      <w:tr w14:paraId="384A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5" w:type="dxa"/>
            <w:tcBorders>
              <w:top w:val="single" w:color="auto" w:sz="4" w:space="0"/>
              <w:left w:val="single" w:color="auto" w:sz="4" w:space="0"/>
              <w:bottom w:val="single" w:color="auto" w:sz="4" w:space="0"/>
              <w:right w:val="single" w:color="auto" w:sz="4" w:space="0"/>
            </w:tcBorders>
            <w:vAlign w:val="center"/>
          </w:tcPr>
          <w:p w14:paraId="30C8185B">
            <w:pPr>
              <w:spacing w:line="600" w:lineRule="exact"/>
              <w:jc w:val="center"/>
              <w:rPr>
                <w:rFonts w:hint="eastAsia" w:ascii="宋体" w:hAnsi="宋体" w:cs="宋体"/>
                <w:szCs w:val="21"/>
              </w:rPr>
            </w:pPr>
            <w:r>
              <w:rPr>
                <w:rFonts w:hint="eastAsia" w:ascii="宋体" w:hAnsi="宋体" w:cs="宋体"/>
                <w:szCs w:val="21"/>
              </w:rPr>
              <w:t>序号</w:t>
            </w:r>
          </w:p>
        </w:tc>
        <w:tc>
          <w:tcPr>
            <w:tcW w:w="1434" w:type="dxa"/>
            <w:tcBorders>
              <w:top w:val="single" w:color="auto" w:sz="4" w:space="0"/>
              <w:left w:val="single" w:color="auto" w:sz="4" w:space="0"/>
              <w:bottom w:val="single" w:color="auto" w:sz="4" w:space="0"/>
              <w:right w:val="single" w:color="auto" w:sz="4" w:space="0"/>
            </w:tcBorders>
            <w:vAlign w:val="center"/>
          </w:tcPr>
          <w:p w14:paraId="0DE7D107">
            <w:pPr>
              <w:spacing w:line="600" w:lineRule="exact"/>
              <w:jc w:val="center"/>
              <w:rPr>
                <w:rFonts w:hint="eastAsia" w:ascii="宋体" w:hAnsi="宋体" w:cs="宋体"/>
                <w:szCs w:val="21"/>
              </w:rPr>
            </w:pPr>
            <w:r>
              <w:rPr>
                <w:rFonts w:hint="eastAsia" w:ascii="宋体" w:hAnsi="宋体" w:cs="宋体"/>
                <w:szCs w:val="21"/>
              </w:rPr>
              <w:t>名称</w:t>
            </w:r>
          </w:p>
        </w:tc>
        <w:tc>
          <w:tcPr>
            <w:tcW w:w="2556" w:type="dxa"/>
            <w:tcBorders>
              <w:top w:val="single" w:color="auto" w:sz="4" w:space="0"/>
              <w:left w:val="single" w:color="auto" w:sz="4" w:space="0"/>
              <w:bottom w:val="single" w:color="auto" w:sz="4" w:space="0"/>
              <w:right w:val="single" w:color="auto" w:sz="4" w:space="0"/>
            </w:tcBorders>
            <w:vAlign w:val="center"/>
          </w:tcPr>
          <w:p w14:paraId="62347626">
            <w:pPr>
              <w:spacing w:line="600" w:lineRule="exact"/>
              <w:jc w:val="center"/>
              <w:rPr>
                <w:rFonts w:hint="eastAsia" w:ascii="宋体" w:hAnsi="宋体" w:cs="宋体"/>
                <w:szCs w:val="21"/>
              </w:rPr>
            </w:pPr>
            <w:r>
              <w:rPr>
                <w:rFonts w:hint="eastAsia" w:ascii="宋体" w:hAnsi="宋体" w:cs="宋体"/>
                <w:szCs w:val="21"/>
              </w:rPr>
              <w:t>服务内容</w:t>
            </w:r>
          </w:p>
        </w:tc>
        <w:tc>
          <w:tcPr>
            <w:tcW w:w="990" w:type="dxa"/>
            <w:tcBorders>
              <w:top w:val="single" w:color="auto" w:sz="4" w:space="0"/>
              <w:left w:val="single" w:color="auto" w:sz="4" w:space="0"/>
              <w:bottom w:val="single" w:color="auto" w:sz="4" w:space="0"/>
              <w:right w:val="single" w:color="auto" w:sz="4" w:space="0"/>
            </w:tcBorders>
            <w:vAlign w:val="center"/>
          </w:tcPr>
          <w:p w14:paraId="5D0BEEBE">
            <w:pPr>
              <w:spacing w:line="600" w:lineRule="exact"/>
              <w:jc w:val="center"/>
              <w:rPr>
                <w:rFonts w:hint="eastAsia" w:ascii="宋体" w:hAnsi="宋体" w:cs="宋体"/>
                <w:szCs w:val="21"/>
              </w:rPr>
            </w:pPr>
            <w:r>
              <w:rPr>
                <w:rFonts w:hint="eastAsia" w:ascii="宋体" w:hAnsi="宋体" w:cs="宋体"/>
                <w:szCs w:val="21"/>
              </w:rPr>
              <w:t>数量</w:t>
            </w:r>
          </w:p>
        </w:tc>
        <w:tc>
          <w:tcPr>
            <w:tcW w:w="456" w:type="dxa"/>
            <w:tcBorders>
              <w:top w:val="single" w:color="auto" w:sz="4" w:space="0"/>
              <w:left w:val="single" w:color="auto" w:sz="4" w:space="0"/>
              <w:bottom w:val="single" w:color="auto" w:sz="4" w:space="0"/>
              <w:right w:val="single" w:color="auto" w:sz="4" w:space="0"/>
            </w:tcBorders>
            <w:vAlign w:val="center"/>
          </w:tcPr>
          <w:p w14:paraId="7165B053">
            <w:pPr>
              <w:spacing w:line="600" w:lineRule="exact"/>
              <w:jc w:val="center"/>
              <w:rPr>
                <w:rFonts w:hint="eastAsia" w:ascii="宋体" w:hAnsi="宋体" w:cs="宋体"/>
                <w:szCs w:val="21"/>
              </w:rPr>
            </w:pPr>
            <w:r>
              <w:rPr>
                <w:rFonts w:hint="eastAsia" w:ascii="宋体" w:hAnsi="宋体" w:cs="宋体"/>
                <w:szCs w:val="21"/>
              </w:rPr>
              <w:t>单位</w:t>
            </w:r>
          </w:p>
        </w:tc>
        <w:tc>
          <w:tcPr>
            <w:tcW w:w="1402" w:type="dxa"/>
            <w:tcBorders>
              <w:top w:val="single" w:color="auto" w:sz="4" w:space="0"/>
              <w:left w:val="single" w:color="auto" w:sz="4" w:space="0"/>
              <w:bottom w:val="single" w:color="auto" w:sz="4" w:space="0"/>
              <w:right w:val="single" w:color="auto" w:sz="4" w:space="0"/>
            </w:tcBorders>
            <w:vAlign w:val="center"/>
          </w:tcPr>
          <w:p w14:paraId="59AC9749">
            <w:pPr>
              <w:spacing w:line="600" w:lineRule="exact"/>
              <w:jc w:val="center"/>
              <w:rPr>
                <w:rFonts w:hint="eastAsia" w:ascii="宋体" w:hAnsi="宋体" w:cs="宋体"/>
                <w:szCs w:val="21"/>
              </w:rPr>
            </w:pPr>
            <w:r>
              <w:rPr>
                <w:rFonts w:hint="eastAsia" w:ascii="宋体" w:hAnsi="宋体" w:cs="宋体"/>
                <w:szCs w:val="21"/>
              </w:rPr>
              <w:t>单  价</w:t>
            </w:r>
          </w:p>
          <w:p w14:paraId="40A75E21">
            <w:pPr>
              <w:spacing w:line="600" w:lineRule="exact"/>
              <w:jc w:val="center"/>
              <w:rPr>
                <w:rFonts w:hint="eastAsia" w:ascii="宋体" w:hAnsi="宋体" w:cs="宋体"/>
                <w:szCs w:val="21"/>
              </w:rPr>
            </w:pPr>
            <w:r>
              <w:rPr>
                <w:rFonts w:hint="eastAsia" w:ascii="宋体" w:hAnsi="宋体" w:cs="宋体"/>
                <w:szCs w:val="21"/>
              </w:rPr>
              <w:t>（元）</w:t>
            </w:r>
          </w:p>
        </w:tc>
        <w:tc>
          <w:tcPr>
            <w:tcW w:w="1402" w:type="dxa"/>
            <w:tcBorders>
              <w:top w:val="single" w:color="auto" w:sz="4" w:space="0"/>
              <w:left w:val="single" w:color="auto" w:sz="4" w:space="0"/>
              <w:bottom w:val="single" w:color="auto" w:sz="4" w:space="0"/>
              <w:right w:val="single" w:color="auto" w:sz="4" w:space="0"/>
            </w:tcBorders>
            <w:vAlign w:val="center"/>
          </w:tcPr>
          <w:p w14:paraId="2278EE6B">
            <w:pPr>
              <w:spacing w:line="600" w:lineRule="exact"/>
              <w:jc w:val="center"/>
              <w:rPr>
                <w:rFonts w:hint="eastAsia" w:ascii="宋体" w:hAnsi="宋体" w:cs="宋体"/>
                <w:szCs w:val="21"/>
              </w:rPr>
            </w:pPr>
            <w:r>
              <w:rPr>
                <w:rFonts w:hint="eastAsia" w:ascii="宋体" w:hAnsi="宋体" w:cs="宋体"/>
                <w:szCs w:val="21"/>
              </w:rPr>
              <w:t>总  价</w:t>
            </w:r>
          </w:p>
          <w:p w14:paraId="507E436E">
            <w:pPr>
              <w:spacing w:line="600" w:lineRule="exact"/>
              <w:jc w:val="center"/>
              <w:rPr>
                <w:rFonts w:hint="eastAsia" w:ascii="宋体" w:hAnsi="宋体" w:cs="宋体"/>
                <w:szCs w:val="21"/>
              </w:rPr>
            </w:pPr>
            <w:r>
              <w:rPr>
                <w:rFonts w:hint="eastAsia" w:ascii="宋体" w:hAnsi="宋体" w:cs="宋体"/>
                <w:szCs w:val="21"/>
              </w:rPr>
              <w:t>（元）</w:t>
            </w:r>
          </w:p>
        </w:tc>
      </w:tr>
      <w:tr w14:paraId="6F0D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5" w:type="dxa"/>
            <w:tcBorders>
              <w:top w:val="single" w:color="auto" w:sz="4" w:space="0"/>
              <w:left w:val="single" w:color="auto" w:sz="4" w:space="0"/>
              <w:bottom w:val="single" w:color="auto" w:sz="4" w:space="0"/>
              <w:right w:val="single" w:color="auto" w:sz="4" w:space="0"/>
            </w:tcBorders>
            <w:vAlign w:val="center"/>
          </w:tcPr>
          <w:p w14:paraId="38FCC2A9">
            <w:pPr>
              <w:spacing w:line="600" w:lineRule="exact"/>
              <w:jc w:val="center"/>
              <w:rPr>
                <w:rFonts w:hint="eastAsia" w:ascii="宋体" w:hAnsi="宋体" w:cs="宋体"/>
                <w:szCs w:val="21"/>
              </w:rPr>
            </w:pPr>
            <w:r>
              <w:rPr>
                <w:rFonts w:hint="eastAsia" w:ascii="宋体" w:hAnsi="宋体" w:cs="宋体"/>
                <w:szCs w:val="21"/>
              </w:rPr>
              <w:t>1</w:t>
            </w:r>
          </w:p>
        </w:tc>
        <w:tc>
          <w:tcPr>
            <w:tcW w:w="1434" w:type="dxa"/>
            <w:tcBorders>
              <w:top w:val="single" w:color="auto" w:sz="4" w:space="0"/>
              <w:left w:val="single" w:color="auto" w:sz="4" w:space="0"/>
              <w:bottom w:val="single" w:color="auto" w:sz="4" w:space="0"/>
              <w:right w:val="single" w:color="auto" w:sz="4" w:space="0"/>
            </w:tcBorders>
            <w:vAlign w:val="center"/>
          </w:tcPr>
          <w:p w14:paraId="38FE5CCB">
            <w:pPr>
              <w:spacing w:line="600" w:lineRule="exact"/>
              <w:jc w:val="center"/>
              <w:rPr>
                <w:rFonts w:hint="eastAsia" w:ascii="宋体" w:hAnsi="宋体" w:cs="宋体"/>
                <w:szCs w:val="21"/>
              </w:rPr>
            </w:pPr>
            <w:r>
              <w:rPr>
                <w:rFonts w:hint="eastAsia" w:ascii="宋体" w:hAnsi="宋体" w:cs="宋体"/>
                <w:szCs w:val="21"/>
              </w:rPr>
              <w:t>广西生态环境信息化建设项目（A/B/C/D分标）</w:t>
            </w:r>
          </w:p>
        </w:tc>
        <w:tc>
          <w:tcPr>
            <w:tcW w:w="2556" w:type="dxa"/>
            <w:tcBorders>
              <w:top w:val="single" w:color="auto" w:sz="4" w:space="0"/>
              <w:left w:val="single" w:color="auto" w:sz="4" w:space="0"/>
              <w:bottom w:val="single" w:color="auto" w:sz="4" w:space="0"/>
              <w:right w:val="single" w:color="auto" w:sz="4" w:space="0"/>
            </w:tcBorders>
            <w:vAlign w:val="center"/>
          </w:tcPr>
          <w:p w14:paraId="41C078A5">
            <w:pPr>
              <w:spacing w:line="600" w:lineRule="exact"/>
              <w:jc w:val="center"/>
              <w:rPr>
                <w:rFonts w:hint="eastAsia" w:ascii="宋体" w:hAnsi="宋体" w:cs="宋体"/>
                <w:szCs w:val="21"/>
              </w:rPr>
            </w:pPr>
            <w:r>
              <w:rPr>
                <w:rFonts w:hint="eastAsia" w:ascii="宋体" w:hAnsi="宋体" w:cs="宋体"/>
                <w:szCs w:val="21"/>
              </w:rPr>
              <w:t>建设内容主要包含：需求文件建设内容。</w:t>
            </w:r>
          </w:p>
        </w:tc>
        <w:tc>
          <w:tcPr>
            <w:tcW w:w="990" w:type="dxa"/>
            <w:tcBorders>
              <w:top w:val="single" w:color="auto" w:sz="4" w:space="0"/>
              <w:left w:val="single" w:color="auto" w:sz="4" w:space="0"/>
              <w:bottom w:val="single" w:color="auto" w:sz="4" w:space="0"/>
              <w:right w:val="single" w:color="auto" w:sz="4" w:space="0"/>
            </w:tcBorders>
            <w:vAlign w:val="center"/>
          </w:tcPr>
          <w:p w14:paraId="71493303">
            <w:pPr>
              <w:spacing w:line="600" w:lineRule="exact"/>
              <w:jc w:val="center"/>
              <w:rPr>
                <w:rFonts w:hint="eastAsia" w:ascii="宋体" w:hAnsi="宋体" w:cs="宋体"/>
                <w:szCs w:val="21"/>
              </w:rPr>
            </w:pPr>
            <w:r>
              <w:rPr>
                <w:rFonts w:hint="eastAsia" w:ascii="宋体" w:hAnsi="宋体" w:cs="宋体"/>
                <w:szCs w:val="21"/>
              </w:rPr>
              <w:t>1</w:t>
            </w:r>
          </w:p>
        </w:tc>
        <w:tc>
          <w:tcPr>
            <w:tcW w:w="456" w:type="dxa"/>
            <w:tcBorders>
              <w:top w:val="single" w:color="auto" w:sz="4" w:space="0"/>
              <w:left w:val="single" w:color="auto" w:sz="4" w:space="0"/>
              <w:bottom w:val="single" w:color="auto" w:sz="4" w:space="0"/>
              <w:right w:val="single" w:color="auto" w:sz="4" w:space="0"/>
            </w:tcBorders>
            <w:vAlign w:val="center"/>
          </w:tcPr>
          <w:p w14:paraId="559597F3">
            <w:pPr>
              <w:spacing w:line="600" w:lineRule="exact"/>
              <w:jc w:val="center"/>
              <w:rPr>
                <w:rFonts w:hint="eastAsia" w:ascii="宋体" w:hAnsi="宋体" w:cs="宋体"/>
                <w:szCs w:val="21"/>
              </w:rPr>
            </w:pPr>
            <w:r>
              <w:rPr>
                <w:rFonts w:hint="eastAsia" w:ascii="宋体" w:hAnsi="宋体" w:cs="宋体"/>
                <w:szCs w:val="21"/>
              </w:rPr>
              <w:t>项</w:t>
            </w:r>
          </w:p>
        </w:tc>
        <w:tc>
          <w:tcPr>
            <w:tcW w:w="1402" w:type="dxa"/>
            <w:tcBorders>
              <w:top w:val="single" w:color="auto" w:sz="4" w:space="0"/>
              <w:left w:val="single" w:color="auto" w:sz="4" w:space="0"/>
              <w:bottom w:val="single" w:color="auto" w:sz="4" w:space="0"/>
              <w:right w:val="single" w:color="auto" w:sz="4" w:space="0"/>
            </w:tcBorders>
            <w:vAlign w:val="center"/>
          </w:tcPr>
          <w:p w14:paraId="13375E1F">
            <w:pPr>
              <w:spacing w:line="600" w:lineRule="exact"/>
              <w:jc w:val="center"/>
              <w:rPr>
                <w:rFonts w:hint="eastAsia" w:ascii="宋体" w:hAnsi="宋体" w:cs="宋体"/>
                <w:szCs w:val="21"/>
              </w:rPr>
            </w:pPr>
          </w:p>
        </w:tc>
        <w:tc>
          <w:tcPr>
            <w:tcW w:w="1402" w:type="dxa"/>
            <w:tcBorders>
              <w:top w:val="single" w:color="auto" w:sz="4" w:space="0"/>
              <w:left w:val="single" w:color="auto" w:sz="4" w:space="0"/>
              <w:bottom w:val="single" w:color="auto" w:sz="4" w:space="0"/>
              <w:right w:val="single" w:color="auto" w:sz="4" w:space="0"/>
            </w:tcBorders>
            <w:vAlign w:val="center"/>
          </w:tcPr>
          <w:p w14:paraId="38D1180D">
            <w:pPr>
              <w:spacing w:line="600" w:lineRule="exact"/>
              <w:jc w:val="center"/>
              <w:rPr>
                <w:rFonts w:hint="eastAsia" w:ascii="宋体" w:hAnsi="宋体" w:cs="宋体"/>
                <w:szCs w:val="21"/>
              </w:rPr>
            </w:pPr>
          </w:p>
        </w:tc>
      </w:tr>
      <w:tr w14:paraId="4308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8815" w:type="dxa"/>
            <w:gridSpan w:val="7"/>
            <w:tcBorders>
              <w:top w:val="single" w:color="auto" w:sz="4" w:space="0"/>
              <w:left w:val="single" w:color="auto" w:sz="4" w:space="0"/>
              <w:bottom w:val="single" w:color="auto" w:sz="4" w:space="0"/>
              <w:right w:val="single" w:color="auto" w:sz="4" w:space="0"/>
            </w:tcBorders>
            <w:vAlign w:val="center"/>
          </w:tcPr>
          <w:p w14:paraId="783AA199">
            <w:pPr>
              <w:spacing w:line="600" w:lineRule="exact"/>
              <w:rPr>
                <w:rFonts w:hint="eastAsia" w:ascii="宋体" w:hAnsi="宋体" w:cs="宋体"/>
                <w:szCs w:val="21"/>
              </w:rPr>
            </w:pPr>
            <w:r>
              <w:rPr>
                <w:rFonts w:hint="eastAsia" w:ascii="宋体" w:hAnsi="宋体" w:cs="宋体"/>
                <w:szCs w:val="21"/>
              </w:rPr>
              <w:t>合同总价款为（人民币，大写） X万X仟X佰X拾X元整 （¥ XXXXX.00 ）。其中不含税金额为（人民币，大写） X万X仟X佰X拾X元X角X分   (¥ XXXX.XX），增值税额为（人民币，大写）X万X仟X佰X拾X元X角X分（¥XXXXX.XX）。</w:t>
            </w:r>
          </w:p>
        </w:tc>
      </w:tr>
    </w:tbl>
    <w:p w14:paraId="481A2F7E">
      <w:pPr>
        <w:spacing w:line="400" w:lineRule="exact"/>
        <w:ind w:firstLine="420" w:firstLineChars="200"/>
        <w:rPr>
          <w:rFonts w:hint="eastAsia" w:ascii="宋体" w:hAnsi="宋体" w:cs="宋体"/>
          <w:szCs w:val="21"/>
        </w:rPr>
      </w:pPr>
      <w:r>
        <w:rPr>
          <w:rFonts w:hint="eastAsia" w:ascii="宋体" w:hAnsi="宋体" w:cs="宋体"/>
          <w:szCs w:val="21"/>
        </w:rPr>
        <w:t>2.合同合计金额包括但不限于满足本次招标全部采购需求所应提供的服务，以及伴随的货物和工程（如有）的价格，包括但不限于服务、货物、工程的成本、运输（含保险）、安装（如有）、调试、检验、技术服务、培训、人工、聘请专家评审、评估（如有）、项目验收、人身及财产保险费、税费、版权使用费（如有）等所有费用。</w:t>
      </w:r>
    </w:p>
    <w:p w14:paraId="72782DDF">
      <w:pPr>
        <w:spacing w:line="400" w:lineRule="exact"/>
        <w:ind w:firstLine="422" w:firstLineChars="200"/>
        <w:rPr>
          <w:rFonts w:hint="eastAsia" w:ascii="宋体" w:hAnsi="宋体" w:cs="宋体"/>
          <w:b/>
          <w:bCs/>
          <w:szCs w:val="21"/>
        </w:rPr>
      </w:pPr>
      <w:r>
        <w:rPr>
          <w:rFonts w:hint="eastAsia" w:ascii="宋体" w:hAnsi="宋体" w:cs="宋体"/>
          <w:b/>
          <w:bCs/>
          <w:szCs w:val="21"/>
        </w:rPr>
        <w:t>第二条　质量保证</w:t>
      </w:r>
    </w:p>
    <w:p w14:paraId="2DD38A1B">
      <w:pPr>
        <w:spacing w:line="400" w:lineRule="exact"/>
        <w:ind w:firstLine="420" w:firstLineChars="200"/>
        <w:rPr>
          <w:rFonts w:hint="eastAsia" w:ascii="宋体" w:hAnsi="宋体" w:cs="宋体"/>
          <w:szCs w:val="21"/>
        </w:rPr>
      </w:pPr>
      <w:r>
        <w:rPr>
          <w:rFonts w:hint="eastAsia" w:ascii="宋体" w:hAnsi="宋体" w:cs="宋体"/>
          <w:szCs w:val="21"/>
        </w:rPr>
        <w:t>1. 乙方应建立和完善履行合同的内部质量保证体系，并提供相关内部规章制度给甲方，以便甲方进行监督检查；</w:t>
      </w:r>
    </w:p>
    <w:p w14:paraId="71D8F5D9">
      <w:pPr>
        <w:spacing w:line="400" w:lineRule="exact"/>
        <w:ind w:firstLine="420" w:firstLineChars="200"/>
        <w:rPr>
          <w:rFonts w:hint="eastAsia" w:ascii="宋体" w:hAnsi="宋体" w:cs="宋体"/>
          <w:szCs w:val="21"/>
        </w:rPr>
      </w:pPr>
      <w:r>
        <w:rPr>
          <w:rFonts w:hint="eastAsia" w:ascii="宋体" w:hAnsi="宋体" w:cs="宋体"/>
          <w:szCs w:val="21"/>
        </w:rPr>
        <w:t>2.乙方应保证履行合同的人员数量和素质、软件和硬件设备的配置、场地、环境和设施等满足全面履行合同的要求，并应接受甲方随时的监督检查。</w:t>
      </w:r>
    </w:p>
    <w:p w14:paraId="51604F60">
      <w:pPr>
        <w:spacing w:line="400" w:lineRule="exact"/>
        <w:ind w:firstLine="420" w:firstLineChars="200"/>
        <w:rPr>
          <w:rFonts w:hint="eastAsia" w:ascii="宋体" w:hAnsi="宋体" w:cs="宋体"/>
          <w:szCs w:val="21"/>
        </w:rPr>
      </w:pPr>
      <w:r>
        <w:rPr>
          <w:rFonts w:hint="eastAsia" w:ascii="宋体" w:hAnsi="宋体" w:cs="宋体"/>
          <w:szCs w:val="21"/>
        </w:rPr>
        <w:t>3.乙方所提供的服务、服务质量及服务内容必须与合同、招标文件、投标文件及承诺相一致。有强制性国家标准的，还必须符合强制性国家标准的规定；没有强制性国家标准但有其他标准的，必须符合其他标准的规定。</w:t>
      </w:r>
    </w:p>
    <w:p w14:paraId="41B08059">
      <w:pPr>
        <w:spacing w:line="400" w:lineRule="exact"/>
        <w:ind w:firstLine="422" w:firstLineChars="200"/>
        <w:rPr>
          <w:rFonts w:hint="eastAsia" w:ascii="宋体" w:hAnsi="宋体" w:cs="宋体"/>
          <w:b/>
          <w:bCs/>
          <w:szCs w:val="21"/>
        </w:rPr>
      </w:pPr>
      <w:r>
        <w:rPr>
          <w:rFonts w:hint="eastAsia" w:ascii="宋体" w:hAnsi="宋体" w:cs="宋体"/>
          <w:b/>
          <w:bCs/>
          <w:szCs w:val="21"/>
        </w:rPr>
        <w:t>第三条　权利保证</w:t>
      </w:r>
    </w:p>
    <w:p w14:paraId="3CE5AFAF">
      <w:pPr>
        <w:spacing w:line="400" w:lineRule="exact"/>
        <w:ind w:firstLine="420" w:firstLineChars="200"/>
        <w:rPr>
          <w:rFonts w:hint="eastAsia" w:ascii="宋体" w:hAnsi="宋体" w:cs="宋体"/>
          <w:szCs w:val="21"/>
        </w:rPr>
      </w:pPr>
      <w:r>
        <w:rPr>
          <w:rFonts w:hint="eastAsia" w:ascii="宋体" w:hAnsi="宋体" w:cs="宋体"/>
          <w:szCs w:val="21"/>
        </w:rPr>
        <w:t>1.甲方有权随时向乙方了解服务进度和对服务资金使用情况进行监督、检查，并要求乙方提供相关资料。</w:t>
      </w:r>
    </w:p>
    <w:p w14:paraId="6A89F746">
      <w:pPr>
        <w:spacing w:line="400" w:lineRule="exact"/>
        <w:ind w:firstLine="420" w:firstLineChars="200"/>
        <w:rPr>
          <w:rFonts w:hint="eastAsia" w:ascii="宋体" w:hAnsi="宋体" w:cs="宋体"/>
          <w:szCs w:val="21"/>
        </w:rPr>
      </w:pPr>
      <w:r>
        <w:rPr>
          <w:rFonts w:hint="eastAsia" w:ascii="宋体" w:hAnsi="宋体" w:cs="宋体"/>
          <w:szCs w:val="21"/>
        </w:rPr>
        <w:t>2.甲方有权按照合同约定或有关法律法规、政府管理的相关职能规定，对乙方服务进行监督和检查，有权随时要求乙方按照监督检查情况制定相应措施并加以整改。甲方不因行使该监督和检查权而承担任何责任，也不因此而减轻或免除乙方根据合同约定或相关法律法规规定应承担的任何义务或责任。</w:t>
      </w:r>
    </w:p>
    <w:p w14:paraId="361AEB96">
      <w:pPr>
        <w:spacing w:line="400" w:lineRule="exact"/>
        <w:ind w:firstLine="420" w:firstLineChars="200"/>
        <w:rPr>
          <w:rFonts w:hint="eastAsia" w:ascii="宋体" w:hAnsi="宋体" w:cs="宋体"/>
          <w:szCs w:val="21"/>
        </w:rPr>
      </w:pPr>
      <w:r>
        <w:rPr>
          <w:rFonts w:hint="eastAsia" w:ascii="宋体" w:hAnsi="宋体" w:cs="宋体"/>
          <w:szCs w:val="21"/>
        </w:rPr>
        <w:t>3.乙方应保证所提供服务在使用时不会侵犯任何第三方的专利权、商标权、工业设计权等知识产权及其他合法权利，且所有权、处分权等没有受到任何限制，如乙方违反前述约定侵犯他人权利或违反相关规定的，由乙方承担责任、费用及行政处罚。如造成甲方损失的，乙方应当赔偿甲方全部损失。</w:t>
      </w:r>
    </w:p>
    <w:p w14:paraId="75F74F75">
      <w:pPr>
        <w:spacing w:line="400" w:lineRule="exact"/>
        <w:ind w:firstLine="420" w:firstLineChars="200"/>
        <w:rPr>
          <w:rFonts w:hint="eastAsia" w:ascii="宋体" w:hAnsi="宋体" w:cs="宋体"/>
          <w:szCs w:val="21"/>
        </w:rPr>
      </w:pPr>
      <w:r>
        <w:rPr>
          <w:rFonts w:hint="eastAsia" w:ascii="宋体" w:hAnsi="宋体" w:cs="宋体"/>
          <w:szCs w:val="21"/>
        </w:rPr>
        <w:t>4.没有甲方事先书面同意，乙方不得将由甲方提供的有关合同或者任何合同条文、规格、计划、图纸、样品或者资料提供给与履行本合同无关的任何其他人。即使向履行合同有关的人员提供，也应注意保密并限于履行合同的必需范围。乙方的保密义务持续有效，不因为本合同履行终止、解除或者无效而解除。</w:t>
      </w:r>
    </w:p>
    <w:p w14:paraId="22661644">
      <w:pPr>
        <w:spacing w:line="400" w:lineRule="exact"/>
        <w:ind w:firstLine="420" w:firstLineChars="200"/>
        <w:rPr>
          <w:rFonts w:hint="eastAsia" w:ascii="宋体" w:hAnsi="宋体" w:cs="宋体"/>
          <w:szCs w:val="21"/>
        </w:rPr>
      </w:pPr>
      <w:r>
        <w:rPr>
          <w:rFonts w:hint="eastAsia" w:ascii="宋体" w:hAnsi="宋体" w:cs="宋体"/>
          <w:szCs w:val="21"/>
        </w:rPr>
        <w:t>5.乙方保证所交付的服务成果的所有权完全属于乙方且无任何抵押、质押、查封等产权瑕疵。如乙方所交付服务成果有产权瑕疵的，视为乙方提供的服务不符合本合同约定而构成违约。但在已经全部支付完合同款后甲方才发现有产权瑕疵的，乙方除了按照本合同合计总金额的10%向甲方支付违约金外，还应负担甲方由此产生的一切损失。</w:t>
      </w:r>
    </w:p>
    <w:p w14:paraId="09B138AD">
      <w:pPr>
        <w:spacing w:line="400" w:lineRule="exact"/>
        <w:ind w:firstLine="422" w:firstLineChars="200"/>
        <w:rPr>
          <w:rFonts w:hint="eastAsia" w:ascii="宋体" w:hAnsi="宋体" w:cs="宋体"/>
          <w:szCs w:val="21"/>
        </w:rPr>
      </w:pPr>
      <w:r>
        <w:rPr>
          <w:rFonts w:hint="eastAsia" w:ascii="宋体" w:hAnsi="宋体" w:cs="宋体"/>
          <w:b/>
          <w:bCs/>
          <w:szCs w:val="21"/>
        </w:rPr>
        <w:t>第四条　交付和验收</w:t>
      </w:r>
    </w:p>
    <w:p w14:paraId="29E0A93D">
      <w:pPr>
        <w:spacing w:line="400" w:lineRule="exact"/>
        <w:ind w:firstLine="420" w:firstLineChars="200"/>
        <w:rPr>
          <w:rFonts w:hint="eastAsia" w:ascii="宋体" w:hAnsi="宋体" w:cs="宋体"/>
          <w:szCs w:val="21"/>
        </w:rPr>
      </w:pPr>
      <w:r>
        <w:rPr>
          <w:rFonts w:hint="eastAsia" w:ascii="宋体" w:hAnsi="宋体" w:cs="宋体"/>
          <w:szCs w:val="21"/>
        </w:rPr>
        <w:t>1.服务时间：签订合同之日起至质量保证期结束止。乙方应于签订本合同后</w:t>
      </w:r>
      <w:r>
        <w:rPr>
          <w:rFonts w:hint="eastAsia" w:ascii="宋体" w:hAnsi="宋体" w:cs="宋体"/>
          <w:szCs w:val="21"/>
          <w:u w:val="single"/>
          <w:lang w:val="en-US" w:eastAsia="zh-CN"/>
        </w:rPr>
        <w:t xml:space="preserve">   </w:t>
      </w:r>
      <w:r>
        <w:rPr>
          <w:rFonts w:hint="eastAsia" w:ascii="宋体" w:hAnsi="宋体" w:cs="宋体"/>
          <w:szCs w:val="21"/>
        </w:rPr>
        <w:t>个工作日内完成符合本项目的服务成果交付。交付的标准详见合同、招标文件、投标文件及乙方承诺。</w:t>
      </w:r>
    </w:p>
    <w:p w14:paraId="30E2F8BD">
      <w:pPr>
        <w:spacing w:line="400" w:lineRule="exact"/>
        <w:ind w:firstLine="420" w:firstLineChars="200"/>
        <w:rPr>
          <w:rFonts w:hint="eastAsia" w:ascii="宋体" w:hAnsi="宋体" w:cs="宋体"/>
          <w:szCs w:val="21"/>
        </w:rPr>
      </w:pPr>
      <w:r>
        <w:rPr>
          <w:rFonts w:hint="eastAsia" w:ascii="宋体" w:hAnsi="宋体" w:cs="宋体"/>
          <w:szCs w:val="21"/>
        </w:rPr>
        <w:t>2.服务地点：甲方指定地点。</w:t>
      </w:r>
    </w:p>
    <w:p w14:paraId="62B70359">
      <w:pPr>
        <w:spacing w:line="400" w:lineRule="exact"/>
        <w:ind w:firstLine="420" w:firstLineChars="200"/>
        <w:rPr>
          <w:rFonts w:hint="eastAsia" w:ascii="宋体" w:hAnsi="宋体" w:cs="宋体"/>
          <w:szCs w:val="21"/>
        </w:rPr>
      </w:pPr>
      <w:r>
        <w:rPr>
          <w:rFonts w:hint="eastAsia" w:ascii="宋体" w:hAnsi="宋体" w:cs="宋体"/>
          <w:szCs w:val="21"/>
        </w:rPr>
        <w:t>3.乙方应按合同、招标文件、投标文件及承诺向甲方提供相应的服务，并按上述约定及乙方承诺提供服务质量和服务内容的相关技术资料。</w:t>
      </w:r>
    </w:p>
    <w:p w14:paraId="086BC4AA">
      <w:pPr>
        <w:spacing w:line="400" w:lineRule="exact"/>
        <w:ind w:firstLine="420" w:firstLineChars="200"/>
        <w:rPr>
          <w:rFonts w:hint="eastAsia" w:ascii="宋体" w:hAnsi="宋体" w:cs="宋体"/>
          <w:szCs w:val="21"/>
        </w:rPr>
      </w:pPr>
      <w:r>
        <w:rPr>
          <w:rFonts w:hint="eastAsia" w:ascii="宋体" w:hAnsi="宋体" w:cs="宋体"/>
          <w:szCs w:val="21"/>
        </w:rPr>
        <w:t>4.乙方提供不符合合同、招标文件、投标文件及乙方承诺规定的服务成果，甲方有权拒绝接受，并要求乙方五个工作日内按照甲方的要求进行修改、重做，直至服务成果符合规定。如乙方在限期整改的时间内仍不能提供符合采购文件、投标文件和本合同规定的，甲方有权解除本合同且不承担违约责任，并有权按乙方逾期提供服务/交付服务成果处理。</w:t>
      </w:r>
    </w:p>
    <w:p w14:paraId="06001091">
      <w:pPr>
        <w:spacing w:line="400" w:lineRule="exact"/>
        <w:ind w:firstLine="420" w:firstLineChars="200"/>
        <w:rPr>
          <w:rFonts w:hint="eastAsia" w:ascii="宋体" w:hAnsi="宋体" w:cs="宋体"/>
          <w:szCs w:val="21"/>
        </w:rPr>
      </w:pPr>
      <w:r>
        <w:rPr>
          <w:rFonts w:hint="eastAsia" w:ascii="宋体" w:hAnsi="宋体" w:cs="宋体"/>
          <w:szCs w:val="21"/>
        </w:rPr>
        <w:t>5.乙方在完成服务前应对服务作出全面检查和对验收文件进行整理，并列出书面清单，作为甲方服务验收的技术依据，清单应随提交的服务成果交给甲方，否则甲方有权不予验收。</w:t>
      </w:r>
    </w:p>
    <w:p w14:paraId="0FD9F505">
      <w:pPr>
        <w:spacing w:line="400" w:lineRule="exact"/>
        <w:ind w:firstLine="420" w:firstLineChars="200"/>
        <w:rPr>
          <w:rFonts w:hint="eastAsia" w:ascii="宋体" w:hAnsi="宋体" w:cs="宋体"/>
          <w:szCs w:val="21"/>
        </w:rPr>
      </w:pPr>
      <w:r>
        <w:rPr>
          <w:rFonts w:hint="eastAsia" w:ascii="宋体" w:hAnsi="宋体" w:cs="宋体"/>
          <w:szCs w:val="21"/>
        </w:rPr>
        <w:t>6.乙方完成服务后应及时书面通知甲方进行验收，甲方应在收到通知后七个工作日内进行初步验收，若甲方逾期不开始验收且无正当理由的，乙方可发函催告，如甲方收到催促验收函件后三个工作日内仍不开始验收的，视同初步验收合格。</w:t>
      </w:r>
    </w:p>
    <w:p w14:paraId="755D6DEC">
      <w:pPr>
        <w:spacing w:line="400" w:lineRule="exact"/>
        <w:ind w:firstLine="420" w:firstLineChars="200"/>
        <w:rPr>
          <w:rFonts w:hint="eastAsia" w:ascii="宋体" w:hAnsi="宋体" w:cs="宋体"/>
          <w:szCs w:val="21"/>
        </w:rPr>
      </w:pPr>
      <w:r>
        <w:rPr>
          <w:rFonts w:hint="eastAsia" w:ascii="宋体" w:hAnsi="宋体" w:cs="宋体"/>
          <w:szCs w:val="21"/>
        </w:rPr>
        <w:t>7.甲乙双方应按照《广西壮族自治区政府采购项目履约验收管理办法》、合同、招标文件、投标文件及乙方承诺进行初步验收和最终验收，</w:t>
      </w:r>
      <w:bookmarkStart w:id="175" w:name="_Hlk210062206"/>
      <w:r>
        <w:rPr>
          <w:rFonts w:hint="eastAsia" w:ascii="宋体" w:hAnsi="宋体" w:cs="宋体"/>
          <w:szCs w:val="21"/>
        </w:rPr>
        <w:t>初</w:t>
      </w:r>
      <w:bookmarkStart w:id="176" w:name="_Hlk210062198"/>
      <w:r>
        <w:rPr>
          <w:rFonts w:hint="eastAsia" w:ascii="宋体" w:hAnsi="宋体" w:cs="宋体"/>
          <w:szCs w:val="21"/>
        </w:rPr>
        <w:t>步验收系指履约验收，最终验收系指通过数据局组织的验收（内容包括但不限于合同履约、立项、密评、等保、决算等）。</w:t>
      </w:r>
      <w:bookmarkEnd w:id="175"/>
      <w:bookmarkEnd w:id="176"/>
      <w:r>
        <w:rPr>
          <w:rFonts w:hint="eastAsia" w:ascii="宋体" w:hAnsi="宋体" w:cs="宋体"/>
          <w:szCs w:val="21"/>
        </w:rPr>
        <w:t>每次验收时乙方必须在现场，验收费用由乙方负责。验收时，乙方提供服务的服务质量和服务内容符合合同、招标文件、投标文件规定以及乙方承诺的要求的，由甲乙双方签署《广西壮族自治区政府采购项目合同验收书》并加盖甲乙双方公章，一式贰份，由甲乙双方各执一份。</w:t>
      </w:r>
    </w:p>
    <w:p w14:paraId="2B34C3BE">
      <w:pPr>
        <w:spacing w:line="400" w:lineRule="exact"/>
        <w:ind w:firstLine="420" w:firstLineChars="200"/>
        <w:rPr>
          <w:rFonts w:hint="eastAsia" w:ascii="宋体" w:hAnsi="宋体" w:cs="宋体"/>
          <w:szCs w:val="21"/>
        </w:rPr>
      </w:pPr>
      <w:r>
        <w:rPr>
          <w:rFonts w:hint="eastAsia" w:ascii="宋体" w:hAnsi="宋体" w:cs="宋体"/>
          <w:szCs w:val="21"/>
        </w:rPr>
        <w:t>8.甲方在初步验收或者最终验收中发现乙方提供的服务、服务质量或服务内容不满足合同、招标文件、投标文件及乙方承诺规定的，可暂缓向乙方支付对应阶段的款项，直到乙方及时完善并提交相应的服务成果且经甲方验收合格后，方可办理付款，在此过程中甲方并不承担逾期付款的责任。</w:t>
      </w:r>
    </w:p>
    <w:p w14:paraId="4F7E526E">
      <w:pPr>
        <w:spacing w:line="400" w:lineRule="exact"/>
        <w:ind w:firstLine="420" w:firstLineChars="200"/>
        <w:rPr>
          <w:rFonts w:hint="eastAsia" w:ascii="宋体" w:hAnsi="宋体" w:cs="宋体"/>
          <w:szCs w:val="21"/>
        </w:rPr>
      </w:pPr>
      <w:r>
        <w:rPr>
          <w:rFonts w:hint="eastAsia" w:ascii="宋体" w:hAnsi="宋体" w:cs="宋体"/>
          <w:szCs w:val="21"/>
        </w:rPr>
        <w:t>9.甲方验收时发现乙方提供的服务、服务质量或服务内容不满足合同、招标文件、投标文件规定并以书面形式提出异议的，乙方应自收到甲方书面异议后五个工作日内予以解决并重新申请验收，否则甲方有权拒绝验收或不通过验收，且有权拒绝出具验收合格单。乙方因解决异议问题而造成逾期的，按乙方逾期交付处理，甲方配合验收不可被认为甲方免除追究乙方逾期交付的违约责任。</w:t>
      </w:r>
    </w:p>
    <w:p w14:paraId="3B77D5D5">
      <w:pPr>
        <w:spacing w:line="400" w:lineRule="exact"/>
        <w:ind w:firstLine="420" w:firstLineChars="200"/>
        <w:rPr>
          <w:rFonts w:hint="eastAsia" w:ascii="宋体" w:hAnsi="宋体" w:cs="宋体"/>
          <w:szCs w:val="21"/>
        </w:rPr>
      </w:pPr>
      <w:r>
        <w:rPr>
          <w:rFonts w:hint="eastAsia" w:ascii="宋体" w:hAnsi="宋体" w:cs="宋体"/>
          <w:szCs w:val="21"/>
        </w:rPr>
        <w:t>10源代码交付</w:t>
      </w:r>
    </w:p>
    <w:p w14:paraId="00CB5A5D">
      <w:pPr>
        <w:spacing w:line="400" w:lineRule="exact"/>
        <w:ind w:firstLine="420" w:firstLineChars="200"/>
        <w:rPr>
          <w:rFonts w:hint="eastAsia" w:ascii="宋体" w:hAnsi="宋体" w:cs="宋体"/>
          <w:szCs w:val="21"/>
        </w:rPr>
      </w:pPr>
      <w:r>
        <w:rPr>
          <w:rFonts w:hint="eastAsia" w:ascii="宋体" w:hAnsi="宋体" w:cs="宋体"/>
          <w:szCs w:val="21"/>
        </w:rPr>
        <w:t>10.1乙方应在本合同约定的交付节点，向甲方完整交付所开发软件系统的全部源代码，源代码应涵盖系统所有功能模块，包括但不限于前端界面代码、后端业务逻辑代码、数据库访问代码等。交付的源代码应采用行业通用的、可读的编程语言及编码规范编写，确保甲方技术人员能够顺利理解和使用。</w:t>
      </w:r>
    </w:p>
    <w:p w14:paraId="274789FF">
      <w:pPr>
        <w:spacing w:line="400" w:lineRule="exact"/>
        <w:ind w:firstLine="420" w:firstLineChars="200"/>
        <w:rPr>
          <w:rFonts w:hint="eastAsia" w:ascii="宋体" w:hAnsi="宋体" w:cs="宋体"/>
          <w:szCs w:val="21"/>
        </w:rPr>
      </w:pPr>
      <w:r>
        <w:rPr>
          <w:rFonts w:hint="eastAsia" w:ascii="宋体" w:hAnsi="宋体" w:cs="宋体"/>
          <w:szCs w:val="21"/>
        </w:rPr>
        <w:t>10.2源代码应以电子文档形式交付，存储于甲方指定的存储介质或通过甲方认可的在线传输方式提交。交付时应同时提供详细的代码文档，包括代码架构说明、模块功能介绍、关键算法说明等，以便甲方进行后续的维护和开发工作。代码文档应采用清晰、易懂的格式编写，且文档中的术语、符号等应与源代码保持一致。</w:t>
      </w:r>
    </w:p>
    <w:p w14:paraId="0A214F7E">
      <w:pPr>
        <w:spacing w:line="400" w:lineRule="exact"/>
        <w:ind w:firstLine="420" w:firstLineChars="200"/>
        <w:rPr>
          <w:rFonts w:hint="eastAsia" w:ascii="宋体" w:hAnsi="宋体" w:cs="宋体"/>
          <w:szCs w:val="21"/>
        </w:rPr>
      </w:pPr>
      <w:r>
        <w:rPr>
          <w:rFonts w:hint="eastAsia" w:ascii="宋体" w:hAnsi="宋体" w:cs="宋体"/>
          <w:szCs w:val="21"/>
        </w:rPr>
        <w:t>10.3乙方保证所交付的源代码是可真实运行的，能够在甲方指定的运行环境中，按照合同约定的功能和性能要求正常工作。乙方应在交付源代码时，提供在甲方指定环境下成功运行的测试报告及相关测试数据，作为源代码可运行的初步证明。测试报告应详细记录测试环境配置、测试用例、测试步骤、测试结果等信息，确保测试过程的可重复性和测试结果的可信度，但成功的测试报告不可被视为交付的源代码质量完全符合要求，应以最终验收结果为准。</w:t>
      </w:r>
    </w:p>
    <w:p w14:paraId="02CEFB40">
      <w:pPr>
        <w:spacing w:line="400" w:lineRule="exact"/>
        <w:ind w:firstLine="420" w:firstLineChars="200"/>
        <w:rPr>
          <w:rFonts w:hint="eastAsia" w:ascii="宋体" w:hAnsi="宋体" w:cs="宋体"/>
          <w:szCs w:val="21"/>
        </w:rPr>
      </w:pPr>
      <w:r>
        <w:rPr>
          <w:rFonts w:hint="eastAsia" w:ascii="宋体" w:hAnsi="宋体" w:cs="宋体"/>
          <w:szCs w:val="21"/>
        </w:rPr>
        <w:t>10.4 乙方保证其交付的源代码及其所有部分（包括但不限于算法、模块、接口）均为其原创或已获得充分、合法、有效的授权，不存在任何侵犯第三方知识产权（包括但不限于著作权、专利权、商业秘密）的情形。若因源代码侵犯第三方知识产权导致甲方遭受任何损失（包括但不限于索赔、诉讼、行政处罚、系统停运），乙方应负责解决并承担全部法律责任及甲方的直接和间接经济损失。</w:t>
      </w:r>
    </w:p>
    <w:p w14:paraId="04B83AC5">
      <w:pPr>
        <w:spacing w:line="400" w:lineRule="exact"/>
        <w:ind w:firstLine="420" w:firstLineChars="200"/>
        <w:rPr>
          <w:rFonts w:hint="eastAsia" w:ascii="宋体" w:hAnsi="宋体" w:cs="宋体"/>
          <w:szCs w:val="21"/>
        </w:rPr>
      </w:pPr>
      <w:r>
        <w:rPr>
          <w:rFonts w:hint="eastAsia" w:ascii="宋体" w:hAnsi="宋体" w:cs="宋体"/>
          <w:szCs w:val="21"/>
        </w:rPr>
        <w:t>10.5 乙方交付的所有源代码及相关文档，均需提供详细的交付物清单。甲方有权根据清单进行逐项核对和验收，并签署书面交付确认书。该确认书仅代表甲方收到符合清单数量的交付物，不视为对交付物质量、合规性及知识产权的认可。</w:t>
      </w:r>
    </w:p>
    <w:p w14:paraId="2A7B012E">
      <w:pPr>
        <w:spacing w:line="400" w:lineRule="exact"/>
        <w:ind w:firstLine="420" w:firstLineChars="200"/>
        <w:rPr>
          <w:rFonts w:hint="eastAsia" w:ascii="宋体" w:hAnsi="宋体" w:cs="宋体"/>
          <w:szCs w:val="21"/>
        </w:rPr>
      </w:pPr>
      <w:r>
        <w:rPr>
          <w:rFonts w:hint="eastAsia" w:ascii="宋体" w:hAnsi="宋体" w:cs="宋体"/>
          <w:szCs w:val="21"/>
        </w:rPr>
        <w:t>11.代码审查条款</w:t>
      </w:r>
    </w:p>
    <w:p w14:paraId="5E3DF6B3">
      <w:pPr>
        <w:spacing w:line="400" w:lineRule="exact"/>
        <w:ind w:firstLine="420" w:firstLineChars="200"/>
        <w:rPr>
          <w:rFonts w:hint="eastAsia" w:ascii="宋体" w:hAnsi="宋体" w:cs="宋体"/>
          <w:szCs w:val="21"/>
        </w:rPr>
      </w:pPr>
      <w:r>
        <w:rPr>
          <w:rFonts w:hint="eastAsia" w:ascii="宋体" w:hAnsi="宋体" w:cs="宋体"/>
          <w:szCs w:val="21"/>
        </w:rPr>
        <w:t>11.1为确保乙方交付的源代码符合合同要求，保证源代码的质量、安全性和可维护性，甲方有权对乙方交付的源代码进行审查。</w:t>
      </w:r>
    </w:p>
    <w:p w14:paraId="190A0937">
      <w:pPr>
        <w:spacing w:line="400" w:lineRule="exact"/>
        <w:ind w:firstLine="420" w:firstLineChars="200"/>
        <w:rPr>
          <w:rFonts w:hint="eastAsia" w:ascii="宋体" w:hAnsi="宋体" w:cs="宋体"/>
          <w:szCs w:val="21"/>
        </w:rPr>
      </w:pPr>
      <w:r>
        <w:rPr>
          <w:rFonts w:hint="eastAsia" w:ascii="宋体" w:hAnsi="宋体" w:cs="宋体"/>
          <w:szCs w:val="21"/>
        </w:rPr>
        <w:t>11.2代码审查包括但不限于代码规范性审查、功能完整性审查、安全性审查、性能审查等方面。具体审查内容如下：</w:t>
      </w:r>
    </w:p>
    <w:p w14:paraId="200AE376">
      <w:pPr>
        <w:spacing w:line="400" w:lineRule="exact"/>
        <w:ind w:firstLine="420" w:firstLineChars="200"/>
        <w:rPr>
          <w:rFonts w:hint="eastAsia" w:ascii="宋体" w:hAnsi="宋体" w:cs="宋体"/>
          <w:szCs w:val="21"/>
        </w:rPr>
      </w:pPr>
      <w:r>
        <w:rPr>
          <w:rFonts w:hint="eastAsia" w:ascii="宋体" w:hAnsi="宋体" w:cs="宋体"/>
          <w:szCs w:val="21"/>
        </w:rPr>
        <w:t>（1）代码规范性审查：检查代码是否符合行业通用的编程规范和甲方的内部编码标准，包括代码格式、命名规范、注释规范等。</w:t>
      </w:r>
    </w:p>
    <w:p w14:paraId="6A7F4F09">
      <w:pPr>
        <w:spacing w:line="400" w:lineRule="exact"/>
        <w:ind w:firstLine="420" w:firstLineChars="200"/>
        <w:rPr>
          <w:rFonts w:hint="eastAsia" w:ascii="宋体" w:hAnsi="宋体" w:cs="宋体"/>
          <w:szCs w:val="21"/>
        </w:rPr>
      </w:pPr>
      <w:r>
        <w:rPr>
          <w:rFonts w:hint="eastAsia" w:ascii="宋体" w:hAnsi="宋体" w:cs="宋体"/>
          <w:szCs w:val="21"/>
        </w:rPr>
        <w:t>（2）功能完整性审查：验证源代码是否实现了合同约定的所有功能，功能实现是否准确无误，是否存在功能缺失或错误的情况。</w:t>
      </w:r>
    </w:p>
    <w:p w14:paraId="67CC0827">
      <w:pPr>
        <w:spacing w:line="400" w:lineRule="exact"/>
        <w:ind w:firstLine="420" w:firstLineChars="200"/>
        <w:rPr>
          <w:rFonts w:hint="eastAsia" w:ascii="宋体" w:hAnsi="宋体" w:cs="宋体"/>
          <w:szCs w:val="21"/>
        </w:rPr>
      </w:pPr>
      <w:r>
        <w:rPr>
          <w:rFonts w:hint="eastAsia" w:ascii="宋体" w:hAnsi="宋体" w:cs="宋体"/>
          <w:szCs w:val="21"/>
        </w:rPr>
        <w:t>（3）安全性审查：检查代码是否存在安全漏洞，如 SQL 注入、跨站脚本攻击（XSS）、缓冲区溢出等安全隐患，确保软件系统的安全性。</w:t>
      </w:r>
    </w:p>
    <w:p w14:paraId="5D2053F3">
      <w:pPr>
        <w:spacing w:line="400" w:lineRule="exact"/>
        <w:ind w:firstLine="420" w:firstLineChars="200"/>
        <w:rPr>
          <w:rFonts w:hint="eastAsia" w:ascii="宋体" w:hAnsi="宋体" w:cs="宋体"/>
          <w:szCs w:val="21"/>
        </w:rPr>
      </w:pPr>
      <w:r>
        <w:rPr>
          <w:rFonts w:hint="eastAsia" w:ascii="宋体" w:hAnsi="宋体" w:cs="宋体"/>
          <w:szCs w:val="21"/>
        </w:rPr>
        <w:t>（4）性能审查：评估代码的执行效率，检查是否存在性能瓶颈，如算法复杂度过高、资源占用过大等问题，确保软件系统能够满足性能要求。</w:t>
      </w:r>
    </w:p>
    <w:p w14:paraId="54325E4D">
      <w:pPr>
        <w:spacing w:line="400" w:lineRule="exact"/>
        <w:ind w:firstLine="420" w:firstLineChars="200"/>
        <w:rPr>
          <w:rFonts w:hint="eastAsia" w:ascii="宋体" w:hAnsi="宋体" w:cs="宋体"/>
          <w:szCs w:val="21"/>
        </w:rPr>
      </w:pPr>
      <w:r>
        <w:rPr>
          <w:rFonts w:hint="eastAsia" w:ascii="宋体" w:hAnsi="宋体" w:cs="宋体"/>
          <w:szCs w:val="21"/>
        </w:rPr>
        <w:t>12.代码审查方式：</w:t>
      </w:r>
    </w:p>
    <w:p w14:paraId="1671D25E">
      <w:pPr>
        <w:spacing w:line="400" w:lineRule="exact"/>
        <w:ind w:firstLine="420" w:firstLineChars="200"/>
        <w:rPr>
          <w:rFonts w:hint="eastAsia" w:ascii="宋体" w:hAnsi="宋体" w:cs="宋体"/>
          <w:szCs w:val="21"/>
        </w:rPr>
      </w:pPr>
      <w:r>
        <w:rPr>
          <w:rFonts w:hint="eastAsia" w:ascii="宋体" w:hAnsi="宋体" w:cs="宋体"/>
          <w:szCs w:val="21"/>
        </w:rPr>
        <w:t>（1）源代码分段编译：乙方应按照甲方要求，将源代码进行合理分段，并提供分段编译的说明文档。甲方有权根据分段编译的说明文档，对源代码进行分段编译，并将编译后的程序作为正式生产系统进行测试和验证。乙方应积极配合甲方的分段编译工作，提供必要的技术支持和协助。在分段编译过程中，乙方需确保各分段代码之间的接口定义清晰、稳定，不因分段编译而出现兼容性问题。同时，若甲方在分段编译过程中遇到技术问题，乙方应在接到通知后的2小时内响应，并在1个工作日内协助解决问题。</w:t>
      </w:r>
    </w:p>
    <w:p w14:paraId="7F4534F5">
      <w:pPr>
        <w:spacing w:line="400" w:lineRule="exact"/>
        <w:ind w:firstLine="420" w:firstLineChars="200"/>
        <w:rPr>
          <w:rFonts w:hint="eastAsia" w:ascii="宋体" w:hAnsi="宋体" w:cs="宋体"/>
          <w:szCs w:val="21"/>
        </w:rPr>
      </w:pPr>
      <w:r>
        <w:rPr>
          <w:rFonts w:hint="eastAsia" w:ascii="宋体" w:hAnsi="宋体" w:cs="宋体"/>
          <w:szCs w:val="21"/>
        </w:rPr>
        <w:t>（2）第三方审查：甲方有权聘请具有相关资质和经验的第三方机构对源代码进行审查。乙方应无条件配合第三方机构的审查工作，提供审查所需的所有资料和信息。审查费用由乙方承担，审查通过后，由于甲方需求变更原因导致重复审查的，重复审查的费用由甲方承担。乙方应在第三方机构开展审查工作前，按照要求准备好完整的源代码、相关技术文档、测试环境等资料，并确保资料的真实性、完整性。在审查过程中，乙方应安排专人与第三方机构对接，及时解答疑问、提供必要的技术解释。</w:t>
      </w:r>
    </w:p>
    <w:p w14:paraId="1E201956">
      <w:pPr>
        <w:spacing w:line="400" w:lineRule="exact"/>
        <w:ind w:firstLine="420" w:firstLineChars="200"/>
        <w:rPr>
          <w:rFonts w:hint="eastAsia" w:ascii="宋体" w:hAnsi="宋体" w:cs="宋体"/>
          <w:szCs w:val="21"/>
        </w:rPr>
      </w:pPr>
      <w:r>
        <w:rPr>
          <w:rFonts w:hint="eastAsia" w:ascii="宋体" w:hAnsi="宋体" w:cs="宋体"/>
          <w:szCs w:val="21"/>
        </w:rPr>
        <w:t>13.代码审查结果处理：</w:t>
      </w:r>
    </w:p>
    <w:p w14:paraId="2858EEAF">
      <w:pPr>
        <w:spacing w:line="400" w:lineRule="exact"/>
        <w:ind w:firstLine="420" w:firstLineChars="200"/>
        <w:rPr>
          <w:rFonts w:hint="eastAsia" w:ascii="宋体" w:hAnsi="宋体" w:cs="宋体"/>
          <w:szCs w:val="21"/>
        </w:rPr>
      </w:pPr>
      <w:r>
        <w:rPr>
          <w:rFonts w:hint="eastAsia" w:ascii="宋体" w:hAnsi="宋体" w:cs="宋体"/>
          <w:szCs w:val="21"/>
        </w:rPr>
        <w:t>（1）若代码审查通过，甲方应出具书面审查通过报告，乙方可按照合同约定进行后续工作。</w:t>
      </w:r>
    </w:p>
    <w:p w14:paraId="517B08C7">
      <w:pPr>
        <w:spacing w:line="400" w:lineRule="exact"/>
        <w:ind w:firstLine="420" w:firstLineChars="200"/>
        <w:rPr>
          <w:rFonts w:hint="eastAsia" w:ascii="宋体" w:hAnsi="宋体" w:cs="宋体"/>
          <w:szCs w:val="21"/>
        </w:rPr>
      </w:pPr>
      <w:r>
        <w:rPr>
          <w:rFonts w:hint="eastAsia" w:ascii="宋体" w:hAnsi="宋体" w:cs="宋体"/>
          <w:szCs w:val="21"/>
        </w:rPr>
        <w:t>（2）若代码审查未通过，乙方应根据甲方提出的审查意见，在3个工作日内完成源代码的修改和优化，并重新提交甲方审查。乙方除应承担因代码审查未通过而导致的所有额外费用和损失（包括但不限于审查费用、延期交付违约金等）外，还应按照合同总价款的0.3% /日的标准向甲方支付延期违约金，直至审查通过为止。累计延期超过10个工作日的，甲方有权单方解除合同，并要求乙方返还已支付款项并支付合同总价款20% 的违约金。乙方在进行整改时，应制定详细的整改计划，明确每个问题的整改责任人、整改措施、预计完成时间等，并提交甲方备案。在重新提交审查时，应同时提供整改报告，详细说明每个问题的整改情况及验证结果。</w:t>
      </w:r>
    </w:p>
    <w:p w14:paraId="3FF2187A">
      <w:pPr>
        <w:spacing w:line="400" w:lineRule="exact"/>
        <w:ind w:firstLine="420" w:firstLineChars="200"/>
        <w:rPr>
          <w:rFonts w:hint="eastAsia" w:ascii="宋体" w:hAnsi="宋体" w:cs="宋体"/>
          <w:szCs w:val="21"/>
        </w:rPr>
      </w:pPr>
      <w:r>
        <w:rPr>
          <w:rFonts w:hint="eastAsia" w:ascii="宋体" w:hAnsi="宋体" w:cs="宋体"/>
          <w:szCs w:val="21"/>
        </w:rPr>
        <w:t>14.乙方应按照本合同、招标文件、投标文件及乙方承诺完成建设，并按照文档要求提交完整的项目材料。</w:t>
      </w:r>
    </w:p>
    <w:p w14:paraId="23DC18BA">
      <w:pPr>
        <w:spacing w:line="400" w:lineRule="exact"/>
        <w:ind w:firstLine="422" w:firstLineChars="200"/>
        <w:rPr>
          <w:rFonts w:hint="eastAsia" w:ascii="宋体" w:hAnsi="宋体" w:cs="宋体"/>
          <w:szCs w:val="21"/>
        </w:rPr>
      </w:pPr>
      <w:r>
        <w:rPr>
          <w:rFonts w:hint="eastAsia" w:ascii="宋体" w:hAnsi="宋体" w:cs="宋体"/>
          <w:b/>
          <w:bCs/>
          <w:szCs w:val="21"/>
        </w:rPr>
        <w:t>第五条　售后服务、服务质量保证期及培训</w:t>
      </w:r>
    </w:p>
    <w:p w14:paraId="593F645F">
      <w:pPr>
        <w:spacing w:line="400" w:lineRule="exact"/>
        <w:ind w:firstLine="420" w:firstLineChars="200"/>
        <w:rPr>
          <w:rFonts w:hint="eastAsia" w:ascii="宋体" w:hAnsi="宋体" w:cs="宋体"/>
          <w:szCs w:val="21"/>
        </w:rPr>
      </w:pPr>
      <w:r>
        <w:rPr>
          <w:rFonts w:hint="eastAsia" w:ascii="宋体" w:hAnsi="宋体" w:cs="宋体"/>
          <w:szCs w:val="21"/>
        </w:rPr>
        <w:t>1.乙方应按照国家有关法律法规、合同、招标文件、投标文件所附的《服务承诺》要求为甲方提供相应的服务。</w:t>
      </w:r>
    </w:p>
    <w:p w14:paraId="41796211">
      <w:pPr>
        <w:spacing w:line="400" w:lineRule="exact"/>
        <w:ind w:firstLine="420" w:firstLineChars="200"/>
        <w:rPr>
          <w:rFonts w:hint="eastAsia" w:ascii="宋体" w:hAnsi="宋体" w:cs="宋体"/>
          <w:szCs w:val="21"/>
        </w:rPr>
      </w:pPr>
      <w:r>
        <w:rPr>
          <w:rFonts w:hint="eastAsia" w:ascii="宋体" w:hAnsi="宋体" w:cs="宋体"/>
          <w:szCs w:val="21"/>
        </w:rPr>
        <w:t>2.乙方提供为期</w:t>
      </w:r>
      <w:r>
        <w:rPr>
          <w:rFonts w:ascii="宋体" w:hAnsi="宋体" w:cs="宋体"/>
          <w:szCs w:val="21"/>
        </w:rPr>
        <w:t>三</w:t>
      </w:r>
      <w:r>
        <w:rPr>
          <w:rFonts w:hint="eastAsia" w:ascii="宋体" w:hAnsi="宋体" w:cs="宋体"/>
          <w:szCs w:val="21"/>
        </w:rPr>
        <w:t>年的质保服务。质保期内，乙方须根据甲方要求进行日常运维服务，服务范围包括系统、设备的正常运行和维护。质保期从项目最终验收合格并收到最终验收批复之日起开始计算，质保期内乙方提供免费维护和技术支持服务。质保服务期间需要派驻至少2名驻场人员至甲方指定地点工作。</w:t>
      </w:r>
    </w:p>
    <w:p w14:paraId="650F508A">
      <w:pPr>
        <w:spacing w:line="400" w:lineRule="exact"/>
        <w:ind w:firstLine="420" w:firstLineChars="200"/>
        <w:rPr>
          <w:rFonts w:hint="eastAsia" w:ascii="宋体" w:hAnsi="宋体" w:cs="宋体"/>
          <w:szCs w:val="21"/>
        </w:rPr>
      </w:pPr>
      <w:r>
        <w:rPr>
          <w:rFonts w:hint="eastAsia" w:ascii="宋体" w:hAnsi="宋体" w:cs="宋体"/>
          <w:szCs w:val="21"/>
        </w:rPr>
        <w:t>乙方还应负责所售产品的售后服务；质保期内货物发生故障，维修或更换配件所需的全部费用由乙方承担。</w:t>
      </w:r>
    </w:p>
    <w:p w14:paraId="127E67DC">
      <w:pPr>
        <w:spacing w:line="400" w:lineRule="exact"/>
        <w:ind w:firstLine="420" w:firstLineChars="200"/>
        <w:rPr>
          <w:rFonts w:hint="eastAsia" w:ascii="宋体" w:hAnsi="宋体" w:cs="宋体"/>
          <w:szCs w:val="21"/>
        </w:rPr>
      </w:pPr>
      <w:r>
        <w:rPr>
          <w:rFonts w:hint="eastAsia" w:ascii="宋体" w:hAnsi="宋体" w:cs="宋体"/>
          <w:szCs w:val="21"/>
        </w:rPr>
        <w:t>3.服务响应时间要求：</w:t>
      </w:r>
    </w:p>
    <w:p w14:paraId="0A92924C">
      <w:pPr>
        <w:spacing w:line="400" w:lineRule="exact"/>
        <w:ind w:firstLine="420" w:firstLineChars="200"/>
        <w:rPr>
          <w:rFonts w:hint="eastAsia" w:ascii="宋体" w:hAnsi="宋体" w:cs="宋体"/>
          <w:szCs w:val="21"/>
        </w:rPr>
      </w:pPr>
      <w:r>
        <w:rPr>
          <w:rFonts w:hint="eastAsia" w:ascii="宋体" w:hAnsi="宋体" w:cs="宋体"/>
          <w:szCs w:val="21"/>
        </w:rPr>
        <w:t>①乙方提供7×24小时电话或电子邮件服务，乙方接到甲方的通知后应立即响应，在≤1小时内做出明确响应和安排，在≤2小时内做出故障诊断报告，如需现场服务的，乙方具有解决故障能力的工程师应在≤2小时内到达现场解决问题，在24小时内处理相关故障，以保证系统正常运行，乙方承担上述一切相关费用。</w:t>
      </w:r>
    </w:p>
    <w:p w14:paraId="276AB514">
      <w:pPr>
        <w:spacing w:line="400" w:lineRule="exact"/>
        <w:ind w:firstLine="420" w:firstLineChars="200"/>
        <w:rPr>
          <w:rFonts w:hint="eastAsia" w:ascii="宋体" w:hAnsi="宋体" w:cs="宋体"/>
          <w:szCs w:val="21"/>
        </w:rPr>
      </w:pPr>
      <w:r>
        <w:rPr>
          <w:rFonts w:hint="eastAsia" w:ascii="宋体" w:hAnsi="宋体" w:cs="宋体"/>
          <w:szCs w:val="21"/>
        </w:rPr>
        <w:t>②定期回访、走访甲方。</w:t>
      </w:r>
    </w:p>
    <w:p w14:paraId="3C053A74">
      <w:pPr>
        <w:spacing w:line="400" w:lineRule="exact"/>
        <w:ind w:firstLine="420" w:firstLineChars="200"/>
        <w:rPr>
          <w:rFonts w:hint="eastAsia" w:ascii="宋体" w:hAnsi="宋体" w:cs="宋体"/>
          <w:szCs w:val="21"/>
        </w:rPr>
      </w:pPr>
      <w:r>
        <w:rPr>
          <w:rFonts w:hint="eastAsia" w:ascii="宋体" w:hAnsi="宋体" w:cs="宋体"/>
          <w:szCs w:val="21"/>
        </w:rPr>
        <w:t>③在服务期内，乙方免费上门提供服务，免费提供应用软件升级。</w:t>
      </w:r>
    </w:p>
    <w:p w14:paraId="3B868388">
      <w:pPr>
        <w:spacing w:line="400" w:lineRule="exact"/>
        <w:ind w:firstLine="420" w:firstLineChars="200"/>
        <w:rPr>
          <w:rFonts w:hint="eastAsia" w:ascii="宋体" w:hAnsi="宋体" w:cs="宋体"/>
          <w:szCs w:val="21"/>
        </w:rPr>
      </w:pPr>
      <w:r>
        <w:rPr>
          <w:rFonts w:hint="eastAsia" w:ascii="宋体" w:hAnsi="宋体" w:cs="宋体"/>
          <w:szCs w:val="21"/>
        </w:rPr>
        <w:t>④免费安装调试：乙方负责本项目所涉及的软硬件安装及调试，乙方整理验收材料并书面提交甲方进行验收。</w:t>
      </w:r>
    </w:p>
    <w:p w14:paraId="176DCEE7">
      <w:pPr>
        <w:spacing w:line="400" w:lineRule="exact"/>
        <w:ind w:firstLine="420" w:firstLineChars="200"/>
        <w:rPr>
          <w:rFonts w:hint="eastAsia" w:ascii="宋体" w:hAnsi="宋体" w:cs="宋体"/>
          <w:szCs w:val="21"/>
        </w:rPr>
      </w:pPr>
      <w:r>
        <w:rPr>
          <w:rFonts w:hint="eastAsia" w:ascii="宋体" w:hAnsi="宋体" w:cs="宋体"/>
          <w:szCs w:val="21"/>
        </w:rPr>
        <w:t>⑤在服务期内，乙方免费提供系统培训服务和系统数据迁移服务，需免费且必须配合甲方通过第三方软件测评、系统安全等保测评及密码应用评估等工作。</w:t>
      </w:r>
    </w:p>
    <w:p w14:paraId="17202C4E">
      <w:pPr>
        <w:spacing w:line="400" w:lineRule="exact"/>
        <w:ind w:firstLine="420" w:firstLineChars="200"/>
        <w:rPr>
          <w:rFonts w:hint="eastAsia" w:ascii="宋体" w:hAnsi="宋体" w:cs="宋体"/>
          <w:szCs w:val="21"/>
        </w:rPr>
      </w:pPr>
      <w:r>
        <w:rPr>
          <w:rFonts w:hint="eastAsia" w:ascii="宋体" w:hAnsi="宋体" w:cs="宋体"/>
          <w:szCs w:val="21"/>
        </w:rPr>
        <w:t>⑥甲方在软件使用过程中，如果要增加协议附件（功能设计书）之外的其它功能，在不超过功能总量的10%的前提下，乙方应提供不少于三次的免费修改服务。</w:t>
      </w:r>
    </w:p>
    <w:p w14:paraId="225DBC8B">
      <w:pPr>
        <w:spacing w:line="400" w:lineRule="exact"/>
        <w:ind w:firstLine="420" w:firstLineChars="200"/>
        <w:rPr>
          <w:rFonts w:hint="eastAsia" w:ascii="宋体" w:hAnsi="宋体" w:cs="宋体"/>
          <w:szCs w:val="21"/>
        </w:rPr>
      </w:pPr>
      <w:r>
        <w:rPr>
          <w:rFonts w:hint="eastAsia" w:ascii="宋体" w:hAnsi="宋体" w:cs="宋体"/>
          <w:szCs w:val="21"/>
        </w:rPr>
        <w:t>⑦乙方应在甲方指定的期限内解决问题，乙方超时不作出处理或不能作出有效处理的，乙方应承担违约责任，甲方有权要求乙方根据损失程度进行赔偿，同时甲方有权另行委托第三方进行处理，甲方委托第三方处理的费用，乙方需双倍赔偿给甲方，给甲方造成其他经济损失，还应当全部赔偿。</w:t>
      </w:r>
    </w:p>
    <w:p w14:paraId="5450E29E">
      <w:pPr>
        <w:spacing w:line="400" w:lineRule="exact"/>
        <w:ind w:firstLine="420" w:firstLineChars="200"/>
        <w:rPr>
          <w:rFonts w:hint="eastAsia" w:ascii="宋体" w:hAnsi="宋体" w:cs="宋体"/>
          <w:szCs w:val="21"/>
        </w:rPr>
      </w:pPr>
      <w:r>
        <w:rPr>
          <w:rFonts w:hint="eastAsia" w:ascii="宋体" w:hAnsi="宋体" w:cs="宋体"/>
          <w:szCs w:val="21"/>
        </w:rPr>
        <w:t>4.乙方负责甲方有关人员的培训。</w:t>
      </w:r>
    </w:p>
    <w:p w14:paraId="7D361A32">
      <w:pPr>
        <w:spacing w:line="400" w:lineRule="exact"/>
        <w:ind w:firstLine="420" w:firstLineChars="200"/>
        <w:rPr>
          <w:rFonts w:hint="eastAsia" w:ascii="宋体" w:hAnsi="宋体" w:cs="宋体"/>
          <w:szCs w:val="21"/>
        </w:rPr>
      </w:pPr>
      <w:r>
        <w:rPr>
          <w:rFonts w:hint="eastAsia" w:ascii="宋体" w:hAnsi="宋体" w:cs="宋体"/>
          <w:szCs w:val="21"/>
        </w:rPr>
        <w:t>培训时间：</w:t>
      </w:r>
      <w:r>
        <w:rPr>
          <w:rFonts w:hint="eastAsia" w:ascii="宋体" w:hAnsi="宋体" w:cs="宋体"/>
          <w:szCs w:val="21"/>
          <w:u w:val="single"/>
        </w:rPr>
        <w:t>甲方另行指定时间</w:t>
      </w:r>
      <w:r>
        <w:rPr>
          <w:rFonts w:hint="eastAsia" w:ascii="宋体" w:hAnsi="宋体" w:cs="宋体"/>
          <w:szCs w:val="21"/>
        </w:rPr>
        <w:t>。</w:t>
      </w:r>
    </w:p>
    <w:p w14:paraId="04D01F8E">
      <w:pPr>
        <w:spacing w:line="400" w:lineRule="exact"/>
        <w:ind w:firstLine="420" w:firstLineChars="200"/>
        <w:rPr>
          <w:rFonts w:hint="eastAsia" w:ascii="宋体" w:hAnsi="宋体" w:cs="宋体"/>
          <w:szCs w:val="21"/>
        </w:rPr>
      </w:pPr>
      <w:r>
        <w:rPr>
          <w:rFonts w:hint="eastAsia" w:ascii="宋体" w:hAnsi="宋体" w:cs="宋体"/>
          <w:szCs w:val="21"/>
        </w:rPr>
        <w:t>培训地点：</w:t>
      </w:r>
      <w:r>
        <w:rPr>
          <w:rFonts w:hint="eastAsia" w:ascii="宋体" w:hAnsi="宋体" w:cs="宋体"/>
          <w:szCs w:val="21"/>
          <w:u w:val="single"/>
        </w:rPr>
        <w:t>广西区内（甲方指定地点）</w:t>
      </w:r>
      <w:r>
        <w:rPr>
          <w:rFonts w:hint="eastAsia" w:ascii="宋体" w:hAnsi="宋体" w:cs="宋体"/>
          <w:szCs w:val="21"/>
        </w:rPr>
        <w:t>。</w:t>
      </w:r>
    </w:p>
    <w:p w14:paraId="094255E7">
      <w:pPr>
        <w:spacing w:line="400" w:lineRule="exact"/>
        <w:ind w:firstLine="422" w:firstLineChars="200"/>
        <w:rPr>
          <w:rFonts w:hint="eastAsia" w:ascii="宋体" w:hAnsi="宋体" w:cs="宋体"/>
          <w:b/>
          <w:bCs/>
          <w:szCs w:val="21"/>
        </w:rPr>
      </w:pPr>
      <w:r>
        <w:rPr>
          <w:rFonts w:hint="eastAsia" w:ascii="宋体" w:hAnsi="宋体" w:cs="宋体"/>
          <w:b/>
          <w:bCs/>
          <w:szCs w:val="21"/>
        </w:rPr>
        <w:t>第六条　付款方式</w:t>
      </w:r>
    </w:p>
    <w:p w14:paraId="0F66F424">
      <w:pPr>
        <w:spacing w:line="400" w:lineRule="exact"/>
        <w:ind w:firstLine="420" w:firstLineChars="200"/>
        <w:rPr>
          <w:rFonts w:hint="eastAsia" w:ascii="宋体" w:hAnsi="宋体" w:cs="宋体"/>
          <w:szCs w:val="21"/>
        </w:rPr>
      </w:pPr>
      <w:r>
        <w:rPr>
          <w:rFonts w:hint="eastAsia" w:ascii="宋体" w:hAnsi="宋体" w:cs="宋体"/>
          <w:szCs w:val="21"/>
        </w:rPr>
        <w:t>1.资金性质：财政资金。</w:t>
      </w:r>
    </w:p>
    <w:p w14:paraId="01CBEE01">
      <w:pPr>
        <w:spacing w:line="400" w:lineRule="exact"/>
        <w:ind w:firstLine="420" w:firstLineChars="200"/>
        <w:rPr>
          <w:rFonts w:hint="eastAsia" w:ascii="宋体" w:hAnsi="宋体" w:cs="宋体"/>
          <w:szCs w:val="21"/>
        </w:rPr>
      </w:pPr>
      <w:r>
        <w:rPr>
          <w:rFonts w:hint="eastAsia" w:ascii="宋体" w:hAnsi="宋体" w:cs="宋体"/>
          <w:szCs w:val="21"/>
        </w:rPr>
        <w:t>2.付款方式</w:t>
      </w:r>
    </w:p>
    <w:p w14:paraId="67483F0B">
      <w:pPr>
        <w:spacing w:line="400" w:lineRule="exact"/>
        <w:ind w:firstLine="420" w:firstLineChars="200"/>
        <w:rPr>
          <w:rFonts w:hint="eastAsia" w:ascii="宋体" w:hAnsi="宋体" w:cs="宋体"/>
          <w:szCs w:val="21"/>
        </w:rPr>
      </w:pPr>
      <w:r>
        <w:rPr>
          <w:rFonts w:hint="eastAsia" w:ascii="宋体" w:hAnsi="宋体" w:cs="宋体"/>
          <w:szCs w:val="21"/>
          <w:u w:val="single"/>
        </w:rPr>
        <w:t>本合同总金额为人民币       元整（￥     元)</w:t>
      </w:r>
      <w:r>
        <w:rPr>
          <w:rFonts w:hint="eastAsia" w:ascii="宋体" w:hAnsi="宋体" w:cs="宋体"/>
          <w:szCs w:val="21"/>
        </w:rPr>
        <w:t>，甲乙双方同意按以下方式支付合同合计金额：</w:t>
      </w:r>
    </w:p>
    <w:p w14:paraId="19F8EE00">
      <w:pPr>
        <w:spacing w:line="400" w:lineRule="exact"/>
        <w:ind w:firstLine="420" w:firstLineChars="200"/>
        <w:rPr>
          <w:rFonts w:hint="eastAsia" w:ascii="宋体" w:hAnsi="宋体" w:cs="宋体"/>
          <w:szCs w:val="21"/>
        </w:rPr>
      </w:pPr>
      <w:r>
        <w:rPr>
          <w:rFonts w:hint="eastAsia" w:ascii="宋体" w:hAnsi="宋体" w:cs="宋体"/>
          <w:szCs w:val="21"/>
        </w:rPr>
        <w:t>（1）合同签订后10个工作日内，甲方向乙方支付合同总金额的50%，即人民币大写：</w:t>
      </w:r>
      <w:r>
        <w:rPr>
          <w:rFonts w:hint="eastAsia" w:ascii="宋体" w:hAnsi="宋体" w:cs="宋体"/>
          <w:szCs w:val="21"/>
          <w:u w:val="single"/>
        </w:rPr>
        <w:t xml:space="preserve">        元整（￥      ）</w:t>
      </w:r>
      <w:r>
        <w:rPr>
          <w:rFonts w:hint="eastAsia" w:ascii="宋体" w:hAnsi="宋体" w:cs="宋体"/>
          <w:szCs w:val="21"/>
        </w:rPr>
        <w:t>。</w:t>
      </w:r>
    </w:p>
    <w:p w14:paraId="197A6CA8">
      <w:pPr>
        <w:spacing w:line="400" w:lineRule="exact"/>
        <w:ind w:firstLine="420" w:firstLineChars="200"/>
        <w:rPr>
          <w:rFonts w:hint="eastAsia" w:ascii="宋体" w:hAnsi="宋体" w:cs="宋体"/>
          <w:szCs w:val="21"/>
        </w:rPr>
      </w:pPr>
      <w:r>
        <w:rPr>
          <w:rFonts w:hint="eastAsia" w:ascii="宋体" w:hAnsi="宋体" w:cs="宋体"/>
          <w:szCs w:val="21"/>
        </w:rPr>
        <w:t>（2）完成系统的需求分析和系统设计，提交需求分析报告和系统设计方案，经采购人书面确认后10个工作日内，甲方向乙方支付合同总金额的30%，即人民币大写：</w:t>
      </w:r>
      <w:r>
        <w:rPr>
          <w:rFonts w:hint="eastAsia" w:ascii="宋体" w:hAnsi="宋体" w:cs="宋体"/>
          <w:szCs w:val="21"/>
          <w:u w:val="single"/>
        </w:rPr>
        <w:t xml:space="preserve">        元整（￥      ）</w:t>
      </w:r>
      <w:r>
        <w:rPr>
          <w:rFonts w:hint="eastAsia" w:ascii="宋体" w:hAnsi="宋体" w:cs="宋体"/>
          <w:szCs w:val="21"/>
        </w:rPr>
        <w:t>。</w:t>
      </w:r>
    </w:p>
    <w:p w14:paraId="18747525">
      <w:pPr>
        <w:spacing w:line="400" w:lineRule="exact"/>
        <w:ind w:firstLine="420" w:firstLineChars="200"/>
        <w:rPr>
          <w:rFonts w:hint="eastAsia" w:ascii="宋体" w:hAnsi="宋体" w:cs="宋体"/>
          <w:szCs w:val="21"/>
        </w:rPr>
      </w:pPr>
      <w:r>
        <w:rPr>
          <w:rFonts w:hint="eastAsia" w:ascii="宋体" w:hAnsi="宋体" w:cs="宋体"/>
          <w:szCs w:val="21"/>
        </w:rPr>
        <w:t>（3）项目投入试运行，乙方提交试运行报告，经甲方书面确认后10个工作日内，甲方向乙方支付合同总金额的10%，即人民币大写</w:t>
      </w:r>
      <w:r>
        <w:rPr>
          <w:rFonts w:hint="eastAsia" w:ascii="宋体" w:hAnsi="宋体" w:cs="宋体"/>
          <w:szCs w:val="21"/>
          <w:u w:val="single"/>
        </w:rPr>
        <w:t xml:space="preserve">：        元整（￥      </w:t>
      </w:r>
      <w:r>
        <w:rPr>
          <w:rFonts w:hint="eastAsia" w:ascii="宋体" w:hAnsi="宋体" w:cs="宋体"/>
          <w:szCs w:val="21"/>
        </w:rPr>
        <w:t>）。</w:t>
      </w:r>
    </w:p>
    <w:p w14:paraId="39E020CF">
      <w:pPr>
        <w:spacing w:line="400" w:lineRule="exact"/>
        <w:ind w:firstLine="420" w:firstLineChars="200"/>
        <w:rPr>
          <w:rFonts w:hint="eastAsia" w:ascii="宋体" w:hAnsi="宋体" w:cs="宋体"/>
          <w:szCs w:val="21"/>
        </w:rPr>
      </w:pPr>
      <w:r>
        <w:rPr>
          <w:rFonts w:hint="eastAsia" w:ascii="宋体" w:hAnsi="宋体" w:cs="宋体"/>
          <w:szCs w:val="21"/>
        </w:rPr>
        <w:t>（4）项目初步验收通过，经甲方书面确认后10个工作日内，甲方向乙方支付合同总金额的10%，即人民币大写：</w:t>
      </w:r>
      <w:r>
        <w:rPr>
          <w:rFonts w:hint="eastAsia" w:ascii="宋体" w:hAnsi="宋体" w:cs="宋体"/>
          <w:szCs w:val="21"/>
          <w:u w:val="single"/>
        </w:rPr>
        <w:t xml:space="preserve">        元整（￥      </w:t>
      </w:r>
      <w:r>
        <w:rPr>
          <w:rFonts w:hint="eastAsia" w:ascii="宋体" w:hAnsi="宋体" w:cs="宋体"/>
          <w:szCs w:val="21"/>
        </w:rPr>
        <w:t>）。</w:t>
      </w:r>
    </w:p>
    <w:p w14:paraId="77E5D60B">
      <w:pPr>
        <w:spacing w:line="400" w:lineRule="exact"/>
        <w:ind w:firstLine="420" w:firstLineChars="200"/>
        <w:rPr>
          <w:rFonts w:hint="eastAsia" w:ascii="宋体" w:hAnsi="宋体" w:cs="宋体"/>
          <w:szCs w:val="21"/>
        </w:rPr>
      </w:pPr>
      <w:r>
        <w:rPr>
          <w:rFonts w:hint="eastAsia" w:ascii="宋体" w:hAnsi="宋体" w:cs="宋体"/>
          <w:szCs w:val="21"/>
        </w:rPr>
        <w:t>（5）如乙方为联合体的，应在合同签订前向甲方提交加盖所有成员公章的《联合体收款账户确认函》，明确其内部款项分配约定（即统一支付至牵头人账户或按比例分别支付至各成员账户）、收款账户信息等。甲方按该确认函的约定完成支付后，即视为已完全履行了对乙方（联合体）的付款义务。因联合体内部款项分配产生的任何纠纷，由联合体各方自行解决，与甲方无关。</w:t>
      </w:r>
    </w:p>
    <w:p w14:paraId="3B13EFB5">
      <w:pPr>
        <w:spacing w:line="400" w:lineRule="exact"/>
        <w:ind w:firstLine="420" w:firstLineChars="200"/>
        <w:rPr>
          <w:rFonts w:hint="eastAsia" w:ascii="宋体" w:hAnsi="宋体" w:cs="宋体"/>
          <w:szCs w:val="21"/>
        </w:rPr>
      </w:pPr>
      <w:r>
        <w:rPr>
          <w:rFonts w:hint="eastAsia" w:ascii="宋体" w:hAnsi="宋体" w:cs="宋体"/>
          <w:szCs w:val="21"/>
        </w:rPr>
        <w:t>3.乙方指定以下账户为接收本合同价款的账户，并对其指定的下列账户信息真实性、安全性、准确性负责。</w:t>
      </w:r>
    </w:p>
    <w:p w14:paraId="0B144E4E">
      <w:pPr>
        <w:spacing w:line="400" w:lineRule="exact"/>
        <w:ind w:firstLine="420" w:firstLineChars="200"/>
        <w:rPr>
          <w:rFonts w:hint="eastAsia" w:ascii="宋体" w:hAnsi="宋体" w:cs="宋体"/>
          <w:szCs w:val="21"/>
        </w:rPr>
      </w:pPr>
      <w:r>
        <w:rPr>
          <w:rFonts w:hint="eastAsia" w:ascii="宋体" w:hAnsi="宋体" w:cs="宋体"/>
          <w:szCs w:val="21"/>
        </w:rPr>
        <w:t>账户名称：</w:t>
      </w:r>
      <w:r>
        <w:rPr>
          <w:rFonts w:hint="eastAsia" w:ascii="宋体" w:hAnsi="宋体" w:cs="宋体"/>
          <w:szCs w:val="21"/>
          <w:u w:val="single"/>
        </w:rPr>
        <w:t xml:space="preserve">     　　　          </w:t>
      </w:r>
      <w:r>
        <w:rPr>
          <w:rFonts w:hint="eastAsia" w:ascii="宋体" w:hAnsi="宋体" w:cs="宋体"/>
          <w:szCs w:val="21"/>
        </w:rPr>
        <w:t>；</w:t>
      </w:r>
    </w:p>
    <w:p w14:paraId="2EEC0415">
      <w:pPr>
        <w:spacing w:line="400" w:lineRule="exact"/>
        <w:ind w:firstLine="420" w:firstLineChars="200"/>
        <w:rPr>
          <w:rFonts w:hint="eastAsia" w:ascii="宋体" w:hAnsi="宋体" w:cs="宋体"/>
          <w:szCs w:val="21"/>
        </w:rPr>
      </w:pPr>
      <w:r>
        <w:rPr>
          <w:rFonts w:hint="eastAsia" w:ascii="宋体" w:hAnsi="宋体" w:cs="宋体"/>
          <w:szCs w:val="21"/>
        </w:rPr>
        <w:t>开户银行：；</w:t>
      </w:r>
    </w:p>
    <w:p w14:paraId="1CFEAFC4">
      <w:pPr>
        <w:spacing w:line="400" w:lineRule="exact"/>
        <w:ind w:firstLine="420" w:firstLineChars="200"/>
        <w:rPr>
          <w:rFonts w:hint="eastAsia" w:ascii="宋体" w:hAnsi="宋体" w:cs="宋体"/>
          <w:szCs w:val="21"/>
        </w:rPr>
      </w:pPr>
      <w:r>
        <w:rPr>
          <w:rFonts w:hint="eastAsia" w:ascii="宋体" w:hAnsi="宋体" w:cs="宋体"/>
          <w:szCs w:val="21"/>
        </w:rPr>
        <w:t>银行账号：；</w:t>
      </w:r>
    </w:p>
    <w:p w14:paraId="1E30CDC6">
      <w:pPr>
        <w:spacing w:line="400" w:lineRule="exact"/>
        <w:ind w:firstLine="420" w:firstLineChars="200"/>
        <w:rPr>
          <w:rFonts w:hint="eastAsia" w:ascii="宋体" w:hAnsi="宋体" w:cs="宋体"/>
          <w:szCs w:val="21"/>
        </w:rPr>
      </w:pPr>
      <w:r>
        <w:rPr>
          <w:rFonts w:hint="eastAsia" w:ascii="宋体" w:hAnsi="宋体" w:cs="宋体"/>
          <w:szCs w:val="21"/>
        </w:rPr>
        <w:t>联系人：；</w:t>
      </w:r>
    </w:p>
    <w:p w14:paraId="6E9B365E">
      <w:pPr>
        <w:spacing w:line="400" w:lineRule="exact"/>
        <w:ind w:firstLine="420" w:firstLineChars="200"/>
        <w:rPr>
          <w:rFonts w:hint="eastAsia" w:ascii="宋体" w:hAnsi="宋体" w:cs="宋体"/>
          <w:szCs w:val="21"/>
        </w:rPr>
      </w:pPr>
      <w:r>
        <w:rPr>
          <w:rFonts w:hint="eastAsia" w:ascii="宋体" w:hAnsi="宋体" w:cs="宋体"/>
          <w:szCs w:val="21"/>
        </w:rPr>
        <w:t>联系电话：。</w:t>
      </w:r>
    </w:p>
    <w:p w14:paraId="35FC2111">
      <w:pPr>
        <w:spacing w:line="400" w:lineRule="exact"/>
        <w:ind w:firstLine="420" w:firstLineChars="200"/>
        <w:rPr>
          <w:rFonts w:hint="eastAsia" w:ascii="宋体" w:hAnsi="宋体" w:cs="宋体"/>
          <w:szCs w:val="21"/>
        </w:rPr>
      </w:pPr>
      <w:r>
        <w:rPr>
          <w:rFonts w:hint="eastAsia" w:ascii="宋体" w:hAnsi="宋体" w:cs="宋体"/>
          <w:szCs w:val="21"/>
        </w:rPr>
        <w:t>如乙方上述账户信息发生变更，乙方应提前5个工作日向甲方发送书面通知，未能提前书面通知而产生的不利后果由乙方自行承担。</w:t>
      </w:r>
    </w:p>
    <w:p w14:paraId="2C131EB3">
      <w:pPr>
        <w:spacing w:line="400" w:lineRule="exact"/>
        <w:ind w:firstLine="420" w:firstLineChars="200"/>
        <w:rPr>
          <w:rFonts w:hint="eastAsia" w:ascii="宋体" w:hAnsi="宋体" w:cs="宋体"/>
          <w:szCs w:val="21"/>
        </w:rPr>
      </w:pPr>
      <w:r>
        <w:rPr>
          <w:rFonts w:hint="eastAsia" w:ascii="宋体" w:hAnsi="宋体" w:cs="宋体"/>
          <w:szCs w:val="21"/>
        </w:rPr>
        <w:t>4.甲方在支付每笔款项前，乙方应当提供可供政府审计并且符合税务规定的正式发票，否则甲方有权拒付相应款项直至乙方能提供符合规定的发票为止，因乙方提供不符合甲方要求的发票导致付款逾期，甲方不构成违约，相应的付款期限自甲方收到乙方符合要求发票重新计算。</w:t>
      </w:r>
    </w:p>
    <w:p w14:paraId="6C7BAF33">
      <w:pPr>
        <w:spacing w:line="400" w:lineRule="exact"/>
        <w:ind w:firstLine="420" w:firstLineChars="200"/>
        <w:rPr>
          <w:rFonts w:hint="eastAsia" w:ascii="宋体" w:hAnsi="宋体" w:cs="宋体"/>
          <w:szCs w:val="21"/>
        </w:rPr>
      </w:pPr>
      <w:r>
        <w:rPr>
          <w:rFonts w:hint="eastAsia" w:ascii="宋体" w:hAnsi="宋体" w:cs="宋体"/>
          <w:szCs w:val="21"/>
        </w:rPr>
        <w:t>5.甲方开票信息如下：</w:t>
      </w:r>
    </w:p>
    <w:p w14:paraId="3B93878C">
      <w:pPr>
        <w:spacing w:line="400" w:lineRule="exact"/>
        <w:rPr>
          <w:rFonts w:hint="eastAsia" w:ascii="宋体" w:hAnsi="宋体" w:cs="宋体"/>
          <w:szCs w:val="21"/>
        </w:rPr>
      </w:pPr>
      <w:r>
        <w:rPr>
          <w:rFonts w:hint="eastAsia" w:ascii="宋体" w:hAnsi="宋体" w:cs="宋体"/>
          <w:szCs w:val="21"/>
        </w:rPr>
        <w:t>单位名称：</w:t>
      </w:r>
    </w:p>
    <w:p w14:paraId="217D2349">
      <w:pPr>
        <w:spacing w:line="400" w:lineRule="exact"/>
        <w:rPr>
          <w:rFonts w:hint="eastAsia" w:ascii="宋体" w:hAnsi="宋体" w:cs="宋体"/>
          <w:szCs w:val="21"/>
        </w:rPr>
      </w:pPr>
      <w:r>
        <w:rPr>
          <w:rFonts w:hint="eastAsia" w:ascii="宋体" w:hAnsi="宋体" w:cs="宋体"/>
          <w:szCs w:val="21"/>
        </w:rPr>
        <w:t>统一社会信用代码：</w:t>
      </w:r>
    </w:p>
    <w:p w14:paraId="491FEA30">
      <w:pPr>
        <w:spacing w:line="400" w:lineRule="exact"/>
        <w:rPr>
          <w:rFonts w:hint="eastAsia" w:ascii="宋体" w:hAnsi="宋体" w:cs="宋体"/>
          <w:szCs w:val="21"/>
        </w:rPr>
      </w:pPr>
      <w:r>
        <w:rPr>
          <w:rFonts w:hint="eastAsia" w:ascii="宋体" w:hAnsi="宋体" w:cs="宋体"/>
          <w:szCs w:val="21"/>
        </w:rPr>
        <w:t>纳税人识别号：</w:t>
      </w:r>
    </w:p>
    <w:p w14:paraId="6BAE8CCF">
      <w:pPr>
        <w:spacing w:line="400" w:lineRule="exact"/>
        <w:rPr>
          <w:rFonts w:hint="eastAsia" w:ascii="宋体" w:hAnsi="宋体" w:cs="宋体"/>
          <w:szCs w:val="21"/>
        </w:rPr>
      </w:pPr>
      <w:r>
        <w:rPr>
          <w:rFonts w:hint="eastAsia" w:ascii="宋体" w:hAnsi="宋体" w:cs="宋体"/>
          <w:szCs w:val="21"/>
        </w:rPr>
        <w:t>地址：</w:t>
      </w:r>
    </w:p>
    <w:p w14:paraId="7D52F75E">
      <w:pPr>
        <w:spacing w:line="400" w:lineRule="exact"/>
        <w:rPr>
          <w:rFonts w:hint="eastAsia" w:ascii="宋体" w:hAnsi="宋体" w:cs="宋体"/>
          <w:szCs w:val="21"/>
        </w:rPr>
      </w:pPr>
      <w:r>
        <w:rPr>
          <w:rFonts w:hint="eastAsia" w:ascii="宋体" w:hAnsi="宋体" w:cs="宋体"/>
          <w:szCs w:val="21"/>
        </w:rPr>
        <w:t>银行账户：</w:t>
      </w:r>
    </w:p>
    <w:p w14:paraId="46906CFB">
      <w:pPr>
        <w:spacing w:line="400" w:lineRule="exact"/>
        <w:rPr>
          <w:rFonts w:hint="eastAsia" w:ascii="宋体" w:hAnsi="宋体" w:cs="宋体"/>
          <w:szCs w:val="21"/>
        </w:rPr>
      </w:pPr>
      <w:r>
        <w:rPr>
          <w:rFonts w:hint="eastAsia" w:ascii="宋体" w:hAnsi="宋体" w:cs="宋体"/>
          <w:szCs w:val="21"/>
        </w:rPr>
        <w:t>开户行：</w:t>
      </w:r>
    </w:p>
    <w:p w14:paraId="1CC58006">
      <w:pPr>
        <w:spacing w:line="400" w:lineRule="exact"/>
        <w:ind w:firstLine="422" w:firstLineChars="200"/>
        <w:rPr>
          <w:rFonts w:hint="eastAsia" w:ascii="宋体" w:hAnsi="宋体" w:cs="宋体"/>
          <w:b/>
          <w:bCs/>
          <w:szCs w:val="21"/>
        </w:rPr>
      </w:pPr>
      <w:r>
        <w:rPr>
          <w:rFonts w:hint="eastAsia" w:ascii="宋体" w:hAnsi="宋体" w:cs="宋体"/>
          <w:b/>
          <w:bCs/>
          <w:szCs w:val="21"/>
        </w:rPr>
        <w:t>第七条　履约保证金</w:t>
      </w:r>
    </w:p>
    <w:p w14:paraId="77EA6408">
      <w:pPr>
        <w:spacing w:line="400" w:lineRule="exact"/>
        <w:ind w:firstLine="420" w:firstLineChars="200"/>
        <w:rPr>
          <w:rFonts w:hint="eastAsia" w:ascii="宋体" w:hAnsi="宋体" w:cs="宋体"/>
          <w:szCs w:val="21"/>
        </w:rPr>
      </w:pPr>
      <w:r>
        <w:rPr>
          <w:rFonts w:hint="eastAsia" w:ascii="宋体" w:hAnsi="宋体" w:cs="宋体"/>
          <w:szCs w:val="21"/>
        </w:rPr>
        <w:t>（1）乙方须于签订合同后5个工作日内将本项目中标总金额5%的履约保证金（中小企业缴纳数额为中标总金额的2%）即人民币大写</w:t>
      </w:r>
      <w:r>
        <w:rPr>
          <w:rFonts w:hint="eastAsia" w:ascii="宋体" w:hAnsi="宋体" w:cs="宋体"/>
          <w:szCs w:val="21"/>
          <w:u w:val="single"/>
        </w:rPr>
        <w:t>：   （￥    ）</w:t>
      </w:r>
      <w:r>
        <w:rPr>
          <w:rFonts w:hint="eastAsia" w:ascii="宋体" w:hAnsi="宋体" w:cs="宋体"/>
          <w:szCs w:val="21"/>
        </w:rPr>
        <w:t>递交到甲方指定账户。履约保证金递交方式：银行转账、支票、汇票、本票或者金融机构出具的保函等非现金方式。</w:t>
      </w:r>
    </w:p>
    <w:p w14:paraId="4DCC9418">
      <w:pPr>
        <w:spacing w:line="400" w:lineRule="exact"/>
        <w:ind w:firstLine="420" w:firstLineChars="200"/>
        <w:rPr>
          <w:rFonts w:hint="eastAsia" w:ascii="宋体" w:hAnsi="宋体" w:cs="宋体"/>
          <w:szCs w:val="21"/>
        </w:rPr>
      </w:pPr>
      <w:r>
        <w:rPr>
          <w:rFonts w:hint="eastAsia" w:ascii="宋体" w:hAnsi="宋体" w:cs="宋体"/>
          <w:szCs w:val="21"/>
        </w:rPr>
        <w:t>（2）项目按照合同约定及招标文件要求完成项目建设，通过最终验收并收到最终验收批复后，项目进入质保期，在质保期间，乙方无违约情形的，质保期结束后5个工作日内，乙方向甲方提交《履约保证金退付申请》，甲方审核无误后5个工作日内无息返还履约保证金。合同履行期间如涉及违约，甲方有权直接从履约保证金中扣减乙方需赔偿给甲方的相关违约金和损失赔偿。</w:t>
      </w:r>
    </w:p>
    <w:p w14:paraId="40EE8188">
      <w:pPr>
        <w:spacing w:line="400" w:lineRule="exact"/>
        <w:rPr>
          <w:rFonts w:hint="eastAsia" w:ascii="宋体" w:hAnsi="宋体" w:cs="宋体"/>
          <w:szCs w:val="21"/>
        </w:rPr>
      </w:pPr>
      <w:r>
        <w:rPr>
          <w:rFonts w:hint="eastAsia" w:ascii="宋体" w:hAnsi="宋体" w:cs="宋体"/>
          <w:szCs w:val="21"/>
        </w:rPr>
        <w:t>甲方收取履约保证金的指定账户信息：</w:t>
      </w:r>
    </w:p>
    <w:p w14:paraId="29AC9513">
      <w:pPr>
        <w:spacing w:line="400" w:lineRule="exact"/>
        <w:rPr>
          <w:rFonts w:hint="eastAsia" w:ascii="宋体" w:hAnsi="宋体" w:cs="宋体"/>
          <w:szCs w:val="21"/>
        </w:rPr>
      </w:pPr>
      <w:r>
        <w:rPr>
          <w:rFonts w:hint="eastAsia" w:ascii="宋体" w:hAnsi="宋体" w:cs="宋体"/>
          <w:szCs w:val="21"/>
        </w:rPr>
        <w:t>开户名称：</w:t>
      </w:r>
      <w:r>
        <w:rPr>
          <w:rFonts w:hint="eastAsia" w:ascii="宋体" w:hAnsi="宋体" w:cs="宋体"/>
          <w:szCs w:val="21"/>
          <w:u w:val="single"/>
        </w:rPr>
        <w:t>广西壮族自治区环境信息中心</w:t>
      </w:r>
    </w:p>
    <w:p w14:paraId="13527D02">
      <w:pPr>
        <w:spacing w:line="400" w:lineRule="exact"/>
        <w:rPr>
          <w:rFonts w:hint="eastAsia" w:ascii="宋体" w:hAnsi="宋体" w:cs="宋体"/>
          <w:szCs w:val="21"/>
        </w:rPr>
      </w:pPr>
      <w:r>
        <w:rPr>
          <w:rFonts w:hint="eastAsia" w:ascii="宋体" w:hAnsi="宋体" w:cs="宋体"/>
          <w:szCs w:val="21"/>
        </w:rPr>
        <w:t>开户银行：</w:t>
      </w:r>
      <w:r>
        <w:rPr>
          <w:rFonts w:hint="eastAsia" w:ascii="宋体" w:hAnsi="宋体" w:cs="宋体"/>
          <w:szCs w:val="21"/>
          <w:u w:val="single"/>
        </w:rPr>
        <w:t>交通银行南宁市凤翔支行</w:t>
      </w:r>
    </w:p>
    <w:p w14:paraId="59C999B9">
      <w:pPr>
        <w:spacing w:line="400" w:lineRule="exact"/>
        <w:rPr>
          <w:rFonts w:hint="eastAsia" w:ascii="宋体" w:hAnsi="宋体" w:cs="宋体"/>
          <w:szCs w:val="21"/>
          <w:u w:val="single"/>
        </w:rPr>
      </w:pPr>
      <w:r>
        <w:rPr>
          <w:rFonts w:hint="eastAsia" w:ascii="宋体" w:hAnsi="宋体" w:cs="宋体"/>
          <w:szCs w:val="21"/>
        </w:rPr>
        <w:t>银行账号：</w:t>
      </w:r>
    </w:p>
    <w:p w14:paraId="164204C3">
      <w:pPr>
        <w:spacing w:line="400" w:lineRule="exact"/>
        <w:ind w:firstLine="422" w:firstLineChars="200"/>
        <w:rPr>
          <w:rFonts w:hint="eastAsia" w:ascii="宋体" w:hAnsi="宋体" w:cs="宋体"/>
          <w:b/>
          <w:bCs/>
          <w:szCs w:val="21"/>
        </w:rPr>
      </w:pPr>
      <w:r>
        <w:rPr>
          <w:rFonts w:hint="eastAsia" w:ascii="宋体" w:hAnsi="宋体" w:cs="宋体"/>
          <w:b/>
          <w:bCs/>
          <w:szCs w:val="21"/>
        </w:rPr>
        <w:t>第八条　税费</w:t>
      </w:r>
    </w:p>
    <w:p w14:paraId="1B06A6F9">
      <w:pPr>
        <w:spacing w:line="400" w:lineRule="exact"/>
        <w:rPr>
          <w:rFonts w:hint="eastAsia" w:ascii="宋体" w:hAnsi="宋体" w:cs="宋体"/>
          <w:szCs w:val="21"/>
        </w:rPr>
      </w:pPr>
      <w:r>
        <w:rPr>
          <w:rFonts w:hint="eastAsia" w:ascii="宋体" w:hAnsi="宋体" w:cs="宋体"/>
          <w:szCs w:val="21"/>
        </w:rPr>
        <w:t>合同执行中相关的一切税费均由乙方负担。</w:t>
      </w:r>
    </w:p>
    <w:p w14:paraId="0705F4C2">
      <w:pPr>
        <w:spacing w:line="400" w:lineRule="exact"/>
        <w:ind w:firstLine="422" w:firstLineChars="200"/>
        <w:rPr>
          <w:rFonts w:hint="eastAsia" w:ascii="宋体" w:hAnsi="宋体" w:cs="宋体"/>
          <w:b/>
          <w:bCs/>
          <w:szCs w:val="21"/>
        </w:rPr>
      </w:pPr>
      <w:r>
        <w:rPr>
          <w:rFonts w:hint="eastAsia" w:ascii="宋体" w:hAnsi="宋体" w:cs="宋体"/>
          <w:b/>
          <w:bCs/>
          <w:szCs w:val="21"/>
        </w:rPr>
        <w:t>第九条　违约责任</w:t>
      </w:r>
    </w:p>
    <w:p w14:paraId="131B8DBE">
      <w:pPr>
        <w:spacing w:line="400" w:lineRule="exact"/>
        <w:ind w:firstLine="420" w:firstLineChars="200"/>
        <w:rPr>
          <w:rFonts w:hint="eastAsia" w:ascii="宋体" w:hAnsi="宋体" w:cs="宋体"/>
          <w:szCs w:val="21"/>
        </w:rPr>
      </w:pPr>
      <w:r>
        <w:rPr>
          <w:rFonts w:hint="eastAsia" w:ascii="宋体" w:hAnsi="宋体" w:cs="宋体"/>
          <w:szCs w:val="21"/>
        </w:rPr>
        <w:t>1.乙方没有按照合同、招标文件、投标文件规定及乙方承诺的时间或期限提供服务的，每逾期一日，应按合同合计金额的3‰向甲方支付逾期提供服务的违约金；逾期超过十日的，甲方有权单方解除合同，并要求乙方退还已收取的款项，同时乙方应按照合同合计金额的10%向甲方支付违约金并承担因此给甲方造成的全部经济损失。</w:t>
      </w:r>
    </w:p>
    <w:p w14:paraId="32DAAFE9">
      <w:pPr>
        <w:spacing w:line="400" w:lineRule="exact"/>
        <w:ind w:firstLine="420" w:firstLineChars="200"/>
        <w:rPr>
          <w:rFonts w:hint="eastAsia" w:ascii="宋体" w:hAnsi="宋体" w:cs="宋体"/>
          <w:szCs w:val="21"/>
        </w:rPr>
      </w:pPr>
      <w:r>
        <w:rPr>
          <w:rFonts w:hint="eastAsia" w:ascii="宋体" w:hAnsi="宋体" w:cs="宋体"/>
          <w:szCs w:val="21"/>
        </w:rPr>
        <w:t>2.乙方所提供的服务、服务质量、服务内容等不符合合同、招标文件、投标文件规定及乙方承诺的要求的，甲方有权要求乙方整改完毕后再验收。乙方应按甲方的要求，在甲方指定的期限内予以更换或改进，未在甲方指定的期限内更换或改进的，按乙方逾期提供服务处理，乙方应承担第九条第1款约定的违约责任。</w:t>
      </w:r>
    </w:p>
    <w:p w14:paraId="092B41DD">
      <w:pPr>
        <w:spacing w:line="400" w:lineRule="exact"/>
        <w:ind w:firstLine="420" w:firstLineChars="200"/>
        <w:rPr>
          <w:rFonts w:hint="eastAsia" w:ascii="宋体" w:hAnsi="宋体" w:cs="宋体"/>
          <w:szCs w:val="21"/>
        </w:rPr>
      </w:pPr>
      <w:r>
        <w:rPr>
          <w:rFonts w:hint="eastAsia" w:ascii="宋体" w:hAnsi="宋体" w:cs="宋体"/>
          <w:szCs w:val="21"/>
        </w:rPr>
        <w:t>3.乙方提供的服务如侵犯了第三方合法权益而引发的任何纠纷或者诉讼，均由乙方负责交涉并承担全部责任。如甲方为解决纠纷矛盾先行垫付了费用的，乙方应当自收到甲方要求偿还费用的函之日起五日内向甲方偿还完毕，逾期未偿还，乙方承担应向甲方支付合同合计金额20％的违约金并赔偿甲方经济损失。</w:t>
      </w:r>
    </w:p>
    <w:p w14:paraId="4FAB65AF">
      <w:pPr>
        <w:spacing w:line="400" w:lineRule="exact"/>
        <w:ind w:firstLine="420" w:firstLineChars="200"/>
        <w:rPr>
          <w:rFonts w:hint="eastAsia" w:ascii="宋体" w:hAnsi="宋体" w:cs="宋体"/>
          <w:szCs w:val="21"/>
        </w:rPr>
      </w:pPr>
      <w:r>
        <w:rPr>
          <w:rFonts w:hint="eastAsia" w:ascii="宋体" w:hAnsi="宋体" w:cs="宋体"/>
          <w:szCs w:val="21"/>
        </w:rPr>
        <w:t>4.乙方因履行合同所发生的其他违约行为，每违约一次，应按合同合计金额的5%向甲方支付违约金，并赔偿甲方因此所造成全部损失。</w:t>
      </w:r>
    </w:p>
    <w:p w14:paraId="21954F59">
      <w:pPr>
        <w:spacing w:line="400" w:lineRule="exact"/>
        <w:ind w:firstLine="420" w:firstLineChars="200"/>
        <w:rPr>
          <w:rFonts w:hint="eastAsia" w:ascii="宋体" w:hAnsi="宋体" w:cs="宋体"/>
          <w:szCs w:val="21"/>
        </w:rPr>
      </w:pPr>
      <w:r>
        <w:rPr>
          <w:rFonts w:hint="eastAsia" w:ascii="宋体" w:hAnsi="宋体" w:cs="宋体"/>
          <w:szCs w:val="21"/>
        </w:rPr>
        <w:t>5.乙方支付的违约金不足以弥补甲方损失的，应承担赔偿责任，甲方有权继续向乙方追偿。甲方有权从乙方已支付给甲方的任何款项（含履约保证金）、甲方应支付未支付给乙方的款项中直接抵扣。</w:t>
      </w:r>
    </w:p>
    <w:p w14:paraId="5680E2C5">
      <w:pPr>
        <w:spacing w:line="400" w:lineRule="exact"/>
        <w:ind w:firstLine="420" w:firstLineChars="200"/>
        <w:rPr>
          <w:rFonts w:hint="eastAsia" w:ascii="宋体" w:hAnsi="宋体" w:cs="宋体"/>
          <w:szCs w:val="21"/>
        </w:rPr>
      </w:pPr>
      <w:r>
        <w:rPr>
          <w:rFonts w:hint="eastAsia" w:ascii="宋体" w:hAnsi="宋体" w:cs="宋体"/>
          <w:szCs w:val="21"/>
        </w:rPr>
        <w:t>6.本合同所称的“全部损失”、“一切损失”、“甲方经济损失”或者“甲方损失”等，包括但不限于甲方遭受的全部直接经济损失、间接损失及为此支出的合理费用（包括但不限于为此支出的调查费、诉讼费、保全费、保全保险费、垫付资金占用费、律师费、公证费、评估鉴定费、差旅费等）。</w:t>
      </w:r>
    </w:p>
    <w:p w14:paraId="5F7D4DE7">
      <w:pPr>
        <w:spacing w:line="400" w:lineRule="exact"/>
        <w:ind w:firstLine="420" w:firstLineChars="200"/>
        <w:rPr>
          <w:rFonts w:hint="eastAsia" w:ascii="宋体" w:hAnsi="宋体" w:cs="宋体"/>
          <w:szCs w:val="21"/>
        </w:rPr>
      </w:pPr>
      <w:r>
        <w:rPr>
          <w:rFonts w:hint="eastAsia" w:ascii="宋体" w:hAnsi="宋体" w:cs="宋体"/>
          <w:szCs w:val="21"/>
        </w:rPr>
        <w:t>7.甲方延期付款的，每天向乙方偿付延期款额3‰的违约金，但违约金累计不得超过延期款额的5%。</w:t>
      </w:r>
    </w:p>
    <w:p w14:paraId="39A62C71">
      <w:pPr>
        <w:spacing w:line="400" w:lineRule="exact"/>
        <w:ind w:firstLine="422" w:firstLineChars="200"/>
        <w:rPr>
          <w:rFonts w:hint="eastAsia" w:ascii="宋体" w:hAnsi="宋体" w:cs="宋体"/>
          <w:b/>
          <w:bCs/>
          <w:szCs w:val="21"/>
        </w:rPr>
      </w:pPr>
      <w:r>
        <w:rPr>
          <w:rFonts w:hint="eastAsia" w:ascii="宋体" w:hAnsi="宋体" w:cs="宋体"/>
          <w:b/>
          <w:bCs/>
          <w:szCs w:val="21"/>
        </w:rPr>
        <w:t>第十条　知识产权归属</w:t>
      </w:r>
    </w:p>
    <w:p w14:paraId="5F7FBDF2">
      <w:pPr>
        <w:spacing w:line="400" w:lineRule="exact"/>
        <w:ind w:firstLine="420" w:firstLineChars="200"/>
        <w:rPr>
          <w:rFonts w:hint="eastAsia" w:ascii="宋体" w:hAnsi="宋体" w:cs="宋体"/>
          <w:szCs w:val="21"/>
        </w:rPr>
      </w:pPr>
      <w:r>
        <w:rPr>
          <w:rFonts w:hint="eastAsia" w:ascii="宋体" w:hAnsi="宋体" w:cs="宋体"/>
          <w:szCs w:val="21"/>
        </w:rPr>
        <w:t>乙方保证，甲乙双方在本合同执行中形成的任何成果或知识产权的所有权，均归甲方所有，而且乙方应当完成甲方知识产权所有权确认所必需的全部行为、证书和文件等，并提供相应的支持和协助。包含但不限于以下内容：</w:t>
      </w:r>
    </w:p>
    <w:p w14:paraId="45FE187E">
      <w:pPr>
        <w:spacing w:line="400" w:lineRule="exact"/>
        <w:ind w:firstLine="420" w:firstLineChars="200"/>
        <w:rPr>
          <w:rFonts w:hint="eastAsia" w:ascii="宋体" w:hAnsi="宋体" w:cs="宋体"/>
          <w:szCs w:val="21"/>
        </w:rPr>
      </w:pPr>
      <w:r>
        <w:rPr>
          <w:rFonts w:hint="eastAsia" w:ascii="宋体" w:hAnsi="宋体" w:cs="宋体"/>
          <w:szCs w:val="21"/>
        </w:rPr>
        <w:t>1.交付成果及要求</w:t>
      </w:r>
    </w:p>
    <w:p w14:paraId="73A58688">
      <w:pPr>
        <w:spacing w:line="400" w:lineRule="exact"/>
        <w:ind w:firstLine="420" w:firstLineChars="200"/>
        <w:rPr>
          <w:rFonts w:hint="eastAsia" w:ascii="宋体" w:hAnsi="宋体" w:cs="宋体"/>
          <w:szCs w:val="21"/>
        </w:rPr>
      </w:pPr>
      <w:r>
        <w:rPr>
          <w:rFonts w:hint="eastAsia" w:ascii="宋体" w:hAnsi="宋体" w:cs="宋体"/>
          <w:szCs w:val="21"/>
        </w:rPr>
        <w:t>（1）乙方为甲方开发的软件，在开发完成以后，一次性将该软件产品的开发源代码（含开发手册）、接口协议交由甲方。乙方应尊重甲方所有的版权等一切权利，不得对该软件产品进行反向工程，反向编译，反汇编或出租、出让等。否则乙方承担由此给甲方带来的一切损失，甲方保留追究成交乙方法律责任的权利。</w:t>
      </w:r>
    </w:p>
    <w:p w14:paraId="6AC4BEDD">
      <w:pPr>
        <w:spacing w:line="400" w:lineRule="exact"/>
        <w:ind w:firstLine="420" w:firstLineChars="200"/>
        <w:rPr>
          <w:rFonts w:hint="eastAsia" w:ascii="宋体" w:hAnsi="宋体" w:cs="宋体"/>
          <w:szCs w:val="21"/>
        </w:rPr>
      </w:pPr>
      <w:r>
        <w:rPr>
          <w:rFonts w:hint="eastAsia" w:ascii="宋体" w:hAnsi="宋体" w:cs="宋体"/>
          <w:szCs w:val="21"/>
        </w:rPr>
        <w:t>（2）乙方应对项目建设中所涉及的专利承担责任，并负责保护甲方的利益不受任何损害。一切由于文字、商标、技术和软件专利授权引起的法律裁决、诉讼和赔偿费用均由乙方负责，给甲方造成损失的，还应承担赔偿甲方损失部分。</w:t>
      </w:r>
    </w:p>
    <w:p w14:paraId="47764BC8">
      <w:pPr>
        <w:spacing w:line="400" w:lineRule="exact"/>
        <w:ind w:firstLine="420" w:firstLineChars="200"/>
        <w:rPr>
          <w:rFonts w:hint="eastAsia" w:ascii="宋体" w:hAnsi="宋体" w:cs="宋体"/>
          <w:szCs w:val="21"/>
        </w:rPr>
      </w:pPr>
      <w:r>
        <w:rPr>
          <w:rFonts w:hint="eastAsia" w:ascii="宋体" w:hAnsi="宋体" w:cs="宋体"/>
          <w:szCs w:val="21"/>
        </w:rPr>
        <w:t>（3）在本项目建设过程中形成的任何成果或知识产权的所有权，归甲方所有，而且乙方应当完成甲方知识产权所有权确认所必需的全部行为、证书和文件等，并提供相应的支持和协助。</w:t>
      </w:r>
    </w:p>
    <w:p w14:paraId="08E82C41">
      <w:pPr>
        <w:spacing w:line="400" w:lineRule="exact"/>
        <w:ind w:firstLine="420" w:firstLineChars="200"/>
        <w:rPr>
          <w:rFonts w:hint="eastAsia" w:ascii="宋体" w:hAnsi="宋体" w:cs="宋体"/>
          <w:szCs w:val="21"/>
        </w:rPr>
      </w:pPr>
      <w:r>
        <w:rPr>
          <w:rFonts w:hint="eastAsia" w:ascii="宋体" w:hAnsi="宋体" w:cs="宋体"/>
          <w:szCs w:val="21"/>
        </w:rPr>
        <w:t>（4）项目成果包括但不限于软著、专利、标准规范、宣传报道、源代码、成套文档等。</w:t>
      </w:r>
    </w:p>
    <w:p w14:paraId="220B3480">
      <w:pPr>
        <w:spacing w:line="400" w:lineRule="exact"/>
        <w:ind w:firstLine="420" w:firstLineChars="200"/>
        <w:rPr>
          <w:rFonts w:hint="eastAsia" w:ascii="宋体" w:hAnsi="宋体" w:cs="宋体"/>
          <w:szCs w:val="21"/>
        </w:rPr>
      </w:pPr>
      <w:r>
        <w:rPr>
          <w:rFonts w:hint="eastAsia" w:ascii="宋体" w:hAnsi="宋体" w:cs="宋体"/>
          <w:szCs w:val="21"/>
        </w:rPr>
        <w:t>（5）未经甲方同意，乙方不允许利用项目成果资料自行申报科技奖、工程奖等奖项。</w:t>
      </w:r>
    </w:p>
    <w:p w14:paraId="02F66244">
      <w:pPr>
        <w:spacing w:line="400" w:lineRule="exact"/>
        <w:ind w:firstLine="420" w:firstLineChars="200"/>
        <w:rPr>
          <w:rFonts w:hint="eastAsia" w:ascii="宋体" w:hAnsi="宋体" w:cs="宋体"/>
          <w:szCs w:val="21"/>
        </w:rPr>
      </w:pPr>
      <w:r>
        <w:rPr>
          <w:rFonts w:hint="eastAsia" w:ascii="宋体" w:hAnsi="宋体" w:cs="宋体"/>
          <w:szCs w:val="21"/>
        </w:rPr>
        <w:t>2.第三方产品或乙方自有知识产权产品</w:t>
      </w:r>
    </w:p>
    <w:p w14:paraId="48695CB6">
      <w:pPr>
        <w:spacing w:line="400" w:lineRule="exact"/>
        <w:ind w:firstLine="420" w:firstLineChars="200"/>
        <w:rPr>
          <w:rFonts w:hint="eastAsia" w:ascii="宋体" w:hAnsi="宋体" w:cs="宋体"/>
          <w:szCs w:val="21"/>
        </w:rPr>
      </w:pPr>
      <w:r>
        <w:rPr>
          <w:rFonts w:hint="eastAsia" w:ascii="宋体" w:hAnsi="宋体" w:cs="宋体"/>
          <w:szCs w:val="21"/>
        </w:rPr>
        <w:t>2.1产品说明：若软件系统开发过程中涉及到乙方提供的第三方产品或乙方自有知识产权产品，乙方应在合同签订前向甲方详细说明相关产品的情况，包括产品名称、版本、功能、授权方式、价格等信息，并提供产品的相关文档和资料。产品文档资料应包括产品使用说明书、技术白皮书、授权许可协议样本等，以便甲方全面了解产品特性、使用方法及授权限制等内容。</w:t>
      </w:r>
    </w:p>
    <w:p w14:paraId="6F637F86">
      <w:pPr>
        <w:spacing w:line="400" w:lineRule="exact"/>
        <w:ind w:firstLine="420" w:firstLineChars="200"/>
        <w:rPr>
          <w:rFonts w:hint="eastAsia" w:ascii="宋体" w:hAnsi="宋体" w:cs="宋体"/>
          <w:szCs w:val="21"/>
        </w:rPr>
      </w:pPr>
      <w:r>
        <w:rPr>
          <w:rFonts w:hint="eastAsia" w:ascii="宋体" w:hAnsi="宋体" w:cs="宋体"/>
          <w:szCs w:val="21"/>
        </w:rPr>
        <w:t>2.2解耦要求：乙方提供的第三方产品或自有知识产权产品应通过可充分解耦的方式集成到软件系统中，确保在必要的情况下，甲方能够方便地对这些产品进行替换，而不会对软件系统的其他部分造成重大影响。乙方应提供详细的解耦方案和技术文档，说明如何实现产品与系统的解耦，以及解耦后对系统的影响和注意事项。解耦方案应从技术架构层面详细阐述产品与系统的接口设计、数据交互方式、依赖关系等，确保解耦的可行性和有效性。技术文档应包括解耦前后系统架构图对比、接口变更说明、数据迁移指导等内容。</w:t>
      </w:r>
    </w:p>
    <w:p w14:paraId="56264BAA">
      <w:pPr>
        <w:spacing w:line="400" w:lineRule="exact"/>
        <w:ind w:firstLine="420" w:firstLineChars="200"/>
        <w:rPr>
          <w:rFonts w:hint="eastAsia" w:ascii="宋体" w:hAnsi="宋体" w:cs="宋体"/>
          <w:szCs w:val="21"/>
        </w:rPr>
      </w:pPr>
      <w:r>
        <w:rPr>
          <w:rFonts w:hint="eastAsia" w:ascii="宋体" w:hAnsi="宋体" w:cs="宋体"/>
          <w:szCs w:val="21"/>
        </w:rPr>
        <w:t>2.3耦合性规避：乙方应采取有效措施，避免因必须使用第三方产品或自有知识产权产品与开发的系统产生过度耦合，导致甲方不能完全自主进行二次开发。若因乙方原因导致系统耦合性过高，影响甲方的二次开发权益的，经甲方要求，乙方应在甲方规定的期限内提供降低耦合性的解决方案，并采取措施降低系统耦合性。若无法解决或解决成本过高，经得甲方同意，乙方应免费为甲方提供功能等同的、无知识产权纠纷的替代产品，并确保系统的正常运行。若替代导致甲方成本增加或功能减损，乙方除应承担相应的赔偿责任外，还应承担相应的违约责任。</w:t>
      </w:r>
    </w:p>
    <w:p w14:paraId="70DFF043">
      <w:pPr>
        <w:spacing w:line="400" w:lineRule="exact"/>
        <w:ind w:firstLine="420" w:firstLineChars="200"/>
        <w:rPr>
          <w:rFonts w:hint="eastAsia" w:ascii="宋体" w:hAnsi="宋体" w:cs="宋体"/>
          <w:szCs w:val="21"/>
        </w:rPr>
      </w:pPr>
      <w:r>
        <w:rPr>
          <w:rFonts w:hint="eastAsia" w:ascii="宋体" w:hAnsi="宋体" w:cs="宋体"/>
          <w:szCs w:val="21"/>
        </w:rPr>
        <w:t>2.4对于乙方提供的第三方产品或自有知识产权产品，乙方须保证：</w:t>
      </w:r>
    </w:p>
    <w:p w14:paraId="22AE1D92">
      <w:pPr>
        <w:spacing w:line="400" w:lineRule="exact"/>
        <w:ind w:firstLine="420" w:firstLineChars="200"/>
        <w:rPr>
          <w:rFonts w:hint="eastAsia" w:ascii="宋体" w:hAnsi="宋体" w:cs="宋体"/>
          <w:szCs w:val="21"/>
        </w:rPr>
      </w:pPr>
      <w:r>
        <w:rPr>
          <w:rFonts w:hint="eastAsia" w:ascii="宋体" w:hAnsi="宋体" w:cs="宋体"/>
          <w:szCs w:val="21"/>
        </w:rPr>
        <w:t>（1）向甲方提供合法、有效、足额的授权许可，确保甲方在本项目范围内对产品享有永久、不可撤销的使用、运行、维护的权利。</w:t>
      </w:r>
    </w:p>
    <w:p w14:paraId="5B9009F1">
      <w:pPr>
        <w:spacing w:line="400" w:lineRule="exact"/>
        <w:ind w:firstLine="420" w:firstLineChars="200"/>
        <w:rPr>
          <w:rFonts w:hint="eastAsia" w:ascii="宋体" w:hAnsi="宋体" w:cs="宋体"/>
          <w:szCs w:val="21"/>
        </w:rPr>
      </w:pPr>
      <w:r>
        <w:rPr>
          <w:rFonts w:hint="eastAsia" w:ascii="宋体" w:hAnsi="宋体" w:cs="宋体"/>
          <w:szCs w:val="21"/>
        </w:rPr>
        <w:t>（2）如该产品需要持续支付许可费或服务费，乙方应向甲方披露，并在合同中对未来至少 5年的费用标准进行约定和封顶，已经约定的，未经甲方同意，乙方不得单方面涨价。乙方未披露或未在合同中明确约定的，视为合同总价已包括该部分费用，超出合同总价部分全部由乙方自行承担。因许可费和服务费未按时支付影响甲方生产经营的，甲方有权要求乙方赔偿全部经济损失。</w:t>
      </w:r>
    </w:p>
    <w:p w14:paraId="7547EFBF">
      <w:pPr>
        <w:spacing w:line="400" w:lineRule="exact"/>
        <w:ind w:firstLine="420" w:firstLineChars="200"/>
        <w:rPr>
          <w:rFonts w:hint="eastAsia" w:ascii="宋体" w:hAnsi="宋体" w:cs="宋体"/>
          <w:szCs w:val="21"/>
        </w:rPr>
      </w:pPr>
      <w:r>
        <w:rPr>
          <w:rFonts w:hint="eastAsia" w:ascii="宋体" w:hAnsi="宋体" w:cs="宋体"/>
          <w:szCs w:val="21"/>
        </w:rPr>
        <w:t>（3）如该产品停止更新或服务，乙方有义务提前6个月通知甲方，并免费提供其他合格产品的解决方案和技术支持。</w:t>
      </w:r>
    </w:p>
    <w:p w14:paraId="1D0F23EE">
      <w:pPr>
        <w:spacing w:line="400" w:lineRule="exact"/>
        <w:ind w:firstLine="420" w:firstLineChars="200"/>
        <w:rPr>
          <w:rFonts w:hint="eastAsia" w:ascii="宋体" w:hAnsi="宋体" w:cs="宋体"/>
          <w:szCs w:val="21"/>
        </w:rPr>
      </w:pPr>
      <w:r>
        <w:rPr>
          <w:rFonts w:hint="eastAsia" w:ascii="宋体" w:hAnsi="宋体" w:cs="宋体"/>
          <w:szCs w:val="21"/>
        </w:rPr>
        <w:t>3.本项目为交钥匙工程，所有产品送达甲方并安装调试完成直至最终验收合格及质保期内的所有费用，包含但不限于软件平台外购费、数据处理费、基础地理信息数据服务费、人工费、产品价、设计费、交通费、通信费、安全生产费、专家咨询费、会议费、税费、集成费、甲方现有软硬件融合及维护等所有费用。因乙方自身原因造成漏报、少报皆由其自行承担责任，甲方不再补偿。在项目实施过程中，若出现因费用问题导致项目进度受阻或质量受影响的情况，乙方应承担全部责任，并采取紧急措施予以解决，确保项目按合同约定推进。</w:t>
      </w:r>
    </w:p>
    <w:p w14:paraId="1765B762">
      <w:pPr>
        <w:spacing w:line="400" w:lineRule="exact"/>
        <w:ind w:firstLine="420" w:firstLineChars="200"/>
        <w:rPr>
          <w:rFonts w:hint="eastAsia" w:ascii="宋体" w:hAnsi="宋体" w:cs="宋体"/>
          <w:szCs w:val="21"/>
        </w:rPr>
      </w:pPr>
      <w:r>
        <w:rPr>
          <w:rFonts w:hint="eastAsia" w:ascii="宋体" w:hAnsi="宋体" w:cs="宋体"/>
          <w:szCs w:val="21"/>
        </w:rPr>
        <w:t>4.本项目各系统需严格遵循甲方的总体技术架构实施建设。乙方须按照甲方明确的包含但不限于国产技术栈改造、技术规范、开发流程、接口标准、安全防护机制等统一技术要求进行系统设计、开发与部署，确保系统在技术层面与甲方现有技术体系无缝兼容、高效协同，满足业务连续性及可扩展性需求。同时，乙方应根据数据资源管理要求，包含但不限于无条件提供项目涉及的所有数据，涵盖但不限于数据采集、存储、处理、共享等全生命周期管理，确保数据的准确性、完整性、及时性与安全性，并严格遵循甲方制定的数据格式、数据字典、数据交换标准等统一数据要求，实现数据在各系统间的高效流通与共享。若因乙方原因导致系统在技术兼容性、数据管理等方面不符合甲方要求，乙方应承担由此产生的全部整改费用及相关损失，并在规定时间内完成整改，确保项目顺利通过验收。</w:t>
      </w:r>
    </w:p>
    <w:p w14:paraId="214BED22">
      <w:pPr>
        <w:spacing w:line="400" w:lineRule="exact"/>
        <w:ind w:firstLine="422" w:firstLineChars="200"/>
        <w:rPr>
          <w:rFonts w:hint="eastAsia" w:ascii="宋体" w:hAnsi="宋体" w:cs="宋体"/>
          <w:b/>
          <w:bCs/>
          <w:szCs w:val="21"/>
        </w:rPr>
      </w:pPr>
      <w:r>
        <w:rPr>
          <w:rFonts w:hint="eastAsia" w:ascii="宋体" w:hAnsi="宋体" w:cs="宋体"/>
          <w:b/>
          <w:bCs/>
          <w:szCs w:val="21"/>
        </w:rPr>
        <w:t>第十一条　保密条款</w:t>
      </w:r>
    </w:p>
    <w:p w14:paraId="2126F293">
      <w:pPr>
        <w:spacing w:line="400" w:lineRule="exact"/>
        <w:ind w:firstLine="420" w:firstLineChars="200"/>
        <w:rPr>
          <w:rFonts w:hint="eastAsia" w:ascii="宋体" w:hAnsi="宋体" w:cs="宋体"/>
          <w:szCs w:val="21"/>
        </w:rPr>
      </w:pPr>
      <w:r>
        <w:rPr>
          <w:rFonts w:hint="eastAsia" w:ascii="宋体" w:hAnsi="宋体" w:cs="宋体"/>
          <w:szCs w:val="21"/>
        </w:rPr>
        <w:t>1.甲乙双方都负有保守对方的单位机密或商业秘密的义务，保密范围包括但不限于技术情报、数据资料及其他公开后对对方造成影响或损失的秘密。</w:t>
      </w:r>
    </w:p>
    <w:p w14:paraId="288CE287">
      <w:pPr>
        <w:spacing w:line="400" w:lineRule="exact"/>
        <w:ind w:firstLine="420" w:firstLineChars="200"/>
        <w:rPr>
          <w:rFonts w:hint="eastAsia" w:ascii="宋体" w:hAnsi="宋体" w:cs="宋体"/>
          <w:szCs w:val="21"/>
        </w:rPr>
      </w:pPr>
      <w:r>
        <w:rPr>
          <w:rFonts w:hint="eastAsia" w:ascii="宋体" w:hAnsi="宋体" w:cs="宋体"/>
          <w:szCs w:val="21"/>
        </w:rPr>
        <w:t>2.任何一方违反保密条款，给对方造成损失，应按对方的实际损失承担赔偿责任。</w:t>
      </w:r>
    </w:p>
    <w:p w14:paraId="7783982B">
      <w:pPr>
        <w:spacing w:line="400" w:lineRule="exact"/>
        <w:ind w:firstLine="420" w:firstLineChars="200"/>
        <w:rPr>
          <w:rFonts w:hint="eastAsia" w:ascii="宋体" w:hAnsi="宋体" w:cs="宋体"/>
          <w:szCs w:val="21"/>
        </w:rPr>
      </w:pPr>
      <w:r>
        <w:rPr>
          <w:rFonts w:hint="eastAsia" w:ascii="宋体" w:hAnsi="宋体" w:cs="宋体"/>
          <w:szCs w:val="21"/>
        </w:rPr>
        <w:t>3.本条款不因合同的变更、解除和终止而失效。</w:t>
      </w:r>
    </w:p>
    <w:p w14:paraId="2925CE46">
      <w:pPr>
        <w:spacing w:line="400" w:lineRule="exact"/>
        <w:ind w:firstLine="422" w:firstLineChars="200"/>
        <w:rPr>
          <w:rFonts w:hint="eastAsia" w:ascii="宋体" w:hAnsi="宋体" w:cs="宋体"/>
          <w:b/>
          <w:bCs/>
          <w:szCs w:val="21"/>
        </w:rPr>
      </w:pPr>
      <w:r>
        <w:rPr>
          <w:rFonts w:hint="eastAsia" w:ascii="宋体" w:hAnsi="宋体" w:cs="宋体"/>
          <w:b/>
          <w:bCs/>
          <w:szCs w:val="21"/>
        </w:rPr>
        <w:t>第十二条　不可抗力事件处理</w:t>
      </w:r>
    </w:p>
    <w:p w14:paraId="6EF748D6">
      <w:pPr>
        <w:spacing w:line="400" w:lineRule="exact"/>
        <w:ind w:firstLine="420" w:firstLineChars="200"/>
        <w:rPr>
          <w:rFonts w:hint="eastAsia" w:ascii="宋体" w:hAnsi="宋体" w:cs="宋体"/>
          <w:szCs w:val="21"/>
        </w:rPr>
      </w:pPr>
      <w:r>
        <w:rPr>
          <w:rFonts w:hint="eastAsia" w:ascii="宋体" w:hAnsi="宋体" w:cs="宋体"/>
          <w:szCs w:val="21"/>
        </w:rPr>
        <w:t>1.在合同有效期内，任何一方因不可抗力事件导致不能履行合同，则合同履行期可延长，其延长期与不可抗力影响期相同。</w:t>
      </w:r>
    </w:p>
    <w:p w14:paraId="5A87C9E0">
      <w:pPr>
        <w:spacing w:line="400" w:lineRule="exact"/>
        <w:ind w:firstLine="420" w:firstLineChars="200"/>
        <w:rPr>
          <w:rFonts w:hint="eastAsia" w:ascii="宋体" w:hAnsi="宋体" w:cs="宋体"/>
          <w:szCs w:val="21"/>
        </w:rPr>
      </w:pPr>
      <w:r>
        <w:rPr>
          <w:rFonts w:hint="eastAsia" w:ascii="宋体" w:hAnsi="宋体" w:cs="宋体"/>
          <w:szCs w:val="21"/>
        </w:rPr>
        <w:t>2.不可抗力事件发生后，应立即通知对方，并寄送有关权威机构出具的证明。</w:t>
      </w:r>
    </w:p>
    <w:p w14:paraId="69F46EDE">
      <w:pPr>
        <w:spacing w:line="400" w:lineRule="exact"/>
        <w:ind w:firstLine="420" w:firstLineChars="200"/>
        <w:rPr>
          <w:rFonts w:hint="eastAsia" w:ascii="宋体" w:hAnsi="宋体" w:cs="宋体"/>
          <w:szCs w:val="21"/>
        </w:rPr>
      </w:pPr>
      <w:r>
        <w:rPr>
          <w:rFonts w:hint="eastAsia" w:ascii="宋体" w:hAnsi="宋体" w:cs="宋体"/>
          <w:szCs w:val="21"/>
        </w:rPr>
        <w:t>3.不可抗力事件延续一百二十天以上，双方应通过友好协商，确定是否继续履行合同。</w:t>
      </w:r>
    </w:p>
    <w:p w14:paraId="03401EE5">
      <w:pPr>
        <w:spacing w:line="400" w:lineRule="exact"/>
        <w:ind w:firstLine="420" w:firstLineChars="200"/>
        <w:rPr>
          <w:rFonts w:hint="eastAsia" w:ascii="宋体" w:hAnsi="宋体" w:cs="宋体"/>
          <w:szCs w:val="21"/>
        </w:rPr>
      </w:pPr>
      <w:r>
        <w:rPr>
          <w:rFonts w:hint="eastAsia" w:ascii="宋体" w:hAnsi="宋体" w:cs="宋体"/>
          <w:szCs w:val="21"/>
        </w:rPr>
        <w:t>4.合同履行过程中，因接受政府行政指令而无法履行的，接受政府行政指令的一方可以免除责任。</w:t>
      </w:r>
    </w:p>
    <w:p w14:paraId="599328C5">
      <w:pPr>
        <w:spacing w:line="400" w:lineRule="exact"/>
        <w:ind w:firstLine="422" w:firstLineChars="200"/>
        <w:rPr>
          <w:rFonts w:hint="eastAsia" w:ascii="宋体" w:hAnsi="宋体" w:cs="宋体"/>
          <w:b/>
          <w:bCs/>
          <w:szCs w:val="21"/>
        </w:rPr>
      </w:pPr>
      <w:r>
        <w:rPr>
          <w:rFonts w:hint="eastAsia" w:ascii="宋体" w:hAnsi="宋体" w:cs="宋体"/>
          <w:b/>
          <w:bCs/>
          <w:szCs w:val="21"/>
        </w:rPr>
        <w:t>第十三条　合同争议解决</w:t>
      </w:r>
    </w:p>
    <w:p w14:paraId="241044A8">
      <w:pPr>
        <w:spacing w:line="400" w:lineRule="exact"/>
        <w:ind w:firstLine="420" w:firstLineChars="200"/>
        <w:rPr>
          <w:rFonts w:hint="eastAsia" w:ascii="宋体" w:hAnsi="宋体" w:cs="宋体"/>
          <w:szCs w:val="21"/>
        </w:rPr>
      </w:pPr>
      <w:r>
        <w:rPr>
          <w:rFonts w:hint="eastAsia" w:ascii="宋体" w:hAnsi="宋体" w:cs="宋体"/>
          <w:szCs w:val="21"/>
        </w:rPr>
        <w:t>1.因服务质量问题发生争议的，甲方有权单方邀请具有相应资质的机构或专家进行鉴定，由乙方先行垫付或甲方有权在应向乙方支付的剩余款项中先行扣付鉴定费。经鉴定，服务符合标准的，鉴定费由甲方承担；服务不符合标准的，鉴定费由乙方承担。</w:t>
      </w:r>
    </w:p>
    <w:p w14:paraId="036B4F48">
      <w:pPr>
        <w:spacing w:line="400" w:lineRule="exact"/>
        <w:ind w:firstLine="420" w:firstLineChars="200"/>
        <w:rPr>
          <w:rFonts w:hint="eastAsia" w:ascii="宋体" w:hAnsi="宋体" w:cs="宋体"/>
          <w:szCs w:val="21"/>
        </w:rPr>
      </w:pPr>
      <w:r>
        <w:rPr>
          <w:rFonts w:hint="eastAsia" w:ascii="宋体" w:hAnsi="宋体" w:cs="宋体"/>
          <w:szCs w:val="21"/>
        </w:rPr>
        <w:t>2.因履行本合同引起的或者与本合同有关的争议，甲乙双方应首先通过友好协商解决，如果协商不能解决，任何一方均有权向甲方所在地有管辖权人民法院提起诉讼。</w:t>
      </w:r>
    </w:p>
    <w:p w14:paraId="1C0F2864">
      <w:pPr>
        <w:spacing w:line="400" w:lineRule="exact"/>
        <w:ind w:firstLine="422" w:firstLineChars="200"/>
        <w:rPr>
          <w:rFonts w:hint="eastAsia" w:ascii="宋体" w:hAnsi="宋体" w:cs="宋体"/>
          <w:b/>
          <w:bCs/>
          <w:szCs w:val="21"/>
        </w:rPr>
      </w:pPr>
      <w:r>
        <w:rPr>
          <w:rFonts w:hint="eastAsia" w:ascii="宋体" w:hAnsi="宋体" w:cs="宋体"/>
          <w:b/>
          <w:bCs/>
          <w:szCs w:val="21"/>
        </w:rPr>
        <w:t>第十四条　合同生效及其他</w:t>
      </w:r>
    </w:p>
    <w:p w14:paraId="385EE344">
      <w:pPr>
        <w:spacing w:line="400" w:lineRule="exact"/>
        <w:ind w:firstLine="420" w:firstLineChars="200"/>
        <w:rPr>
          <w:rFonts w:hint="eastAsia" w:ascii="宋体" w:hAnsi="宋体" w:cs="宋体"/>
          <w:szCs w:val="21"/>
        </w:rPr>
      </w:pPr>
      <w:r>
        <w:rPr>
          <w:rFonts w:hint="eastAsia" w:ascii="宋体" w:hAnsi="宋体" w:cs="宋体"/>
          <w:szCs w:val="21"/>
        </w:rPr>
        <w:t>1.合同经甲乙双方法定代表人或者授权代表签字并加盖单位公章后生效。</w:t>
      </w:r>
    </w:p>
    <w:p w14:paraId="1F26B4F4">
      <w:pPr>
        <w:spacing w:line="400" w:lineRule="exact"/>
        <w:ind w:firstLine="420" w:firstLineChars="200"/>
        <w:rPr>
          <w:rFonts w:hint="eastAsia" w:ascii="宋体" w:hAnsi="宋体" w:cs="宋体"/>
          <w:szCs w:val="21"/>
        </w:rPr>
      </w:pPr>
      <w:r>
        <w:rPr>
          <w:rFonts w:hint="eastAsia" w:ascii="宋体" w:hAnsi="宋体" w:cs="宋体"/>
          <w:szCs w:val="21"/>
        </w:rPr>
        <w:t>2.合同执行中涉及采购资金和采购内容修改或者补充的，须经政府采购监管部门审批，经甲乙双方协商一致签订书面补充协议并报政府采购监管部门备案，方可作为主合同不可分割的一部分。</w:t>
      </w:r>
    </w:p>
    <w:p w14:paraId="2C33A8E3">
      <w:pPr>
        <w:spacing w:line="400" w:lineRule="exact"/>
        <w:ind w:firstLine="420" w:firstLineChars="200"/>
        <w:rPr>
          <w:rFonts w:hint="eastAsia" w:ascii="宋体" w:hAnsi="宋体" w:cs="宋体"/>
          <w:szCs w:val="21"/>
        </w:rPr>
      </w:pPr>
      <w:r>
        <w:rPr>
          <w:rFonts w:hint="eastAsia" w:ascii="宋体" w:hAnsi="宋体" w:cs="宋体"/>
          <w:szCs w:val="21"/>
        </w:rPr>
        <w:t>3.合同未尽事宜，遵照《中华人民共和国民法典》等相关法律、法规规定有关条文执行。</w:t>
      </w:r>
    </w:p>
    <w:p w14:paraId="6C916910">
      <w:pPr>
        <w:spacing w:line="400" w:lineRule="exact"/>
        <w:ind w:firstLine="422" w:firstLineChars="200"/>
        <w:rPr>
          <w:rFonts w:hint="eastAsia" w:ascii="宋体" w:hAnsi="宋体" w:cs="宋体"/>
          <w:b/>
          <w:bCs/>
          <w:szCs w:val="21"/>
        </w:rPr>
      </w:pPr>
      <w:r>
        <w:rPr>
          <w:rFonts w:hint="eastAsia" w:ascii="宋体" w:hAnsi="宋体" w:cs="宋体"/>
          <w:b/>
          <w:bCs/>
          <w:szCs w:val="21"/>
        </w:rPr>
        <w:t>第十五条　合同的变更、终止与转让</w:t>
      </w:r>
    </w:p>
    <w:p w14:paraId="691F35DA">
      <w:pPr>
        <w:spacing w:line="400" w:lineRule="exact"/>
        <w:ind w:firstLine="420" w:firstLineChars="200"/>
        <w:rPr>
          <w:rFonts w:hint="eastAsia" w:ascii="宋体" w:hAnsi="宋体" w:cs="宋体"/>
          <w:szCs w:val="21"/>
        </w:rPr>
      </w:pPr>
      <w:r>
        <w:rPr>
          <w:rFonts w:hint="eastAsia" w:ascii="宋体" w:hAnsi="宋体" w:cs="宋体"/>
          <w:szCs w:val="21"/>
        </w:rPr>
        <w:t>1.除《中华人民共和国政府采购法》第五十条规定的情形外，本合同一经签订，甲乙双方不得擅自变更、中止或者终止。</w:t>
      </w:r>
    </w:p>
    <w:p w14:paraId="4A18576F">
      <w:pPr>
        <w:spacing w:line="400" w:lineRule="exact"/>
        <w:ind w:firstLine="420" w:firstLineChars="200"/>
        <w:rPr>
          <w:rFonts w:hint="eastAsia" w:ascii="宋体" w:hAnsi="宋体" w:cs="宋体"/>
          <w:szCs w:val="21"/>
        </w:rPr>
      </w:pPr>
      <w:r>
        <w:rPr>
          <w:rFonts w:hint="eastAsia" w:ascii="宋体" w:hAnsi="宋体" w:cs="宋体"/>
          <w:szCs w:val="21"/>
        </w:rPr>
        <w:t>2.未经甲方书面同意，乙方不得擅自将其在本合同中的权利及义务全部或部分转让给第三人。一经发现，甲方有权立即解除本合同，并要求乙方退还已收取的款项，同时乙方应按照合同合计金额的30%向甲方支付违约金并承担因此给甲方造成的全部损失。</w:t>
      </w:r>
    </w:p>
    <w:p w14:paraId="2EC865C1">
      <w:pPr>
        <w:spacing w:line="400" w:lineRule="exact"/>
        <w:ind w:firstLine="422" w:firstLineChars="200"/>
        <w:rPr>
          <w:rFonts w:hint="eastAsia" w:ascii="宋体" w:hAnsi="宋体" w:cs="宋体"/>
          <w:b/>
          <w:bCs/>
          <w:szCs w:val="21"/>
        </w:rPr>
      </w:pPr>
      <w:r>
        <w:rPr>
          <w:rFonts w:hint="eastAsia" w:ascii="宋体" w:hAnsi="宋体" w:cs="宋体"/>
          <w:b/>
          <w:bCs/>
          <w:szCs w:val="21"/>
        </w:rPr>
        <w:t>第十六条　本合同与下列文件一起构成合同文件</w:t>
      </w:r>
    </w:p>
    <w:p w14:paraId="1F426909">
      <w:pPr>
        <w:spacing w:line="400" w:lineRule="exact"/>
        <w:ind w:firstLine="420" w:firstLineChars="200"/>
        <w:rPr>
          <w:rFonts w:hint="eastAsia" w:ascii="宋体" w:hAnsi="宋体" w:cs="宋体"/>
          <w:szCs w:val="21"/>
        </w:rPr>
      </w:pPr>
      <w:r>
        <w:rPr>
          <w:rFonts w:hint="eastAsia" w:ascii="宋体" w:hAnsi="宋体" w:cs="宋体"/>
          <w:szCs w:val="21"/>
        </w:rPr>
        <w:t>1.保密协议；</w:t>
      </w:r>
    </w:p>
    <w:p w14:paraId="1430B9BE">
      <w:pPr>
        <w:spacing w:line="400" w:lineRule="exact"/>
        <w:ind w:firstLine="420" w:firstLineChars="200"/>
        <w:rPr>
          <w:rFonts w:hint="eastAsia" w:ascii="宋体" w:hAnsi="宋体" w:cs="宋体"/>
          <w:szCs w:val="21"/>
        </w:rPr>
      </w:pPr>
      <w:r>
        <w:rPr>
          <w:rFonts w:hint="eastAsia" w:ascii="宋体" w:hAnsi="宋体" w:cs="宋体"/>
          <w:szCs w:val="21"/>
        </w:rPr>
        <w:t>2.中标通知书；</w:t>
      </w:r>
    </w:p>
    <w:p w14:paraId="7A2FFCBE">
      <w:pPr>
        <w:spacing w:line="400" w:lineRule="exact"/>
        <w:ind w:firstLine="420" w:firstLineChars="200"/>
        <w:rPr>
          <w:rFonts w:hint="eastAsia" w:ascii="宋体" w:hAnsi="宋体" w:cs="宋体"/>
          <w:szCs w:val="21"/>
        </w:rPr>
      </w:pPr>
      <w:r>
        <w:rPr>
          <w:rFonts w:hint="eastAsia" w:ascii="宋体" w:hAnsi="宋体" w:cs="宋体"/>
          <w:szCs w:val="21"/>
        </w:rPr>
        <w:t>3.竞标报价表；</w:t>
      </w:r>
    </w:p>
    <w:p w14:paraId="4007F4EA">
      <w:pPr>
        <w:spacing w:line="400" w:lineRule="exact"/>
        <w:ind w:firstLine="420" w:firstLineChars="200"/>
        <w:rPr>
          <w:rFonts w:hint="eastAsia" w:ascii="宋体" w:hAnsi="宋体" w:cs="宋体"/>
          <w:szCs w:val="21"/>
        </w:rPr>
      </w:pPr>
      <w:r>
        <w:rPr>
          <w:rFonts w:hint="eastAsia" w:ascii="宋体" w:hAnsi="宋体" w:cs="宋体"/>
          <w:szCs w:val="21"/>
        </w:rPr>
        <w:t>4.采购需求；</w:t>
      </w:r>
    </w:p>
    <w:p w14:paraId="7CACB010">
      <w:pPr>
        <w:spacing w:line="400" w:lineRule="exact"/>
        <w:ind w:firstLine="420" w:firstLineChars="200"/>
        <w:rPr>
          <w:rFonts w:hint="eastAsia" w:ascii="宋体" w:hAnsi="宋体" w:cs="宋体"/>
          <w:szCs w:val="21"/>
        </w:rPr>
      </w:pPr>
      <w:r>
        <w:rPr>
          <w:rFonts w:hint="eastAsia" w:ascii="宋体" w:hAnsi="宋体" w:cs="宋体"/>
          <w:szCs w:val="21"/>
        </w:rPr>
        <w:t>5.商务条款偏离表和服务需求偏离表；</w:t>
      </w:r>
    </w:p>
    <w:p w14:paraId="4DE97FF1">
      <w:pPr>
        <w:spacing w:line="400" w:lineRule="exact"/>
        <w:ind w:firstLine="420" w:firstLineChars="200"/>
        <w:rPr>
          <w:rFonts w:hint="eastAsia" w:ascii="宋体" w:hAnsi="宋体" w:cs="宋体"/>
          <w:szCs w:val="21"/>
        </w:rPr>
      </w:pPr>
      <w:r>
        <w:rPr>
          <w:rFonts w:hint="eastAsia" w:ascii="宋体" w:hAnsi="宋体" w:cs="宋体"/>
          <w:szCs w:val="21"/>
        </w:rPr>
        <w:t>6.投标文件中的其他相关文件。</w:t>
      </w:r>
    </w:p>
    <w:p w14:paraId="490632DB">
      <w:pPr>
        <w:spacing w:line="400" w:lineRule="exact"/>
        <w:rPr>
          <w:rFonts w:hint="eastAsia" w:ascii="宋体" w:hAnsi="宋体" w:cs="宋体"/>
          <w:szCs w:val="21"/>
        </w:rPr>
      </w:pPr>
      <w:r>
        <w:rPr>
          <w:rFonts w:hint="eastAsia" w:ascii="宋体" w:hAnsi="宋体" w:cs="宋体"/>
          <w:szCs w:val="21"/>
        </w:rPr>
        <w:t>上述合同文件互相补充和解释。如果合同文件之间存在矛盾或者不一致之处，以本合同、上述文件的排列顺序在先者为准。</w:t>
      </w:r>
    </w:p>
    <w:p w14:paraId="3FBD33AE">
      <w:pPr>
        <w:spacing w:line="400" w:lineRule="exact"/>
        <w:ind w:firstLine="422" w:firstLineChars="200"/>
        <w:rPr>
          <w:rFonts w:hint="eastAsia" w:ascii="宋体" w:hAnsi="宋体" w:cs="宋体"/>
          <w:b/>
          <w:bCs/>
          <w:szCs w:val="21"/>
        </w:rPr>
      </w:pPr>
      <w:r>
        <w:rPr>
          <w:rFonts w:hint="eastAsia" w:ascii="宋体" w:hAnsi="宋体" w:cs="宋体"/>
          <w:b/>
          <w:bCs/>
          <w:szCs w:val="21"/>
        </w:rPr>
        <w:t>第十七条　其他约定事项</w:t>
      </w:r>
    </w:p>
    <w:p w14:paraId="52748940">
      <w:pPr>
        <w:spacing w:line="400" w:lineRule="exact"/>
        <w:rPr>
          <w:rFonts w:hint="eastAsia" w:ascii="宋体" w:hAnsi="宋体" w:cs="宋体"/>
          <w:szCs w:val="21"/>
        </w:rPr>
      </w:pPr>
      <w:r>
        <w:rPr>
          <w:rFonts w:hint="eastAsia" w:ascii="宋体" w:hAnsi="宋体" w:cs="宋体"/>
          <w:szCs w:val="21"/>
        </w:rPr>
        <w:t>1.本合同所有附件及相关文件均为本合同的有效组成部分，与本合同具有同等法律效力。若合同附件与本合同存在不一致的，则以本合同为准。</w:t>
      </w:r>
    </w:p>
    <w:p w14:paraId="0CE7C8F6">
      <w:pPr>
        <w:spacing w:line="400" w:lineRule="exact"/>
        <w:rPr>
          <w:rFonts w:hint="eastAsia" w:ascii="宋体" w:hAnsi="宋体" w:cs="宋体"/>
          <w:szCs w:val="21"/>
        </w:rPr>
      </w:pPr>
      <w:r>
        <w:rPr>
          <w:rFonts w:hint="eastAsia" w:ascii="宋体" w:hAnsi="宋体" w:cs="宋体"/>
          <w:szCs w:val="21"/>
        </w:rPr>
        <w:t>2.在履行本合同过程中，所有经甲乙双方签署确认的文件（包括会议纪要、补充协议、往来信函、电子邮件等）即成为本合同的有效组成部分。</w:t>
      </w:r>
    </w:p>
    <w:p w14:paraId="2ADAB067">
      <w:pPr>
        <w:spacing w:line="400" w:lineRule="exact"/>
        <w:rPr>
          <w:rFonts w:hint="eastAsia" w:ascii="宋体" w:hAnsi="宋体" w:cs="宋体"/>
          <w:szCs w:val="21"/>
        </w:rPr>
      </w:pPr>
      <w:r>
        <w:rPr>
          <w:rFonts w:hint="eastAsia" w:ascii="宋体" w:hAnsi="宋体" w:cs="宋体"/>
          <w:szCs w:val="21"/>
        </w:rPr>
        <w:t>3.合同履行期间所有产生费用，包括评审费，劳务费等，由乙方负责，甲方不承担任何费用。</w:t>
      </w:r>
    </w:p>
    <w:p w14:paraId="6B6D50EF">
      <w:pPr>
        <w:spacing w:line="400" w:lineRule="exact"/>
        <w:rPr>
          <w:rFonts w:hint="eastAsia" w:ascii="宋体" w:hAnsi="宋体" w:cs="宋体"/>
          <w:szCs w:val="21"/>
        </w:rPr>
      </w:pPr>
      <w:r>
        <w:rPr>
          <w:rFonts w:hint="eastAsia" w:ascii="宋体" w:hAnsi="宋体" w:cs="宋体"/>
          <w:szCs w:val="21"/>
        </w:rPr>
        <w:t>4.本项目乙方提供的服务应符合国家相关标准、行业标准、地方标准或者其他标准。</w:t>
      </w:r>
    </w:p>
    <w:p w14:paraId="0528FC13">
      <w:pPr>
        <w:spacing w:line="400" w:lineRule="exact"/>
        <w:rPr>
          <w:rFonts w:hint="eastAsia" w:ascii="宋体" w:hAnsi="宋体" w:cs="宋体"/>
          <w:szCs w:val="21"/>
        </w:rPr>
      </w:pPr>
      <w:r>
        <w:rPr>
          <w:rFonts w:hint="eastAsia" w:ascii="宋体" w:hAnsi="宋体" w:cs="宋体"/>
          <w:szCs w:val="21"/>
        </w:rPr>
        <w:t>5.乙方必须承诺自行提供本项目的所有服务内容，不得分包或转包，禁止委托任何第三方负责本项目的建设、维护。</w:t>
      </w:r>
    </w:p>
    <w:p w14:paraId="349C9C3F">
      <w:pPr>
        <w:spacing w:line="400" w:lineRule="exact"/>
        <w:rPr>
          <w:rFonts w:hint="eastAsia" w:ascii="宋体" w:hAnsi="宋体" w:cs="宋体"/>
          <w:szCs w:val="21"/>
        </w:rPr>
      </w:pPr>
      <w:r>
        <w:rPr>
          <w:rFonts w:hint="eastAsia" w:ascii="宋体" w:hAnsi="宋体" w:cs="宋体"/>
          <w:szCs w:val="21"/>
        </w:rPr>
        <w:t>6.在项目最终验收前，甲方有权委托政府审计机构或中介机构对项目建设进行第三方审计，审计费用由乙方承担。</w:t>
      </w:r>
    </w:p>
    <w:p w14:paraId="5E187552">
      <w:pPr>
        <w:spacing w:line="400" w:lineRule="exact"/>
        <w:rPr>
          <w:rFonts w:hint="eastAsia" w:ascii="宋体" w:hAnsi="宋体" w:cs="宋体"/>
          <w:szCs w:val="21"/>
        </w:rPr>
      </w:pPr>
      <w:r>
        <w:rPr>
          <w:rFonts w:hint="eastAsia" w:ascii="宋体" w:hAnsi="宋体" w:cs="宋体"/>
          <w:szCs w:val="21"/>
        </w:rPr>
        <w:t>7.乙方派遣到甲方的服务人员应符合甲方的要求，具有丰富的信息系统建设、国产技术栈项目工作经验。为保证服务人员的稳定性，人员不允许频繁更换，但若人员不符合甲方要求，应及时更换。如项目人员队伍发生重大变更导致无法按要求开展项目任务或者发生重大责任事故的，甲方有权终止委托。</w:t>
      </w:r>
    </w:p>
    <w:p w14:paraId="678394BA">
      <w:pPr>
        <w:spacing w:line="400" w:lineRule="exact"/>
        <w:rPr>
          <w:rFonts w:hint="eastAsia" w:ascii="宋体" w:hAnsi="宋体" w:cs="宋体"/>
          <w:szCs w:val="21"/>
        </w:rPr>
      </w:pPr>
      <w:r>
        <w:rPr>
          <w:rFonts w:hint="eastAsia" w:ascii="宋体" w:hAnsi="宋体" w:cs="宋体"/>
          <w:szCs w:val="21"/>
        </w:rPr>
        <w:t>8.因本项目需求需根据实际建设情况进一步优化调整，最终按照项目实际开展要求进行调整确定，乙方必须按照甲方要求配合完成全部工作。</w:t>
      </w:r>
    </w:p>
    <w:p w14:paraId="3DAEA955">
      <w:pPr>
        <w:spacing w:line="400" w:lineRule="exact"/>
        <w:rPr>
          <w:rFonts w:hint="eastAsia" w:ascii="宋体" w:hAnsi="宋体" w:cs="宋体"/>
          <w:szCs w:val="21"/>
        </w:rPr>
      </w:pPr>
      <w:r>
        <w:rPr>
          <w:rFonts w:hint="eastAsia" w:ascii="宋体" w:hAnsi="宋体" w:cs="宋体"/>
          <w:szCs w:val="21"/>
        </w:rPr>
        <w:t>9.甲乙双方确认，以下为各方真实有效通讯地址：</w:t>
      </w:r>
    </w:p>
    <w:p w14:paraId="65D66AA7">
      <w:pPr>
        <w:spacing w:line="400" w:lineRule="exact"/>
        <w:rPr>
          <w:rFonts w:hint="eastAsia" w:ascii="宋体" w:hAnsi="宋体" w:cs="宋体"/>
          <w:szCs w:val="21"/>
        </w:rPr>
      </w:pPr>
      <w:r>
        <w:rPr>
          <w:rFonts w:hint="eastAsia" w:ascii="宋体" w:hAnsi="宋体" w:cs="宋体"/>
          <w:szCs w:val="21"/>
        </w:rPr>
        <w:t>甲方：</w:t>
      </w:r>
      <w:r>
        <w:rPr>
          <w:rFonts w:hint="eastAsia" w:ascii="宋体" w:hAnsi="宋体" w:cs="宋体"/>
          <w:szCs w:val="21"/>
          <w:u w:val="single"/>
        </w:rPr>
        <w:t>广西壮族自治区环境信息中心</w:t>
      </w:r>
      <w:r>
        <w:rPr>
          <w:rFonts w:hint="eastAsia" w:ascii="宋体" w:hAnsi="宋体" w:cs="宋体"/>
          <w:szCs w:val="21"/>
        </w:rPr>
        <w:t>，</w:t>
      </w:r>
    </w:p>
    <w:p w14:paraId="1F2F34E5">
      <w:pPr>
        <w:spacing w:line="400" w:lineRule="exact"/>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广西南宁市青秀区佛子岭路 16 号</w:t>
      </w:r>
      <w:r>
        <w:rPr>
          <w:rFonts w:hint="eastAsia" w:ascii="宋体" w:hAnsi="宋体" w:cs="宋体"/>
          <w:szCs w:val="21"/>
        </w:rPr>
        <w:t xml:space="preserve">， </w:t>
      </w:r>
    </w:p>
    <w:p w14:paraId="0CB70784">
      <w:pPr>
        <w:spacing w:line="400" w:lineRule="exact"/>
        <w:rPr>
          <w:rFonts w:hint="eastAsia" w:ascii="宋体" w:hAnsi="宋体" w:cs="宋体"/>
          <w:szCs w:val="21"/>
        </w:rPr>
      </w:pPr>
      <w:r>
        <w:rPr>
          <w:rFonts w:hint="eastAsia" w:ascii="宋体" w:hAnsi="宋体" w:cs="宋体"/>
          <w:szCs w:val="21"/>
        </w:rPr>
        <w:t>收件人：</w:t>
      </w:r>
      <w:r>
        <w:rPr>
          <w:rFonts w:hint="eastAsia" w:ascii="宋体" w:hAnsi="宋体" w:cs="宋体"/>
          <w:szCs w:val="21"/>
          <w:u w:val="single"/>
        </w:rPr>
        <w:t>何工</w:t>
      </w:r>
      <w:r>
        <w:rPr>
          <w:rFonts w:hint="eastAsia" w:ascii="宋体" w:hAnsi="宋体" w:cs="宋体"/>
          <w:szCs w:val="21"/>
        </w:rPr>
        <w:t>，</w:t>
      </w:r>
    </w:p>
    <w:p w14:paraId="71B5FD2A">
      <w:pPr>
        <w:spacing w:line="400" w:lineRule="exact"/>
        <w:rPr>
          <w:rFonts w:hint="eastAsia" w:ascii="宋体" w:hAnsi="宋体" w:cs="宋体"/>
          <w:szCs w:val="21"/>
        </w:rPr>
      </w:pPr>
      <w:r>
        <w:rPr>
          <w:rFonts w:hint="eastAsia" w:ascii="宋体" w:hAnsi="宋体" w:cs="宋体"/>
          <w:szCs w:val="21"/>
        </w:rPr>
        <w:t>联系电话：，</w:t>
      </w:r>
    </w:p>
    <w:p w14:paraId="0CD6D43A">
      <w:pPr>
        <w:spacing w:line="400" w:lineRule="exact"/>
        <w:rPr>
          <w:rFonts w:hint="eastAsia" w:ascii="宋体" w:hAnsi="宋体" w:cs="宋体"/>
          <w:szCs w:val="21"/>
        </w:rPr>
      </w:pPr>
      <w:r>
        <w:rPr>
          <w:rFonts w:hint="eastAsia" w:ascii="宋体" w:hAnsi="宋体" w:cs="宋体"/>
          <w:szCs w:val="21"/>
        </w:rPr>
        <w:t>电子邮箱：。</w:t>
      </w:r>
    </w:p>
    <w:p w14:paraId="415C57A8">
      <w:pPr>
        <w:spacing w:line="400" w:lineRule="exact"/>
        <w:rPr>
          <w:rFonts w:hint="eastAsia" w:ascii="宋体" w:hAnsi="宋体" w:cs="宋体"/>
          <w:szCs w:val="21"/>
        </w:rPr>
      </w:pPr>
      <w:r>
        <w:rPr>
          <w:rFonts w:hint="eastAsia" w:ascii="宋体" w:hAnsi="宋体" w:cs="宋体"/>
          <w:szCs w:val="21"/>
        </w:rPr>
        <w:t>乙方：，</w:t>
      </w:r>
    </w:p>
    <w:p w14:paraId="28098B0E">
      <w:pPr>
        <w:spacing w:line="400" w:lineRule="exact"/>
        <w:rPr>
          <w:rFonts w:hint="eastAsia" w:ascii="宋体" w:hAnsi="宋体" w:cs="宋体"/>
          <w:szCs w:val="21"/>
        </w:rPr>
      </w:pPr>
      <w:r>
        <w:rPr>
          <w:rFonts w:hint="eastAsia" w:ascii="宋体" w:hAnsi="宋体" w:cs="宋体"/>
          <w:szCs w:val="21"/>
        </w:rPr>
        <w:t>地址：，</w:t>
      </w:r>
    </w:p>
    <w:p w14:paraId="1C43072C">
      <w:pPr>
        <w:spacing w:line="400" w:lineRule="exact"/>
        <w:rPr>
          <w:rFonts w:hint="eastAsia" w:ascii="宋体" w:hAnsi="宋体" w:cs="宋体"/>
          <w:szCs w:val="21"/>
        </w:rPr>
      </w:pPr>
      <w:r>
        <w:rPr>
          <w:rFonts w:hint="eastAsia" w:ascii="宋体" w:hAnsi="宋体" w:cs="宋体"/>
          <w:szCs w:val="21"/>
        </w:rPr>
        <w:t>收件人：，</w:t>
      </w:r>
    </w:p>
    <w:p w14:paraId="2691F022">
      <w:pPr>
        <w:spacing w:line="400" w:lineRule="exact"/>
        <w:rPr>
          <w:rFonts w:hint="eastAsia" w:ascii="宋体" w:hAnsi="宋体" w:cs="宋体"/>
          <w:szCs w:val="21"/>
        </w:rPr>
      </w:pPr>
      <w:r>
        <w:rPr>
          <w:rFonts w:hint="eastAsia" w:ascii="宋体" w:hAnsi="宋体" w:cs="宋体"/>
          <w:szCs w:val="21"/>
        </w:rPr>
        <w:t>联系电话：，</w:t>
      </w:r>
    </w:p>
    <w:p w14:paraId="2FABCB52">
      <w:pPr>
        <w:spacing w:line="400" w:lineRule="exact"/>
        <w:rPr>
          <w:rFonts w:hint="eastAsia" w:ascii="宋体" w:hAnsi="宋体" w:cs="宋体"/>
          <w:szCs w:val="21"/>
        </w:rPr>
      </w:pPr>
      <w:r>
        <w:rPr>
          <w:rFonts w:hint="eastAsia" w:ascii="宋体" w:hAnsi="宋体" w:cs="宋体"/>
          <w:szCs w:val="21"/>
        </w:rPr>
        <w:t>电子邮箱：。</w:t>
      </w:r>
    </w:p>
    <w:p w14:paraId="2F90B86A">
      <w:pPr>
        <w:spacing w:line="400" w:lineRule="exact"/>
        <w:rPr>
          <w:rFonts w:hint="eastAsia" w:ascii="宋体" w:hAnsi="宋体" w:cs="宋体"/>
          <w:szCs w:val="21"/>
        </w:rPr>
      </w:pPr>
      <w:r>
        <w:rPr>
          <w:rFonts w:hint="eastAsia" w:ascii="宋体" w:hAnsi="宋体" w:cs="宋体"/>
          <w:szCs w:val="21"/>
        </w:rPr>
        <w:t>一方向对方发出的任何通知、信函和文件，以挂号信函或快递信函方式向对方地址邮寄有关通知、信函和文件的，自发出之日起第三日视为送达对方，挂号信函或快递信函的邮寄凭证即视为成功送达的有效凭证。一方地址变更的，应提前5个工作日书面通知对方，否则上述地址仍为真实有效通讯地址，由不及时通知的一方承担不利后果。</w:t>
      </w:r>
    </w:p>
    <w:p w14:paraId="18EBECAF">
      <w:pPr>
        <w:spacing w:line="400" w:lineRule="exact"/>
        <w:rPr>
          <w:rFonts w:hint="eastAsia" w:ascii="宋体" w:hAnsi="宋体" w:cs="宋体"/>
          <w:szCs w:val="21"/>
        </w:rPr>
      </w:pPr>
      <w:r>
        <w:rPr>
          <w:rFonts w:hint="eastAsia" w:ascii="宋体" w:hAnsi="宋体" w:cs="宋体"/>
          <w:szCs w:val="21"/>
        </w:rPr>
        <w:t>涉及法院诉讼（一审、二审、再审、执行），法院按本合同主文送达条款所约定地址、电话、联系人等送达法律文书，法院邮寄法律文书后第三日，视为各方收到法律文书（无论是否签收，是否由他人代收，是否拒收，是否因地址/电话错误而被退回）法院无须进行公告送达。本条款不因合同的变更、解除和终止而失效。</w:t>
      </w:r>
    </w:p>
    <w:p w14:paraId="2FE293B8">
      <w:pPr>
        <w:spacing w:line="400" w:lineRule="exact"/>
        <w:rPr>
          <w:rFonts w:hint="eastAsia" w:ascii="宋体" w:hAnsi="宋体" w:cs="宋体"/>
          <w:szCs w:val="21"/>
        </w:rPr>
      </w:pPr>
      <w:r>
        <w:rPr>
          <w:rFonts w:hint="eastAsia" w:ascii="宋体" w:hAnsi="宋体" w:cs="宋体"/>
          <w:szCs w:val="21"/>
        </w:rPr>
        <w:t>10.本合同一式</w:t>
      </w:r>
      <w:r>
        <w:rPr>
          <w:rFonts w:hint="eastAsia" w:ascii="宋体" w:hAnsi="宋体" w:cs="宋体"/>
          <w:szCs w:val="21"/>
          <w:u w:val="single"/>
        </w:rPr>
        <w:t>　陆　</w:t>
      </w:r>
      <w:r>
        <w:rPr>
          <w:rFonts w:hint="eastAsia" w:ascii="宋体" w:hAnsi="宋体" w:cs="宋体"/>
          <w:szCs w:val="21"/>
        </w:rPr>
        <w:t>份，自甲乙双方法定代表人或委托代理人在本合同上签字并加盖公章之日起正式生效。本合同，采购代理机构执</w:t>
      </w:r>
      <w:r>
        <w:rPr>
          <w:rFonts w:hint="eastAsia" w:ascii="宋体" w:hAnsi="宋体" w:cs="宋体"/>
          <w:szCs w:val="21"/>
          <w:u w:val="single"/>
        </w:rPr>
        <w:t>壹</w:t>
      </w:r>
      <w:r>
        <w:rPr>
          <w:rFonts w:hint="eastAsia" w:ascii="宋体" w:hAnsi="宋体" w:cs="宋体"/>
          <w:szCs w:val="21"/>
        </w:rPr>
        <w:t>份，甲方执</w:t>
      </w:r>
      <w:r>
        <w:rPr>
          <w:rFonts w:hint="eastAsia" w:ascii="宋体" w:hAnsi="宋体" w:cs="宋体"/>
          <w:szCs w:val="21"/>
          <w:u w:val="single"/>
        </w:rPr>
        <w:t>　叁　</w:t>
      </w:r>
      <w:r>
        <w:rPr>
          <w:rFonts w:hint="eastAsia" w:ascii="宋体" w:hAnsi="宋体" w:cs="宋体"/>
          <w:szCs w:val="21"/>
        </w:rPr>
        <w:t>份，乙方执</w:t>
      </w:r>
      <w:r>
        <w:rPr>
          <w:rFonts w:hint="eastAsia" w:ascii="宋体" w:hAnsi="宋体" w:cs="宋体"/>
          <w:szCs w:val="21"/>
          <w:u w:val="single"/>
        </w:rPr>
        <w:t>　贰　</w:t>
      </w:r>
      <w:r>
        <w:rPr>
          <w:rFonts w:hint="eastAsia" w:ascii="宋体" w:hAnsi="宋体" w:cs="宋体"/>
          <w:szCs w:val="21"/>
        </w:rPr>
        <w:t>份具有同等法律效力。</w:t>
      </w:r>
    </w:p>
    <w:p w14:paraId="062D7CA7">
      <w:pPr>
        <w:spacing w:line="400" w:lineRule="exact"/>
        <w:ind w:firstLine="422" w:firstLineChars="200"/>
        <w:rPr>
          <w:rFonts w:hint="eastAsia" w:ascii="宋体" w:hAnsi="宋体" w:cs="宋体"/>
          <w:b/>
          <w:bCs/>
          <w:szCs w:val="21"/>
        </w:rPr>
      </w:pPr>
      <w:r>
        <w:rPr>
          <w:rFonts w:hint="eastAsia" w:ascii="宋体" w:hAnsi="宋体" w:cs="宋体"/>
          <w:b/>
          <w:bCs/>
          <w:szCs w:val="21"/>
        </w:rPr>
        <w:t>第十八条　合同附件</w:t>
      </w:r>
    </w:p>
    <w:p w14:paraId="516767A6">
      <w:pPr>
        <w:spacing w:line="400" w:lineRule="exact"/>
        <w:rPr>
          <w:rFonts w:hint="eastAsia" w:ascii="宋体" w:hAnsi="宋体" w:cs="宋体"/>
          <w:szCs w:val="21"/>
        </w:rPr>
      </w:pPr>
      <w:r>
        <w:rPr>
          <w:rFonts w:hint="eastAsia" w:ascii="宋体" w:hAnsi="宋体" w:cs="宋体"/>
          <w:szCs w:val="21"/>
        </w:rPr>
        <w:t>附件一：保密协议</w:t>
      </w:r>
    </w:p>
    <w:p w14:paraId="5D320CC6">
      <w:pPr>
        <w:spacing w:line="400" w:lineRule="exact"/>
        <w:rPr>
          <w:rFonts w:hint="eastAsia" w:ascii="宋体" w:hAnsi="宋体" w:cs="宋体"/>
          <w:szCs w:val="21"/>
        </w:rPr>
      </w:pPr>
      <w:r>
        <w:rPr>
          <w:rFonts w:hint="eastAsia" w:ascii="宋体" w:hAnsi="宋体" w:cs="宋体"/>
          <w:szCs w:val="21"/>
        </w:rPr>
        <w:t>附件二：采购需求</w:t>
      </w:r>
    </w:p>
    <w:p w14:paraId="3BD94DB7">
      <w:pPr>
        <w:spacing w:line="400" w:lineRule="exact"/>
        <w:rPr>
          <w:rFonts w:hint="eastAsia" w:ascii="宋体" w:hAnsi="宋体" w:cs="宋体"/>
          <w:szCs w:val="21"/>
        </w:rPr>
      </w:pPr>
      <w:r>
        <w:rPr>
          <w:rFonts w:hint="eastAsia" w:ascii="宋体" w:hAnsi="宋体" w:cs="宋体"/>
          <w:szCs w:val="21"/>
        </w:rPr>
        <w:t>附件三：竞标报价表</w:t>
      </w:r>
    </w:p>
    <w:p w14:paraId="46809681">
      <w:pPr>
        <w:spacing w:line="400" w:lineRule="exact"/>
        <w:rPr>
          <w:rFonts w:hint="eastAsia" w:ascii="宋体" w:hAnsi="宋体" w:cs="宋体"/>
          <w:szCs w:val="21"/>
        </w:rPr>
      </w:pPr>
      <w:r>
        <w:rPr>
          <w:rFonts w:hint="eastAsia" w:ascii="宋体" w:hAnsi="宋体" w:cs="宋体"/>
          <w:szCs w:val="21"/>
        </w:rPr>
        <w:t>附件四：开标一览表</w:t>
      </w:r>
    </w:p>
    <w:p w14:paraId="13C6D4DC">
      <w:pPr>
        <w:spacing w:line="400" w:lineRule="exact"/>
        <w:rPr>
          <w:rFonts w:hint="eastAsia" w:ascii="宋体" w:hAnsi="宋体" w:cs="宋体"/>
          <w:szCs w:val="21"/>
        </w:rPr>
      </w:pPr>
      <w:r>
        <w:rPr>
          <w:rFonts w:hint="eastAsia" w:ascii="宋体" w:hAnsi="宋体" w:cs="宋体"/>
          <w:szCs w:val="21"/>
        </w:rPr>
        <w:t>附件五：服务要求偏离表</w:t>
      </w:r>
    </w:p>
    <w:p w14:paraId="2F2592FC">
      <w:pPr>
        <w:spacing w:line="400" w:lineRule="exact"/>
        <w:rPr>
          <w:rFonts w:hint="eastAsia" w:ascii="宋体" w:hAnsi="宋体" w:cs="宋体"/>
          <w:szCs w:val="21"/>
        </w:rPr>
      </w:pPr>
      <w:r>
        <w:rPr>
          <w:rFonts w:hint="eastAsia" w:ascii="宋体" w:hAnsi="宋体" w:cs="宋体"/>
          <w:szCs w:val="21"/>
        </w:rPr>
        <w:t>附件六：中标通知书</w:t>
      </w:r>
    </w:p>
    <w:p w14:paraId="1A80CCDC">
      <w:pPr>
        <w:spacing w:line="400" w:lineRule="exact"/>
        <w:rPr>
          <w:rFonts w:hint="eastAsia" w:ascii="宋体" w:hAnsi="宋体" w:cs="宋体"/>
          <w:szCs w:val="21"/>
        </w:rPr>
      </w:pPr>
      <w:r>
        <w:rPr>
          <w:rFonts w:hint="eastAsia" w:ascii="宋体" w:hAnsi="宋体" w:cs="宋体"/>
          <w:szCs w:val="21"/>
        </w:rPr>
        <w:t xml:space="preserve">附件七：中小企业声明函（如有）  </w:t>
      </w:r>
    </w:p>
    <w:tbl>
      <w:tblPr>
        <w:tblStyle w:val="18"/>
        <w:tblW w:w="8270" w:type="dxa"/>
        <w:tblInd w:w="122" w:type="dxa"/>
        <w:tblLayout w:type="fixed"/>
        <w:tblCellMar>
          <w:top w:w="0" w:type="dxa"/>
          <w:left w:w="108" w:type="dxa"/>
          <w:bottom w:w="0" w:type="dxa"/>
          <w:right w:w="108" w:type="dxa"/>
        </w:tblCellMar>
      </w:tblPr>
      <w:tblGrid>
        <w:gridCol w:w="4165"/>
        <w:gridCol w:w="4105"/>
      </w:tblGrid>
      <w:tr w14:paraId="3D27FCEC">
        <w:tblPrEx>
          <w:tblCellMar>
            <w:top w:w="0" w:type="dxa"/>
            <w:left w:w="108" w:type="dxa"/>
            <w:bottom w:w="0" w:type="dxa"/>
            <w:right w:w="108" w:type="dxa"/>
          </w:tblCellMar>
        </w:tblPrEx>
        <w:trPr>
          <w:trHeight w:val="981" w:hRule="atLeast"/>
        </w:trPr>
        <w:tc>
          <w:tcPr>
            <w:tcW w:w="4165" w:type="dxa"/>
          </w:tcPr>
          <w:p w14:paraId="218BF06E">
            <w:pPr>
              <w:spacing w:line="600" w:lineRule="exact"/>
              <w:rPr>
                <w:rFonts w:hint="eastAsia" w:ascii="宋体" w:hAnsi="宋体" w:cs="宋体"/>
                <w:szCs w:val="21"/>
              </w:rPr>
            </w:pPr>
            <w:r>
              <w:rPr>
                <w:rFonts w:hint="eastAsia" w:ascii="宋体" w:hAnsi="宋体" w:cs="宋体"/>
                <w:szCs w:val="21"/>
              </w:rPr>
              <w:t>甲方：</w:t>
            </w:r>
          </w:p>
        </w:tc>
        <w:tc>
          <w:tcPr>
            <w:tcW w:w="4105" w:type="dxa"/>
          </w:tcPr>
          <w:p w14:paraId="3286A632">
            <w:pPr>
              <w:spacing w:line="600" w:lineRule="exact"/>
              <w:rPr>
                <w:rFonts w:hint="eastAsia" w:ascii="宋体" w:hAnsi="宋体" w:cs="宋体"/>
                <w:szCs w:val="21"/>
              </w:rPr>
            </w:pPr>
            <w:r>
              <w:rPr>
                <w:rFonts w:hint="eastAsia" w:ascii="宋体" w:hAnsi="宋体" w:cs="宋体"/>
                <w:szCs w:val="21"/>
              </w:rPr>
              <w:t xml:space="preserve">乙方： </w:t>
            </w:r>
          </w:p>
        </w:tc>
      </w:tr>
      <w:tr w14:paraId="5645BB41">
        <w:tblPrEx>
          <w:tblCellMar>
            <w:top w:w="0" w:type="dxa"/>
            <w:left w:w="108" w:type="dxa"/>
            <w:bottom w:w="0" w:type="dxa"/>
            <w:right w:w="108" w:type="dxa"/>
          </w:tblCellMar>
        </w:tblPrEx>
        <w:trPr>
          <w:trHeight w:val="1050" w:hRule="atLeast"/>
        </w:trPr>
        <w:tc>
          <w:tcPr>
            <w:tcW w:w="4165" w:type="dxa"/>
          </w:tcPr>
          <w:p w14:paraId="62A0F33B">
            <w:pPr>
              <w:spacing w:line="600" w:lineRule="exact"/>
              <w:rPr>
                <w:rFonts w:hint="eastAsia" w:ascii="宋体" w:hAnsi="宋体" w:cs="宋体"/>
                <w:szCs w:val="21"/>
              </w:rPr>
            </w:pPr>
            <w:r>
              <w:rPr>
                <w:rFonts w:hint="eastAsia" w:ascii="宋体" w:hAnsi="宋体" w:cs="宋体"/>
                <w:szCs w:val="21"/>
              </w:rPr>
              <w:t>法定代表人（负责人）或授权代表：</w:t>
            </w:r>
          </w:p>
          <w:p w14:paraId="53720393">
            <w:pPr>
              <w:spacing w:line="600" w:lineRule="exact"/>
              <w:rPr>
                <w:rFonts w:hint="eastAsia" w:ascii="宋体" w:hAnsi="宋体" w:cs="宋体"/>
                <w:szCs w:val="21"/>
              </w:rPr>
            </w:pPr>
          </w:p>
          <w:p w14:paraId="4E2B6856">
            <w:pPr>
              <w:spacing w:line="600" w:lineRule="exact"/>
              <w:rPr>
                <w:rFonts w:hint="eastAsia" w:ascii="宋体" w:hAnsi="宋体" w:cs="宋体"/>
                <w:szCs w:val="21"/>
              </w:rPr>
            </w:pPr>
          </w:p>
        </w:tc>
        <w:tc>
          <w:tcPr>
            <w:tcW w:w="4105" w:type="dxa"/>
          </w:tcPr>
          <w:p w14:paraId="53DA6DA4">
            <w:pPr>
              <w:spacing w:line="600" w:lineRule="exact"/>
              <w:rPr>
                <w:rFonts w:hint="eastAsia" w:ascii="宋体" w:hAnsi="宋体" w:cs="宋体"/>
                <w:szCs w:val="21"/>
              </w:rPr>
            </w:pPr>
            <w:r>
              <w:rPr>
                <w:rFonts w:hint="eastAsia" w:ascii="宋体" w:hAnsi="宋体" w:cs="宋体"/>
                <w:szCs w:val="21"/>
              </w:rPr>
              <w:t>法定代表人（负责人）或授权代表：</w:t>
            </w:r>
          </w:p>
          <w:p w14:paraId="601125A2">
            <w:pPr>
              <w:spacing w:line="600" w:lineRule="exact"/>
              <w:rPr>
                <w:rFonts w:hint="eastAsia" w:ascii="宋体" w:hAnsi="宋体" w:cs="宋体"/>
                <w:szCs w:val="21"/>
              </w:rPr>
            </w:pPr>
          </w:p>
          <w:p w14:paraId="6491542C">
            <w:pPr>
              <w:spacing w:line="600" w:lineRule="exact"/>
              <w:rPr>
                <w:rFonts w:hint="eastAsia" w:ascii="宋体" w:hAnsi="宋体" w:cs="宋体"/>
                <w:szCs w:val="21"/>
              </w:rPr>
            </w:pPr>
          </w:p>
        </w:tc>
      </w:tr>
      <w:tr w14:paraId="6EE2B74A">
        <w:tblPrEx>
          <w:tblCellMar>
            <w:top w:w="0" w:type="dxa"/>
            <w:left w:w="108" w:type="dxa"/>
            <w:bottom w:w="0" w:type="dxa"/>
            <w:right w:w="108" w:type="dxa"/>
          </w:tblCellMar>
        </w:tblPrEx>
        <w:trPr>
          <w:trHeight w:val="921" w:hRule="atLeast"/>
        </w:trPr>
        <w:tc>
          <w:tcPr>
            <w:tcW w:w="4165" w:type="dxa"/>
          </w:tcPr>
          <w:p w14:paraId="68F52A49">
            <w:pPr>
              <w:spacing w:line="600" w:lineRule="exact"/>
              <w:jc w:val="right"/>
              <w:rPr>
                <w:rFonts w:hint="eastAsia" w:ascii="宋体" w:hAnsi="宋体" w:cs="宋体"/>
                <w:szCs w:val="21"/>
              </w:rPr>
            </w:pPr>
            <w:r>
              <w:rPr>
                <w:rFonts w:hint="eastAsia" w:ascii="宋体" w:hAnsi="宋体" w:cs="宋体"/>
                <w:szCs w:val="21"/>
              </w:rPr>
              <w:t>年   月   日</w:t>
            </w:r>
          </w:p>
        </w:tc>
        <w:tc>
          <w:tcPr>
            <w:tcW w:w="4105" w:type="dxa"/>
          </w:tcPr>
          <w:p w14:paraId="19324C11">
            <w:pPr>
              <w:spacing w:line="600" w:lineRule="exact"/>
              <w:jc w:val="right"/>
              <w:rPr>
                <w:rFonts w:hint="eastAsia" w:ascii="宋体" w:hAnsi="宋体" w:cs="宋体"/>
                <w:szCs w:val="21"/>
              </w:rPr>
            </w:pPr>
            <w:r>
              <w:rPr>
                <w:rFonts w:hint="eastAsia" w:ascii="宋体" w:hAnsi="宋体" w:cs="宋体"/>
                <w:szCs w:val="21"/>
              </w:rPr>
              <w:t>年   月   日</w:t>
            </w:r>
          </w:p>
        </w:tc>
      </w:tr>
    </w:tbl>
    <w:p w14:paraId="0B50E2D9">
      <w:pPr>
        <w:widowControl/>
        <w:tabs>
          <w:tab w:val="left" w:pos="709"/>
        </w:tabs>
        <w:adjustRightInd w:val="0"/>
        <w:snapToGrid w:val="0"/>
        <w:spacing w:after="240" w:line="600" w:lineRule="exact"/>
        <w:jc w:val="left"/>
        <w:outlineLvl w:val="1"/>
        <w:rPr>
          <w:rFonts w:hint="eastAsia" w:ascii="宋体" w:hAnsi="宋体" w:cs="宋体"/>
          <w:b/>
          <w:bCs/>
          <w:szCs w:val="21"/>
        </w:rPr>
      </w:pPr>
      <w:r>
        <w:rPr>
          <w:rFonts w:hint="eastAsia" w:ascii="宋体" w:hAnsi="宋体" w:cs="宋体"/>
          <w:b/>
          <w:bCs/>
          <w:szCs w:val="21"/>
        </w:rPr>
        <w:t>分标E合同格式</w:t>
      </w:r>
    </w:p>
    <w:p w14:paraId="3CF8D4FE">
      <w:pPr>
        <w:widowControl/>
        <w:tabs>
          <w:tab w:val="left" w:pos="709"/>
        </w:tabs>
        <w:adjustRightInd w:val="0"/>
        <w:snapToGrid w:val="0"/>
        <w:spacing w:after="240" w:line="600" w:lineRule="exact"/>
        <w:jc w:val="left"/>
        <w:rPr>
          <w:rFonts w:hint="eastAsia" w:ascii="宋体" w:hAnsi="宋体" w:cs="宋体"/>
          <w:b/>
          <w:bCs/>
          <w:szCs w:val="21"/>
        </w:rPr>
      </w:pPr>
    </w:p>
    <w:p w14:paraId="3BA52D35">
      <w:pPr>
        <w:widowControl/>
        <w:tabs>
          <w:tab w:val="left" w:pos="709"/>
        </w:tabs>
        <w:adjustRightInd w:val="0"/>
        <w:snapToGrid w:val="0"/>
        <w:spacing w:after="240" w:line="600" w:lineRule="exact"/>
        <w:ind w:firstLine="643" w:firstLineChars="200"/>
        <w:jc w:val="center"/>
        <w:rPr>
          <w:rFonts w:hint="eastAsia" w:ascii="宋体" w:hAnsi="宋体" w:cs="宋体"/>
          <w:b/>
          <w:bCs/>
          <w:sz w:val="32"/>
          <w:szCs w:val="32"/>
        </w:rPr>
      </w:pPr>
      <w:r>
        <w:rPr>
          <w:rFonts w:hint="eastAsia" w:ascii="宋体" w:hAnsi="宋体" w:cs="宋体"/>
          <w:b/>
          <w:bCs/>
          <w:sz w:val="32"/>
          <w:szCs w:val="32"/>
        </w:rPr>
        <w:t>广西壮族自治区政府采购项目合同</w:t>
      </w:r>
    </w:p>
    <w:p w14:paraId="465A5732">
      <w:pPr>
        <w:widowControl/>
        <w:tabs>
          <w:tab w:val="left" w:pos="709"/>
        </w:tabs>
        <w:adjustRightInd w:val="0"/>
        <w:snapToGrid w:val="0"/>
        <w:spacing w:after="240" w:line="600" w:lineRule="exact"/>
        <w:ind w:firstLine="422" w:firstLineChars="200"/>
        <w:jc w:val="left"/>
        <w:rPr>
          <w:rFonts w:hint="eastAsia" w:ascii="宋体" w:hAnsi="宋体" w:cs="宋体"/>
          <w:b/>
          <w:bCs/>
          <w:szCs w:val="21"/>
        </w:rPr>
      </w:pPr>
    </w:p>
    <w:p w14:paraId="10CE8C1E">
      <w:pPr>
        <w:widowControl/>
        <w:tabs>
          <w:tab w:val="left" w:pos="709"/>
        </w:tabs>
        <w:adjustRightInd w:val="0"/>
        <w:snapToGrid w:val="0"/>
        <w:spacing w:after="240" w:line="600" w:lineRule="exact"/>
        <w:ind w:firstLine="422" w:firstLineChars="200"/>
        <w:jc w:val="left"/>
        <w:rPr>
          <w:rFonts w:hint="eastAsia" w:ascii="宋体" w:hAnsi="宋体" w:cs="宋体"/>
          <w:b/>
          <w:bCs/>
          <w:szCs w:val="21"/>
        </w:rPr>
      </w:pPr>
    </w:p>
    <w:p w14:paraId="1D3BD6B4">
      <w:pPr>
        <w:widowControl/>
        <w:tabs>
          <w:tab w:val="left" w:pos="709"/>
        </w:tabs>
        <w:adjustRightInd w:val="0"/>
        <w:snapToGrid w:val="0"/>
        <w:spacing w:after="240" w:line="600" w:lineRule="exact"/>
        <w:ind w:firstLine="422" w:firstLineChars="200"/>
        <w:jc w:val="left"/>
        <w:rPr>
          <w:rFonts w:hint="eastAsia" w:ascii="宋体" w:hAnsi="宋体" w:cs="宋体"/>
          <w:b/>
          <w:bCs/>
          <w:szCs w:val="21"/>
        </w:rPr>
      </w:pPr>
    </w:p>
    <w:p w14:paraId="4D83AA2B">
      <w:pPr>
        <w:pStyle w:val="2"/>
      </w:pPr>
    </w:p>
    <w:p w14:paraId="7458A7D7">
      <w:pPr>
        <w:widowControl/>
        <w:tabs>
          <w:tab w:val="left" w:pos="709"/>
        </w:tabs>
        <w:adjustRightInd w:val="0"/>
        <w:snapToGrid w:val="0"/>
        <w:spacing w:after="240" w:line="600" w:lineRule="exact"/>
        <w:ind w:firstLine="1506" w:firstLineChars="500"/>
        <w:jc w:val="left"/>
        <w:rPr>
          <w:rFonts w:hint="eastAsia" w:ascii="宋体" w:hAnsi="宋体" w:cs="宋体"/>
          <w:b/>
          <w:bCs/>
          <w:sz w:val="30"/>
          <w:szCs w:val="30"/>
          <w:u w:val="single"/>
        </w:rPr>
      </w:pPr>
      <w:r>
        <w:rPr>
          <w:rFonts w:hint="eastAsia" w:ascii="宋体" w:hAnsi="宋体" w:cs="宋体"/>
          <w:b/>
          <w:bCs/>
          <w:sz w:val="30"/>
          <w:szCs w:val="30"/>
        </w:rPr>
        <w:t>项目名称：</w:t>
      </w:r>
    </w:p>
    <w:p w14:paraId="3A914AE4">
      <w:pPr>
        <w:widowControl/>
        <w:tabs>
          <w:tab w:val="left" w:pos="709"/>
        </w:tabs>
        <w:adjustRightInd w:val="0"/>
        <w:snapToGrid w:val="0"/>
        <w:spacing w:after="240" w:line="600" w:lineRule="exact"/>
        <w:ind w:firstLine="1506" w:firstLineChars="500"/>
        <w:jc w:val="left"/>
        <w:rPr>
          <w:rFonts w:hint="eastAsia" w:ascii="宋体" w:hAnsi="宋体" w:cs="宋体"/>
          <w:b/>
          <w:bCs/>
          <w:sz w:val="30"/>
          <w:szCs w:val="30"/>
        </w:rPr>
      </w:pPr>
      <w:r>
        <w:rPr>
          <w:rFonts w:hint="eastAsia" w:ascii="宋体" w:hAnsi="宋体" w:cs="宋体"/>
          <w:b/>
          <w:bCs/>
          <w:sz w:val="30"/>
          <w:szCs w:val="30"/>
        </w:rPr>
        <w:t>计划编号：</w:t>
      </w:r>
    </w:p>
    <w:p w14:paraId="2363730A">
      <w:pPr>
        <w:widowControl/>
        <w:tabs>
          <w:tab w:val="left" w:pos="709"/>
        </w:tabs>
        <w:adjustRightInd w:val="0"/>
        <w:snapToGrid w:val="0"/>
        <w:spacing w:after="240" w:line="600" w:lineRule="exact"/>
        <w:ind w:firstLine="1506" w:firstLineChars="500"/>
        <w:jc w:val="left"/>
        <w:rPr>
          <w:rFonts w:hint="eastAsia" w:ascii="宋体" w:hAnsi="宋体" w:cs="宋体"/>
          <w:b/>
          <w:bCs/>
          <w:sz w:val="30"/>
          <w:szCs w:val="30"/>
          <w:u w:val="single"/>
        </w:rPr>
      </w:pPr>
      <w:r>
        <w:rPr>
          <w:rFonts w:hint="eastAsia" w:ascii="宋体" w:hAnsi="宋体" w:cs="宋体"/>
          <w:b/>
          <w:bCs/>
          <w:sz w:val="30"/>
          <w:szCs w:val="30"/>
        </w:rPr>
        <w:t>采购人：</w:t>
      </w:r>
    </w:p>
    <w:p w14:paraId="2ECFC07F">
      <w:pPr>
        <w:widowControl/>
        <w:tabs>
          <w:tab w:val="left" w:pos="709"/>
        </w:tabs>
        <w:adjustRightInd w:val="0"/>
        <w:snapToGrid w:val="0"/>
        <w:spacing w:after="240" w:line="600" w:lineRule="exact"/>
        <w:ind w:firstLine="1506" w:firstLineChars="500"/>
        <w:jc w:val="left"/>
        <w:rPr>
          <w:rFonts w:hint="eastAsia" w:ascii="宋体" w:hAnsi="宋体" w:cs="宋体"/>
          <w:b/>
          <w:bCs/>
          <w:sz w:val="30"/>
          <w:szCs w:val="30"/>
        </w:rPr>
      </w:pPr>
      <w:r>
        <w:rPr>
          <w:rFonts w:hint="eastAsia" w:ascii="宋体" w:hAnsi="宋体" w:cs="宋体"/>
          <w:b/>
          <w:bCs/>
          <w:sz w:val="30"/>
          <w:szCs w:val="30"/>
        </w:rPr>
        <w:t>中标供应商：</w:t>
      </w:r>
    </w:p>
    <w:p w14:paraId="4CC985DF">
      <w:pPr>
        <w:widowControl/>
        <w:tabs>
          <w:tab w:val="left" w:pos="709"/>
        </w:tabs>
        <w:adjustRightInd w:val="0"/>
        <w:snapToGrid w:val="0"/>
        <w:spacing w:after="240" w:line="600" w:lineRule="exact"/>
        <w:ind w:firstLine="602" w:firstLineChars="200"/>
        <w:jc w:val="left"/>
        <w:rPr>
          <w:rFonts w:hint="eastAsia" w:ascii="宋体" w:hAnsi="宋体" w:cs="宋体"/>
          <w:b/>
          <w:bCs/>
          <w:sz w:val="30"/>
          <w:szCs w:val="30"/>
        </w:rPr>
      </w:pPr>
    </w:p>
    <w:p w14:paraId="3542AEFC">
      <w:pPr>
        <w:widowControl/>
        <w:tabs>
          <w:tab w:val="left" w:pos="709"/>
        </w:tabs>
        <w:adjustRightInd w:val="0"/>
        <w:snapToGrid w:val="0"/>
        <w:spacing w:after="240" w:line="600" w:lineRule="exact"/>
        <w:ind w:firstLine="602" w:firstLineChars="200"/>
        <w:jc w:val="left"/>
        <w:rPr>
          <w:rFonts w:hint="eastAsia" w:ascii="宋体" w:hAnsi="宋体" w:cs="宋体"/>
          <w:b/>
          <w:bCs/>
          <w:sz w:val="30"/>
          <w:szCs w:val="30"/>
        </w:rPr>
      </w:pPr>
    </w:p>
    <w:p w14:paraId="551743B5">
      <w:pPr>
        <w:pStyle w:val="2"/>
      </w:pPr>
    </w:p>
    <w:p w14:paraId="32A8F469">
      <w:pPr>
        <w:widowControl/>
        <w:tabs>
          <w:tab w:val="left" w:pos="709"/>
        </w:tabs>
        <w:adjustRightInd w:val="0"/>
        <w:snapToGrid w:val="0"/>
        <w:spacing w:after="240" w:line="600" w:lineRule="exact"/>
        <w:ind w:firstLine="1506" w:firstLineChars="500"/>
        <w:jc w:val="left"/>
        <w:rPr>
          <w:rFonts w:hint="eastAsia" w:ascii="宋体" w:hAnsi="宋体" w:cs="宋体"/>
          <w:b/>
          <w:bCs/>
          <w:sz w:val="30"/>
          <w:szCs w:val="30"/>
        </w:rPr>
      </w:pPr>
      <w:r>
        <w:rPr>
          <w:rFonts w:hint="eastAsia" w:ascii="宋体" w:hAnsi="宋体" w:cs="宋体"/>
          <w:b/>
          <w:bCs/>
          <w:sz w:val="30"/>
          <w:szCs w:val="30"/>
        </w:rPr>
        <w:t>签订日期： 2026年     月     日</w:t>
      </w:r>
    </w:p>
    <w:p w14:paraId="722F97A2">
      <w:pPr>
        <w:widowControl/>
        <w:tabs>
          <w:tab w:val="left" w:pos="709"/>
        </w:tabs>
        <w:adjustRightInd w:val="0"/>
        <w:snapToGrid w:val="0"/>
        <w:spacing w:after="240" w:line="600" w:lineRule="exact"/>
        <w:ind w:firstLine="1506" w:firstLineChars="500"/>
        <w:jc w:val="left"/>
        <w:rPr>
          <w:rFonts w:hint="eastAsia" w:ascii="宋体" w:hAnsi="宋体" w:cs="宋体"/>
          <w:b/>
          <w:bCs/>
          <w:szCs w:val="21"/>
        </w:rPr>
        <w:sectPr>
          <w:pgSz w:w="11906" w:h="16838"/>
          <w:pgMar w:top="1440" w:right="1800" w:bottom="1440" w:left="1800" w:header="851" w:footer="992" w:gutter="0"/>
          <w:cols w:space="720" w:num="1"/>
          <w:docGrid w:type="lines" w:linePitch="312" w:charSpace="0"/>
        </w:sectPr>
      </w:pPr>
      <w:r>
        <w:rPr>
          <w:rFonts w:hint="eastAsia" w:ascii="宋体" w:hAnsi="宋体" w:cs="宋体"/>
          <w:b/>
          <w:bCs/>
          <w:sz w:val="30"/>
          <w:szCs w:val="30"/>
        </w:rPr>
        <w:t xml:space="preserve">合同编号：  </w:t>
      </w:r>
    </w:p>
    <w:p w14:paraId="00D1A12A">
      <w:pPr>
        <w:widowControl/>
        <w:tabs>
          <w:tab w:val="left" w:pos="709"/>
        </w:tabs>
        <w:adjustRightInd w:val="0"/>
        <w:snapToGrid w:val="0"/>
        <w:spacing w:after="240" w:line="600" w:lineRule="exact"/>
        <w:jc w:val="center"/>
        <w:rPr>
          <w:rFonts w:hint="eastAsia" w:ascii="宋体" w:hAnsi="宋体" w:cs="宋体"/>
          <w:szCs w:val="21"/>
        </w:rPr>
      </w:pPr>
      <w:r>
        <w:rPr>
          <w:rFonts w:hint="eastAsia" w:ascii="宋体" w:hAnsi="宋体" w:cs="宋体"/>
          <w:sz w:val="28"/>
          <w:szCs w:val="28"/>
        </w:rPr>
        <w:t>政府采购技术服务合同</w:t>
      </w:r>
    </w:p>
    <w:p w14:paraId="71AFB557">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采购计划号：</w:t>
      </w:r>
    </w:p>
    <w:p w14:paraId="128B33D6">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项目名称：</w:t>
      </w:r>
    </w:p>
    <w:p w14:paraId="0340EDD5">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项目编号：</w:t>
      </w:r>
    </w:p>
    <w:p w14:paraId="3B975781">
      <w:pPr>
        <w:widowControl/>
        <w:tabs>
          <w:tab w:val="left" w:pos="709"/>
        </w:tabs>
        <w:adjustRightInd w:val="0"/>
        <w:snapToGrid w:val="0"/>
        <w:spacing w:after="240" w:line="480" w:lineRule="exact"/>
        <w:ind w:firstLine="420" w:firstLineChars="200"/>
        <w:jc w:val="left"/>
        <w:rPr>
          <w:rFonts w:hint="eastAsia" w:ascii="宋体" w:hAnsi="宋体" w:cs="宋体"/>
          <w:szCs w:val="21"/>
          <w:u w:val="single"/>
        </w:rPr>
      </w:pPr>
      <w:r>
        <w:rPr>
          <w:rFonts w:hint="eastAsia" w:ascii="宋体" w:hAnsi="宋体" w:cs="宋体"/>
          <w:szCs w:val="21"/>
        </w:rPr>
        <w:t>签订地点：</w:t>
      </w:r>
    </w:p>
    <w:p w14:paraId="10DD2C86">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签订时间：</w:t>
      </w:r>
      <w:r>
        <w:rPr>
          <w:rFonts w:hint="eastAsia" w:ascii="宋体" w:hAnsi="宋体" w:cs="宋体"/>
          <w:szCs w:val="21"/>
          <w:u w:val="single"/>
        </w:rPr>
        <w:t xml:space="preserve">      年    月    日    </w:t>
      </w:r>
    </w:p>
    <w:p w14:paraId="333471DA">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甲方（采购人）：</w:t>
      </w:r>
      <w:r>
        <w:rPr>
          <w:rFonts w:hint="eastAsia" w:ascii="宋体" w:hAnsi="宋体" w:cs="宋体"/>
          <w:szCs w:val="21"/>
          <w:u w:val="single"/>
        </w:rPr>
        <w:t xml:space="preserve"> 广西壮族自治区环境信息中心</w:t>
      </w:r>
    </w:p>
    <w:p w14:paraId="572D7481">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住所地：</w:t>
      </w:r>
      <w:r>
        <w:rPr>
          <w:rFonts w:hint="eastAsia" w:ascii="宋体" w:hAnsi="宋体" w:cs="宋体"/>
          <w:szCs w:val="21"/>
          <w:u w:val="single"/>
        </w:rPr>
        <w:t>广西南宁市青秀区佛子岭路16号</w:t>
      </w:r>
    </w:p>
    <w:p w14:paraId="54B10177">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任建福  </w:t>
      </w:r>
    </w:p>
    <w:p w14:paraId="573A62B8">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通讯地址：</w:t>
      </w:r>
      <w:r>
        <w:rPr>
          <w:rFonts w:hint="eastAsia" w:ascii="宋体" w:hAnsi="宋体" w:cs="宋体"/>
          <w:szCs w:val="21"/>
          <w:u w:val="single"/>
        </w:rPr>
        <w:t xml:space="preserve">广西南宁市青秀区佛子岭路16号 </w:t>
      </w:r>
    </w:p>
    <w:p w14:paraId="7E906DF7">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电子邮箱：</w:t>
      </w:r>
    </w:p>
    <w:p w14:paraId="1C1B0653">
      <w:pPr>
        <w:widowControl/>
        <w:tabs>
          <w:tab w:val="left" w:pos="709"/>
        </w:tabs>
        <w:adjustRightInd w:val="0"/>
        <w:snapToGrid w:val="0"/>
        <w:spacing w:after="240" w:line="480" w:lineRule="exact"/>
        <w:ind w:firstLine="420" w:firstLineChars="200"/>
        <w:jc w:val="left"/>
        <w:rPr>
          <w:rFonts w:hint="eastAsia" w:ascii="宋体" w:hAnsi="宋体" w:cs="宋体"/>
          <w:szCs w:val="21"/>
          <w:u w:val="single"/>
        </w:rPr>
      </w:pPr>
      <w:r>
        <w:rPr>
          <w:rFonts w:hint="eastAsia" w:ascii="宋体" w:hAnsi="宋体" w:cs="宋体"/>
          <w:szCs w:val="21"/>
        </w:rPr>
        <w:t xml:space="preserve">乙方（牵头人）： </w:t>
      </w:r>
    </w:p>
    <w:p w14:paraId="53DD1855">
      <w:pPr>
        <w:widowControl/>
        <w:tabs>
          <w:tab w:val="left" w:pos="709"/>
        </w:tabs>
        <w:adjustRightInd w:val="0"/>
        <w:snapToGrid w:val="0"/>
        <w:spacing w:after="240" w:line="480" w:lineRule="exact"/>
        <w:ind w:firstLine="420" w:firstLineChars="200"/>
        <w:jc w:val="left"/>
        <w:rPr>
          <w:rFonts w:hint="eastAsia" w:ascii="宋体" w:hAnsi="宋体" w:cs="宋体"/>
          <w:szCs w:val="21"/>
          <w:u w:val="single"/>
        </w:rPr>
      </w:pPr>
      <w:r>
        <w:rPr>
          <w:rFonts w:hint="eastAsia" w:ascii="宋体" w:hAnsi="宋体" w:cs="宋体"/>
          <w:szCs w:val="21"/>
        </w:rPr>
        <w:t>住所地：</w:t>
      </w:r>
    </w:p>
    <w:p w14:paraId="61E9FFCB">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法定代表人：</w:t>
      </w:r>
    </w:p>
    <w:p w14:paraId="0C91E6AF">
      <w:pPr>
        <w:widowControl/>
        <w:tabs>
          <w:tab w:val="left" w:pos="709"/>
        </w:tabs>
        <w:adjustRightInd w:val="0"/>
        <w:snapToGrid w:val="0"/>
        <w:spacing w:after="240" w:line="480" w:lineRule="exact"/>
        <w:ind w:firstLine="420" w:firstLineChars="200"/>
        <w:jc w:val="left"/>
        <w:rPr>
          <w:rFonts w:hint="eastAsia" w:ascii="宋体" w:hAnsi="宋体" w:cs="宋体"/>
          <w:szCs w:val="21"/>
          <w:u w:val="single"/>
        </w:rPr>
      </w:pPr>
      <w:r>
        <w:rPr>
          <w:rFonts w:hint="eastAsia" w:ascii="宋体" w:hAnsi="宋体" w:cs="宋体"/>
          <w:szCs w:val="21"/>
        </w:rPr>
        <w:t>通讯地址：</w:t>
      </w:r>
    </w:p>
    <w:p w14:paraId="28897BE4">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联系电话：</w:t>
      </w:r>
    </w:p>
    <w:p w14:paraId="7D804CA0">
      <w:pPr>
        <w:widowControl/>
        <w:tabs>
          <w:tab w:val="left" w:pos="709"/>
        </w:tabs>
        <w:adjustRightInd w:val="0"/>
        <w:snapToGrid w:val="0"/>
        <w:spacing w:after="240" w:line="480" w:lineRule="exact"/>
        <w:ind w:firstLine="420" w:firstLineChars="200"/>
        <w:jc w:val="left"/>
        <w:rPr>
          <w:rFonts w:hint="eastAsia" w:ascii="宋体" w:hAnsi="宋体" w:cs="宋体"/>
          <w:szCs w:val="21"/>
        </w:rPr>
      </w:pPr>
      <w:r>
        <w:rPr>
          <w:rFonts w:hint="eastAsia" w:ascii="宋体" w:hAnsi="宋体" w:cs="宋体"/>
          <w:szCs w:val="21"/>
        </w:rPr>
        <w:t>电子邮箱：</w:t>
      </w:r>
    </w:p>
    <w:p w14:paraId="248B009A">
      <w:pPr>
        <w:widowControl/>
        <w:tabs>
          <w:tab w:val="left" w:pos="709"/>
        </w:tabs>
        <w:adjustRightInd w:val="0"/>
        <w:snapToGrid w:val="0"/>
        <w:spacing w:after="240" w:line="600" w:lineRule="exact"/>
        <w:ind w:firstLine="420" w:firstLineChars="200"/>
        <w:jc w:val="left"/>
        <w:rPr>
          <w:rFonts w:hint="eastAsia" w:ascii="宋体" w:hAnsi="宋体" w:cs="宋体"/>
          <w:szCs w:val="21"/>
        </w:rPr>
      </w:pPr>
    </w:p>
    <w:p w14:paraId="3A91FB50">
      <w:pPr>
        <w:widowControl/>
        <w:tabs>
          <w:tab w:val="left" w:pos="709"/>
        </w:tabs>
        <w:adjustRightInd w:val="0"/>
        <w:snapToGrid w:val="0"/>
        <w:spacing w:after="240" w:line="600" w:lineRule="exact"/>
        <w:ind w:firstLine="420" w:firstLineChars="200"/>
        <w:jc w:val="center"/>
        <w:rPr>
          <w:rFonts w:hint="eastAsia" w:ascii="宋体" w:hAnsi="宋体" w:cs="宋体"/>
          <w:szCs w:val="21"/>
        </w:rPr>
      </w:pPr>
      <w:r>
        <w:rPr>
          <w:rFonts w:hint="eastAsia" w:ascii="宋体" w:hAnsi="宋体" w:cs="宋体"/>
          <w:szCs w:val="21"/>
        </w:rPr>
        <w:br w:type="page"/>
      </w:r>
      <w:r>
        <w:rPr>
          <w:rFonts w:hint="eastAsia" w:ascii="宋体" w:hAnsi="宋体" w:cs="宋体"/>
          <w:sz w:val="28"/>
          <w:szCs w:val="28"/>
        </w:rPr>
        <w:t>合同正文</w:t>
      </w:r>
    </w:p>
    <w:p w14:paraId="76711F4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根据《中华人民共和国政府采购法》《中华人民共和国民法典》等法律、法规规定，按照招标文件（采购文件）规定条款和投标文件及承诺，采购人（甲方）与中标人（乙方）双方签订本合同。</w:t>
      </w:r>
    </w:p>
    <w:p w14:paraId="209E4EC2">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第一条　合同标的</w:t>
      </w:r>
    </w:p>
    <w:p w14:paraId="79ACDEE4">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1.服务一览表</w:t>
      </w:r>
    </w:p>
    <w:tbl>
      <w:tblPr>
        <w:tblStyle w:val="18"/>
        <w:tblW w:w="8815"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26"/>
        <w:gridCol w:w="2100"/>
        <w:gridCol w:w="811"/>
        <w:gridCol w:w="825"/>
        <w:gridCol w:w="1476"/>
        <w:gridCol w:w="1402"/>
      </w:tblGrid>
      <w:tr w14:paraId="08A1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5" w:type="dxa"/>
            <w:tcBorders>
              <w:top w:val="single" w:color="auto" w:sz="4" w:space="0"/>
              <w:left w:val="single" w:color="auto" w:sz="4" w:space="0"/>
              <w:bottom w:val="single" w:color="auto" w:sz="4" w:space="0"/>
              <w:right w:val="single" w:color="auto" w:sz="4" w:space="0"/>
            </w:tcBorders>
            <w:vAlign w:val="center"/>
          </w:tcPr>
          <w:p w14:paraId="090F6E19">
            <w:pPr>
              <w:widowControl/>
              <w:tabs>
                <w:tab w:val="left" w:pos="709"/>
              </w:tabs>
              <w:adjustRightInd w:val="0"/>
              <w:snapToGrid w:val="0"/>
              <w:spacing w:after="240" w:line="400" w:lineRule="exact"/>
              <w:jc w:val="left"/>
              <w:rPr>
                <w:rFonts w:hint="eastAsia" w:ascii="宋体" w:hAnsi="宋体" w:cs="宋体"/>
                <w:szCs w:val="21"/>
              </w:rPr>
            </w:pPr>
            <w:r>
              <w:rPr>
                <w:rFonts w:hint="eastAsia" w:ascii="宋体" w:hAnsi="宋体" w:cs="宋体"/>
                <w:szCs w:val="21"/>
              </w:rPr>
              <w:t>序号</w:t>
            </w:r>
          </w:p>
        </w:tc>
        <w:tc>
          <w:tcPr>
            <w:tcW w:w="1626" w:type="dxa"/>
            <w:tcBorders>
              <w:top w:val="single" w:color="auto" w:sz="4" w:space="0"/>
              <w:left w:val="single" w:color="auto" w:sz="4" w:space="0"/>
              <w:bottom w:val="single" w:color="auto" w:sz="4" w:space="0"/>
              <w:right w:val="single" w:color="auto" w:sz="4" w:space="0"/>
            </w:tcBorders>
            <w:vAlign w:val="center"/>
          </w:tcPr>
          <w:p w14:paraId="28B8DDC4">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名称</w:t>
            </w:r>
          </w:p>
        </w:tc>
        <w:tc>
          <w:tcPr>
            <w:tcW w:w="2100" w:type="dxa"/>
            <w:tcBorders>
              <w:top w:val="single" w:color="auto" w:sz="4" w:space="0"/>
              <w:left w:val="single" w:color="auto" w:sz="4" w:space="0"/>
              <w:bottom w:val="single" w:color="auto" w:sz="4" w:space="0"/>
              <w:right w:val="single" w:color="auto" w:sz="4" w:space="0"/>
            </w:tcBorders>
            <w:vAlign w:val="center"/>
          </w:tcPr>
          <w:p w14:paraId="531DE8D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服务内容</w:t>
            </w:r>
          </w:p>
        </w:tc>
        <w:tc>
          <w:tcPr>
            <w:tcW w:w="811" w:type="dxa"/>
            <w:tcBorders>
              <w:top w:val="single" w:color="auto" w:sz="4" w:space="0"/>
              <w:left w:val="single" w:color="auto" w:sz="4" w:space="0"/>
              <w:bottom w:val="single" w:color="auto" w:sz="4" w:space="0"/>
              <w:right w:val="single" w:color="auto" w:sz="4" w:space="0"/>
            </w:tcBorders>
            <w:vAlign w:val="center"/>
          </w:tcPr>
          <w:p w14:paraId="2C254BED">
            <w:pPr>
              <w:widowControl/>
              <w:tabs>
                <w:tab w:val="left" w:pos="709"/>
              </w:tabs>
              <w:adjustRightInd w:val="0"/>
              <w:snapToGrid w:val="0"/>
              <w:spacing w:after="240" w:line="400" w:lineRule="exact"/>
              <w:jc w:val="left"/>
              <w:rPr>
                <w:rFonts w:hint="eastAsia" w:ascii="宋体" w:hAnsi="宋体" w:cs="宋体"/>
                <w:szCs w:val="21"/>
              </w:rPr>
            </w:pPr>
            <w:r>
              <w:rPr>
                <w:rFonts w:hint="eastAsia" w:ascii="宋体" w:hAnsi="宋体" w:cs="宋体"/>
                <w:szCs w:val="21"/>
              </w:rPr>
              <w:t>数量</w:t>
            </w:r>
          </w:p>
        </w:tc>
        <w:tc>
          <w:tcPr>
            <w:tcW w:w="825" w:type="dxa"/>
            <w:tcBorders>
              <w:top w:val="single" w:color="auto" w:sz="4" w:space="0"/>
              <w:left w:val="single" w:color="auto" w:sz="4" w:space="0"/>
              <w:bottom w:val="single" w:color="auto" w:sz="4" w:space="0"/>
              <w:right w:val="single" w:color="auto" w:sz="4" w:space="0"/>
            </w:tcBorders>
            <w:vAlign w:val="center"/>
          </w:tcPr>
          <w:p w14:paraId="7B551CFD">
            <w:pPr>
              <w:widowControl/>
              <w:tabs>
                <w:tab w:val="left" w:pos="709"/>
              </w:tabs>
              <w:adjustRightInd w:val="0"/>
              <w:snapToGrid w:val="0"/>
              <w:spacing w:after="240" w:line="400" w:lineRule="exact"/>
              <w:jc w:val="left"/>
              <w:rPr>
                <w:rFonts w:hint="eastAsia" w:ascii="宋体" w:hAnsi="宋体" w:cs="宋体"/>
                <w:szCs w:val="21"/>
              </w:rPr>
            </w:pPr>
            <w:r>
              <w:rPr>
                <w:rFonts w:hint="eastAsia" w:ascii="宋体" w:hAnsi="宋体" w:cs="宋体"/>
                <w:szCs w:val="21"/>
              </w:rPr>
              <w:t>单位</w:t>
            </w:r>
          </w:p>
        </w:tc>
        <w:tc>
          <w:tcPr>
            <w:tcW w:w="1476" w:type="dxa"/>
            <w:tcBorders>
              <w:top w:val="single" w:color="auto" w:sz="4" w:space="0"/>
              <w:left w:val="single" w:color="auto" w:sz="4" w:space="0"/>
              <w:bottom w:val="single" w:color="auto" w:sz="4" w:space="0"/>
              <w:right w:val="single" w:color="auto" w:sz="4" w:space="0"/>
            </w:tcBorders>
            <w:vAlign w:val="center"/>
          </w:tcPr>
          <w:p w14:paraId="35E34A6A">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单  价</w:t>
            </w:r>
          </w:p>
          <w:p w14:paraId="5E0AF8B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（元）</w:t>
            </w:r>
          </w:p>
        </w:tc>
        <w:tc>
          <w:tcPr>
            <w:tcW w:w="1402" w:type="dxa"/>
            <w:tcBorders>
              <w:top w:val="single" w:color="auto" w:sz="4" w:space="0"/>
              <w:left w:val="single" w:color="auto" w:sz="4" w:space="0"/>
              <w:bottom w:val="single" w:color="auto" w:sz="4" w:space="0"/>
              <w:right w:val="single" w:color="auto" w:sz="4" w:space="0"/>
            </w:tcBorders>
            <w:vAlign w:val="center"/>
          </w:tcPr>
          <w:p w14:paraId="5B2464E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总  价</w:t>
            </w:r>
          </w:p>
          <w:p w14:paraId="60C9290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（元）</w:t>
            </w:r>
          </w:p>
        </w:tc>
      </w:tr>
      <w:tr w14:paraId="7E54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5" w:type="dxa"/>
            <w:tcBorders>
              <w:top w:val="single" w:color="auto" w:sz="4" w:space="0"/>
              <w:left w:val="single" w:color="auto" w:sz="4" w:space="0"/>
              <w:bottom w:val="single" w:color="auto" w:sz="4" w:space="0"/>
              <w:right w:val="single" w:color="auto" w:sz="4" w:space="0"/>
            </w:tcBorders>
            <w:vAlign w:val="center"/>
          </w:tcPr>
          <w:p w14:paraId="29AB3842">
            <w:pPr>
              <w:widowControl/>
              <w:tabs>
                <w:tab w:val="left" w:pos="709"/>
              </w:tabs>
              <w:adjustRightInd w:val="0"/>
              <w:snapToGrid w:val="0"/>
              <w:spacing w:after="240" w:line="400" w:lineRule="exact"/>
              <w:jc w:val="left"/>
              <w:rPr>
                <w:rFonts w:hint="eastAsia" w:ascii="宋体" w:hAnsi="宋体" w:cs="宋体"/>
                <w:szCs w:val="21"/>
              </w:rPr>
            </w:pPr>
            <w:r>
              <w:rPr>
                <w:rFonts w:hint="eastAsia" w:ascii="宋体" w:hAnsi="宋体" w:cs="宋体"/>
                <w:szCs w:val="21"/>
              </w:rPr>
              <w:t>1</w:t>
            </w:r>
          </w:p>
        </w:tc>
        <w:tc>
          <w:tcPr>
            <w:tcW w:w="1626" w:type="dxa"/>
            <w:tcBorders>
              <w:top w:val="single" w:color="auto" w:sz="4" w:space="0"/>
              <w:left w:val="single" w:color="auto" w:sz="4" w:space="0"/>
              <w:bottom w:val="single" w:color="auto" w:sz="4" w:space="0"/>
              <w:right w:val="single" w:color="auto" w:sz="4" w:space="0"/>
            </w:tcBorders>
            <w:vAlign w:val="center"/>
          </w:tcPr>
          <w:p w14:paraId="16CE5DAA">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c>
          <w:tcPr>
            <w:tcW w:w="2100" w:type="dxa"/>
            <w:tcBorders>
              <w:top w:val="single" w:color="auto" w:sz="4" w:space="0"/>
              <w:left w:val="single" w:color="auto" w:sz="4" w:space="0"/>
              <w:bottom w:val="single" w:color="auto" w:sz="4" w:space="0"/>
              <w:right w:val="single" w:color="auto" w:sz="4" w:space="0"/>
            </w:tcBorders>
            <w:vAlign w:val="center"/>
          </w:tcPr>
          <w:p w14:paraId="65ABC127">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c>
          <w:tcPr>
            <w:tcW w:w="811" w:type="dxa"/>
            <w:tcBorders>
              <w:top w:val="single" w:color="auto" w:sz="4" w:space="0"/>
              <w:left w:val="single" w:color="auto" w:sz="4" w:space="0"/>
              <w:bottom w:val="single" w:color="auto" w:sz="4" w:space="0"/>
              <w:right w:val="single" w:color="auto" w:sz="4" w:space="0"/>
            </w:tcBorders>
            <w:vAlign w:val="center"/>
          </w:tcPr>
          <w:p w14:paraId="032857DF">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c>
          <w:tcPr>
            <w:tcW w:w="825" w:type="dxa"/>
            <w:tcBorders>
              <w:top w:val="single" w:color="auto" w:sz="4" w:space="0"/>
              <w:left w:val="single" w:color="auto" w:sz="4" w:space="0"/>
              <w:bottom w:val="single" w:color="auto" w:sz="4" w:space="0"/>
              <w:right w:val="single" w:color="auto" w:sz="4" w:space="0"/>
            </w:tcBorders>
            <w:vAlign w:val="center"/>
          </w:tcPr>
          <w:p w14:paraId="47EDB6F9">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c>
          <w:tcPr>
            <w:tcW w:w="1476" w:type="dxa"/>
            <w:tcBorders>
              <w:top w:val="single" w:color="auto" w:sz="4" w:space="0"/>
              <w:left w:val="single" w:color="auto" w:sz="4" w:space="0"/>
              <w:bottom w:val="single" w:color="auto" w:sz="4" w:space="0"/>
              <w:right w:val="single" w:color="auto" w:sz="4" w:space="0"/>
            </w:tcBorders>
            <w:vAlign w:val="center"/>
          </w:tcPr>
          <w:p w14:paraId="1B8E2BFF">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c>
          <w:tcPr>
            <w:tcW w:w="1402" w:type="dxa"/>
            <w:tcBorders>
              <w:top w:val="single" w:color="auto" w:sz="4" w:space="0"/>
              <w:left w:val="single" w:color="auto" w:sz="4" w:space="0"/>
              <w:bottom w:val="single" w:color="auto" w:sz="4" w:space="0"/>
              <w:right w:val="single" w:color="auto" w:sz="4" w:space="0"/>
            </w:tcBorders>
            <w:vAlign w:val="center"/>
          </w:tcPr>
          <w:p w14:paraId="0839EC0B">
            <w:pPr>
              <w:widowControl/>
              <w:tabs>
                <w:tab w:val="left" w:pos="709"/>
              </w:tabs>
              <w:adjustRightInd w:val="0"/>
              <w:snapToGrid w:val="0"/>
              <w:spacing w:after="240" w:line="400" w:lineRule="exact"/>
              <w:ind w:firstLine="420" w:firstLineChars="200"/>
              <w:jc w:val="left"/>
              <w:rPr>
                <w:rFonts w:hint="eastAsia" w:ascii="宋体" w:hAnsi="宋体" w:cs="宋体"/>
                <w:szCs w:val="21"/>
              </w:rPr>
            </w:pPr>
          </w:p>
        </w:tc>
      </w:tr>
      <w:tr w14:paraId="4AB0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8815" w:type="dxa"/>
            <w:gridSpan w:val="7"/>
            <w:tcBorders>
              <w:top w:val="single" w:color="auto" w:sz="4" w:space="0"/>
              <w:left w:val="single" w:color="auto" w:sz="4" w:space="0"/>
              <w:bottom w:val="single" w:color="auto" w:sz="4" w:space="0"/>
              <w:right w:val="single" w:color="auto" w:sz="4" w:space="0"/>
            </w:tcBorders>
            <w:vAlign w:val="center"/>
          </w:tcPr>
          <w:p w14:paraId="1DFBE63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合同总价款为（人民币，大写） X万X仟X佰X拾X元整 （¥ XXXXX.00 ）。其中不含税金额为（人民币，大写） X万X仟X佰X拾X元X角X分   (¥ XXXX.XX），增值税额为（人民币，大写）X万X仟X佰X拾X元X角X分（¥XXXXX.XX）。</w:t>
            </w:r>
          </w:p>
        </w:tc>
      </w:tr>
    </w:tbl>
    <w:p w14:paraId="337665A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合同合计金额包括但不限于满足本次招标全部采购需求所应提供的服务，以及伴随的货物和工程（如有）的价格，包括但不限于服务、货物、工程的成本、运输（含保险）、安装（如有）、调试、检验、技术服务、培训、人工、聘请专家评审、评估（如有）、项目验收、人身及财产保险费、税费、版权使用费（如有）等所有费用。</w:t>
      </w:r>
    </w:p>
    <w:p w14:paraId="7DCF2ADD">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第二条　质量保证</w:t>
      </w:r>
    </w:p>
    <w:p w14:paraId="6C33F07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 乙方应建立和完善履行合同的内部质量保证体系，并提供相关内部规章制度给甲方，以便甲方进行监督检查；</w:t>
      </w:r>
    </w:p>
    <w:p w14:paraId="416A2A0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 乙方应保证履行合同的人员数量和素质、软件和硬件设备的配置、场地、环境和设施等满足全面履行合同的要求，并应接受甲方随时的监督检查。</w:t>
      </w:r>
    </w:p>
    <w:p w14:paraId="5332C69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乙方所提供的服务、服务质量及服务内容必须与合同、招标文件、投标文件及承诺相一致。有强制性国家标准的，还必须符合强制性国家标准的规定；没有强制性国家标准但有其他标准的，必须符合其他标准的规定。</w:t>
      </w:r>
    </w:p>
    <w:p w14:paraId="084D4A90">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第三条　权利保证</w:t>
      </w:r>
    </w:p>
    <w:p w14:paraId="0487B0C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1.甲方有权随时向乙方了解服务进度和对服务资金使用情况进行监督、检查，并要求乙方提供相关资料。</w:t>
      </w:r>
    </w:p>
    <w:p w14:paraId="2B9B190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甲方有权按照合同约定或有关法律法规、政府管理的相关职能规定，对乙方服务进行监督和检查，有权随时要求乙方按照监督检查情况制定相应措施并加以整改。甲方不因行使该监督和检查权而承担任何责任，也不因此而减轻或免除乙方根据合同约定或相关法律法规规定应承担的任何义务或责任。</w:t>
      </w:r>
    </w:p>
    <w:p w14:paraId="06973257">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乙方应保证所提供服务在使用时不会侵犯任何第三方的专利权、商标权、工业设计权等知识产权及其他合法权利，且所有权、处分权等没有受到任何限制，如乙方违反前述约定侵犯他人权利或违反相关规定的，由乙方承担责任、费用和行政处罚。如造成甲方损失的，乙方应当赔偿甲方全部损失。</w:t>
      </w:r>
    </w:p>
    <w:p w14:paraId="2B611CD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没有甲方事先书面同意，乙方不得将由甲方提供的有关合同或者任何合同条文、规格、计划、图纸、样品或者资料提供给与履行本合同无关的任何其他人。即使向履行合同有关的人员提供，也应注意保密并限于履行合同的必需范围。乙方的保密义务持续有效，不因为本合同履行终止、解除或者无效而解除。</w:t>
      </w:r>
    </w:p>
    <w:p w14:paraId="3903F57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乙方保证所交付的服务成果的所有权完全属于乙方且无任何抵押、质押、查封等产权瑕疵。如乙方所交付服务成果有产权瑕疵的，视为乙方提供的服务不符合本合同约定而构成违约。但在已经全部支付完合同款后甲方才发现有产权瑕疵的，乙方除了按照本合同合计总金额的10%向甲方支付违约金外，还应负担甲方由此产生的一切损失。</w:t>
      </w:r>
    </w:p>
    <w:p w14:paraId="60F17BF7">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第四条　交付和验收</w:t>
      </w:r>
    </w:p>
    <w:p w14:paraId="285D3FC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1.服务时间：自合同签订之日起至所监理全部项目完成监理服务并通过完成国家或自治区审批部门立项项目最终验收结束止。</w:t>
      </w:r>
    </w:p>
    <w:p w14:paraId="1075936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2.服务地点：甲方指定地点。</w:t>
      </w:r>
    </w:p>
    <w:p w14:paraId="5F84F1A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3.乙方应按合同、招标文件、投标文件及承诺向甲方提供相应的服务，并按上述约定及承诺文件提供服务质量和服务内容的相关技术资料。</w:t>
      </w:r>
    </w:p>
    <w:p w14:paraId="7A5B3C4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4.乙方提供不符合合同、招标文件、投标文件及乙方承诺规定的服务成果，甲方有权拒绝接受。</w:t>
      </w:r>
    </w:p>
    <w:p w14:paraId="341843E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5.乙方在完成服务前应对服务作出全面检查和对验收文件进行整理，并列出书面清单，作为甲方服务验收的技术依据，清单应随提交的服务成果交给甲方。</w:t>
      </w:r>
    </w:p>
    <w:p w14:paraId="6B25315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6.乙方完成服务后应及时书面通知甲方进行验收，甲方应在收到通知后七个工作日内进行初步验收，若甲方逾期不开始验收且无正当理由的，乙方可发函催告，如甲方收到催促验收函件后三个工作日内仍不开始验收的，视同初步验收合格。</w:t>
      </w:r>
    </w:p>
    <w:p w14:paraId="51EE6DA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7.甲乙双方应按照《广西壮族自治区政府采购项目履约验收管理办法》、合同、招标文件、投标文件及乙方承诺进行初步验收和最终验收，初步验收系指履约验收，最终验收系指通过数据局组织的验收（内容包括但不限于合同履约、立项、密评、等保、决算等）。每次验收时乙方必须在现场，验收费用由乙方负责。验收时，乙方提供服务的服务质量和服务内容符合合同、招标文件、投标文件规定以及乙方承诺的要求的，由甲乙双方签署《广西壮族自治区政府采购项目合同验收书》并加盖甲乙双方公章，一式贰份，由甲乙双方各执一份。</w:t>
      </w:r>
    </w:p>
    <w:p w14:paraId="03A4A11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8.甲方在初步验收或者最终验收中发现乙方提供的服务、服务质量或服务内容不满足合同、招标文件、投标文件及乙方承诺规定的，可暂缓向乙方支付对应阶段的款项，直到乙方及时完善并提交相应的服务成果且经甲方验收合格后，方可办理付款，在此过程中甲方并不承担逾期付款的责任。</w:t>
      </w:r>
    </w:p>
    <w:p w14:paraId="30C83D1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9.甲方验收时发现乙方提供的服务、服务质量或服务内容不满足合同、招标文件、投标文件规定并以书面形式提出异议的，乙方应自收到甲方书面异议后五个工作日内予以解决并重新申请验收，否则甲方有权拒绝验收或不通过验收，且有权拒绝出具验收合格单。乙方因解决异议问题而造成逾期的，按乙方逾期交付处理。</w:t>
      </w:r>
    </w:p>
    <w:p w14:paraId="7F7C746E">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第五条　后续服务要求</w:t>
      </w:r>
    </w:p>
    <w:p w14:paraId="1010049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1.乙方应按照国家有关法律法规、合同、招标文件、投标文件所附的《服务承诺》要求为甲方提供相应的服务。</w:t>
      </w:r>
    </w:p>
    <w:p w14:paraId="3A5CEE3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签订合同时甲方与乙方签订保密协议，乙方应在签订本合同后3个工作日内向甲方提供其与团队投入人员签订的保密协议。乙方应对在提供服务过程中接触到项目相关资料信息安全保密，不得以任何方式复制留存、泄露所接触、知悉项目信息。</w:t>
      </w:r>
    </w:p>
    <w:p w14:paraId="74DBA41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本项目监理过程中，乙方应提供完成本项服务所需要的车辆、通讯设备、办公设备等一切物资以辅助本项目监理工作，包括但不限于台式计算机、便携式笔记本电脑、移动硬盘（U盘）、投影设备、音响、摄像机、录音笔等（以上设备配备数量应满足实际工作需要，且设备配置达到当前主流水平）。</w:t>
      </w:r>
    </w:p>
    <w:p w14:paraId="1C914921">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第六条　付款方式</w:t>
      </w:r>
    </w:p>
    <w:p w14:paraId="3DA0CFF3">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1.资金性质：财政资金。</w:t>
      </w:r>
    </w:p>
    <w:p w14:paraId="1190934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2.付款方式：甲乙双方同意按以下方式支付合同合计金额：</w:t>
      </w:r>
    </w:p>
    <w:p w14:paraId="02F1A12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①签订合同后10个工作日内，甲方向乙方支付合同总金额的50%，即人民币大写：</w:t>
      </w:r>
      <w:r>
        <w:rPr>
          <w:rFonts w:hint="eastAsia" w:ascii="宋体" w:hAnsi="宋体" w:cs="宋体"/>
          <w:szCs w:val="21"/>
          <w:u w:val="single"/>
        </w:rPr>
        <w:t xml:space="preserve">        元整（￥</w:t>
      </w:r>
      <w:r>
        <w:rPr>
          <w:rFonts w:hint="eastAsia" w:ascii="宋体" w:hAnsi="宋体" w:cs="宋体"/>
          <w:szCs w:val="21"/>
        </w:rPr>
        <w:t>）。</w:t>
      </w:r>
    </w:p>
    <w:p w14:paraId="31FA3ED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②项目完成第一阶段工作，乙方</w:t>
      </w:r>
      <w:r>
        <w:rPr>
          <w:rFonts w:ascii="宋体" w:hAnsi="宋体" w:cs="宋体"/>
          <w:szCs w:val="21"/>
        </w:rPr>
        <w:t>完成</w:t>
      </w:r>
      <w:r>
        <w:rPr>
          <w:rFonts w:hint="eastAsia" w:ascii="宋体" w:hAnsi="宋体" w:cs="宋体"/>
          <w:szCs w:val="21"/>
        </w:rPr>
        <w:t>阶段</w:t>
      </w:r>
      <w:r>
        <w:rPr>
          <w:rFonts w:ascii="宋体" w:hAnsi="宋体" w:cs="宋体"/>
          <w:szCs w:val="21"/>
        </w:rPr>
        <w:t>监理服务，提供阶段性专项监理服务报告并经</w:t>
      </w:r>
      <w:r>
        <w:rPr>
          <w:rFonts w:hint="eastAsia" w:ascii="宋体" w:hAnsi="宋体" w:cs="宋体"/>
          <w:szCs w:val="21"/>
        </w:rPr>
        <w:t>甲方</w:t>
      </w:r>
      <w:r>
        <w:rPr>
          <w:rFonts w:ascii="宋体" w:hAnsi="宋体" w:cs="宋体"/>
          <w:szCs w:val="21"/>
        </w:rPr>
        <w:t>书面确认后10个工作日内，</w:t>
      </w:r>
      <w:r>
        <w:rPr>
          <w:rFonts w:hint="eastAsia" w:ascii="宋体" w:hAnsi="宋体" w:cs="宋体"/>
          <w:szCs w:val="21"/>
        </w:rPr>
        <w:t>甲方</w:t>
      </w:r>
      <w:r>
        <w:rPr>
          <w:rFonts w:ascii="宋体" w:hAnsi="宋体" w:cs="宋体"/>
          <w:szCs w:val="21"/>
        </w:rPr>
        <w:t>向</w:t>
      </w:r>
      <w:r>
        <w:rPr>
          <w:rFonts w:hint="eastAsia" w:ascii="宋体" w:hAnsi="宋体" w:cs="宋体"/>
          <w:szCs w:val="21"/>
        </w:rPr>
        <w:t>乙方</w:t>
      </w:r>
      <w:r>
        <w:rPr>
          <w:rFonts w:ascii="宋体" w:hAnsi="宋体" w:cs="宋体"/>
          <w:szCs w:val="21"/>
        </w:rPr>
        <w:t>支付合同总金额的</w:t>
      </w:r>
      <w:r>
        <w:rPr>
          <w:rFonts w:hint="eastAsia" w:ascii="宋体" w:hAnsi="宋体" w:cs="宋体"/>
          <w:szCs w:val="21"/>
        </w:rPr>
        <w:t>30</w:t>
      </w:r>
      <w:r>
        <w:rPr>
          <w:rFonts w:ascii="宋体" w:hAnsi="宋体" w:cs="宋体"/>
          <w:szCs w:val="21"/>
        </w:rPr>
        <w:t>%</w:t>
      </w:r>
      <w:r>
        <w:rPr>
          <w:rFonts w:hint="eastAsia" w:ascii="宋体" w:hAnsi="宋体" w:cs="宋体"/>
          <w:szCs w:val="21"/>
        </w:rPr>
        <w:t>，即人民币大写：</w:t>
      </w:r>
      <w:r>
        <w:rPr>
          <w:rFonts w:hint="eastAsia" w:ascii="宋体" w:hAnsi="宋体" w:cs="宋体"/>
          <w:szCs w:val="21"/>
          <w:u w:val="single"/>
        </w:rPr>
        <w:t xml:space="preserve">        元整（￥      </w:t>
      </w:r>
      <w:r>
        <w:rPr>
          <w:rFonts w:hint="eastAsia" w:ascii="宋体" w:hAnsi="宋体" w:cs="宋体"/>
          <w:szCs w:val="21"/>
        </w:rPr>
        <w:t>）。</w:t>
      </w:r>
    </w:p>
    <w:p w14:paraId="4C041793">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③项目完成试运行，乙方完成阶段监理服务，提供阶段性专项监理服务报告并经甲方书面确认后10个工作日内，甲方向乙方支付合同总金额的10%，即人民币大写：</w:t>
      </w:r>
      <w:r>
        <w:rPr>
          <w:rFonts w:hint="eastAsia" w:ascii="宋体" w:hAnsi="宋体" w:cs="宋体"/>
          <w:szCs w:val="21"/>
          <w:u w:val="single"/>
        </w:rPr>
        <w:t xml:space="preserve">        元整（￥      </w:t>
      </w:r>
      <w:r>
        <w:rPr>
          <w:rFonts w:hint="eastAsia" w:ascii="宋体" w:hAnsi="宋体" w:cs="宋体"/>
          <w:szCs w:val="21"/>
        </w:rPr>
        <w:t>）。</w:t>
      </w:r>
    </w:p>
    <w:p w14:paraId="6A6B61F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④项目建设完成经初步验收合格后10个工作日内，甲方向乙方支付合同总金额的10%，即人民币大写：</w:t>
      </w:r>
      <w:r>
        <w:rPr>
          <w:rFonts w:hint="eastAsia" w:ascii="宋体" w:hAnsi="宋体" w:cs="宋体"/>
          <w:szCs w:val="21"/>
          <w:u w:val="single"/>
        </w:rPr>
        <w:t xml:space="preserve">        元整（￥      </w:t>
      </w:r>
      <w:r>
        <w:rPr>
          <w:rFonts w:hint="eastAsia" w:ascii="宋体" w:hAnsi="宋体" w:cs="宋体"/>
          <w:szCs w:val="21"/>
        </w:rPr>
        <w:t>）。</w:t>
      </w:r>
    </w:p>
    <w:p w14:paraId="63EFBC84">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支付每一笔合同款前，乙方须向甲方开具合法、有效等额发票，乙方未及时向甲方开具发票、付款申请书的，甲方有权顺延付款时间，且不承担任何逾期付款违约责任。</w:t>
      </w:r>
    </w:p>
    <w:p w14:paraId="7E0BA17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3.乙方指定以下账户为接收本合同价款的账户，并对其指定的下列账户信息真实性、安全性、准确性负责。</w:t>
      </w:r>
    </w:p>
    <w:p w14:paraId="245BEBA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账户名称：</w:t>
      </w:r>
      <w:r>
        <w:rPr>
          <w:rFonts w:hint="eastAsia" w:ascii="宋体" w:hAnsi="宋体" w:cs="宋体"/>
          <w:szCs w:val="21"/>
          <w:u w:val="single"/>
        </w:rPr>
        <w:t xml:space="preserve">     　　　          </w:t>
      </w:r>
      <w:r>
        <w:rPr>
          <w:rFonts w:hint="eastAsia" w:ascii="宋体" w:hAnsi="宋体" w:cs="宋体"/>
          <w:szCs w:val="21"/>
        </w:rPr>
        <w:t>；</w:t>
      </w:r>
    </w:p>
    <w:p w14:paraId="0013DD0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开户银行：</w:t>
      </w:r>
      <w:r>
        <w:rPr>
          <w:rFonts w:hint="eastAsia" w:ascii="宋体" w:hAnsi="宋体" w:cs="宋体"/>
          <w:szCs w:val="21"/>
          <w:u w:val="single"/>
        </w:rPr>
        <w:t>　         　　</w:t>
      </w:r>
      <w:r>
        <w:rPr>
          <w:rFonts w:hint="eastAsia" w:ascii="宋体" w:hAnsi="宋体" w:cs="宋体"/>
          <w:szCs w:val="21"/>
        </w:rPr>
        <w:t>；</w:t>
      </w:r>
    </w:p>
    <w:p w14:paraId="52E861C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银行账号：</w:t>
      </w:r>
      <w:r>
        <w:rPr>
          <w:rFonts w:hint="eastAsia" w:ascii="宋体" w:hAnsi="宋体" w:cs="宋体"/>
          <w:szCs w:val="21"/>
          <w:u w:val="single"/>
        </w:rPr>
        <w:t>　              　　</w:t>
      </w:r>
      <w:r>
        <w:rPr>
          <w:rFonts w:hint="eastAsia" w:ascii="宋体" w:hAnsi="宋体" w:cs="宋体"/>
          <w:szCs w:val="21"/>
        </w:rPr>
        <w:t>；</w:t>
      </w:r>
    </w:p>
    <w:p w14:paraId="2C19D2C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联系人：</w:t>
      </w:r>
      <w:r>
        <w:rPr>
          <w:rFonts w:hint="eastAsia" w:ascii="宋体" w:hAnsi="宋体" w:cs="宋体"/>
          <w:szCs w:val="21"/>
          <w:u w:val="single"/>
        </w:rPr>
        <w:t xml:space="preserve">　 　　　　　　　　    </w:t>
      </w:r>
      <w:r>
        <w:rPr>
          <w:rFonts w:hint="eastAsia" w:ascii="宋体" w:hAnsi="宋体" w:cs="宋体"/>
          <w:szCs w:val="21"/>
        </w:rPr>
        <w:t>；</w:t>
      </w:r>
    </w:p>
    <w:p w14:paraId="26AE9583">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w:t>
      </w:r>
      <w:r>
        <w:rPr>
          <w:rFonts w:hint="eastAsia" w:ascii="宋体" w:hAnsi="宋体" w:cs="宋体"/>
          <w:szCs w:val="21"/>
        </w:rPr>
        <w:t>。</w:t>
      </w:r>
    </w:p>
    <w:p w14:paraId="70BF2D61">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如乙方上述账户信息发生变更，乙方应提前5个工作日向甲方发送书面通知，未能提前书面通知而产生的不利后果由乙方自行承担。</w:t>
      </w:r>
    </w:p>
    <w:p w14:paraId="3BCF6A6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甲方在支付每笔款项前，乙方应当提供可供政府审计并且符合税务规定的正式发票，否则甲方有权拒付相应款项直至乙方能提供符合规定的发票为止，因乙方提供不符合甲方要求的发票导致付款逾期，甲方不构成违约，相应的付款期限自甲方收到乙方符合要求发票重新计算。</w:t>
      </w:r>
    </w:p>
    <w:p w14:paraId="2A34DD3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5.甲方开票信息如下：</w:t>
      </w:r>
    </w:p>
    <w:p w14:paraId="59AC433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单位名称：</w:t>
      </w:r>
    </w:p>
    <w:p w14:paraId="54F4826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统一社会信用代码：</w:t>
      </w:r>
    </w:p>
    <w:p w14:paraId="4A1D7A8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纳税人识别号：</w:t>
      </w:r>
    </w:p>
    <w:p w14:paraId="3441D463">
      <w:pPr>
        <w:widowControl/>
        <w:tabs>
          <w:tab w:val="left" w:pos="709"/>
        </w:tabs>
        <w:adjustRightInd w:val="0"/>
        <w:snapToGrid w:val="0"/>
        <w:spacing w:after="240" w:line="400" w:lineRule="exact"/>
        <w:ind w:firstLine="420" w:firstLineChars="200"/>
        <w:jc w:val="left"/>
        <w:rPr>
          <w:rFonts w:hint="eastAsia" w:ascii="宋体" w:hAnsi="宋体" w:cs="宋体"/>
          <w:szCs w:val="21"/>
          <w:u w:val="single"/>
        </w:rPr>
      </w:pPr>
      <w:r>
        <w:rPr>
          <w:rFonts w:hint="eastAsia" w:ascii="宋体" w:hAnsi="宋体" w:cs="宋体"/>
          <w:szCs w:val="21"/>
        </w:rPr>
        <w:t>地址：</w:t>
      </w:r>
    </w:p>
    <w:p w14:paraId="3BF705C1">
      <w:pPr>
        <w:widowControl/>
        <w:tabs>
          <w:tab w:val="left" w:pos="709"/>
        </w:tabs>
        <w:adjustRightInd w:val="0"/>
        <w:snapToGrid w:val="0"/>
        <w:spacing w:after="240" w:line="400" w:lineRule="exact"/>
        <w:ind w:firstLine="420" w:firstLineChars="200"/>
        <w:jc w:val="left"/>
        <w:rPr>
          <w:rFonts w:hint="eastAsia" w:ascii="宋体" w:hAnsi="宋体" w:cs="宋体"/>
          <w:szCs w:val="21"/>
          <w:u w:val="single"/>
        </w:rPr>
      </w:pPr>
      <w:r>
        <w:rPr>
          <w:rFonts w:hint="eastAsia" w:ascii="宋体" w:hAnsi="宋体" w:cs="宋体"/>
          <w:szCs w:val="21"/>
        </w:rPr>
        <w:t>银行账户：</w:t>
      </w:r>
    </w:p>
    <w:p w14:paraId="14A34223">
      <w:pPr>
        <w:widowControl/>
        <w:tabs>
          <w:tab w:val="left" w:pos="709"/>
        </w:tabs>
        <w:adjustRightInd w:val="0"/>
        <w:snapToGrid w:val="0"/>
        <w:spacing w:after="240" w:line="400" w:lineRule="exact"/>
        <w:ind w:firstLine="420" w:firstLineChars="200"/>
        <w:jc w:val="left"/>
        <w:rPr>
          <w:rFonts w:hint="eastAsia" w:ascii="宋体" w:hAnsi="宋体" w:cs="宋体"/>
          <w:szCs w:val="21"/>
          <w:u w:val="single"/>
        </w:rPr>
      </w:pPr>
      <w:r>
        <w:rPr>
          <w:rFonts w:hint="eastAsia" w:ascii="宋体" w:hAnsi="宋体" w:cs="宋体"/>
          <w:szCs w:val="21"/>
        </w:rPr>
        <w:t>开户行：</w:t>
      </w:r>
    </w:p>
    <w:p w14:paraId="5F6E0DF7">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第七条　履约保证金</w:t>
      </w:r>
    </w:p>
    <w:p w14:paraId="5AE9D6A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（1）履约金支付。乙方须于签订合同后5个工作日内将本项目中标总金额2%的履约保证金即人民币大写：</w:t>
      </w:r>
      <w:r>
        <w:rPr>
          <w:rFonts w:hint="eastAsia" w:ascii="宋体" w:hAnsi="宋体" w:cs="宋体"/>
          <w:szCs w:val="21"/>
          <w:u w:val="single"/>
        </w:rPr>
        <w:t xml:space="preserve">元整（￥    </w:t>
      </w:r>
      <w:r>
        <w:rPr>
          <w:rFonts w:hint="eastAsia" w:ascii="宋体" w:hAnsi="宋体" w:cs="宋体"/>
          <w:szCs w:val="21"/>
        </w:rPr>
        <w:t>）递交到甲方指定账户。履约保证金递交方式：银行转账、支票、汇票、本票或者金融机构出具的保函等非现金方式。</w:t>
      </w:r>
    </w:p>
    <w:p w14:paraId="1553EE5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（2）扣款：本项目将对甲方提供的专项监理服务按季度开展考核，若当期考核未能达到80分及以上，则当期考核应按以下比例扣除履约保证金</w:t>
      </w:r>
      <w:r>
        <w:rPr>
          <w:rFonts w:hint="eastAsia" w:ascii="宋体" w:hAnsi="宋体" w:cs="宋体"/>
          <w:szCs w:val="21"/>
          <w:lang w:eastAsia="zh-CN"/>
        </w:rPr>
        <w:t>，</w:t>
      </w:r>
      <w:r>
        <w:rPr>
          <w:rFonts w:hint="eastAsia" w:ascii="宋体" w:hAnsi="宋体" w:eastAsia="宋体" w:cs="宋体"/>
          <w:sz w:val="21"/>
          <w:szCs w:val="21"/>
          <w:lang w:eastAsia="zh-CN"/>
        </w:rPr>
        <w:t>累计扣除金额</w:t>
      </w:r>
      <w:r>
        <w:rPr>
          <w:rFonts w:hint="eastAsia" w:ascii="宋体" w:hAnsi="宋体" w:cs="宋体"/>
          <w:sz w:val="21"/>
          <w:szCs w:val="21"/>
          <w:lang w:eastAsia="zh-CN"/>
        </w:rPr>
        <w:t>不超出</w:t>
      </w:r>
      <w:r>
        <w:rPr>
          <w:rFonts w:hint="eastAsia" w:ascii="宋体" w:hAnsi="宋体" w:eastAsia="宋体" w:cs="宋体"/>
          <w:sz w:val="21"/>
          <w:szCs w:val="21"/>
        </w:rPr>
        <w:t>中标</w:t>
      </w:r>
      <w:r>
        <w:rPr>
          <w:rFonts w:ascii="宋体" w:hAnsi="宋体" w:eastAsia="宋体" w:cs="宋体"/>
          <w:sz w:val="21"/>
          <w:szCs w:val="21"/>
        </w:rPr>
        <w:t>总金额</w:t>
      </w:r>
      <w:r>
        <w:rPr>
          <w:rFonts w:hint="eastAsia" w:ascii="宋体" w:hAnsi="宋体" w:cs="宋体"/>
          <w:sz w:val="21"/>
          <w:szCs w:val="21"/>
          <w:lang w:eastAsia="zh-CN"/>
        </w:rPr>
        <w:t>的</w:t>
      </w:r>
      <w:r>
        <w:rPr>
          <w:rFonts w:hint="eastAsia" w:ascii="宋体" w:hAnsi="宋体" w:eastAsia="宋体" w:cs="宋体"/>
          <w:sz w:val="21"/>
          <w:szCs w:val="21"/>
        </w:rPr>
        <w:t>2</w:t>
      </w:r>
      <w:r>
        <w:rPr>
          <w:rFonts w:ascii="宋体" w:hAnsi="宋体" w:eastAsia="宋体" w:cs="宋体"/>
          <w:sz w:val="21"/>
          <w:szCs w:val="21"/>
        </w:rPr>
        <w:t>%</w:t>
      </w:r>
      <w:r>
        <w:rPr>
          <w:rFonts w:hint="eastAsia" w:ascii="宋体" w:hAnsi="宋体" w:cs="宋体"/>
          <w:szCs w:val="21"/>
        </w:rPr>
        <w:t>：</w:t>
      </w:r>
    </w:p>
    <w:tbl>
      <w:tblPr>
        <w:tblStyle w:val="18"/>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26"/>
        <w:gridCol w:w="3078"/>
      </w:tblGrid>
      <w:tr w14:paraId="6C901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 w:hRule="atLeast"/>
          <w:jc w:val="center"/>
        </w:trPr>
        <w:tc>
          <w:tcPr>
            <w:tcW w:w="5226" w:type="dxa"/>
            <w:vAlign w:val="center"/>
          </w:tcPr>
          <w:p w14:paraId="52A4DE7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评分</w:t>
            </w:r>
          </w:p>
        </w:tc>
        <w:tc>
          <w:tcPr>
            <w:tcW w:w="3078" w:type="dxa"/>
            <w:vAlign w:val="center"/>
          </w:tcPr>
          <w:p w14:paraId="05A80577">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扣款比例</w:t>
            </w:r>
          </w:p>
        </w:tc>
      </w:tr>
      <w:tr w14:paraId="1098D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5226" w:type="dxa"/>
            <w:vAlign w:val="center"/>
          </w:tcPr>
          <w:p w14:paraId="19A430B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高于80分（包含80分）</w:t>
            </w:r>
          </w:p>
        </w:tc>
        <w:tc>
          <w:tcPr>
            <w:tcW w:w="3078" w:type="dxa"/>
            <w:vAlign w:val="center"/>
          </w:tcPr>
          <w:p w14:paraId="3E4E2DF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0%</w:t>
            </w:r>
          </w:p>
        </w:tc>
      </w:tr>
      <w:tr w14:paraId="147DA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5226" w:type="dxa"/>
            <w:vAlign w:val="center"/>
          </w:tcPr>
          <w:p w14:paraId="2BF6461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高于60分（包含60分）但低于80分</w:t>
            </w:r>
          </w:p>
        </w:tc>
        <w:tc>
          <w:tcPr>
            <w:tcW w:w="3078" w:type="dxa"/>
            <w:vAlign w:val="center"/>
          </w:tcPr>
          <w:p w14:paraId="1398113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30%</w:t>
            </w:r>
          </w:p>
        </w:tc>
      </w:tr>
      <w:tr w14:paraId="07B22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5226" w:type="dxa"/>
            <w:vAlign w:val="center"/>
          </w:tcPr>
          <w:p w14:paraId="080203E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低于60分</w:t>
            </w:r>
          </w:p>
        </w:tc>
        <w:tc>
          <w:tcPr>
            <w:tcW w:w="3078" w:type="dxa"/>
            <w:vAlign w:val="center"/>
          </w:tcPr>
          <w:p w14:paraId="11925A7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60%</w:t>
            </w:r>
          </w:p>
        </w:tc>
      </w:tr>
    </w:tbl>
    <w:p w14:paraId="2ED3F774">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eastAsia="宋体" w:cs="宋体"/>
          <w:sz w:val="21"/>
          <w:szCs w:val="21"/>
        </w:rPr>
        <w:t>供应商应自收到考核结果7个工作日内书面向采购人提出异议，并提交相关证明材料，如逾期未提出，视为认可考核结果。</w:t>
      </w:r>
      <w:r>
        <w:rPr>
          <w:rFonts w:hint="eastAsia" w:ascii="宋体" w:hAnsi="宋体" w:cs="宋体"/>
          <w:szCs w:val="21"/>
        </w:rPr>
        <w:t>如在合同履行期间，甲方因乙方的考核扣减履约保证金的，乙方应在7日内将保证金恢复至原有数额。</w:t>
      </w:r>
    </w:p>
    <w:p w14:paraId="3E97477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合同履行完毕乙方出具监理总结报告，并顺利通过甲方《广西生态环境信息化建设项目专项监理服务考核评分表》的考核（每期考核≥80分即为通过考核），经甲方确认后，履约保证金将于5个工作日内无息退还给乙方。如涉及考核扣款，将从履约保证金中扣减，如在合同履行期间，甲方因乙方的考核扣减履约保证金的，乙方应在7日内将保证金恢复至原有数额。</w:t>
      </w:r>
      <w:bookmarkStart w:id="177" w:name="_Hlk210067529"/>
    </w:p>
    <w:p w14:paraId="7EEAFE6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甲方收取履约保证金的指定账户信息：</w:t>
      </w:r>
    </w:p>
    <w:bookmarkEnd w:id="177"/>
    <w:p w14:paraId="2DA4473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开户名称：</w:t>
      </w:r>
      <w:r>
        <w:rPr>
          <w:rFonts w:hint="eastAsia" w:ascii="宋体" w:hAnsi="宋体" w:cs="宋体"/>
          <w:szCs w:val="21"/>
          <w:u w:val="single"/>
        </w:rPr>
        <w:t>广西壮族自治区环境信息中心</w:t>
      </w:r>
    </w:p>
    <w:p w14:paraId="08DFD29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开户银行：</w:t>
      </w:r>
      <w:r>
        <w:rPr>
          <w:rFonts w:hint="eastAsia" w:ascii="宋体" w:hAnsi="宋体" w:cs="宋体"/>
          <w:szCs w:val="21"/>
          <w:u w:val="single"/>
        </w:rPr>
        <w:t>交通银行南宁市凤翔支行</w:t>
      </w:r>
    </w:p>
    <w:p w14:paraId="52D0DB89">
      <w:pPr>
        <w:widowControl/>
        <w:tabs>
          <w:tab w:val="left" w:pos="709"/>
        </w:tabs>
        <w:adjustRightInd w:val="0"/>
        <w:snapToGrid w:val="0"/>
        <w:spacing w:after="240" w:line="400" w:lineRule="exact"/>
        <w:ind w:firstLine="420" w:firstLineChars="200"/>
        <w:jc w:val="left"/>
        <w:rPr>
          <w:rFonts w:hint="eastAsia" w:ascii="宋体" w:hAnsi="宋体" w:cs="宋体"/>
          <w:szCs w:val="21"/>
          <w:u w:val="single"/>
        </w:rPr>
      </w:pPr>
      <w:r>
        <w:rPr>
          <w:rFonts w:hint="eastAsia" w:ascii="宋体" w:hAnsi="宋体" w:cs="宋体"/>
          <w:szCs w:val="21"/>
        </w:rPr>
        <w:t>银行账号：</w:t>
      </w:r>
    </w:p>
    <w:p w14:paraId="558407B9">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第八条　税费</w:t>
      </w:r>
    </w:p>
    <w:p w14:paraId="201CA181">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合同执行中相关的一切税费均由乙方负担。</w:t>
      </w:r>
    </w:p>
    <w:p w14:paraId="65EF8698">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第九条　违约责任</w:t>
      </w:r>
    </w:p>
    <w:p w14:paraId="3B0D398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乙方没有按照合同、招标文件、投标文件规定及乙方承诺的时间或期限提供服务的，每逾期一日，应按合同合计金额的3‰向甲方支付逾期提供服务的违约金；逾期超过十日的，甲方有权单方解除合同，并要求乙方退还已收取的款项，同时乙方应按照合同合计金额的10%向甲方支付违约金并承担因此给甲方造成的全部经济损失。</w:t>
      </w:r>
    </w:p>
    <w:p w14:paraId="30A3F23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乙方所提供的服务、服务质量、服务内容等不符合合同、招标文件、投标文件规定及乙方承诺的要求的，甲方有权要求乙方整改完毕后再验收。乙方应按甲方的要求，在甲方指定的期限内予以更换或改进，未在甲方指定的期限内更换或改进的，按乙方逾期提供服务处理，乙方应承担第九条第1款约定的违约责任。</w:t>
      </w:r>
    </w:p>
    <w:p w14:paraId="03AE6AD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乙方提供的服务如侵犯了第三方合法权益而引发的任何纠纷或者诉讼，均由乙方负责交涉并承担全部责任。如甲方为解决纠纷矛盾先行垫付了费用的，乙方应当自收到甲方要求偿还费用的函之日起五日内向甲方偿还完毕，逾期未偿还，乙方承担应向甲方支付合同合计金额20％的违约金并赔偿甲方经济损失。</w:t>
      </w:r>
    </w:p>
    <w:p w14:paraId="2C1B7A1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4.乙方因履行合同所发生的其他违约行为，每违约一次，应按合同合计金额的5%向甲方支付违约金，并赔偿甲方因此所造成全部损失。</w:t>
      </w:r>
    </w:p>
    <w:p w14:paraId="5A454D1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5.乙方支付的违约金不足以弥补甲方损失的，应承担赔偿责任，甲方有权继续向乙方追偿。甲方有权从乙方已支付给甲方的任何款项（含履约保证金）、甲方应支付未支付给乙方的款项中直接抵扣。</w:t>
      </w:r>
    </w:p>
    <w:p w14:paraId="36BF652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6.本合同所称的“全部损失”、“一切损失”、“甲方经济损失”或者“甲方损失”等，包括但不限于甲方遭受的全部直接经济损失、间接损失及为此支出的合理费用（包括但不限于为此支出的调查费、诉讼费、保全费、保全保险费、垫付资金占用费、公证费、评估鉴定费、律师费、差旅费等）。</w:t>
      </w:r>
    </w:p>
    <w:p w14:paraId="010794C3">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7.甲方延期付款的，每天向乙方偿付延期款额3‰的违约金，但违约金累计不得超过延期款额的5%。</w:t>
      </w:r>
    </w:p>
    <w:p w14:paraId="5FA76BD5">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第十条　知识产权归属</w:t>
      </w:r>
    </w:p>
    <w:p w14:paraId="41E026A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乙方保证，甲乙双方在本合同执行中形成的任何成果或知识产权的所有权，归甲方所有，而且乙方应当完成甲方知识产权所有权确认所必需的全部行为、证书和文件等，并提供相应的支持和协助。</w:t>
      </w:r>
    </w:p>
    <w:p w14:paraId="6B41D2CF">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第十一条　保密条款</w:t>
      </w:r>
    </w:p>
    <w:p w14:paraId="6F28A85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1.甲乙双方都负有保守对方的单位机密或商业秘密的义务，保密范围包括但不限于技术情报、数据资料及其他公开后对对方造成影响或损失的秘密。</w:t>
      </w:r>
    </w:p>
    <w:p w14:paraId="31B466C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2.任何一方违反保密条款，给对方造成损失，应按对方的实际损失承担赔偿责任。</w:t>
      </w:r>
    </w:p>
    <w:p w14:paraId="16D7A92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3.本条款不因合同的变更、解除和终止而失效。</w:t>
      </w:r>
    </w:p>
    <w:p w14:paraId="18175AA1">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第十二条　不可抗力事件处理</w:t>
      </w:r>
    </w:p>
    <w:p w14:paraId="59E3F66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1.在合同有效期内，任何一方因不可抗力事件导致不能履行合同，则合同履行期可延长，其延长期与不可抗力影响期相同。</w:t>
      </w:r>
    </w:p>
    <w:p w14:paraId="0978263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2.不可抗力事件发生后，应立即通知对方，并寄送有关权威机构出具的证明。</w:t>
      </w:r>
    </w:p>
    <w:p w14:paraId="5CB04C4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3.不可抗力事件延续一百二十天以上，双方应通过友好协商，确定是否继续履行合同。</w:t>
      </w:r>
    </w:p>
    <w:p w14:paraId="636E59F5">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4.合同履行过程中，因接受政府行政指令而无法履行的，接受政府行政指令的一方可以免除责任。</w:t>
      </w:r>
    </w:p>
    <w:p w14:paraId="26AA873A">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第十三条　合同争议解决</w:t>
      </w:r>
    </w:p>
    <w:p w14:paraId="50910AC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因服务质量问题发生争议的，甲方有权单方邀请具有相应资质的机构或专家进行鉴定，由乙方先行垫付或甲方有权在应向乙方支付的剩余款项中先行扣付鉴定费。经鉴定，服务符合标准的，鉴定费由甲方承担；服务不符合标准的，鉴定费由乙方承担。</w:t>
      </w:r>
    </w:p>
    <w:p w14:paraId="2B6D467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2.因履行本合同引起的或者与本合同有关的争议，甲乙双方应首先通过友好协商解决，如果协商不能解决，任何一方均有权向甲方所在地有管辖权人民法院提起诉讼。</w:t>
      </w:r>
    </w:p>
    <w:p w14:paraId="091C826D">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第十四条　合同生效及其他</w:t>
      </w:r>
    </w:p>
    <w:p w14:paraId="632F75E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1.合同经甲乙双方法定代表人或者授权代表签字并加盖单位公章后生效。</w:t>
      </w:r>
    </w:p>
    <w:p w14:paraId="639DAD37">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2.合同执行中涉及采购资金和采购内容修改或者补充的，须经政府采购监管部门审批，经甲乙双方协商一致签书面补充协议并报政府采购监管部门备案，方可作为主合同不可分割的一部分。</w:t>
      </w:r>
    </w:p>
    <w:p w14:paraId="0C6D673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3.合同未尽事宜，遵照《中华人民共和国民法典》等相关法律、法规规定有关条文执行。</w:t>
      </w:r>
    </w:p>
    <w:p w14:paraId="4332B13A">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第十五条　合同的变更、终止与转让</w:t>
      </w:r>
    </w:p>
    <w:p w14:paraId="08637CD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1.除《中华人民共和国政府采购法》第五十条规定的情形外，本合同一经签订，甲乙双方不得擅自变更、中止或者终止。</w:t>
      </w:r>
    </w:p>
    <w:p w14:paraId="05B20C7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未经甲方书面同意，乙方不得擅自将其在本合同中的权利及义务全部或部分转让给第三人。一经发现，甲方有权立即解除本合同，并要求乙方退还已收取的款项，同时乙方应按照合同合计金额的30%向甲方支付违约金并承担因此给甲方造成的全部损失。</w:t>
      </w:r>
    </w:p>
    <w:p w14:paraId="52AEE75C">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第十六条　本合同与下列文件一起构成合同文件</w:t>
      </w:r>
    </w:p>
    <w:p w14:paraId="3EE904A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1.保密协议；</w:t>
      </w:r>
    </w:p>
    <w:p w14:paraId="7389FF01">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2.中标通知书；</w:t>
      </w:r>
    </w:p>
    <w:p w14:paraId="38C2056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3.竞标报价表；</w:t>
      </w:r>
    </w:p>
    <w:p w14:paraId="6D31858E">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4.采购需求；</w:t>
      </w:r>
    </w:p>
    <w:p w14:paraId="00C67411">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5.商务条款偏离表和服务需求偏离表；</w:t>
      </w:r>
    </w:p>
    <w:p w14:paraId="46F2C0B7">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6.投标文件中的其他相关文件。</w:t>
      </w:r>
    </w:p>
    <w:p w14:paraId="128CB94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上述合同文件互相补充和解释。如果合同文件之间存在矛盾或者不一致之处，以本合同、上述文件的排列顺序在先者为准。</w:t>
      </w:r>
    </w:p>
    <w:p w14:paraId="5BC14BF0">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第十七条　其他约定事项</w:t>
      </w:r>
    </w:p>
    <w:p w14:paraId="7B1699B6">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1.本合同所有附件及相关文件均为本合同的有效组成部分，与本合同具有同等法律效力。若合同附件与本合同存在不一致的，则以本合同为准。</w:t>
      </w:r>
    </w:p>
    <w:p w14:paraId="3448EC74">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2.在履行本合同过程中，所有经甲乙双方签署确认的文件（包括会议纪要、补充协议、往来信函、电子邮件等）即成为本合同的有效组成部分。</w:t>
      </w:r>
    </w:p>
    <w:p w14:paraId="6E1853D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3.合同履行期间所有产生费用，包括评审费，劳务费等，由乙方负责，甲方不承担任何费用。</w:t>
      </w:r>
    </w:p>
    <w:p w14:paraId="03928A6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4.甲乙双方确认，以下为各方真实有效通讯地址：</w:t>
      </w:r>
    </w:p>
    <w:p w14:paraId="4AA9C6E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甲方：</w:t>
      </w:r>
      <w:r>
        <w:rPr>
          <w:rFonts w:hint="eastAsia" w:ascii="宋体" w:hAnsi="宋体" w:cs="宋体"/>
          <w:szCs w:val="21"/>
          <w:u w:val="single"/>
        </w:rPr>
        <w:t>广西壮族自治区环境信息中心</w:t>
      </w:r>
      <w:r>
        <w:rPr>
          <w:rFonts w:hint="eastAsia" w:ascii="宋体" w:hAnsi="宋体" w:cs="宋体"/>
          <w:szCs w:val="21"/>
        </w:rPr>
        <w:t xml:space="preserve"> ，</w:t>
      </w:r>
    </w:p>
    <w:p w14:paraId="5C29069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广西南宁市青秀区佛子岭路 16 号</w:t>
      </w:r>
      <w:r>
        <w:rPr>
          <w:rFonts w:hint="eastAsia" w:ascii="宋体" w:hAnsi="宋体" w:cs="宋体"/>
          <w:szCs w:val="21"/>
        </w:rPr>
        <w:t xml:space="preserve">， </w:t>
      </w:r>
    </w:p>
    <w:p w14:paraId="155C9DF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收件人：</w:t>
      </w:r>
      <w:r>
        <w:rPr>
          <w:rFonts w:hint="eastAsia" w:ascii="宋体" w:hAnsi="宋体" w:cs="宋体"/>
          <w:szCs w:val="21"/>
          <w:u w:val="single"/>
        </w:rPr>
        <w:t>韦工</w:t>
      </w:r>
      <w:r>
        <w:rPr>
          <w:rFonts w:hint="eastAsia" w:ascii="宋体" w:hAnsi="宋体" w:cs="宋体"/>
          <w:szCs w:val="21"/>
        </w:rPr>
        <w:t xml:space="preserve">  ，</w:t>
      </w:r>
    </w:p>
    <w:p w14:paraId="7C0BBAD0">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联系电话：，</w:t>
      </w:r>
    </w:p>
    <w:p w14:paraId="6A33851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电子邮箱：。</w:t>
      </w:r>
    </w:p>
    <w:p w14:paraId="6713841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乙方：，</w:t>
      </w:r>
    </w:p>
    <w:p w14:paraId="149AB91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地址：，</w:t>
      </w:r>
    </w:p>
    <w:p w14:paraId="19551DF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收件人：，</w:t>
      </w:r>
    </w:p>
    <w:p w14:paraId="56B1B85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联系电话：，</w:t>
      </w:r>
    </w:p>
    <w:p w14:paraId="2B8C19B2">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电子邮箱：。</w:t>
      </w:r>
    </w:p>
    <w:p w14:paraId="1535BB8F">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一方向对方发出的任何通知、信函和文件，以挂号信函或快递信函方式向对方地址邮寄有关通知、信函和文件的，自发出之日起第三日视为送达对方，挂号信函或快递信函的邮寄凭证即视为成功送达的有效凭证。一方地址变更的，应提前5个工作日书面通知对方，否则上述地址仍为真实有效通讯地址，由不及时通知的一方承担不利后果。</w:t>
      </w:r>
    </w:p>
    <w:p w14:paraId="55BAD73C">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涉及法院诉讼（一审、二审、再审、执行），法院按本合同主文送达条款所约定地址、电话、联系人等送达法律文书，法院邮寄法律文书后第三日，视为各方收到法律文书（无论是否签收，是否由他人代收，是否拒收，是否因地址/电话错误而被退回）法院无须进行公告送达。本条款不因合同的变更、解除和终止而失效。</w:t>
      </w:r>
    </w:p>
    <w:p w14:paraId="17DF2287">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5.本合同一式</w:t>
      </w:r>
      <w:r>
        <w:rPr>
          <w:rFonts w:hint="eastAsia" w:ascii="宋体" w:hAnsi="宋体" w:cs="宋体"/>
          <w:szCs w:val="21"/>
          <w:u w:val="single"/>
        </w:rPr>
        <w:t>　陆　</w:t>
      </w:r>
      <w:r>
        <w:rPr>
          <w:rFonts w:hint="eastAsia" w:ascii="宋体" w:hAnsi="宋体" w:cs="宋体"/>
          <w:szCs w:val="21"/>
        </w:rPr>
        <w:t>份，自甲乙双方法定代表人或委托代理人在本合同上签字并加盖公章之日起正式生效。本合同采购代理机构执</w:t>
      </w:r>
      <w:r>
        <w:rPr>
          <w:rFonts w:hint="eastAsia" w:ascii="宋体" w:hAnsi="宋体" w:cs="宋体"/>
          <w:szCs w:val="21"/>
          <w:u w:val="single"/>
        </w:rPr>
        <w:t>壹</w:t>
      </w:r>
      <w:r>
        <w:rPr>
          <w:rFonts w:hint="eastAsia" w:ascii="宋体" w:hAnsi="宋体" w:cs="宋体"/>
          <w:szCs w:val="21"/>
        </w:rPr>
        <w:t>份，甲方执</w:t>
      </w:r>
      <w:r>
        <w:rPr>
          <w:rFonts w:hint="eastAsia" w:ascii="宋体" w:hAnsi="宋体" w:cs="宋体"/>
          <w:szCs w:val="21"/>
          <w:u w:val="single"/>
        </w:rPr>
        <w:t>　叁　</w:t>
      </w:r>
      <w:r>
        <w:rPr>
          <w:rFonts w:hint="eastAsia" w:ascii="宋体" w:hAnsi="宋体" w:cs="宋体"/>
          <w:szCs w:val="21"/>
        </w:rPr>
        <w:t>份，乙方执</w:t>
      </w:r>
      <w:r>
        <w:rPr>
          <w:rFonts w:hint="eastAsia" w:ascii="宋体" w:hAnsi="宋体" w:cs="宋体"/>
          <w:szCs w:val="21"/>
          <w:u w:val="single"/>
        </w:rPr>
        <w:t>　贰　</w:t>
      </w:r>
      <w:r>
        <w:rPr>
          <w:rFonts w:hint="eastAsia" w:ascii="宋体" w:hAnsi="宋体" w:cs="宋体"/>
          <w:szCs w:val="21"/>
        </w:rPr>
        <w:t>份具有同等法律效力。</w:t>
      </w:r>
    </w:p>
    <w:p w14:paraId="3296E904">
      <w:pPr>
        <w:widowControl/>
        <w:tabs>
          <w:tab w:val="left" w:pos="709"/>
        </w:tabs>
        <w:adjustRightInd w:val="0"/>
        <w:snapToGrid w:val="0"/>
        <w:spacing w:after="240" w:line="400" w:lineRule="exact"/>
        <w:ind w:firstLine="422" w:firstLineChars="200"/>
        <w:jc w:val="left"/>
        <w:rPr>
          <w:rFonts w:hint="eastAsia" w:ascii="宋体" w:hAnsi="宋体" w:cs="宋体"/>
          <w:b/>
          <w:bCs/>
          <w:szCs w:val="21"/>
        </w:rPr>
      </w:pPr>
      <w:r>
        <w:rPr>
          <w:rFonts w:hint="eastAsia" w:ascii="宋体" w:hAnsi="宋体" w:cs="宋体"/>
          <w:b/>
          <w:bCs/>
          <w:szCs w:val="21"/>
        </w:rPr>
        <w:t>第十八条　合同附件</w:t>
      </w:r>
    </w:p>
    <w:p w14:paraId="3A028748">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附件一：保密协议</w:t>
      </w:r>
    </w:p>
    <w:p w14:paraId="18AB399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附件二：采购需求</w:t>
      </w:r>
    </w:p>
    <w:p w14:paraId="037F4DE9">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附件三：竞标报价表</w:t>
      </w:r>
    </w:p>
    <w:p w14:paraId="79BF45CA">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附件四：开标一览表</w:t>
      </w:r>
    </w:p>
    <w:p w14:paraId="2EB025C3">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附件五：服务要求偏离表</w:t>
      </w:r>
    </w:p>
    <w:p w14:paraId="13CBFEDD">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附件六：中标通知书</w:t>
      </w:r>
    </w:p>
    <w:p w14:paraId="78DDD29B">
      <w:pPr>
        <w:widowControl/>
        <w:tabs>
          <w:tab w:val="left" w:pos="709"/>
        </w:tabs>
        <w:adjustRightInd w:val="0"/>
        <w:snapToGrid w:val="0"/>
        <w:spacing w:after="240" w:line="400" w:lineRule="exact"/>
        <w:ind w:firstLine="420" w:firstLineChars="200"/>
        <w:jc w:val="left"/>
        <w:rPr>
          <w:rFonts w:hint="eastAsia" w:ascii="宋体" w:hAnsi="宋体" w:cs="宋体"/>
          <w:szCs w:val="21"/>
        </w:rPr>
      </w:pPr>
      <w:r>
        <w:rPr>
          <w:rFonts w:hint="eastAsia" w:ascii="宋体" w:hAnsi="宋体" w:cs="宋体"/>
          <w:szCs w:val="21"/>
        </w:rPr>
        <w:t xml:space="preserve">附件七：中小企业声明函（如有）  </w:t>
      </w:r>
    </w:p>
    <w:p w14:paraId="4DE67A6D">
      <w:pPr>
        <w:widowControl/>
        <w:tabs>
          <w:tab w:val="left" w:pos="709"/>
        </w:tabs>
        <w:adjustRightInd w:val="0"/>
        <w:snapToGrid w:val="0"/>
        <w:spacing w:after="240" w:line="600" w:lineRule="exact"/>
        <w:ind w:firstLine="420" w:firstLineChars="200"/>
        <w:jc w:val="left"/>
        <w:rPr>
          <w:rFonts w:hint="eastAsia" w:ascii="宋体" w:hAnsi="宋体" w:cs="宋体"/>
          <w:szCs w:val="21"/>
        </w:rPr>
      </w:pPr>
    </w:p>
    <w:tbl>
      <w:tblPr>
        <w:tblStyle w:val="18"/>
        <w:tblW w:w="8270" w:type="dxa"/>
        <w:tblInd w:w="122" w:type="dxa"/>
        <w:tblLayout w:type="fixed"/>
        <w:tblCellMar>
          <w:top w:w="0" w:type="dxa"/>
          <w:left w:w="108" w:type="dxa"/>
          <w:bottom w:w="0" w:type="dxa"/>
          <w:right w:w="108" w:type="dxa"/>
        </w:tblCellMar>
      </w:tblPr>
      <w:tblGrid>
        <w:gridCol w:w="4165"/>
        <w:gridCol w:w="4105"/>
      </w:tblGrid>
      <w:tr w14:paraId="559F9D14">
        <w:tblPrEx>
          <w:tblCellMar>
            <w:top w:w="0" w:type="dxa"/>
            <w:left w:w="108" w:type="dxa"/>
            <w:bottom w:w="0" w:type="dxa"/>
            <w:right w:w="108" w:type="dxa"/>
          </w:tblCellMar>
        </w:tblPrEx>
        <w:trPr>
          <w:trHeight w:val="981" w:hRule="atLeast"/>
        </w:trPr>
        <w:tc>
          <w:tcPr>
            <w:tcW w:w="4165" w:type="dxa"/>
          </w:tcPr>
          <w:p w14:paraId="34BFBBEA">
            <w:pPr>
              <w:widowControl/>
              <w:tabs>
                <w:tab w:val="left" w:pos="709"/>
              </w:tabs>
              <w:adjustRightInd w:val="0"/>
              <w:snapToGrid w:val="0"/>
              <w:spacing w:after="240" w:line="600" w:lineRule="exact"/>
              <w:jc w:val="left"/>
              <w:rPr>
                <w:rFonts w:hint="eastAsia" w:ascii="宋体" w:hAnsi="宋体" w:cs="宋体"/>
                <w:szCs w:val="21"/>
              </w:rPr>
            </w:pPr>
            <w:r>
              <w:rPr>
                <w:rFonts w:hint="eastAsia" w:ascii="宋体" w:hAnsi="宋体" w:cs="宋体"/>
                <w:szCs w:val="21"/>
              </w:rPr>
              <w:t>甲方：</w:t>
            </w:r>
          </w:p>
        </w:tc>
        <w:tc>
          <w:tcPr>
            <w:tcW w:w="4105" w:type="dxa"/>
          </w:tcPr>
          <w:p w14:paraId="5C734EDB">
            <w:pPr>
              <w:widowControl/>
              <w:tabs>
                <w:tab w:val="left" w:pos="709"/>
              </w:tabs>
              <w:adjustRightInd w:val="0"/>
              <w:snapToGrid w:val="0"/>
              <w:spacing w:after="240" w:line="600" w:lineRule="exact"/>
              <w:jc w:val="left"/>
              <w:rPr>
                <w:rFonts w:hint="eastAsia" w:ascii="宋体" w:hAnsi="宋体" w:cs="宋体"/>
                <w:szCs w:val="21"/>
              </w:rPr>
            </w:pPr>
            <w:r>
              <w:rPr>
                <w:rFonts w:hint="eastAsia" w:ascii="宋体" w:hAnsi="宋体" w:cs="宋体"/>
                <w:szCs w:val="21"/>
              </w:rPr>
              <w:t xml:space="preserve">乙方： </w:t>
            </w:r>
          </w:p>
        </w:tc>
      </w:tr>
      <w:tr w14:paraId="31E038B6">
        <w:tblPrEx>
          <w:tblCellMar>
            <w:top w:w="0" w:type="dxa"/>
            <w:left w:w="108" w:type="dxa"/>
            <w:bottom w:w="0" w:type="dxa"/>
            <w:right w:w="108" w:type="dxa"/>
          </w:tblCellMar>
        </w:tblPrEx>
        <w:trPr>
          <w:trHeight w:val="1050" w:hRule="atLeast"/>
        </w:trPr>
        <w:tc>
          <w:tcPr>
            <w:tcW w:w="4165" w:type="dxa"/>
          </w:tcPr>
          <w:p w14:paraId="7EE49A59">
            <w:pPr>
              <w:widowControl/>
              <w:tabs>
                <w:tab w:val="left" w:pos="709"/>
              </w:tabs>
              <w:adjustRightInd w:val="0"/>
              <w:snapToGrid w:val="0"/>
              <w:spacing w:after="240" w:line="600" w:lineRule="exact"/>
              <w:jc w:val="left"/>
              <w:rPr>
                <w:rFonts w:hint="eastAsia" w:ascii="宋体" w:hAnsi="宋体" w:cs="宋体"/>
                <w:szCs w:val="21"/>
              </w:rPr>
            </w:pPr>
            <w:r>
              <w:rPr>
                <w:rFonts w:hint="eastAsia" w:ascii="宋体" w:hAnsi="宋体" w:cs="宋体"/>
                <w:szCs w:val="21"/>
              </w:rPr>
              <w:t>法定代表人（负责人）或授权代表：</w:t>
            </w:r>
          </w:p>
          <w:p w14:paraId="3C393168">
            <w:pPr>
              <w:widowControl/>
              <w:tabs>
                <w:tab w:val="left" w:pos="709"/>
              </w:tabs>
              <w:adjustRightInd w:val="0"/>
              <w:snapToGrid w:val="0"/>
              <w:spacing w:after="240" w:line="600" w:lineRule="exact"/>
              <w:ind w:firstLine="420" w:firstLineChars="200"/>
              <w:jc w:val="left"/>
              <w:rPr>
                <w:rFonts w:hint="eastAsia" w:ascii="宋体" w:hAnsi="宋体" w:cs="宋体"/>
                <w:szCs w:val="21"/>
              </w:rPr>
            </w:pPr>
          </w:p>
          <w:p w14:paraId="60137296">
            <w:pPr>
              <w:widowControl/>
              <w:tabs>
                <w:tab w:val="left" w:pos="709"/>
              </w:tabs>
              <w:adjustRightInd w:val="0"/>
              <w:snapToGrid w:val="0"/>
              <w:spacing w:after="240" w:line="600" w:lineRule="exact"/>
              <w:ind w:firstLine="420" w:firstLineChars="200"/>
              <w:jc w:val="left"/>
              <w:rPr>
                <w:rFonts w:hint="eastAsia" w:ascii="宋体" w:hAnsi="宋体" w:cs="宋体"/>
                <w:szCs w:val="21"/>
              </w:rPr>
            </w:pPr>
          </w:p>
        </w:tc>
        <w:tc>
          <w:tcPr>
            <w:tcW w:w="4105" w:type="dxa"/>
          </w:tcPr>
          <w:p w14:paraId="18B42696">
            <w:pPr>
              <w:widowControl/>
              <w:tabs>
                <w:tab w:val="left" w:pos="709"/>
              </w:tabs>
              <w:adjustRightInd w:val="0"/>
              <w:snapToGrid w:val="0"/>
              <w:spacing w:after="240" w:line="600" w:lineRule="exact"/>
              <w:jc w:val="left"/>
              <w:rPr>
                <w:rFonts w:hint="eastAsia" w:ascii="宋体" w:hAnsi="宋体" w:cs="宋体"/>
                <w:szCs w:val="21"/>
              </w:rPr>
            </w:pPr>
            <w:r>
              <w:rPr>
                <w:rFonts w:hint="eastAsia" w:ascii="宋体" w:hAnsi="宋体" w:cs="宋体"/>
                <w:szCs w:val="21"/>
              </w:rPr>
              <w:t>法定代表人（负责人）或授权代表：</w:t>
            </w:r>
          </w:p>
          <w:p w14:paraId="63D91ACC">
            <w:pPr>
              <w:widowControl/>
              <w:tabs>
                <w:tab w:val="left" w:pos="709"/>
              </w:tabs>
              <w:adjustRightInd w:val="0"/>
              <w:snapToGrid w:val="0"/>
              <w:spacing w:after="240" w:line="600" w:lineRule="exact"/>
              <w:ind w:firstLine="420" w:firstLineChars="200"/>
              <w:jc w:val="left"/>
              <w:rPr>
                <w:rFonts w:hint="eastAsia" w:ascii="宋体" w:hAnsi="宋体" w:cs="宋体"/>
                <w:szCs w:val="21"/>
              </w:rPr>
            </w:pPr>
          </w:p>
          <w:p w14:paraId="6943436E">
            <w:pPr>
              <w:widowControl/>
              <w:tabs>
                <w:tab w:val="left" w:pos="709"/>
              </w:tabs>
              <w:adjustRightInd w:val="0"/>
              <w:snapToGrid w:val="0"/>
              <w:spacing w:after="240" w:line="600" w:lineRule="exact"/>
              <w:ind w:firstLine="420" w:firstLineChars="200"/>
              <w:jc w:val="left"/>
              <w:rPr>
                <w:rFonts w:hint="eastAsia" w:ascii="宋体" w:hAnsi="宋体" w:cs="宋体"/>
                <w:szCs w:val="21"/>
              </w:rPr>
            </w:pPr>
          </w:p>
        </w:tc>
      </w:tr>
      <w:tr w14:paraId="1E415567">
        <w:tblPrEx>
          <w:tblCellMar>
            <w:top w:w="0" w:type="dxa"/>
            <w:left w:w="108" w:type="dxa"/>
            <w:bottom w:w="0" w:type="dxa"/>
            <w:right w:w="108" w:type="dxa"/>
          </w:tblCellMar>
        </w:tblPrEx>
        <w:trPr>
          <w:trHeight w:val="921" w:hRule="atLeast"/>
        </w:trPr>
        <w:tc>
          <w:tcPr>
            <w:tcW w:w="4165" w:type="dxa"/>
          </w:tcPr>
          <w:p w14:paraId="18113602">
            <w:pPr>
              <w:widowControl/>
              <w:tabs>
                <w:tab w:val="left" w:pos="709"/>
              </w:tabs>
              <w:adjustRightInd w:val="0"/>
              <w:snapToGrid w:val="0"/>
              <w:spacing w:after="240" w:line="600" w:lineRule="exact"/>
              <w:ind w:firstLine="420" w:firstLineChars="200"/>
              <w:jc w:val="right"/>
              <w:rPr>
                <w:rFonts w:hint="eastAsia" w:ascii="宋体" w:hAnsi="宋体" w:cs="宋体"/>
                <w:szCs w:val="21"/>
              </w:rPr>
            </w:pPr>
            <w:r>
              <w:rPr>
                <w:rFonts w:hint="eastAsia" w:ascii="宋体" w:hAnsi="宋体" w:cs="宋体"/>
                <w:szCs w:val="21"/>
              </w:rPr>
              <w:t>年   月   日</w:t>
            </w:r>
          </w:p>
        </w:tc>
        <w:tc>
          <w:tcPr>
            <w:tcW w:w="4105" w:type="dxa"/>
          </w:tcPr>
          <w:p w14:paraId="7BADC588">
            <w:pPr>
              <w:widowControl/>
              <w:tabs>
                <w:tab w:val="left" w:pos="709"/>
              </w:tabs>
              <w:adjustRightInd w:val="0"/>
              <w:snapToGrid w:val="0"/>
              <w:spacing w:after="240" w:line="600" w:lineRule="exact"/>
              <w:ind w:firstLine="420" w:firstLineChars="200"/>
              <w:jc w:val="right"/>
              <w:rPr>
                <w:rFonts w:hint="eastAsia" w:ascii="宋体" w:hAnsi="宋体" w:cs="宋体"/>
                <w:szCs w:val="21"/>
              </w:rPr>
            </w:pPr>
            <w:r>
              <w:rPr>
                <w:rFonts w:hint="eastAsia" w:ascii="宋体" w:hAnsi="宋体" w:cs="宋体"/>
                <w:szCs w:val="21"/>
              </w:rPr>
              <w:t>年   月   日</w:t>
            </w:r>
          </w:p>
        </w:tc>
      </w:tr>
    </w:tbl>
    <w:p w14:paraId="712D8CD6">
      <w:pPr>
        <w:snapToGrid w:val="0"/>
        <w:spacing w:line="400" w:lineRule="exact"/>
        <w:ind w:firstLine="420" w:firstLineChars="200"/>
        <w:jc w:val="left"/>
        <w:rPr>
          <w:rFonts w:hint="eastAsia" w:ascii="宋体" w:hAnsi="宋体" w:cs="宋体"/>
          <w:szCs w:val="21"/>
        </w:rPr>
      </w:pPr>
    </w:p>
    <w:p w14:paraId="730615D1">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bookmarkStart w:id="178" w:name="_Toc74320805"/>
    </w:p>
    <w:p w14:paraId="3EEC4B08">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p>
    <w:p w14:paraId="131434E2">
      <w:pPr>
        <w:rPr>
          <w:rFonts w:hint="eastAsia" w:ascii="方正小标宋_GBK" w:hAnsi="方正小标宋_GBK" w:eastAsia="方正小标宋_GBK" w:cs="方正小标宋_GBK"/>
          <w:szCs w:val="21"/>
        </w:rPr>
      </w:pPr>
    </w:p>
    <w:p w14:paraId="1DA657AD">
      <w:pPr>
        <w:pStyle w:val="2"/>
        <w:rPr>
          <w:rFonts w:hint="eastAsia" w:ascii="方正小标宋_GBK" w:hAnsi="方正小标宋_GBK" w:eastAsia="方正小标宋_GBK" w:cs="方正小标宋_GBK"/>
          <w:kern w:val="2"/>
          <w:sz w:val="21"/>
          <w:szCs w:val="21"/>
        </w:rPr>
      </w:pPr>
    </w:p>
    <w:p w14:paraId="5BD18D32">
      <w:pPr>
        <w:pStyle w:val="3"/>
        <w:outlineLvl w:val="9"/>
        <w:rPr>
          <w:rFonts w:hint="eastAsia" w:ascii="方正小标宋_GBK" w:hAnsi="方正小标宋_GBK" w:eastAsia="方正小标宋_GBK" w:cs="方正小标宋_GBK"/>
          <w:bCs w:val="0"/>
          <w:sz w:val="21"/>
          <w:szCs w:val="21"/>
        </w:rPr>
      </w:pPr>
    </w:p>
    <w:p w14:paraId="205029D6">
      <w:pPr>
        <w:rPr>
          <w:rFonts w:hint="eastAsia" w:ascii="方正小标宋_GBK" w:hAnsi="方正小标宋_GBK" w:eastAsia="方正小标宋_GBK" w:cs="方正小标宋_GBK"/>
          <w:szCs w:val="21"/>
        </w:rPr>
      </w:pPr>
    </w:p>
    <w:p w14:paraId="5E698F59">
      <w:pPr>
        <w:pStyle w:val="2"/>
        <w:rPr>
          <w:rFonts w:hint="eastAsia" w:ascii="方正小标宋_GBK" w:hAnsi="方正小标宋_GBK" w:eastAsia="方正小标宋_GBK" w:cs="方正小标宋_GBK"/>
          <w:kern w:val="2"/>
          <w:sz w:val="21"/>
          <w:szCs w:val="21"/>
        </w:rPr>
      </w:pPr>
    </w:p>
    <w:p w14:paraId="25B55B12">
      <w:pPr>
        <w:pStyle w:val="3"/>
        <w:outlineLvl w:val="9"/>
        <w:rPr>
          <w:rFonts w:hint="eastAsia" w:ascii="方正小标宋_GBK" w:hAnsi="方正小标宋_GBK" w:eastAsia="方正小标宋_GBK" w:cs="方正小标宋_GBK"/>
          <w:bCs w:val="0"/>
          <w:sz w:val="21"/>
          <w:szCs w:val="21"/>
        </w:rPr>
      </w:pPr>
    </w:p>
    <w:p w14:paraId="4886CCC4">
      <w:pPr>
        <w:rPr>
          <w:rFonts w:hint="eastAsia" w:ascii="方正小标宋_GBK" w:hAnsi="方正小标宋_GBK" w:eastAsia="方正小标宋_GBK" w:cs="方正小标宋_GBK"/>
          <w:szCs w:val="21"/>
        </w:rPr>
      </w:pPr>
    </w:p>
    <w:p w14:paraId="3595786A">
      <w:pPr>
        <w:pStyle w:val="3"/>
        <w:jc w:val="both"/>
        <w:outlineLvl w:val="9"/>
      </w:pPr>
    </w:p>
    <w:p w14:paraId="5B26FA2F">
      <w:pPr>
        <w:rPr>
          <w:rFonts w:hint="eastAsia" w:ascii="宋体" w:hAnsi="宋体" w:cs="宋体"/>
          <w:b/>
          <w:bCs/>
          <w:szCs w:val="21"/>
        </w:rPr>
      </w:pPr>
      <w:r>
        <w:rPr>
          <w:rFonts w:hint="eastAsia" w:ascii="宋体" w:hAnsi="宋体" w:cs="宋体"/>
          <w:b/>
          <w:bCs/>
          <w:szCs w:val="21"/>
        </w:rPr>
        <w:br w:type="page"/>
      </w:r>
    </w:p>
    <w:p w14:paraId="7D367C15">
      <w:pPr>
        <w:pStyle w:val="2"/>
        <w:spacing w:line="600" w:lineRule="exact"/>
        <w:ind w:firstLine="422" w:firstLineChars="200"/>
        <w:rPr>
          <w:rFonts w:hint="eastAsia" w:ascii="宋体" w:hAnsi="宋体" w:cs="宋体"/>
          <w:b/>
          <w:bCs/>
          <w:sz w:val="21"/>
          <w:szCs w:val="21"/>
        </w:rPr>
      </w:pPr>
      <w:r>
        <w:rPr>
          <w:rFonts w:hint="eastAsia" w:ascii="宋体" w:hAnsi="宋体" w:cs="宋体"/>
          <w:b/>
          <w:bCs/>
          <w:sz w:val="21"/>
          <w:szCs w:val="21"/>
        </w:rPr>
        <w:t>附件一：保密协议</w:t>
      </w:r>
    </w:p>
    <w:p w14:paraId="7BA969F6">
      <w:pPr>
        <w:pStyle w:val="2"/>
        <w:spacing w:line="600" w:lineRule="exact"/>
        <w:ind w:firstLine="562" w:firstLineChars="200"/>
        <w:jc w:val="center"/>
        <w:rPr>
          <w:rFonts w:hint="eastAsia" w:ascii="宋体" w:hAnsi="宋体" w:cs="宋体"/>
          <w:sz w:val="21"/>
          <w:szCs w:val="21"/>
        </w:rPr>
      </w:pPr>
      <w:r>
        <w:rPr>
          <w:rFonts w:hint="eastAsia" w:ascii="宋体" w:hAnsi="宋体" w:cs="宋体"/>
          <w:b/>
          <w:bCs/>
          <w:sz w:val="28"/>
          <w:szCs w:val="28"/>
        </w:rPr>
        <w:t>保密协议</w:t>
      </w:r>
    </w:p>
    <w:p w14:paraId="226DFBBC">
      <w:pPr>
        <w:pStyle w:val="2"/>
        <w:spacing w:line="400" w:lineRule="exact"/>
        <w:ind w:firstLine="843" w:firstLineChars="400"/>
        <w:rPr>
          <w:rFonts w:hint="eastAsia" w:ascii="宋体" w:hAnsi="宋体" w:cs="宋体"/>
          <w:b/>
          <w:bCs/>
          <w:sz w:val="21"/>
          <w:szCs w:val="21"/>
        </w:rPr>
      </w:pPr>
      <w:r>
        <w:rPr>
          <w:rFonts w:hint="eastAsia" w:ascii="宋体" w:hAnsi="宋体" w:cs="宋体"/>
          <w:b/>
          <w:bCs/>
          <w:sz w:val="21"/>
          <w:szCs w:val="21"/>
        </w:rPr>
        <w:t>甲方：</w:t>
      </w:r>
    </w:p>
    <w:p w14:paraId="75463B80">
      <w:pPr>
        <w:pStyle w:val="2"/>
        <w:spacing w:line="400" w:lineRule="exact"/>
        <w:ind w:firstLine="840" w:firstLineChars="400"/>
        <w:rPr>
          <w:rFonts w:hint="eastAsia" w:ascii="宋体" w:hAnsi="宋体" w:cs="宋体"/>
          <w:sz w:val="21"/>
          <w:szCs w:val="21"/>
          <w:u w:val="single"/>
        </w:rPr>
      </w:pPr>
      <w:r>
        <w:rPr>
          <w:rFonts w:hint="eastAsia" w:ascii="宋体" w:hAnsi="宋体" w:cs="宋体"/>
          <w:sz w:val="21"/>
          <w:szCs w:val="21"/>
        </w:rPr>
        <w:t>负责人：</w:t>
      </w:r>
    </w:p>
    <w:p w14:paraId="7BC5FD09">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 xml:space="preserve">    地址：</w:t>
      </w:r>
      <w:r>
        <w:rPr>
          <w:rFonts w:hint="eastAsia" w:ascii="宋体" w:hAnsi="宋体" w:cs="宋体"/>
          <w:sz w:val="21"/>
          <w:szCs w:val="21"/>
          <w:u w:val="single"/>
        </w:rPr>
        <w:t>广西南宁市青秀区佛子岭路16号</w:t>
      </w:r>
    </w:p>
    <w:p w14:paraId="65F27983">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乙方：</w:t>
      </w:r>
    </w:p>
    <w:p w14:paraId="0794094A">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 xml:space="preserve">    法定代表人：</w:t>
      </w:r>
    </w:p>
    <w:p w14:paraId="29341068">
      <w:pPr>
        <w:pStyle w:val="2"/>
        <w:spacing w:line="400" w:lineRule="exact"/>
        <w:ind w:firstLine="840" w:firstLineChars="400"/>
        <w:rPr>
          <w:rFonts w:hint="eastAsia" w:ascii="宋体" w:hAnsi="宋体" w:cs="宋体"/>
          <w:sz w:val="21"/>
          <w:szCs w:val="21"/>
        </w:rPr>
      </w:pPr>
      <w:r>
        <w:rPr>
          <w:rFonts w:hint="eastAsia" w:ascii="宋体" w:hAnsi="宋体" w:cs="宋体"/>
          <w:sz w:val="21"/>
          <w:szCs w:val="21"/>
        </w:rPr>
        <w:t>地址：</w:t>
      </w:r>
    </w:p>
    <w:p w14:paraId="46D240F5">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鉴于本协议甲乙双方就双方签订的编号为的项目等开展业务/合作；在开展业务/合作的过程中，预计甲方将为上述之目的向乙方披露甲方的专有信息且此等信息均被视为保密信息；因此，双方在此达成如下保密协议：</w:t>
      </w:r>
    </w:p>
    <w:p w14:paraId="33D57B0B">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一、本协议保密信息的界定</w:t>
      </w:r>
    </w:p>
    <w:p w14:paraId="39D53333">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为本协议之目的，“保密信息”是指为实现前述业务/合作目的,甲方向乙方提供或披露的任何甲方不欲公开的机密信息，或者任何其它非公开或专有的信息、数据、设想或概念、标准，和/或其中的任何知识产权，无论该等信息或数据的载体形式、也不论披露是在本协议生效之前或之后。本协议所指保密信息包括但不限于以下内容：</w:t>
      </w:r>
    </w:p>
    <w:p w14:paraId="00E8621F">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技术信息：包括甲方专有的技术方案、网络组织、系统及应用软件、数据库、未公开的具有国内先进水平以上的科技成果、技术文档、商务合同、招标方案、评标结果、涉及商业秘密的业务函电等。</w:t>
      </w:r>
    </w:p>
    <w:p w14:paraId="191298B5">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经营信息：包括甲方发展战略规划、投资计划及年度计划；甲方策略、资料、重大活动计划及安排、暂不公开或不公开的对接单位、合作伙伴相关信息；甲方重要会议内容及记录、以及管理相关文件。</w:t>
      </w:r>
    </w:p>
    <w:p w14:paraId="3226171F">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其他：针对业务/合作需要，甲方向乙方提供的所有相关资料和数据。</w:t>
      </w:r>
    </w:p>
    <w:p w14:paraId="2EF6960F">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（二）上述保密信息的披露，包括但不限于以数据、文字、录音及记载上述内容的文档、光盘、软件、图书等有形介质体现，也可通过口头等视听方式传递。</w:t>
      </w:r>
    </w:p>
    <w:p w14:paraId="55F1B81A">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二、以下信息不属于本协议所定义的保密信息，不受本协议的约束：</w:t>
      </w:r>
    </w:p>
    <w:p w14:paraId="7C64673C">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（一）乙方能够证明已处于公开状态或并不违反本协议即可获得的任何信息；</w:t>
      </w:r>
    </w:p>
    <w:p w14:paraId="285F463E">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（二）书面记录能够证明从甲方收到前乙方已经掌握的信息；</w:t>
      </w:r>
    </w:p>
    <w:p w14:paraId="538E1647">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（三）经甲方书面同意披露或许可使用的信息。</w:t>
      </w:r>
    </w:p>
    <w:p w14:paraId="0C576C11">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三、保密义务及具体要求</w:t>
      </w:r>
    </w:p>
    <w:p w14:paraId="71246242">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乙方应以对待自己同等重要的保密文件一样的谨慎态度对待甲方提供的保密信息，乙方应要求其获悉保密信息的所有人员采取必要的措施对收到的保密信息进行存档和保密，避免任何其他第三方及乙方的无关人员以任何方式获得此保密信息；</w:t>
      </w:r>
    </w:p>
    <w:p w14:paraId="4BD33565">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（二）乙方保证该保密信息仅用于与业务/合作有关的用途。未经甲方书面同意，乙方不得将保密信息用于业务/合作以外的任何用途、不得对保密信息进行复制、或利用保密信息进行新的研究或开发；</w:t>
      </w:r>
    </w:p>
    <w:p w14:paraId="4E167518">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三）乙方保证仅为与甲方业务/合作的目的向乙方确有知悉必要的雇员、董事、顾问和/或咨询人员披露保密信息，且对保密信息的披露及利用符合甲方的利益。在乙方上述人员知悉该保密信息前，应向其说明保密信息的保密性及其应承担的义务，保证上述人员同意接收本协议条款的约束，并对上述人员的保密行为进行有效的监督管理。因前述人员违背上述承诺，向第三方披露保密信息，或依据该等保密信息向第三方做出任何建议，都被视为乙方违反本协议，乙方应承担全部责任，且乙方应采取有效措施防止泄密进一步扩大，并及时告知甲方；</w:t>
      </w:r>
    </w:p>
    <w:p w14:paraId="709D2D89">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（四）甲方的保密信息的部分或个别要素虽被披露成为公知信息，但该信息的其它部分或整体尚未成为公知信息的，乙方仍应按本协议约定对未公开部分的信息履行保密义务；</w:t>
      </w:r>
    </w:p>
    <w:p w14:paraId="359BC157">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（五）对于本协议签署前、签署过程及履行等过程中，乙方所接触到的甲方及甲方关联单位的保密信息，乙方应依据本协议约定履行保密义务。</w:t>
      </w:r>
    </w:p>
    <w:p w14:paraId="21A04E16">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（六）甲方如发现乙方存在涉及保密信息保护措施缺失、数据滥用、严重泄露等问题，甲方有权按照本协议相关条款进行处理，并且对于已产生的实际损失和不良影响，由乙方全责承担。</w:t>
      </w:r>
    </w:p>
    <w:p w14:paraId="231602C5">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四、保密期限</w:t>
      </w:r>
    </w:p>
    <w:p w14:paraId="4F1BF077">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乙方保密的义务长期有效。无论双方业务/合作协议是否成立、届满、终止或被取代，乙方的保密义务应持续有效，直到甲方以书面形式明确说明解除乙方此项义务，或事实上不会因违反保密义务而给甲方造成任何形式的损害时为止；</w:t>
      </w:r>
    </w:p>
    <w:p w14:paraId="1C56EA5A">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（二）双方业务/合作终止后，乙方应及时将承载保密信息的介质原件及复制件全部返还甲方，或对复制件进行彻底销毁，或按甲方要求的其他形式处理。最迟不得超过甲方发出交还或处理通知之日起三十日。</w:t>
      </w:r>
    </w:p>
    <w:p w14:paraId="67B55477">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五、违约责任</w:t>
      </w:r>
    </w:p>
    <w:p w14:paraId="0E0C5B86">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（一）如乙方有违反本协议的情形，无论故意与过失，应当立即停止侵害，并在第一时间采取一切必要措施防止保密信息的扩散，尽最大可能消除影响；</w:t>
      </w:r>
    </w:p>
    <w:p w14:paraId="1FE4E2A2">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乙方未履行或未完全履行本协议项下的条款均构成违约，乙方应赔偿因此而给甲方造成的一切损失，包括但不限于甲方因调查违约行为支出的调查费、仲裁费、诉讼费、聘请律师的律师费、保全费、保全保险费、评估鉴定费、差旅费等支付的合理费用和开支。</w:t>
      </w:r>
    </w:p>
    <w:p w14:paraId="363E5BB0">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六、其他</w:t>
      </w:r>
    </w:p>
    <w:p w14:paraId="22043C57">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（一）本协议适用中华人民共和国法律法规的规定，凡因本协议引起的或与本协议有关的任何争议，双方可通过协商解决。协商不成则将争议提交甲方所在地有管辖权的人民法院通过诉讼方式解决。</w:t>
      </w:r>
    </w:p>
    <w:p w14:paraId="2738D56E">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二）合作过程中，甲方披露的保密信息的权属可能归属于甲方的关联公司，乙方同意该等信息的保密按本协议约定履行。本协议所指甲方关联公司为：甲方在签订本协议时或将来直接或间接控制该方、或由该方控制、或与该方共同受他方控制的任何实体。</w:t>
      </w:r>
    </w:p>
    <w:p w14:paraId="2657FFA1">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（三）本协议之条款非经双方签署书面文件不得加以修改、放弃。</w:t>
      </w:r>
    </w:p>
    <w:p w14:paraId="42659179">
      <w:pPr>
        <w:pStyle w:val="2"/>
        <w:spacing w:line="400" w:lineRule="exact"/>
        <w:ind w:firstLine="420" w:firstLineChars="200"/>
        <w:rPr>
          <w:rFonts w:hint="eastAsia" w:ascii="宋体" w:hAnsi="宋体" w:cs="宋体"/>
          <w:sz w:val="21"/>
          <w:szCs w:val="21"/>
        </w:rPr>
      </w:pPr>
      <w:r>
        <w:rPr>
          <w:rFonts w:hint="eastAsia" w:ascii="宋体" w:hAnsi="宋体" w:cs="宋体"/>
          <w:sz w:val="21"/>
          <w:szCs w:val="21"/>
        </w:rPr>
        <w:t>（四）本协议经双方法定代表人或授权代表签字并加盖公章之日起生效，一式</w:t>
      </w:r>
      <w:r>
        <w:rPr>
          <w:rFonts w:hint="eastAsia" w:ascii="宋体" w:hAnsi="宋体" w:cs="宋体"/>
          <w:sz w:val="21"/>
          <w:szCs w:val="21"/>
          <w:u w:val="single"/>
        </w:rPr>
        <w:t>陆</w:t>
      </w:r>
      <w:r>
        <w:rPr>
          <w:rFonts w:hint="eastAsia" w:ascii="宋体" w:hAnsi="宋体" w:cs="宋体"/>
          <w:sz w:val="21"/>
          <w:szCs w:val="21"/>
        </w:rPr>
        <w:t>份，甲方执</w:t>
      </w:r>
      <w:r>
        <w:rPr>
          <w:rFonts w:hint="eastAsia" w:ascii="宋体" w:hAnsi="宋体" w:cs="宋体"/>
          <w:sz w:val="21"/>
          <w:szCs w:val="21"/>
          <w:u w:val="single"/>
        </w:rPr>
        <w:t>叁</w:t>
      </w:r>
      <w:r>
        <w:rPr>
          <w:rFonts w:hint="eastAsia" w:ascii="宋体" w:hAnsi="宋体" w:cs="宋体"/>
          <w:sz w:val="21"/>
          <w:szCs w:val="21"/>
        </w:rPr>
        <w:t>份，乙方执</w:t>
      </w:r>
      <w:r>
        <w:rPr>
          <w:rFonts w:hint="eastAsia" w:ascii="宋体" w:hAnsi="宋体" w:cs="宋体"/>
          <w:sz w:val="21"/>
          <w:szCs w:val="21"/>
          <w:u w:val="single"/>
        </w:rPr>
        <w:t>贰</w:t>
      </w:r>
      <w:r>
        <w:rPr>
          <w:rFonts w:hint="eastAsia" w:ascii="宋体" w:hAnsi="宋体" w:cs="宋体"/>
          <w:sz w:val="21"/>
          <w:szCs w:val="21"/>
        </w:rPr>
        <w:t>份，采购代理机构</w:t>
      </w:r>
      <w:r>
        <w:rPr>
          <w:rFonts w:hint="eastAsia" w:ascii="宋体" w:hAnsi="宋体" w:cs="宋体"/>
          <w:sz w:val="21"/>
          <w:szCs w:val="21"/>
          <w:u w:val="single"/>
        </w:rPr>
        <w:t>壹</w:t>
      </w:r>
      <w:r>
        <w:rPr>
          <w:rFonts w:hint="eastAsia" w:ascii="宋体" w:hAnsi="宋体" w:cs="宋体"/>
          <w:sz w:val="21"/>
          <w:szCs w:val="21"/>
        </w:rPr>
        <w:t>份，协议具有同等法律效力。</w:t>
      </w:r>
    </w:p>
    <w:p w14:paraId="61A13A20">
      <w:pPr>
        <w:pStyle w:val="3"/>
        <w:outlineLvl w:val="9"/>
      </w:pPr>
    </w:p>
    <w:tbl>
      <w:tblPr>
        <w:tblStyle w:val="18"/>
        <w:tblW w:w="8283" w:type="dxa"/>
        <w:tblInd w:w="122" w:type="dxa"/>
        <w:tblLayout w:type="fixed"/>
        <w:tblCellMar>
          <w:top w:w="0" w:type="dxa"/>
          <w:left w:w="108" w:type="dxa"/>
          <w:bottom w:w="0" w:type="dxa"/>
          <w:right w:w="108" w:type="dxa"/>
        </w:tblCellMar>
      </w:tblPr>
      <w:tblGrid>
        <w:gridCol w:w="4070"/>
        <w:gridCol w:w="4213"/>
      </w:tblGrid>
      <w:tr w14:paraId="29513578">
        <w:tblPrEx>
          <w:tblCellMar>
            <w:top w:w="0" w:type="dxa"/>
            <w:left w:w="108" w:type="dxa"/>
            <w:bottom w:w="0" w:type="dxa"/>
            <w:right w:w="108" w:type="dxa"/>
          </w:tblCellMar>
        </w:tblPrEx>
        <w:trPr>
          <w:trHeight w:val="981" w:hRule="atLeast"/>
        </w:trPr>
        <w:tc>
          <w:tcPr>
            <w:tcW w:w="4070" w:type="dxa"/>
          </w:tcPr>
          <w:p w14:paraId="1EF9459F">
            <w:pPr>
              <w:pStyle w:val="2"/>
              <w:spacing w:line="600" w:lineRule="exact"/>
              <w:rPr>
                <w:rFonts w:hint="eastAsia" w:ascii="宋体" w:hAnsi="宋体" w:cs="宋体"/>
                <w:sz w:val="21"/>
                <w:szCs w:val="21"/>
              </w:rPr>
            </w:pPr>
            <w:r>
              <w:rPr>
                <w:rFonts w:hint="eastAsia" w:ascii="宋体" w:hAnsi="宋体" w:cs="宋体"/>
                <w:sz w:val="21"/>
                <w:szCs w:val="21"/>
              </w:rPr>
              <w:t>甲方：</w:t>
            </w:r>
          </w:p>
        </w:tc>
        <w:tc>
          <w:tcPr>
            <w:tcW w:w="4213" w:type="dxa"/>
          </w:tcPr>
          <w:p w14:paraId="098FDEE6">
            <w:pPr>
              <w:pStyle w:val="2"/>
              <w:spacing w:line="600" w:lineRule="exact"/>
              <w:rPr>
                <w:rFonts w:hint="eastAsia" w:ascii="宋体" w:hAnsi="宋体" w:cs="宋体"/>
                <w:sz w:val="21"/>
                <w:szCs w:val="21"/>
              </w:rPr>
            </w:pPr>
            <w:r>
              <w:rPr>
                <w:rFonts w:hint="eastAsia" w:ascii="宋体" w:hAnsi="宋体" w:cs="宋体"/>
                <w:sz w:val="21"/>
                <w:szCs w:val="21"/>
              </w:rPr>
              <w:t xml:space="preserve">乙方： </w:t>
            </w:r>
          </w:p>
        </w:tc>
      </w:tr>
      <w:tr w14:paraId="651C874C">
        <w:tblPrEx>
          <w:tblCellMar>
            <w:top w:w="0" w:type="dxa"/>
            <w:left w:w="108" w:type="dxa"/>
            <w:bottom w:w="0" w:type="dxa"/>
            <w:right w:w="108" w:type="dxa"/>
          </w:tblCellMar>
        </w:tblPrEx>
        <w:trPr>
          <w:trHeight w:val="1050" w:hRule="atLeast"/>
        </w:trPr>
        <w:tc>
          <w:tcPr>
            <w:tcW w:w="4070" w:type="dxa"/>
          </w:tcPr>
          <w:p w14:paraId="40821CB9">
            <w:pPr>
              <w:pStyle w:val="2"/>
              <w:spacing w:line="600" w:lineRule="exact"/>
              <w:rPr>
                <w:rFonts w:hint="eastAsia" w:ascii="宋体" w:hAnsi="宋体" w:cs="宋体"/>
                <w:sz w:val="21"/>
                <w:szCs w:val="21"/>
              </w:rPr>
            </w:pPr>
            <w:r>
              <w:rPr>
                <w:rFonts w:hint="eastAsia" w:ascii="宋体" w:hAnsi="宋体" w:cs="宋体"/>
                <w:sz w:val="21"/>
                <w:szCs w:val="21"/>
              </w:rPr>
              <w:t>法定代表人（负责人）或授权代表：</w:t>
            </w:r>
          </w:p>
          <w:p w14:paraId="74AFA116">
            <w:pPr>
              <w:pStyle w:val="2"/>
              <w:spacing w:line="600" w:lineRule="exact"/>
              <w:ind w:firstLine="420" w:firstLineChars="200"/>
              <w:rPr>
                <w:rFonts w:hint="eastAsia" w:ascii="宋体" w:hAnsi="宋体" w:cs="宋体"/>
                <w:sz w:val="21"/>
                <w:szCs w:val="21"/>
              </w:rPr>
            </w:pPr>
          </w:p>
          <w:p w14:paraId="63E19EDD">
            <w:pPr>
              <w:pStyle w:val="2"/>
              <w:spacing w:line="600" w:lineRule="exact"/>
              <w:ind w:firstLine="420" w:firstLineChars="200"/>
              <w:rPr>
                <w:rFonts w:hint="eastAsia" w:ascii="宋体" w:hAnsi="宋体" w:cs="宋体"/>
                <w:sz w:val="21"/>
                <w:szCs w:val="21"/>
              </w:rPr>
            </w:pPr>
          </w:p>
        </w:tc>
        <w:tc>
          <w:tcPr>
            <w:tcW w:w="4213" w:type="dxa"/>
          </w:tcPr>
          <w:p w14:paraId="4581F131">
            <w:pPr>
              <w:pStyle w:val="2"/>
              <w:spacing w:line="600" w:lineRule="exact"/>
              <w:rPr>
                <w:rFonts w:hint="eastAsia" w:ascii="宋体" w:hAnsi="宋体" w:cs="宋体"/>
                <w:sz w:val="21"/>
                <w:szCs w:val="21"/>
              </w:rPr>
            </w:pPr>
            <w:r>
              <w:rPr>
                <w:rFonts w:hint="eastAsia" w:ascii="宋体" w:hAnsi="宋体" w:cs="宋体"/>
                <w:sz w:val="21"/>
                <w:szCs w:val="21"/>
              </w:rPr>
              <w:t>法定代表人（负责人）或授权代表：</w:t>
            </w:r>
          </w:p>
          <w:p w14:paraId="2CC7CF0A">
            <w:pPr>
              <w:pStyle w:val="2"/>
              <w:spacing w:line="600" w:lineRule="exact"/>
              <w:ind w:firstLine="420" w:firstLineChars="200"/>
              <w:rPr>
                <w:rFonts w:hint="eastAsia" w:ascii="宋体" w:hAnsi="宋体" w:cs="宋体"/>
                <w:sz w:val="21"/>
                <w:szCs w:val="21"/>
              </w:rPr>
            </w:pPr>
          </w:p>
          <w:p w14:paraId="26AC6996">
            <w:pPr>
              <w:pStyle w:val="2"/>
              <w:spacing w:line="600" w:lineRule="exact"/>
              <w:ind w:firstLine="420" w:firstLineChars="200"/>
              <w:rPr>
                <w:rFonts w:hint="eastAsia" w:ascii="宋体" w:hAnsi="宋体" w:cs="宋体"/>
                <w:sz w:val="21"/>
                <w:szCs w:val="21"/>
              </w:rPr>
            </w:pPr>
          </w:p>
        </w:tc>
      </w:tr>
      <w:tr w14:paraId="21BB85D5">
        <w:tblPrEx>
          <w:tblCellMar>
            <w:top w:w="0" w:type="dxa"/>
            <w:left w:w="108" w:type="dxa"/>
            <w:bottom w:w="0" w:type="dxa"/>
            <w:right w:w="108" w:type="dxa"/>
          </w:tblCellMar>
        </w:tblPrEx>
        <w:trPr>
          <w:trHeight w:val="601" w:hRule="atLeast"/>
        </w:trPr>
        <w:tc>
          <w:tcPr>
            <w:tcW w:w="4070" w:type="dxa"/>
          </w:tcPr>
          <w:p w14:paraId="69BD3172">
            <w:pPr>
              <w:pStyle w:val="2"/>
              <w:spacing w:line="600" w:lineRule="exact"/>
              <w:ind w:firstLine="420" w:firstLineChars="200"/>
              <w:jc w:val="right"/>
              <w:rPr>
                <w:rFonts w:hint="eastAsia" w:ascii="宋体" w:hAnsi="宋体" w:cs="宋体"/>
                <w:sz w:val="21"/>
                <w:szCs w:val="21"/>
              </w:rPr>
            </w:pPr>
            <w:r>
              <w:rPr>
                <w:rFonts w:hint="eastAsia" w:ascii="宋体" w:hAnsi="宋体" w:cs="宋体"/>
                <w:sz w:val="21"/>
                <w:szCs w:val="21"/>
              </w:rPr>
              <w:t>年   月   日</w:t>
            </w:r>
          </w:p>
        </w:tc>
        <w:tc>
          <w:tcPr>
            <w:tcW w:w="4213" w:type="dxa"/>
          </w:tcPr>
          <w:p w14:paraId="62915C7D">
            <w:pPr>
              <w:pStyle w:val="2"/>
              <w:spacing w:line="600" w:lineRule="exact"/>
              <w:ind w:firstLine="420" w:firstLineChars="200"/>
              <w:jc w:val="right"/>
              <w:rPr>
                <w:rFonts w:hint="eastAsia" w:ascii="宋体" w:hAnsi="宋体" w:cs="宋体"/>
                <w:sz w:val="21"/>
                <w:szCs w:val="21"/>
              </w:rPr>
            </w:pPr>
            <w:r>
              <w:rPr>
                <w:rFonts w:hint="eastAsia" w:ascii="宋体" w:hAnsi="宋体" w:cs="宋体"/>
                <w:sz w:val="21"/>
                <w:szCs w:val="21"/>
              </w:rPr>
              <w:t>年   月   日</w:t>
            </w:r>
          </w:p>
        </w:tc>
      </w:tr>
    </w:tbl>
    <w:p w14:paraId="5901F322">
      <w:pPr>
        <w:tabs>
          <w:tab w:val="left" w:pos="0"/>
          <w:tab w:val="left" w:pos="3165"/>
          <w:tab w:val="center" w:pos="4153"/>
        </w:tabs>
        <w:autoSpaceDE w:val="0"/>
        <w:autoSpaceDN w:val="0"/>
        <w:adjustRightInd w:val="0"/>
        <w:spacing w:line="400" w:lineRule="exact"/>
        <w:rPr>
          <w:rFonts w:hint="eastAsia" w:ascii="方正小标宋_GBK" w:hAnsi="方正小标宋_GBK" w:eastAsia="方正小标宋_GBK" w:cs="方正小标宋_GBK"/>
          <w:szCs w:val="21"/>
        </w:rPr>
      </w:pPr>
    </w:p>
    <w:p w14:paraId="49B34EC8">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p>
    <w:p w14:paraId="77564420">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p>
    <w:p w14:paraId="4E1861AE">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p>
    <w:p w14:paraId="38774006">
      <w:pPr>
        <w:widowControl/>
        <w:tabs>
          <w:tab w:val="left" w:pos="709"/>
        </w:tabs>
        <w:adjustRightInd w:val="0"/>
        <w:snapToGrid w:val="0"/>
        <w:spacing w:after="240" w:line="600" w:lineRule="exact"/>
        <w:ind w:firstLine="420" w:firstLineChars="200"/>
        <w:jc w:val="left"/>
        <w:rPr>
          <w:rFonts w:hint="eastAsia" w:ascii="方正小标宋_GBK" w:hAnsi="方正小标宋_GBK" w:eastAsia="方正小标宋_GBK" w:cs="方正小标宋_GBK"/>
          <w:szCs w:val="21"/>
        </w:rPr>
      </w:pPr>
    </w:p>
    <w:p w14:paraId="50692765">
      <w:pPr>
        <w:rPr>
          <w:rFonts w:hint="eastAsia" w:ascii="方正小标宋_GBK" w:hAnsi="方正小标宋_GBK" w:eastAsia="方正小标宋_GBK" w:cs="方正小标宋_GBK"/>
          <w:bCs/>
          <w:szCs w:val="21"/>
        </w:rPr>
      </w:pPr>
    </w:p>
    <w:p w14:paraId="59D55926">
      <w:pPr>
        <w:pStyle w:val="2"/>
        <w:rPr>
          <w:rFonts w:hint="eastAsia" w:ascii="方正小标宋_GBK" w:hAnsi="方正小标宋_GBK" w:eastAsia="方正小标宋_GBK" w:cs="方正小标宋_GBK"/>
          <w:bCs/>
          <w:kern w:val="2"/>
          <w:sz w:val="21"/>
          <w:szCs w:val="21"/>
        </w:rPr>
      </w:pPr>
    </w:p>
    <w:p w14:paraId="6ED1523C">
      <w:pPr>
        <w:pStyle w:val="3"/>
        <w:outlineLvl w:val="9"/>
        <w:rPr>
          <w:rFonts w:hint="eastAsia" w:ascii="方正小标宋_GBK" w:hAnsi="方正小标宋_GBK" w:eastAsia="方正小标宋_GBK" w:cs="方正小标宋_GBK"/>
          <w:bCs w:val="0"/>
          <w:sz w:val="21"/>
          <w:szCs w:val="21"/>
        </w:rPr>
      </w:pPr>
    </w:p>
    <w:p w14:paraId="7D9C7593">
      <w:pPr>
        <w:rPr>
          <w:rFonts w:hint="eastAsia" w:ascii="方正小标宋_GBK" w:hAnsi="方正小标宋_GBK" w:eastAsia="方正小标宋_GBK" w:cs="方正小标宋_GBK"/>
          <w:bCs/>
          <w:szCs w:val="21"/>
        </w:rPr>
      </w:pPr>
    </w:p>
    <w:p w14:paraId="1F6D292B">
      <w:pPr>
        <w:pStyle w:val="2"/>
        <w:rPr>
          <w:rFonts w:hint="eastAsia" w:ascii="方正小标宋_GBK" w:hAnsi="方正小标宋_GBK" w:eastAsia="方正小标宋_GBK" w:cs="方正小标宋_GBK"/>
          <w:bCs/>
          <w:kern w:val="2"/>
          <w:sz w:val="21"/>
          <w:szCs w:val="21"/>
        </w:rPr>
      </w:pPr>
    </w:p>
    <w:p w14:paraId="62AC348B">
      <w:pPr>
        <w:pStyle w:val="3"/>
        <w:outlineLvl w:val="9"/>
        <w:rPr>
          <w:rFonts w:hint="eastAsia" w:ascii="方正小标宋_GBK" w:hAnsi="方正小标宋_GBK" w:eastAsia="方正小标宋_GBK" w:cs="方正小标宋_GBK"/>
          <w:bCs w:val="0"/>
          <w:sz w:val="21"/>
          <w:szCs w:val="21"/>
        </w:rPr>
      </w:pPr>
    </w:p>
    <w:p w14:paraId="035030A8">
      <w:pPr>
        <w:rPr>
          <w:rFonts w:hint="eastAsia" w:ascii="方正小标宋_GBK" w:hAnsi="方正小标宋_GBK" w:eastAsia="方正小标宋_GBK" w:cs="方正小标宋_GBK"/>
          <w:bCs/>
          <w:szCs w:val="21"/>
        </w:rPr>
      </w:pPr>
    </w:p>
    <w:p w14:paraId="133797E1">
      <w:pPr>
        <w:pStyle w:val="2"/>
        <w:rPr>
          <w:rFonts w:hint="eastAsia" w:ascii="方正小标宋_GBK" w:hAnsi="方正小标宋_GBK" w:eastAsia="方正小标宋_GBK" w:cs="方正小标宋_GBK"/>
          <w:bCs/>
          <w:kern w:val="2"/>
          <w:sz w:val="21"/>
          <w:szCs w:val="21"/>
        </w:rPr>
      </w:pPr>
    </w:p>
    <w:p w14:paraId="2CDED5F0">
      <w:pPr>
        <w:pStyle w:val="3"/>
        <w:outlineLvl w:val="9"/>
        <w:rPr>
          <w:rFonts w:hint="eastAsia" w:ascii="方正小标宋_GBK" w:hAnsi="方正小标宋_GBK" w:eastAsia="方正小标宋_GBK" w:cs="方正小标宋_GBK"/>
          <w:bCs w:val="0"/>
          <w:sz w:val="21"/>
          <w:szCs w:val="21"/>
        </w:rPr>
      </w:pPr>
    </w:p>
    <w:p w14:paraId="67E34B78">
      <w:pPr>
        <w:rPr>
          <w:rFonts w:hint="eastAsia" w:ascii="方正小标宋_GBK" w:hAnsi="方正小标宋_GBK" w:eastAsia="方正小标宋_GBK" w:cs="方正小标宋_GBK"/>
          <w:bCs/>
          <w:szCs w:val="21"/>
        </w:rPr>
      </w:pPr>
    </w:p>
    <w:p w14:paraId="45D1C3D2">
      <w:pPr>
        <w:pStyle w:val="2"/>
        <w:rPr>
          <w:rFonts w:hint="eastAsia" w:ascii="方正小标宋_GBK" w:hAnsi="方正小标宋_GBK" w:eastAsia="方正小标宋_GBK" w:cs="方正小标宋_GBK"/>
          <w:bCs/>
          <w:kern w:val="2"/>
          <w:sz w:val="21"/>
          <w:szCs w:val="21"/>
        </w:rPr>
      </w:pPr>
    </w:p>
    <w:p w14:paraId="0C84E460">
      <w:pPr>
        <w:pStyle w:val="3"/>
        <w:outlineLvl w:val="9"/>
      </w:pPr>
    </w:p>
    <w:p w14:paraId="404F6778">
      <w:pPr>
        <w:tabs>
          <w:tab w:val="left" w:pos="0"/>
          <w:tab w:val="left" w:pos="3165"/>
          <w:tab w:val="center" w:pos="4153"/>
        </w:tabs>
        <w:autoSpaceDE w:val="0"/>
        <w:autoSpaceDN w:val="0"/>
        <w:adjustRightInd w:val="0"/>
        <w:spacing w:line="400" w:lineRule="exact"/>
        <w:jc w:val="center"/>
        <w:rPr>
          <w:rFonts w:hint="eastAsia" w:ascii="方正小标宋_GBK" w:hAnsi="方正小标宋_GBK" w:eastAsia="方正小标宋_GBK" w:cs="方正小标宋_GBK"/>
          <w:szCs w:val="21"/>
        </w:rPr>
      </w:pPr>
    </w:p>
    <w:p w14:paraId="143B16CE">
      <w:pPr>
        <w:pStyle w:val="4"/>
        <w:tabs>
          <w:tab w:val="left" w:pos="0"/>
          <w:tab w:val="left" w:pos="3165"/>
          <w:tab w:val="center" w:pos="4153"/>
        </w:tabs>
        <w:autoSpaceDE w:val="0"/>
        <w:autoSpaceDN w:val="0"/>
        <w:adjustRightInd w:val="0"/>
        <w:spacing w:before="0" w:after="0" w:line="400" w:lineRule="exact"/>
        <w:jc w:val="center"/>
        <w:rPr>
          <w:rFonts w:hint="eastAsia" w:ascii="方正小标宋_GBK" w:hAnsi="方正小标宋_GBK" w:eastAsia="方正小标宋_GBK" w:cs="方正小标宋_GBK"/>
          <w:bCs w:val="0"/>
          <w:kern w:val="2"/>
          <w:sz w:val="21"/>
          <w:szCs w:val="21"/>
        </w:rPr>
      </w:pPr>
      <w:r>
        <w:rPr>
          <w:rFonts w:hint="eastAsia" w:ascii="方正小标宋_GBK" w:hAnsi="方正小标宋_GBK" w:eastAsia="方正小标宋_GBK" w:cs="方正小标宋_GBK"/>
          <w:bCs w:val="0"/>
          <w:kern w:val="2"/>
          <w:sz w:val="21"/>
          <w:szCs w:val="21"/>
        </w:rPr>
        <w:t>第六章　投标文件格式</w:t>
      </w:r>
      <w:bookmarkEnd w:id="178"/>
    </w:p>
    <w:p w14:paraId="7ADB0C8C">
      <w:pPr>
        <w:snapToGrid w:val="0"/>
        <w:spacing w:before="50" w:after="50" w:line="400" w:lineRule="exact"/>
        <w:rPr>
          <w:rFonts w:hint="eastAsia" w:ascii="宋体" w:hAnsi="宋体" w:cs="宋体"/>
          <w:szCs w:val="21"/>
        </w:rPr>
      </w:pPr>
    </w:p>
    <w:p w14:paraId="51236C85">
      <w:pPr>
        <w:snapToGrid w:val="0"/>
        <w:spacing w:before="50" w:after="50" w:line="400" w:lineRule="exact"/>
        <w:rPr>
          <w:rFonts w:hint="eastAsia" w:ascii="宋体" w:hAnsi="宋体" w:cs="宋体"/>
          <w:szCs w:val="21"/>
        </w:rPr>
      </w:pPr>
    </w:p>
    <w:p w14:paraId="488399E8">
      <w:pPr>
        <w:snapToGrid w:val="0"/>
        <w:spacing w:before="50" w:after="50" w:line="400" w:lineRule="exact"/>
        <w:rPr>
          <w:rFonts w:hint="eastAsia" w:ascii="宋体" w:hAnsi="宋体" w:cs="宋体"/>
          <w:szCs w:val="21"/>
        </w:rPr>
      </w:pPr>
    </w:p>
    <w:p w14:paraId="39B3A449">
      <w:pPr>
        <w:snapToGrid w:val="0"/>
        <w:spacing w:before="50" w:after="50" w:line="400" w:lineRule="exact"/>
        <w:rPr>
          <w:rFonts w:hint="eastAsia" w:ascii="宋体" w:hAnsi="宋体" w:cs="宋体"/>
          <w:szCs w:val="21"/>
        </w:rPr>
      </w:pPr>
    </w:p>
    <w:p w14:paraId="1E92F11A">
      <w:pPr>
        <w:snapToGrid w:val="0"/>
        <w:spacing w:before="50" w:after="50" w:line="400" w:lineRule="exact"/>
        <w:rPr>
          <w:rFonts w:hint="eastAsia" w:ascii="宋体" w:hAnsi="宋体" w:cs="宋体"/>
          <w:szCs w:val="21"/>
        </w:rPr>
      </w:pPr>
    </w:p>
    <w:p w14:paraId="0BAC0E5D">
      <w:pPr>
        <w:snapToGrid w:val="0"/>
        <w:spacing w:before="50" w:after="50" w:line="400" w:lineRule="exact"/>
        <w:rPr>
          <w:rFonts w:hint="eastAsia" w:ascii="宋体" w:hAnsi="宋体" w:cs="宋体"/>
          <w:szCs w:val="21"/>
        </w:rPr>
      </w:pPr>
    </w:p>
    <w:p w14:paraId="055BE176">
      <w:pPr>
        <w:snapToGrid w:val="0"/>
        <w:spacing w:before="50" w:after="50" w:line="400" w:lineRule="exact"/>
        <w:rPr>
          <w:rFonts w:hint="eastAsia" w:ascii="宋体" w:hAnsi="宋体" w:cs="宋体"/>
          <w:szCs w:val="21"/>
        </w:rPr>
      </w:pPr>
    </w:p>
    <w:p w14:paraId="5B9616CD">
      <w:pPr>
        <w:snapToGrid w:val="0"/>
        <w:spacing w:before="50" w:after="50" w:line="400" w:lineRule="exact"/>
        <w:rPr>
          <w:rFonts w:hint="eastAsia" w:ascii="宋体" w:hAnsi="宋体" w:cs="宋体"/>
          <w:szCs w:val="21"/>
        </w:rPr>
      </w:pPr>
    </w:p>
    <w:p w14:paraId="39A4F6FA">
      <w:pPr>
        <w:snapToGrid w:val="0"/>
        <w:spacing w:before="50" w:after="50" w:line="400" w:lineRule="exact"/>
        <w:rPr>
          <w:rFonts w:hint="eastAsia" w:ascii="宋体" w:hAnsi="宋体" w:cs="宋体"/>
          <w:szCs w:val="21"/>
        </w:rPr>
      </w:pPr>
    </w:p>
    <w:p w14:paraId="5A3C6A38">
      <w:pPr>
        <w:snapToGrid w:val="0"/>
        <w:spacing w:before="50" w:after="50" w:line="400" w:lineRule="exact"/>
        <w:rPr>
          <w:rFonts w:hint="eastAsia" w:ascii="宋体" w:hAnsi="宋体" w:cs="宋体"/>
          <w:szCs w:val="21"/>
        </w:rPr>
      </w:pPr>
    </w:p>
    <w:p w14:paraId="7F436FE7">
      <w:pPr>
        <w:snapToGrid w:val="0"/>
        <w:spacing w:before="50" w:after="50" w:line="400" w:lineRule="exact"/>
        <w:rPr>
          <w:rFonts w:hint="eastAsia" w:ascii="宋体" w:hAnsi="宋体" w:cs="宋体"/>
          <w:szCs w:val="21"/>
        </w:rPr>
      </w:pPr>
    </w:p>
    <w:p w14:paraId="225ECE4A">
      <w:pPr>
        <w:snapToGrid w:val="0"/>
        <w:spacing w:before="166" w:beforeLines="50" w:after="50" w:line="400" w:lineRule="exact"/>
        <w:jc w:val="center"/>
        <w:rPr>
          <w:rFonts w:hint="eastAsia" w:ascii="宋体" w:hAnsi="宋体" w:cs="宋体"/>
          <w:szCs w:val="21"/>
        </w:rPr>
      </w:pPr>
    </w:p>
    <w:p w14:paraId="2D383584">
      <w:pPr>
        <w:pStyle w:val="5"/>
        <w:spacing w:line="400" w:lineRule="exact"/>
        <w:jc w:val="center"/>
        <w:rPr>
          <w:rFonts w:hint="eastAsia" w:ascii="宋体" w:hAnsi="宋体" w:eastAsia="宋体" w:cs="宋体"/>
          <w:sz w:val="21"/>
          <w:szCs w:val="21"/>
        </w:rPr>
      </w:pPr>
      <w:bookmarkStart w:id="179" w:name="_Toc19686836"/>
      <w:bookmarkStart w:id="180" w:name="_Toc254970557"/>
      <w:bookmarkStart w:id="181" w:name="_Toc254970698"/>
      <w:r>
        <w:rPr>
          <w:rFonts w:hint="eastAsia" w:ascii="宋体" w:hAnsi="宋体" w:eastAsia="宋体" w:cs="宋体"/>
          <w:b w:val="0"/>
          <w:sz w:val="21"/>
          <w:szCs w:val="21"/>
        </w:rPr>
        <w:br w:type="page"/>
      </w:r>
      <w:bookmarkEnd w:id="179"/>
      <w:bookmarkEnd w:id="180"/>
      <w:bookmarkEnd w:id="181"/>
      <w:bookmarkStart w:id="182" w:name="_Toc22031"/>
      <w:bookmarkStart w:id="183" w:name="_Toc99033102"/>
      <w:r>
        <w:rPr>
          <w:rFonts w:hint="eastAsia" w:ascii="宋体" w:hAnsi="宋体" w:eastAsia="宋体"/>
          <w:sz w:val="21"/>
          <w:szCs w:val="21"/>
        </w:rPr>
        <w:t>第一节 投标文件封面格式</w:t>
      </w:r>
      <w:bookmarkEnd w:id="182"/>
      <w:bookmarkEnd w:id="183"/>
    </w:p>
    <w:p w14:paraId="25F9C889">
      <w:pPr>
        <w:spacing w:before="166" w:beforeLines="50" w:after="166" w:afterLines="50" w:line="400" w:lineRule="exact"/>
        <w:jc w:val="center"/>
        <w:rPr>
          <w:rFonts w:hint="eastAsia" w:ascii="宋体" w:hAnsi="宋体" w:cs="宋体"/>
          <w:spacing w:val="20"/>
          <w:szCs w:val="21"/>
        </w:rPr>
      </w:pPr>
    </w:p>
    <w:p w14:paraId="46D1D30E">
      <w:pPr>
        <w:spacing w:before="166" w:beforeLines="50" w:after="166" w:afterLines="50" w:line="400" w:lineRule="exact"/>
        <w:jc w:val="center"/>
        <w:rPr>
          <w:rFonts w:hint="eastAsia" w:ascii="宋体" w:hAnsi="宋体" w:cs="宋体"/>
          <w:spacing w:val="20"/>
          <w:szCs w:val="21"/>
        </w:rPr>
      </w:pPr>
    </w:p>
    <w:p w14:paraId="5B0B41FE">
      <w:pPr>
        <w:spacing w:before="166" w:beforeLines="50" w:after="166" w:afterLines="50" w:line="400" w:lineRule="exact"/>
        <w:jc w:val="center"/>
        <w:rPr>
          <w:rFonts w:hint="eastAsia" w:ascii="宋体" w:hAnsi="宋体" w:cs="宋体"/>
          <w:spacing w:val="20"/>
          <w:szCs w:val="21"/>
        </w:rPr>
      </w:pPr>
    </w:p>
    <w:p w14:paraId="3BA99510">
      <w:pPr>
        <w:spacing w:before="166" w:beforeLines="50" w:after="166" w:afterLines="50" w:line="400" w:lineRule="exact"/>
        <w:jc w:val="center"/>
        <w:rPr>
          <w:rFonts w:hint="eastAsia" w:ascii="宋体" w:hAnsi="宋体" w:cs="宋体"/>
          <w:spacing w:val="20"/>
          <w:szCs w:val="21"/>
        </w:rPr>
      </w:pPr>
    </w:p>
    <w:p w14:paraId="49469B26">
      <w:pPr>
        <w:spacing w:before="166" w:beforeLines="50" w:after="166" w:afterLines="50" w:line="400" w:lineRule="exact"/>
        <w:jc w:val="center"/>
        <w:rPr>
          <w:rFonts w:hint="eastAsia" w:ascii="宋体" w:hAnsi="宋体" w:cs="宋体"/>
          <w:spacing w:val="20"/>
          <w:szCs w:val="21"/>
        </w:rPr>
      </w:pPr>
      <w:r>
        <w:rPr>
          <w:rFonts w:hint="eastAsia" w:ascii="宋体" w:hAnsi="宋体" w:cs="宋体"/>
          <w:spacing w:val="20"/>
          <w:szCs w:val="21"/>
        </w:rPr>
        <w:t>XXXXX（项目名称）</w:t>
      </w:r>
    </w:p>
    <w:p w14:paraId="75BD6238">
      <w:pPr>
        <w:spacing w:before="166" w:beforeLines="50" w:after="166" w:afterLines="50" w:line="400" w:lineRule="exact"/>
        <w:jc w:val="center"/>
        <w:rPr>
          <w:rFonts w:hint="eastAsia" w:ascii="宋体" w:hAnsi="宋体" w:cs="宋体"/>
          <w:spacing w:val="40"/>
          <w:w w:val="110"/>
          <w:szCs w:val="21"/>
        </w:rPr>
      </w:pPr>
      <w:r>
        <w:rPr>
          <w:rFonts w:hint="eastAsia" w:ascii="宋体" w:hAnsi="宋体" w:cs="宋体"/>
          <w:spacing w:val="40"/>
          <w:w w:val="110"/>
          <w:szCs w:val="21"/>
        </w:rPr>
        <w:t>投标文件</w:t>
      </w:r>
    </w:p>
    <w:p w14:paraId="068C4070">
      <w:pPr>
        <w:spacing w:line="400" w:lineRule="exact"/>
        <w:jc w:val="center"/>
        <w:rPr>
          <w:rFonts w:hint="eastAsia" w:ascii="宋体" w:hAnsi="宋体" w:cs="宋体"/>
          <w:szCs w:val="21"/>
        </w:rPr>
      </w:pPr>
      <w:r>
        <w:rPr>
          <w:rFonts w:hint="eastAsia" w:ascii="宋体" w:hAnsi="宋体" w:cs="宋体"/>
          <w:szCs w:val="21"/>
        </w:rPr>
        <w:t>（电子投标文件）</w:t>
      </w:r>
    </w:p>
    <w:tbl>
      <w:tblPr>
        <w:tblStyle w:val="18"/>
        <w:tblW w:w="7773" w:type="dxa"/>
        <w:jc w:val="center"/>
        <w:tblLayout w:type="fixed"/>
        <w:tblCellMar>
          <w:top w:w="0" w:type="dxa"/>
          <w:left w:w="108" w:type="dxa"/>
          <w:bottom w:w="0" w:type="dxa"/>
          <w:right w:w="108" w:type="dxa"/>
        </w:tblCellMar>
      </w:tblPr>
      <w:tblGrid>
        <w:gridCol w:w="1601"/>
        <w:gridCol w:w="6172"/>
      </w:tblGrid>
      <w:tr w14:paraId="4451BEDC">
        <w:tblPrEx>
          <w:tblCellMar>
            <w:top w:w="0" w:type="dxa"/>
            <w:left w:w="108" w:type="dxa"/>
            <w:bottom w:w="0" w:type="dxa"/>
            <w:right w:w="108" w:type="dxa"/>
          </w:tblCellMar>
        </w:tblPrEx>
        <w:trPr>
          <w:jc w:val="center"/>
        </w:trPr>
        <w:tc>
          <w:tcPr>
            <w:tcW w:w="1601" w:type="dxa"/>
            <w:vAlign w:val="bottom"/>
          </w:tcPr>
          <w:p w14:paraId="06B5774F">
            <w:pPr>
              <w:spacing w:line="400" w:lineRule="exact"/>
              <w:jc w:val="distribute"/>
              <w:rPr>
                <w:rFonts w:hint="eastAsia" w:ascii="宋体" w:hAnsi="宋体" w:cs="宋体"/>
                <w:szCs w:val="21"/>
              </w:rPr>
            </w:pPr>
            <w:r>
              <w:rPr>
                <w:rFonts w:hint="eastAsia" w:ascii="宋体" w:hAnsi="宋体" w:cs="宋体"/>
                <w:szCs w:val="21"/>
              </w:rPr>
              <w:t>项目名称：</w:t>
            </w:r>
          </w:p>
        </w:tc>
        <w:tc>
          <w:tcPr>
            <w:tcW w:w="6172" w:type="dxa"/>
            <w:tcBorders>
              <w:bottom w:val="single" w:color="000000" w:sz="4" w:space="0"/>
            </w:tcBorders>
            <w:vAlign w:val="bottom"/>
          </w:tcPr>
          <w:p w14:paraId="18C49A18">
            <w:pPr>
              <w:spacing w:line="400" w:lineRule="exact"/>
              <w:jc w:val="left"/>
              <w:rPr>
                <w:rFonts w:hint="eastAsia" w:ascii="宋体" w:hAnsi="宋体" w:cs="宋体"/>
                <w:szCs w:val="21"/>
              </w:rPr>
            </w:pPr>
          </w:p>
        </w:tc>
      </w:tr>
      <w:tr w14:paraId="2D761B66">
        <w:tblPrEx>
          <w:tblCellMar>
            <w:top w:w="0" w:type="dxa"/>
            <w:left w:w="108" w:type="dxa"/>
            <w:bottom w:w="0" w:type="dxa"/>
            <w:right w:w="108" w:type="dxa"/>
          </w:tblCellMar>
        </w:tblPrEx>
        <w:trPr>
          <w:jc w:val="center"/>
        </w:trPr>
        <w:tc>
          <w:tcPr>
            <w:tcW w:w="1601" w:type="dxa"/>
            <w:vAlign w:val="bottom"/>
          </w:tcPr>
          <w:p w14:paraId="15DAAA42">
            <w:pPr>
              <w:spacing w:line="400" w:lineRule="exact"/>
              <w:jc w:val="distribute"/>
              <w:rPr>
                <w:rFonts w:hint="eastAsia" w:ascii="宋体" w:hAnsi="宋体" w:cs="宋体"/>
                <w:szCs w:val="21"/>
              </w:rPr>
            </w:pPr>
            <w:r>
              <w:rPr>
                <w:rFonts w:hint="eastAsia" w:ascii="宋体" w:hAnsi="宋体" w:cs="宋体"/>
                <w:szCs w:val="21"/>
              </w:rPr>
              <w:t>采购方式：</w:t>
            </w:r>
          </w:p>
        </w:tc>
        <w:tc>
          <w:tcPr>
            <w:tcW w:w="6172" w:type="dxa"/>
            <w:tcBorders>
              <w:top w:val="single" w:color="000000" w:sz="4" w:space="0"/>
              <w:bottom w:val="single" w:color="000000" w:sz="4" w:space="0"/>
            </w:tcBorders>
            <w:vAlign w:val="bottom"/>
          </w:tcPr>
          <w:p w14:paraId="7E665F7D">
            <w:pPr>
              <w:spacing w:line="400" w:lineRule="exact"/>
              <w:jc w:val="left"/>
              <w:rPr>
                <w:rFonts w:hint="eastAsia" w:ascii="宋体" w:hAnsi="宋体" w:cs="宋体"/>
                <w:szCs w:val="21"/>
              </w:rPr>
            </w:pPr>
          </w:p>
        </w:tc>
      </w:tr>
      <w:tr w14:paraId="46AF883E">
        <w:tblPrEx>
          <w:tblCellMar>
            <w:top w:w="0" w:type="dxa"/>
            <w:left w:w="108" w:type="dxa"/>
            <w:bottom w:w="0" w:type="dxa"/>
            <w:right w:w="108" w:type="dxa"/>
          </w:tblCellMar>
        </w:tblPrEx>
        <w:trPr>
          <w:jc w:val="center"/>
        </w:trPr>
        <w:tc>
          <w:tcPr>
            <w:tcW w:w="1601" w:type="dxa"/>
            <w:vAlign w:val="bottom"/>
          </w:tcPr>
          <w:p w14:paraId="5FE30999">
            <w:pPr>
              <w:spacing w:line="400" w:lineRule="exact"/>
              <w:jc w:val="distribute"/>
              <w:rPr>
                <w:rFonts w:hint="eastAsia" w:ascii="宋体" w:hAnsi="宋体" w:cs="宋体"/>
                <w:szCs w:val="21"/>
              </w:rPr>
            </w:pPr>
            <w:r>
              <w:rPr>
                <w:rFonts w:hint="eastAsia" w:ascii="宋体" w:hAnsi="宋体" w:cs="宋体"/>
                <w:szCs w:val="21"/>
              </w:rPr>
              <w:t>项目编号：</w:t>
            </w:r>
          </w:p>
        </w:tc>
        <w:tc>
          <w:tcPr>
            <w:tcW w:w="6172" w:type="dxa"/>
            <w:tcBorders>
              <w:top w:val="single" w:color="000000" w:sz="4" w:space="0"/>
              <w:bottom w:val="single" w:color="000000" w:sz="4" w:space="0"/>
            </w:tcBorders>
            <w:vAlign w:val="bottom"/>
          </w:tcPr>
          <w:p w14:paraId="0DC21AC4">
            <w:pPr>
              <w:spacing w:line="400" w:lineRule="exact"/>
              <w:jc w:val="left"/>
              <w:rPr>
                <w:rFonts w:hint="eastAsia" w:ascii="宋体" w:hAnsi="宋体" w:cs="宋体"/>
                <w:szCs w:val="21"/>
              </w:rPr>
            </w:pPr>
          </w:p>
        </w:tc>
      </w:tr>
      <w:tr w14:paraId="20E05E3B">
        <w:tblPrEx>
          <w:tblCellMar>
            <w:top w:w="0" w:type="dxa"/>
            <w:left w:w="108" w:type="dxa"/>
            <w:bottom w:w="0" w:type="dxa"/>
            <w:right w:w="108" w:type="dxa"/>
          </w:tblCellMar>
        </w:tblPrEx>
        <w:trPr>
          <w:jc w:val="center"/>
        </w:trPr>
        <w:tc>
          <w:tcPr>
            <w:tcW w:w="1601" w:type="dxa"/>
            <w:vAlign w:val="bottom"/>
          </w:tcPr>
          <w:p w14:paraId="4322F028">
            <w:pPr>
              <w:spacing w:line="400" w:lineRule="exact"/>
              <w:jc w:val="distribute"/>
              <w:rPr>
                <w:rFonts w:hint="eastAsia" w:ascii="宋体" w:hAnsi="宋体" w:cs="宋体"/>
                <w:szCs w:val="21"/>
              </w:rPr>
            </w:pPr>
            <w:r>
              <w:rPr>
                <w:rFonts w:hint="eastAsia" w:ascii="宋体" w:hAnsi="宋体" w:cs="宋体"/>
                <w:szCs w:val="21"/>
              </w:rPr>
              <w:t>所投分标：</w:t>
            </w:r>
          </w:p>
        </w:tc>
        <w:tc>
          <w:tcPr>
            <w:tcW w:w="6172" w:type="dxa"/>
            <w:tcBorders>
              <w:top w:val="single" w:color="000000" w:sz="4" w:space="0"/>
              <w:bottom w:val="single" w:color="000000" w:sz="4" w:space="0"/>
            </w:tcBorders>
            <w:vAlign w:val="bottom"/>
          </w:tcPr>
          <w:p w14:paraId="4EAF7344">
            <w:pPr>
              <w:spacing w:line="400" w:lineRule="exact"/>
              <w:jc w:val="left"/>
              <w:rPr>
                <w:rFonts w:hint="eastAsia" w:ascii="宋体" w:hAnsi="宋体" w:cs="宋体"/>
                <w:szCs w:val="21"/>
              </w:rPr>
            </w:pPr>
          </w:p>
        </w:tc>
      </w:tr>
      <w:tr w14:paraId="48EC6EAB">
        <w:tblPrEx>
          <w:tblCellMar>
            <w:top w:w="0" w:type="dxa"/>
            <w:left w:w="108" w:type="dxa"/>
            <w:bottom w:w="0" w:type="dxa"/>
            <w:right w:w="108" w:type="dxa"/>
          </w:tblCellMar>
        </w:tblPrEx>
        <w:trPr>
          <w:jc w:val="center"/>
        </w:trPr>
        <w:tc>
          <w:tcPr>
            <w:tcW w:w="1601" w:type="dxa"/>
            <w:vAlign w:val="bottom"/>
          </w:tcPr>
          <w:p w14:paraId="1950E88C">
            <w:pPr>
              <w:spacing w:line="400" w:lineRule="exact"/>
              <w:jc w:val="distribute"/>
              <w:rPr>
                <w:rFonts w:hint="eastAsia" w:ascii="宋体" w:hAnsi="宋体" w:cs="宋体"/>
                <w:szCs w:val="21"/>
              </w:rPr>
            </w:pPr>
            <w:r>
              <w:rPr>
                <w:rFonts w:hint="eastAsia" w:ascii="宋体" w:hAnsi="宋体" w:cs="宋体"/>
                <w:szCs w:val="21"/>
              </w:rPr>
              <w:t>投标人名称：</w:t>
            </w:r>
          </w:p>
        </w:tc>
        <w:tc>
          <w:tcPr>
            <w:tcW w:w="6172" w:type="dxa"/>
            <w:tcBorders>
              <w:top w:val="single" w:color="000000" w:sz="4" w:space="0"/>
              <w:bottom w:val="single" w:color="000000" w:sz="4" w:space="0"/>
            </w:tcBorders>
            <w:vAlign w:val="bottom"/>
          </w:tcPr>
          <w:p w14:paraId="182FC740">
            <w:pPr>
              <w:spacing w:line="400" w:lineRule="exact"/>
              <w:jc w:val="left"/>
              <w:rPr>
                <w:rFonts w:hint="eastAsia" w:ascii="宋体" w:hAnsi="宋体" w:cs="宋体"/>
                <w:szCs w:val="21"/>
              </w:rPr>
            </w:pPr>
          </w:p>
        </w:tc>
      </w:tr>
      <w:tr w14:paraId="25301995">
        <w:tblPrEx>
          <w:tblCellMar>
            <w:top w:w="0" w:type="dxa"/>
            <w:left w:w="108" w:type="dxa"/>
            <w:bottom w:w="0" w:type="dxa"/>
            <w:right w:w="108" w:type="dxa"/>
          </w:tblCellMar>
        </w:tblPrEx>
        <w:trPr>
          <w:jc w:val="center"/>
        </w:trPr>
        <w:tc>
          <w:tcPr>
            <w:tcW w:w="1601" w:type="dxa"/>
            <w:vAlign w:val="bottom"/>
          </w:tcPr>
          <w:p w14:paraId="7BAAA65B">
            <w:pPr>
              <w:spacing w:line="400" w:lineRule="exact"/>
              <w:jc w:val="distribute"/>
              <w:rPr>
                <w:rFonts w:hint="eastAsia" w:ascii="宋体" w:hAnsi="宋体" w:cs="宋体"/>
                <w:szCs w:val="21"/>
              </w:rPr>
            </w:pPr>
            <w:r>
              <w:rPr>
                <w:rFonts w:hint="eastAsia" w:ascii="宋体" w:hAnsi="宋体" w:cs="宋体"/>
                <w:szCs w:val="21"/>
              </w:rPr>
              <w:t>投标人地址：</w:t>
            </w:r>
          </w:p>
        </w:tc>
        <w:tc>
          <w:tcPr>
            <w:tcW w:w="6172" w:type="dxa"/>
            <w:tcBorders>
              <w:top w:val="single" w:color="000000" w:sz="4" w:space="0"/>
              <w:bottom w:val="single" w:color="000000" w:sz="4" w:space="0"/>
            </w:tcBorders>
            <w:vAlign w:val="bottom"/>
          </w:tcPr>
          <w:p w14:paraId="7EF6F2DF">
            <w:pPr>
              <w:spacing w:line="400" w:lineRule="exact"/>
              <w:jc w:val="left"/>
              <w:rPr>
                <w:rFonts w:hint="eastAsia" w:ascii="宋体" w:hAnsi="宋体" w:cs="宋体"/>
                <w:szCs w:val="21"/>
              </w:rPr>
            </w:pPr>
          </w:p>
        </w:tc>
      </w:tr>
    </w:tbl>
    <w:p w14:paraId="4E5CDD3D">
      <w:pPr>
        <w:spacing w:line="400" w:lineRule="exact"/>
        <w:ind w:firstLine="3675" w:firstLineChars="1750"/>
        <w:rPr>
          <w:rFonts w:hint="eastAsia" w:ascii="宋体" w:hAnsi="宋体" w:cs="宋体"/>
          <w:szCs w:val="21"/>
        </w:rPr>
      </w:pPr>
    </w:p>
    <w:p w14:paraId="0BC7FAF3">
      <w:pPr>
        <w:spacing w:line="400" w:lineRule="exact"/>
        <w:ind w:firstLine="3675" w:firstLineChars="1750"/>
        <w:rPr>
          <w:rFonts w:hint="eastAsia" w:ascii="宋体" w:hAnsi="宋体" w:cs="宋体"/>
          <w:szCs w:val="21"/>
        </w:rPr>
      </w:pPr>
    </w:p>
    <w:p w14:paraId="21CA1D0F">
      <w:pPr>
        <w:spacing w:line="400" w:lineRule="exact"/>
        <w:ind w:firstLine="3675" w:firstLineChars="1750"/>
        <w:rPr>
          <w:rFonts w:hint="eastAsia" w:ascii="宋体" w:hAnsi="宋体" w:cs="宋体"/>
          <w:szCs w:val="21"/>
        </w:rPr>
      </w:pPr>
    </w:p>
    <w:p w14:paraId="7F41AA52">
      <w:pPr>
        <w:spacing w:line="400" w:lineRule="exact"/>
        <w:ind w:firstLine="5145" w:firstLineChars="2450"/>
        <w:rPr>
          <w:rFonts w:hint="eastAsia" w:ascii="宋体" w:hAnsi="宋体" w:cs="宋体"/>
          <w:szCs w:val="21"/>
        </w:rPr>
      </w:pPr>
      <w:r>
        <w:rPr>
          <w:rFonts w:hint="eastAsia" w:ascii="宋体" w:hAnsi="宋体" w:cs="宋体"/>
          <w:szCs w:val="21"/>
        </w:rPr>
        <w:t>投标截止时间前不得解密</w:t>
      </w:r>
    </w:p>
    <w:p w14:paraId="579573B5">
      <w:pPr>
        <w:spacing w:line="400" w:lineRule="exact"/>
        <w:ind w:firstLine="5670" w:firstLineChars="2700"/>
        <w:rPr>
          <w:rFonts w:hint="eastAsia" w:ascii="宋体" w:hAnsi="宋体" w:cs="宋体"/>
          <w:szCs w:val="21"/>
        </w:rPr>
        <w:sectPr>
          <w:headerReference r:id="rId6" w:type="default"/>
          <w:footerReference r:id="rId7" w:type="default"/>
          <w:pgSz w:w="11905" w:h="16838"/>
          <w:pgMar w:top="1417" w:right="1417" w:bottom="1417" w:left="1417" w:header="720" w:footer="720" w:gutter="0"/>
          <w:cols w:space="720" w:num="1"/>
          <w:docGrid w:type="lines" w:linePitch="333" w:charSpace="0"/>
        </w:sectPr>
      </w:pPr>
      <w:r>
        <w:rPr>
          <w:rFonts w:hint="eastAsia" w:ascii="宋体" w:hAnsi="宋体" w:cs="宋体"/>
          <w:szCs w:val="21"/>
        </w:rPr>
        <w:t>年   月   日</w:t>
      </w:r>
    </w:p>
    <w:p w14:paraId="4F078841">
      <w:pPr>
        <w:pStyle w:val="5"/>
        <w:spacing w:line="400" w:lineRule="exact"/>
        <w:jc w:val="center"/>
        <w:rPr>
          <w:rFonts w:hint="eastAsia" w:ascii="宋体" w:hAnsi="宋体" w:eastAsia="宋体"/>
          <w:sz w:val="21"/>
          <w:szCs w:val="21"/>
        </w:rPr>
      </w:pPr>
      <w:bookmarkStart w:id="184" w:name="_Toc99033103"/>
      <w:bookmarkStart w:id="185" w:name="_Toc32389"/>
      <w:r>
        <w:rPr>
          <w:rFonts w:hint="eastAsia" w:ascii="宋体" w:hAnsi="宋体" w:eastAsia="宋体"/>
          <w:sz w:val="21"/>
          <w:szCs w:val="21"/>
        </w:rPr>
        <w:t>第二节 资格证明文件格式</w:t>
      </w:r>
      <w:bookmarkEnd w:id="184"/>
      <w:bookmarkEnd w:id="185"/>
    </w:p>
    <w:p w14:paraId="45513BBD">
      <w:pPr>
        <w:pStyle w:val="11"/>
        <w:spacing w:line="400" w:lineRule="exact"/>
        <w:rPr>
          <w:rFonts w:hint="eastAsia" w:hAnsi="宋体" w:cs="宋体"/>
          <w:sz w:val="21"/>
        </w:rPr>
      </w:pPr>
      <w:r>
        <w:rPr>
          <w:rFonts w:hint="eastAsia" w:hAnsi="宋体" w:cs="宋体"/>
          <w:sz w:val="21"/>
        </w:rPr>
        <w:t>1.资格证明文件封面格式：</w:t>
      </w:r>
    </w:p>
    <w:p w14:paraId="21A0683E">
      <w:pPr>
        <w:snapToGrid w:val="0"/>
        <w:spacing w:before="166" w:beforeLines="50" w:after="50" w:line="400" w:lineRule="exact"/>
        <w:rPr>
          <w:rFonts w:hint="eastAsia" w:ascii="宋体" w:hAnsi="宋体" w:cs="宋体"/>
          <w:szCs w:val="21"/>
        </w:rPr>
      </w:pPr>
    </w:p>
    <w:p w14:paraId="5AB2CB47">
      <w:pPr>
        <w:snapToGrid w:val="0"/>
        <w:spacing w:before="166" w:beforeLines="50" w:after="50" w:line="400" w:lineRule="exact"/>
        <w:jc w:val="center"/>
        <w:rPr>
          <w:rFonts w:hint="eastAsia" w:ascii="宋体" w:hAnsi="宋体" w:cs="宋体"/>
          <w:bCs/>
          <w:szCs w:val="21"/>
        </w:rPr>
      </w:pPr>
      <w:r>
        <w:rPr>
          <w:rFonts w:hint="eastAsia" w:ascii="宋体" w:hAnsi="宋体" w:cs="宋体"/>
          <w:bCs/>
          <w:szCs w:val="21"/>
        </w:rPr>
        <w:t>电子投标文件</w:t>
      </w:r>
    </w:p>
    <w:p w14:paraId="7DE9A86A">
      <w:pPr>
        <w:snapToGrid w:val="0"/>
        <w:spacing w:before="166" w:beforeLines="50" w:after="50" w:line="400" w:lineRule="exact"/>
        <w:rPr>
          <w:rFonts w:hint="eastAsia" w:ascii="宋体" w:hAnsi="宋体" w:cs="宋体"/>
          <w:szCs w:val="21"/>
        </w:rPr>
      </w:pPr>
    </w:p>
    <w:p w14:paraId="1426C405">
      <w:pPr>
        <w:snapToGrid w:val="0"/>
        <w:spacing w:before="166" w:beforeLines="50" w:after="50" w:line="400" w:lineRule="exact"/>
        <w:jc w:val="center"/>
        <w:rPr>
          <w:rFonts w:hint="eastAsia" w:ascii="宋体" w:hAnsi="宋体" w:cs="宋体"/>
          <w:b/>
          <w:szCs w:val="21"/>
        </w:rPr>
      </w:pPr>
      <w:r>
        <w:rPr>
          <w:rFonts w:hint="eastAsia" w:ascii="宋体" w:hAnsi="宋体" w:cs="宋体"/>
          <w:b/>
          <w:szCs w:val="21"/>
        </w:rPr>
        <w:t>资格证明文件（封面）</w:t>
      </w:r>
    </w:p>
    <w:p w14:paraId="16D0EF4F">
      <w:pPr>
        <w:snapToGrid w:val="0"/>
        <w:spacing w:before="166" w:beforeLines="50" w:after="50" w:line="400" w:lineRule="exact"/>
        <w:rPr>
          <w:rFonts w:hint="eastAsia" w:ascii="宋体" w:hAnsi="宋体" w:cs="宋体"/>
          <w:bCs/>
          <w:szCs w:val="21"/>
        </w:rPr>
      </w:pPr>
    </w:p>
    <w:p w14:paraId="1D065460">
      <w:pPr>
        <w:snapToGrid w:val="0"/>
        <w:spacing w:before="166" w:beforeLines="50" w:after="50" w:line="400" w:lineRule="exact"/>
        <w:rPr>
          <w:rFonts w:hint="eastAsia" w:ascii="宋体" w:hAnsi="宋体" w:cs="宋体"/>
          <w:bCs/>
          <w:szCs w:val="21"/>
        </w:rPr>
      </w:pPr>
    </w:p>
    <w:p w14:paraId="51539D1E">
      <w:pPr>
        <w:snapToGrid w:val="0"/>
        <w:spacing w:before="166" w:beforeLines="50" w:after="50" w:line="400" w:lineRule="exact"/>
        <w:rPr>
          <w:rFonts w:hint="eastAsia" w:ascii="宋体" w:hAnsi="宋体" w:cs="宋体"/>
          <w:bCs/>
          <w:szCs w:val="21"/>
        </w:rPr>
      </w:pPr>
    </w:p>
    <w:p w14:paraId="7635BBF2">
      <w:pPr>
        <w:snapToGrid w:val="0"/>
        <w:spacing w:before="166" w:beforeLines="50" w:after="50" w:line="400" w:lineRule="exact"/>
        <w:rPr>
          <w:rFonts w:hint="eastAsia" w:ascii="宋体" w:hAnsi="宋体" w:cs="宋体"/>
          <w:bCs/>
          <w:szCs w:val="21"/>
        </w:rPr>
      </w:pPr>
    </w:p>
    <w:p w14:paraId="709B66FD">
      <w:pPr>
        <w:snapToGrid w:val="0"/>
        <w:spacing w:before="166" w:beforeLines="50" w:after="50" w:line="400" w:lineRule="exact"/>
        <w:rPr>
          <w:rFonts w:hint="eastAsia" w:ascii="宋体" w:hAnsi="宋体" w:cs="宋体"/>
          <w:bCs/>
          <w:szCs w:val="21"/>
        </w:rPr>
      </w:pPr>
    </w:p>
    <w:p w14:paraId="6C6EB5B3">
      <w:pPr>
        <w:snapToGrid w:val="0"/>
        <w:spacing w:before="166" w:beforeLines="50" w:after="50" w:line="400" w:lineRule="exact"/>
        <w:rPr>
          <w:rFonts w:hint="eastAsia" w:ascii="宋体" w:hAnsi="宋体" w:cs="宋体"/>
          <w:bCs/>
          <w:szCs w:val="21"/>
        </w:rPr>
      </w:pPr>
    </w:p>
    <w:p w14:paraId="5E8B3EF9">
      <w:pPr>
        <w:snapToGrid w:val="0"/>
        <w:spacing w:before="166" w:beforeLines="50" w:after="50" w:line="400" w:lineRule="exact"/>
        <w:rPr>
          <w:rFonts w:hint="eastAsia" w:ascii="宋体" w:hAnsi="宋体" w:cs="宋体"/>
          <w:bCs/>
          <w:szCs w:val="21"/>
        </w:rPr>
      </w:pPr>
    </w:p>
    <w:p w14:paraId="600374B2">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项目名称：</w:t>
      </w:r>
    </w:p>
    <w:p w14:paraId="30909A37">
      <w:pPr>
        <w:snapToGrid w:val="0"/>
        <w:spacing w:before="166" w:beforeLines="50" w:after="50" w:line="400" w:lineRule="exact"/>
        <w:ind w:firstLine="472" w:firstLineChars="225"/>
        <w:rPr>
          <w:rFonts w:hint="eastAsia" w:ascii="宋体" w:hAnsi="宋体" w:cs="宋体"/>
          <w:bCs/>
          <w:szCs w:val="21"/>
        </w:rPr>
      </w:pPr>
    </w:p>
    <w:p w14:paraId="4BAF02BC">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项目编号：</w:t>
      </w:r>
    </w:p>
    <w:p w14:paraId="5C38C1D3">
      <w:pPr>
        <w:snapToGrid w:val="0"/>
        <w:spacing w:before="166" w:beforeLines="50" w:after="50" w:line="400" w:lineRule="exact"/>
        <w:ind w:firstLine="472" w:firstLineChars="225"/>
        <w:rPr>
          <w:rFonts w:hint="eastAsia" w:ascii="宋体" w:hAnsi="宋体" w:cs="宋体"/>
          <w:bCs/>
          <w:szCs w:val="21"/>
        </w:rPr>
      </w:pPr>
    </w:p>
    <w:p w14:paraId="1C7A481E">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所投分标：</w:t>
      </w:r>
    </w:p>
    <w:p w14:paraId="11AACD95">
      <w:pPr>
        <w:pStyle w:val="8"/>
        <w:snapToGrid w:val="0"/>
        <w:spacing w:before="50" w:after="50" w:line="400" w:lineRule="exact"/>
        <w:ind w:firstLine="472" w:firstLineChars="225"/>
        <w:rPr>
          <w:rFonts w:hint="eastAsia" w:ascii="宋体" w:hAnsi="宋体" w:cs="宋体"/>
          <w:bCs/>
          <w:szCs w:val="21"/>
        </w:rPr>
      </w:pPr>
    </w:p>
    <w:p w14:paraId="7C785586">
      <w:pPr>
        <w:pStyle w:val="8"/>
        <w:snapToGrid w:val="0"/>
        <w:spacing w:before="50" w:after="50" w:line="400" w:lineRule="exact"/>
        <w:ind w:firstLine="472" w:firstLineChars="225"/>
        <w:rPr>
          <w:rFonts w:hint="eastAsia" w:ascii="宋体" w:hAnsi="宋体" w:cs="宋体"/>
          <w:bCs/>
          <w:szCs w:val="21"/>
        </w:rPr>
      </w:pPr>
      <w:r>
        <w:rPr>
          <w:rFonts w:hint="eastAsia" w:ascii="宋体" w:hAnsi="宋体" w:cs="宋体"/>
          <w:bCs/>
          <w:szCs w:val="21"/>
        </w:rPr>
        <w:t>投标人名称：</w:t>
      </w:r>
    </w:p>
    <w:p w14:paraId="38486C36">
      <w:pPr>
        <w:pStyle w:val="8"/>
        <w:snapToGrid w:val="0"/>
        <w:spacing w:before="50" w:after="50" w:line="400" w:lineRule="exact"/>
        <w:ind w:firstLine="472" w:firstLineChars="225"/>
        <w:rPr>
          <w:rFonts w:hint="eastAsia" w:ascii="宋体" w:hAnsi="宋体" w:cs="宋体"/>
          <w:bCs/>
          <w:szCs w:val="21"/>
        </w:rPr>
      </w:pPr>
    </w:p>
    <w:p w14:paraId="4F64848B">
      <w:pPr>
        <w:pStyle w:val="8"/>
        <w:snapToGrid w:val="0"/>
        <w:spacing w:before="50" w:after="50" w:line="400" w:lineRule="exact"/>
        <w:ind w:firstLine="840" w:firstLineChars="400"/>
        <w:rPr>
          <w:rFonts w:hint="eastAsia" w:ascii="宋体" w:hAnsi="宋体" w:cs="宋体"/>
          <w:bCs/>
          <w:szCs w:val="21"/>
        </w:rPr>
      </w:pPr>
    </w:p>
    <w:p w14:paraId="513601A3">
      <w:pPr>
        <w:snapToGrid w:val="0"/>
        <w:spacing w:before="166" w:beforeLines="50" w:after="50" w:line="400" w:lineRule="exact"/>
        <w:ind w:firstLine="645"/>
        <w:jc w:val="center"/>
        <w:rPr>
          <w:rFonts w:hint="eastAsia" w:ascii="宋体" w:hAnsi="宋体" w:cs="宋体"/>
          <w:szCs w:val="21"/>
        </w:rPr>
      </w:pPr>
      <w:r>
        <w:rPr>
          <w:rFonts w:hint="eastAsia" w:ascii="宋体" w:hAnsi="宋体" w:cs="宋体"/>
          <w:szCs w:val="21"/>
        </w:rPr>
        <w:t>年  月  日</w:t>
      </w:r>
    </w:p>
    <w:p w14:paraId="36A5398B">
      <w:pPr>
        <w:pStyle w:val="11"/>
        <w:spacing w:line="360" w:lineRule="auto"/>
        <w:ind w:firstLine="420"/>
        <w:rPr>
          <w:rFonts w:hint="eastAsia" w:hAnsi="宋体" w:cs="宋体"/>
          <w:sz w:val="21"/>
        </w:rPr>
        <w:sectPr>
          <w:pgSz w:w="11905" w:h="16838"/>
          <w:pgMar w:top="1417" w:right="1417" w:bottom="1417" w:left="1417" w:header="720" w:footer="720" w:gutter="0"/>
          <w:cols w:space="720" w:num="1"/>
          <w:docGrid w:type="lines" w:linePitch="333" w:charSpace="0"/>
        </w:sectPr>
      </w:pPr>
    </w:p>
    <w:p w14:paraId="5A0C3526">
      <w:pPr>
        <w:pStyle w:val="11"/>
        <w:spacing w:line="400" w:lineRule="exact"/>
        <w:rPr>
          <w:rFonts w:hint="eastAsia" w:hAnsi="宋体" w:cs="宋体"/>
          <w:sz w:val="21"/>
        </w:rPr>
      </w:pPr>
      <w:r>
        <w:rPr>
          <w:rFonts w:hint="eastAsia" w:hAnsi="宋体" w:cs="宋体"/>
          <w:sz w:val="21"/>
        </w:rPr>
        <w:t>2.资格证明文件目录</w:t>
      </w:r>
    </w:p>
    <w:p w14:paraId="3CC06C87">
      <w:pPr>
        <w:snapToGrid w:val="0"/>
        <w:spacing w:line="400" w:lineRule="exact"/>
        <w:rPr>
          <w:rFonts w:hint="eastAsia" w:ascii="宋体" w:hAnsi="宋体" w:cs="宋体"/>
          <w:kern w:val="0"/>
          <w:szCs w:val="21"/>
        </w:rPr>
      </w:pPr>
    </w:p>
    <w:p w14:paraId="59AD1C10">
      <w:pPr>
        <w:spacing w:line="400" w:lineRule="exact"/>
        <w:rPr>
          <w:rFonts w:hint="eastAsia" w:ascii="宋体" w:hAnsi="宋体" w:cs="宋体"/>
          <w:b/>
          <w:bCs/>
          <w:szCs w:val="21"/>
        </w:rPr>
      </w:pPr>
      <w:r>
        <w:rPr>
          <w:rFonts w:hint="eastAsia" w:ascii="宋体" w:hAnsi="宋体" w:cs="宋体"/>
          <w:szCs w:val="21"/>
        </w:rPr>
        <w:t>根据招标文件“投标人须知前附表”第13.1条规定及投标人提供的材料自行编写目录。</w:t>
      </w:r>
    </w:p>
    <w:p w14:paraId="396AFC9E">
      <w:pPr>
        <w:pStyle w:val="11"/>
        <w:spacing w:line="360" w:lineRule="auto"/>
        <w:ind w:firstLine="420"/>
        <w:rPr>
          <w:rFonts w:hint="eastAsia" w:hAnsi="宋体" w:cs="宋体"/>
          <w:sz w:val="21"/>
        </w:rPr>
        <w:sectPr>
          <w:pgSz w:w="11905" w:h="16838"/>
          <w:pgMar w:top="1417" w:right="1417" w:bottom="1417" w:left="1417" w:header="720" w:footer="720" w:gutter="0"/>
          <w:cols w:space="720" w:num="1"/>
          <w:docGrid w:type="lines" w:linePitch="333" w:charSpace="0"/>
        </w:sectPr>
      </w:pPr>
    </w:p>
    <w:p w14:paraId="53FCCDF2">
      <w:pPr>
        <w:pStyle w:val="11"/>
        <w:spacing w:line="360" w:lineRule="auto"/>
        <w:rPr>
          <w:rFonts w:hint="eastAsia" w:hAnsi="宋体" w:cs="宋体"/>
          <w:sz w:val="21"/>
        </w:rPr>
      </w:pPr>
      <w:r>
        <w:rPr>
          <w:rFonts w:hint="eastAsia" w:hAnsi="宋体" w:cs="宋体"/>
          <w:sz w:val="21"/>
        </w:rPr>
        <w:t>3.投标人直接控股股东信息表</w:t>
      </w:r>
    </w:p>
    <w:p w14:paraId="56616CA3">
      <w:pPr>
        <w:pStyle w:val="11"/>
        <w:spacing w:line="360" w:lineRule="auto"/>
        <w:rPr>
          <w:rFonts w:hint="eastAsia" w:hAnsi="宋体" w:cs="宋体"/>
          <w:sz w:val="21"/>
        </w:rPr>
      </w:pPr>
    </w:p>
    <w:p w14:paraId="0D25B875">
      <w:pPr>
        <w:pStyle w:val="11"/>
        <w:spacing w:line="400" w:lineRule="exact"/>
        <w:jc w:val="center"/>
        <w:rPr>
          <w:rFonts w:hint="eastAsia" w:hAnsi="宋体" w:cs="宋体"/>
          <w:b/>
          <w:sz w:val="21"/>
        </w:rPr>
      </w:pPr>
      <w:r>
        <w:rPr>
          <w:rFonts w:hint="eastAsia" w:hAnsi="宋体" w:cs="宋体"/>
          <w:b/>
          <w:sz w:val="21"/>
        </w:rPr>
        <w:t>投标人直接控股股东信息表</w:t>
      </w:r>
    </w:p>
    <w:p w14:paraId="1484688F">
      <w:pPr>
        <w:pStyle w:val="11"/>
        <w:spacing w:line="400" w:lineRule="exact"/>
        <w:jc w:val="center"/>
        <w:rPr>
          <w:rFonts w:hint="eastAsia" w:hAnsi="宋体" w:cs="宋体"/>
          <w:b/>
          <w:sz w:val="21"/>
        </w:rPr>
      </w:pPr>
    </w:p>
    <w:tbl>
      <w:tblPr>
        <w:tblStyle w:val="18"/>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DCFD667">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F863525">
            <w:pPr>
              <w:spacing w:line="400" w:lineRule="exact"/>
              <w:jc w:val="center"/>
              <w:rPr>
                <w:rFonts w:hint="eastAsia" w:ascii="宋体" w:hAnsi="宋体" w:cs="宋体"/>
                <w:b/>
                <w:bCs/>
                <w:kern w:val="0"/>
                <w:szCs w:val="21"/>
              </w:rPr>
            </w:pPr>
            <w:r>
              <w:rPr>
                <w:rFonts w:hint="eastAsia" w:ascii="宋体" w:hAnsi="宋体" w:cs="宋体"/>
                <w:b/>
                <w:bCs/>
                <w:kern w:val="0"/>
                <w:szCs w:val="21"/>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7D01AD5">
            <w:pPr>
              <w:spacing w:line="400" w:lineRule="exact"/>
              <w:jc w:val="center"/>
              <w:rPr>
                <w:rFonts w:hint="eastAsia" w:ascii="宋体" w:hAnsi="宋体" w:cs="宋体"/>
                <w:b/>
                <w:bCs/>
                <w:kern w:val="0"/>
                <w:szCs w:val="21"/>
              </w:rPr>
            </w:pPr>
            <w:r>
              <w:rPr>
                <w:rFonts w:hint="eastAsia" w:ascii="宋体" w:hAnsi="宋体" w:cs="宋体"/>
                <w:b/>
                <w:bCs/>
                <w:kern w:val="0"/>
                <w:szCs w:val="21"/>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4C746B4">
            <w:pPr>
              <w:spacing w:line="400" w:lineRule="exact"/>
              <w:jc w:val="center"/>
              <w:rPr>
                <w:rFonts w:hint="eastAsia" w:ascii="宋体" w:hAnsi="宋体" w:cs="宋体"/>
                <w:b/>
                <w:bCs/>
                <w:kern w:val="0"/>
                <w:szCs w:val="21"/>
              </w:rPr>
            </w:pPr>
            <w:r>
              <w:rPr>
                <w:rFonts w:hint="eastAsia" w:ascii="宋体" w:hAnsi="宋体" w:cs="宋体"/>
                <w:b/>
                <w:bCs/>
                <w:kern w:val="0"/>
                <w:szCs w:val="21"/>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BA77367">
            <w:pPr>
              <w:spacing w:line="400" w:lineRule="exact"/>
              <w:jc w:val="center"/>
              <w:rPr>
                <w:rFonts w:hint="eastAsia" w:ascii="宋体" w:hAnsi="宋体" w:cs="宋体"/>
                <w:b/>
                <w:bCs/>
                <w:kern w:val="0"/>
                <w:szCs w:val="21"/>
              </w:rPr>
            </w:pPr>
            <w:r>
              <w:rPr>
                <w:rFonts w:hint="eastAsia" w:ascii="宋体" w:hAnsi="宋体" w:cs="宋体"/>
                <w:b/>
                <w:bCs/>
                <w:kern w:val="0"/>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31CD92E">
            <w:pPr>
              <w:spacing w:line="400" w:lineRule="exact"/>
              <w:jc w:val="center"/>
              <w:rPr>
                <w:rFonts w:hint="eastAsia" w:ascii="宋体" w:hAnsi="宋体" w:cs="宋体"/>
                <w:b/>
                <w:bCs/>
                <w:kern w:val="0"/>
                <w:szCs w:val="21"/>
              </w:rPr>
            </w:pPr>
            <w:r>
              <w:rPr>
                <w:rFonts w:hint="eastAsia" w:ascii="宋体" w:hAnsi="宋体" w:cs="宋体"/>
                <w:b/>
                <w:bCs/>
                <w:kern w:val="0"/>
                <w:szCs w:val="21"/>
              </w:rPr>
              <w:t>备注</w:t>
            </w:r>
          </w:p>
        </w:tc>
      </w:tr>
      <w:tr w14:paraId="21F4995C">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10D4B2">
            <w:pPr>
              <w:spacing w:line="400" w:lineRule="exact"/>
              <w:jc w:val="center"/>
              <w:rPr>
                <w:rFonts w:hint="eastAsia" w:ascii="宋体" w:hAnsi="宋体" w:cs="宋体"/>
                <w:kern w:val="0"/>
                <w:szCs w:val="21"/>
              </w:rPr>
            </w:pPr>
            <w:r>
              <w:rPr>
                <w:rFonts w:hint="eastAsia" w:ascii="宋体" w:hAnsi="宋体" w:cs="宋体"/>
                <w:kern w:val="0"/>
                <w:szCs w:val="21"/>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73FB38">
            <w:pPr>
              <w:spacing w:line="400" w:lineRule="exact"/>
              <w:jc w:val="center"/>
              <w:rPr>
                <w:rFonts w:hint="eastAsia" w:ascii="宋体" w:hAnsi="宋体" w:cs="宋体"/>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2A08B6">
            <w:pPr>
              <w:spacing w:line="400" w:lineRule="exact"/>
              <w:jc w:val="center"/>
              <w:rPr>
                <w:rFonts w:hint="eastAsia" w:ascii="宋体" w:hAnsi="宋体" w:cs="宋体"/>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F19731">
            <w:pPr>
              <w:spacing w:line="400" w:lineRule="exact"/>
              <w:jc w:val="center"/>
              <w:rPr>
                <w:rFonts w:hint="eastAsia" w:ascii="宋体" w:hAnsi="宋体" w:cs="宋体"/>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3B6BB9">
            <w:pPr>
              <w:spacing w:line="400" w:lineRule="exact"/>
              <w:jc w:val="center"/>
              <w:rPr>
                <w:rFonts w:hint="eastAsia" w:ascii="宋体" w:hAnsi="宋体" w:cs="宋体"/>
                <w:kern w:val="0"/>
                <w:szCs w:val="21"/>
              </w:rPr>
            </w:pPr>
          </w:p>
        </w:tc>
      </w:tr>
      <w:tr w14:paraId="2885D31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04393E">
            <w:pPr>
              <w:spacing w:line="400" w:lineRule="exact"/>
              <w:jc w:val="center"/>
              <w:rPr>
                <w:rFonts w:hint="eastAsia" w:ascii="宋体" w:hAnsi="宋体" w:cs="宋体"/>
                <w:kern w:val="0"/>
                <w:szCs w:val="21"/>
              </w:rPr>
            </w:pPr>
            <w:r>
              <w:rPr>
                <w:rFonts w:hint="eastAsia" w:ascii="宋体" w:hAnsi="宋体" w:cs="宋体"/>
                <w:kern w:val="0"/>
                <w:szCs w:val="21"/>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FD39AF">
            <w:pPr>
              <w:spacing w:line="400" w:lineRule="exact"/>
              <w:jc w:val="center"/>
              <w:rPr>
                <w:rFonts w:hint="eastAsia" w:ascii="宋体" w:hAnsi="宋体" w:cs="宋体"/>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BE2552">
            <w:pPr>
              <w:spacing w:line="400" w:lineRule="exact"/>
              <w:jc w:val="center"/>
              <w:rPr>
                <w:rFonts w:hint="eastAsia" w:ascii="宋体" w:hAnsi="宋体" w:cs="宋体"/>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A6DD20">
            <w:pPr>
              <w:spacing w:line="400" w:lineRule="exact"/>
              <w:jc w:val="center"/>
              <w:rPr>
                <w:rFonts w:hint="eastAsia" w:ascii="宋体" w:hAnsi="宋体" w:cs="宋体"/>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281601">
            <w:pPr>
              <w:spacing w:line="400" w:lineRule="exact"/>
              <w:jc w:val="center"/>
              <w:rPr>
                <w:rFonts w:hint="eastAsia" w:ascii="宋体" w:hAnsi="宋体" w:cs="宋体"/>
                <w:kern w:val="0"/>
                <w:szCs w:val="21"/>
              </w:rPr>
            </w:pPr>
          </w:p>
        </w:tc>
      </w:tr>
      <w:tr w14:paraId="5AA97A0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DF739C">
            <w:pPr>
              <w:spacing w:line="400" w:lineRule="exact"/>
              <w:jc w:val="center"/>
              <w:rPr>
                <w:rFonts w:hint="eastAsia" w:ascii="宋体" w:hAnsi="宋体" w:cs="宋体"/>
                <w:kern w:val="0"/>
                <w:szCs w:val="21"/>
              </w:rPr>
            </w:pPr>
            <w:r>
              <w:rPr>
                <w:rFonts w:hint="eastAsia" w:ascii="宋体" w:hAnsi="宋体" w:cs="宋体"/>
                <w:kern w:val="0"/>
                <w:szCs w:val="21"/>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07E5CB">
            <w:pPr>
              <w:spacing w:line="400" w:lineRule="exact"/>
              <w:jc w:val="center"/>
              <w:rPr>
                <w:rFonts w:hint="eastAsia" w:ascii="宋体" w:hAnsi="宋体" w:cs="宋体"/>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2D9AF7">
            <w:pPr>
              <w:spacing w:line="400" w:lineRule="exact"/>
              <w:jc w:val="center"/>
              <w:rPr>
                <w:rFonts w:hint="eastAsia" w:ascii="宋体" w:hAnsi="宋体" w:cs="宋体"/>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B52D14">
            <w:pPr>
              <w:spacing w:line="400" w:lineRule="exact"/>
              <w:jc w:val="center"/>
              <w:rPr>
                <w:rFonts w:hint="eastAsia" w:ascii="宋体" w:hAnsi="宋体" w:cs="宋体"/>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1B2BAC">
            <w:pPr>
              <w:spacing w:line="400" w:lineRule="exact"/>
              <w:jc w:val="center"/>
              <w:rPr>
                <w:rFonts w:hint="eastAsia" w:ascii="宋体" w:hAnsi="宋体" w:cs="宋体"/>
                <w:kern w:val="0"/>
                <w:szCs w:val="21"/>
              </w:rPr>
            </w:pPr>
          </w:p>
        </w:tc>
      </w:tr>
      <w:tr w14:paraId="595FB13C">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5B664E">
            <w:pPr>
              <w:spacing w:line="400" w:lineRule="exact"/>
              <w:jc w:val="center"/>
              <w:rPr>
                <w:rFonts w:hint="eastAsia" w:ascii="宋体" w:hAnsi="宋体" w:cs="宋体"/>
                <w:kern w:val="0"/>
                <w:szCs w:val="21"/>
              </w:rPr>
            </w:pPr>
            <w:r>
              <w:rPr>
                <w:rFonts w:hint="eastAsia" w:ascii="宋体" w:hAnsi="宋体" w:cs="宋体"/>
                <w:kern w:val="0"/>
                <w:szCs w:val="21"/>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C30F1E">
            <w:pPr>
              <w:spacing w:line="400" w:lineRule="exact"/>
              <w:jc w:val="center"/>
              <w:rPr>
                <w:rFonts w:hint="eastAsia" w:ascii="宋体" w:hAnsi="宋体" w:cs="宋体"/>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CBCF4B">
            <w:pPr>
              <w:spacing w:line="400" w:lineRule="exact"/>
              <w:jc w:val="center"/>
              <w:rPr>
                <w:rFonts w:hint="eastAsia" w:ascii="宋体" w:hAnsi="宋体" w:cs="宋体"/>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B9E9E4">
            <w:pPr>
              <w:spacing w:line="400" w:lineRule="exact"/>
              <w:jc w:val="center"/>
              <w:rPr>
                <w:rFonts w:hint="eastAsia" w:ascii="宋体" w:hAnsi="宋体" w:cs="宋体"/>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C1FACC">
            <w:pPr>
              <w:spacing w:line="400" w:lineRule="exact"/>
              <w:jc w:val="center"/>
              <w:rPr>
                <w:rFonts w:hint="eastAsia" w:ascii="宋体" w:hAnsi="宋体" w:cs="宋体"/>
                <w:kern w:val="0"/>
                <w:szCs w:val="21"/>
              </w:rPr>
            </w:pPr>
          </w:p>
        </w:tc>
      </w:tr>
    </w:tbl>
    <w:p w14:paraId="560B118A">
      <w:pPr>
        <w:snapToGrid w:val="0"/>
        <w:spacing w:line="400" w:lineRule="exact"/>
        <w:jc w:val="left"/>
        <w:rPr>
          <w:rFonts w:hint="eastAsia" w:ascii="宋体" w:hAnsi="宋体" w:cs="宋体"/>
          <w:szCs w:val="21"/>
        </w:rPr>
      </w:pPr>
      <w:r>
        <w:rPr>
          <w:rFonts w:hint="eastAsia" w:ascii="宋体" w:hAnsi="宋体" w:cs="宋体"/>
          <w:szCs w:val="21"/>
        </w:rPr>
        <w:t>注：</w:t>
      </w:r>
    </w:p>
    <w:p w14:paraId="61BCDBE4">
      <w:pPr>
        <w:snapToGrid w:val="0"/>
        <w:spacing w:line="400" w:lineRule="exact"/>
        <w:jc w:val="left"/>
        <w:rPr>
          <w:rFonts w:hint="eastAsia" w:ascii="宋体" w:hAnsi="宋体" w:cs="宋体"/>
          <w:szCs w:val="21"/>
        </w:rPr>
      </w:pPr>
      <w:r>
        <w:rPr>
          <w:rFonts w:hint="eastAsia" w:ascii="宋体" w:hAnsi="宋体" w:cs="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76BFA70">
      <w:pPr>
        <w:snapToGrid w:val="0"/>
        <w:spacing w:line="400" w:lineRule="exact"/>
        <w:jc w:val="left"/>
        <w:rPr>
          <w:rFonts w:hint="eastAsia" w:ascii="宋体" w:hAnsi="宋体" w:cs="宋体"/>
          <w:szCs w:val="21"/>
        </w:rPr>
      </w:pPr>
      <w:r>
        <w:rPr>
          <w:rFonts w:hint="eastAsia" w:ascii="宋体" w:hAnsi="宋体" w:cs="宋体"/>
          <w:szCs w:val="21"/>
        </w:rPr>
        <w:t>2.本表所指的控股关系仅限于直接控股关系，不包括间接的控股关系。公司实际控制人与公司之间的关系不属于本表所指的直接控股关系。</w:t>
      </w:r>
    </w:p>
    <w:p w14:paraId="4CFDA482">
      <w:pPr>
        <w:snapToGrid w:val="0"/>
        <w:spacing w:line="400" w:lineRule="exact"/>
        <w:jc w:val="left"/>
        <w:rPr>
          <w:rFonts w:hint="eastAsia" w:ascii="宋体" w:hAnsi="宋体" w:cs="宋体"/>
          <w:szCs w:val="21"/>
        </w:rPr>
      </w:pPr>
      <w:r>
        <w:rPr>
          <w:rFonts w:hint="eastAsia" w:ascii="宋体" w:hAnsi="宋体" w:cs="宋体"/>
          <w:szCs w:val="21"/>
        </w:rPr>
        <w:t>3.投标人不存在直接控股股东的，则填“无”。</w:t>
      </w:r>
    </w:p>
    <w:p w14:paraId="611CE891">
      <w:pPr>
        <w:snapToGrid w:val="0"/>
        <w:spacing w:line="400" w:lineRule="exact"/>
        <w:jc w:val="left"/>
        <w:rPr>
          <w:rFonts w:hint="eastAsia" w:ascii="宋体" w:hAnsi="宋体" w:cs="宋体"/>
          <w:szCs w:val="21"/>
        </w:rPr>
      </w:pPr>
    </w:p>
    <w:p w14:paraId="0245AE1B">
      <w:pPr>
        <w:snapToGrid w:val="0"/>
        <w:spacing w:line="400" w:lineRule="exact"/>
        <w:jc w:val="left"/>
        <w:rPr>
          <w:rFonts w:hint="eastAsia" w:ascii="宋体" w:hAnsi="宋体" w:cs="宋体"/>
          <w:szCs w:val="21"/>
        </w:rPr>
      </w:pPr>
    </w:p>
    <w:p w14:paraId="560B8E6E">
      <w:pPr>
        <w:snapToGrid w:val="0"/>
        <w:spacing w:line="400" w:lineRule="exact"/>
        <w:jc w:val="left"/>
        <w:rPr>
          <w:rFonts w:hint="eastAsia" w:ascii="宋体" w:hAnsi="宋体" w:cs="宋体"/>
          <w:szCs w:val="21"/>
        </w:rPr>
      </w:pPr>
    </w:p>
    <w:p w14:paraId="19DFD308">
      <w:pPr>
        <w:snapToGrid w:val="0"/>
        <w:spacing w:line="400" w:lineRule="exact"/>
        <w:ind w:firstLine="4410" w:firstLineChars="21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40FFE651">
      <w:pPr>
        <w:snapToGrid w:val="0"/>
        <w:spacing w:line="400" w:lineRule="exact"/>
        <w:ind w:firstLine="4515" w:firstLineChars="21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3439773E">
      <w:pPr>
        <w:pStyle w:val="11"/>
        <w:spacing w:line="400" w:lineRule="exact"/>
        <w:rPr>
          <w:rFonts w:hint="eastAsia" w:hAnsi="宋体" w:cs="宋体"/>
          <w:sz w:val="21"/>
        </w:rPr>
      </w:pPr>
      <w:r>
        <w:rPr>
          <w:rFonts w:hint="eastAsia" w:hAnsi="宋体" w:cs="宋体"/>
          <w:b/>
          <w:sz w:val="21"/>
        </w:rPr>
        <w:br w:type="page"/>
      </w:r>
      <w:r>
        <w:rPr>
          <w:rFonts w:hint="eastAsia" w:hAnsi="宋体" w:cs="宋体"/>
          <w:sz w:val="21"/>
        </w:rPr>
        <w:t>4.投标人直接管理关系信息表</w:t>
      </w:r>
    </w:p>
    <w:p w14:paraId="4683DB0A">
      <w:pPr>
        <w:snapToGrid w:val="0"/>
        <w:spacing w:line="400" w:lineRule="exact"/>
        <w:jc w:val="center"/>
        <w:rPr>
          <w:rFonts w:hint="eastAsia" w:ascii="宋体" w:hAnsi="宋体" w:cs="宋体"/>
          <w:szCs w:val="21"/>
        </w:rPr>
      </w:pPr>
      <w:r>
        <w:rPr>
          <w:rFonts w:hint="eastAsia" w:ascii="宋体" w:hAnsi="宋体" w:cs="宋体"/>
          <w:b/>
          <w:szCs w:val="21"/>
        </w:rPr>
        <w:t>投标人直接管理关系信息表</w:t>
      </w:r>
    </w:p>
    <w:tbl>
      <w:tblPr>
        <w:tblStyle w:val="18"/>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018BAE4D">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8090838">
            <w:pPr>
              <w:spacing w:line="400" w:lineRule="exact"/>
              <w:jc w:val="center"/>
              <w:rPr>
                <w:rFonts w:hint="eastAsia" w:ascii="宋体" w:hAnsi="宋体" w:cs="宋体"/>
                <w:b/>
                <w:bCs/>
                <w:kern w:val="0"/>
                <w:szCs w:val="21"/>
              </w:rPr>
            </w:pPr>
            <w:r>
              <w:rPr>
                <w:rFonts w:hint="eastAsia" w:ascii="宋体" w:hAnsi="宋体" w:cs="宋体"/>
                <w:b/>
                <w:bCs/>
                <w:kern w:val="0"/>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33D2B89">
            <w:pPr>
              <w:spacing w:line="400" w:lineRule="exact"/>
              <w:jc w:val="center"/>
              <w:rPr>
                <w:rFonts w:hint="eastAsia" w:ascii="宋体" w:hAnsi="宋体" w:cs="宋体"/>
                <w:b/>
                <w:bCs/>
                <w:kern w:val="0"/>
                <w:szCs w:val="21"/>
              </w:rPr>
            </w:pPr>
            <w:r>
              <w:rPr>
                <w:rFonts w:hint="eastAsia" w:ascii="宋体" w:hAnsi="宋体" w:cs="宋体"/>
                <w:b/>
                <w:bCs/>
                <w:kern w:val="0"/>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565A68A">
            <w:pPr>
              <w:spacing w:line="400" w:lineRule="exact"/>
              <w:jc w:val="center"/>
              <w:rPr>
                <w:rFonts w:hint="eastAsia" w:ascii="宋体" w:hAnsi="宋体" w:cs="宋体"/>
                <w:b/>
                <w:bCs/>
                <w:kern w:val="0"/>
                <w:szCs w:val="21"/>
              </w:rPr>
            </w:pPr>
            <w:r>
              <w:rPr>
                <w:rFonts w:hint="eastAsia" w:ascii="宋体" w:hAnsi="宋体" w:cs="宋体"/>
                <w:b/>
                <w:bCs/>
                <w:kern w:val="0"/>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0BFE49F">
            <w:pPr>
              <w:spacing w:line="400" w:lineRule="exact"/>
              <w:jc w:val="center"/>
              <w:rPr>
                <w:rFonts w:hint="eastAsia" w:ascii="宋体" w:hAnsi="宋体" w:cs="宋体"/>
                <w:b/>
                <w:bCs/>
                <w:kern w:val="0"/>
                <w:szCs w:val="21"/>
              </w:rPr>
            </w:pPr>
            <w:r>
              <w:rPr>
                <w:rFonts w:hint="eastAsia" w:ascii="宋体" w:hAnsi="宋体" w:cs="宋体"/>
                <w:b/>
                <w:bCs/>
                <w:kern w:val="0"/>
                <w:szCs w:val="21"/>
              </w:rPr>
              <w:t>备注</w:t>
            </w:r>
          </w:p>
        </w:tc>
      </w:tr>
      <w:tr w14:paraId="20BD050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B9AEE2">
            <w:pPr>
              <w:spacing w:line="400" w:lineRule="exact"/>
              <w:jc w:val="center"/>
              <w:rPr>
                <w:rFonts w:hint="eastAsia" w:ascii="宋体" w:hAnsi="宋体" w:cs="宋体"/>
                <w:kern w:val="0"/>
                <w:szCs w:val="21"/>
              </w:rPr>
            </w:pPr>
            <w:r>
              <w:rPr>
                <w:rFonts w:hint="eastAsia" w:ascii="宋体" w:hAnsi="宋体" w:cs="宋体"/>
                <w:kern w:val="0"/>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7C2EB2">
            <w:pPr>
              <w:spacing w:line="400" w:lineRule="exact"/>
              <w:jc w:val="center"/>
              <w:rPr>
                <w:rFonts w:hint="eastAsia" w:ascii="宋体" w:hAnsi="宋体" w:cs="宋体"/>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1912EE">
            <w:pPr>
              <w:spacing w:line="400" w:lineRule="exact"/>
              <w:jc w:val="center"/>
              <w:rPr>
                <w:rFonts w:hint="eastAsia" w:ascii="宋体" w:hAnsi="宋体" w:cs="宋体"/>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D56B58">
            <w:pPr>
              <w:spacing w:line="400" w:lineRule="exact"/>
              <w:jc w:val="center"/>
              <w:rPr>
                <w:rFonts w:hint="eastAsia" w:ascii="宋体" w:hAnsi="宋体" w:cs="宋体"/>
                <w:kern w:val="0"/>
                <w:szCs w:val="21"/>
              </w:rPr>
            </w:pPr>
          </w:p>
        </w:tc>
      </w:tr>
      <w:tr w14:paraId="2D0D089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A99935">
            <w:pPr>
              <w:spacing w:line="400" w:lineRule="exact"/>
              <w:jc w:val="center"/>
              <w:rPr>
                <w:rFonts w:hint="eastAsia" w:ascii="宋体" w:hAnsi="宋体" w:cs="宋体"/>
                <w:kern w:val="0"/>
                <w:szCs w:val="21"/>
              </w:rPr>
            </w:pPr>
            <w:r>
              <w:rPr>
                <w:rFonts w:hint="eastAsia" w:ascii="宋体" w:hAnsi="宋体" w:cs="宋体"/>
                <w:kern w:val="0"/>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D71C4D">
            <w:pPr>
              <w:spacing w:line="400" w:lineRule="exact"/>
              <w:jc w:val="center"/>
              <w:rPr>
                <w:rFonts w:hint="eastAsia" w:ascii="宋体" w:hAnsi="宋体" w:cs="宋体"/>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80A671">
            <w:pPr>
              <w:spacing w:line="400" w:lineRule="exact"/>
              <w:jc w:val="center"/>
              <w:rPr>
                <w:rFonts w:hint="eastAsia" w:ascii="宋体" w:hAnsi="宋体" w:cs="宋体"/>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2DA1E6">
            <w:pPr>
              <w:spacing w:line="400" w:lineRule="exact"/>
              <w:jc w:val="center"/>
              <w:rPr>
                <w:rFonts w:hint="eastAsia" w:ascii="宋体" w:hAnsi="宋体" w:cs="宋体"/>
                <w:kern w:val="0"/>
                <w:szCs w:val="21"/>
              </w:rPr>
            </w:pPr>
          </w:p>
        </w:tc>
      </w:tr>
      <w:tr w14:paraId="7C2ED52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F6779A">
            <w:pPr>
              <w:spacing w:line="400" w:lineRule="exact"/>
              <w:jc w:val="center"/>
              <w:rPr>
                <w:rFonts w:hint="eastAsia" w:ascii="宋体" w:hAnsi="宋体" w:cs="宋体"/>
                <w:kern w:val="0"/>
                <w:szCs w:val="21"/>
              </w:rPr>
            </w:pPr>
            <w:r>
              <w:rPr>
                <w:rFonts w:hint="eastAsia" w:ascii="宋体" w:hAnsi="宋体" w:cs="宋体"/>
                <w:kern w:val="0"/>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AFC0D9">
            <w:pPr>
              <w:spacing w:line="400" w:lineRule="exact"/>
              <w:jc w:val="center"/>
              <w:rPr>
                <w:rFonts w:hint="eastAsia" w:ascii="宋体" w:hAnsi="宋体" w:cs="宋体"/>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2D55A0">
            <w:pPr>
              <w:spacing w:line="400" w:lineRule="exact"/>
              <w:jc w:val="center"/>
              <w:rPr>
                <w:rFonts w:hint="eastAsia" w:ascii="宋体" w:hAnsi="宋体" w:cs="宋体"/>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107AB1">
            <w:pPr>
              <w:spacing w:line="400" w:lineRule="exact"/>
              <w:jc w:val="center"/>
              <w:rPr>
                <w:rFonts w:hint="eastAsia" w:ascii="宋体" w:hAnsi="宋体" w:cs="宋体"/>
                <w:kern w:val="0"/>
                <w:szCs w:val="21"/>
              </w:rPr>
            </w:pPr>
          </w:p>
        </w:tc>
      </w:tr>
      <w:tr w14:paraId="7CCEADCC">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06A88A">
            <w:pPr>
              <w:spacing w:line="400" w:lineRule="exact"/>
              <w:jc w:val="center"/>
              <w:rPr>
                <w:rFonts w:hint="eastAsia" w:ascii="宋体" w:hAnsi="宋体" w:cs="宋体"/>
                <w:kern w:val="0"/>
                <w:szCs w:val="21"/>
              </w:rPr>
            </w:pPr>
            <w:r>
              <w:rPr>
                <w:rFonts w:hint="eastAsia" w:ascii="宋体" w:hAnsi="宋体" w:cs="宋体"/>
                <w:kern w:val="0"/>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FF878C">
            <w:pPr>
              <w:spacing w:line="400" w:lineRule="exact"/>
              <w:jc w:val="center"/>
              <w:rPr>
                <w:rFonts w:hint="eastAsia" w:ascii="宋体" w:hAnsi="宋体" w:cs="宋体"/>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BCAFCC">
            <w:pPr>
              <w:spacing w:line="400" w:lineRule="exact"/>
              <w:jc w:val="center"/>
              <w:rPr>
                <w:rFonts w:hint="eastAsia" w:ascii="宋体" w:hAnsi="宋体" w:cs="宋体"/>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B6CF7C">
            <w:pPr>
              <w:spacing w:line="400" w:lineRule="exact"/>
              <w:jc w:val="center"/>
              <w:rPr>
                <w:rFonts w:hint="eastAsia" w:ascii="宋体" w:hAnsi="宋体" w:cs="宋体"/>
                <w:kern w:val="0"/>
                <w:szCs w:val="21"/>
              </w:rPr>
            </w:pPr>
          </w:p>
        </w:tc>
      </w:tr>
    </w:tbl>
    <w:p w14:paraId="2F73AC27">
      <w:pPr>
        <w:snapToGrid w:val="0"/>
        <w:spacing w:line="400" w:lineRule="exact"/>
        <w:jc w:val="left"/>
        <w:rPr>
          <w:rFonts w:hint="eastAsia" w:ascii="宋体" w:hAnsi="宋体" w:cs="宋体"/>
          <w:szCs w:val="21"/>
        </w:rPr>
      </w:pPr>
      <w:r>
        <w:rPr>
          <w:rFonts w:hint="eastAsia" w:ascii="宋体" w:hAnsi="宋体" w:cs="宋体"/>
          <w:szCs w:val="21"/>
        </w:rPr>
        <w:t>注：</w:t>
      </w:r>
    </w:p>
    <w:p w14:paraId="67D8D5FB">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1.管理关系：是指不具有出资持股关系的其他单位之间存在的管理与被管理关系，如一些上下级关系的事业单位和团体组织。</w:t>
      </w:r>
    </w:p>
    <w:p w14:paraId="7BDBB9B3">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spacing w:val="-6"/>
          <w:szCs w:val="21"/>
        </w:rPr>
        <w:t>本表所指的管理关系仅限于直接管理关系，不包括间接的管理关系。</w:t>
      </w:r>
    </w:p>
    <w:p w14:paraId="54C36F10">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3.投标人不存在直接管理关系的，则填“无”。</w:t>
      </w:r>
    </w:p>
    <w:p w14:paraId="6FD915F6">
      <w:pPr>
        <w:snapToGrid w:val="0"/>
        <w:spacing w:line="400" w:lineRule="exact"/>
        <w:jc w:val="left"/>
        <w:rPr>
          <w:rFonts w:hint="eastAsia" w:ascii="宋体" w:hAnsi="宋体" w:cs="宋体"/>
          <w:szCs w:val="21"/>
        </w:rPr>
      </w:pPr>
    </w:p>
    <w:p w14:paraId="2E5B0696">
      <w:pPr>
        <w:snapToGrid w:val="0"/>
        <w:spacing w:line="400" w:lineRule="exact"/>
        <w:jc w:val="left"/>
        <w:rPr>
          <w:rFonts w:hint="eastAsia" w:ascii="宋体" w:hAnsi="宋体" w:cs="宋体"/>
          <w:szCs w:val="21"/>
        </w:rPr>
      </w:pPr>
    </w:p>
    <w:p w14:paraId="379C7361">
      <w:pPr>
        <w:snapToGrid w:val="0"/>
        <w:spacing w:line="400" w:lineRule="exact"/>
        <w:jc w:val="left"/>
        <w:rPr>
          <w:rFonts w:hint="eastAsia" w:ascii="宋体" w:hAnsi="宋体" w:cs="宋体"/>
          <w:szCs w:val="21"/>
        </w:rPr>
      </w:pPr>
    </w:p>
    <w:p w14:paraId="36B7AEED">
      <w:pPr>
        <w:snapToGrid w:val="0"/>
        <w:spacing w:line="400" w:lineRule="exact"/>
        <w:jc w:val="left"/>
        <w:rPr>
          <w:rFonts w:hint="eastAsia" w:ascii="宋体" w:hAnsi="宋体" w:cs="宋体"/>
          <w:szCs w:val="21"/>
        </w:rPr>
      </w:pPr>
    </w:p>
    <w:p w14:paraId="311B6EF2">
      <w:pPr>
        <w:snapToGrid w:val="0"/>
        <w:spacing w:line="400" w:lineRule="exact"/>
        <w:jc w:val="left"/>
        <w:rPr>
          <w:rFonts w:hint="eastAsia" w:ascii="宋体" w:hAnsi="宋体" w:cs="宋体"/>
          <w:szCs w:val="21"/>
        </w:rPr>
      </w:pPr>
    </w:p>
    <w:p w14:paraId="066A8014">
      <w:pPr>
        <w:snapToGrid w:val="0"/>
        <w:spacing w:line="400" w:lineRule="exact"/>
        <w:jc w:val="left"/>
        <w:rPr>
          <w:rFonts w:hint="eastAsia" w:ascii="宋体" w:hAnsi="宋体" w:cs="宋体"/>
          <w:szCs w:val="21"/>
        </w:rPr>
      </w:pPr>
    </w:p>
    <w:p w14:paraId="3E97EF5C">
      <w:pPr>
        <w:snapToGrid w:val="0"/>
        <w:spacing w:line="400" w:lineRule="exact"/>
        <w:jc w:val="left"/>
        <w:rPr>
          <w:rFonts w:hint="eastAsia" w:ascii="宋体" w:hAnsi="宋体" w:cs="宋体"/>
          <w:szCs w:val="21"/>
        </w:rPr>
      </w:pPr>
    </w:p>
    <w:p w14:paraId="289DA92E">
      <w:pPr>
        <w:snapToGrid w:val="0"/>
        <w:spacing w:line="400" w:lineRule="exact"/>
        <w:jc w:val="left"/>
        <w:rPr>
          <w:rFonts w:hint="eastAsia" w:ascii="宋体" w:hAnsi="宋体" w:cs="宋体"/>
          <w:szCs w:val="21"/>
        </w:rPr>
      </w:pPr>
    </w:p>
    <w:p w14:paraId="2D9023C0">
      <w:pPr>
        <w:snapToGrid w:val="0"/>
        <w:spacing w:line="400" w:lineRule="exact"/>
        <w:ind w:firstLine="4410" w:firstLineChars="21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1B625C35">
      <w:pPr>
        <w:snapToGrid w:val="0"/>
        <w:spacing w:line="400" w:lineRule="exact"/>
        <w:ind w:firstLine="4515" w:firstLineChars="21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5DD6DDBB">
      <w:pPr>
        <w:snapToGrid w:val="0"/>
        <w:spacing w:before="50" w:after="166" w:afterLines="50"/>
        <w:jc w:val="left"/>
        <w:rPr>
          <w:rFonts w:hint="eastAsia" w:ascii="宋体" w:hAnsi="宋体" w:cs="宋体"/>
          <w:szCs w:val="21"/>
        </w:rPr>
      </w:pPr>
    </w:p>
    <w:p w14:paraId="1E7DBB35">
      <w:pPr>
        <w:pStyle w:val="11"/>
        <w:spacing w:line="480" w:lineRule="exact"/>
        <w:rPr>
          <w:rFonts w:hint="eastAsia" w:hAnsi="宋体" w:cs="宋体"/>
          <w:sz w:val="21"/>
        </w:rPr>
      </w:pPr>
      <w:r>
        <w:rPr>
          <w:rFonts w:hint="eastAsia" w:hAnsi="宋体" w:cs="宋体"/>
          <w:sz w:val="21"/>
        </w:rPr>
        <w:br w:type="page"/>
      </w:r>
      <w:r>
        <w:rPr>
          <w:rFonts w:hint="eastAsia" w:hAnsi="宋体" w:cs="宋体"/>
          <w:sz w:val="21"/>
        </w:rPr>
        <w:t>5.投标资格声明</w:t>
      </w:r>
    </w:p>
    <w:p w14:paraId="10A8859E">
      <w:pPr>
        <w:snapToGrid w:val="0"/>
        <w:spacing w:line="400" w:lineRule="exact"/>
        <w:jc w:val="left"/>
        <w:rPr>
          <w:rFonts w:hint="eastAsia" w:ascii="宋体" w:hAnsi="宋体" w:cs="宋体"/>
          <w:szCs w:val="21"/>
        </w:rPr>
      </w:pPr>
    </w:p>
    <w:p w14:paraId="35C15245">
      <w:pPr>
        <w:snapToGrid w:val="0"/>
        <w:spacing w:line="400" w:lineRule="exact"/>
        <w:jc w:val="center"/>
        <w:rPr>
          <w:rFonts w:hint="eastAsia" w:ascii="宋体" w:hAnsi="宋体" w:cs="宋体"/>
          <w:b/>
          <w:szCs w:val="21"/>
        </w:rPr>
      </w:pPr>
      <w:r>
        <w:rPr>
          <w:rFonts w:hint="eastAsia" w:ascii="宋体" w:hAnsi="宋体" w:cs="宋体"/>
          <w:b/>
          <w:szCs w:val="21"/>
        </w:rPr>
        <w:t>投标资格声明函</w:t>
      </w:r>
    </w:p>
    <w:p w14:paraId="3434376A">
      <w:pPr>
        <w:tabs>
          <w:tab w:val="left" w:pos="7200"/>
        </w:tabs>
        <w:spacing w:line="400" w:lineRule="exact"/>
        <w:rPr>
          <w:rFonts w:hint="eastAsia" w:ascii="宋体" w:hAnsi="宋体" w:cs="宋体"/>
          <w:szCs w:val="21"/>
        </w:rPr>
      </w:pPr>
    </w:p>
    <w:p w14:paraId="2B141CDB">
      <w:pPr>
        <w:tabs>
          <w:tab w:val="left" w:pos="7200"/>
        </w:tabs>
        <w:spacing w:line="400" w:lineRule="exact"/>
        <w:rPr>
          <w:rFonts w:hint="eastAsia" w:ascii="宋体" w:hAnsi="宋体" w:cs="宋体"/>
          <w:szCs w:val="21"/>
        </w:rPr>
      </w:pPr>
      <w:r>
        <w:rPr>
          <w:rFonts w:hint="eastAsia" w:ascii="宋体" w:hAnsi="宋体" w:cs="宋体"/>
          <w:szCs w:val="21"/>
        </w:rPr>
        <w:t>致：（采购代理机构名称）</w:t>
      </w:r>
    </w:p>
    <w:p w14:paraId="46CDCEAD">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我方愿意参加贵方组织的</w:t>
      </w:r>
      <w:r>
        <w:rPr>
          <w:rFonts w:hint="eastAsia" w:ascii="宋体" w:hAnsi="宋体" w:cs="宋体"/>
          <w:szCs w:val="21"/>
          <w:u w:val="single"/>
        </w:rPr>
        <w:t xml:space="preserve"> (项目名称)             </w:t>
      </w:r>
      <w:r>
        <w:rPr>
          <w:rFonts w:hint="eastAsia" w:ascii="宋体" w:hAnsi="宋体" w:cs="宋体"/>
          <w:szCs w:val="21"/>
        </w:rPr>
        <w:t>（项目编号：）项目的投标，为便于贵方公正、择优地确定中标人，我方就本次投标有关事项郑重声明如下：</w:t>
      </w:r>
    </w:p>
    <w:p w14:paraId="49EB13D7">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1.我方承诺已经具备《中华人民共和国政府采购法》第二十二条中规定的参加政府采购活动的投标人应当具备的条件：</w:t>
      </w:r>
    </w:p>
    <w:p w14:paraId="48A7443F">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（1）具有独立承担民事责任的能力；</w:t>
      </w:r>
    </w:p>
    <w:p w14:paraId="4827491C">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（2）具有良好的商业信誉和健全的财务会计制度；</w:t>
      </w:r>
    </w:p>
    <w:p w14:paraId="23CD0AA1">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（3）具有履行合同所必需的设备和专业技术能力；</w:t>
      </w:r>
    </w:p>
    <w:p w14:paraId="6E106567">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（4）有依法缴纳税收和社会保障资金的良好记录；</w:t>
      </w:r>
    </w:p>
    <w:p w14:paraId="07ABBF31">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（5）参加政府采购活动前三年内，在经营活动中没有重大违法记录；</w:t>
      </w:r>
    </w:p>
    <w:p w14:paraId="3E575B6E">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（6）法律、行政法规规定的其他条件。</w:t>
      </w:r>
    </w:p>
    <w:p w14:paraId="7973DE7F">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2.我方不是采购人的附属机构；不是为本次采购项目提供整体设计、规范编制或者项目管理、监理、检测等货物的投标人；在获知本项目采购信息后，与采购人聘请的为此项目提供咨询货物的公司及其附属机构没有任何联系。</w:t>
      </w:r>
    </w:p>
    <w:p w14:paraId="71FC5FCA">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3.经查询，在“信用中国”和“中国政府采购网”网站我方未被列入失信被执行人、重大税收违法失信主体名单、政府采购严重违法失信行为记录名单。</w:t>
      </w:r>
    </w:p>
    <w:p w14:paraId="0C70707E">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 xml:space="preserve">4.以上事项如有虚假或隐瞒，我方愿意承担一切后果，并不再寻求任何旨在减轻或免除法律责任的辩解。 </w:t>
      </w:r>
    </w:p>
    <w:p w14:paraId="51D53DFE">
      <w:pPr>
        <w:tabs>
          <w:tab w:val="left" w:pos="7200"/>
        </w:tabs>
        <w:spacing w:line="400" w:lineRule="exact"/>
        <w:ind w:firstLine="315" w:firstLineChars="150"/>
        <w:rPr>
          <w:rFonts w:hint="eastAsia" w:ascii="宋体" w:hAnsi="宋体" w:cs="宋体"/>
          <w:szCs w:val="21"/>
        </w:rPr>
      </w:pPr>
      <w:r>
        <w:rPr>
          <w:rFonts w:hint="eastAsia" w:ascii="宋体" w:hAnsi="宋体" w:cs="宋体"/>
          <w:szCs w:val="21"/>
        </w:rPr>
        <w:t>说明：</w:t>
      </w:r>
    </w:p>
    <w:p w14:paraId="60703168">
      <w:pPr>
        <w:spacing w:line="400" w:lineRule="exact"/>
        <w:ind w:firstLine="420" w:firstLineChars="200"/>
        <w:jc w:val="left"/>
        <w:rPr>
          <w:rFonts w:hint="eastAsia" w:ascii="宋体" w:hAnsi="宋体" w:cs="宋体"/>
          <w:szCs w:val="21"/>
        </w:rPr>
      </w:pPr>
      <w:r>
        <w:rPr>
          <w:rFonts w:hint="eastAsia" w:ascii="宋体" w:hAnsi="宋体" w:cs="宋体"/>
          <w:szCs w:val="21"/>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名单、政府采购严重违法失信行为记录名单的投标人，将被拒绝参与本项目政府采购活动。</w:t>
      </w:r>
    </w:p>
    <w:p w14:paraId="273EED00">
      <w:pPr>
        <w:spacing w:line="400" w:lineRule="exact"/>
        <w:ind w:firstLine="420" w:firstLineChars="200"/>
        <w:jc w:val="left"/>
        <w:rPr>
          <w:rFonts w:hint="eastAsia" w:ascii="宋体" w:hAnsi="宋体" w:cs="宋体"/>
          <w:szCs w:val="21"/>
        </w:rPr>
      </w:pPr>
      <w:r>
        <w:rPr>
          <w:rFonts w:hint="eastAsia" w:ascii="宋体" w:hAnsi="宋体" w:cs="宋体"/>
          <w:szCs w:val="21"/>
        </w:rPr>
        <w:t>2.两个以上的自然人、法人或者其他组织组成一个联合体，以一个投标人的身份共同参加政府采购活动的，应当对所有联合体成员进行信用记录查询，联合体成员存在不良信用记录的，视同联合体存在不良信用记录。</w:t>
      </w:r>
    </w:p>
    <w:p w14:paraId="12EC1EB4">
      <w:pPr>
        <w:snapToGrid w:val="0"/>
        <w:spacing w:line="400" w:lineRule="exact"/>
        <w:ind w:firstLine="422" w:firstLineChars="200"/>
        <w:jc w:val="left"/>
        <w:rPr>
          <w:rFonts w:hint="eastAsia" w:ascii="宋体" w:hAnsi="宋体" w:cs="宋体"/>
          <w:szCs w:val="21"/>
        </w:rPr>
      </w:pPr>
      <w:r>
        <w:rPr>
          <w:rFonts w:hint="eastAsia" w:ascii="宋体" w:hAnsi="宋体" w:cs="宋体"/>
          <w:b/>
          <w:szCs w:val="21"/>
        </w:rPr>
        <w:t>3.如为联合体投标，盖章处须加盖联合体各方公章或</w:t>
      </w:r>
      <w:r>
        <w:rPr>
          <w:rFonts w:hint="eastAsia" w:ascii="宋体" w:hAnsi="宋体" w:cs="宋体"/>
          <w:b/>
          <w:szCs w:val="21"/>
          <w:lang w:val="zh-CN"/>
        </w:rPr>
        <w:t>电子</w:t>
      </w:r>
      <w:r>
        <w:rPr>
          <w:rFonts w:hint="eastAsia" w:ascii="宋体" w:hAnsi="宋体" w:cs="宋体"/>
          <w:b/>
          <w:szCs w:val="21"/>
        </w:rPr>
        <w:t>签章，否则投标无效。</w:t>
      </w:r>
    </w:p>
    <w:p w14:paraId="535C2C32">
      <w:pPr>
        <w:snapToGrid w:val="0"/>
        <w:spacing w:line="400" w:lineRule="exact"/>
        <w:jc w:val="right"/>
        <w:rPr>
          <w:rFonts w:hint="eastAsia" w:ascii="宋体" w:hAnsi="宋体" w:cs="宋体"/>
          <w:kern w:val="0"/>
          <w:szCs w:val="21"/>
          <w:lang w:val="zh-CN"/>
        </w:rPr>
      </w:pPr>
    </w:p>
    <w:p w14:paraId="2A276D27">
      <w:pPr>
        <w:snapToGrid w:val="0"/>
        <w:spacing w:line="400" w:lineRule="exact"/>
        <w:ind w:right="480" w:firstLine="3780" w:firstLineChars="1800"/>
        <w:jc w:val="center"/>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1557FF23">
      <w:pPr>
        <w:snapToGrid w:val="0"/>
        <w:spacing w:line="400" w:lineRule="exact"/>
        <w:ind w:firstLine="4200" w:firstLineChars="200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0EE0328B">
      <w:pPr>
        <w:pStyle w:val="11"/>
        <w:spacing w:line="400" w:lineRule="exact"/>
        <w:rPr>
          <w:rFonts w:hint="eastAsia" w:hAnsi="宋体" w:cs="宋体"/>
          <w:sz w:val="21"/>
        </w:rPr>
      </w:pPr>
      <w:r>
        <w:rPr>
          <w:rFonts w:hint="eastAsia" w:hAnsi="宋体" w:cs="宋体"/>
          <w:sz w:val="21"/>
        </w:rPr>
        <w:t>6.联合体协议书</w:t>
      </w:r>
    </w:p>
    <w:p w14:paraId="1F601D29">
      <w:pPr>
        <w:pStyle w:val="11"/>
        <w:spacing w:line="400" w:lineRule="exact"/>
        <w:jc w:val="center"/>
        <w:rPr>
          <w:rFonts w:hint="eastAsia" w:hAnsi="宋体" w:cs="宋体"/>
          <w:sz w:val="21"/>
        </w:rPr>
      </w:pPr>
      <w:r>
        <w:rPr>
          <w:rFonts w:hint="eastAsia" w:hAnsi="宋体" w:cs="宋体"/>
          <w:b/>
          <w:bCs/>
          <w:sz w:val="21"/>
        </w:rPr>
        <w:t>联合体协议书</w:t>
      </w:r>
    </w:p>
    <w:p w14:paraId="4CC6E698">
      <w:pPr>
        <w:autoSpaceDE w:val="0"/>
        <w:autoSpaceDN w:val="0"/>
        <w:adjustRightInd w:val="0"/>
        <w:spacing w:line="400" w:lineRule="exact"/>
        <w:jc w:val="left"/>
        <w:rPr>
          <w:rFonts w:hint="eastAsia" w:ascii="宋体" w:hAnsi="宋体" w:cs="宋体"/>
          <w:kern w:val="0"/>
          <w:szCs w:val="21"/>
          <w:u w:val="single"/>
        </w:rPr>
      </w:pPr>
    </w:p>
    <w:p w14:paraId="10F86B61">
      <w:pPr>
        <w:autoSpaceDE w:val="0"/>
        <w:autoSpaceDN w:val="0"/>
        <w:adjustRightInd w:val="0"/>
        <w:spacing w:line="400" w:lineRule="exact"/>
        <w:jc w:val="left"/>
        <w:rPr>
          <w:rFonts w:hint="eastAsia" w:ascii="宋体" w:hAnsi="宋体" w:cs="宋体"/>
          <w:kern w:val="0"/>
          <w:szCs w:val="21"/>
        </w:rPr>
      </w:pPr>
      <w:r>
        <w:rPr>
          <w:rFonts w:hint="eastAsia" w:ascii="宋体" w:hAnsi="宋体" w:cs="宋体"/>
          <w:kern w:val="0"/>
          <w:szCs w:val="21"/>
        </w:rPr>
        <w:t>（所有成员单位名称）自愿组成联合体，共同参加</w:t>
      </w:r>
      <w:r>
        <w:rPr>
          <w:rFonts w:hint="eastAsia" w:ascii="宋体" w:hAnsi="宋体" w:cs="宋体"/>
          <w:kern w:val="0"/>
          <w:szCs w:val="21"/>
          <w:u w:val="single"/>
        </w:rPr>
        <w:t xml:space="preserve">     （采购代理机构名称）    </w:t>
      </w:r>
      <w:r>
        <w:rPr>
          <w:rFonts w:hint="eastAsia" w:ascii="宋体" w:hAnsi="宋体" w:cs="宋体"/>
          <w:kern w:val="0"/>
          <w:szCs w:val="21"/>
        </w:rPr>
        <w:t>组织的</w:t>
      </w:r>
      <w:r>
        <w:rPr>
          <w:rFonts w:hint="eastAsia" w:ascii="宋体" w:hAnsi="宋体" w:cs="宋体"/>
          <w:kern w:val="0"/>
          <w:szCs w:val="21"/>
          <w:u w:val="single"/>
        </w:rPr>
        <w:t xml:space="preserve">         （项目名称）         </w:t>
      </w:r>
      <w:r>
        <w:rPr>
          <w:rFonts w:hint="eastAsia" w:ascii="宋体" w:hAnsi="宋体" w:cs="宋体"/>
          <w:kern w:val="0"/>
          <w:szCs w:val="21"/>
        </w:rPr>
        <w:t>（项目编号：）投标。现就联合体投标事宜订立如下协议：</w:t>
      </w:r>
    </w:p>
    <w:p w14:paraId="133EF6D6">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szCs w:val="21"/>
        </w:rPr>
        <w:t>________________________</w:t>
      </w:r>
      <w:r>
        <w:rPr>
          <w:rFonts w:hint="eastAsia" w:ascii="宋体" w:hAnsi="宋体" w:cs="宋体"/>
          <w:kern w:val="0"/>
          <w:szCs w:val="21"/>
        </w:rPr>
        <w:t>（某成员单位名称）为（</w:t>
      </w:r>
      <w:r>
        <w:rPr>
          <w:rFonts w:hint="eastAsia" w:ascii="宋体" w:hAnsi="宋体" w:cs="宋体"/>
          <w:kern w:val="0"/>
          <w:szCs w:val="21"/>
          <w:u w:val="single"/>
        </w:rPr>
        <w:t>联合体名称</w:t>
      </w:r>
      <w:r>
        <w:rPr>
          <w:rFonts w:hint="eastAsia" w:ascii="宋体" w:hAnsi="宋体" w:cs="宋体"/>
          <w:kern w:val="0"/>
          <w:szCs w:val="21"/>
        </w:rPr>
        <w:t>）牵头人。</w:t>
      </w:r>
    </w:p>
    <w:p w14:paraId="22B3AD82">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2、联合体各成员授权牵头人代表联合体参加投标活动，签署文件及对文件的盖章，提交和接收相关的资料、信息及指示，进行合同谈判活动，负责合同实施阶段的组织和协调工作，以及处理与本采购项目有关的一切事宜。</w:t>
      </w:r>
    </w:p>
    <w:p w14:paraId="3A729D00">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3、联合体牵头人在本项目中签署和盖章的一切文件和处理的一切事宜，联合体各成员均予以承认。联合体各成员将严格按照招标文件、投标文件和合同的要求全面履行义务，并向招标人承担连带责任。</w:t>
      </w:r>
    </w:p>
    <w:p w14:paraId="3790F297">
      <w:pPr>
        <w:autoSpaceDE w:val="0"/>
        <w:autoSpaceDN w:val="0"/>
        <w:adjustRightInd w:val="0"/>
        <w:spacing w:line="400" w:lineRule="exact"/>
        <w:ind w:firstLine="420" w:firstLineChars="200"/>
        <w:jc w:val="left"/>
        <w:rPr>
          <w:rFonts w:hint="eastAsia" w:ascii="宋体" w:hAnsi="宋体" w:cs="宋体"/>
          <w:szCs w:val="21"/>
        </w:rPr>
      </w:pPr>
      <w:r>
        <w:rPr>
          <w:rFonts w:hint="eastAsia" w:ascii="宋体" w:hAnsi="宋体" w:cs="宋体"/>
          <w:kern w:val="0"/>
          <w:szCs w:val="21"/>
        </w:rPr>
        <w:t>4、对本项目的保密要求及提供的保密承诺全部材料，联合体各成员单位严格执行，任何一方均对保密事项负责，并无条件向采购人承担保密承诺的任何责任。</w:t>
      </w:r>
    </w:p>
    <w:p w14:paraId="02C77496">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5、联合体各成员单位内部的职责分工如下：</w:t>
      </w:r>
      <w:r>
        <w:rPr>
          <w:rFonts w:hint="eastAsia" w:ascii="宋体" w:hAnsi="宋体" w:cs="宋体"/>
          <w:szCs w:val="21"/>
        </w:rPr>
        <w:t>_______________________________________</w:t>
      </w:r>
      <w:r>
        <w:rPr>
          <w:rFonts w:hint="eastAsia" w:ascii="宋体" w:hAnsi="宋体" w:cs="宋体"/>
          <w:kern w:val="0"/>
          <w:szCs w:val="21"/>
        </w:rPr>
        <w:t>。</w:t>
      </w:r>
    </w:p>
    <w:p w14:paraId="664AFB33">
      <w:pPr>
        <w:pStyle w:val="11"/>
        <w:spacing w:line="400" w:lineRule="exact"/>
        <w:ind w:firstLine="420" w:firstLineChars="200"/>
        <w:rPr>
          <w:rFonts w:hint="eastAsia" w:hAnsi="宋体" w:cs="宋体"/>
          <w:sz w:val="21"/>
        </w:rPr>
      </w:pPr>
      <w:r>
        <w:rPr>
          <w:rFonts w:hint="eastAsia" w:hAnsi="宋体" w:cs="宋体"/>
          <w:sz w:val="21"/>
        </w:rPr>
        <w:t>6、本联合体中，________________________（某成员单位名称）为______（请填写：中型、小型、微型）企业，其协议合同金额占联合体协议合同总金额的______%。【如联合体成员中有小型、微型企业的，请填写此条，否则无需填写；如联合体成员中有多个小型、微型企业的，请逐一列出。】</w:t>
      </w:r>
    </w:p>
    <w:p w14:paraId="25C2904F">
      <w:pPr>
        <w:pStyle w:val="11"/>
        <w:spacing w:line="400" w:lineRule="exact"/>
        <w:ind w:firstLine="420" w:firstLineChars="200"/>
        <w:rPr>
          <w:rFonts w:hint="eastAsia" w:hAnsi="宋体" w:cs="宋体"/>
          <w:sz w:val="21"/>
        </w:rPr>
      </w:pPr>
      <w:r>
        <w:rPr>
          <w:rFonts w:hint="eastAsia" w:hAnsi="宋体" w:cs="宋体"/>
          <w:sz w:val="21"/>
        </w:rPr>
        <w:t>7、其他相关事项：。</w:t>
      </w:r>
    </w:p>
    <w:p w14:paraId="6C62AAB8">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8、本协议书自签署之日起生效，合同履行完毕后自动失效。</w:t>
      </w:r>
    </w:p>
    <w:p w14:paraId="0F333215">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9、本协议书一式份，联合体成员和采购代理机构各执一份。</w:t>
      </w:r>
    </w:p>
    <w:p w14:paraId="5DCB46EF">
      <w:pPr>
        <w:autoSpaceDE w:val="0"/>
        <w:autoSpaceDN w:val="0"/>
        <w:adjustRightInd w:val="0"/>
        <w:spacing w:line="400" w:lineRule="exact"/>
        <w:ind w:firstLine="420"/>
        <w:jc w:val="left"/>
        <w:rPr>
          <w:rFonts w:hint="eastAsia" w:ascii="宋体" w:hAnsi="宋体" w:cs="宋体"/>
          <w:kern w:val="0"/>
          <w:szCs w:val="21"/>
        </w:rPr>
      </w:pPr>
      <w:r>
        <w:rPr>
          <w:rFonts w:hint="eastAsia" w:ascii="宋体" w:hAnsi="宋体" w:cs="宋体"/>
          <w:kern w:val="0"/>
          <w:szCs w:val="21"/>
        </w:rPr>
        <w:t>注：本协议书由法定代表人签字的，应附法定代表人身份证明；本协议书由委托代理人签字的，应附法定代表人授权委托书。</w:t>
      </w:r>
    </w:p>
    <w:p w14:paraId="70F5971F">
      <w:pPr>
        <w:autoSpaceDE w:val="0"/>
        <w:autoSpaceDN w:val="0"/>
        <w:adjustRightInd w:val="0"/>
        <w:spacing w:line="400" w:lineRule="exact"/>
        <w:jc w:val="left"/>
        <w:rPr>
          <w:rFonts w:hint="eastAsia" w:ascii="宋体" w:hAnsi="宋体" w:cs="宋体"/>
          <w:kern w:val="0"/>
          <w:szCs w:val="21"/>
        </w:rPr>
      </w:pPr>
      <w:r>
        <w:rPr>
          <w:rFonts w:hint="eastAsia" w:ascii="宋体" w:hAnsi="宋体" w:cs="宋体"/>
          <w:kern w:val="0"/>
          <w:szCs w:val="21"/>
        </w:rPr>
        <w:t>联合体牵头人名称：（公章或电子签章）</w:t>
      </w:r>
    </w:p>
    <w:p w14:paraId="28BA1324">
      <w:pPr>
        <w:autoSpaceDE w:val="0"/>
        <w:autoSpaceDN w:val="0"/>
        <w:adjustRightInd w:val="0"/>
        <w:spacing w:line="400" w:lineRule="exact"/>
        <w:jc w:val="left"/>
        <w:rPr>
          <w:rFonts w:hint="eastAsia" w:ascii="宋体" w:hAnsi="宋体" w:cs="宋体"/>
          <w:kern w:val="0"/>
          <w:szCs w:val="21"/>
        </w:rPr>
      </w:pPr>
      <w:r>
        <w:rPr>
          <w:rFonts w:hint="eastAsia" w:ascii="宋体" w:hAnsi="宋体" w:cs="宋体"/>
          <w:kern w:val="0"/>
          <w:szCs w:val="21"/>
        </w:rPr>
        <w:t>法定代表人或其委托代理人：（签字或电子签名）</w:t>
      </w:r>
    </w:p>
    <w:p w14:paraId="50947A2E">
      <w:pPr>
        <w:autoSpaceDE w:val="0"/>
        <w:autoSpaceDN w:val="0"/>
        <w:adjustRightInd w:val="0"/>
        <w:spacing w:line="400" w:lineRule="exact"/>
        <w:jc w:val="left"/>
        <w:rPr>
          <w:rFonts w:hint="eastAsia" w:ascii="宋体" w:hAnsi="宋体" w:cs="宋体"/>
          <w:kern w:val="0"/>
          <w:szCs w:val="21"/>
        </w:rPr>
      </w:pPr>
      <w:r>
        <w:rPr>
          <w:rFonts w:hint="eastAsia" w:ascii="宋体" w:hAnsi="宋体" w:cs="宋体"/>
          <w:kern w:val="0"/>
          <w:szCs w:val="21"/>
        </w:rPr>
        <w:t>联合体成员名称：（公章或电子签章）</w:t>
      </w:r>
    </w:p>
    <w:p w14:paraId="2E465286">
      <w:pPr>
        <w:autoSpaceDE w:val="0"/>
        <w:autoSpaceDN w:val="0"/>
        <w:adjustRightInd w:val="0"/>
        <w:spacing w:line="400" w:lineRule="exact"/>
        <w:jc w:val="left"/>
        <w:rPr>
          <w:rFonts w:hint="eastAsia" w:ascii="宋体" w:hAnsi="宋体" w:cs="宋体"/>
          <w:kern w:val="0"/>
          <w:szCs w:val="21"/>
        </w:rPr>
      </w:pPr>
      <w:r>
        <w:rPr>
          <w:rFonts w:hint="eastAsia" w:ascii="宋体" w:hAnsi="宋体" w:cs="宋体"/>
          <w:kern w:val="0"/>
          <w:szCs w:val="21"/>
        </w:rPr>
        <w:t>法定代表人或其委托代理人：（签字或电子签名）</w:t>
      </w:r>
    </w:p>
    <w:p w14:paraId="7B7DAD7D">
      <w:pPr>
        <w:pStyle w:val="11"/>
        <w:spacing w:line="400" w:lineRule="exact"/>
        <w:ind w:firstLine="4830" w:firstLineChars="2300"/>
        <w:jc w:val="left"/>
        <w:rPr>
          <w:rFonts w:hint="eastAsia" w:hAnsi="宋体" w:cs="宋体"/>
          <w:sz w:val="21"/>
        </w:rPr>
      </w:pPr>
      <w:r>
        <w:rPr>
          <w:rFonts w:hint="eastAsia" w:hAnsi="宋体" w:cs="宋体"/>
          <w:sz w:val="21"/>
        </w:rPr>
        <w:t>日期：    年    月    日</w:t>
      </w:r>
    </w:p>
    <w:p w14:paraId="7EE218FD">
      <w:pPr>
        <w:pStyle w:val="5"/>
        <w:spacing w:line="400" w:lineRule="exact"/>
        <w:jc w:val="center"/>
        <w:rPr>
          <w:rFonts w:hint="eastAsia" w:ascii="宋体" w:hAnsi="宋体" w:eastAsia="宋体" w:cs="宋体"/>
          <w:sz w:val="21"/>
          <w:szCs w:val="21"/>
        </w:rPr>
      </w:pPr>
      <w:bookmarkStart w:id="186" w:name="_Toc99033104"/>
      <w:bookmarkStart w:id="187" w:name="_Toc19686838"/>
      <w:bookmarkStart w:id="188" w:name="_Toc6135"/>
      <w:r>
        <w:rPr>
          <w:rFonts w:hint="eastAsia" w:ascii="宋体" w:hAnsi="宋体" w:eastAsia="宋体" w:cs="宋体"/>
          <w:sz w:val="21"/>
          <w:szCs w:val="21"/>
        </w:rPr>
        <w:br w:type="page"/>
      </w:r>
      <w:r>
        <w:rPr>
          <w:rFonts w:hint="eastAsia" w:ascii="宋体" w:hAnsi="宋体" w:eastAsia="宋体"/>
          <w:sz w:val="21"/>
          <w:szCs w:val="21"/>
        </w:rPr>
        <w:t>第三节 商务文件格式</w:t>
      </w:r>
      <w:bookmarkEnd w:id="186"/>
      <w:bookmarkEnd w:id="187"/>
      <w:bookmarkEnd w:id="188"/>
    </w:p>
    <w:p w14:paraId="3FD8CC92">
      <w:pPr>
        <w:pStyle w:val="11"/>
        <w:spacing w:line="400" w:lineRule="exact"/>
        <w:rPr>
          <w:rFonts w:hint="eastAsia" w:hAnsi="宋体" w:cs="宋体"/>
          <w:sz w:val="21"/>
        </w:rPr>
      </w:pPr>
      <w:r>
        <w:rPr>
          <w:rFonts w:hint="eastAsia" w:hAnsi="宋体" w:cs="宋体"/>
          <w:sz w:val="21"/>
        </w:rPr>
        <w:t>1. 商务文件封面格式：</w:t>
      </w:r>
    </w:p>
    <w:p w14:paraId="25787AE9">
      <w:pPr>
        <w:snapToGrid w:val="0"/>
        <w:spacing w:before="166" w:beforeLines="50" w:after="50" w:line="400" w:lineRule="exact"/>
        <w:rPr>
          <w:rFonts w:hint="eastAsia" w:ascii="宋体" w:hAnsi="宋体" w:cs="宋体"/>
          <w:szCs w:val="21"/>
        </w:rPr>
      </w:pPr>
    </w:p>
    <w:p w14:paraId="472F85E1">
      <w:pPr>
        <w:snapToGrid w:val="0"/>
        <w:spacing w:before="166" w:beforeLines="50" w:after="50" w:line="400" w:lineRule="exact"/>
        <w:jc w:val="center"/>
        <w:rPr>
          <w:rFonts w:hint="eastAsia" w:ascii="宋体" w:hAnsi="宋体" w:cs="宋体"/>
          <w:bCs/>
          <w:szCs w:val="21"/>
        </w:rPr>
      </w:pPr>
      <w:r>
        <w:rPr>
          <w:rFonts w:hint="eastAsia" w:ascii="宋体" w:hAnsi="宋体" w:cs="宋体"/>
          <w:bCs/>
          <w:szCs w:val="21"/>
        </w:rPr>
        <w:t>电子投标文件</w:t>
      </w:r>
    </w:p>
    <w:p w14:paraId="0AB5A07D">
      <w:pPr>
        <w:snapToGrid w:val="0"/>
        <w:spacing w:before="166" w:beforeLines="50" w:after="50" w:line="400" w:lineRule="exact"/>
        <w:rPr>
          <w:rFonts w:hint="eastAsia" w:ascii="宋体" w:hAnsi="宋体" w:cs="宋体"/>
          <w:szCs w:val="21"/>
        </w:rPr>
      </w:pPr>
    </w:p>
    <w:p w14:paraId="61863D16">
      <w:pPr>
        <w:snapToGrid w:val="0"/>
        <w:spacing w:before="166" w:beforeLines="50" w:after="50" w:line="400" w:lineRule="exact"/>
        <w:jc w:val="center"/>
        <w:rPr>
          <w:rFonts w:hint="eastAsia" w:ascii="宋体" w:hAnsi="宋体" w:cs="宋体"/>
          <w:b/>
          <w:szCs w:val="21"/>
        </w:rPr>
      </w:pPr>
      <w:r>
        <w:rPr>
          <w:rFonts w:hint="eastAsia" w:ascii="宋体" w:hAnsi="宋体" w:cs="宋体"/>
          <w:b/>
          <w:szCs w:val="21"/>
        </w:rPr>
        <w:t>商务文件（封面）</w:t>
      </w:r>
    </w:p>
    <w:p w14:paraId="3C826A3E">
      <w:pPr>
        <w:snapToGrid w:val="0"/>
        <w:spacing w:before="166" w:beforeLines="50" w:after="50" w:line="400" w:lineRule="exact"/>
        <w:rPr>
          <w:rFonts w:hint="eastAsia" w:ascii="宋体" w:hAnsi="宋体" w:cs="宋体"/>
          <w:bCs/>
          <w:szCs w:val="21"/>
        </w:rPr>
      </w:pPr>
    </w:p>
    <w:p w14:paraId="2CEC4744">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项目名称：</w:t>
      </w:r>
    </w:p>
    <w:p w14:paraId="0A791758">
      <w:pPr>
        <w:snapToGrid w:val="0"/>
        <w:spacing w:before="166" w:beforeLines="50" w:after="50" w:line="400" w:lineRule="exact"/>
        <w:ind w:firstLine="472" w:firstLineChars="225"/>
        <w:rPr>
          <w:rFonts w:hint="eastAsia" w:ascii="宋体" w:hAnsi="宋体" w:cs="宋体"/>
          <w:bCs/>
          <w:szCs w:val="21"/>
        </w:rPr>
      </w:pPr>
    </w:p>
    <w:p w14:paraId="38B79A92">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项目编号：</w:t>
      </w:r>
    </w:p>
    <w:p w14:paraId="3384584F">
      <w:pPr>
        <w:snapToGrid w:val="0"/>
        <w:spacing w:before="166" w:beforeLines="50" w:after="50" w:line="400" w:lineRule="exact"/>
        <w:ind w:firstLine="472" w:firstLineChars="225"/>
        <w:rPr>
          <w:rFonts w:hint="eastAsia" w:ascii="宋体" w:hAnsi="宋体" w:cs="宋体"/>
          <w:bCs/>
          <w:szCs w:val="21"/>
        </w:rPr>
      </w:pPr>
    </w:p>
    <w:p w14:paraId="6D9C2843">
      <w:pPr>
        <w:snapToGrid w:val="0"/>
        <w:spacing w:before="166" w:beforeLines="50" w:after="50" w:line="400" w:lineRule="exact"/>
        <w:ind w:firstLine="472" w:firstLineChars="225"/>
        <w:rPr>
          <w:rFonts w:hint="eastAsia" w:ascii="宋体" w:hAnsi="宋体" w:cs="宋体"/>
          <w:bCs/>
          <w:szCs w:val="21"/>
        </w:rPr>
      </w:pPr>
      <w:r>
        <w:rPr>
          <w:rFonts w:hint="eastAsia" w:ascii="宋体" w:hAnsi="宋体" w:cs="宋体"/>
          <w:bCs/>
          <w:szCs w:val="21"/>
        </w:rPr>
        <w:t>所投分标：</w:t>
      </w:r>
    </w:p>
    <w:p w14:paraId="4979A131">
      <w:pPr>
        <w:snapToGrid w:val="0"/>
        <w:spacing w:before="166" w:beforeLines="50" w:after="50" w:line="400" w:lineRule="exact"/>
        <w:ind w:firstLine="472" w:firstLineChars="225"/>
        <w:rPr>
          <w:rFonts w:hint="eastAsia" w:ascii="宋体" w:hAnsi="宋体" w:cs="宋体"/>
          <w:bCs/>
          <w:szCs w:val="21"/>
        </w:rPr>
      </w:pPr>
    </w:p>
    <w:p w14:paraId="04A91E0E">
      <w:pPr>
        <w:pStyle w:val="8"/>
        <w:snapToGrid w:val="0"/>
        <w:spacing w:before="50" w:after="50" w:line="400" w:lineRule="exact"/>
        <w:ind w:firstLine="472" w:firstLineChars="225"/>
        <w:rPr>
          <w:rFonts w:hint="eastAsia" w:ascii="宋体" w:hAnsi="宋体" w:cs="宋体"/>
          <w:bCs/>
          <w:szCs w:val="21"/>
        </w:rPr>
      </w:pPr>
      <w:r>
        <w:rPr>
          <w:rFonts w:hint="eastAsia" w:ascii="宋体" w:hAnsi="宋体" w:cs="宋体"/>
          <w:bCs/>
          <w:szCs w:val="21"/>
        </w:rPr>
        <w:t>投标人名称：</w:t>
      </w:r>
    </w:p>
    <w:p w14:paraId="5C5C4236">
      <w:pPr>
        <w:pStyle w:val="8"/>
        <w:snapToGrid w:val="0"/>
        <w:spacing w:before="50" w:after="50" w:line="400" w:lineRule="exact"/>
        <w:ind w:firstLine="472" w:firstLineChars="225"/>
        <w:rPr>
          <w:rFonts w:hint="eastAsia" w:ascii="宋体" w:hAnsi="宋体" w:cs="宋体"/>
          <w:bCs/>
          <w:szCs w:val="21"/>
        </w:rPr>
      </w:pPr>
    </w:p>
    <w:p w14:paraId="0E710A0B">
      <w:pPr>
        <w:pStyle w:val="8"/>
        <w:snapToGrid w:val="0"/>
        <w:spacing w:before="50" w:after="50" w:line="400" w:lineRule="exact"/>
        <w:ind w:firstLine="472" w:firstLineChars="225"/>
        <w:rPr>
          <w:rFonts w:hint="eastAsia" w:ascii="宋体" w:hAnsi="宋体" w:cs="宋体"/>
          <w:bCs/>
          <w:szCs w:val="21"/>
        </w:rPr>
      </w:pPr>
      <w:r>
        <w:rPr>
          <w:rFonts w:hint="eastAsia" w:ascii="宋体" w:hAnsi="宋体" w:cs="宋体"/>
          <w:bCs/>
          <w:szCs w:val="21"/>
        </w:rPr>
        <w:t>投标人地址：</w:t>
      </w:r>
    </w:p>
    <w:p w14:paraId="05D0F4E1">
      <w:pPr>
        <w:pStyle w:val="8"/>
        <w:snapToGrid w:val="0"/>
        <w:spacing w:before="50" w:after="50" w:line="400" w:lineRule="exact"/>
        <w:ind w:firstLine="840" w:firstLineChars="400"/>
        <w:rPr>
          <w:rFonts w:hint="eastAsia" w:ascii="宋体" w:hAnsi="宋体" w:cs="宋体"/>
          <w:bCs/>
          <w:szCs w:val="21"/>
        </w:rPr>
      </w:pPr>
    </w:p>
    <w:p w14:paraId="22B1BC03">
      <w:pPr>
        <w:snapToGrid w:val="0"/>
        <w:spacing w:before="166" w:beforeLines="50" w:after="50" w:line="400" w:lineRule="exact"/>
        <w:ind w:firstLine="645"/>
        <w:rPr>
          <w:rFonts w:hint="eastAsia" w:ascii="宋体" w:hAnsi="宋体" w:cs="宋体"/>
          <w:szCs w:val="21"/>
        </w:rPr>
      </w:pPr>
      <w:r>
        <w:rPr>
          <w:rFonts w:hint="eastAsia" w:ascii="宋体" w:hAnsi="宋体" w:cs="宋体"/>
          <w:szCs w:val="21"/>
        </w:rPr>
        <w:t xml:space="preserve">                        年  月  日</w:t>
      </w:r>
    </w:p>
    <w:p w14:paraId="1CD30E00">
      <w:pPr>
        <w:snapToGrid w:val="0"/>
        <w:spacing w:before="166" w:beforeLines="50" w:after="50" w:line="400" w:lineRule="exact"/>
        <w:rPr>
          <w:rFonts w:hint="eastAsia" w:ascii="宋体" w:hAnsi="宋体" w:cs="宋体"/>
          <w:szCs w:val="21"/>
        </w:rPr>
      </w:pPr>
    </w:p>
    <w:p w14:paraId="742F1596">
      <w:pPr>
        <w:spacing w:line="400" w:lineRule="exact"/>
        <w:ind w:right="420"/>
        <w:rPr>
          <w:rFonts w:hint="eastAsia" w:ascii="宋体" w:hAnsi="宋体" w:cs="宋体"/>
          <w:szCs w:val="21"/>
        </w:rPr>
      </w:pPr>
    </w:p>
    <w:p w14:paraId="6CC2A804">
      <w:pPr>
        <w:spacing w:line="400" w:lineRule="exact"/>
        <w:ind w:right="420"/>
        <w:rPr>
          <w:rFonts w:hint="eastAsia" w:ascii="宋体" w:hAnsi="宋体" w:cs="宋体"/>
          <w:szCs w:val="21"/>
        </w:rPr>
      </w:pPr>
    </w:p>
    <w:p w14:paraId="52C4CD92">
      <w:pPr>
        <w:spacing w:line="400" w:lineRule="exact"/>
        <w:ind w:right="420"/>
        <w:rPr>
          <w:rFonts w:hint="eastAsia" w:ascii="宋体" w:hAnsi="宋体" w:cs="宋体"/>
          <w:szCs w:val="21"/>
        </w:rPr>
      </w:pPr>
    </w:p>
    <w:p w14:paraId="66F098FD">
      <w:pPr>
        <w:spacing w:line="400" w:lineRule="exact"/>
        <w:ind w:right="420"/>
        <w:rPr>
          <w:rFonts w:hint="eastAsia" w:ascii="宋体" w:hAnsi="宋体" w:cs="宋体"/>
          <w:szCs w:val="21"/>
        </w:rPr>
      </w:pPr>
    </w:p>
    <w:p w14:paraId="4F349EFE">
      <w:pPr>
        <w:spacing w:line="400" w:lineRule="exact"/>
        <w:ind w:right="420"/>
        <w:rPr>
          <w:rFonts w:hint="eastAsia" w:ascii="宋体" w:hAnsi="宋体" w:cs="宋体"/>
          <w:szCs w:val="21"/>
        </w:rPr>
      </w:pPr>
    </w:p>
    <w:p w14:paraId="1C4EB477">
      <w:pPr>
        <w:spacing w:line="400" w:lineRule="exact"/>
        <w:ind w:right="420"/>
        <w:rPr>
          <w:rFonts w:hint="eastAsia" w:ascii="宋体" w:hAnsi="宋体" w:cs="宋体"/>
          <w:szCs w:val="21"/>
        </w:rPr>
      </w:pPr>
    </w:p>
    <w:p w14:paraId="5C74B611">
      <w:pPr>
        <w:spacing w:line="400" w:lineRule="exact"/>
        <w:ind w:right="420"/>
        <w:rPr>
          <w:rFonts w:hint="eastAsia" w:ascii="宋体" w:hAnsi="宋体" w:cs="宋体"/>
          <w:b/>
          <w:kern w:val="0"/>
          <w:szCs w:val="21"/>
        </w:rPr>
      </w:pPr>
    </w:p>
    <w:p w14:paraId="17C0603B">
      <w:pPr>
        <w:jc w:val="center"/>
        <w:rPr>
          <w:rFonts w:hint="eastAsia" w:ascii="宋体" w:hAnsi="宋体" w:cs="宋体"/>
          <w:b/>
          <w:kern w:val="0"/>
          <w:szCs w:val="21"/>
        </w:rPr>
      </w:pPr>
    </w:p>
    <w:p w14:paraId="04B805A8">
      <w:pPr>
        <w:pStyle w:val="11"/>
        <w:spacing w:line="400" w:lineRule="exact"/>
        <w:rPr>
          <w:rFonts w:hint="eastAsia" w:hAnsi="宋体" w:cs="宋体"/>
          <w:sz w:val="21"/>
        </w:rPr>
      </w:pPr>
      <w:r>
        <w:rPr>
          <w:rFonts w:hint="eastAsia" w:hAnsi="宋体" w:cs="宋体"/>
          <w:sz w:val="21"/>
        </w:rPr>
        <w:t>2.商务文件目录</w:t>
      </w:r>
    </w:p>
    <w:p w14:paraId="0853F450">
      <w:pPr>
        <w:spacing w:line="400" w:lineRule="exact"/>
        <w:rPr>
          <w:rFonts w:hint="eastAsia" w:ascii="宋体" w:hAnsi="宋体" w:cs="宋体"/>
          <w:szCs w:val="21"/>
        </w:rPr>
      </w:pPr>
    </w:p>
    <w:p w14:paraId="3CDB78F4">
      <w:pPr>
        <w:spacing w:line="400" w:lineRule="exact"/>
        <w:rPr>
          <w:rFonts w:hint="eastAsia" w:ascii="宋体" w:hAnsi="宋体" w:cs="宋体"/>
          <w:b/>
          <w:bCs/>
          <w:szCs w:val="21"/>
        </w:rPr>
      </w:pPr>
      <w:r>
        <w:rPr>
          <w:rFonts w:hint="eastAsia" w:ascii="宋体" w:hAnsi="宋体" w:cs="宋体"/>
          <w:szCs w:val="21"/>
        </w:rPr>
        <w:t>根据招标文件“投标人须知前附表”第13.1条规定及投标人提供的材料自行编写目录。</w:t>
      </w:r>
    </w:p>
    <w:p w14:paraId="50F57AF1">
      <w:pPr>
        <w:snapToGrid w:val="0"/>
        <w:spacing w:line="400" w:lineRule="exact"/>
        <w:ind w:firstLine="420" w:firstLineChars="200"/>
        <w:jc w:val="left"/>
        <w:rPr>
          <w:rFonts w:hint="eastAsia" w:ascii="宋体" w:hAnsi="宋体" w:cs="宋体"/>
          <w:szCs w:val="21"/>
        </w:rPr>
        <w:sectPr>
          <w:pgSz w:w="11905" w:h="16838"/>
          <w:pgMar w:top="1417" w:right="1417" w:bottom="1417" w:left="1417" w:header="720" w:footer="720" w:gutter="0"/>
          <w:cols w:space="720" w:num="1"/>
          <w:docGrid w:type="lines" w:linePitch="333" w:charSpace="0"/>
        </w:sectPr>
      </w:pPr>
    </w:p>
    <w:p w14:paraId="5B31912E">
      <w:pPr>
        <w:pStyle w:val="11"/>
        <w:spacing w:line="400" w:lineRule="exact"/>
        <w:rPr>
          <w:rFonts w:hint="eastAsia" w:hAnsi="宋体" w:cs="宋体"/>
          <w:sz w:val="21"/>
        </w:rPr>
      </w:pPr>
      <w:r>
        <w:rPr>
          <w:rFonts w:hint="eastAsia" w:hAnsi="宋体" w:cs="宋体"/>
          <w:sz w:val="21"/>
        </w:rPr>
        <w:t>3.投标人参加本项目无围标串标行为的承诺</w:t>
      </w:r>
    </w:p>
    <w:p w14:paraId="2F251109"/>
    <w:p w14:paraId="0CA614DA">
      <w:pPr>
        <w:snapToGrid w:val="0"/>
        <w:spacing w:line="400" w:lineRule="exact"/>
        <w:ind w:left="420"/>
        <w:jc w:val="center"/>
        <w:rPr>
          <w:rFonts w:hint="eastAsia" w:ascii="宋体" w:hAnsi="宋体" w:cs="宋体"/>
          <w:b/>
          <w:szCs w:val="21"/>
        </w:rPr>
      </w:pPr>
      <w:r>
        <w:rPr>
          <w:rFonts w:hint="eastAsia" w:ascii="宋体" w:hAnsi="宋体" w:cs="宋体"/>
          <w:b/>
          <w:szCs w:val="21"/>
        </w:rPr>
        <w:t>投标人参加本项目无围标串标行为的承诺函</w:t>
      </w:r>
    </w:p>
    <w:p w14:paraId="209A7809">
      <w:pPr>
        <w:snapToGrid w:val="0"/>
        <w:spacing w:line="400" w:lineRule="exact"/>
        <w:rPr>
          <w:rFonts w:hint="eastAsia" w:ascii="宋体" w:hAnsi="宋体" w:cs="宋体"/>
          <w:b/>
          <w:szCs w:val="21"/>
        </w:rPr>
      </w:pPr>
    </w:p>
    <w:p w14:paraId="684FBB96">
      <w:pPr>
        <w:snapToGrid w:val="0"/>
        <w:spacing w:line="400" w:lineRule="exact"/>
        <w:jc w:val="left"/>
        <w:rPr>
          <w:rFonts w:hint="eastAsia" w:ascii="宋体" w:hAnsi="宋体" w:cs="宋体"/>
          <w:b/>
          <w:szCs w:val="21"/>
        </w:rPr>
      </w:pPr>
      <w:r>
        <w:rPr>
          <w:rFonts w:hint="eastAsia" w:ascii="宋体" w:hAnsi="宋体" w:cs="宋体"/>
          <w:b/>
          <w:szCs w:val="21"/>
        </w:rPr>
        <w:t xml:space="preserve">    一、我方承诺无下列相互串通投标的情形：</w:t>
      </w:r>
    </w:p>
    <w:p w14:paraId="654A8698">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1.不同投标人的投标文件由同一单位或者个人编制；或者不同投标人报名的IP地址一致的；或者编制标书硬件设备CPU编号、硬盘编号、网卡地址一致的情况。</w:t>
      </w:r>
    </w:p>
    <w:p w14:paraId="1912FD87">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2.不同投标人委托同一单位或者个人办理投标事宜；</w:t>
      </w:r>
    </w:p>
    <w:p w14:paraId="23A64D3A">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3.不同的投标人的投标文件载明的项目管理员为同一个人；</w:t>
      </w:r>
    </w:p>
    <w:p w14:paraId="0986B24F">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4.不同投标人的投标文件异常一致或者投标报价呈规律性差异；</w:t>
      </w:r>
    </w:p>
    <w:p w14:paraId="63EC9027">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5.不同投标人的投标文件相互混装；</w:t>
      </w:r>
    </w:p>
    <w:p w14:paraId="145B8737">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6.不同投标人的投标保证金从同一单位或者个人账户转出。</w:t>
      </w:r>
    </w:p>
    <w:p w14:paraId="5C9F12B6">
      <w:pPr>
        <w:snapToGrid w:val="0"/>
        <w:spacing w:line="400" w:lineRule="exact"/>
        <w:jc w:val="left"/>
        <w:rPr>
          <w:rFonts w:hint="eastAsia" w:ascii="宋体" w:hAnsi="宋体" w:cs="宋体"/>
          <w:szCs w:val="21"/>
        </w:rPr>
      </w:pPr>
      <w:r>
        <w:rPr>
          <w:rFonts w:hint="eastAsia" w:ascii="宋体" w:hAnsi="宋体" w:cs="宋体"/>
          <w:b/>
          <w:szCs w:val="21"/>
        </w:rPr>
        <w:t xml:space="preserve">    二、我方承诺无下列恶意串通的情形：</w:t>
      </w:r>
    </w:p>
    <w:p w14:paraId="36D46C62">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1.投标人直接或者间接从采购人或者采购代理机构处获得其他投标人的相关信息并修改其投标文件或者电子投标文件；</w:t>
      </w:r>
    </w:p>
    <w:p w14:paraId="3FC5EA31">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2.投标人按照采购人或者采购代理机构的授意撤换、修改投标文件或者电子投标文件；</w:t>
      </w:r>
    </w:p>
    <w:p w14:paraId="054DD19E">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3.投标人之间协商报价、技术方案等投标文件或者电子投标文件的实质性内容；</w:t>
      </w:r>
    </w:p>
    <w:p w14:paraId="75E1F783">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4.属于同一集团、协会、商会等组织成员的投标人按照该组织要求协同参加政府采购活动；</w:t>
      </w:r>
    </w:p>
    <w:p w14:paraId="310C2CF7">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5.投标人之间事先约定一致抬高或者压低投标报价，或者在招标项目中事先约定轮流以高价位或者低价位中标，或者事先约定由某一特定投标人中标，然后再参加投标；</w:t>
      </w:r>
    </w:p>
    <w:p w14:paraId="6DF88447">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6.投标人之间商定部分投标人放弃参加政府采购活动或者放弃中标；</w:t>
      </w:r>
    </w:p>
    <w:p w14:paraId="241BB5F8">
      <w:pPr>
        <w:snapToGrid w:val="0"/>
        <w:spacing w:line="400" w:lineRule="exact"/>
        <w:ind w:firstLine="411" w:firstLineChars="196"/>
        <w:jc w:val="left"/>
        <w:rPr>
          <w:rFonts w:hint="eastAsia" w:ascii="宋体" w:hAnsi="宋体" w:cs="宋体"/>
          <w:szCs w:val="21"/>
        </w:rPr>
      </w:pPr>
      <w:r>
        <w:rPr>
          <w:rFonts w:hint="eastAsia" w:ascii="宋体" w:hAnsi="宋体" w:cs="宋体"/>
          <w:szCs w:val="21"/>
        </w:rPr>
        <w:t>7.投标人与采购人或者采购代理机构之间、投标人相互之间，为谋求特定投标人中标或者排斥其他投标人的其他串通行为。</w:t>
      </w:r>
    </w:p>
    <w:p w14:paraId="129B48E2">
      <w:pPr>
        <w:snapToGrid w:val="0"/>
        <w:spacing w:line="400" w:lineRule="exact"/>
        <w:ind w:firstLine="413" w:firstLineChars="196"/>
        <w:jc w:val="left"/>
        <w:rPr>
          <w:rFonts w:hint="eastAsia" w:ascii="宋体" w:hAnsi="宋体" w:cs="宋体"/>
          <w:b/>
          <w:szCs w:val="21"/>
        </w:rPr>
      </w:pPr>
      <w:r>
        <w:rPr>
          <w:rFonts w:hint="eastAsia" w:ascii="宋体" w:hAnsi="宋体" w:cs="宋体"/>
          <w:b/>
          <w:szCs w:val="21"/>
        </w:rPr>
        <w:t>以上情形一经核查属实，接受政府采购监管部门对我方认定存在围标串标行为，我方愿意承担一切后果，并不再寻求任何旨在减轻或者免除法律责任的辩解。</w:t>
      </w:r>
    </w:p>
    <w:p w14:paraId="6E1EB766">
      <w:pPr>
        <w:snapToGrid w:val="0"/>
        <w:spacing w:line="400" w:lineRule="exact"/>
        <w:ind w:firstLine="4935" w:firstLineChars="2350"/>
        <w:rPr>
          <w:rFonts w:hint="eastAsia" w:ascii="宋体" w:hAnsi="宋体" w:cs="宋体"/>
          <w:szCs w:val="21"/>
        </w:rPr>
      </w:pPr>
    </w:p>
    <w:p w14:paraId="4E7E414B">
      <w:pPr>
        <w:snapToGrid w:val="0"/>
        <w:spacing w:line="400" w:lineRule="exact"/>
        <w:ind w:firstLine="4935" w:firstLineChars="235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7C4E6DDA">
      <w:pPr>
        <w:snapToGrid w:val="0"/>
        <w:spacing w:line="400" w:lineRule="exact"/>
        <w:ind w:firstLine="4935" w:firstLineChars="23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268916DB">
      <w:pPr>
        <w:pStyle w:val="11"/>
        <w:snapToGrid w:val="0"/>
        <w:spacing w:before="295" w:after="295" w:line="400" w:lineRule="exact"/>
        <w:rPr>
          <w:rFonts w:hint="eastAsia" w:hAnsi="宋体" w:cs="宋体"/>
          <w:b/>
          <w:sz w:val="21"/>
        </w:rPr>
      </w:pPr>
    </w:p>
    <w:p w14:paraId="51A5B530">
      <w:pPr>
        <w:rPr>
          <w:rFonts w:hint="eastAsia" w:hAnsi="宋体" w:cs="宋体"/>
          <w:b/>
        </w:rPr>
      </w:pPr>
    </w:p>
    <w:p w14:paraId="5AE9EC15">
      <w:pPr>
        <w:pStyle w:val="2"/>
        <w:rPr>
          <w:rFonts w:hint="eastAsia" w:hAnsi="宋体" w:cs="宋体"/>
          <w:b/>
          <w:sz w:val="21"/>
        </w:rPr>
      </w:pPr>
    </w:p>
    <w:p w14:paraId="1BD2F772">
      <w:pPr>
        <w:pStyle w:val="3"/>
        <w:outlineLvl w:val="9"/>
      </w:pPr>
    </w:p>
    <w:p w14:paraId="02268C95">
      <w:pPr>
        <w:snapToGrid w:val="0"/>
        <w:spacing w:line="400" w:lineRule="exact"/>
        <w:jc w:val="left"/>
        <w:rPr>
          <w:rFonts w:hint="eastAsia" w:ascii="宋体" w:hAnsi="宋体" w:cs="宋体"/>
          <w:kern w:val="0"/>
          <w:szCs w:val="21"/>
        </w:rPr>
      </w:pPr>
      <w:r>
        <w:rPr>
          <w:rFonts w:hint="eastAsia" w:ascii="宋体" w:hAnsi="宋体" w:cs="宋体"/>
          <w:kern w:val="0"/>
          <w:szCs w:val="21"/>
        </w:rPr>
        <w:t>4.投标保证金缴纳凭证；</w:t>
      </w:r>
    </w:p>
    <w:p w14:paraId="38D89883">
      <w:pPr>
        <w:spacing w:line="400" w:lineRule="exact"/>
        <w:jc w:val="left"/>
        <w:rPr>
          <w:rFonts w:hint="eastAsia" w:ascii="宋体" w:hAnsi="宋体" w:cs="宋体"/>
          <w:b/>
          <w:kern w:val="0"/>
          <w:szCs w:val="21"/>
        </w:rPr>
      </w:pPr>
    </w:p>
    <w:p w14:paraId="0BA6207B">
      <w:pPr>
        <w:spacing w:line="400" w:lineRule="exact"/>
        <w:jc w:val="left"/>
        <w:rPr>
          <w:rFonts w:hint="eastAsia" w:ascii="宋体" w:hAnsi="宋体" w:cs="宋体"/>
          <w:b/>
          <w:kern w:val="0"/>
          <w:szCs w:val="21"/>
        </w:rPr>
      </w:pPr>
    </w:p>
    <w:tbl>
      <w:tblPr>
        <w:tblStyle w:val="18"/>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0"/>
      </w:tblGrid>
      <w:tr w14:paraId="7925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8" w:hRule="atLeast"/>
        </w:trPr>
        <w:tc>
          <w:tcPr>
            <w:tcW w:w="8740" w:type="dxa"/>
          </w:tcPr>
          <w:p w14:paraId="6E075B72">
            <w:pPr>
              <w:spacing w:line="400" w:lineRule="exact"/>
              <w:jc w:val="left"/>
              <w:rPr>
                <w:rFonts w:hint="eastAsia" w:ascii="宋体" w:hAnsi="宋体" w:cs="宋体"/>
                <w:b/>
                <w:kern w:val="0"/>
                <w:szCs w:val="21"/>
              </w:rPr>
            </w:pPr>
          </w:p>
        </w:tc>
      </w:tr>
    </w:tbl>
    <w:p w14:paraId="614F9752">
      <w:pPr>
        <w:spacing w:line="400" w:lineRule="exact"/>
        <w:jc w:val="left"/>
        <w:rPr>
          <w:rFonts w:hint="eastAsia" w:ascii="宋体" w:hAnsi="宋体" w:cs="宋体"/>
          <w:b/>
          <w:kern w:val="0"/>
          <w:szCs w:val="21"/>
        </w:rPr>
      </w:pPr>
    </w:p>
    <w:p w14:paraId="4C90CF6C">
      <w:pPr>
        <w:spacing w:line="400" w:lineRule="exact"/>
        <w:jc w:val="left"/>
        <w:rPr>
          <w:rFonts w:hint="eastAsia" w:ascii="宋体" w:hAnsi="宋体" w:cs="宋体"/>
          <w:b/>
          <w:kern w:val="0"/>
          <w:szCs w:val="21"/>
        </w:rPr>
      </w:pPr>
    </w:p>
    <w:p w14:paraId="0D82F9F1">
      <w:pPr>
        <w:spacing w:line="400" w:lineRule="exact"/>
        <w:jc w:val="left"/>
        <w:rPr>
          <w:rFonts w:hint="eastAsia" w:ascii="宋体" w:hAnsi="宋体" w:cs="宋体"/>
          <w:b/>
          <w:kern w:val="0"/>
          <w:szCs w:val="21"/>
        </w:rPr>
      </w:pPr>
    </w:p>
    <w:p w14:paraId="66355BA1">
      <w:pPr>
        <w:spacing w:line="400" w:lineRule="exact"/>
        <w:jc w:val="left"/>
        <w:rPr>
          <w:rFonts w:hint="eastAsia" w:ascii="宋体" w:hAnsi="宋体" w:cs="宋体"/>
          <w:b/>
          <w:kern w:val="0"/>
          <w:szCs w:val="21"/>
        </w:rPr>
      </w:pPr>
    </w:p>
    <w:p w14:paraId="241A2D71">
      <w:pPr>
        <w:spacing w:line="400" w:lineRule="exact"/>
        <w:jc w:val="left"/>
        <w:rPr>
          <w:rFonts w:hint="eastAsia" w:ascii="宋体" w:hAnsi="宋体" w:cs="宋体"/>
          <w:b/>
          <w:kern w:val="0"/>
          <w:szCs w:val="21"/>
        </w:rPr>
      </w:pPr>
    </w:p>
    <w:p w14:paraId="7C5FEC72">
      <w:pPr>
        <w:spacing w:line="400" w:lineRule="exact"/>
        <w:jc w:val="left"/>
        <w:rPr>
          <w:rFonts w:hint="eastAsia" w:ascii="宋体" w:hAnsi="宋体" w:cs="宋体"/>
          <w:b/>
          <w:kern w:val="0"/>
          <w:szCs w:val="21"/>
        </w:rPr>
      </w:pPr>
    </w:p>
    <w:p w14:paraId="432FA8B8">
      <w:pPr>
        <w:spacing w:line="400" w:lineRule="exact"/>
        <w:jc w:val="left"/>
        <w:rPr>
          <w:rFonts w:hint="eastAsia" w:ascii="宋体" w:hAnsi="宋体" w:cs="宋体"/>
          <w:b/>
          <w:kern w:val="0"/>
          <w:szCs w:val="21"/>
        </w:rPr>
      </w:pPr>
    </w:p>
    <w:p w14:paraId="147E1DAA">
      <w:pPr>
        <w:autoSpaceDE w:val="0"/>
        <w:autoSpaceDN w:val="0"/>
        <w:spacing w:line="400" w:lineRule="exact"/>
        <w:ind w:left="4305" w:leftChars="2050" w:firstLine="1050" w:firstLineChars="500"/>
        <w:rPr>
          <w:rFonts w:hint="eastAsia" w:ascii="宋体" w:hAnsi="宋体" w:cs="宋体"/>
          <w:kern w:val="0"/>
          <w:szCs w:val="21"/>
        </w:rPr>
      </w:pPr>
      <w:r>
        <w:rPr>
          <w:rFonts w:hint="eastAsia" w:ascii="宋体" w:hAnsi="宋体" w:cs="宋体"/>
          <w:kern w:val="0"/>
          <w:szCs w:val="21"/>
        </w:rPr>
        <w:t>供应商名称（电子签章）：</w:t>
      </w:r>
    </w:p>
    <w:p w14:paraId="24783E46">
      <w:pPr>
        <w:spacing w:line="400" w:lineRule="exact"/>
        <w:ind w:firstLine="5460" w:firstLineChars="2600"/>
        <w:jc w:val="left"/>
        <w:rPr>
          <w:rFonts w:hint="eastAsia" w:ascii="宋体" w:hAnsi="宋体" w:cs="宋体"/>
          <w:szCs w:val="21"/>
        </w:rPr>
      </w:pPr>
      <w:r>
        <w:rPr>
          <w:rFonts w:hint="eastAsia" w:ascii="宋体" w:hAnsi="宋体" w:cs="宋体"/>
          <w:kern w:val="0"/>
          <w:szCs w:val="21"/>
          <w:lang w:val="zh-CN"/>
        </w:rPr>
        <w:t>日期：  年  月   日</w:t>
      </w:r>
    </w:p>
    <w:p w14:paraId="0FA73D30">
      <w:pPr>
        <w:pStyle w:val="11"/>
        <w:snapToGrid w:val="0"/>
        <w:spacing w:before="295" w:after="295" w:line="400" w:lineRule="exact"/>
        <w:rPr>
          <w:rFonts w:hint="eastAsia" w:hAnsi="宋体" w:cs="宋体"/>
          <w:b/>
          <w:sz w:val="21"/>
        </w:rPr>
      </w:pPr>
      <w:r>
        <w:rPr>
          <w:rFonts w:hint="eastAsia" w:hAnsi="宋体" w:cs="宋体"/>
          <w:b/>
          <w:sz w:val="21"/>
        </w:rPr>
        <w:br w:type="page"/>
      </w:r>
      <w:r>
        <w:rPr>
          <w:rFonts w:hint="eastAsia" w:hAnsi="宋体" w:cs="宋体"/>
          <w:sz w:val="21"/>
        </w:rPr>
        <w:t>4.法定代表人身份证明</w:t>
      </w:r>
    </w:p>
    <w:p w14:paraId="1ACDEEA1">
      <w:pPr>
        <w:spacing w:before="333" w:beforeLines="100" w:after="166" w:afterLines="50" w:line="400" w:lineRule="exact"/>
        <w:ind w:left="540"/>
        <w:jc w:val="center"/>
        <w:rPr>
          <w:rFonts w:hint="eastAsia" w:ascii="宋体" w:hAnsi="宋体" w:cs="宋体"/>
          <w:b/>
          <w:szCs w:val="21"/>
        </w:rPr>
      </w:pPr>
    </w:p>
    <w:p w14:paraId="6600A96F">
      <w:pPr>
        <w:spacing w:before="333" w:beforeLines="100" w:after="166" w:afterLines="50" w:line="400" w:lineRule="exact"/>
        <w:ind w:left="540"/>
        <w:jc w:val="center"/>
        <w:rPr>
          <w:rFonts w:hint="eastAsia" w:ascii="宋体" w:hAnsi="宋体" w:cs="宋体"/>
          <w:szCs w:val="21"/>
        </w:rPr>
      </w:pPr>
      <w:r>
        <w:rPr>
          <w:rFonts w:hint="eastAsia" w:ascii="宋体" w:hAnsi="宋体" w:cs="宋体"/>
          <w:b/>
          <w:szCs w:val="21"/>
        </w:rPr>
        <w:t>法定代表人身份证明</w:t>
      </w:r>
    </w:p>
    <w:p w14:paraId="4F90B7F9">
      <w:pPr>
        <w:spacing w:line="400" w:lineRule="exact"/>
        <w:ind w:left="540"/>
        <w:rPr>
          <w:rFonts w:hint="eastAsia" w:ascii="宋体" w:hAnsi="宋体" w:cs="宋体"/>
          <w:szCs w:val="21"/>
        </w:rPr>
      </w:pPr>
      <w:r>
        <w:rPr>
          <w:rFonts w:hint="eastAsia" w:ascii="宋体" w:hAnsi="宋体" w:cs="宋体"/>
          <w:szCs w:val="21"/>
        </w:rPr>
        <w:t>投 标 人：</w:t>
      </w:r>
    </w:p>
    <w:p w14:paraId="3B286E1C">
      <w:pPr>
        <w:spacing w:line="400" w:lineRule="exact"/>
        <w:ind w:left="540"/>
        <w:rPr>
          <w:rFonts w:hint="eastAsia" w:ascii="宋体" w:hAnsi="宋体" w:cs="宋体"/>
          <w:szCs w:val="21"/>
        </w:rPr>
      </w:pPr>
      <w:r>
        <w:rPr>
          <w:rFonts w:hint="eastAsia" w:ascii="宋体" w:hAnsi="宋体" w:cs="宋体"/>
          <w:szCs w:val="21"/>
        </w:rPr>
        <w:t>地    址：</w:t>
      </w:r>
    </w:p>
    <w:p w14:paraId="4809EB8E">
      <w:pPr>
        <w:spacing w:line="400" w:lineRule="exact"/>
        <w:ind w:left="540"/>
        <w:rPr>
          <w:rFonts w:hint="eastAsia" w:ascii="宋体" w:hAnsi="宋体" w:cs="宋体"/>
          <w:szCs w:val="21"/>
        </w:rPr>
      </w:pPr>
      <w:r>
        <w:rPr>
          <w:rFonts w:hint="eastAsia" w:ascii="宋体" w:hAnsi="宋体" w:cs="宋体"/>
          <w:szCs w:val="21"/>
        </w:rPr>
        <w:t>姓    名：性      别：</w:t>
      </w:r>
    </w:p>
    <w:p w14:paraId="62387B62">
      <w:pPr>
        <w:spacing w:line="400" w:lineRule="exact"/>
        <w:ind w:left="540"/>
        <w:rPr>
          <w:rFonts w:hint="eastAsia" w:ascii="宋体" w:hAnsi="宋体" w:cs="宋体"/>
          <w:szCs w:val="21"/>
          <w:u w:val="single"/>
        </w:rPr>
      </w:pPr>
      <w:r>
        <w:rPr>
          <w:rFonts w:hint="eastAsia" w:ascii="宋体" w:hAnsi="宋体" w:cs="宋体"/>
          <w:szCs w:val="21"/>
        </w:rPr>
        <w:t>年    龄：职      务：</w:t>
      </w:r>
    </w:p>
    <w:p w14:paraId="3169867F">
      <w:pPr>
        <w:spacing w:line="400" w:lineRule="exact"/>
        <w:ind w:left="540"/>
        <w:rPr>
          <w:rFonts w:hint="eastAsia" w:ascii="宋体" w:hAnsi="宋体" w:cs="宋体"/>
          <w:szCs w:val="21"/>
        </w:rPr>
      </w:pPr>
      <w:r>
        <w:rPr>
          <w:rFonts w:hint="eastAsia" w:ascii="宋体" w:hAnsi="宋体" w:cs="宋体"/>
          <w:szCs w:val="21"/>
        </w:rPr>
        <w:t>身份证号码：</w:t>
      </w:r>
    </w:p>
    <w:p w14:paraId="0E6B9EAD">
      <w:pPr>
        <w:spacing w:line="400" w:lineRule="exact"/>
        <w:ind w:left="540"/>
        <w:rPr>
          <w:rFonts w:hint="eastAsia" w:ascii="宋体" w:hAnsi="宋体" w:cs="宋体"/>
          <w:szCs w:val="21"/>
        </w:rPr>
      </w:pPr>
      <w:r>
        <w:rPr>
          <w:rFonts w:hint="eastAsia" w:ascii="宋体" w:hAnsi="宋体" w:cs="宋体"/>
          <w:szCs w:val="21"/>
        </w:rPr>
        <w:t>系</w:t>
      </w:r>
      <w:r>
        <w:rPr>
          <w:rFonts w:hint="eastAsia" w:ascii="宋体" w:hAnsi="宋体" w:cs="宋体"/>
          <w:szCs w:val="21"/>
          <w:u w:val="single"/>
        </w:rPr>
        <w:t xml:space="preserve">            （投标人名称）              </w:t>
      </w:r>
      <w:r>
        <w:rPr>
          <w:rFonts w:hint="eastAsia" w:ascii="宋体" w:hAnsi="宋体" w:cs="宋体"/>
          <w:szCs w:val="21"/>
        </w:rPr>
        <w:t>的法定代表人。</w:t>
      </w:r>
    </w:p>
    <w:p w14:paraId="3FC6A0B9">
      <w:pPr>
        <w:spacing w:line="400" w:lineRule="exact"/>
        <w:ind w:left="540"/>
        <w:rPr>
          <w:rFonts w:hint="eastAsia" w:ascii="宋体" w:hAnsi="宋体" w:cs="宋体"/>
          <w:szCs w:val="21"/>
        </w:rPr>
      </w:pPr>
      <w:r>
        <w:rPr>
          <w:rFonts w:hint="eastAsia" w:ascii="宋体" w:hAnsi="宋体" w:cs="宋体"/>
          <w:szCs w:val="21"/>
        </w:rPr>
        <w:t>特此证明。</w:t>
      </w:r>
    </w:p>
    <w:p w14:paraId="7954827C">
      <w:pPr>
        <w:spacing w:line="400" w:lineRule="exact"/>
        <w:ind w:left="540"/>
        <w:rPr>
          <w:rFonts w:hint="eastAsia" w:ascii="宋体" w:hAnsi="宋体" w:cs="宋体"/>
          <w:szCs w:val="21"/>
        </w:rPr>
      </w:pPr>
    </w:p>
    <w:p w14:paraId="1B510C80">
      <w:pPr>
        <w:spacing w:line="400" w:lineRule="exact"/>
        <w:ind w:left="540"/>
        <w:rPr>
          <w:rFonts w:hint="eastAsia" w:ascii="宋体" w:hAnsi="宋体" w:cs="宋体"/>
          <w:szCs w:val="21"/>
        </w:rPr>
      </w:pPr>
    </w:p>
    <w:p w14:paraId="0873C1B3">
      <w:pPr>
        <w:spacing w:line="400" w:lineRule="exact"/>
        <w:ind w:left="540"/>
        <w:rPr>
          <w:rFonts w:hint="eastAsia" w:ascii="宋体" w:hAnsi="宋体" w:cs="宋体"/>
          <w:szCs w:val="21"/>
        </w:rPr>
      </w:pPr>
      <w:r>
        <w:rPr>
          <w:rFonts w:hint="eastAsia" w:ascii="宋体" w:hAnsi="宋体" w:cs="宋体"/>
          <w:szCs w:val="21"/>
        </w:rPr>
        <w:t>附件：法定代表人有效身份证正反面复印件</w:t>
      </w:r>
    </w:p>
    <w:p w14:paraId="55C4685D">
      <w:pPr>
        <w:spacing w:line="400" w:lineRule="exact"/>
        <w:ind w:left="540"/>
        <w:rPr>
          <w:rFonts w:hint="eastAsia" w:ascii="宋体" w:hAnsi="宋体" w:cs="宋体"/>
          <w:szCs w:val="21"/>
        </w:rPr>
      </w:pPr>
    </w:p>
    <w:p w14:paraId="655655C5">
      <w:pPr>
        <w:snapToGrid w:val="0"/>
        <w:spacing w:line="400" w:lineRule="exact"/>
        <w:ind w:firstLine="4935" w:firstLineChars="235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08EE9512">
      <w:pPr>
        <w:snapToGrid w:val="0"/>
        <w:spacing w:line="400" w:lineRule="exact"/>
        <w:ind w:firstLine="4515" w:firstLineChars="21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14DD1C75">
      <w:pPr>
        <w:snapToGrid w:val="0"/>
        <w:spacing w:before="166" w:beforeLines="50" w:after="50" w:line="400" w:lineRule="exact"/>
        <w:jc w:val="center"/>
        <w:rPr>
          <w:rFonts w:hint="eastAsia" w:ascii="宋体" w:hAnsi="宋体" w:cs="宋体"/>
          <w:b/>
          <w:szCs w:val="21"/>
        </w:rPr>
      </w:pPr>
    </w:p>
    <w:p w14:paraId="37FF6348">
      <w:pPr>
        <w:snapToGrid w:val="0"/>
        <w:spacing w:before="166" w:beforeLines="50" w:after="50" w:line="400" w:lineRule="exact"/>
        <w:ind w:firstLine="525" w:firstLineChars="250"/>
        <w:jc w:val="left"/>
        <w:rPr>
          <w:rFonts w:hint="eastAsia" w:ascii="宋体" w:hAnsi="宋体" w:cs="宋体"/>
          <w:szCs w:val="21"/>
        </w:rPr>
      </w:pPr>
      <w:r>
        <w:rPr>
          <w:rFonts w:hint="eastAsia" w:ascii="宋体" w:hAnsi="宋体" w:cs="宋体"/>
          <w:szCs w:val="21"/>
        </w:rPr>
        <w:t>注：自然人投标的无需提供</w:t>
      </w:r>
    </w:p>
    <w:tbl>
      <w:tblPr>
        <w:tblStyle w:val="18"/>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5099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tcPr>
          <w:p w14:paraId="2F43D3B6">
            <w:pPr>
              <w:snapToGrid w:val="0"/>
              <w:spacing w:before="166" w:beforeLines="50" w:after="50" w:line="400" w:lineRule="exact"/>
              <w:jc w:val="left"/>
              <w:rPr>
                <w:rFonts w:hint="eastAsia" w:ascii="宋体" w:hAnsi="宋体" w:cs="宋体"/>
                <w:szCs w:val="21"/>
              </w:rPr>
            </w:pPr>
            <w:r>
              <w:rPr>
                <w:rFonts w:hint="eastAsia" w:ascii="宋体" w:hAnsi="宋体" w:cs="宋体"/>
                <w:szCs w:val="21"/>
              </w:rPr>
              <w:t>附件：法定代表身份证复印件粘帖处（正、反面）</w:t>
            </w:r>
          </w:p>
          <w:p w14:paraId="7580B70D">
            <w:pPr>
              <w:pStyle w:val="23"/>
              <w:spacing w:before="166" w:after="166" w:line="400" w:lineRule="exact"/>
              <w:ind w:firstLine="420"/>
              <w:rPr>
                <w:rFonts w:hint="eastAsia" w:ascii="宋体" w:hAnsi="宋体" w:cs="宋体"/>
                <w:color w:val="auto"/>
                <w:sz w:val="21"/>
                <w:szCs w:val="21"/>
              </w:rPr>
            </w:pPr>
          </w:p>
          <w:p w14:paraId="31717490">
            <w:pPr>
              <w:pStyle w:val="23"/>
              <w:spacing w:before="166" w:after="166" w:line="400" w:lineRule="exact"/>
              <w:ind w:firstLine="420"/>
              <w:rPr>
                <w:rFonts w:hint="eastAsia" w:ascii="宋体" w:hAnsi="宋体" w:cs="宋体"/>
                <w:color w:val="auto"/>
                <w:sz w:val="21"/>
                <w:szCs w:val="21"/>
              </w:rPr>
            </w:pPr>
          </w:p>
          <w:p w14:paraId="2A7F6D33">
            <w:pPr>
              <w:pStyle w:val="23"/>
              <w:spacing w:before="166" w:after="166" w:line="400" w:lineRule="exact"/>
              <w:ind w:firstLine="420"/>
              <w:rPr>
                <w:rFonts w:hint="eastAsia" w:ascii="宋体" w:hAnsi="宋体" w:cs="宋体"/>
                <w:color w:val="auto"/>
                <w:sz w:val="21"/>
                <w:szCs w:val="21"/>
              </w:rPr>
            </w:pPr>
          </w:p>
        </w:tc>
      </w:tr>
    </w:tbl>
    <w:p w14:paraId="1927C451">
      <w:pPr>
        <w:snapToGrid w:val="0"/>
        <w:spacing w:before="166" w:beforeLines="50" w:after="50" w:line="400" w:lineRule="exact"/>
        <w:ind w:firstLine="525" w:firstLineChars="250"/>
        <w:jc w:val="left"/>
        <w:rPr>
          <w:rFonts w:hint="eastAsia" w:ascii="宋体" w:hAnsi="宋体" w:cs="宋体"/>
          <w:szCs w:val="21"/>
        </w:rPr>
      </w:pPr>
    </w:p>
    <w:p w14:paraId="732344F4">
      <w:pPr>
        <w:snapToGrid w:val="0"/>
        <w:spacing w:before="166" w:beforeLines="50" w:after="50" w:line="400" w:lineRule="exact"/>
        <w:ind w:firstLine="527" w:firstLineChars="250"/>
        <w:jc w:val="left"/>
        <w:rPr>
          <w:rFonts w:hint="eastAsia" w:ascii="宋体" w:hAnsi="宋体" w:cs="宋体"/>
          <w:b/>
          <w:szCs w:val="21"/>
        </w:rPr>
      </w:pPr>
    </w:p>
    <w:p w14:paraId="22046C5F">
      <w:pPr>
        <w:pStyle w:val="11"/>
        <w:snapToGrid w:val="0"/>
        <w:spacing w:before="295" w:after="295" w:line="400" w:lineRule="exact"/>
        <w:rPr>
          <w:rFonts w:hint="eastAsia" w:hAnsi="宋体" w:cs="宋体"/>
          <w:b/>
          <w:sz w:val="21"/>
        </w:rPr>
      </w:pPr>
      <w:r>
        <w:rPr>
          <w:rFonts w:hint="eastAsia" w:hAnsi="宋体" w:cs="宋体"/>
          <w:b/>
          <w:sz w:val="21"/>
        </w:rPr>
        <w:br w:type="page"/>
      </w:r>
      <w:r>
        <w:rPr>
          <w:rFonts w:hint="eastAsia" w:hAnsi="宋体" w:cs="宋体"/>
          <w:sz w:val="21"/>
        </w:rPr>
        <w:t>5.法定代表人授权委托书格式</w:t>
      </w:r>
    </w:p>
    <w:p w14:paraId="022D7BF9">
      <w:pPr>
        <w:snapToGrid w:val="0"/>
        <w:spacing w:line="400" w:lineRule="exact"/>
        <w:jc w:val="center"/>
        <w:rPr>
          <w:rFonts w:hint="eastAsia" w:ascii="宋体" w:hAnsi="宋体" w:cs="宋体"/>
          <w:b/>
          <w:bCs/>
          <w:szCs w:val="21"/>
        </w:rPr>
      </w:pPr>
      <w:r>
        <w:rPr>
          <w:rFonts w:hint="eastAsia" w:ascii="宋体" w:hAnsi="宋体" w:cs="宋体"/>
          <w:b/>
          <w:bCs/>
          <w:szCs w:val="21"/>
        </w:rPr>
        <w:t>法定代表人授权委托书</w:t>
      </w:r>
    </w:p>
    <w:p w14:paraId="78DFAAAB">
      <w:pPr>
        <w:snapToGrid w:val="0"/>
        <w:spacing w:line="400" w:lineRule="exact"/>
        <w:jc w:val="center"/>
        <w:rPr>
          <w:rFonts w:hint="eastAsia" w:ascii="宋体" w:hAnsi="宋体" w:cs="宋体"/>
          <w:szCs w:val="21"/>
        </w:rPr>
      </w:pPr>
      <w:r>
        <w:rPr>
          <w:rFonts w:hint="eastAsia" w:ascii="宋体" w:hAnsi="宋体" w:cs="宋体"/>
          <w:szCs w:val="21"/>
        </w:rPr>
        <w:t>（非联合体投标格式）</w:t>
      </w:r>
    </w:p>
    <w:p w14:paraId="762E5120">
      <w:pPr>
        <w:snapToGrid w:val="0"/>
        <w:spacing w:line="400" w:lineRule="exact"/>
        <w:jc w:val="center"/>
        <w:rPr>
          <w:rFonts w:hint="eastAsia" w:ascii="宋体" w:hAnsi="宋体" w:cs="宋体"/>
          <w:szCs w:val="21"/>
        </w:rPr>
      </w:pPr>
      <w:r>
        <w:rPr>
          <w:rFonts w:hint="eastAsia" w:ascii="宋体" w:hAnsi="宋体" w:cs="宋体"/>
          <w:szCs w:val="21"/>
        </w:rPr>
        <w:t>（如有委托时）</w:t>
      </w:r>
    </w:p>
    <w:p w14:paraId="54DF7890">
      <w:pPr>
        <w:snapToGrid w:val="0"/>
        <w:spacing w:line="400" w:lineRule="exact"/>
        <w:jc w:val="center"/>
        <w:rPr>
          <w:rFonts w:hint="eastAsia" w:ascii="宋体" w:hAnsi="宋体" w:cs="宋体"/>
          <w:b/>
          <w:szCs w:val="21"/>
        </w:rPr>
      </w:pPr>
    </w:p>
    <w:p w14:paraId="04C2CD63">
      <w:pPr>
        <w:pStyle w:val="11"/>
        <w:spacing w:line="400" w:lineRule="exact"/>
        <w:ind w:firstLine="420"/>
        <w:rPr>
          <w:rFonts w:hint="eastAsia" w:hAnsi="宋体" w:cs="宋体"/>
          <w:b/>
          <w:bCs/>
          <w:sz w:val="21"/>
        </w:rPr>
      </w:pPr>
      <w:r>
        <w:rPr>
          <w:rFonts w:hint="eastAsia" w:hAnsi="宋体" w:cs="宋体"/>
          <w:bCs/>
          <w:sz w:val="21"/>
        </w:rPr>
        <w:t>致：（</w:t>
      </w:r>
      <w:r>
        <w:rPr>
          <w:rFonts w:hint="eastAsia" w:hAnsi="宋体" w:cs="宋体"/>
          <w:sz w:val="21"/>
          <w:u w:val="single"/>
        </w:rPr>
        <w:t>采购人名称</w:t>
      </w:r>
      <w:r>
        <w:rPr>
          <w:rFonts w:hint="eastAsia" w:hAnsi="宋体" w:cs="宋体"/>
          <w:bCs/>
          <w:sz w:val="21"/>
        </w:rPr>
        <w:t>）</w:t>
      </w:r>
    </w:p>
    <w:p w14:paraId="6A8E2826">
      <w:pPr>
        <w:pStyle w:val="11"/>
        <w:spacing w:line="400" w:lineRule="exact"/>
        <w:ind w:firstLine="420"/>
        <w:rPr>
          <w:rFonts w:hint="eastAsia" w:hAnsi="宋体" w:cs="宋体"/>
          <w:sz w:val="21"/>
        </w:rPr>
      </w:pPr>
      <w:r>
        <w:rPr>
          <w:rFonts w:hint="eastAsia" w:hAnsi="宋体" w:cs="宋体"/>
          <w:sz w:val="21"/>
        </w:rPr>
        <w:t>我（姓名）系（投标人名称）的法定代表人，现授权委托</w:t>
      </w:r>
      <w:r>
        <w:rPr>
          <w:rFonts w:hint="eastAsia" w:hAnsi="宋体" w:cs="宋体"/>
          <w:sz w:val="21"/>
          <w:u w:val="single"/>
        </w:rPr>
        <w:t xml:space="preserve">              （姓名）</w:t>
      </w:r>
      <w:r>
        <w:rPr>
          <w:rFonts w:hint="eastAsia" w:hAnsi="宋体" w:cs="宋体"/>
          <w:sz w:val="21"/>
        </w:rPr>
        <w:t>以我方的名义参加项目的投标活动，并代表我方全权办理针对上述项目的所有采购程序和环节的具体事务和签署相关文件。</w:t>
      </w:r>
    </w:p>
    <w:p w14:paraId="66D39C1B">
      <w:pPr>
        <w:pStyle w:val="11"/>
        <w:spacing w:line="400" w:lineRule="exact"/>
        <w:ind w:firstLine="420"/>
        <w:rPr>
          <w:rFonts w:hint="eastAsia" w:hAnsi="宋体" w:cs="宋体"/>
          <w:sz w:val="21"/>
        </w:rPr>
      </w:pPr>
      <w:r>
        <w:rPr>
          <w:rFonts w:hint="eastAsia" w:hAnsi="宋体" w:cs="宋体"/>
          <w:sz w:val="21"/>
        </w:rPr>
        <w:t>我方对委托代理人的签字事项负全部责任。</w:t>
      </w:r>
    </w:p>
    <w:p w14:paraId="55B608D7">
      <w:pPr>
        <w:pStyle w:val="11"/>
        <w:spacing w:line="400" w:lineRule="exact"/>
        <w:ind w:firstLine="420"/>
        <w:rPr>
          <w:rFonts w:hint="eastAsia" w:hAnsi="宋体" w:cs="宋体"/>
          <w:sz w:val="21"/>
        </w:rPr>
      </w:pPr>
      <w:r>
        <w:rPr>
          <w:rFonts w:hint="eastAsia" w:hAnsi="宋体" w:cs="宋体"/>
          <w:sz w:val="21"/>
          <w:u w:val="single"/>
        </w:rPr>
        <w:t>本授权书自签署之日起生效，在撤销授权的书面通知以前，本授权书一直有效。委托代理人在授权书有效期内签署的所有文件不因授权的撤销而失效。</w:t>
      </w:r>
    </w:p>
    <w:p w14:paraId="175F8FD9">
      <w:pPr>
        <w:pStyle w:val="11"/>
        <w:spacing w:line="400" w:lineRule="exact"/>
        <w:ind w:firstLine="420"/>
        <w:rPr>
          <w:rFonts w:hint="eastAsia" w:hAnsi="宋体" w:cs="宋体"/>
          <w:sz w:val="21"/>
        </w:rPr>
      </w:pPr>
      <w:r>
        <w:rPr>
          <w:rFonts w:hint="eastAsia" w:hAnsi="宋体" w:cs="宋体"/>
          <w:sz w:val="21"/>
        </w:rPr>
        <w:t>委托代理人无转委托权，特此委托。</w:t>
      </w:r>
    </w:p>
    <w:p w14:paraId="4DAAF473">
      <w:pPr>
        <w:pStyle w:val="11"/>
        <w:spacing w:line="400" w:lineRule="exact"/>
        <w:ind w:firstLine="420"/>
        <w:rPr>
          <w:rFonts w:hint="eastAsia" w:hAnsi="宋体" w:cs="宋体"/>
          <w:sz w:val="21"/>
        </w:rPr>
      </w:pPr>
      <w:r>
        <w:rPr>
          <w:rFonts w:hint="eastAsia" w:hAnsi="宋体" w:cs="宋体"/>
          <w:sz w:val="21"/>
        </w:rPr>
        <w:t>附：法定代表人身份证明及委托代理人有效身份证正反面复印件</w:t>
      </w:r>
    </w:p>
    <w:p w14:paraId="7EDF14DF">
      <w:pPr>
        <w:pStyle w:val="11"/>
        <w:spacing w:line="400" w:lineRule="exact"/>
        <w:ind w:firstLine="420"/>
        <w:rPr>
          <w:rFonts w:hint="eastAsia" w:hAnsi="宋体" w:cs="宋体"/>
          <w:sz w:val="21"/>
        </w:rPr>
      </w:pPr>
    </w:p>
    <w:p w14:paraId="61582AE0">
      <w:pPr>
        <w:pStyle w:val="11"/>
        <w:spacing w:line="400" w:lineRule="exact"/>
        <w:ind w:firstLine="420"/>
        <w:rPr>
          <w:rFonts w:hint="eastAsia" w:hAnsi="宋体" w:cs="宋体"/>
          <w:sz w:val="21"/>
        </w:rPr>
      </w:pPr>
    </w:p>
    <w:p w14:paraId="5AE34502">
      <w:pPr>
        <w:pStyle w:val="11"/>
        <w:spacing w:line="400" w:lineRule="exact"/>
        <w:ind w:firstLine="420" w:firstLineChars="200"/>
        <w:rPr>
          <w:rFonts w:hint="eastAsia" w:hAnsi="宋体" w:cs="宋体"/>
          <w:sz w:val="21"/>
        </w:rPr>
      </w:pPr>
      <w:r>
        <w:rPr>
          <w:rFonts w:hint="eastAsia" w:hAnsi="宋体" w:cs="宋体"/>
          <w:sz w:val="21"/>
        </w:rPr>
        <w:t>委托代理人（签字或电子签名）：</w:t>
      </w:r>
    </w:p>
    <w:p w14:paraId="3767A86A">
      <w:pPr>
        <w:pStyle w:val="11"/>
        <w:spacing w:line="400" w:lineRule="exact"/>
        <w:ind w:firstLine="420" w:firstLineChars="200"/>
        <w:rPr>
          <w:rFonts w:hint="eastAsia" w:hAnsi="宋体" w:cs="宋体"/>
          <w:sz w:val="21"/>
          <w:u w:val="single"/>
        </w:rPr>
      </w:pPr>
      <w:r>
        <w:rPr>
          <w:rFonts w:hint="eastAsia" w:hAnsi="宋体" w:cs="宋体"/>
          <w:sz w:val="21"/>
        </w:rPr>
        <w:t>委托代理人身份证号码：</w:t>
      </w:r>
    </w:p>
    <w:p w14:paraId="71282A81">
      <w:pPr>
        <w:pStyle w:val="11"/>
        <w:spacing w:line="400" w:lineRule="exact"/>
        <w:ind w:firstLine="420" w:firstLineChars="200"/>
        <w:rPr>
          <w:rFonts w:hint="eastAsia" w:hAnsi="宋体" w:cs="宋体"/>
          <w:sz w:val="21"/>
          <w:u w:val="single"/>
        </w:rPr>
      </w:pPr>
      <w:r>
        <w:rPr>
          <w:rFonts w:hint="eastAsia" w:hAnsi="宋体" w:cs="宋体"/>
          <w:sz w:val="21"/>
        </w:rPr>
        <w:t>法定代表人（签字或盖章或电子签名）：</w:t>
      </w:r>
    </w:p>
    <w:p w14:paraId="6951F7B7">
      <w:pPr>
        <w:pStyle w:val="11"/>
        <w:spacing w:line="400" w:lineRule="exact"/>
        <w:ind w:firstLine="420" w:firstLineChars="200"/>
        <w:jc w:val="right"/>
        <w:rPr>
          <w:rFonts w:hint="eastAsia" w:hAnsi="宋体" w:cs="宋体"/>
          <w:sz w:val="21"/>
        </w:rPr>
      </w:pPr>
    </w:p>
    <w:p w14:paraId="7486190E">
      <w:pPr>
        <w:pStyle w:val="11"/>
        <w:spacing w:line="400" w:lineRule="exact"/>
        <w:ind w:firstLine="420" w:firstLineChars="200"/>
        <w:jc w:val="center"/>
        <w:rPr>
          <w:rFonts w:hint="eastAsia" w:hAnsi="宋体" w:cs="宋体"/>
          <w:sz w:val="21"/>
        </w:rPr>
      </w:pPr>
      <w:r>
        <w:rPr>
          <w:rFonts w:hint="eastAsia" w:hAnsi="宋体" w:cs="宋体"/>
          <w:sz w:val="21"/>
        </w:rPr>
        <w:t xml:space="preserve">              投标人名称（公章或电子签章）：</w:t>
      </w:r>
    </w:p>
    <w:p w14:paraId="2E3F8E6A">
      <w:pPr>
        <w:pStyle w:val="11"/>
        <w:spacing w:line="400" w:lineRule="exact"/>
        <w:ind w:firstLine="420" w:firstLineChars="200"/>
        <w:jc w:val="center"/>
        <w:rPr>
          <w:rFonts w:hint="eastAsia" w:hAnsi="宋体" w:cs="宋体"/>
          <w:sz w:val="21"/>
        </w:rPr>
      </w:pPr>
      <w:r>
        <w:rPr>
          <w:rFonts w:hint="eastAsia" w:hAnsi="宋体" w:cs="宋体"/>
          <w:sz w:val="21"/>
        </w:rPr>
        <w:t xml:space="preserve">              日期：    年    月    日</w:t>
      </w:r>
    </w:p>
    <w:p w14:paraId="1CF27918">
      <w:pPr>
        <w:spacing w:line="400" w:lineRule="exact"/>
        <w:rPr>
          <w:rFonts w:hint="eastAsia" w:ascii="宋体" w:hAnsi="宋体" w:cs="宋体"/>
          <w:szCs w:val="21"/>
        </w:rPr>
      </w:pPr>
      <w:r>
        <w:rPr>
          <w:rFonts w:hint="eastAsia" w:ascii="宋体" w:hAnsi="宋体" w:cs="宋体"/>
          <w:szCs w:val="21"/>
        </w:rPr>
        <w:t>注：1.法定代表人必须在授权委托书上签字或者盖章或者电子签名，委托代理人必须在授权委托书上签字或者电子签名；</w:t>
      </w:r>
    </w:p>
    <w:p w14:paraId="2B8BF77E">
      <w:pPr>
        <w:spacing w:line="400" w:lineRule="exact"/>
        <w:jc w:val="left"/>
        <w:rPr>
          <w:rFonts w:hint="eastAsia" w:ascii="宋体" w:hAnsi="宋体" w:cs="宋体"/>
          <w:szCs w:val="21"/>
        </w:rPr>
      </w:pPr>
      <w:r>
        <w:rPr>
          <w:rFonts w:hint="eastAsia" w:ascii="宋体" w:hAnsi="宋体" w:cs="宋体"/>
          <w:szCs w:val="21"/>
        </w:rPr>
        <w:t>2.法人、其他组织投标时“我方”是指“我单位”，自然人投标时“我方”是指“本人”。</w:t>
      </w:r>
    </w:p>
    <w:p w14:paraId="2E62CA8B">
      <w:pPr>
        <w:snapToGrid w:val="0"/>
        <w:spacing w:line="400" w:lineRule="exact"/>
        <w:ind w:firstLine="495" w:firstLineChars="236"/>
        <w:jc w:val="center"/>
        <w:rPr>
          <w:rFonts w:hint="eastAsia" w:ascii="宋体" w:hAnsi="宋体" w:cs="宋体"/>
          <w:bCs/>
          <w:szCs w:val="21"/>
        </w:rPr>
      </w:pPr>
      <w:r>
        <w:rPr>
          <w:rFonts w:hint="eastAsia" w:ascii="宋体" w:hAnsi="宋体" w:cs="宋体"/>
          <w:szCs w:val="21"/>
        </w:rPr>
        <w:br w:type="page"/>
      </w:r>
      <w:r>
        <w:rPr>
          <w:rFonts w:hint="eastAsia" w:ascii="宋体" w:hAnsi="宋体" w:cs="宋体"/>
          <w:b/>
          <w:szCs w:val="21"/>
        </w:rPr>
        <w:t>法定代表人授权委托书</w:t>
      </w:r>
    </w:p>
    <w:p w14:paraId="238BFE8C">
      <w:pPr>
        <w:snapToGrid w:val="0"/>
        <w:spacing w:line="400" w:lineRule="exact"/>
        <w:ind w:firstLine="495" w:firstLineChars="236"/>
        <w:jc w:val="center"/>
        <w:rPr>
          <w:rFonts w:hint="eastAsia" w:ascii="宋体" w:hAnsi="宋体" w:cs="宋体"/>
          <w:bCs/>
          <w:szCs w:val="21"/>
        </w:rPr>
      </w:pPr>
      <w:r>
        <w:rPr>
          <w:rFonts w:hint="eastAsia" w:ascii="宋体" w:hAnsi="宋体" w:cs="宋体"/>
          <w:bCs/>
          <w:szCs w:val="21"/>
        </w:rPr>
        <w:t>（联合体投标格式）</w:t>
      </w:r>
    </w:p>
    <w:p w14:paraId="669D8628">
      <w:pPr>
        <w:snapToGrid w:val="0"/>
        <w:spacing w:line="400" w:lineRule="exact"/>
        <w:jc w:val="center"/>
        <w:rPr>
          <w:rFonts w:hint="eastAsia" w:ascii="宋体" w:hAnsi="宋体" w:cs="宋体"/>
          <w:bCs/>
          <w:szCs w:val="21"/>
        </w:rPr>
      </w:pPr>
      <w:r>
        <w:rPr>
          <w:rFonts w:hint="eastAsia" w:ascii="宋体" w:hAnsi="宋体" w:cs="宋体"/>
          <w:bCs/>
          <w:szCs w:val="21"/>
        </w:rPr>
        <w:t xml:space="preserve">    （如有委托时）</w:t>
      </w:r>
    </w:p>
    <w:p w14:paraId="47C350F8">
      <w:pPr>
        <w:snapToGrid w:val="0"/>
        <w:spacing w:line="400" w:lineRule="exact"/>
        <w:jc w:val="left"/>
        <w:rPr>
          <w:rFonts w:hint="eastAsia" w:ascii="宋体" w:hAnsi="宋体" w:cs="宋体"/>
          <w:szCs w:val="21"/>
        </w:rPr>
      </w:pPr>
      <w:r>
        <w:rPr>
          <w:rFonts w:hint="eastAsia" w:ascii="宋体" w:hAnsi="宋体" w:cs="宋体"/>
          <w:bCs/>
          <w:szCs w:val="21"/>
        </w:rPr>
        <w:t>致：</w:t>
      </w:r>
      <w:r>
        <w:rPr>
          <w:rFonts w:hint="eastAsia" w:ascii="宋体" w:hAnsi="宋体" w:cs="宋体"/>
          <w:szCs w:val="21"/>
          <w:u w:val="single"/>
        </w:rPr>
        <w:t>采购人名称</w:t>
      </w:r>
      <w:r>
        <w:rPr>
          <w:rFonts w:hint="eastAsia" w:ascii="宋体" w:hAnsi="宋体" w:cs="宋体"/>
          <w:szCs w:val="21"/>
        </w:rPr>
        <w:t>：</w:t>
      </w:r>
    </w:p>
    <w:p w14:paraId="01AE08B3">
      <w:pPr>
        <w:snapToGrid w:val="0"/>
        <w:spacing w:line="400" w:lineRule="exact"/>
        <w:ind w:firstLine="495" w:firstLineChars="236"/>
        <w:rPr>
          <w:rFonts w:hint="eastAsia" w:ascii="宋体" w:hAnsi="宋体" w:cs="宋体"/>
          <w:szCs w:val="21"/>
        </w:rPr>
      </w:pPr>
      <w:r>
        <w:rPr>
          <w:rFonts w:hint="eastAsia" w:ascii="宋体" w:hAnsi="宋体" w:cs="宋体"/>
          <w:szCs w:val="21"/>
        </w:rPr>
        <w:t xml:space="preserve">根据 </w:t>
      </w:r>
      <w:r>
        <w:rPr>
          <w:rFonts w:hint="eastAsia" w:ascii="宋体" w:hAnsi="宋体" w:cs="宋体"/>
          <w:szCs w:val="21"/>
          <w:u w:val="single"/>
        </w:rPr>
        <w:t xml:space="preserve"> （牵头人名称）</w:t>
      </w:r>
      <w:r>
        <w:rPr>
          <w:rFonts w:hint="eastAsia" w:ascii="宋体" w:hAnsi="宋体" w:cs="宋体"/>
          <w:szCs w:val="21"/>
        </w:rPr>
        <w:t>与</w:t>
      </w:r>
      <w:r>
        <w:rPr>
          <w:rFonts w:hint="eastAsia" w:ascii="宋体" w:hAnsi="宋体" w:cs="宋体"/>
          <w:szCs w:val="21"/>
          <w:u w:val="single"/>
        </w:rPr>
        <w:t>（联合体其他成员名称）</w:t>
      </w:r>
      <w:r>
        <w:rPr>
          <w:rFonts w:hint="eastAsia" w:ascii="宋体" w:hAnsi="宋体" w:cs="宋体"/>
          <w:szCs w:val="21"/>
        </w:rPr>
        <w:t>签订的《联合体投标协议书》的内容，</w:t>
      </w:r>
      <w:r>
        <w:rPr>
          <w:rFonts w:hint="eastAsia" w:ascii="宋体" w:hAnsi="宋体" w:cs="宋体"/>
          <w:szCs w:val="21"/>
          <w:u w:val="single"/>
        </w:rPr>
        <w:t>（牵头人名称）</w:t>
      </w:r>
      <w:r>
        <w:rPr>
          <w:rFonts w:hint="eastAsia" w:ascii="宋体" w:hAnsi="宋体" w:cs="宋体"/>
          <w:szCs w:val="21"/>
        </w:rPr>
        <w:t>的法定代表人</w:t>
      </w:r>
      <w:r>
        <w:rPr>
          <w:rFonts w:hint="eastAsia" w:ascii="宋体" w:hAnsi="宋体" w:cs="宋体"/>
          <w:szCs w:val="21"/>
          <w:u w:val="single"/>
        </w:rPr>
        <w:t>（姓名）</w:t>
      </w:r>
      <w:r>
        <w:rPr>
          <w:rFonts w:hint="eastAsia" w:ascii="宋体" w:hAnsi="宋体" w:cs="宋体"/>
          <w:szCs w:val="21"/>
        </w:rPr>
        <w:t>现授权委托</w:t>
      </w:r>
      <w:r>
        <w:rPr>
          <w:rFonts w:hint="eastAsia" w:ascii="宋体" w:hAnsi="宋体" w:cs="宋体"/>
          <w:szCs w:val="21"/>
          <w:u w:val="single"/>
        </w:rPr>
        <w:t xml:space="preserve">         （姓名）</w:t>
      </w:r>
      <w:r>
        <w:rPr>
          <w:rFonts w:hint="eastAsia" w:ascii="宋体" w:hAnsi="宋体" w:cs="宋体"/>
          <w:szCs w:val="21"/>
        </w:rPr>
        <w:t>以我方的名义参加项目的投标活动，并代表我方全权办理针对上述项目的所有采购程序和环节的具体事务和签署相关文件。</w:t>
      </w:r>
    </w:p>
    <w:p w14:paraId="6150B62C">
      <w:pPr>
        <w:snapToGrid w:val="0"/>
        <w:spacing w:line="400" w:lineRule="exact"/>
        <w:ind w:firstLine="495" w:firstLineChars="236"/>
        <w:rPr>
          <w:rFonts w:hint="eastAsia" w:ascii="宋体" w:hAnsi="宋体" w:cs="宋体"/>
          <w:szCs w:val="21"/>
        </w:rPr>
      </w:pPr>
      <w:r>
        <w:rPr>
          <w:rFonts w:hint="eastAsia" w:ascii="宋体" w:hAnsi="宋体" w:cs="宋体"/>
          <w:szCs w:val="21"/>
        </w:rPr>
        <w:t>我方对委托代理人的签字事项负全部责任。</w:t>
      </w:r>
    </w:p>
    <w:p w14:paraId="207A0887">
      <w:pPr>
        <w:snapToGrid w:val="0"/>
        <w:spacing w:line="400" w:lineRule="exact"/>
        <w:ind w:firstLine="495" w:firstLineChars="236"/>
        <w:rPr>
          <w:rFonts w:hint="eastAsia" w:ascii="宋体" w:hAnsi="宋体" w:cs="宋体"/>
          <w:szCs w:val="21"/>
          <w:u w:val="single"/>
        </w:rPr>
      </w:pPr>
      <w:r>
        <w:rPr>
          <w:rFonts w:hint="eastAsia" w:ascii="宋体" w:hAnsi="宋体" w:cs="宋体"/>
          <w:szCs w:val="21"/>
          <w:u w:val="single"/>
        </w:rPr>
        <w:t>本授权书自签署之日起生效，在撤销授权的书面通知以前，本授权书一直有效。委托代理人在授权书有效期内签署的所有文件不因授权的撤销而失效。</w:t>
      </w:r>
    </w:p>
    <w:p w14:paraId="705AEC2B">
      <w:pPr>
        <w:snapToGrid w:val="0"/>
        <w:spacing w:line="400" w:lineRule="exact"/>
        <w:ind w:firstLine="495" w:firstLineChars="236"/>
        <w:rPr>
          <w:rFonts w:hint="eastAsia" w:ascii="宋体" w:hAnsi="宋体" w:cs="宋体"/>
          <w:szCs w:val="21"/>
        </w:rPr>
      </w:pPr>
      <w:r>
        <w:rPr>
          <w:rFonts w:hint="eastAsia" w:ascii="宋体" w:hAnsi="宋体" w:cs="宋体"/>
          <w:szCs w:val="21"/>
        </w:rPr>
        <w:t>委托代理人无转委托权，特此委托。</w:t>
      </w:r>
    </w:p>
    <w:p w14:paraId="7F90D023">
      <w:pPr>
        <w:snapToGrid w:val="0"/>
        <w:spacing w:line="400" w:lineRule="exact"/>
        <w:ind w:firstLine="495" w:firstLineChars="236"/>
        <w:rPr>
          <w:rFonts w:hint="eastAsia" w:ascii="宋体" w:hAnsi="宋体" w:cs="宋体"/>
          <w:szCs w:val="21"/>
        </w:rPr>
      </w:pPr>
      <w:r>
        <w:rPr>
          <w:rFonts w:hint="eastAsia" w:ascii="宋体" w:hAnsi="宋体" w:cs="宋体"/>
          <w:szCs w:val="21"/>
        </w:rPr>
        <w:t>附：牵头人法定代表人身份证明及委托代理人有效身份证正反面复印件</w:t>
      </w:r>
    </w:p>
    <w:p w14:paraId="72567BB8">
      <w:pPr>
        <w:snapToGrid w:val="0"/>
        <w:spacing w:line="400" w:lineRule="exact"/>
        <w:ind w:firstLine="495" w:firstLineChars="236"/>
        <w:rPr>
          <w:rFonts w:hint="eastAsia" w:ascii="宋体" w:hAnsi="宋体" w:cs="宋体"/>
          <w:szCs w:val="21"/>
        </w:rPr>
      </w:pPr>
    </w:p>
    <w:p w14:paraId="53210B36">
      <w:pPr>
        <w:snapToGrid w:val="0"/>
        <w:spacing w:line="400" w:lineRule="exact"/>
        <w:ind w:firstLine="495" w:firstLineChars="236"/>
        <w:rPr>
          <w:rFonts w:hint="eastAsia" w:ascii="宋体" w:hAnsi="宋体" w:cs="宋体"/>
          <w:szCs w:val="21"/>
        </w:rPr>
      </w:pPr>
    </w:p>
    <w:p w14:paraId="4F80A5F0">
      <w:pPr>
        <w:snapToGrid w:val="0"/>
        <w:spacing w:line="400" w:lineRule="exact"/>
        <w:ind w:firstLine="495" w:firstLineChars="236"/>
        <w:rPr>
          <w:rFonts w:hint="eastAsia" w:ascii="宋体" w:hAnsi="宋体" w:cs="宋体"/>
          <w:szCs w:val="21"/>
        </w:rPr>
      </w:pPr>
      <w:r>
        <w:rPr>
          <w:rFonts w:hint="eastAsia" w:ascii="宋体" w:hAnsi="宋体" w:cs="宋体"/>
          <w:szCs w:val="21"/>
        </w:rPr>
        <w:t>牵头人法定代表人（签字或盖章或电子签名）：</w:t>
      </w:r>
    </w:p>
    <w:p w14:paraId="64316FAE">
      <w:pPr>
        <w:snapToGrid w:val="0"/>
        <w:spacing w:line="400" w:lineRule="exact"/>
        <w:ind w:firstLine="495" w:firstLineChars="236"/>
        <w:rPr>
          <w:rFonts w:hint="eastAsia" w:ascii="宋体" w:hAnsi="宋体" w:cs="宋体"/>
          <w:szCs w:val="21"/>
        </w:rPr>
      </w:pPr>
      <w:r>
        <w:rPr>
          <w:rFonts w:hint="eastAsia" w:ascii="宋体" w:hAnsi="宋体" w:cs="宋体"/>
          <w:szCs w:val="21"/>
        </w:rPr>
        <w:t>牵头人名称（公章或电子签章）：</w:t>
      </w:r>
    </w:p>
    <w:p w14:paraId="1F8EC980">
      <w:pPr>
        <w:snapToGrid w:val="0"/>
        <w:spacing w:line="400" w:lineRule="exact"/>
        <w:ind w:firstLine="495" w:firstLineChars="236"/>
        <w:rPr>
          <w:rFonts w:hint="eastAsia" w:ascii="宋体" w:hAnsi="宋体" w:cs="宋体"/>
          <w:szCs w:val="21"/>
        </w:rPr>
      </w:pPr>
      <w:r>
        <w:rPr>
          <w:rFonts w:hint="eastAsia" w:ascii="宋体" w:hAnsi="宋体" w:cs="宋体"/>
          <w:szCs w:val="21"/>
        </w:rPr>
        <w:t>日期：年月日</w:t>
      </w:r>
    </w:p>
    <w:p w14:paraId="00048A40">
      <w:pPr>
        <w:snapToGrid w:val="0"/>
        <w:spacing w:line="400" w:lineRule="exact"/>
        <w:ind w:firstLine="495" w:firstLineChars="236"/>
        <w:rPr>
          <w:rFonts w:hint="eastAsia" w:ascii="宋体" w:hAnsi="宋体" w:cs="宋体"/>
          <w:szCs w:val="21"/>
        </w:rPr>
      </w:pPr>
    </w:p>
    <w:p w14:paraId="46408050">
      <w:pPr>
        <w:snapToGrid w:val="0"/>
        <w:spacing w:line="400" w:lineRule="exact"/>
        <w:ind w:firstLine="495" w:firstLineChars="236"/>
        <w:rPr>
          <w:rFonts w:hint="eastAsia" w:ascii="宋体" w:hAnsi="宋体" w:cs="宋体"/>
          <w:szCs w:val="21"/>
        </w:rPr>
      </w:pPr>
      <w:r>
        <w:rPr>
          <w:rFonts w:hint="eastAsia" w:ascii="宋体" w:hAnsi="宋体" w:cs="宋体"/>
          <w:szCs w:val="21"/>
        </w:rPr>
        <w:t>被授权人（签字或电子签名）：</w:t>
      </w:r>
    </w:p>
    <w:p w14:paraId="12ED7436">
      <w:pPr>
        <w:snapToGrid w:val="0"/>
        <w:spacing w:line="400" w:lineRule="exact"/>
        <w:ind w:firstLine="495" w:firstLineChars="236"/>
        <w:rPr>
          <w:rFonts w:hint="eastAsia" w:ascii="宋体" w:hAnsi="宋体" w:cs="宋体"/>
          <w:szCs w:val="21"/>
        </w:rPr>
      </w:pPr>
      <w:r>
        <w:rPr>
          <w:rFonts w:hint="eastAsia" w:ascii="宋体" w:hAnsi="宋体" w:cs="宋体"/>
          <w:szCs w:val="21"/>
        </w:rPr>
        <w:t>日期：年月日</w:t>
      </w:r>
    </w:p>
    <w:p w14:paraId="7AC1916D">
      <w:pPr>
        <w:snapToGrid w:val="0"/>
        <w:spacing w:line="400" w:lineRule="exact"/>
        <w:ind w:firstLine="495" w:firstLineChars="236"/>
        <w:rPr>
          <w:rFonts w:hint="eastAsia" w:ascii="宋体" w:hAnsi="宋体" w:cs="宋体"/>
          <w:szCs w:val="21"/>
        </w:rPr>
      </w:pPr>
    </w:p>
    <w:p w14:paraId="165D1367">
      <w:pPr>
        <w:snapToGrid w:val="0"/>
        <w:spacing w:line="400" w:lineRule="exact"/>
        <w:ind w:firstLine="495" w:firstLineChars="236"/>
        <w:rPr>
          <w:rFonts w:hint="eastAsia" w:ascii="宋体" w:hAnsi="宋体" w:cs="宋体"/>
          <w:szCs w:val="21"/>
        </w:rPr>
      </w:pPr>
      <w:r>
        <w:rPr>
          <w:rFonts w:hint="eastAsia" w:ascii="宋体" w:hAnsi="宋体" w:cs="宋体"/>
          <w:szCs w:val="21"/>
        </w:rPr>
        <w:t>注：1.法定代表人（负责人）必须在授权委托书上签字或者盖章或者电子签名，委托代理人必须在授权委托书上签字或者电子签名，否则按无效投标处理；</w:t>
      </w:r>
    </w:p>
    <w:p w14:paraId="627F5F13">
      <w:pPr>
        <w:snapToGrid w:val="0"/>
        <w:spacing w:line="400" w:lineRule="exact"/>
        <w:ind w:firstLine="495" w:firstLineChars="236"/>
        <w:rPr>
          <w:rFonts w:hint="eastAsia" w:ascii="宋体" w:hAnsi="宋体" w:cs="宋体"/>
          <w:szCs w:val="21"/>
        </w:rPr>
      </w:pPr>
      <w:r>
        <w:rPr>
          <w:rFonts w:hint="eastAsia" w:ascii="宋体" w:hAnsi="宋体" w:cs="宋体"/>
          <w:szCs w:val="21"/>
        </w:rPr>
        <w:t>2.法人、其他组织投标时“我方”是指“我单位”，自然人投标时“我方”是指“本人”。</w:t>
      </w:r>
    </w:p>
    <w:p w14:paraId="1A39D9FC">
      <w:pPr>
        <w:snapToGrid w:val="0"/>
        <w:spacing w:before="166" w:beforeLines="50" w:after="50"/>
        <w:ind w:firstLine="495" w:firstLineChars="236"/>
        <w:jc w:val="center"/>
        <w:rPr>
          <w:rFonts w:hint="eastAsia" w:ascii="宋体" w:hAnsi="宋体" w:cs="宋体"/>
          <w:szCs w:val="21"/>
        </w:rPr>
      </w:pPr>
    </w:p>
    <w:p w14:paraId="34D594DA">
      <w:pPr>
        <w:snapToGrid w:val="0"/>
        <w:spacing w:before="166" w:beforeLines="50" w:after="50"/>
        <w:ind w:firstLine="495" w:firstLineChars="236"/>
        <w:jc w:val="center"/>
        <w:rPr>
          <w:rFonts w:hint="eastAsia" w:ascii="宋体" w:hAnsi="宋体" w:cs="宋体"/>
          <w:szCs w:val="21"/>
        </w:rPr>
      </w:pPr>
    </w:p>
    <w:p w14:paraId="311C7AEE">
      <w:pPr>
        <w:snapToGrid w:val="0"/>
        <w:spacing w:before="166" w:beforeLines="50" w:after="50"/>
        <w:ind w:firstLine="495" w:firstLineChars="236"/>
        <w:jc w:val="center"/>
        <w:rPr>
          <w:rFonts w:hint="eastAsia" w:ascii="宋体" w:hAnsi="宋体" w:cs="宋体"/>
          <w:szCs w:val="21"/>
        </w:rPr>
      </w:pPr>
    </w:p>
    <w:p w14:paraId="6481EDD1">
      <w:pPr>
        <w:snapToGrid w:val="0"/>
        <w:spacing w:before="166" w:beforeLines="50" w:after="50"/>
        <w:ind w:firstLine="495" w:firstLineChars="236"/>
        <w:jc w:val="center"/>
        <w:rPr>
          <w:rFonts w:hint="eastAsia" w:ascii="宋体" w:hAnsi="宋体" w:cs="宋体"/>
          <w:szCs w:val="21"/>
        </w:rPr>
      </w:pPr>
    </w:p>
    <w:p w14:paraId="45F1E853">
      <w:pPr>
        <w:pStyle w:val="2"/>
        <w:rPr>
          <w:rFonts w:hint="eastAsia" w:ascii="宋体" w:hAnsi="宋体" w:cs="宋体"/>
          <w:szCs w:val="21"/>
        </w:rPr>
      </w:pPr>
    </w:p>
    <w:p w14:paraId="56765FE3">
      <w:pPr>
        <w:pStyle w:val="3"/>
        <w:outlineLvl w:val="9"/>
      </w:pPr>
    </w:p>
    <w:p w14:paraId="7F21484E"/>
    <w:p w14:paraId="6DDF3823">
      <w:pPr>
        <w:snapToGrid w:val="0"/>
        <w:spacing w:before="166" w:beforeLines="50" w:after="50"/>
        <w:ind w:firstLine="495" w:firstLineChars="236"/>
        <w:jc w:val="center"/>
        <w:rPr>
          <w:rFonts w:hint="eastAsia" w:ascii="宋体" w:hAnsi="宋体" w:cs="宋体"/>
          <w:szCs w:val="21"/>
        </w:rPr>
      </w:pPr>
    </w:p>
    <w:p w14:paraId="1001EF47">
      <w:pPr>
        <w:pStyle w:val="11"/>
        <w:snapToGrid w:val="0"/>
        <w:spacing w:before="295" w:after="295" w:line="400" w:lineRule="exact"/>
        <w:rPr>
          <w:rFonts w:hint="eastAsia" w:hAnsi="宋体" w:cs="宋体"/>
          <w:sz w:val="21"/>
        </w:rPr>
      </w:pPr>
      <w:r>
        <w:rPr>
          <w:rFonts w:hint="eastAsia" w:hAnsi="宋体" w:cs="宋体"/>
          <w:sz w:val="21"/>
        </w:rPr>
        <w:t>6.商务条款偏离表格式</w:t>
      </w:r>
    </w:p>
    <w:p w14:paraId="151AD2AA">
      <w:pPr>
        <w:spacing w:line="400" w:lineRule="exact"/>
        <w:jc w:val="center"/>
        <w:rPr>
          <w:rFonts w:hint="eastAsia" w:ascii="宋体" w:hAnsi="宋体" w:cs="宋体"/>
          <w:b/>
          <w:bCs/>
          <w:szCs w:val="21"/>
        </w:rPr>
      </w:pPr>
      <w:r>
        <w:rPr>
          <w:rFonts w:hint="eastAsia" w:ascii="宋体" w:hAnsi="宋体" w:cs="宋体"/>
          <w:b/>
          <w:bCs/>
          <w:szCs w:val="21"/>
        </w:rPr>
        <w:t>商务条款偏离表</w:t>
      </w:r>
    </w:p>
    <w:p w14:paraId="7C9C8CC3">
      <w:pPr>
        <w:spacing w:line="400" w:lineRule="exact"/>
        <w:jc w:val="center"/>
        <w:rPr>
          <w:rFonts w:hint="eastAsia" w:ascii="宋体" w:hAnsi="宋体" w:cs="宋体"/>
          <w:b/>
          <w:szCs w:val="21"/>
        </w:rPr>
      </w:pPr>
      <w:r>
        <w:rPr>
          <w:rFonts w:hint="eastAsia" w:ascii="宋体" w:hAnsi="宋体" w:cs="宋体"/>
          <w:szCs w:val="21"/>
        </w:rPr>
        <w:t>(注：按项目需求表具体项目修改)</w:t>
      </w:r>
    </w:p>
    <w:p w14:paraId="54D2D535">
      <w:pPr>
        <w:snapToGrid w:val="0"/>
        <w:spacing w:before="50" w:line="400" w:lineRule="exact"/>
        <w:jc w:val="left"/>
        <w:rPr>
          <w:rFonts w:hint="eastAsia" w:ascii="宋体" w:hAnsi="宋体" w:cs="宋体"/>
          <w:szCs w:val="21"/>
        </w:rPr>
      </w:pPr>
    </w:p>
    <w:p w14:paraId="08A7F1A2">
      <w:pPr>
        <w:spacing w:line="400" w:lineRule="exact"/>
        <w:rPr>
          <w:rFonts w:hint="eastAsia" w:ascii="宋体" w:hAnsi="宋体" w:cs="宋体"/>
          <w:szCs w:val="21"/>
          <w:u w:val="single"/>
        </w:rPr>
      </w:pPr>
      <w:r>
        <w:rPr>
          <w:rFonts w:hint="eastAsia" w:ascii="宋体" w:hAnsi="宋体" w:cs="宋体"/>
          <w:szCs w:val="21"/>
        </w:rPr>
        <w:t>项目编号：</w:t>
      </w:r>
    </w:p>
    <w:p w14:paraId="7C938B7A">
      <w:pPr>
        <w:spacing w:line="400" w:lineRule="exact"/>
        <w:rPr>
          <w:rFonts w:hint="eastAsia" w:ascii="宋体" w:hAnsi="宋体" w:cs="宋体"/>
          <w:szCs w:val="21"/>
        </w:rPr>
      </w:pPr>
      <w:r>
        <w:rPr>
          <w:rFonts w:hint="eastAsia" w:ascii="宋体" w:hAnsi="宋体" w:cs="宋体"/>
          <w:szCs w:val="21"/>
        </w:rPr>
        <w:t>项目名称：</w:t>
      </w:r>
    </w:p>
    <w:p w14:paraId="165EE9F1">
      <w:pPr>
        <w:spacing w:line="400" w:lineRule="exact"/>
        <w:rPr>
          <w:rFonts w:hint="eastAsia" w:ascii="宋体" w:hAnsi="宋体" w:cs="宋体"/>
          <w:kern w:val="0"/>
          <w:szCs w:val="21"/>
        </w:rPr>
      </w:pPr>
      <w:r>
        <w:rPr>
          <w:rFonts w:hint="eastAsia" w:ascii="宋体" w:hAnsi="宋体" w:cs="宋体"/>
          <w:kern w:val="0"/>
          <w:szCs w:val="21"/>
        </w:rPr>
        <w:t>分标号：</w:t>
      </w:r>
      <w:r>
        <w:rPr>
          <w:rFonts w:hint="eastAsia" w:ascii="宋体" w:hAnsi="宋体" w:cs="宋体"/>
          <w:kern w:val="0"/>
          <w:szCs w:val="21"/>
          <w:u w:val="single"/>
        </w:rPr>
        <w:t>（有分标时填写）</w:t>
      </w:r>
    </w:p>
    <w:p w14:paraId="03264214">
      <w:pPr>
        <w:snapToGrid w:val="0"/>
        <w:spacing w:line="400" w:lineRule="exact"/>
        <w:jc w:val="left"/>
        <w:rPr>
          <w:rFonts w:hint="eastAsia" w:ascii="宋体" w:hAnsi="宋体" w:cs="宋体"/>
          <w:szCs w:val="21"/>
          <w:u w:val="single"/>
        </w:rPr>
      </w:pPr>
    </w:p>
    <w:tbl>
      <w:tblPr>
        <w:tblStyle w:val="18"/>
        <w:tblpPr w:leftFromText="180" w:rightFromText="180" w:vertAnchor="text" w:horzAnchor="margin" w:tblpX="90" w:tblpY="-9"/>
        <w:tblOverlap w:val="never"/>
        <w:tblW w:w="90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1361"/>
        <w:gridCol w:w="2668"/>
        <w:gridCol w:w="2350"/>
        <w:gridCol w:w="1989"/>
      </w:tblGrid>
      <w:tr w14:paraId="6FB87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28" w:type="dxa"/>
            <w:tcBorders>
              <w:top w:val="single" w:color="auto" w:sz="4" w:space="0"/>
              <w:bottom w:val="single" w:color="auto" w:sz="4" w:space="0"/>
              <w:right w:val="single" w:color="auto" w:sz="4" w:space="0"/>
            </w:tcBorders>
            <w:vAlign w:val="center"/>
          </w:tcPr>
          <w:p w14:paraId="1BE590C7">
            <w:pPr>
              <w:snapToGrid w:val="0"/>
              <w:spacing w:line="400" w:lineRule="exact"/>
              <w:jc w:val="center"/>
              <w:rPr>
                <w:rFonts w:hint="eastAsia" w:ascii="宋体" w:hAnsi="宋体" w:cs="宋体"/>
                <w:b/>
                <w:szCs w:val="21"/>
              </w:rPr>
            </w:pPr>
            <w:r>
              <w:rPr>
                <w:rFonts w:hint="eastAsia" w:ascii="宋体" w:hAnsi="宋体" w:cs="宋体"/>
                <w:b/>
                <w:szCs w:val="21"/>
              </w:rPr>
              <w:t>项号</w:t>
            </w:r>
          </w:p>
        </w:tc>
        <w:tc>
          <w:tcPr>
            <w:tcW w:w="1361" w:type="dxa"/>
            <w:tcBorders>
              <w:top w:val="single" w:color="auto" w:sz="4" w:space="0"/>
              <w:left w:val="single" w:color="auto" w:sz="4" w:space="0"/>
              <w:bottom w:val="single" w:color="auto" w:sz="4" w:space="0"/>
              <w:right w:val="single" w:color="auto" w:sz="4" w:space="0"/>
            </w:tcBorders>
            <w:vAlign w:val="center"/>
          </w:tcPr>
          <w:p w14:paraId="370480C9">
            <w:pPr>
              <w:snapToGrid w:val="0"/>
              <w:spacing w:line="400" w:lineRule="exact"/>
              <w:jc w:val="center"/>
              <w:rPr>
                <w:rFonts w:hint="eastAsia" w:ascii="宋体" w:hAnsi="宋体" w:cs="宋体"/>
                <w:b/>
                <w:szCs w:val="21"/>
              </w:rPr>
            </w:pPr>
            <w:r>
              <w:rPr>
                <w:rFonts w:hint="eastAsia" w:ascii="宋体" w:hAnsi="宋体" w:cs="宋体"/>
                <w:b/>
                <w:szCs w:val="21"/>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28282917">
            <w:pPr>
              <w:snapToGrid w:val="0"/>
              <w:spacing w:line="400" w:lineRule="exact"/>
              <w:jc w:val="center"/>
              <w:rPr>
                <w:rFonts w:hint="eastAsia" w:ascii="宋体" w:hAnsi="宋体" w:cs="宋体"/>
                <w:b/>
                <w:szCs w:val="21"/>
              </w:rPr>
            </w:pPr>
            <w:r>
              <w:rPr>
                <w:rFonts w:hint="eastAsia" w:ascii="宋体" w:hAnsi="宋体" w:cs="宋体"/>
                <w:b/>
                <w:szCs w:val="21"/>
              </w:rPr>
              <w:t>招标文件商务条款要求</w:t>
            </w:r>
          </w:p>
        </w:tc>
        <w:tc>
          <w:tcPr>
            <w:tcW w:w="2350" w:type="dxa"/>
            <w:tcBorders>
              <w:top w:val="single" w:color="auto" w:sz="4" w:space="0"/>
              <w:left w:val="single" w:color="auto" w:sz="4" w:space="0"/>
              <w:bottom w:val="single" w:color="auto" w:sz="4" w:space="0"/>
              <w:right w:val="single" w:color="auto" w:sz="4" w:space="0"/>
            </w:tcBorders>
            <w:vAlign w:val="center"/>
          </w:tcPr>
          <w:p w14:paraId="5AA855D0">
            <w:pPr>
              <w:snapToGrid w:val="0"/>
              <w:spacing w:line="400" w:lineRule="exact"/>
              <w:jc w:val="center"/>
              <w:rPr>
                <w:rFonts w:hint="eastAsia" w:ascii="宋体" w:hAnsi="宋体" w:cs="宋体"/>
                <w:b/>
                <w:szCs w:val="21"/>
              </w:rPr>
            </w:pPr>
            <w:r>
              <w:rPr>
                <w:rFonts w:hint="eastAsia" w:ascii="宋体" w:hAnsi="宋体" w:cs="宋体"/>
                <w:b/>
                <w:szCs w:val="21"/>
              </w:rPr>
              <w:t>投标人承诺的商务条款</w:t>
            </w:r>
          </w:p>
        </w:tc>
        <w:tc>
          <w:tcPr>
            <w:tcW w:w="1989" w:type="dxa"/>
            <w:tcBorders>
              <w:top w:val="single" w:color="auto" w:sz="4" w:space="0"/>
              <w:left w:val="single" w:color="auto" w:sz="4" w:space="0"/>
              <w:bottom w:val="single" w:color="auto" w:sz="4" w:space="0"/>
            </w:tcBorders>
            <w:vAlign w:val="center"/>
          </w:tcPr>
          <w:p w14:paraId="36391D96">
            <w:pPr>
              <w:snapToGrid w:val="0"/>
              <w:spacing w:line="400" w:lineRule="exact"/>
              <w:jc w:val="center"/>
              <w:rPr>
                <w:rFonts w:hint="eastAsia" w:ascii="宋体" w:hAnsi="宋体" w:cs="宋体"/>
                <w:b/>
                <w:szCs w:val="21"/>
              </w:rPr>
            </w:pPr>
            <w:r>
              <w:rPr>
                <w:rFonts w:hint="eastAsia" w:ascii="宋体" w:hAnsi="宋体" w:cs="宋体"/>
                <w:b/>
                <w:szCs w:val="21"/>
              </w:rPr>
              <w:t>偏离说明</w:t>
            </w:r>
          </w:p>
        </w:tc>
      </w:tr>
      <w:tr w14:paraId="0ABDE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28" w:type="dxa"/>
            <w:tcBorders>
              <w:top w:val="single" w:color="auto" w:sz="4" w:space="0"/>
              <w:bottom w:val="single" w:color="auto" w:sz="4" w:space="0"/>
              <w:right w:val="single" w:color="auto" w:sz="4" w:space="0"/>
            </w:tcBorders>
            <w:vAlign w:val="center"/>
          </w:tcPr>
          <w:p w14:paraId="409E8B03">
            <w:pPr>
              <w:spacing w:line="400" w:lineRule="exact"/>
              <w:jc w:val="center"/>
              <w:rPr>
                <w:rFonts w:hint="eastAsia" w:ascii="宋体" w:hAnsi="宋体" w:cs="宋体"/>
                <w:szCs w:val="21"/>
              </w:rPr>
            </w:pPr>
          </w:p>
        </w:tc>
        <w:tc>
          <w:tcPr>
            <w:tcW w:w="1361" w:type="dxa"/>
            <w:tcBorders>
              <w:top w:val="single" w:color="auto" w:sz="4" w:space="0"/>
              <w:left w:val="single" w:color="auto" w:sz="4" w:space="0"/>
              <w:bottom w:val="single" w:color="auto" w:sz="4" w:space="0"/>
              <w:right w:val="single" w:color="auto" w:sz="4" w:space="0"/>
            </w:tcBorders>
            <w:vAlign w:val="center"/>
          </w:tcPr>
          <w:p w14:paraId="7B30AFDB">
            <w:pPr>
              <w:spacing w:line="400" w:lineRule="exact"/>
              <w:jc w:val="center"/>
              <w:rPr>
                <w:rFonts w:hint="eastAsia" w:ascii="宋体" w:hAnsi="宋体" w:cs="宋体"/>
                <w:szCs w:val="21"/>
              </w:rPr>
            </w:pPr>
          </w:p>
        </w:tc>
        <w:tc>
          <w:tcPr>
            <w:tcW w:w="2668" w:type="dxa"/>
            <w:tcBorders>
              <w:top w:val="single" w:color="auto" w:sz="4" w:space="0"/>
              <w:left w:val="single" w:color="auto" w:sz="4" w:space="0"/>
              <w:bottom w:val="single" w:color="auto" w:sz="4" w:space="0"/>
              <w:right w:val="single" w:color="auto" w:sz="4" w:space="0"/>
            </w:tcBorders>
            <w:vAlign w:val="center"/>
          </w:tcPr>
          <w:p w14:paraId="4CEBB418">
            <w:pPr>
              <w:snapToGrid w:val="0"/>
              <w:spacing w:line="400" w:lineRule="exact"/>
              <w:jc w:val="center"/>
              <w:rPr>
                <w:rFonts w:hint="eastAsia" w:ascii="宋体" w:hAnsi="宋体" w:cs="宋体"/>
                <w:szCs w:val="21"/>
              </w:rPr>
            </w:pPr>
          </w:p>
        </w:tc>
        <w:tc>
          <w:tcPr>
            <w:tcW w:w="2350" w:type="dxa"/>
            <w:tcBorders>
              <w:top w:val="single" w:color="auto" w:sz="4" w:space="0"/>
              <w:left w:val="single" w:color="auto" w:sz="4" w:space="0"/>
              <w:bottom w:val="single" w:color="auto" w:sz="4" w:space="0"/>
              <w:right w:val="single" w:color="auto" w:sz="4" w:space="0"/>
            </w:tcBorders>
            <w:vAlign w:val="center"/>
          </w:tcPr>
          <w:p w14:paraId="1404CEC0">
            <w:pPr>
              <w:snapToGrid w:val="0"/>
              <w:spacing w:line="400" w:lineRule="exact"/>
              <w:jc w:val="center"/>
              <w:rPr>
                <w:rFonts w:hint="eastAsia" w:ascii="宋体" w:hAnsi="宋体" w:cs="宋体"/>
                <w:szCs w:val="21"/>
              </w:rPr>
            </w:pPr>
          </w:p>
        </w:tc>
        <w:tc>
          <w:tcPr>
            <w:tcW w:w="1989" w:type="dxa"/>
            <w:tcBorders>
              <w:top w:val="single" w:color="auto" w:sz="4" w:space="0"/>
              <w:left w:val="single" w:color="auto" w:sz="4" w:space="0"/>
              <w:bottom w:val="single" w:color="auto" w:sz="4" w:space="0"/>
            </w:tcBorders>
            <w:vAlign w:val="center"/>
          </w:tcPr>
          <w:p w14:paraId="379323E3">
            <w:pPr>
              <w:snapToGrid w:val="0"/>
              <w:spacing w:line="400" w:lineRule="exact"/>
              <w:jc w:val="center"/>
              <w:rPr>
                <w:rFonts w:hint="eastAsia" w:ascii="宋体" w:hAnsi="宋体" w:cs="宋体"/>
                <w:szCs w:val="21"/>
              </w:rPr>
            </w:pPr>
          </w:p>
        </w:tc>
      </w:tr>
      <w:tr w14:paraId="1B4F6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728" w:type="dxa"/>
            <w:tcBorders>
              <w:top w:val="single" w:color="auto" w:sz="4" w:space="0"/>
              <w:bottom w:val="single" w:color="auto" w:sz="4" w:space="0"/>
              <w:right w:val="single" w:color="auto" w:sz="4" w:space="0"/>
            </w:tcBorders>
            <w:vAlign w:val="center"/>
          </w:tcPr>
          <w:p w14:paraId="258C3A9D">
            <w:pPr>
              <w:spacing w:line="400" w:lineRule="exact"/>
              <w:jc w:val="center"/>
              <w:rPr>
                <w:rFonts w:hint="eastAsia" w:ascii="宋体" w:hAnsi="宋体" w:cs="宋体"/>
                <w:szCs w:val="21"/>
              </w:rPr>
            </w:pPr>
          </w:p>
        </w:tc>
        <w:tc>
          <w:tcPr>
            <w:tcW w:w="1361" w:type="dxa"/>
            <w:tcBorders>
              <w:top w:val="single" w:color="auto" w:sz="4" w:space="0"/>
              <w:left w:val="single" w:color="auto" w:sz="4" w:space="0"/>
              <w:bottom w:val="single" w:color="auto" w:sz="4" w:space="0"/>
              <w:right w:val="single" w:color="auto" w:sz="4" w:space="0"/>
            </w:tcBorders>
            <w:vAlign w:val="center"/>
          </w:tcPr>
          <w:p w14:paraId="37AE8315">
            <w:pPr>
              <w:spacing w:line="400" w:lineRule="exact"/>
              <w:jc w:val="center"/>
              <w:rPr>
                <w:rFonts w:hint="eastAsia" w:ascii="宋体" w:hAnsi="宋体" w:cs="宋体"/>
                <w:szCs w:val="21"/>
              </w:rPr>
            </w:pPr>
          </w:p>
        </w:tc>
        <w:tc>
          <w:tcPr>
            <w:tcW w:w="2668" w:type="dxa"/>
            <w:tcBorders>
              <w:top w:val="single" w:color="auto" w:sz="4" w:space="0"/>
              <w:left w:val="single" w:color="auto" w:sz="4" w:space="0"/>
              <w:bottom w:val="single" w:color="auto" w:sz="4" w:space="0"/>
              <w:right w:val="single" w:color="auto" w:sz="4" w:space="0"/>
            </w:tcBorders>
            <w:vAlign w:val="center"/>
          </w:tcPr>
          <w:p w14:paraId="0B11B044">
            <w:pPr>
              <w:snapToGrid w:val="0"/>
              <w:spacing w:line="400" w:lineRule="exact"/>
              <w:jc w:val="center"/>
              <w:rPr>
                <w:rFonts w:hint="eastAsia" w:ascii="宋体" w:hAnsi="宋体" w:cs="宋体"/>
                <w:szCs w:val="21"/>
              </w:rPr>
            </w:pPr>
          </w:p>
        </w:tc>
        <w:tc>
          <w:tcPr>
            <w:tcW w:w="2350" w:type="dxa"/>
            <w:tcBorders>
              <w:top w:val="single" w:color="auto" w:sz="4" w:space="0"/>
              <w:left w:val="single" w:color="auto" w:sz="4" w:space="0"/>
              <w:bottom w:val="single" w:color="auto" w:sz="4" w:space="0"/>
              <w:right w:val="single" w:color="auto" w:sz="4" w:space="0"/>
            </w:tcBorders>
            <w:vAlign w:val="center"/>
          </w:tcPr>
          <w:p w14:paraId="6AD1DC96">
            <w:pPr>
              <w:snapToGrid w:val="0"/>
              <w:spacing w:line="400" w:lineRule="exact"/>
              <w:ind w:left="43"/>
              <w:jc w:val="center"/>
              <w:rPr>
                <w:rFonts w:hint="eastAsia" w:ascii="宋体" w:hAnsi="宋体" w:cs="宋体"/>
                <w:szCs w:val="21"/>
              </w:rPr>
            </w:pPr>
          </w:p>
        </w:tc>
        <w:tc>
          <w:tcPr>
            <w:tcW w:w="1989" w:type="dxa"/>
            <w:tcBorders>
              <w:top w:val="single" w:color="auto" w:sz="4" w:space="0"/>
              <w:left w:val="single" w:color="auto" w:sz="4" w:space="0"/>
              <w:bottom w:val="single" w:color="auto" w:sz="4" w:space="0"/>
            </w:tcBorders>
            <w:vAlign w:val="center"/>
          </w:tcPr>
          <w:p w14:paraId="6EFC98F9">
            <w:pPr>
              <w:snapToGrid w:val="0"/>
              <w:spacing w:line="400" w:lineRule="exact"/>
              <w:ind w:left="43"/>
              <w:jc w:val="center"/>
              <w:rPr>
                <w:rFonts w:hint="eastAsia" w:ascii="宋体" w:hAnsi="宋体" w:cs="宋体"/>
                <w:szCs w:val="21"/>
              </w:rPr>
            </w:pPr>
          </w:p>
        </w:tc>
      </w:tr>
      <w:tr w14:paraId="3AA561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8" w:type="dxa"/>
            <w:tcBorders>
              <w:top w:val="single" w:color="auto" w:sz="4" w:space="0"/>
              <w:bottom w:val="single" w:color="auto" w:sz="4" w:space="0"/>
              <w:right w:val="single" w:color="auto" w:sz="4" w:space="0"/>
            </w:tcBorders>
            <w:vAlign w:val="center"/>
          </w:tcPr>
          <w:p w14:paraId="0C6195C4">
            <w:pPr>
              <w:spacing w:line="400" w:lineRule="exact"/>
              <w:jc w:val="center"/>
              <w:rPr>
                <w:rFonts w:hint="eastAsia" w:ascii="宋体" w:hAnsi="宋体" w:cs="宋体"/>
                <w:szCs w:val="21"/>
              </w:rPr>
            </w:pPr>
          </w:p>
        </w:tc>
        <w:tc>
          <w:tcPr>
            <w:tcW w:w="1361" w:type="dxa"/>
            <w:tcBorders>
              <w:top w:val="single" w:color="auto" w:sz="4" w:space="0"/>
              <w:left w:val="single" w:color="auto" w:sz="4" w:space="0"/>
              <w:bottom w:val="single" w:color="auto" w:sz="4" w:space="0"/>
              <w:right w:val="single" w:color="auto" w:sz="4" w:space="0"/>
            </w:tcBorders>
            <w:vAlign w:val="center"/>
          </w:tcPr>
          <w:p w14:paraId="3F4E532B">
            <w:pPr>
              <w:spacing w:line="400" w:lineRule="exact"/>
              <w:jc w:val="center"/>
              <w:rPr>
                <w:rFonts w:hint="eastAsia" w:ascii="宋体" w:hAnsi="宋体" w:cs="宋体"/>
                <w:szCs w:val="21"/>
              </w:rPr>
            </w:pPr>
          </w:p>
        </w:tc>
        <w:tc>
          <w:tcPr>
            <w:tcW w:w="2668" w:type="dxa"/>
            <w:tcBorders>
              <w:top w:val="single" w:color="auto" w:sz="4" w:space="0"/>
              <w:left w:val="single" w:color="auto" w:sz="4" w:space="0"/>
              <w:bottom w:val="single" w:color="auto" w:sz="4" w:space="0"/>
              <w:right w:val="single" w:color="auto" w:sz="4" w:space="0"/>
            </w:tcBorders>
            <w:vAlign w:val="center"/>
          </w:tcPr>
          <w:p w14:paraId="3AE07AC7">
            <w:pPr>
              <w:snapToGrid w:val="0"/>
              <w:spacing w:line="400" w:lineRule="exact"/>
              <w:jc w:val="center"/>
              <w:rPr>
                <w:rFonts w:hint="eastAsia" w:ascii="宋体" w:hAnsi="宋体" w:cs="宋体"/>
                <w:szCs w:val="21"/>
              </w:rPr>
            </w:pPr>
          </w:p>
        </w:tc>
        <w:tc>
          <w:tcPr>
            <w:tcW w:w="2350" w:type="dxa"/>
            <w:tcBorders>
              <w:top w:val="single" w:color="auto" w:sz="4" w:space="0"/>
              <w:left w:val="single" w:color="auto" w:sz="4" w:space="0"/>
              <w:bottom w:val="single" w:color="auto" w:sz="4" w:space="0"/>
              <w:right w:val="single" w:color="auto" w:sz="4" w:space="0"/>
            </w:tcBorders>
            <w:vAlign w:val="center"/>
          </w:tcPr>
          <w:p w14:paraId="19736564">
            <w:pPr>
              <w:snapToGrid w:val="0"/>
              <w:spacing w:line="400" w:lineRule="exact"/>
              <w:jc w:val="center"/>
              <w:rPr>
                <w:rFonts w:hint="eastAsia" w:ascii="宋体" w:hAnsi="宋体" w:cs="宋体"/>
                <w:szCs w:val="21"/>
              </w:rPr>
            </w:pPr>
          </w:p>
        </w:tc>
        <w:tc>
          <w:tcPr>
            <w:tcW w:w="1989" w:type="dxa"/>
            <w:tcBorders>
              <w:top w:val="single" w:color="auto" w:sz="4" w:space="0"/>
              <w:left w:val="single" w:color="auto" w:sz="4" w:space="0"/>
              <w:bottom w:val="single" w:color="auto" w:sz="4" w:space="0"/>
            </w:tcBorders>
            <w:vAlign w:val="center"/>
          </w:tcPr>
          <w:p w14:paraId="03B10222">
            <w:pPr>
              <w:snapToGrid w:val="0"/>
              <w:spacing w:line="400" w:lineRule="exact"/>
              <w:jc w:val="center"/>
              <w:rPr>
                <w:rFonts w:hint="eastAsia" w:ascii="宋体" w:hAnsi="宋体" w:cs="宋体"/>
                <w:szCs w:val="21"/>
              </w:rPr>
            </w:pPr>
          </w:p>
        </w:tc>
      </w:tr>
      <w:tr w14:paraId="08836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8" w:type="dxa"/>
            <w:tcBorders>
              <w:top w:val="single" w:color="auto" w:sz="4" w:space="0"/>
              <w:bottom w:val="single" w:color="auto" w:sz="4" w:space="0"/>
              <w:right w:val="single" w:color="auto" w:sz="4" w:space="0"/>
            </w:tcBorders>
            <w:vAlign w:val="center"/>
          </w:tcPr>
          <w:p w14:paraId="70D8243D">
            <w:pPr>
              <w:snapToGrid w:val="0"/>
              <w:spacing w:line="400" w:lineRule="exact"/>
              <w:jc w:val="center"/>
              <w:rPr>
                <w:rFonts w:hint="eastAsia" w:ascii="宋体" w:hAnsi="宋体" w:cs="宋体"/>
                <w:szCs w:val="21"/>
              </w:rPr>
            </w:pPr>
            <w:r>
              <w:rPr>
                <w:rFonts w:hint="eastAsia" w:ascii="宋体" w:hAnsi="宋体" w:cs="宋体"/>
                <w:szCs w:val="21"/>
              </w:rPr>
              <w:t>……</w:t>
            </w:r>
          </w:p>
        </w:tc>
        <w:tc>
          <w:tcPr>
            <w:tcW w:w="1361" w:type="dxa"/>
            <w:tcBorders>
              <w:top w:val="single" w:color="auto" w:sz="4" w:space="0"/>
              <w:left w:val="single" w:color="auto" w:sz="4" w:space="0"/>
              <w:bottom w:val="single" w:color="auto" w:sz="4" w:space="0"/>
              <w:right w:val="single" w:color="auto" w:sz="4" w:space="0"/>
            </w:tcBorders>
            <w:vAlign w:val="center"/>
          </w:tcPr>
          <w:p w14:paraId="050999B0">
            <w:pPr>
              <w:snapToGrid w:val="0"/>
              <w:spacing w:line="400" w:lineRule="exact"/>
              <w:jc w:val="center"/>
              <w:rPr>
                <w:rFonts w:hint="eastAsia" w:ascii="宋体" w:hAnsi="宋体" w:cs="宋体"/>
                <w:szCs w:val="21"/>
              </w:rPr>
            </w:pPr>
            <w:r>
              <w:rPr>
                <w:rFonts w:hint="eastAsia" w:ascii="宋体" w:hAnsi="宋体" w:cs="宋体"/>
                <w:szCs w:val="21"/>
              </w:rPr>
              <w:t>……</w:t>
            </w:r>
          </w:p>
        </w:tc>
        <w:tc>
          <w:tcPr>
            <w:tcW w:w="2668" w:type="dxa"/>
            <w:tcBorders>
              <w:top w:val="single" w:color="auto" w:sz="4" w:space="0"/>
              <w:left w:val="single" w:color="auto" w:sz="4" w:space="0"/>
              <w:bottom w:val="single" w:color="auto" w:sz="4" w:space="0"/>
              <w:right w:val="single" w:color="auto" w:sz="4" w:space="0"/>
            </w:tcBorders>
            <w:vAlign w:val="center"/>
          </w:tcPr>
          <w:p w14:paraId="5E2AC368">
            <w:pPr>
              <w:snapToGrid w:val="0"/>
              <w:spacing w:line="400" w:lineRule="exact"/>
              <w:jc w:val="center"/>
              <w:rPr>
                <w:rFonts w:hint="eastAsia" w:ascii="宋体" w:hAnsi="宋体" w:cs="宋体"/>
                <w:szCs w:val="21"/>
              </w:rPr>
            </w:pPr>
          </w:p>
        </w:tc>
        <w:tc>
          <w:tcPr>
            <w:tcW w:w="2350" w:type="dxa"/>
            <w:tcBorders>
              <w:top w:val="single" w:color="auto" w:sz="4" w:space="0"/>
              <w:left w:val="single" w:color="auto" w:sz="4" w:space="0"/>
              <w:bottom w:val="single" w:color="auto" w:sz="4" w:space="0"/>
              <w:right w:val="single" w:color="auto" w:sz="4" w:space="0"/>
            </w:tcBorders>
            <w:vAlign w:val="center"/>
          </w:tcPr>
          <w:p w14:paraId="321A6D3A">
            <w:pPr>
              <w:snapToGrid w:val="0"/>
              <w:spacing w:line="400" w:lineRule="exact"/>
              <w:jc w:val="center"/>
              <w:rPr>
                <w:rFonts w:hint="eastAsia" w:ascii="宋体" w:hAnsi="宋体" w:cs="宋体"/>
                <w:szCs w:val="21"/>
              </w:rPr>
            </w:pPr>
          </w:p>
        </w:tc>
        <w:tc>
          <w:tcPr>
            <w:tcW w:w="1989" w:type="dxa"/>
            <w:tcBorders>
              <w:top w:val="single" w:color="auto" w:sz="4" w:space="0"/>
              <w:left w:val="single" w:color="auto" w:sz="4" w:space="0"/>
              <w:bottom w:val="single" w:color="auto" w:sz="4" w:space="0"/>
            </w:tcBorders>
            <w:vAlign w:val="center"/>
          </w:tcPr>
          <w:p w14:paraId="3A2F6F52">
            <w:pPr>
              <w:snapToGrid w:val="0"/>
              <w:spacing w:line="400" w:lineRule="exact"/>
              <w:jc w:val="center"/>
              <w:rPr>
                <w:rFonts w:hint="eastAsia" w:ascii="宋体" w:hAnsi="宋体" w:cs="宋体"/>
                <w:szCs w:val="21"/>
              </w:rPr>
            </w:pPr>
          </w:p>
        </w:tc>
      </w:tr>
    </w:tbl>
    <w:p w14:paraId="7F654361">
      <w:pPr>
        <w:pStyle w:val="11"/>
        <w:spacing w:line="400" w:lineRule="exact"/>
        <w:ind w:left="-708" w:leftChars="-337" w:firstLine="420" w:firstLineChars="200"/>
        <w:rPr>
          <w:rFonts w:hint="eastAsia" w:hAnsi="宋体" w:cs="宋体"/>
          <w:sz w:val="21"/>
        </w:rPr>
      </w:pPr>
      <w:r>
        <w:rPr>
          <w:rFonts w:hint="eastAsia" w:hAnsi="宋体" w:cs="宋体"/>
          <w:sz w:val="21"/>
        </w:rPr>
        <w:t>注：</w:t>
      </w:r>
    </w:p>
    <w:p w14:paraId="253F30C6">
      <w:pPr>
        <w:pStyle w:val="11"/>
        <w:spacing w:line="400" w:lineRule="exact"/>
        <w:ind w:left="-708" w:leftChars="-337" w:firstLine="420" w:firstLineChars="200"/>
        <w:rPr>
          <w:rFonts w:hint="eastAsia" w:hAnsi="宋体" w:cs="宋体"/>
          <w:sz w:val="21"/>
        </w:rPr>
      </w:pPr>
      <w:r>
        <w:rPr>
          <w:rFonts w:hint="eastAsia" w:hAnsi="宋体" w:cs="宋体"/>
          <w:sz w:val="21"/>
        </w:rPr>
        <w:t>1.说明：应对照招标文件“第二章 采购需求”中的商务条款逐条作明确的投标响应，并作出偏离说明。</w:t>
      </w:r>
    </w:p>
    <w:p w14:paraId="330265D1">
      <w:pPr>
        <w:pStyle w:val="11"/>
        <w:spacing w:line="400" w:lineRule="exact"/>
        <w:ind w:left="-708" w:leftChars="-337" w:firstLine="420" w:firstLineChars="200"/>
        <w:rPr>
          <w:rFonts w:hint="eastAsia" w:hAnsi="宋体" w:cs="宋体"/>
          <w:sz w:val="21"/>
        </w:rPr>
      </w:pPr>
      <w:r>
        <w:rPr>
          <w:rFonts w:hint="eastAsia" w:hAnsi="宋体" w:cs="宋体"/>
          <w:sz w:val="21"/>
        </w:rPr>
        <w:t>2.投标人应根据自身的承诺，对照招标文件要求在“偏离说明”中注明“正偏离”、“负偏离”或者“ 无偏离”。既不属于“正偏离”也不属于“负偏离”即为“无偏离”。</w:t>
      </w:r>
    </w:p>
    <w:p w14:paraId="0E72C6D3">
      <w:pPr>
        <w:snapToGrid w:val="0"/>
        <w:spacing w:line="400" w:lineRule="exact"/>
        <w:rPr>
          <w:rFonts w:hint="eastAsia" w:ascii="宋体" w:hAnsi="宋体" w:cs="宋体"/>
          <w:szCs w:val="21"/>
        </w:rPr>
      </w:pPr>
    </w:p>
    <w:p w14:paraId="08B01442">
      <w:pPr>
        <w:snapToGrid w:val="0"/>
        <w:spacing w:line="400" w:lineRule="exact"/>
        <w:rPr>
          <w:rFonts w:hint="eastAsia" w:ascii="宋体" w:hAnsi="宋体" w:cs="宋体"/>
          <w:szCs w:val="21"/>
        </w:rPr>
      </w:pPr>
    </w:p>
    <w:p w14:paraId="2704A876">
      <w:pPr>
        <w:snapToGrid w:val="0"/>
        <w:spacing w:line="400" w:lineRule="exact"/>
        <w:jc w:val="right"/>
        <w:rPr>
          <w:rFonts w:hint="eastAsia" w:ascii="宋体" w:hAnsi="宋体" w:cs="宋体"/>
          <w:kern w:val="0"/>
          <w:szCs w:val="21"/>
          <w:lang w:val="zh-CN"/>
        </w:rPr>
      </w:pPr>
    </w:p>
    <w:p w14:paraId="212AC2DD">
      <w:pPr>
        <w:snapToGrid w:val="0"/>
        <w:spacing w:line="400" w:lineRule="exact"/>
        <w:ind w:firstLine="4620" w:firstLineChars="22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22EEC9D4">
      <w:pPr>
        <w:snapToGrid w:val="0"/>
        <w:spacing w:line="400" w:lineRule="exact"/>
        <w:ind w:firstLine="4725" w:firstLineChars="2250"/>
        <w:rPr>
          <w:rFonts w:hint="eastAsia" w:ascii="宋体" w:hAnsi="宋体" w:cs="宋体"/>
          <w:szCs w:val="21"/>
        </w:rPr>
        <w:sectPr>
          <w:footerReference r:id="rId11" w:type="first"/>
          <w:headerReference r:id="rId8" w:type="default"/>
          <w:footerReference r:id="rId9" w:type="default"/>
          <w:footerReference r:id="rId10" w:type="even"/>
          <w:pgSz w:w="11905" w:h="16838"/>
          <w:pgMar w:top="1417" w:right="1417" w:bottom="1417" w:left="1417" w:header="720" w:footer="720" w:gutter="0"/>
          <w:cols w:space="720" w:num="1"/>
          <w:docGrid w:type="lines" w:linePitch="333" w:charSpace="0"/>
        </w:sect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w:t>
      </w:r>
    </w:p>
    <w:p w14:paraId="7BB99264">
      <w:pPr>
        <w:snapToGrid w:val="0"/>
        <w:spacing w:before="156" w:beforeLines="50" w:after="50"/>
        <w:rPr>
          <w:rFonts w:hint="eastAsia" w:ascii="宋体" w:hAnsi="宋体" w:cs="宋体"/>
          <w:kern w:val="0"/>
          <w:szCs w:val="21"/>
        </w:rPr>
      </w:pPr>
      <w:r>
        <w:rPr>
          <w:rFonts w:hint="eastAsia" w:ascii="宋体" w:hAnsi="宋体" w:cs="宋体"/>
          <w:kern w:val="0"/>
          <w:szCs w:val="21"/>
        </w:rPr>
        <w:t>7.投标人廉洁承诺书</w:t>
      </w:r>
    </w:p>
    <w:p w14:paraId="7B61F02E"/>
    <w:p w14:paraId="32830CAA">
      <w:pPr>
        <w:jc w:val="center"/>
        <w:rPr>
          <w:b/>
          <w:bCs/>
          <w:sz w:val="32"/>
          <w:szCs w:val="32"/>
        </w:rPr>
      </w:pPr>
      <w:r>
        <w:rPr>
          <w:rFonts w:hint="eastAsia"/>
          <w:b/>
          <w:bCs/>
          <w:sz w:val="32"/>
          <w:szCs w:val="32"/>
        </w:rPr>
        <w:t>投标人廉洁承诺书</w:t>
      </w:r>
    </w:p>
    <w:p w14:paraId="30BF7E54">
      <w:pPr>
        <w:pStyle w:val="2"/>
        <w:spacing w:line="600" w:lineRule="exact"/>
        <w:rPr>
          <w:rFonts w:hint="eastAsia" w:ascii="宋体" w:hAnsi="宋体" w:cs="宋体"/>
          <w:sz w:val="21"/>
          <w:szCs w:val="21"/>
        </w:rPr>
      </w:pPr>
      <w:r>
        <w:rPr>
          <w:rFonts w:hint="eastAsia" w:ascii="宋体" w:hAnsi="宋体" w:cs="宋体"/>
          <w:sz w:val="21"/>
          <w:szCs w:val="21"/>
        </w:rPr>
        <w:t>广西壮族自治区环境信息中心：</w:t>
      </w:r>
    </w:p>
    <w:p w14:paraId="627DB1D3">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为了积极配合贵单位进行的</w:t>
      </w:r>
      <w:r>
        <w:rPr>
          <w:rFonts w:hint="eastAsia" w:ascii="宋体" w:hAnsi="宋体" w:cs="宋体"/>
          <w:sz w:val="21"/>
          <w:szCs w:val="21"/>
          <w:u w:val="single"/>
        </w:rPr>
        <w:t xml:space="preserve">                  </w:t>
      </w:r>
      <w:r>
        <w:rPr>
          <w:rFonts w:hint="eastAsia" w:ascii="宋体" w:hAnsi="宋体" w:cs="宋体"/>
          <w:sz w:val="21"/>
          <w:szCs w:val="21"/>
        </w:rPr>
        <w:t>项目招标工作，有效遏制不公平竞争和违规违纪行为的发生，确保招标工作的公平、公正、公开、有序进行，我们保证认真贯彻执行《中华人民共和国政府采购法》《中华人民共和国政府采购法实施条例》等法律法规以及与廉洁有关的规章制度，特向贵单位承诺如下事项：</w:t>
      </w:r>
    </w:p>
    <w:p w14:paraId="2AAEEBBC">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一、自觉遵守国家有关法律法规及廉洁规定。</w:t>
      </w:r>
    </w:p>
    <w:p w14:paraId="3EDFB056">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二、不与招标单位工作人员串通投标，损害国家利益、企业利益以及他人的合法利益；不与其他投标人相互串通投标报价，不排挤其他投标人，不损害招标人或其他投标人的合法权益。</w:t>
      </w:r>
    </w:p>
    <w:p w14:paraId="734C41F1">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三、不以任何名义为参与招标、评标工作的有关人员报销应由参与招标、评标工作的有关人员支付的任何费用。</w:t>
      </w:r>
    </w:p>
    <w:p w14:paraId="0F981664">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四、不以任何名义向参与招标、评标工作的有关人员赠送回扣、红包、礼金、购物卡、有价证券、贵重物品和好处费、感谢费等。</w:t>
      </w:r>
    </w:p>
    <w:p w14:paraId="666A1E15">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五、不以任何名义向参与招标、评标工作的有关人员提供高消费宴请及娱乐活动。</w:t>
      </w:r>
    </w:p>
    <w:p w14:paraId="00049F34">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六、不以谋取非正当利益为目的，擅自与参与招标、评标工作的有关人员就业务问题进行私下商谈或者达成利益默契。</w:t>
      </w:r>
    </w:p>
    <w:p w14:paraId="2BDFFFA8">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七、不以任何名义接受或暗示为参与招标、评标工作的有关人员装修住房、婚丧嫁娶、配偶子女的工作安排以及境内外旅游等提供方便。</w:t>
      </w:r>
    </w:p>
    <w:p w14:paraId="4EA71B58">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贵单位既可根据国家有关单位的判决、裁定等有效文书认定我单位是否违反承诺，也有权通过对贵单位相关人员的调查来认定我单位是否违反承诺（我单位不会以任何理由否定贵单位的调查结果）。如违反以上承诺，我单位自愿接受依据有关规定对我单位进行的严肃处理（包括但不限于实施市场禁入、取消投、中标资格以及终止合同等），给贵单位造成损失的，予以赔偿。</w:t>
      </w:r>
    </w:p>
    <w:p w14:paraId="27F21C43">
      <w:pPr>
        <w:pStyle w:val="2"/>
        <w:spacing w:line="600" w:lineRule="exact"/>
        <w:ind w:firstLine="420" w:firstLineChars="200"/>
        <w:rPr>
          <w:rFonts w:hint="eastAsia" w:ascii="宋体" w:hAnsi="宋体" w:cs="宋体"/>
          <w:sz w:val="21"/>
          <w:szCs w:val="21"/>
        </w:rPr>
      </w:pPr>
      <w:r>
        <w:rPr>
          <w:rFonts w:hint="eastAsia" w:ascii="宋体" w:hAnsi="宋体" w:cs="宋体"/>
          <w:sz w:val="21"/>
          <w:szCs w:val="21"/>
        </w:rPr>
        <w:t>本廉洁承诺书为我单位应答此次采购项目正式文件的附件，与其他投标文件具有同等法律效力，经我单位法定代表人或其授权委托人签字盖章后立即生效。</w:t>
      </w:r>
    </w:p>
    <w:p w14:paraId="1E26B6D9">
      <w:pPr>
        <w:pStyle w:val="2"/>
        <w:spacing w:line="600" w:lineRule="exact"/>
        <w:ind w:firstLine="420" w:firstLineChars="200"/>
        <w:rPr>
          <w:rFonts w:hint="eastAsia" w:ascii="宋体" w:hAnsi="宋体" w:cs="宋体"/>
          <w:sz w:val="21"/>
          <w:szCs w:val="21"/>
        </w:rPr>
      </w:pPr>
    </w:p>
    <w:p w14:paraId="24382E07">
      <w:pPr>
        <w:pStyle w:val="2"/>
        <w:spacing w:line="600" w:lineRule="exact"/>
        <w:ind w:firstLine="420" w:firstLineChars="200"/>
        <w:rPr>
          <w:rFonts w:hint="eastAsia" w:ascii="宋体" w:hAnsi="宋体" w:cs="宋体"/>
          <w:sz w:val="21"/>
          <w:szCs w:val="21"/>
        </w:rPr>
      </w:pPr>
    </w:p>
    <w:p w14:paraId="27EA3529">
      <w:pPr>
        <w:pStyle w:val="2"/>
        <w:wordWrap w:val="0"/>
        <w:spacing w:line="600" w:lineRule="exact"/>
        <w:jc w:val="right"/>
        <w:rPr>
          <w:rFonts w:hint="eastAsia" w:ascii="宋体" w:hAnsi="宋体" w:cs="宋体"/>
          <w:sz w:val="21"/>
          <w:szCs w:val="21"/>
          <w:u w:val="single"/>
        </w:rPr>
      </w:pPr>
      <w:r>
        <w:rPr>
          <w:rFonts w:hint="eastAsia" w:ascii="宋体" w:hAnsi="宋体" w:cs="宋体"/>
          <w:sz w:val="21"/>
          <w:szCs w:val="21"/>
        </w:rPr>
        <w:t>投标单位（公章）：</w:t>
      </w:r>
    </w:p>
    <w:p w14:paraId="2A984C2F">
      <w:pPr>
        <w:pStyle w:val="2"/>
        <w:wordWrap w:val="0"/>
        <w:spacing w:line="600" w:lineRule="exact"/>
        <w:jc w:val="right"/>
        <w:rPr>
          <w:rFonts w:hint="eastAsia" w:ascii="宋体" w:hAnsi="宋体" w:cs="宋体"/>
          <w:sz w:val="21"/>
          <w:szCs w:val="21"/>
          <w:u w:val="single"/>
        </w:rPr>
      </w:pPr>
      <w:r>
        <w:rPr>
          <w:rFonts w:hint="eastAsia" w:ascii="宋体" w:hAnsi="宋体" w:cs="宋体"/>
          <w:sz w:val="21"/>
          <w:szCs w:val="21"/>
        </w:rPr>
        <w:t>法定代表人或授权代理人（签字）：</w:t>
      </w:r>
    </w:p>
    <w:p w14:paraId="3C2BD4C3">
      <w:pPr>
        <w:pStyle w:val="2"/>
        <w:wordWrap w:val="0"/>
        <w:spacing w:line="600" w:lineRule="exact"/>
        <w:jc w:val="right"/>
        <w:rPr>
          <w:rFonts w:hint="eastAsia" w:ascii="仿宋" w:hAnsi="仿宋" w:eastAsia="仿宋" w:cs="仿宋"/>
        </w:rPr>
        <w:sectPr>
          <w:headerReference r:id="rId12" w:type="default"/>
          <w:footerReference r:id="rId13" w:type="default"/>
          <w:pgSz w:w="11906" w:h="16838"/>
          <w:pgMar w:top="1440" w:right="1800" w:bottom="1440" w:left="1800" w:header="851" w:footer="992" w:gutter="0"/>
          <w:cols w:space="720" w:num="1"/>
          <w:docGrid w:type="lines" w:linePitch="312" w:charSpace="0"/>
        </w:sectPr>
      </w:pPr>
      <w:r>
        <w:rPr>
          <w:rFonts w:hint="eastAsia" w:ascii="宋体" w:hAnsi="宋体" w:cs="宋体"/>
          <w:sz w:val="21"/>
          <w:szCs w:val="21"/>
        </w:rPr>
        <w:t xml:space="preserve">年     月     日 </w:t>
      </w:r>
    </w:p>
    <w:p w14:paraId="1AAF5CFB">
      <w:pPr>
        <w:rPr>
          <w:rFonts w:hint="eastAsia" w:ascii="宋体" w:hAnsi="宋体" w:cs="宋体"/>
          <w:kern w:val="0"/>
          <w:szCs w:val="21"/>
        </w:rPr>
      </w:pPr>
      <w:r>
        <w:rPr>
          <w:rFonts w:hint="eastAsia" w:ascii="宋体" w:hAnsi="宋体" w:cs="宋体"/>
          <w:kern w:val="0"/>
          <w:szCs w:val="21"/>
        </w:rPr>
        <w:t>8.信息安全承诺书</w:t>
      </w:r>
    </w:p>
    <w:p w14:paraId="4F166BB6">
      <w:pPr>
        <w:jc w:val="center"/>
        <w:rPr>
          <w:b/>
          <w:bCs/>
          <w:sz w:val="30"/>
          <w:szCs w:val="30"/>
        </w:rPr>
      </w:pPr>
      <w:r>
        <w:rPr>
          <w:rFonts w:hint="eastAsia"/>
          <w:b/>
          <w:bCs/>
          <w:sz w:val="30"/>
          <w:szCs w:val="30"/>
        </w:rPr>
        <w:t>信息安全承诺书</w:t>
      </w:r>
    </w:p>
    <w:p w14:paraId="492B688B">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为保证信息安全，维护国家安全和社会稳定，保障公民、法人和其他组织的合法权益，本单位在开展系统建设及运行维护期间，特向贵单位承诺如下事项：</w:t>
      </w:r>
    </w:p>
    <w:p w14:paraId="35D300AC">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一、严格遵守有关国家法律法规。近三年来本单位承担建设和运维的系统或项目未发生过任何网络安全事故及信息安全事故。</w:t>
      </w:r>
    </w:p>
    <w:p w14:paraId="30FCBEC2">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二、严格按照《中华人民共和国保守国家秘密法》《中华人民共和国网络安全法》《中华人民共和国数据安全法》《中华人民共和国密码法》《中华人民共和国个人信息保护法》《中华人民共和国计算机信息系统安全保护条例》《国家信息化领导小组关于加强信息安全保障工作的意见》等相关法律法规和标准规范及参照《信息安全技术网络安全等级保护实施指南》《信息安全技术网络安全等级保护基本要求》开展系统建设和运维工作。</w:t>
      </w:r>
    </w:p>
    <w:p w14:paraId="6161297D">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三、不存在瞒报、漏报、缓报信息安全事件或事故的情况，如发现相关问题，贵单位有权立即终止与本单位签订的《采购合同》，并要求本单位向贵单位支付10万元违约金，违约金不足以弥补贵单位损失的，本单位将继续赔偿。</w:t>
      </w:r>
    </w:p>
    <w:p w14:paraId="04B0B7EF">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四、在开展系统建设和运行维护期间，若本单位承担建设或运维的系统及项目发生信息安全事件或事故，本单位将立即响应在6小时内向贵单位通报，告知真实具体的情况、向贵单位提交应急处置方案并在48小时内控制事态并修复完毕，在事件或事故处理完毕后三个工作日内向贵单位提交事故报告、防止类似事故再次发生的整改措施、预防方案。</w:t>
      </w:r>
    </w:p>
    <w:p w14:paraId="32B95720">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五、如因本单位系统设计缺陷或因操作不当导致的信息安全事件或事故，由本单位承担全部责任，并负责整改到底，贵单位可立即终止与本单位签订的《采购合同》，并要求本单位向贵单位支付20万元违约金，违约金不足以弥补贵单位损失的，本单位将继续赔偿。造成严重事故的，本单位自愿依法承担相应刑事责任或民事责任，并赔偿贵单位因此造成的所有损失。</w:t>
      </w:r>
    </w:p>
    <w:p w14:paraId="3D6D905E">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贵单位既可根据政府有关部门的行政处罚、法院的判决、裁定等有效文书认定本单位是否违反响应文件、《采购合同》的约定及本承诺，也有权通过对贵单位相关人员的调查来认定本单位是否违反响应文件、《采购合同》的约定及本承诺（本单位不会以任何理由否定贵单位的调查结果）。如违反以上承诺，本单位自愿接受依据有关法律规定对本单位进行的严肃处理（包括但不限于实施市场禁入、取消投、中标资格以及终止《采购合同》等），给贵单位造成损失的，本单位将予以全额赔偿。</w:t>
      </w:r>
    </w:p>
    <w:p w14:paraId="3C328873">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本信息安全承诺书为本单位应答此次采购项目正式文件的附件，与其他响应文件具有同等法律效力，经本单位法定代表人/授权委托人签字盖章后立即生效。</w:t>
      </w:r>
    </w:p>
    <w:p w14:paraId="0C540D5E">
      <w:pPr>
        <w:pStyle w:val="3"/>
        <w:spacing w:line="560" w:lineRule="exact"/>
        <w:ind w:firstLine="482"/>
        <w:outlineLvl w:val="9"/>
        <w:rPr>
          <w:rFonts w:hint="eastAsia" w:ascii="宋体" w:hAnsi="宋体" w:cs="宋体"/>
          <w:sz w:val="21"/>
          <w:szCs w:val="21"/>
        </w:rPr>
      </w:pPr>
    </w:p>
    <w:p w14:paraId="773297BF">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 xml:space="preserve">                   投标单位（公章）：</w:t>
      </w:r>
    </w:p>
    <w:p w14:paraId="2AAEF93C">
      <w:pPr>
        <w:pStyle w:val="2"/>
        <w:spacing w:line="560" w:lineRule="exact"/>
        <w:ind w:firstLine="420" w:firstLineChars="200"/>
        <w:rPr>
          <w:rFonts w:hint="eastAsia" w:ascii="宋体" w:hAnsi="宋体" w:cs="宋体"/>
          <w:sz w:val="21"/>
          <w:szCs w:val="21"/>
        </w:rPr>
      </w:pPr>
      <w:r>
        <w:rPr>
          <w:rFonts w:hint="eastAsia" w:ascii="宋体" w:hAnsi="宋体" w:cs="宋体"/>
          <w:sz w:val="21"/>
          <w:szCs w:val="21"/>
        </w:rPr>
        <w:t xml:space="preserve">                   法定代表人/授权代理人（签字）：</w:t>
      </w:r>
    </w:p>
    <w:p w14:paraId="01A5698A">
      <w:pPr>
        <w:pStyle w:val="2"/>
        <w:spacing w:line="560" w:lineRule="exact"/>
        <w:ind w:firstLine="640"/>
        <w:rPr>
          <w:rFonts w:hint="eastAsia" w:ascii="宋体" w:hAnsi="宋体" w:cs="宋体"/>
          <w:sz w:val="21"/>
          <w:szCs w:val="21"/>
        </w:rPr>
      </w:pPr>
      <w:r>
        <w:rPr>
          <w:rFonts w:hint="eastAsia" w:ascii="宋体" w:hAnsi="宋体" w:cs="宋体"/>
          <w:sz w:val="21"/>
          <w:szCs w:val="21"/>
        </w:rPr>
        <w:t xml:space="preserve">                                年    月     日</w:t>
      </w:r>
    </w:p>
    <w:p w14:paraId="23C467E5">
      <w:pPr>
        <w:pStyle w:val="11"/>
        <w:snapToGrid w:val="0"/>
        <w:spacing w:before="295" w:after="295" w:line="400" w:lineRule="exact"/>
        <w:rPr>
          <w:rFonts w:hint="eastAsia" w:hAnsi="宋体" w:cs="宋体"/>
          <w:sz w:val="21"/>
        </w:rPr>
      </w:pPr>
    </w:p>
    <w:p w14:paraId="48010937">
      <w:pPr>
        <w:pStyle w:val="11"/>
        <w:snapToGrid w:val="0"/>
        <w:spacing w:before="295" w:after="295" w:line="400" w:lineRule="exact"/>
        <w:rPr>
          <w:rFonts w:hint="eastAsia" w:hAnsi="宋体" w:cs="宋体"/>
          <w:sz w:val="21"/>
        </w:rPr>
      </w:pPr>
    </w:p>
    <w:p w14:paraId="4B0C72C0">
      <w:pPr>
        <w:pStyle w:val="11"/>
        <w:snapToGrid w:val="0"/>
        <w:spacing w:before="295" w:after="295" w:line="400" w:lineRule="exact"/>
        <w:rPr>
          <w:rFonts w:hint="eastAsia" w:hAnsi="宋体" w:cs="宋体"/>
          <w:sz w:val="21"/>
        </w:rPr>
      </w:pPr>
    </w:p>
    <w:p w14:paraId="338063DD">
      <w:pPr>
        <w:rPr>
          <w:rFonts w:hint="eastAsia" w:hAnsi="宋体" w:cs="宋体"/>
          <w:b/>
          <w:bCs/>
        </w:rPr>
      </w:pPr>
      <w:bookmarkStart w:id="189" w:name="_Toc25367"/>
      <w:bookmarkStart w:id="190" w:name="_Toc99033105"/>
      <w:bookmarkStart w:id="191" w:name="_Toc19686839"/>
      <w:r>
        <w:rPr>
          <w:rFonts w:hint="eastAsia" w:hAnsi="宋体" w:cs="宋体"/>
          <w:b/>
          <w:bCs/>
        </w:rPr>
        <w:br w:type="page"/>
      </w:r>
    </w:p>
    <w:p w14:paraId="719F74BA">
      <w:pPr>
        <w:pStyle w:val="11"/>
        <w:spacing w:line="400" w:lineRule="exact"/>
        <w:jc w:val="center"/>
        <w:outlineLvl w:val="1"/>
        <w:rPr>
          <w:rFonts w:hint="eastAsia" w:hAnsi="宋体" w:cs="宋体"/>
          <w:b/>
          <w:bCs/>
          <w:sz w:val="21"/>
        </w:rPr>
      </w:pPr>
      <w:r>
        <w:rPr>
          <w:rFonts w:hint="eastAsia" w:hAnsi="宋体" w:cs="宋体"/>
          <w:b/>
          <w:bCs/>
          <w:sz w:val="21"/>
        </w:rPr>
        <w:t>第四节 技术文件格式</w:t>
      </w:r>
      <w:bookmarkEnd w:id="189"/>
      <w:bookmarkEnd w:id="190"/>
      <w:bookmarkEnd w:id="191"/>
    </w:p>
    <w:p w14:paraId="08B809AA">
      <w:pPr>
        <w:pStyle w:val="11"/>
        <w:spacing w:line="400" w:lineRule="exact"/>
        <w:rPr>
          <w:rFonts w:hint="eastAsia" w:hAnsi="宋体" w:cs="宋体"/>
          <w:sz w:val="21"/>
        </w:rPr>
      </w:pPr>
      <w:r>
        <w:rPr>
          <w:rFonts w:hint="eastAsia" w:hAnsi="宋体" w:cs="宋体"/>
          <w:sz w:val="21"/>
        </w:rPr>
        <w:t xml:space="preserve"> 1.技术文件封面格式：</w:t>
      </w:r>
    </w:p>
    <w:p w14:paraId="1D783D84">
      <w:pPr>
        <w:snapToGrid w:val="0"/>
        <w:spacing w:before="166" w:beforeLines="50" w:after="50" w:line="400" w:lineRule="exact"/>
        <w:rPr>
          <w:rFonts w:hint="eastAsia" w:ascii="宋体" w:hAnsi="宋体" w:cs="宋体"/>
          <w:szCs w:val="21"/>
        </w:rPr>
      </w:pPr>
    </w:p>
    <w:p w14:paraId="0285DE4C">
      <w:pPr>
        <w:snapToGrid w:val="0"/>
        <w:spacing w:before="166" w:beforeLines="50" w:after="50" w:line="400" w:lineRule="exact"/>
        <w:jc w:val="center"/>
        <w:rPr>
          <w:rFonts w:hint="eastAsia" w:ascii="宋体" w:hAnsi="宋体" w:cs="宋体"/>
          <w:bCs/>
          <w:szCs w:val="21"/>
        </w:rPr>
      </w:pPr>
      <w:r>
        <w:rPr>
          <w:rFonts w:hint="eastAsia" w:ascii="宋体" w:hAnsi="宋体" w:cs="宋体"/>
          <w:bCs/>
          <w:szCs w:val="21"/>
        </w:rPr>
        <w:t>电子投标文件</w:t>
      </w:r>
    </w:p>
    <w:p w14:paraId="4C733422">
      <w:pPr>
        <w:snapToGrid w:val="0"/>
        <w:spacing w:before="166" w:beforeLines="50" w:after="50" w:line="400" w:lineRule="exact"/>
        <w:rPr>
          <w:rFonts w:hint="eastAsia" w:ascii="宋体" w:hAnsi="宋体" w:cs="宋体"/>
          <w:szCs w:val="21"/>
        </w:rPr>
      </w:pPr>
    </w:p>
    <w:p w14:paraId="75D8571C">
      <w:pPr>
        <w:snapToGrid w:val="0"/>
        <w:spacing w:before="166" w:beforeLines="50" w:after="50" w:line="400" w:lineRule="exact"/>
        <w:jc w:val="center"/>
        <w:rPr>
          <w:rFonts w:hint="eastAsia" w:ascii="宋体" w:hAnsi="宋体" w:cs="宋体"/>
          <w:b/>
          <w:szCs w:val="21"/>
        </w:rPr>
      </w:pPr>
      <w:r>
        <w:rPr>
          <w:rFonts w:hint="eastAsia" w:ascii="宋体" w:hAnsi="宋体" w:cs="宋体"/>
          <w:b/>
          <w:szCs w:val="21"/>
        </w:rPr>
        <w:t>技术文件（封面）</w:t>
      </w:r>
    </w:p>
    <w:p w14:paraId="58AAD133">
      <w:pPr>
        <w:snapToGrid w:val="0"/>
        <w:spacing w:before="166" w:beforeLines="50" w:after="50" w:line="400" w:lineRule="exact"/>
        <w:rPr>
          <w:rFonts w:hint="eastAsia" w:ascii="宋体" w:hAnsi="宋体" w:cs="宋体"/>
          <w:bCs/>
          <w:szCs w:val="21"/>
        </w:rPr>
      </w:pPr>
    </w:p>
    <w:p w14:paraId="3B19A0FA">
      <w:pPr>
        <w:snapToGrid w:val="0"/>
        <w:spacing w:before="166" w:beforeLines="50" w:after="50" w:line="400" w:lineRule="exact"/>
        <w:rPr>
          <w:rFonts w:hint="eastAsia" w:ascii="宋体" w:hAnsi="宋体" w:cs="宋体"/>
          <w:b/>
          <w:bCs/>
          <w:szCs w:val="21"/>
        </w:rPr>
      </w:pPr>
    </w:p>
    <w:p w14:paraId="74FCBA1F">
      <w:pPr>
        <w:snapToGrid w:val="0"/>
        <w:spacing w:before="166" w:beforeLines="50" w:after="50" w:line="400" w:lineRule="exact"/>
        <w:rPr>
          <w:rFonts w:hint="eastAsia" w:ascii="宋体" w:hAnsi="宋体" w:cs="宋体"/>
          <w:bCs/>
          <w:szCs w:val="21"/>
        </w:rPr>
      </w:pPr>
    </w:p>
    <w:p w14:paraId="6548D553">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 xml:space="preserve">项目名称： </w:t>
      </w:r>
    </w:p>
    <w:p w14:paraId="008F34F3">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 xml:space="preserve">项目编号： </w:t>
      </w:r>
    </w:p>
    <w:p w14:paraId="2520BEBD">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所投分标：</w:t>
      </w:r>
    </w:p>
    <w:p w14:paraId="23E77795">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投标人名称：</w:t>
      </w:r>
    </w:p>
    <w:p w14:paraId="52EF355C">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投标人地址：</w:t>
      </w:r>
    </w:p>
    <w:p w14:paraId="10823DAB">
      <w:pPr>
        <w:snapToGrid w:val="0"/>
        <w:spacing w:before="166" w:beforeLines="50" w:after="50" w:line="400" w:lineRule="exact"/>
        <w:ind w:firstLine="645"/>
        <w:jc w:val="center"/>
        <w:rPr>
          <w:rFonts w:hint="eastAsia" w:ascii="宋体" w:hAnsi="宋体" w:cs="宋体"/>
          <w:szCs w:val="21"/>
        </w:rPr>
      </w:pPr>
      <w:r>
        <w:rPr>
          <w:rFonts w:hint="eastAsia" w:ascii="宋体" w:hAnsi="宋体" w:cs="宋体"/>
          <w:szCs w:val="21"/>
        </w:rPr>
        <w:t xml:space="preserve">                        年    月    日</w:t>
      </w:r>
    </w:p>
    <w:p w14:paraId="17DB0619">
      <w:pPr>
        <w:snapToGrid w:val="0"/>
        <w:spacing w:before="166" w:beforeLines="50" w:after="50" w:line="400" w:lineRule="exact"/>
        <w:ind w:firstLine="645"/>
        <w:jc w:val="center"/>
        <w:rPr>
          <w:rFonts w:hint="eastAsia" w:ascii="宋体" w:hAnsi="宋体" w:cs="宋体"/>
          <w:szCs w:val="21"/>
        </w:rPr>
      </w:pPr>
    </w:p>
    <w:p w14:paraId="16F243E6">
      <w:pPr>
        <w:pStyle w:val="11"/>
        <w:spacing w:line="400" w:lineRule="exact"/>
        <w:rPr>
          <w:rFonts w:hint="eastAsia" w:hAnsi="宋体" w:cs="宋体"/>
          <w:b/>
          <w:sz w:val="21"/>
        </w:rPr>
      </w:pPr>
      <w:r>
        <w:rPr>
          <w:rFonts w:hint="eastAsia" w:hAnsi="宋体" w:cs="宋体"/>
          <w:b/>
          <w:bCs/>
          <w:sz w:val="21"/>
        </w:rPr>
        <w:br w:type="page"/>
      </w:r>
      <w:r>
        <w:rPr>
          <w:rFonts w:hint="eastAsia" w:hAnsi="宋体" w:cs="宋体"/>
          <w:sz w:val="21"/>
        </w:rPr>
        <w:t>2.技术文件目录</w:t>
      </w:r>
    </w:p>
    <w:p w14:paraId="3173F82F">
      <w:pPr>
        <w:spacing w:line="400" w:lineRule="exact"/>
        <w:rPr>
          <w:rFonts w:hint="eastAsia" w:ascii="宋体" w:hAnsi="宋体" w:cs="宋体"/>
          <w:szCs w:val="21"/>
        </w:rPr>
      </w:pPr>
    </w:p>
    <w:p w14:paraId="49868693">
      <w:pPr>
        <w:spacing w:line="400" w:lineRule="exact"/>
        <w:rPr>
          <w:rFonts w:hint="eastAsia" w:ascii="宋体" w:hAnsi="宋体" w:cs="宋体"/>
          <w:b/>
          <w:bCs/>
          <w:szCs w:val="21"/>
        </w:rPr>
      </w:pPr>
      <w:r>
        <w:rPr>
          <w:rFonts w:hint="eastAsia" w:ascii="宋体" w:hAnsi="宋体" w:cs="宋体"/>
          <w:szCs w:val="21"/>
        </w:rPr>
        <w:t>根据招标文件“投标人须知前附表”第13.1条规定及投标人提供的材料自行编写目录。</w:t>
      </w:r>
    </w:p>
    <w:p w14:paraId="5B9D2AA6">
      <w:pPr>
        <w:snapToGrid w:val="0"/>
        <w:spacing w:before="166" w:beforeLines="50" w:after="50" w:line="400" w:lineRule="exact"/>
        <w:ind w:left="143" w:leftChars="68" w:firstLine="413" w:firstLineChars="196"/>
        <w:jc w:val="left"/>
        <w:rPr>
          <w:rFonts w:hint="eastAsia" w:ascii="宋体" w:hAnsi="宋体" w:cs="宋体"/>
          <w:b/>
          <w:szCs w:val="21"/>
        </w:rPr>
      </w:pPr>
    </w:p>
    <w:p w14:paraId="7FDF7D47">
      <w:pPr>
        <w:pStyle w:val="11"/>
        <w:spacing w:line="400" w:lineRule="exact"/>
        <w:rPr>
          <w:rFonts w:hint="eastAsia" w:hAnsi="宋体" w:cs="宋体"/>
          <w:b/>
          <w:sz w:val="21"/>
        </w:rPr>
      </w:pPr>
      <w:r>
        <w:rPr>
          <w:rFonts w:hint="eastAsia" w:hAnsi="宋体" w:cs="宋体"/>
          <w:b/>
          <w:sz w:val="21"/>
        </w:rPr>
        <w:br w:type="page"/>
      </w:r>
      <w:r>
        <w:rPr>
          <w:rFonts w:hint="eastAsia" w:hAnsi="宋体" w:cs="宋体"/>
          <w:sz w:val="21"/>
        </w:rPr>
        <w:t>3.技术需求偏离表格式</w:t>
      </w:r>
    </w:p>
    <w:p w14:paraId="2BCF5D8A">
      <w:pPr>
        <w:pStyle w:val="11"/>
        <w:spacing w:line="400" w:lineRule="exact"/>
        <w:jc w:val="center"/>
        <w:rPr>
          <w:rFonts w:hint="eastAsia" w:hAnsi="宋体" w:cs="宋体"/>
          <w:b/>
          <w:bCs/>
          <w:sz w:val="21"/>
        </w:rPr>
      </w:pPr>
      <w:r>
        <w:rPr>
          <w:rFonts w:hint="eastAsia" w:hAnsi="宋体" w:cs="宋体"/>
          <w:b/>
          <w:bCs/>
          <w:sz w:val="21"/>
        </w:rPr>
        <w:t>技术需求偏离表</w:t>
      </w:r>
    </w:p>
    <w:p w14:paraId="67468107">
      <w:pPr>
        <w:pStyle w:val="11"/>
        <w:spacing w:line="400" w:lineRule="exact"/>
        <w:ind w:firstLine="420" w:firstLineChars="200"/>
        <w:rPr>
          <w:rFonts w:hint="eastAsia" w:hAnsi="宋体" w:cs="宋体"/>
          <w:sz w:val="21"/>
        </w:rPr>
      </w:pPr>
    </w:p>
    <w:p w14:paraId="30C3027B">
      <w:pPr>
        <w:spacing w:line="400" w:lineRule="exact"/>
        <w:rPr>
          <w:rFonts w:hint="eastAsia" w:ascii="宋体" w:hAnsi="宋体" w:cs="宋体"/>
          <w:szCs w:val="21"/>
        </w:rPr>
      </w:pPr>
    </w:p>
    <w:p w14:paraId="35A3CB3D">
      <w:pPr>
        <w:spacing w:line="400" w:lineRule="exact"/>
        <w:rPr>
          <w:rFonts w:hint="eastAsia" w:ascii="宋体" w:hAnsi="宋体" w:cs="宋体"/>
          <w:szCs w:val="21"/>
          <w:u w:val="single"/>
        </w:rPr>
      </w:pPr>
      <w:r>
        <w:rPr>
          <w:rFonts w:hint="eastAsia" w:ascii="宋体" w:hAnsi="宋体" w:cs="宋体"/>
          <w:szCs w:val="21"/>
        </w:rPr>
        <w:t>项目编号：</w:t>
      </w:r>
    </w:p>
    <w:p w14:paraId="14437728">
      <w:pPr>
        <w:spacing w:line="400" w:lineRule="exact"/>
        <w:rPr>
          <w:rFonts w:hint="eastAsia" w:ascii="宋体" w:hAnsi="宋体" w:cs="宋体"/>
          <w:szCs w:val="21"/>
        </w:rPr>
      </w:pPr>
      <w:r>
        <w:rPr>
          <w:rFonts w:hint="eastAsia" w:ascii="宋体" w:hAnsi="宋体" w:cs="宋体"/>
          <w:szCs w:val="21"/>
        </w:rPr>
        <w:t>项目名称：</w:t>
      </w:r>
    </w:p>
    <w:p w14:paraId="5CF0A42D">
      <w:pPr>
        <w:spacing w:line="400" w:lineRule="exact"/>
        <w:rPr>
          <w:rFonts w:hint="eastAsia" w:ascii="宋体" w:hAnsi="宋体" w:cs="宋体"/>
          <w:szCs w:val="21"/>
          <w:u w:val="single"/>
        </w:rPr>
      </w:pPr>
      <w:r>
        <w:rPr>
          <w:rFonts w:hint="eastAsia" w:ascii="宋体" w:hAnsi="宋体" w:cs="宋体"/>
          <w:szCs w:val="21"/>
        </w:rPr>
        <w:t>分标号：</w:t>
      </w:r>
      <w:r>
        <w:rPr>
          <w:rFonts w:hint="eastAsia" w:ascii="宋体" w:hAnsi="宋体" w:cs="宋体"/>
          <w:szCs w:val="21"/>
          <w:u w:val="single"/>
        </w:rPr>
        <w:t>（有分标时填写）</w:t>
      </w:r>
    </w:p>
    <w:tbl>
      <w:tblPr>
        <w:tblStyle w:val="18"/>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2018"/>
      </w:tblGrid>
      <w:tr w14:paraId="7C52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0C75E9A8">
            <w:pPr>
              <w:spacing w:line="400" w:lineRule="exact"/>
              <w:jc w:val="center"/>
              <w:rPr>
                <w:rFonts w:hint="eastAsia" w:ascii="宋体" w:hAnsi="宋体" w:cs="宋体"/>
                <w:szCs w:val="21"/>
              </w:rPr>
            </w:pPr>
            <w:r>
              <w:rPr>
                <w:rFonts w:hint="eastAsia" w:ascii="宋体" w:hAnsi="宋体" w:cs="宋体"/>
                <w:szCs w:val="21"/>
              </w:rPr>
              <w:t>项号</w:t>
            </w:r>
          </w:p>
        </w:tc>
        <w:tc>
          <w:tcPr>
            <w:tcW w:w="2143" w:type="dxa"/>
            <w:vAlign w:val="center"/>
          </w:tcPr>
          <w:p w14:paraId="6C295816">
            <w:pPr>
              <w:spacing w:line="400" w:lineRule="exact"/>
              <w:jc w:val="center"/>
              <w:rPr>
                <w:rFonts w:hint="eastAsia" w:ascii="宋体" w:hAnsi="宋体" w:cs="宋体"/>
                <w:szCs w:val="21"/>
              </w:rPr>
            </w:pPr>
            <w:r>
              <w:rPr>
                <w:rFonts w:hint="eastAsia" w:ascii="宋体" w:hAnsi="宋体" w:cs="宋体"/>
                <w:szCs w:val="21"/>
              </w:rPr>
              <w:t>标的的名称</w:t>
            </w:r>
          </w:p>
        </w:tc>
        <w:tc>
          <w:tcPr>
            <w:tcW w:w="1834" w:type="dxa"/>
            <w:vAlign w:val="center"/>
          </w:tcPr>
          <w:p w14:paraId="690EA027">
            <w:pPr>
              <w:spacing w:line="400" w:lineRule="exact"/>
              <w:jc w:val="center"/>
              <w:rPr>
                <w:rFonts w:hint="eastAsia" w:ascii="宋体" w:hAnsi="宋体" w:cs="宋体"/>
                <w:szCs w:val="21"/>
              </w:rPr>
            </w:pPr>
            <w:r>
              <w:rPr>
                <w:rFonts w:hint="eastAsia" w:ascii="宋体" w:hAnsi="宋体" w:cs="宋体"/>
                <w:kern w:val="0"/>
                <w:szCs w:val="21"/>
              </w:rPr>
              <w:t>招标文件</w:t>
            </w:r>
            <w:r>
              <w:rPr>
                <w:rFonts w:hint="eastAsia" w:ascii="宋体" w:hAnsi="宋体" w:cs="宋体"/>
                <w:szCs w:val="21"/>
              </w:rPr>
              <w:t>技术要求</w:t>
            </w:r>
          </w:p>
        </w:tc>
        <w:tc>
          <w:tcPr>
            <w:tcW w:w="2181" w:type="dxa"/>
            <w:vAlign w:val="center"/>
          </w:tcPr>
          <w:p w14:paraId="3E580E6C">
            <w:pPr>
              <w:spacing w:line="400" w:lineRule="exact"/>
              <w:jc w:val="center"/>
              <w:rPr>
                <w:rFonts w:hint="eastAsia" w:ascii="宋体" w:hAnsi="宋体" w:cs="宋体"/>
                <w:szCs w:val="21"/>
              </w:rPr>
            </w:pPr>
            <w:r>
              <w:rPr>
                <w:rFonts w:hint="eastAsia" w:ascii="宋体" w:hAnsi="宋体" w:cs="宋体"/>
                <w:kern w:val="0"/>
                <w:szCs w:val="21"/>
              </w:rPr>
              <w:t>投标人的投标</w:t>
            </w:r>
            <w:r>
              <w:rPr>
                <w:rFonts w:hint="eastAsia" w:ascii="宋体" w:hAnsi="宋体" w:cs="宋体"/>
                <w:szCs w:val="21"/>
              </w:rPr>
              <w:t>响应</w:t>
            </w:r>
          </w:p>
        </w:tc>
        <w:tc>
          <w:tcPr>
            <w:tcW w:w="2018" w:type="dxa"/>
            <w:vAlign w:val="center"/>
          </w:tcPr>
          <w:p w14:paraId="12265FBC">
            <w:pPr>
              <w:spacing w:line="400" w:lineRule="exact"/>
              <w:jc w:val="center"/>
              <w:rPr>
                <w:rFonts w:hint="eastAsia" w:ascii="宋体" w:hAnsi="宋体" w:cs="宋体"/>
                <w:szCs w:val="21"/>
              </w:rPr>
            </w:pPr>
            <w:r>
              <w:rPr>
                <w:rFonts w:hint="eastAsia" w:ascii="宋体" w:hAnsi="宋体" w:cs="宋体"/>
                <w:szCs w:val="21"/>
              </w:rPr>
              <w:t>偏离说明</w:t>
            </w:r>
          </w:p>
        </w:tc>
      </w:tr>
      <w:tr w14:paraId="0694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359703AA">
            <w:pPr>
              <w:spacing w:line="400" w:lineRule="exact"/>
              <w:jc w:val="center"/>
              <w:rPr>
                <w:rFonts w:hint="eastAsia" w:ascii="宋体" w:hAnsi="宋体" w:cs="宋体"/>
                <w:szCs w:val="21"/>
              </w:rPr>
            </w:pPr>
          </w:p>
        </w:tc>
        <w:tc>
          <w:tcPr>
            <w:tcW w:w="2143" w:type="dxa"/>
            <w:vAlign w:val="center"/>
          </w:tcPr>
          <w:p w14:paraId="59AA0CE1">
            <w:pPr>
              <w:spacing w:line="400" w:lineRule="exact"/>
              <w:jc w:val="center"/>
              <w:rPr>
                <w:rFonts w:hint="eastAsia" w:ascii="宋体" w:hAnsi="宋体" w:cs="宋体"/>
                <w:szCs w:val="21"/>
              </w:rPr>
            </w:pPr>
          </w:p>
        </w:tc>
        <w:tc>
          <w:tcPr>
            <w:tcW w:w="1834" w:type="dxa"/>
            <w:vAlign w:val="center"/>
          </w:tcPr>
          <w:p w14:paraId="22C6A365">
            <w:pPr>
              <w:spacing w:line="400" w:lineRule="exact"/>
              <w:jc w:val="center"/>
              <w:rPr>
                <w:rFonts w:hint="eastAsia" w:ascii="宋体" w:hAnsi="宋体" w:cs="宋体"/>
                <w:szCs w:val="21"/>
              </w:rPr>
            </w:pPr>
          </w:p>
        </w:tc>
        <w:tc>
          <w:tcPr>
            <w:tcW w:w="2181" w:type="dxa"/>
            <w:vAlign w:val="center"/>
          </w:tcPr>
          <w:p w14:paraId="7737E0E3">
            <w:pPr>
              <w:spacing w:line="400" w:lineRule="exact"/>
              <w:jc w:val="center"/>
              <w:rPr>
                <w:rFonts w:hint="eastAsia" w:ascii="宋体" w:hAnsi="宋体" w:cs="宋体"/>
                <w:szCs w:val="21"/>
              </w:rPr>
            </w:pPr>
          </w:p>
        </w:tc>
        <w:tc>
          <w:tcPr>
            <w:tcW w:w="2018" w:type="dxa"/>
            <w:vAlign w:val="center"/>
          </w:tcPr>
          <w:p w14:paraId="0EF8852A">
            <w:pPr>
              <w:spacing w:line="400" w:lineRule="exact"/>
              <w:jc w:val="center"/>
              <w:rPr>
                <w:rFonts w:hint="eastAsia" w:ascii="宋体" w:hAnsi="宋体" w:cs="宋体"/>
                <w:szCs w:val="21"/>
              </w:rPr>
            </w:pPr>
          </w:p>
        </w:tc>
      </w:tr>
      <w:tr w14:paraId="7792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66D3C512">
            <w:pPr>
              <w:spacing w:line="400" w:lineRule="exact"/>
              <w:jc w:val="center"/>
              <w:rPr>
                <w:rFonts w:hint="eastAsia" w:ascii="宋体" w:hAnsi="宋体" w:cs="宋体"/>
                <w:szCs w:val="21"/>
              </w:rPr>
            </w:pPr>
          </w:p>
        </w:tc>
        <w:tc>
          <w:tcPr>
            <w:tcW w:w="2143" w:type="dxa"/>
            <w:vAlign w:val="center"/>
          </w:tcPr>
          <w:p w14:paraId="2CB8721D">
            <w:pPr>
              <w:spacing w:line="400" w:lineRule="exact"/>
              <w:jc w:val="center"/>
              <w:rPr>
                <w:rFonts w:hint="eastAsia" w:ascii="宋体" w:hAnsi="宋体" w:cs="宋体"/>
                <w:szCs w:val="21"/>
              </w:rPr>
            </w:pPr>
          </w:p>
        </w:tc>
        <w:tc>
          <w:tcPr>
            <w:tcW w:w="1834" w:type="dxa"/>
            <w:vAlign w:val="center"/>
          </w:tcPr>
          <w:p w14:paraId="3EB443C1">
            <w:pPr>
              <w:spacing w:line="400" w:lineRule="exact"/>
              <w:jc w:val="center"/>
              <w:rPr>
                <w:rFonts w:hint="eastAsia" w:ascii="宋体" w:hAnsi="宋体" w:cs="宋体"/>
                <w:szCs w:val="21"/>
              </w:rPr>
            </w:pPr>
          </w:p>
        </w:tc>
        <w:tc>
          <w:tcPr>
            <w:tcW w:w="2181" w:type="dxa"/>
            <w:vAlign w:val="center"/>
          </w:tcPr>
          <w:p w14:paraId="4F5A2B44">
            <w:pPr>
              <w:spacing w:line="400" w:lineRule="exact"/>
              <w:jc w:val="center"/>
              <w:rPr>
                <w:rFonts w:hint="eastAsia" w:ascii="宋体" w:hAnsi="宋体" w:cs="宋体"/>
                <w:szCs w:val="21"/>
              </w:rPr>
            </w:pPr>
          </w:p>
        </w:tc>
        <w:tc>
          <w:tcPr>
            <w:tcW w:w="2018" w:type="dxa"/>
            <w:vAlign w:val="center"/>
          </w:tcPr>
          <w:p w14:paraId="5D5EF00B">
            <w:pPr>
              <w:spacing w:line="400" w:lineRule="exact"/>
              <w:jc w:val="center"/>
              <w:rPr>
                <w:rFonts w:hint="eastAsia" w:ascii="宋体" w:hAnsi="宋体" w:cs="宋体"/>
                <w:szCs w:val="21"/>
              </w:rPr>
            </w:pPr>
          </w:p>
        </w:tc>
      </w:tr>
      <w:tr w14:paraId="44C9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789AFAFA">
            <w:pPr>
              <w:spacing w:line="400" w:lineRule="exact"/>
              <w:jc w:val="center"/>
              <w:rPr>
                <w:rFonts w:hint="eastAsia" w:ascii="宋体" w:hAnsi="宋体" w:cs="宋体"/>
                <w:szCs w:val="21"/>
              </w:rPr>
            </w:pPr>
          </w:p>
        </w:tc>
        <w:tc>
          <w:tcPr>
            <w:tcW w:w="2143" w:type="dxa"/>
            <w:vAlign w:val="center"/>
          </w:tcPr>
          <w:p w14:paraId="030D8E45">
            <w:pPr>
              <w:spacing w:line="400" w:lineRule="exact"/>
              <w:jc w:val="center"/>
              <w:rPr>
                <w:rFonts w:hint="eastAsia" w:ascii="宋体" w:hAnsi="宋体" w:cs="宋体"/>
                <w:szCs w:val="21"/>
              </w:rPr>
            </w:pPr>
          </w:p>
        </w:tc>
        <w:tc>
          <w:tcPr>
            <w:tcW w:w="1834" w:type="dxa"/>
            <w:vAlign w:val="center"/>
          </w:tcPr>
          <w:p w14:paraId="6F4336D2">
            <w:pPr>
              <w:spacing w:line="400" w:lineRule="exact"/>
              <w:jc w:val="center"/>
              <w:rPr>
                <w:rFonts w:hint="eastAsia" w:ascii="宋体" w:hAnsi="宋体" w:cs="宋体"/>
                <w:szCs w:val="21"/>
              </w:rPr>
            </w:pPr>
          </w:p>
        </w:tc>
        <w:tc>
          <w:tcPr>
            <w:tcW w:w="2181" w:type="dxa"/>
            <w:vAlign w:val="center"/>
          </w:tcPr>
          <w:p w14:paraId="0E78FFA3">
            <w:pPr>
              <w:spacing w:line="400" w:lineRule="exact"/>
              <w:jc w:val="center"/>
              <w:rPr>
                <w:rFonts w:hint="eastAsia" w:ascii="宋体" w:hAnsi="宋体" w:cs="宋体"/>
                <w:szCs w:val="21"/>
              </w:rPr>
            </w:pPr>
          </w:p>
        </w:tc>
        <w:tc>
          <w:tcPr>
            <w:tcW w:w="2018" w:type="dxa"/>
            <w:vAlign w:val="center"/>
          </w:tcPr>
          <w:p w14:paraId="20636AE3">
            <w:pPr>
              <w:spacing w:line="400" w:lineRule="exact"/>
              <w:jc w:val="center"/>
              <w:rPr>
                <w:rFonts w:hint="eastAsia" w:ascii="宋体" w:hAnsi="宋体" w:cs="宋体"/>
                <w:szCs w:val="21"/>
              </w:rPr>
            </w:pPr>
          </w:p>
        </w:tc>
      </w:tr>
      <w:tr w14:paraId="27D4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75FEEFBB">
            <w:pPr>
              <w:spacing w:line="400" w:lineRule="exact"/>
              <w:jc w:val="center"/>
              <w:rPr>
                <w:rFonts w:hint="eastAsia" w:ascii="宋体" w:hAnsi="宋体" w:cs="宋体"/>
                <w:szCs w:val="21"/>
              </w:rPr>
            </w:pPr>
          </w:p>
        </w:tc>
        <w:tc>
          <w:tcPr>
            <w:tcW w:w="2143" w:type="dxa"/>
            <w:vAlign w:val="center"/>
          </w:tcPr>
          <w:p w14:paraId="4B6A1244">
            <w:pPr>
              <w:spacing w:line="400" w:lineRule="exact"/>
              <w:jc w:val="center"/>
              <w:rPr>
                <w:rFonts w:hint="eastAsia" w:ascii="宋体" w:hAnsi="宋体" w:cs="宋体"/>
                <w:szCs w:val="21"/>
              </w:rPr>
            </w:pPr>
          </w:p>
        </w:tc>
        <w:tc>
          <w:tcPr>
            <w:tcW w:w="1834" w:type="dxa"/>
            <w:vAlign w:val="center"/>
          </w:tcPr>
          <w:p w14:paraId="4BEC65EC">
            <w:pPr>
              <w:spacing w:line="400" w:lineRule="exact"/>
              <w:jc w:val="center"/>
              <w:rPr>
                <w:rFonts w:hint="eastAsia" w:ascii="宋体" w:hAnsi="宋体" w:cs="宋体"/>
                <w:szCs w:val="21"/>
              </w:rPr>
            </w:pPr>
          </w:p>
        </w:tc>
        <w:tc>
          <w:tcPr>
            <w:tcW w:w="2181" w:type="dxa"/>
            <w:vAlign w:val="center"/>
          </w:tcPr>
          <w:p w14:paraId="07FBC710">
            <w:pPr>
              <w:spacing w:line="400" w:lineRule="exact"/>
              <w:jc w:val="center"/>
              <w:rPr>
                <w:rFonts w:hint="eastAsia" w:ascii="宋体" w:hAnsi="宋体" w:cs="宋体"/>
                <w:szCs w:val="21"/>
              </w:rPr>
            </w:pPr>
          </w:p>
        </w:tc>
        <w:tc>
          <w:tcPr>
            <w:tcW w:w="2018" w:type="dxa"/>
            <w:vAlign w:val="center"/>
          </w:tcPr>
          <w:p w14:paraId="7C1D60BC">
            <w:pPr>
              <w:spacing w:line="400" w:lineRule="exact"/>
              <w:jc w:val="center"/>
              <w:rPr>
                <w:rFonts w:hint="eastAsia" w:ascii="宋体" w:hAnsi="宋体" w:cs="宋体"/>
                <w:szCs w:val="21"/>
              </w:rPr>
            </w:pPr>
          </w:p>
        </w:tc>
      </w:tr>
      <w:tr w14:paraId="666F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73F51647">
            <w:pPr>
              <w:spacing w:line="400" w:lineRule="exact"/>
              <w:jc w:val="center"/>
              <w:rPr>
                <w:rFonts w:hint="eastAsia" w:ascii="宋体" w:hAnsi="宋体" w:cs="宋体"/>
                <w:szCs w:val="21"/>
              </w:rPr>
            </w:pPr>
          </w:p>
        </w:tc>
        <w:tc>
          <w:tcPr>
            <w:tcW w:w="2143" w:type="dxa"/>
            <w:vAlign w:val="center"/>
          </w:tcPr>
          <w:p w14:paraId="5836A4D4">
            <w:pPr>
              <w:spacing w:line="400" w:lineRule="exact"/>
              <w:jc w:val="center"/>
              <w:rPr>
                <w:rFonts w:hint="eastAsia" w:ascii="宋体" w:hAnsi="宋体" w:cs="宋体"/>
                <w:szCs w:val="21"/>
              </w:rPr>
            </w:pPr>
          </w:p>
        </w:tc>
        <w:tc>
          <w:tcPr>
            <w:tcW w:w="1834" w:type="dxa"/>
            <w:vAlign w:val="center"/>
          </w:tcPr>
          <w:p w14:paraId="34EC5764">
            <w:pPr>
              <w:spacing w:line="400" w:lineRule="exact"/>
              <w:jc w:val="center"/>
              <w:rPr>
                <w:rFonts w:hint="eastAsia" w:ascii="宋体" w:hAnsi="宋体" w:cs="宋体"/>
                <w:szCs w:val="21"/>
              </w:rPr>
            </w:pPr>
          </w:p>
        </w:tc>
        <w:tc>
          <w:tcPr>
            <w:tcW w:w="2181" w:type="dxa"/>
            <w:vAlign w:val="center"/>
          </w:tcPr>
          <w:p w14:paraId="50F85203">
            <w:pPr>
              <w:spacing w:line="400" w:lineRule="exact"/>
              <w:jc w:val="center"/>
              <w:rPr>
                <w:rFonts w:hint="eastAsia" w:ascii="宋体" w:hAnsi="宋体" w:cs="宋体"/>
                <w:szCs w:val="21"/>
              </w:rPr>
            </w:pPr>
          </w:p>
        </w:tc>
        <w:tc>
          <w:tcPr>
            <w:tcW w:w="2018" w:type="dxa"/>
            <w:vAlign w:val="center"/>
          </w:tcPr>
          <w:p w14:paraId="65BF70ED">
            <w:pPr>
              <w:spacing w:line="400" w:lineRule="exact"/>
              <w:jc w:val="center"/>
              <w:rPr>
                <w:rFonts w:hint="eastAsia" w:ascii="宋体" w:hAnsi="宋体" w:cs="宋体"/>
                <w:szCs w:val="21"/>
              </w:rPr>
            </w:pPr>
          </w:p>
        </w:tc>
      </w:tr>
      <w:tr w14:paraId="04F9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407B9A9F">
            <w:pPr>
              <w:spacing w:line="400" w:lineRule="exact"/>
              <w:jc w:val="center"/>
              <w:rPr>
                <w:rFonts w:hint="eastAsia" w:ascii="宋体" w:hAnsi="宋体" w:cs="宋体"/>
                <w:szCs w:val="21"/>
              </w:rPr>
            </w:pPr>
          </w:p>
        </w:tc>
        <w:tc>
          <w:tcPr>
            <w:tcW w:w="2143" w:type="dxa"/>
            <w:vAlign w:val="center"/>
          </w:tcPr>
          <w:p w14:paraId="42DA7565">
            <w:pPr>
              <w:spacing w:line="400" w:lineRule="exact"/>
              <w:jc w:val="center"/>
              <w:rPr>
                <w:rFonts w:hint="eastAsia" w:ascii="宋体" w:hAnsi="宋体" w:cs="宋体"/>
                <w:szCs w:val="21"/>
              </w:rPr>
            </w:pPr>
          </w:p>
        </w:tc>
        <w:tc>
          <w:tcPr>
            <w:tcW w:w="1834" w:type="dxa"/>
            <w:vAlign w:val="center"/>
          </w:tcPr>
          <w:p w14:paraId="05A5002B">
            <w:pPr>
              <w:spacing w:line="400" w:lineRule="exact"/>
              <w:jc w:val="center"/>
              <w:rPr>
                <w:rFonts w:hint="eastAsia" w:ascii="宋体" w:hAnsi="宋体" w:cs="宋体"/>
                <w:szCs w:val="21"/>
              </w:rPr>
            </w:pPr>
          </w:p>
        </w:tc>
        <w:tc>
          <w:tcPr>
            <w:tcW w:w="2181" w:type="dxa"/>
            <w:vAlign w:val="center"/>
          </w:tcPr>
          <w:p w14:paraId="2766C9D1">
            <w:pPr>
              <w:spacing w:line="400" w:lineRule="exact"/>
              <w:jc w:val="center"/>
              <w:rPr>
                <w:rFonts w:hint="eastAsia" w:ascii="宋体" w:hAnsi="宋体" w:cs="宋体"/>
                <w:szCs w:val="21"/>
              </w:rPr>
            </w:pPr>
          </w:p>
        </w:tc>
        <w:tc>
          <w:tcPr>
            <w:tcW w:w="2018" w:type="dxa"/>
            <w:vAlign w:val="center"/>
          </w:tcPr>
          <w:p w14:paraId="1061A1D3">
            <w:pPr>
              <w:spacing w:line="400" w:lineRule="exact"/>
              <w:jc w:val="center"/>
              <w:rPr>
                <w:rFonts w:hint="eastAsia" w:ascii="宋体" w:hAnsi="宋体" w:cs="宋体"/>
                <w:szCs w:val="21"/>
              </w:rPr>
            </w:pPr>
          </w:p>
        </w:tc>
      </w:tr>
    </w:tbl>
    <w:p w14:paraId="30E825CB">
      <w:pPr>
        <w:pStyle w:val="11"/>
        <w:spacing w:line="400" w:lineRule="exact"/>
        <w:rPr>
          <w:rFonts w:hint="eastAsia" w:hAnsi="宋体" w:cs="宋体"/>
          <w:sz w:val="21"/>
        </w:rPr>
      </w:pPr>
      <w:r>
        <w:rPr>
          <w:rFonts w:hint="eastAsia" w:hAnsi="宋体" w:cs="宋体"/>
          <w:sz w:val="21"/>
        </w:rPr>
        <w:t>注：</w:t>
      </w:r>
    </w:p>
    <w:p w14:paraId="2C0E607D">
      <w:pPr>
        <w:pStyle w:val="11"/>
        <w:spacing w:line="400" w:lineRule="exact"/>
        <w:rPr>
          <w:rFonts w:hint="eastAsia" w:hAnsi="宋体" w:cs="宋体"/>
          <w:sz w:val="21"/>
        </w:rPr>
      </w:pPr>
      <w:r>
        <w:rPr>
          <w:rFonts w:hint="eastAsia" w:hAnsi="宋体" w:cs="宋体"/>
          <w:sz w:val="21"/>
        </w:rPr>
        <w:t>1.说明：应对照招标文件“第二章 采购需求”中的技术要求（服务需求）逐条作明确的投标响应，并作出偏离说明。</w:t>
      </w:r>
    </w:p>
    <w:p w14:paraId="6E610617">
      <w:pPr>
        <w:pStyle w:val="11"/>
        <w:spacing w:line="400" w:lineRule="exact"/>
        <w:rPr>
          <w:rFonts w:hint="eastAsia" w:hAnsi="宋体" w:cs="宋体"/>
          <w:sz w:val="21"/>
        </w:rPr>
      </w:pPr>
      <w:r>
        <w:rPr>
          <w:rFonts w:hint="eastAsia" w:hAnsi="宋体" w:cs="宋体"/>
          <w:sz w:val="21"/>
        </w:rPr>
        <w:t>2.投标人应根据自身的承诺，对照招标文件技术要求，在“偏离说明”中注明“ 正偏离”、“ 负偏离”或者“ 无偏离”。既不属于“ 正偏离”也不属于“ 负偏离”即为“ 无偏离”。</w:t>
      </w:r>
    </w:p>
    <w:p w14:paraId="6E9B4DCA">
      <w:pPr>
        <w:snapToGrid w:val="0"/>
        <w:spacing w:line="400" w:lineRule="exact"/>
        <w:ind w:firstLine="4935" w:firstLineChars="2350"/>
        <w:rPr>
          <w:rFonts w:hint="eastAsia" w:ascii="宋体" w:hAnsi="宋体" w:cs="宋体"/>
          <w:kern w:val="0"/>
          <w:szCs w:val="21"/>
          <w:lang w:val="zh-CN"/>
        </w:rPr>
      </w:pPr>
    </w:p>
    <w:p w14:paraId="245EE468">
      <w:pPr>
        <w:spacing w:line="400" w:lineRule="exact"/>
        <w:rPr>
          <w:rFonts w:hint="eastAsia" w:ascii="宋体" w:hAnsi="宋体" w:cs="宋体"/>
          <w:szCs w:val="21"/>
          <w:lang w:val="zh-CN"/>
        </w:rPr>
      </w:pPr>
    </w:p>
    <w:p w14:paraId="16D64DE5">
      <w:pPr>
        <w:snapToGrid w:val="0"/>
        <w:spacing w:line="400" w:lineRule="exact"/>
        <w:ind w:firstLine="4620" w:firstLineChars="22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7203436A">
      <w:pPr>
        <w:snapToGrid w:val="0"/>
        <w:spacing w:line="400" w:lineRule="exact"/>
        <w:ind w:firstLine="4725" w:firstLineChars="22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1E2D6BF9">
      <w:pPr>
        <w:snapToGrid w:val="0"/>
        <w:spacing w:line="480" w:lineRule="exact"/>
        <w:ind w:left="143" w:leftChars="68" w:firstLine="420" w:firstLineChars="200"/>
        <w:jc w:val="left"/>
        <w:rPr>
          <w:rFonts w:hint="eastAsia" w:ascii="宋体" w:hAnsi="宋体" w:cs="宋体"/>
          <w:szCs w:val="21"/>
        </w:rPr>
        <w:sectPr>
          <w:footerReference r:id="rId17" w:type="first"/>
          <w:headerReference r:id="rId14" w:type="default"/>
          <w:footerReference r:id="rId15" w:type="default"/>
          <w:footerReference r:id="rId16" w:type="even"/>
          <w:pgSz w:w="11905" w:h="16838"/>
          <w:pgMar w:top="1417" w:right="1417" w:bottom="1417" w:left="1417" w:header="720" w:footer="720" w:gutter="0"/>
          <w:cols w:space="720" w:num="1"/>
          <w:docGrid w:type="lines" w:linePitch="333" w:charSpace="0"/>
        </w:sectPr>
      </w:pPr>
    </w:p>
    <w:p w14:paraId="7F4EBB1F">
      <w:pPr>
        <w:pStyle w:val="11"/>
        <w:spacing w:line="400" w:lineRule="exact"/>
        <w:rPr>
          <w:rFonts w:hint="eastAsia" w:hAnsi="宋体" w:cs="宋体"/>
          <w:sz w:val="21"/>
        </w:rPr>
      </w:pPr>
      <w:r>
        <w:rPr>
          <w:rFonts w:hint="eastAsia" w:hAnsi="宋体" w:cs="宋体"/>
          <w:sz w:val="21"/>
        </w:rPr>
        <w:t>4.项目实施人员一览表格式</w:t>
      </w:r>
    </w:p>
    <w:p w14:paraId="767BE2BD">
      <w:pPr>
        <w:snapToGrid w:val="0"/>
        <w:spacing w:before="166" w:beforeLines="50" w:after="50" w:line="400" w:lineRule="exact"/>
        <w:jc w:val="center"/>
        <w:rPr>
          <w:rFonts w:hint="eastAsia" w:ascii="宋体" w:hAnsi="宋体" w:cs="宋体"/>
          <w:b/>
          <w:szCs w:val="21"/>
        </w:rPr>
      </w:pPr>
      <w:r>
        <w:rPr>
          <w:rFonts w:hint="eastAsia" w:ascii="宋体" w:hAnsi="宋体" w:cs="宋体"/>
          <w:b/>
          <w:szCs w:val="21"/>
        </w:rPr>
        <w:t>项目实施人员一览表</w:t>
      </w:r>
    </w:p>
    <w:p w14:paraId="16131167">
      <w:pPr>
        <w:spacing w:line="400" w:lineRule="exact"/>
        <w:rPr>
          <w:rFonts w:hint="eastAsia" w:ascii="宋体" w:hAnsi="宋体" w:cs="宋体"/>
          <w:kern w:val="0"/>
          <w:szCs w:val="21"/>
        </w:rPr>
      </w:pPr>
    </w:p>
    <w:tbl>
      <w:tblPr>
        <w:tblStyle w:val="18"/>
        <w:tblW w:w="9096"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405"/>
        <w:gridCol w:w="873"/>
        <w:gridCol w:w="1418"/>
        <w:gridCol w:w="1336"/>
        <w:gridCol w:w="1793"/>
        <w:gridCol w:w="1579"/>
      </w:tblGrid>
      <w:tr w14:paraId="029F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692" w:type="dxa"/>
            <w:vAlign w:val="center"/>
          </w:tcPr>
          <w:p w14:paraId="2F358149">
            <w:pPr>
              <w:snapToGrid w:val="0"/>
              <w:spacing w:before="50" w:after="166" w:afterLines="50" w:line="400" w:lineRule="exact"/>
              <w:jc w:val="center"/>
              <w:rPr>
                <w:rFonts w:hint="eastAsia" w:ascii="宋体" w:hAnsi="宋体" w:cs="宋体"/>
                <w:szCs w:val="21"/>
              </w:rPr>
            </w:pPr>
            <w:r>
              <w:rPr>
                <w:rFonts w:hint="eastAsia" w:ascii="宋体" w:hAnsi="宋体" w:cs="宋体"/>
                <w:szCs w:val="21"/>
              </w:rPr>
              <w:t>序号</w:t>
            </w:r>
          </w:p>
        </w:tc>
        <w:tc>
          <w:tcPr>
            <w:tcW w:w="1405" w:type="dxa"/>
            <w:vAlign w:val="center"/>
          </w:tcPr>
          <w:p w14:paraId="5DE6B048">
            <w:pPr>
              <w:snapToGrid w:val="0"/>
              <w:spacing w:before="50" w:after="166" w:afterLines="50" w:line="400" w:lineRule="exact"/>
              <w:jc w:val="center"/>
              <w:rPr>
                <w:rFonts w:hint="eastAsia" w:ascii="宋体" w:hAnsi="宋体" w:cs="宋体"/>
                <w:szCs w:val="21"/>
              </w:rPr>
            </w:pPr>
            <w:r>
              <w:rPr>
                <w:rFonts w:hint="eastAsia" w:ascii="宋体" w:hAnsi="宋体" w:cs="宋体"/>
                <w:szCs w:val="21"/>
              </w:rPr>
              <w:t>姓名</w:t>
            </w:r>
          </w:p>
        </w:tc>
        <w:tc>
          <w:tcPr>
            <w:tcW w:w="873" w:type="dxa"/>
            <w:vAlign w:val="center"/>
          </w:tcPr>
          <w:p w14:paraId="464B1A0D">
            <w:pPr>
              <w:snapToGrid w:val="0"/>
              <w:spacing w:before="50" w:after="166" w:afterLines="50" w:line="400" w:lineRule="exact"/>
              <w:jc w:val="center"/>
              <w:rPr>
                <w:rFonts w:hint="eastAsia" w:ascii="宋体" w:hAnsi="宋体" w:cs="宋体"/>
                <w:szCs w:val="21"/>
              </w:rPr>
            </w:pPr>
            <w:r>
              <w:rPr>
                <w:rFonts w:hint="eastAsia" w:ascii="宋体" w:hAnsi="宋体" w:cs="宋体"/>
                <w:szCs w:val="21"/>
              </w:rPr>
              <w:t>学历</w:t>
            </w:r>
          </w:p>
        </w:tc>
        <w:tc>
          <w:tcPr>
            <w:tcW w:w="1418" w:type="dxa"/>
            <w:vAlign w:val="center"/>
          </w:tcPr>
          <w:p w14:paraId="10BCC3C0">
            <w:pPr>
              <w:snapToGrid w:val="0"/>
              <w:spacing w:before="50" w:after="166" w:afterLines="50" w:line="400" w:lineRule="exact"/>
              <w:jc w:val="center"/>
              <w:rPr>
                <w:rFonts w:hint="eastAsia" w:ascii="宋体" w:hAnsi="宋体" w:cs="宋体"/>
                <w:szCs w:val="21"/>
              </w:rPr>
            </w:pPr>
            <w:r>
              <w:rPr>
                <w:rFonts w:hint="eastAsia" w:ascii="宋体" w:hAnsi="宋体" w:cs="宋体"/>
                <w:szCs w:val="21"/>
              </w:rPr>
              <w:t>专业</w:t>
            </w:r>
          </w:p>
        </w:tc>
        <w:tc>
          <w:tcPr>
            <w:tcW w:w="1336" w:type="dxa"/>
            <w:vAlign w:val="center"/>
          </w:tcPr>
          <w:p w14:paraId="578D6D0D">
            <w:pPr>
              <w:snapToGrid w:val="0"/>
              <w:spacing w:before="50" w:after="166" w:afterLines="50" w:line="400" w:lineRule="exact"/>
              <w:jc w:val="center"/>
              <w:rPr>
                <w:rFonts w:hint="eastAsia" w:ascii="宋体" w:hAnsi="宋体" w:cs="宋体"/>
                <w:szCs w:val="21"/>
              </w:rPr>
            </w:pPr>
            <w:r>
              <w:rPr>
                <w:rFonts w:hint="eastAsia" w:ascii="宋体" w:hAnsi="宋体" w:cs="宋体"/>
                <w:szCs w:val="21"/>
              </w:rPr>
              <w:t>职称</w:t>
            </w:r>
          </w:p>
        </w:tc>
        <w:tc>
          <w:tcPr>
            <w:tcW w:w="1793" w:type="dxa"/>
            <w:vAlign w:val="center"/>
          </w:tcPr>
          <w:p w14:paraId="103578DB">
            <w:pPr>
              <w:snapToGrid w:val="0"/>
              <w:spacing w:before="50" w:after="166" w:afterLines="50" w:line="400" w:lineRule="exact"/>
              <w:jc w:val="center"/>
              <w:rPr>
                <w:rFonts w:hint="eastAsia" w:ascii="宋体" w:hAnsi="宋体" w:cs="宋体"/>
                <w:szCs w:val="21"/>
              </w:rPr>
            </w:pPr>
            <w:r>
              <w:rPr>
                <w:rFonts w:hint="eastAsia" w:ascii="宋体" w:hAnsi="宋体" w:cs="宋体"/>
                <w:szCs w:val="21"/>
              </w:rPr>
              <w:t>本项目的职责</w:t>
            </w:r>
          </w:p>
        </w:tc>
        <w:tc>
          <w:tcPr>
            <w:tcW w:w="1579" w:type="dxa"/>
            <w:vAlign w:val="center"/>
          </w:tcPr>
          <w:p w14:paraId="573CBDB8">
            <w:pPr>
              <w:snapToGrid w:val="0"/>
              <w:spacing w:before="50" w:after="166" w:afterLines="50" w:line="400" w:lineRule="exact"/>
              <w:jc w:val="center"/>
              <w:rPr>
                <w:rFonts w:hint="eastAsia" w:ascii="宋体" w:hAnsi="宋体" w:cs="宋体"/>
                <w:szCs w:val="21"/>
              </w:rPr>
            </w:pPr>
            <w:r>
              <w:rPr>
                <w:rFonts w:hint="eastAsia" w:ascii="宋体" w:hAnsi="宋体" w:cs="宋体"/>
                <w:szCs w:val="21"/>
              </w:rPr>
              <w:t>备注</w:t>
            </w:r>
          </w:p>
        </w:tc>
      </w:tr>
      <w:tr w14:paraId="1390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92" w:type="dxa"/>
            <w:vAlign w:val="center"/>
          </w:tcPr>
          <w:p w14:paraId="5AC7BD73">
            <w:pPr>
              <w:snapToGrid w:val="0"/>
              <w:spacing w:before="50" w:after="166" w:afterLines="50" w:line="400" w:lineRule="exact"/>
              <w:jc w:val="center"/>
              <w:rPr>
                <w:rFonts w:hint="eastAsia" w:ascii="宋体" w:hAnsi="宋体" w:cs="宋体"/>
                <w:szCs w:val="21"/>
              </w:rPr>
            </w:pPr>
          </w:p>
        </w:tc>
        <w:tc>
          <w:tcPr>
            <w:tcW w:w="1405" w:type="dxa"/>
            <w:vAlign w:val="center"/>
          </w:tcPr>
          <w:p w14:paraId="44C109B9">
            <w:pPr>
              <w:snapToGrid w:val="0"/>
              <w:spacing w:before="50" w:after="166" w:afterLines="50" w:line="400" w:lineRule="exact"/>
              <w:jc w:val="center"/>
              <w:rPr>
                <w:rFonts w:hint="eastAsia" w:ascii="宋体" w:hAnsi="宋体" w:cs="宋体"/>
                <w:szCs w:val="21"/>
              </w:rPr>
            </w:pPr>
          </w:p>
        </w:tc>
        <w:tc>
          <w:tcPr>
            <w:tcW w:w="873" w:type="dxa"/>
            <w:vAlign w:val="center"/>
          </w:tcPr>
          <w:p w14:paraId="153C691C">
            <w:pPr>
              <w:snapToGrid w:val="0"/>
              <w:spacing w:before="50" w:after="166" w:afterLines="50" w:line="400" w:lineRule="exact"/>
              <w:jc w:val="center"/>
              <w:rPr>
                <w:rFonts w:hint="eastAsia" w:ascii="宋体" w:hAnsi="宋体" w:cs="宋体"/>
                <w:szCs w:val="21"/>
              </w:rPr>
            </w:pPr>
          </w:p>
        </w:tc>
        <w:tc>
          <w:tcPr>
            <w:tcW w:w="1418" w:type="dxa"/>
            <w:vAlign w:val="center"/>
          </w:tcPr>
          <w:p w14:paraId="56664ECC">
            <w:pPr>
              <w:snapToGrid w:val="0"/>
              <w:spacing w:before="50" w:after="166" w:afterLines="50" w:line="400" w:lineRule="exact"/>
              <w:jc w:val="center"/>
              <w:rPr>
                <w:rFonts w:hint="eastAsia" w:ascii="宋体" w:hAnsi="宋体" w:cs="宋体"/>
                <w:szCs w:val="21"/>
              </w:rPr>
            </w:pPr>
          </w:p>
        </w:tc>
        <w:tc>
          <w:tcPr>
            <w:tcW w:w="1336" w:type="dxa"/>
            <w:vAlign w:val="center"/>
          </w:tcPr>
          <w:p w14:paraId="70384F37">
            <w:pPr>
              <w:snapToGrid w:val="0"/>
              <w:spacing w:before="50" w:after="166" w:afterLines="50" w:line="400" w:lineRule="exact"/>
              <w:jc w:val="center"/>
              <w:rPr>
                <w:rFonts w:hint="eastAsia" w:ascii="宋体" w:hAnsi="宋体" w:cs="宋体"/>
                <w:szCs w:val="21"/>
              </w:rPr>
            </w:pPr>
          </w:p>
        </w:tc>
        <w:tc>
          <w:tcPr>
            <w:tcW w:w="1793" w:type="dxa"/>
            <w:vAlign w:val="center"/>
          </w:tcPr>
          <w:p w14:paraId="225EAB45">
            <w:pPr>
              <w:snapToGrid w:val="0"/>
              <w:spacing w:before="50" w:after="166" w:afterLines="50" w:line="400" w:lineRule="exact"/>
              <w:jc w:val="center"/>
              <w:rPr>
                <w:rFonts w:hint="eastAsia" w:ascii="宋体" w:hAnsi="宋体" w:cs="宋体"/>
                <w:szCs w:val="21"/>
              </w:rPr>
            </w:pPr>
          </w:p>
        </w:tc>
        <w:tc>
          <w:tcPr>
            <w:tcW w:w="1579" w:type="dxa"/>
            <w:vAlign w:val="center"/>
          </w:tcPr>
          <w:p w14:paraId="1221D3CE">
            <w:pPr>
              <w:snapToGrid w:val="0"/>
              <w:spacing w:before="50" w:after="166" w:afterLines="50" w:line="400" w:lineRule="exact"/>
              <w:jc w:val="center"/>
              <w:rPr>
                <w:rFonts w:hint="eastAsia" w:ascii="宋体" w:hAnsi="宋体" w:cs="宋体"/>
                <w:szCs w:val="21"/>
              </w:rPr>
            </w:pPr>
          </w:p>
        </w:tc>
      </w:tr>
      <w:tr w14:paraId="3E80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92" w:type="dxa"/>
            <w:vAlign w:val="center"/>
          </w:tcPr>
          <w:p w14:paraId="2D2326E7">
            <w:pPr>
              <w:snapToGrid w:val="0"/>
              <w:spacing w:before="50" w:after="166" w:afterLines="50" w:line="400" w:lineRule="exact"/>
              <w:jc w:val="center"/>
              <w:rPr>
                <w:rFonts w:hint="eastAsia" w:ascii="宋体" w:hAnsi="宋体" w:cs="宋体"/>
                <w:szCs w:val="21"/>
              </w:rPr>
            </w:pPr>
          </w:p>
        </w:tc>
        <w:tc>
          <w:tcPr>
            <w:tcW w:w="1405" w:type="dxa"/>
            <w:vAlign w:val="center"/>
          </w:tcPr>
          <w:p w14:paraId="05354E94">
            <w:pPr>
              <w:snapToGrid w:val="0"/>
              <w:spacing w:before="50" w:after="166" w:afterLines="50" w:line="400" w:lineRule="exact"/>
              <w:jc w:val="center"/>
              <w:rPr>
                <w:rFonts w:hint="eastAsia" w:ascii="宋体" w:hAnsi="宋体" w:cs="宋体"/>
                <w:szCs w:val="21"/>
              </w:rPr>
            </w:pPr>
          </w:p>
        </w:tc>
        <w:tc>
          <w:tcPr>
            <w:tcW w:w="873" w:type="dxa"/>
            <w:vAlign w:val="center"/>
          </w:tcPr>
          <w:p w14:paraId="2C99BC4B">
            <w:pPr>
              <w:snapToGrid w:val="0"/>
              <w:spacing w:before="50" w:after="166" w:afterLines="50" w:line="400" w:lineRule="exact"/>
              <w:jc w:val="center"/>
              <w:rPr>
                <w:rFonts w:hint="eastAsia" w:ascii="宋体" w:hAnsi="宋体" w:cs="宋体"/>
                <w:szCs w:val="21"/>
              </w:rPr>
            </w:pPr>
          </w:p>
        </w:tc>
        <w:tc>
          <w:tcPr>
            <w:tcW w:w="1418" w:type="dxa"/>
            <w:vAlign w:val="center"/>
          </w:tcPr>
          <w:p w14:paraId="1C5420D4">
            <w:pPr>
              <w:snapToGrid w:val="0"/>
              <w:spacing w:before="50" w:after="166" w:afterLines="50" w:line="400" w:lineRule="exact"/>
              <w:jc w:val="center"/>
              <w:rPr>
                <w:rFonts w:hint="eastAsia" w:ascii="宋体" w:hAnsi="宋体" w:cs="宋体"/>
                <w:szCs w:val="21"/>
              </w:rPr>
            </w:pPr>
          </w:p>
        </w:tc>
        <w:tc>
          <w:tcPr>
            <w:tcW w:w="1336" w:type="dxa"/>
            <w:vAlign w:val="center"/>
          </w:tcPr>
          <w:p w14:paraId="12E0921F">
            <w:pPr>
              <w:snapToGrid w:val="0"/>
              <w:spacing w:before="50" w:after="166" w:afterLines="50" w:line="400" w:lineRule="exact"/>
              <w:jc w:val="center"/>
              <w:rPr>
                <w:rFonts w:hint="eastAsia" w:ascii="宋体" w:hAnsi="宋体" w:cs="宋体"/>
                <w:szCs w:val="21"/>
              </w:rPr>
            </w:pPr>
          </w:p>
        </w:tc>
        <w:tc>
          <w:tcPr>
            <w:tcW w:w="1793" w:type="dxa"/>
            <w:vAlign w:val="center"/>
          </w:tcPr>
          <w:p w14:paraId="4AD053C8">
            <w:pPr>
              <w:snapToGrid w:val="0"/>
              <w:spacing w:before="50" w:after="166" w:afterLines="50" w:line="400" w:lineRule="exact"/>
              <w:jc w:val="center"/>
              <w:rPr>
                <w:rFonts w:hint="eastAsia" w:ascii="宋体" w:hAnsi="宋体" w:cs="宋体"/>
                <w:szCs w:val="21"/>
              </w:rPr>
            </w:pPr>
          </w:p>
        </w:tc>
        <w:tc>
          <w:tcPr>
            <w:tcW w:w="1579" w:type="dxa"/>
            <w:vAlign w:val="center"/>
          </w:tcPr>
          <w:p w14:paraId="457DF805">
            <w:pPr>
              <w:snapToGrid w:val="0"/>
              <w:spacing w:before="50" w:after="166" w:afterLines="50" w:line="400" w:lineRule="exact"/>
              <w:jc w:val="center"/>
              <w:rPr>
                <w:rFonts w:hint="eastAsia" w:ascii="宋体" w:hAnsi="宋体" w:cs="宋体"/>
                <w:szCs w:val="21"/>
              </w:rPr>
            </w:pPr>
          </w:p>
        </w:tc>
      </w:tr>
      <w:tr w14:paraId="2755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92" w:type="dxa"/>
            <w:vAlign w:val="center"/>
          </w:tcPr>
          <w:p w14:paraId="37162687">
            <w:pPr>
              <w:snapToGrid w:val="0"/>
              <w:spacing w:before="50" w:after="166" w:afterLines="50" w:line="400" w:lineRule="exact"/>
              <w:jc w:val="center"/>
              <w:rPr>
                <w:rFonts w:hint="eastAsia" w:ascii="宋体" w:hAnsi="宋体" w:cs="宋体"/>
                <w:szCs w:val="21"/>
              </w:rPr>
            </w:pPr>
          </w:p>
        </w:tc>
        <w:tc>
          <w:tcPr>
            <w:tcW w:w="1405" w:type="dxa"/>
            <w:vAlign w:val="center"/>
          </w:tcPr>
          <w:p w14:paraId="04AF52F3">
            <w:pPr>
              <w:snapToGrid w:val="0"/>
              <w:spacing w:before="50" w:after="166" w:afterLines="50" w:line="400" w:lineRule="exact"/>
              <w:jc w:val="center"/>
              <w:rPr>
                <w:rFonts w:hint="eastAsia" w:ascii="宋体" w:hAnsi="宋体" w:cs="宋体"/>
                <w:szCs w:val="21"/>
              </w:rPr>
            </w:pPr>
          </w:p>
        </w:tc>
        <w:tc>
          <w:tcPr>
            <w:tcW w:w="873" w:type="dxa"/>
            <w:vAlign w:val="center"/>
          </w:tcPr>
          <w:p w14:paraId="5285B661">
            <w:pPr>
              <w:snapToGrid w:val="0"/>
              <w:spacing w:before="50" w:after="166" w:afterLines="50" w:line="400" w:lineRule="exact"/>
              <w:jc w:val="center"/>
              <w:rPr>
                <w:rFonts w:hint="eastAsia" w:ascii="宋体" w:hAnsi="宋体" w:cs="宋体"/>
                <w:szCs w:val="21"/>
              </w:rPr>
            </w:pPr>
          </w:p>
        </w:tc>
        <w:tc>
          <w:tcPr>
            <w:tcW w:w="1418" w:type="dxa"/>
            <w:vAlign w:val="center"/>
          </w:tcPr>
          <w:p w14:paraId="601A5265">
            <w:pPr>
              <w:snapToGrid w:val="0"/>
              <w:spacing w:before="50" w:after="166" w:afterLines="50" w:line="400" w:lineRule="exact"/>
              <w:jc w:val="center"/>
              <w:rPr>
                <w:rFonts w:hint="eastAsia" w:ascii="宋体" w:hAnsi="宋体" w:cs="宋体"/>
                <w:szCs w:val="21"/>
              </w:rPr>
            </w:pPr>
          </w:p>
        </w:tc>
        <w:tc>
          <w:tcPr>
            <w:tcW w:w="1336" w:type="dxa"/>
            <w:vAlign w:val="center"/>
          </w:tcPr>
          <w:p w14:paraId="1759465D">
            <w:pPr>
              <w:snapToGrid w:val="0"/>
              <w:spacing w:before="50" w:after="166" w:afterLines="50" w:line="400" w:lineRule="exact"/>
              <w:jc w:val="center"/>
              <w:rPr>
                <w:rFonts w:hint="eastAsia" w:ascii="宋体" w:hAnsi="宋体" w:cs="宋体"/>
                <w:szCs w:val="21"/>
              </w:rPr>
            </w:pPr>
          </w:p>
        </w:tc>
        <w:tc>
          <w:tcPr>
            <w:tcW w:w="1793" w:type="dxa"/>
            <w:vAlign w:val="center"/>
          </w:tcPr>
          <w:p w14:paraId="3F798FA9">
            <w:pPr>
              <w:snapToGrid w:val="0"/>
              <w:spacing w:before="50" w:after="166" w:afterLines="50" w:line="400" w:lineRule="exact"/>
              <w:jc w:val="center"/>
              <w:rPr>
                <w:rFonts w:hint="eastAsia" w:ascii="宋体" w:hAnsi="宋体" w:cs="宋体"/>
                <w:szCs w:val="21"/>
              </w:rPr>
            </w:pPr>
          </w:p>
        </w:tc>
        <w:tc>
          <w:tcPr>
            <w:tcW w:w="1579" w:type="dxa"/>
            <w:vAlign w:val="center"/>
          </w:tcPr>
          <w:p w14:paraId="72F348A1">
            <w:pPr>
              <w:snapToGrid w:val="0"/>
              <w:spacing w:before="50" w:after="166" w:afterLines="50" w:line="400" w:lineRule="exact"/>
              <w:jc w:val="center"/>
              <w:rPr>
                <w:rFonts w:hint="eastAsia" w:ascii="宋体" w:hAnsi="宋体" w:cs="宋体"/>
                <w:szCs w:val="21"/>
              </w:rPr>
            </w:pPr>
          </w:p>
        </w:tc>
      </w:tr>
    </w:tbl>
    <w:p w14:paraId="0DE15A3C">
      <w:pPr>
        <w:pStyle w:val="11"/>
        <w:spacing w:line="400" w:lineRule="exact"/>
        <w:rPr>
          <w:rFonts w:hint="eastAsia" w:hAnsi="宋体" w:cs="宋体"/>
          <w:sz w:val="21"/>
        </w:rPr>
      </w:pPr>
      <w:r>
        <w:rPr>
          <w:rFonts w:hint="eastAsia" w:hAnsi="宋体" w:cs="宋体"/>
          <w:sz w:val="21"/>
        </w:rPr>
        <w:t>注：</w:t>
      </w:r>
    </w:p>
    <w:p w14:paraId="4EFC4E76">
      <w:pPr>
        <w:pStyle w:val="11"/>
        <w:spacing w:line="400" w:lineRule="exact"/>
        <w:rPr>
          <w:rFonts w:hint="eastAsia" w:hAnsi="宋体" w:cs="宋体"/>
          <w:sz w:val="21"/>
        </w:rPr>
      </w:pPr>
      <w:r>
        <w:rPr>
          <w:rFonts w:hint="eastAsia" w:hAnsi="宋体" w:cs="宋体"/>
          <w:sz w:val="21"/>
        </w:rPr>
        <w:t>1.在填写时，如本表格不适合投标单位的实际情况，可根据本表格式自行制表填写。</w:t>
      </w:r>
    </w:p>
    <w:p w14:paraId="19376568">
      <w:pPr>
        <w:pStyle w:val="11"/>
        <w:spacing w:line="400" w:lineRule="exact"/>
        <w:rPr>
          <w:rFonts w:hint="eastAsia" w:hAnsi="宋体" w:cs="宋体"/>
          <w:sz w:val="21"/>
        </w:rPr>
      </w:pPr>
      <w:r>
        <w:rPr>
          <w:rFonts w:hint="eastAsia" w:hAnsi="宋体" w:cs="宋体"/>
          <w:sz w:val="21"/>
        </w:rPr>
        <w:t>2.投标人应当附本表所列证书的复印件并加盖投标人公章或电子签章。</w:t>
      </w:r>
    </w:p>
    <w:p w14:paraId="5AA6CB03">
      <w:pPr>
        <w:spacing w:line="400" w:lineRule="exact"/>
        <w:jc w:val="center"/>
        <w:rPr>
          <w:rFonts w:hint="eastAsia" w:ascii="宋体" w:hAnsi="宋体" w:cs="宋体"/>
          <w:szCs w:val="21"/>
        </w:rPr>
      </w:pPr>
    </w:p>
    <w:p w14:paraId="7DD3426F">
      <w:pPr>
        <w:snapToGrid w:val="0"/>
        <w:spacing w:before="166" w:beforeLines="50" w:after="50" w:line="400" w:lineRule="exact"/>
        <w:ind w:left="142"/>
        <w:jc w:val="center"/>
        <w:rPr>
          <w:rFonts w:hint="eastAsia" w:ascii="宋体" w:hAnsi="宋体" w:cs="宋体"/>
          <w:b/>
          <w:szCs w:val="21"/>
        </w:rPr>
      </w:pPr>
    </w:p>
    <w:p w14:paraId="5669530F">
      <w:pPr>
        <w:spacing w:line="400" w:lineRule="exact"/>
        <w:rPr>
          <w:rFonts w:hint="eastAsia" w:ascii="宋体" w:hAnsi="宋体" w:cs="宋体"/>
          <w:szCs w:val="21"/>
        </w:rPr>
      </w:pPr>
    </w:p>
    <w:p w14:paraId="6E4DA1CB">
      <w:pPr>
        <w:snapToGrid w:val="0"/>
        <w:spacing w:line="400" w:lineRule="exact"/>
        <w:ind w:firstLine="4620" w:firstLineChars="2200"/>
        <w:rPr>
          <w:rFonts w:hint="eastAsia" w:ascii="宋体" w:hAnsi="宋体" w:cs="宋体"/>
          <w:kern w:val="0"/>
          <w:szCs w:val="21"/>
        </w:rPr>
      </w:pPr>
      <w:r>
        <w:rPr>
          <w:rFonts w:hint="eastAsia" w:ascii="宋体" w:hAnsi="宋体" w:cs="宋体"/>
          <w:kern w:val="0"/>
          <w:szCs w:val="21"/>
          <w:lang w:val="zh-CN"/>
        </w:rPr>
        <w:t>投标人名称(电子签章)：</w:t>
      </w:r>
    </w:p>
    <w:p w14:paraId="36427789">
      <w:pPr>
        <w:snapToGrid w:val="0"/>
        <w:spacing w:line="400" w:lineRule="exact"/>
        <w:ind w:firstLine="4515" w:firstLineChars="21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5E0C9D8A">
      <w:pPr>
        <w:snapToGrid w:val="0"/>
        <w:spacing w:line="400" w:lineRule="exact"/>
        <w:ind w:firstLine="4515" w:firstLineChars="2150"/>
        <w:rPr>
          <w:rFonts w:hint="eastAsia" w:ascii="宋体" w:hAnsi="宋体" w:cs="宋体"/>
          <w:kern w:val="0"/>
          <w:szCs w:val="21"/>
          <w:lang w:val="zh-CN"/>
        </w:rPr>
      </w:pPr>
    </w:p>
    <w:p w14:paraId="1F583A11">
      <w:pPr>
        <w:snapToGrid w:val="0"/>
        <w:spacing w:before="166" w:beforeLines="50" w:after="50"/>
        <w:ind w:left="142"/>
        <w:jc w:val="center"/>
        <w:rPr>
          <w:rFonts w:hint="eastAsia" w:ascii="宋体" w:hAnsi="宋体" w:cs="宋体"/>
          <w:b/>
          <w:szCs w:val="21"/>
        </w:rPr>
      </w:pPr>
    </w:p>
    <w:p w14:paraId="057FDE73">
      <w:pPr>
        <w:pStyle w:val="11"/>
        <w:spacing w:line="400" w:lineRule="exact"/>
        <w:jc w:val="center"/>
        <w:outlineLvl w:val="1"/>
        <w:rPr>
          <w:rFonts w:hint="eastAsia" w:hAnsi="宋体" w:cs="宋体"/>
          <w:b/>
          <w:bCs/>
          <w:sz w:val="21"/>
        </w:rPr>
      </w:pPr>
      <w:bookmarkStart w:id="192" w:name="_Toc99033106"/>
      <w:bookmarkStart w:id="193" w:name="_Toc2947"/>
      <w:r>
        <w:rPr>
          <w:rFonts w:hint="eastAsia" w:hAnsi="宋体" w:cs="宋体"/>
          <w:b/>
          <w:bCs/>
          <w:sz w:val="21"/>
        </w:rPr>
        <w:br w:type="page"/>
      </w:r>
      <w:r>
        <w:rPr>
          <w:rFonts w:hint="eastAsia" w:hAnsi="宋体" w:cs="宋体"/>
          <w:b/>
          <w:bCs/>
          <w:sz w:val="21"/>
        </w:rPr>
        <w:t>第五节 报价文件格式</w:t>
      </w:r>
      <w:bookmarkEnd w:id="192"/>
      <w:bookmarkEnd w:id="193"/>
    </w:p>
    <w:p w14:paraId="09D86A86">
      <w:pPr>
        <w:pStyle w:val="11"/>
        <w:spacing w:line="400" w:lineRule="exact"/>
        <w:rPr>
          <w:rFonts w:hint="eastAsia" w:hAnsi="宋体" w:cs="宋体"/>
          <w:sz w:val="21"/>
        </w:rPr>
      </w:pPr>
      <w:r>
        <w:rPr>
          <w:rFonts w:hint="eastAsia" w:hAnsi="宋体" w:cs="宋体"/>
          <w:sz w:val="21"/>
        </w:rPr>
        <w:t xml:space="preserve"> 1.报价文件封面格式：</w:t>
      </w:r>
    </w:p>
    <w:p w14:paraId="42824A24">
      <w:pPr>
        <w:snapToGrid w:val="0"/>
        <w:spacing w:before="166" w:beforeLines="50" w:after="50" w:line="400" w:lineRule="exact"/>
        <w:rPr>
          <w:rFonts w:hint="eastAsia" w:ascii="宋体" w:hAnsi="宋体" w:cs="宋体"/>
          <w:szCs w:val="21"/>
        </w:rPr>
      </w:pPr>
    </w:p>
    <w:p w14:paraId="346FF611">
      <w:pPr>
        <w:snapToGrid w:val="0"/>
        <w:spacing w:before="166" w:beforeLines="50" w:after="50" w:line="400" w:lineRule="exact"/>
        <w:jc w:val="center"/>
        <w:rPr>
          <w:rFonts w:hint="eastAsia" w:ascii="宋体" w:hAnsi="宋体" w:cs="宋体"/>
          <w:bCs/>
          <w:szCs w:val="21"/>
        </w:rPr>
      </w:pPr>
      <w:r>
        <w:rPr>
          <w:rFonts w:hint="eastAsia" w:ascii="宋体" w:hAnsi="宋体" w:cs="宋体"/>
          <w:bCs/>
          <w:szCs w:val="21"/>
        </w:rPr>
        <w:t>电子投标文件</w:t>
      </w:r>
    </w:p>
    <w:p w14:paraId="361714F2">
      <w:pPr>
        <w:snapToGrid w:val="0"/>
        <w:spacing w:before="166" w:beforeLines="50" w:after="50" w:line="400" w:lineRule="exact"/>
        <w:rPr>
          <w:rFonts w:hint="eastAsia" w:ascii="宋体" w:hAnsi="宋体" w:cs="宋体"/>
          <w:szCs w:val="21"/>
        </w:rPr>
      </w:pPr>
    </w:p>
    <w:p w14:paraId="02F48B80">
      <w:pPr>
        <w:snapToGrid w:val="0"/>
        <w:spacing w:before="166" w:beforeLines="50" w:after="50" w:line="400" w:lineRule="exact"/>
        <w:jc w:val="center"/>
        <w:rPr>
          <w:rFonts w:hint="eastAsia" w:ascii="宋体" w:hAnsi="宋体" w:cs="宋体"/>
          <w:b/>
          <w:szCs w:val="21"/>
        </w:rPr>
      </w:pPr>
      <w:r>
        <w:rPr>
          <w:rFonts w:hint="eastAsia" w:ascii="宋体" w:hAnsi="宋体" w:cs="宋体"/>
          <w:b/>
          <w:szCs w:val="21"/>
        </w:rPr>
        <w:t>报价文件（封面）</w:t>
      </w:r>
    </w:p>
    <w:p w14:paraId="504C16DD">
      <w:pPr>
        <w:snapToGrid w:val="0"/>
        <w:spacing w:before="166" w:beforeLines="50" w:after="50" w:line="400" w:lineRule="exact"/>
        <w:rPr>
          <w:rFonts w:hint="eastAsia" w:ascii="宋体" w:hAnsi="宋体" w:cs="宋体"/>
          <w:bCs/>
          <w:szCs w:val="21"/>
        </w:rPr>
      </w:pPr>
    </w:p>
    <w:p w14:paraId="766CA9A1">
      <w:pPr>
        <w:snapToGrid w:val="0"/>
        <w:spacing w:before="166" w:beforeLines="50" w:after="50" w:line="400" w:lineRule="exact"/>
        <w:rPr>
          <w:rFonts w:hint="eastAsia" w:ascii="宋体" w:hAnsi="宋体" w:cs="宋体"/>
          <w:bCs/>
          <w:szCs w:val="21"/>
        </w:rPr>
      </w:pPr>
    </w:p>
    <w:p w14:paraId="1A8D3080">
      <w:pPr>
        <w:snapToGrid w:val="0"/>
        <w:spacing w:before="166" w:beforeLines="50" w:after="50" w:line="400" w:lineRule="exact"/>
        <w:rPr>
          <w:rFonts w:hint="eastAsia" w:ascii="宋体" w:hAnsi="宋体" w:cs="宋体"/>
          <w:bCs/>
          <w:szCs w:val="21"/>
        </w:rPr>
      </w:pPr>
    </w:p>
    <w:p w14:paraId="58AD42C9">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 xml:space="preserve">项目名称： </w:t>
      </w:r>
    </w:p>
    <w:p w14:paraId="3E200945">
      <w:pPr>
        <w:snapToGrid w:val="0"/>
        <w:spacing w:before="166" w:beforeLines="50" w:after="50" w:line="400" w:lineRule="exact"/>
        <w:ind w:firstLine="315" w:firstLineChars="150"/>
        <w:rPr>
          <w:rFonts w:hint="eastAsia" w:ascii="宋体" w:hAnsi="宋体" w:cs="宋体"/>
          <w:bCs/>
          <w:szCs w:val="21"/>
        </w:rPr>
      </w:pPr>
    </w:p>
    <w:p w14:paraId="12979383">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 xml:space="preserve">项目编号： </w:t>
      </w:r>
    </w:p>
    <w:p w14:paraId="0EEECF5C">
      <w:pPr>
        <w:snapToGrid w:val="0"/>
        <w:spacing w:before="166" w:beforeLines="50" w:after="50" w:line="400" w:lineRule="exact"/>
        <w:ind w:firstLine="315" w:firstLineChars="150"/>
        <w:rPr>
          <w:rFonts w:hint="eastAsia" w:ascii="宋体" w:hAnsi="宋体" w:cs="宋体"/>
          <w:bCs/>
          <w:szCs w:val="21"/>
        </w:rPr>
      </w:pPr>
    </w:p>
    <w:p w14:paraId="7A53DB75">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所投分标：</w:t>
      </w:r>
    </w:p>
    <w:p w14:paraId="3C4F0C76">
      <w:pPr>
        <w:snapToGrid w:val="0"/>
        <w:spacing w:before="166" w:beforeLines="50" w:after="50" w:line="400" w:lineRule="exact"/>
        <w:ind w:firstLine="315" w:firstLineChars="150"/>
        <w:rPr>
          <w:rFonts w:hint="eastAsia" w:ascii="宋体" w:hAnsi="宋体" w:cs="宋体"/>
          <w:bCs/>
          <w:szCs w:val="21"/>
        </w:rPr>
      </w:pPr>
    </w:p>
    <w:p w14:paraId="2F773C55">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投标人名称：</w:t>
      </w:r>
    </w:p>
    <w:p w14:paraId="1E5D4BB1">
      <w:pPr>
        <w:snapToGrid w:val="0"/>
        <w:spacing w:before="166" w:beforeLines="50" w:after="50" w:line="400" w:lineRule="exact"/>
        <w:ind w:firstLine="315" w:firstLineChars="150"/>
        <w:rPr>
          <w:rFonts w:hint="eastAsia" w:ascii="宋体" w:hAnsi="宋体" w:cs="宋体"/>
          <w:bCs/>
          <w:szCs w:val="21"/>
        </w:rPr>
      </w:pPr>
    </w:p>
    <w:p w14:paraId="5B6AB58C">
      <w:pPr>
        <w:snapToGrid w:val="0"/>
        <w:spacing w:before="166" w:beforeLines="50" w:after="50" w:line="400" w:lineRule="exact"/>
        <w:ind w:firstLine="315" w:firstLineChars="150"/>
        <w:rPr>
          <w:rFonts w:hint="eastAsia" w:ascii="宋体" w:hAnsi="宋体" w:cs="宋体"/>
          <w:bCs/>
          <w:szCs w:val="21"/>
        </w:rPr>
      </w:pPr>
      <w:r>
        <w:rPr>
          <w:rFonts w:hint="eastAsia" w:ascii="宋体" w:hAnsi="宋体" w:cs="宋体"/>
          <w:bCs/>
          <w:szCs w:val="21"/>
        </w:rPr>
        <w:t>投标人地址：</w:t>
      </w:r>
    </w:p>
    <w:p w14:paraId="317CBEBE">
      <w:pPr>
        <w:pStyle w:val="8"/>
        <w:snapToGrid w:val="0"/>
        <w:spacing w:before="50" w:after="50" w:line="400" w:lineRule="exact"/>
        <w:ind w:firstLine="840" w:firstLineChars="400"/>
        <w:rPr>
          <w:rFonts w:hint="eastAsia" w:ascii="宋体" w:hAnsi="宋体" w:cs="宋体"/>
          <w:bCs/>
          <w:szCs w:val="21"/>
        </w:rPr>
      </w:pPr>
    </w:p>
    <w:p w14:paraId="45674068">
      <w:pPr>
        <w:snapToGrid w:val="0"/>
        <w:spacing w:before="166" w:beforeLines="50" w:after="50" w:line="400" w:lineRule="exact"/>
        <w:rPr>
          <w:rFonts w:hint="eastAsia" w:ascii="宋体" w:hAnsi="宋体" w:cs="宋体"/>
          <w:szCs w:val="21"/>
        </w:rPr>
        <w:sectPr>
          <w:pgSz w:w="11905" w:h="16838"/>
          <w:pgMar w:top="1417" w:right="1417" w:bottom="1417" w:left="1417" w:header="720" w:footer="720" w:gutter="0"/>
          <w:cols w:space="720" w:num="1"/>
          <w:docGrid w:type="lines" w:linePitch="333" w:charSpace="0"/>
        </w:sectPr>
      </w:pPr>
      <w:r>
        <w:rPr>
          <w:rFonts w:hint="eastAsia" w:ascii="宋体" w:hAnsi="宋体" w:cs="宋体"/>
          <w:szCs w:val="21"/>
        </w:rPr>
        <w:t xml:space="preserve">                                                       年  月  日</w:t>
      </w:r>
    </w:p>
    <w:p w14:paraId="328A99B9">
      <w:pPr>
        <w:snapToGrid w:val="0"/>
        <w:spacing w:before="166" w:beforeLines="50" w:after="50" w:line="400" w:lineRule="exact"/>
        <w:rPr>
          <w:rFonts w:hint="eastAsia" w:ascii="宋体" w:hAnsi="宋体" w:cs="宋体"/>
          <w:bCs/>
          <w:szCs w:val="21"/>
        </w:rPr>
      </w:pPr>
      <w:r>
        <w:rPr>
          <w:rFonts w:hint="eastAsia" w:ascii="宋体" w:hAnsi="宋体" w:cs="宋体"/>
          <w:bCs/>
          <w:szCs w:val="21"/>
        </w:rPr>
        <w:t>2.报价文件目录</w:t>
      </w:r>
    </w:p>
    <w:p w14:paraId="7CA19CE0">
      <w:pPr>
        <w:spacing w:line="400" w:lineRule="exact"/>
        <w:rPr>
          <w:rFonts w:hint="eastAsia" w:ascii="宋体" w:hAnsi="宋体" w:cs="宋体"/>
          <w:szCs w:val="21"/>
        </w:rPr>
      </w:pPr>
    </w:p>
    <w:p w14:paraId="1E43454B">
      <w:pPr>
        <w:spacing w:line="400" w:lineRule="exact"/>
        <w:rPr>
          <w:rFonts w:hint="eastAsia" w:ascii="宋体" w:hAnsi="宋体" w:cs="宋体"/>
          <w:szCs w:val="21"/>
        </w:rPr>
        <w:sectPr>
          <w:pgSz w:w="11905" w:h="16838"/>
          <w:pgMar w:top="1417" w:right="1417" w:bottom="1417" w:left="1417" w:header="720" w:footer="720" w:gutter="0"/>
          <w:cols w:space="720" w:num="1"/>
          <w:docGrid w:type="lines" w:linePitch="333" w:charSpace="0"/>
        </w:sectPr>
      </w:pPr>
      <w:r>
        <w:rPr>
          <w:rFonts w:hint="eastAsia" w:ascii="宋体" w:hAnsi="宋体" w:cs="宋体"/>
          <w:szCs w:val="21"/>
        </w:rPr>
        <w:t>根据招标文件“投标人须知前附表”第13.1条规定及投标人提供的材料自行编写目录。</w:t>
      </w:r>
    </w:p>
    <w:p w14:paraId="03F9A581">
      <w:pPr>
        <w:pStyle w:val="11"/>
        <w:spacing w:line="400" w:lineRule="exact"/>
        <w:rPr>
          <w:rFonts w:hint="eastAsia" w:hAnsi="宋体" w:cs="宋体"/>
          <w:bCs/>
          <w:sz w:val="21"/>
        </w:rPr>
      </w:pPr>
      <w:r>
        <w:rPr>
          <w:rFonts w:hint="eastAsia" w:hAnsi="宋体" w:cs="宋体"/>
          <w:bCs/>
          <w:sz w:val="21"/>
        </w:rPr>
        <w:t>3.投标函格式</w:t>
      </w:r>
    </w:p>
    <w:p w14:paraId="2197CFD8">
      <w:pPr>
        <w:pStyle w:val="11"/>
        <w:spacing w:line="400" w:lineRule="exact"/>
        <w:jc w:val="center"/>
        <w:rPr>
          <w:rFonts w:hint="eastAsia" w:hAnsi="宋体" w:cs="宋体"/>
          <w:b/>
          <w:bCs/>
          <w:sz w:val="21"/>
        </w:rPr>
      </w:pPr>
      <w:r>
        <w:rPr>
          <w:rFonts w:hint="eastAsia" w:hAnsi="宋体" w:cs="宋体"/>
          <w:b/>
          <w:bCs/>
          <w:sz w:val="21"/>
        </w:rPr>
        <w:t>投标函</w:t>
      </w:r>
    </w:p>
    <w:p w14:paraId="30A19D5D">
      <w:pPr>
        <w:snapToGrid w:val="0"/>
        <w:spacing w:line="400" w:lineRule="exact"/>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采购人名称</w:t>
      </w:r>
      <w:r>
        <w:rPr>
          <w:rFonts w:hint="eastAsia" w:ascii="宋体" w:hAnsi="宋体" w:cs="宋体"/>
          <w:szCs w:val="21"/>
        </w:rPr>
        <w:t>）</w:t>
      </w:r>
    </w:p>
    <w:p w14:paraId="611D04B0">
      <w:pPr>
        <w:snapToGrid w:val="0"/>
        <w:spacing w:line="400" w:lineRule="exact"/>
        <w:rPr>
          <w:rFonts w:hint="eastAsia" w:ascii="宋体" w:hAnsi="宋体" w:cs="宋体"/>
          <w:szCs w:val="21"/>
        </w:rPr>
      </w:pPr>
      <w:r>
        <w:rPr>
          <w:rFonts w:hint="eastAsia" w:ascii="宋体" w:hAnsi="宋体" w:cs="宋体"/>
          <w:szCs w:val="21"/>
        </w:rPr>
        <w:t xml:space="preserve">    根据贵方</w:t>
      </w:r>
      <w:r>
        <w:rPr>
          <w:rFonts w:hint="eastAsia" w:ascii="宋体" w:hAnsi="宋体" w:cs="宋体"/>
          <w:szCs w:val="21"/>
          <w:u w:val="single"/>
        </w:rPr>
        <w:t xml:space="preserve"> 项目名称 </w:t>
      </w:r>
      <w:r>
        <w:rPr>
          <w:rFonts w:hint="eastAsia" w:ascii="宋体" w:hAnsi="宋体" w:cs="宋体"/>
          <w:szCs w:val="21"/>
        </w:rPr>
        <w:t>（项目编号：）的招标公告，签字代表（姓名）经正式授权并代表投标人（投标人名称）提交投标文件。</w:t>
      </w:r>
    </w:p>
    <w:p w14:paraId="625093DE">
      <w:pPr>
        <w:snapToGrid w:val="0"/>
        <w:spacing w:line="400" w:lineRule="exact"/>
        <w:ind w:firstLine="420" w:firstLineChars="200"/>
        <w:rPr>
          <w:rFonts w:hint="eastAsia" w:ascii="宋体" w:hAnsi="宋体" w:cs="宋体"/>
          <w:szCs w:val="21"/>
        </w:rPr>
      </w:pPr>
      <w:r>
        <w:rPr>
          <w:rFonts w:hint="eastAsia" w:ascii="宋体" w:hAnsi="宋体" w:cs="宋体"/>
          <w:szCs w:val="21"/>
        </w:rPr>
        <w:t>据此函，我方宣布同意如下：</w:t>
      </w:r>
    </w:p>
    <w:p w14:paraId="50B46E5D">
      <w:pPr>
        <w:snapToGrid w:val="0"/>
        <w:spacing w:line="400" w:lineRule="exact"/>
        <w:ind w:firstLine="420" w:firstLineChars="200"/>
        <w:rPr>
          <w:rFonts w:hint="eastAsia" w:ascii="宋体" w:hAnsi="宋体" w:cs="宋体"/>
          <w:szCs w:val="21"/>
        </w:rPr>
      </w:pPr>
      <w:r>
        <w:rPr>
          <w:rFonts w:hint="eastAsia" w:ascii="宋体" w:hAnsi="宋体" w:cs="宋体"/>
          <w:szCs w:val="21"/>
        </w:rPr>
        <w:t>1.我方已详细审查全部“招标文件”，包括修改文件（如有的话）以及全部参考资料和有关附件，已经了解我方对于招标文件、采购过程、采购结果有依法进行询问、质疑、投诉的权利及相关渠道和要求。</w:t>
      </w:r>
    </w:p>
    <w:p w14:paraId="413C69F4">
      <w:pPr>
        <w:snapToGrid w:val="0"/>
        <w:spacing w:line="400" w:lineRule="exact"/>
        <w:ind w:firstLine="420" w:firstLineChars="200"/>
        <w:rPr>
          <w:rFonts w:hint="eastAsia" w:ascii="宋体" w:hAnsi="宋体" w:cs="宋体"/>
          <w:szCs w:val="21"/>
        </w:rPr>
      </w:pPr>
      <w:r>
        <w:rPr>
          <w:rFonts w:hint="eastAsia" w:ascii="宋体" w:hAnsi="宋体" w:cs="宋体"/>
          <w:szCs w:val="21"/>
        </w:rPr>
        <w:t>2.我方在投标之前已经完全理解并接受招标文件的各项规定和要求，对招标文件的合理性、合法性不再有异议。</w:t>
      </w:r>
    </w:p>
    <w:p w14:paraId="39146C10">
      <w:pPr>
        <w:snapToGrid w:val="0"/>
        <w:spacing w:line="400" w:lineRule="exact"/>
        <w:ind w:firstLine="420" w:firstLineChars="200"/>
        <w:rPr>
          <w:rFonts w:hint="eastAsia" w:ascii="宋体" w:hAnsi="宋体" w:cs="宋体"/>
          <w:szCs w:val="21"/>
        </w:rPr>
      </w:pPr>
      <w:r>
        <w:rPr>
          <w:rFonts w:hint="eastAsia" w:ascii="宋体" w:hAnsi="宋体" w:cs="宋体"/>
          <w:szCs w:val="21"/>
        </w:rPr>
        <w:t>3.本投标有效期自投标截止之日起日。</w:t>
      </w:r>
    </w:p>
    <w:p w14:paraId="5814220B">
      <w:pPr>
        <w:snapToGrid w:val="0"/>
        <w:spacing w:line="400" w:lineRule="exact"/>
        <w:ind w:firstLine="420" w:firstLineChars="200"/>
        <w:rPr>
          <w:rFonts w:hint="eastAsia" w:ascii="宋体" w:hAnsi="宋体" w:cs="宋体"/>
          <w:szCs w:val="21"/>
        </w:rPr>
      </w:pPr>
      <w:r>
        <w:rPr>
          <w:rFonts w:hint="eastAsia" w:ascii="宋体" w:hAnsi="宋体" w:cs="宋体"/>
          <w:szCs w:val="21"/>
        </w:rPr>
        <w:t>4.如中标，本投标文件至本项目合同履行完毕止均保持有效，我方将按“招标文件”及政府采购法律、法规的规定履行合同责任和义务。</w:t>
      </w:r>
    </w:p>
    <w:p w14:paraId="442E56F9">
      <w:pPr>
        <w:snapToGrid w:val="0"/>
        <w:spacing w:line="400" w:lineRule="exact"/>
        <w:ind w:firstLine="420" w:firstLineChars="200"/>
        <w:rPr>
          <w:rFonts w:hint="eastAsia" w:ascii="宋体" w:hAnsi="宋体" w:cs="宋体"/>
          <w:szCs w:val="21"/>
        </w:rPr>
      </w:pPr>
      <w:r>
        <w:rPr>
          <w:rFonts w:hint="eastAsia" w:ascii="宋体" w:hAnsi="宋体" w:cs="宋体"/>
          <w:szCs w:val="21"/>
        </w:rPr>
        <w:t>5.我方同意按照贵方要求提供与投标有关的一切数据或者资料。</w:t>
      </w:r>
    </w:p>
    <w:p w14:paraId="736A84CD">
      <w:pPr>
        <w:snapToGrid w:val="0"/>
        <w:spacing w:line="400" w:lineRule="exact"/>
        <w:ind w:firstLine="420" w:firstLineChars="200"/>
        <w:rPr>
          <w:rFonts w:hint="eastAsia" w:ascii="宋体" w:hAnsi="宋体" w:cs="宋体"/>
          <w:szCs w:val="21"/>
        </w:rPr>
      </w:pPr>
      <w:r>
        <w:rPr>
          <w:rFonts w:hint="eastAsia" w:ascii="宋体" w:hAnsi="宋体" w:cs="宋体"/>
          <w:szCs w:val="21"/>
        </w:rPr>
        <w:t>6.我方向贵方提交的所有投标文件、资料都是准确的和真实的。</w:t>
      </w:r>
    </w:p>
    <w:p w14:paraId="247E42D4">
      <w:pPr>
        <w:snapToGrid w:val="0"/>
        <w:spacing w:line="400" w:lineRule="exact"/>
        <w:ind w:firstLine="420" w:firstLineChars="200"/>
        <w:rPr>
          <w:rFonts w:hint="eastAsia" w:ascii="宋体" w:hAnsi="宋体" w:cs="宋体"/>
          <w:szCs w:val="21"/>
        </w:rPr>
      </w:pPr>
      <w:r>
        <w:rPr>
          <w:rFonts w:hint="eastAsia" w:ascii="宋体" w:hAnsi="宋体" w:cs="宋体"/>
          <w:szCs w:val="21"/>
        </w:rPr>
        <w:t>7.以上事项如有虚假或者隐瞒，我方愿意承担一切后果，并不再寻求任何旨在减轻或者免除法律责任的辩解。</w:t>
      </w:r>
    </w:p>
    <w:p w14:paraId="43297CA3">
      <w:pPr>
        <w:spacing w:line="400" w:lineRule="exact"/>
        <w:ind w:firstLine="420" w:firstLineChars="200"/>
        <w:rPr>
          <w:rFonts w:hint="eastAsia" w:ascii="宋体" w:hAnsi="宋体" w:cs="宋体"/>
          <w:szCs w:val="21"/>
        </w:rPr>
      </w:pPr>
      <w:r>
        <w:rPr>
          <w:rFonts w:hint="eastAsia" w:ascii="宋体" w:hAnsi="宋体" w:cs="宋体"/>
          <w:szCs w:val="21"/>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6AFA5368">
      <w:pPr>
        <w:spacing w:line="400" w:lineRule="exact"/>
        <w:ind w:firstLine="420" w:firstLineChars="200"/>
        <w:rPr>
          <w:rFonts w:hint="eastAsia" w:ascii="宋体" w:hAnsi="宋体" w:cs="宋体"/>
          <w:szCs w:val="21"/>
        </w:rPr>
      </w:pPr>
      <w:r>
        <w:rPr>
          <w:rFonts w:hint="eastAsia" w:ascii="宋体" w:hAnsi="宋体" w:cs="宋体"/>
          <w:szCs w:val="21"/>
        </w:rPr>
        <w:t>□我方本次投标文件</w:t>
      </w:r>
      <w:r>
        <w:rPr>
          <w:rFonts w:hint="eastAsia" w:ascii="宋体" w:hAnsi="宋体" w:cs="宋体"/>
          <w:kern w:val="0"/>
          <w:szCs w:val="21"/>
        </w:rPr>
        <w:t>内容中</w:t>
      </w:r>
      <w:r>
        <w:rPr>
          <w:rFonts w:hint="eastAsia" w:ascii="宋体" w:hAnsi="宋体" w:cs="宋体"/>
          <w:szCs w:val="21"/>
        </w:rPr>
        <w:t>未</w:t>
      </w:r>
      <w:r>
        <w:rPr>
          <w:rFonts w:hint="eastAsia" w:ascii="宋体" w:hAnsi="宋体" w:cs="宋体"/>
          <w:kern w:val="0"/>
          <w:szCs w:val="21"/>
        </w:rPr>
        <w:t>涉及商业秘密；</w:t>
      </w:r>
    </w:p>
    <w:p w14:paraId="0DA29DEC">
      <w:pPr>
        <w:snapToGrid w:val="0"/>
        <w:spacing w:line="400" w:lineRule="exact"/>
        <w:ind w:firstLine="420" w:firstLineChars="200"/>
        <w:rPr>
          <w:rFonts w:hint="eastAsia" w:ascii="宋体" w:hAnsi="宋体" w:cs="宋体"/>
          <w:szCs w:val="21"/>
        </w:rPr>
      </w:pPr>
      <w:r>
        <w:rPr>
          <w:rFonts w:hint="eastAsia" w:ascii="宋体" w:hAnsi="宋体" w:cs="宋体"/>
          <w:szCs w:val="21"/>
        </w:rPr>
        <w:t>□我方本次投标文件</w:t>
      </w:r>
      <w:r>
        <w:rPr>
          <w:rFonts w:hint="eastAsia" w:ascii="宋体" w:hAnsi="宋体" w:cs="宋体"/>
          <w:kern w:val="0"/>
          <w:szCs w:val="21"/>
        </w:rPr>
        <w:t>涉及商业秘密的内容有：；</w:t>
      </w:r>
    </w:p>
    <w:p w14:paraId="42044AAE">
      <w:pPr>
        <w:snapToGrid w:val="0"/>
        <w:spacing w:line="400" w:lineRule="exact"/>
        <w:ind w:firstLine="420" w:firstLineChars="200"/>
        <w:rPr>
          <w:rFonts w:hint="eastAsia" w:ascii="宋体" w:hAnsi="宋体" w:cs="宋体"/>
          <w:szCs w:val="21"/>
        </w:rPr>
      </w:pPr>
      <w:r>
        <w:rPr>
          <w:rFonts w:hint="eastAsia" w:ascii="宋体" w:hAnsi="宋体" w:cs="宋体"/>
          <w:szCs w:val="21"/>
        </w:rPr>
        <w:t>9.与本投标有关的一切正式往来信函请寄：</w:t>
      </w:r>
    </w:p>
    <w:p w14:paraId="441C9388">
      <w:pPr>
        <w:snapToGrid w:val="0"/>
        <w:spacing w:line="400" w:lineRule="exact"/>
        <w:ind w:firstLine="420" w:firstLineChars="200"/>
        <w:rPr>
          <w:rFonts w:hint="eastAsia" w:ascii="宋体" w:hAnsi="宋体" w:cs="宋体"/>
          <w:szCs w:val="21"/>
          <w:u w:val="single"/>
        </w:rPr>
      </w:pPr>
      <w:r>
        <w:rPr>
          <w:rFonts w:hint="eastAsia" w:ascii="宋体" w:hAnsi="宋体" w:cs="宋体"/>
          <w:szCs w:val="21"/>
        </w:rPr>
        <w:t>地址：邮编：</w:t>
      </w:r>
    </w:p>
    <w:p w14:paraId="622A1AFC">
      <w:pPr>
        <w:snapToGrid w:val="0"/>
        <w:spacing w:line="400" w:lineRule="exact"/>
        <w:ind w:firstLine="420" w:firstLineChars="200"/>
        <w:rPr>
          <w:rFonts w:hint="eastAsia" w:ascii="宋体" w:hAnsi="宋体" w:cs="宋体"/>
          <w:szCs w:val="21"/>
        </w:rPr>
      </w:pPr>
      <w:r>
        <w:rPr>
          <w:rFonts w:hint="eastAsia" w:ascii="宋体" w:hAnsi="宋体" w:cs="宋体"/>
          <w:szCs w:val="21"/>
        </w:rPr>
        <w:t>电话：传真：邮箱：</w:t>
      </w:r>
    </w:p>
    <w:p w14:paraId="370F095C">
      <w:pPr>
        <w:snapToGrid w:val="0"/>
        <w:spacing w:line="400" w:lineRule="exact"/>
        <w:ind w:firstLine="420" w:firstLineChars="200"/>
        <w:rPr>
          <w:rFonts w:hint="eastAsia" w:ascii="宋体" w:hAnsi="宋体" w:cs="宋体"/>
          <w:szCs w:val="21"/>
        </w:rPr>
      </w:pPr>
      <w:r>
        <w:rPr>
          <w:rFonts w:hint="eastAsia" w:ascii="宋体" w:hAnsi="宋体" w:cs="宋体"/>
          <w:szCs w:val="21"/>
        </w:rPr>
        <w:t>开户名称:</w:t>
      </w:r>
    </w:p>
    <w:p w14:paraId="72EA55A5">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开户银行：   银行帐号：</w:t>
      </w:r>
    </w:p>
    <w:p w14:paraId="1F694C49">
      <w:pPr>
        <w:snapToGrid w:val="0"/>
        <w:spacing w:line="400" w:lineRule="exact"/>
        <w:jc w:val="right"/>
        <w:rPr>
          <w:rFonts w:hint="eastAsia" w:ascii="宋体" w:hAnsi="宋体" w:cs="宋体"/>
          <w:kern w:val="0"/>
          <w:szCs w:val="21"/>
          <w:lang w:val="zh-CN"/>
        </w:rPr>
      </w:pPr>
    </w:p>
    <w:p w14:paraId="03BA85BE">
      <w:pPr>
        <w:snapToGrid w:val="0"/>
        <w:spacing w:line="400" w:lineRule="exact"/>
        <w:ind w:firstLine="4410" w:firstLineChars="21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68D3EE64">
      <w:pPr>
        <w:snapToGrid w:val="0"/>
        <w:spacing w:line="400" w:lineRule="exact"/>
        <w:ind w:firstLine="4410" w:firstLineChars="210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085D118D">
      <w:pPr>
        <w:snapToGrid w:val="0"/>
        <w:spacing w:line="360" w:lineRule="auto"/>
        <w:ind w:firstLine="4515" w:firstLineChars="2150"/>
        <w:rPr>
          <w:rFonts w:hint="eastAsia" w:ascii="宋体" w:hAnsi="宋体" w:cs="宋体"/>
          <w:kern w:val="0"/>
          <w:szCs w:val="21"/>
          <w:lang w:val="zh-CN"/>
        </w:rPr>
        <w:sectPr>
          <w:pgSz w:w="11905" w:h="16838"/>
          <w:pgMar w:top="1417" w:right="1417" w:bottom="1417" w:left="1417" w:header="720" w:footer="720" w:gutter="0"/>
          <w:cols w:space="720" w:num="1"/>
          <w:docGrid w:type="lines" w:linePitch="333" w:charSpace="0"/>
        </w:sectPr>
      </w:pPr>
    </w:p>
    <w:p w14:paraId="46F19A6F">
      <w:pPr>
        <w:pStyle w:val="11"/>
        <w:spacing w:line="400" w:lineRule="exact"/>
        <w:jc w:val="left"/>
        <w:rPr>
          <w:rFonts w:hint="eastAsia" w:hAnsi="宋体" w:cs="宋体"/>
          <w:sz w:val="21"/>
        </w:rPr>
      </w:pPr>
      <w:r>
        <w:rPr>
          <w:rFonts w:hint="eastAsia" w:hAnsi="宋体" w:cs="宋体"/>
          <w:sz w:val="21"/>
        </w:rPr>
        <w:t>4.开标一览表格式</w:t>
      </w:r>
    </w:p>
    <w:p w14:paraId="3E483C7D">
      <w:pPr>
        <w:pStyle w:val="11"/>
        <w:spacing w:line="400" w:lineRule="exact"/>
        <w:jc w:val="center"/>
        <w:rPr>
          <w:rFonts w:hint="eastAsia" w:hAnsi="宋体" w:cs="宋体"/>
          <w:b/>
          <w:sz w:val="21"/>
        </w:rPr>
      </w:pPr>
      <w:r>
        <w:rPr>
          <w:rFonts w:hint="eastAsia" w:hAnsi="宋体" w:cs="宋体"/>
          <w:b/>
          <w:sz w:val="21"/>
        </w:rPr>
        <w:t>开标一览表</w:t>
      </w:r>
      <w:r>
        <w:rPr>
          <w:rFonts w:hint="eastAsia" w:hAnsi="宋体" w:cs="宋体"/>
          <w:b/>
          <w:sz w:val="21"/>
          <w:lang w:val="zh-CN"/>
        </w:rPr>
        <w:t>(单位均为人民币元)</w:t>
      </w:r>
    </w:p>
    <w:p w14:paraId="615737B1">
      <w:pPr>
        <w:snapToGrid w:val="0"/>
        <w:spacing w:before="50" w:after="50" w:line="400" w:lineRule="exact"/>
        <w:rPr>
          <w:rFonts w:hint="eastAsia" w:ascii="宋体" w:hAnsi="宋体" w:cs="宋体"/>
          <w:szCs w:val="21"/>
          <w:u w:val="single"/>
        </w:rPr>
      </w:pPr>
      <w:r>
        <w:rPr>
          <w:rFonts w:hint="eastAsia" w:ascii="宋体" w:hAnsi="宋体" w:cs="宋体"/>
          <w:szCs w:val="21"/>
        </w:rPr>
        <w:t>项目名称：         项目编号：     分标：</w:t>
      </w:r>
    </w:p>
    <w:p w14:paraId="31BE9D89">
      <w:pPr>
        <w:pStyle w:val="11"/>
        <w:spacing w:line="400" w:lineRule="exact"/>
        <w:rPr>
          <w:rFonts w:hint="eastAsia" w:hAnsi="宋体" w:cs="宋体"/>
          <w:b/>
          <w:sz w:val="21"/>
        </w:rPr>
      </w:pPr>
      <w:r>
        <w:rPr>
          <w:rFonts w:hint="eastAsia" w:hAnsi="宋体" w:cs="宋体"/>
          <w:sz w:val="21"/>
        </w:rPr>
        <w:t>投标人名称：</w:t>
      </w:r>
    </w:p>
    <w:tbl>
      <w:tblPr>
        <w:tblStyle w:val="18"/>
        <w:tblW w:w="9096"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377"/>
        <w:gridCol w:w="1923"/>
        <w:gridCol w:w="1838"/>
        <w:gridCol w:w="1042"/>
        <w:gridCol w:w="1216"/>
        <w:gridCol w:w="1045"/>
      </w:tblGrid>
      <w:tr w14:paraId="7034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2" w:hRule="atLeast"/>
        </w:trPr>
        <w:tc>
          <w:tcPr>
            <w:tcW w:w="655" w:type="dxa"/>
            <w:tcBorders>
              <w:top w:val="single" w:color="auto" w:sz="4" w:space="0"/>
              <w:left w:val="single" w:color="auto" w:sz="4" w:space="0"/>
              <w:bottom w:val="single" w:color="auto" w:sz="4" w:space="0"/>
              <w:right w:val="single" w:color="auto" w:sz="4" w:space="0"/>
            </w:tcBorders>
            <w:vAlign w:val="center"/>
          </w:tcPr>
          <w:p w14:paraId="1B95CCD6">
            <w:pPr>
              <w:spacing w:line="400" w:lineRule="exact"/>
              <w:jc w:val="center"/>
              <w:rPr>
                <w:rFonts w:hint="eastAsia" w:ascii="宋体" w:hAnsi="宋体" w:cs="宋体"/>
                <w:b/>
                <w:szCs w:val="21"/>
              </w:rPr>
            </w:pPr>
            <w:r>
              <w:rPr>
                <w:rFonts w:hint="eastAsia" w:ascii="宋体" w:hAnsi="宋体" w:cs="宋体"/>
                <w:b/>
                <w:szCs w:val="21"/>
              </w:rPr>
              <w:t>序号</w:t>
            </w:r>
          </w:p>
        </w:tc>
        <w:tc>
          <w:tcPr>
            <w:tcW w:w="1377" w:type="dxa"/>
            <w:tcBorders>
              <w:top w:val="single" w:color="auto" w:sz="4" w:space="0"/>
              <w:left w:val="single" w:color="auto" w:sz="4" w:space="0"/>
              <w:bottom w:val="single" w:color="auto" w:sz="4" w:space="0"/>
              <w:right w:val="single" w:color="auto" w:sz="4" w:space="0"/>
            </w:tcBorders>
            <w:vAlign w:val="center"/>
          </w:tcPr>
          <w:p w14:paraId="531AA57E">
            <w:pPr>
              <w:spacing w:line="400" w:lineRule="exact"/>
              <w:jc w:val="center"/>
              <w:rPr>
                <w:rFonts w:hint="eastAsia" w:ascii="宋体" w:hAnsi="宋体" w:cs="宋体"/>
                <w:b/>
                <w:szCs w:val="21"/>
              </w:rPr>
            </w:pPr>
            <w:r>
              <w:rPr>
                <w:rFonts w:hint="eastAsia" w:ascii="宋体" w:hAnsi="宋体" w:cs="宋体"/>
                <w:b/>
                <w:szCs w:val="21"/>
              </w:rPr>
              <w:t>标的的名称</w:t>
            </w:r>
          </w:p>
        </w:tc>
        <w:tc>
          <w:tcPr>
            <w:tcW w:w="1923" w:type="dxa"/>
            <w:tcBorders>
              <w:top w:val="single" w:color="auto" w:sz="4" w:space="0"/>
              <w:left w:val="single" w:color="auto" w:sz="4" w:space="0"/>
              <w:bottom w:val="single" w:color="auto" w:sz="4" w:space="0"/>
              <w:right w:val="single" w:color="auto" w:sz="4" w:space="0"/>
            </w:tcBorders>
            <w:vAlign w:val="center"/>
          </w:tcPr>
          <w:p w14:paraId="24591E2E">
            <w:pPr>
              <w:spacing w:line="400" w:lineRule="exact"/>
              <w:jc w:val="center"/>
              <w:rPr>
                <w:rFonts w:hint="eastAsia" w:ascii="宋体" w:hAnsi="宋体" w:cs="宋体"/>
                <w:b/>
                <w:szCs w:val="21"/>
              </w:rPr>
            </w:pPr>
            <w:r>
              <w:rPr>
                <w:rFonts w:hint="eastAsia" w:ascii="宋体" w:hAnsi="宋体" w:cs="宋体"/>
                <w:b/>
                <w:szCs w:val="21"/>
              </w:rPr>
              <w:t>服务内容</w:t>
            </w:r>
          </w:p>
        </w:tc>
        <w:tc>
          <w:tcPr>
            <w:tcW w:w="1838" w:type="dxa"/>
            <w:tcBorders>
              <w:top w:val="single" w:color="auto" w:sz="4" w:space="0"/>
              <w:left w:val="single" w:color="auto" w:sz="4" w:space="0"/>
              <w:bottom w:val="single" w:color="auto" w:sz="4" w:space="0"/>
              <w:right w:val="single" w:color="auto" w:sz="4" w:space="0"/>
            </w:tcBorders>
            <w:vAlign w:val="center"/>
          </w:tcPr>
          <w:p w14:paraId="79555F56">
            <w:pPr>
              <w:spacing w:line="400" w:lineRule="exact"/>
              <w:jc w:val="center"/>
              <w:rPr>
                <w:rFonts w:hint="eastAsia" w:ascii="宋体" w:hAnsi="宋体" w:cs="宋体"/>
                <w:b/>
                <w:szCs w:val="21"/>
              </w:rPr>
            </w:pPr>
            <w:r>
              <w:rPr>
                <w:rFonts w:hint="eastAsia" w:ascii="宋体" w:hAnsi="宋体" w:cs="宋体"/>
                <w:b/>
                <w:szCs w:val="21"/>
              </w:rPr>
              <w:t>数量及单位</w:t>
            </w:r>
          </w:p>
        </w:tc>
        <w:tc>
          <w:tcPr>
            <w:tcW w:w="1042" w:type="dxa"/>
            <w:tcBorders>
              <w:top w:val="single" w:color="auto" w:sz="4" w:space="0"/>
              <w:left w:val="single" w:color="auto" w:sz="4" w:space="0"/>
              <w:bottom w:val="single" w:color="auto" w:sz="4" w:space="0"/>
              <w:right w:val="single" w:color="auto" w:sz="4" w:space="0"/>
            </w:tcBorders>
            <w:vAlign w:val="center"/>
          </w:tcPr>
          <w:p w14:paraId="1AD67C8A">
            <w:pPr>
              <w:spacing w:line="400" w:lineRule="exact"/>
              <w:jc w:val="center"/>
              <w:rPr>
                <w:rFonts w:hint="eastAsia" w:ascii="宋体" w:hAnsi="宋体" w:cs="宋体"/>
                <w:b/>
                <w:szCs w:val="21"/>
              </w:rPr>
            </w:pPr>
            <w:r>
              <w:rPr>
                <w:rFonts w:hint="eastAsia" w:ascii="宋体" w:hAnsi="宋体" w:cs="宋体"/>
                <w:b/>
                <w:szCs w:val="21"/>
              </w:rPr>
              <w:t>单价</w:t>
            </w:r>
          </w:p>
        </w:tc>
        <w:tc>
          <w:tcPr>
            <w:tcW w:w="1216" w:type="dxa"/>
            <w:tcBorders>
              <w:top w:val="single" w:color="auto" w:sz="4" w:space="0"/>
              <w:left w:val="single" w:color="auto" w:sz="4" w:space="0"/>
              <w:bottom w:val="single" w:color="auto" w:sz="4" w:space="0"/>
              <w:right w:val="single" w:color="auto" w:sz="4" w:space="0"/>
            </w:tcBorders>
            <w:vAlign w:val="center"/>
          </w:tcPr>
          <w:p w14:paraId="406513C4">
            <w:pPr>
              <w:spacing w:line="400" w:lineRule="exact"/>
              <w:jc w:val="center"/>
              <w:rPr>
                <w:rFonts w:hint="eastAsia" w:ascii="宋体" w:hAnsi="宋体" w:cs="宋体"/>
                <w:b/>
                <w:szCs w:val="21"/>
              </w:rPr>
            </w:pPr>
            <w:r>
              <w:rPr>
                <w:rFonts w:hint="eastAsia" w:ascii="宋体" w:hAnsi="宋体" w:cs="宋体"/>
                <w:b/>
                <w:szCs w:val="21"/>
              </w:rPr>
              <w:t>总价</w:t>
            </w:r>
          </w:p>
        </w:tc>
        <w:tc>
          <w:tcPr>
            <w:tcW w:w="1045" w:type="dxa"/>
            <w:tcBorders>
              <w:top w:val="single" w:color="auto" w:sz="4" w:space="0"/>
              <w:left w:val="single" w:color="auto" w:sz="4" w:space="0"/>
              <w:bottom w:val="single" w:color="auto" w:sz="4" w:space="0"/>
              <w:right w:val="single" w:color="auto" w:sz="4" w:space="0"/>
            </w:tcBorders>
            <w:vAlign w:val="center"/>
          </w:tcPr>
          <w:p w14:paraId="1665E991">
            <w:pPr>
              <w:spacing w:line="400" w:lineRule="exact"/>
              <w:jc w:val="center"/>
              <w:rPr>
                <w:rFonts w:hint="eastAsia" w:ascii="宋体" w:hAnsi="宋体" w:cs="宋体"/>
                <w:b/>
                <w:szCs w:val="21"/>
              </w:rPr>
            </w:pPr>
            <w:r>
              <w:rPr>
                <w:rFonts w:hint="eastAsia" w:ascii="宋体" w:hAnsi="宋体" w:cs="宋体"/>
                <w:b/>
                <w:szCs w:val="21"/>
              </w:rPr>
              <w:t>备注</w:t>
            </w:r>
          </w:p>
        </w:tc>
      </w:tr>
      <w:tr w14:paraId="058A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655" w:type="dxa"/>
            <w:tcBorders>
              <w:top w:val="single" w:color="auto" w:sz="4" w:space="0"/>
              <w:left w:val="single" w:color="auto" w:sz="4" w:space="0"/>
              <w:bottom w:val="single" w:color="auto" w:sz="4" w:space="0"/>
              <w:right w:val="single" w:color="auto" w:sz="4" w:space="0"/>
            </w:tcBorders>
            <w:vAlign w:val="center"/>
          </w:tcPr>
          <w:p w14:paraId="142BAF7B">
            <w:pPr>
              <w:spacing w:line="400" w:lineRule="exact"/>
              <w:jc w:val="center"/>
              <w:rPr>
                <w:rFonts w:hint="eastAsia" w:ascii="宋体" w:hAnsi="宋体" w:cs="宋体"/>
                <w:szCs w:val="21"/>
              </w:rPr>
            </w:pPr>
            <w:r>
              <w:rPr>
                <w:rFonts w:hint="eastAsia" w:ascii="宋体" w:hAnsi="宋体" w:cs="宋体"/>
                <w:szCs w:val="21"/>
              </w:rPr>
              <w:t>1</w:t>
            </w:r>
          </w:p>
        </w:tc>
        <w:tc>
          <w:tcPr>
            <w:tcW w:w="1377" w:type="dxa"/>
            <w:tcBorders>
              <w:top w:val="single" w:color="auto" w:sz="4" w:space="0"/>
              <w:left w:val="single" w:color="auto" w:sz="4" w:space="0"/>
              <w:bottom w:val="single" w:color="auto" w:sz="4" w:space="0"/>
              <w:right w:val="single" w:color="auto" w:sz="4" w:space="0"/>
            </w:tcBorders>
            <w:vAlign w:val="center"/>
          </w:tcPr>
          <w:p w14:paraId="53416254">
            <w:pPr>
              <w:spacing w:line="400" w:lineRule="exact"/>
              <w:rPr>
                <w:rFonts w:hint="eastAsia" w:ascii="宋体" w:hAnsi="宋体" w:cs="宋体"/>
                <w:szCs w:val="21"/>
              </w:rPr>
            </w:pPr>
          </w:p>
        </w:tc>
        <w:tc>
          <w:tcPr>
            <w:tcW w:w="1923" w:type="dxa"/>
            <w:tcBorders>
              <w:top w:val="single" w:color="auto" w:sz="4" w:space="0"/>
              <w:left w:val="single" w:color="auto" w:sz="4" w:space="0"/>
              <w:bottom w:val="single" w:color="auto" w:sz="4" w:space="0"/>
              <w:right w:val="single" w:color="auto" w:sz="4" w:space="0"/>
            </w:tcBorders>
            <w:vAlign w:val="center"/>
          </w:tcPr>
          <w:p w14:paraId="0E7E3617">
            <w:pPr>
              <w:spacing w:line="400" w:lineRule="exact"/>
              <w:rPr>
                <w:rFonts w:hint="eastAsia" w:ascii="宋体" w:hAnsi="宋体" w:cs="宋体"/>
                <w:szCs w:val="21"/>
              </w:rPr>
            </w:pPr>
          </w:p>
        </w:tc>
        <w:tc>
          <w:tcPr>
            <w:tcW w:w="1838" w:type="dxa"/>
            <w:tcBorders>
              <w:top w:val="single" w:color="auto" w:sz="4" w:space="0"/>
              <w:left w:val="single" w:color="auto" w:sz="4" w:space="0"/>
              <w:bottom w:val="single" w:color="auto" w:sz="4" w:space="0"/>
              <w:right w:val="single" w:color="auto" w:sz="4" w:space="0"/>
            </w:tcBorders>
            <w:vAlign w:val="center"/>
          </w:tcPr>
          <w:p w14:paraId="5CA5F203">
            <w:pPr>
              <w:spacing w:line="400" w:lineRule="exact"/>
              <w:rPr>
                <w:rFonts w:hint="eastAsia" w:ascii="宋体" w:hAnsi="宋体" w:cs="宋体"/>
                <w:szCs w:val="21"/>
              </w:rPr>
            </w:pPr>
          </w:p>
        </w:tc>
        <w:tc>
          <w:tcPr>
            <w:tcW w:w="1042" w:type="dxa"/>
            <w:tcBorders>
              <w:top w:val="single" w:color="auto" w:sz="4" w:space="0"/>
              <w:left w:val="single" w:color="auto" w:sz="4" w:space="0"/>
              <w:bottom w:val="single" w:color="auto" w:sz="4" w:space="0"/>
              <w:right w:val="single" w:color="auto" w:sz="4" w:space="0"/>
            </w:tcBorders>
            <w:vAlign w:val="center"/>
          </w:tcPr>
          <w:p w14:paraId="456DBA75">
            <w:pPr>
              <w:spacing w:line="400" w:lineRule="exact"/>
              <w:rPr>
                <w:rFonts w:hint="eastAsia" w:ascii="宋体" w:hAnsi="宋体" w:cs="宋体"/>
                <w:szCs w:val="21"/>
              </w:rPr>
            </w:pPr>
          </w:p>
        </w:tc>
        <w:tc>
          <w:tcPr>
            <w:tcW w:w="1216" w:type="dxa"/>
            <w:tcBorders>
              <w:top w:val="single" w:color="auto" w:sz="4" w:space="0"/>
              <w:left w:val="single" w:color="auto" w:sz="4" w:space="0"/>
              <w:bottom w:val="single" w:color="auto" w:sz="4" w:space="0"/>
              <w:right w:val="single" w:color="auto" w:sz="4" w:space="0"/>
            </w:tcBorders>
            <w:vAlign w:val="center"/>
          </w:tcPr>
          <w:p w14:paraId="0EC58FE0">
            <w:pPr>
              <w:spacing w:line="400" w:lineRule="exact"/>
              <w:rPr>
                <w:rFonts w:hint="eastAsia" w:ascii="宋体" w:hAnsi="宋体" w:cs="宋体"/>
                <w:szCs w:val="21"/>
              </w:rPr>
            </w:pPr>
          </w:p>
        </w:tc>
        <w:tc>
          <w:tcPr>
            <w:tcW w:w="1045" w:type="dxa"/>
            <w:tcBorders>
              <w:top w:val="single" w:color="auto" w:sz="4" w:space="0"/>
              <w:left w:val="single" w:color="auto" w:sz="4" w:space="0"/>
              <w:bottom w:val="single" w:color="auto" w:sz="4" w:space="0"/>
              <w:right w:val="single" w:color="auto" w:sz="4" w:space="0"/>
            </w:tcBorders>
            <w:vAlign w:val="center"/>
          </w:tcPr>
          <w:p w14:paraId="11521CCA">
            <w:pPr>
              <w:spacing w:line="400" w:lineRule="exact"/>
              <w:rPr>
                <w:rFonts w:hint="eastAsia" w:ascii="宋体" w:hAnsi="宋体" w:cs="宋体"/>
                <w:szCs w:val="21"/>
              </w:rPr>
            </w:pPr>
          </w:p>
        </w:tc>
      </w:tr>
      <w:tr w14:paraId="7C0E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655" w:type="dxa"/>
            <w:tcBorders>
              <w:top w:val="single" w:color="auto" w:sz="4" w:space="0"/>
              <w:left w:val="single" w:color="auto" w:sz="4" w:space="0"/>
              <w:bottom w:val="single" w:color="auto" w:sz="4" w:space="0"/>
              <w:right w:val="single" w:color="auto" w:sz="4" w:space="0"/>
            </w:tcBorders>
            <w:vAlign w:val="center"/>
          </w:tcPr>
          <w:p w14:paraId="12D6CE5B">
            <w:pPr>
              <w:spacing w:line="400" w:lineRule="exact"/>
              <w:jc w:val="center"/>
              <w:rPr>
                <w:rFonts w:hint="eastAsia" w:ascii="宋体" w:hAnsi="宋体" w:cs="宋体"/>
                <w:szCs w:val="21"/>
              </w:rPr>
            </w:pPr>
            <w:r>
              <w:rPr>
                <w:rFonts w:hint="eastAsia" w:ascii="宋体" w:hAnsi="宋体" w:cs="宋体"/>
                <w:szCs w:val="21"/>
              </w:rPr>
              <w:t>2</w:t>
            </w:r>
          </w:p>
        </w:tc>
        <w:tc>
          <w:tcPr>
            <w:tcW w:w="1377" w:type="dxa"/>
            <w:tcBorders>
              <w:top w:val="single" w:color="auto" w:sz="4" w:space="0"/>
              <w:left w:val="single" w:color="auto" w:sz="4" w:space="0"/>
              <w:bottom w:val="single" w:color="auto" w:sz="4" w:space="0"/>
              <w:right w:val="single" w:color="auto" w:sz="4" w:space="0"/>
            </w:tcBorders>
            <w:vAlign w:val="center"/>
          </w:tcPr>
          <w:p w14:paraId="3378E692">
            <w:pPr>
              <w:spacing w:line="400" w:lineRule="exact"/>
              <w:rPr>
                <w:rFonts w:hint="eastAsia" w:ascii="宋体" w:hAnsi="宋体" w:cs="宋体"/>
                <w:szCs w:val="21"/>
              </w:rPr>
            </w:pPr>
          </w:p>
        </w:tc>
        <w:tc>
          <w:tcPr>
            <w:tcW w:w="1923" w:type="dxa"/>
            <w:tcBorders>
              <w:top w:val="single" w:color="auto" w:sz="4" w:space="0"/>
              <w:left w:val="single" w:color="auto" w:sz="4" w:space="0"/>
              <w:bottom w:val="single" w:color="auto" w:sz="4" w:space="0"/>
              <w:right w:val="single" w:color="auto" w:sz="4" w:space="0"/>
            </w:tcBorders>
            <w:vAlign w:val="center"/>
          </w:tcPr>
          <w:p w14:paraId="68403B0C">
            <w:pPr>
              <w:spacing w:line="400" w:lineRule="exact"/>
              <w:rPr>
                <w:rFonts w:hint="eastAsia" w:ascii="宋体" w:hAnsi="宋体" w:cs="宋体"/>
                <w:szCs w:val="21"/>
              </w:rPr>
            </w:pPr>
          </w:p>
        </w:tc>
        <w:tc>
          <w:tcPr>
            <w:tcW w:w="1838" w:type="dxa"/>
            <w:tcBorders>
              <w:top w:val="single" w:color="auto" w:sz="4" w:space="0"/>
              <w:left w:val="single" w:color="auto" w:sz="4" w:space="0"/>
              <w:bottom w:val="single" w:color="auto" w:sz="4" w:space="0"/>
              <w:right w:val="single" w:color="auto" w:sz="4" w:space="0"/>
            </w:tcBorders>
            <w:vAlign w:val="center"/>
          </w:tcPr>
          <w:p w14:paraId="7ECCE5DC">
            <w:pPr>
              <w:spacing w:line="400" w:lineRule="exact"/>
              <w:rPr>
                <w:rFonts w:hint="eastAsia" w:ascii="宋体" w:hAnsi="宋体" w:cs="宋体"/>
                <w:szCs w:val="21"/>
              </w:rPr>
            </w:pPr>
          </w:p>
        </w:tc>
        <w:tc>
          <w:tcPr>
            <w:tcW w:w="1042" w:type="dxa"/>
            <w:tcBorders>
              <w:top w:val="single" w:color="auto" w:sz="4" w:space="0"/>
              <w:left w:val="single" w:color="auto" w:sz="4" w:space="0"/>
              <w:bottom w:val="single" w:color="auto" w:sz="4" w:space="0"/>
              <w:right w:val="single" w:color="auto" w:sz="4" w:space="0"/>
            </w:tcBorders>
            <w:vAlign w:val="center"/>
          </w:tcPr>
          <w:p w14:paraId="304144C3">
            <w:pPr>
              <w:spacing w:line="400" w:lineRule="exact"/>
              <w:rPr>
                <w:rFonts w:hint="eastAsia" w:ascii="宋体" w:hAnsi="宋体" w:cs="宋体"/>
                <w:szCs w:val="21"/>
              </w:rPr>
            </w:pPr>
          </w:p>
        </w:tc>
        <w:tc>
          <w:tcPr>
            <w:tcW w:w="1216" w:type="dxa"/>
            <w:tcBorders>
              <w:top w:val="single" w:color="auto" w:sz="4" w:space="0"/>
              <w:left w:val="single" w:color="auto" w:sz="4" w:space="0"/>
              <w:bottom w:val="single" w:color="auto" w:sz="4" w:space="0"/>
              <w:right w:val="single" w:color="auto" w:sz="4" w:space="0"/>
            </w:tcBorders>
            <w:vAlign w:val="center"/>
          </w:tcPr>
          <w:p w14:paraId="18B7F26F">
            <w:pPr>
              <w:spacing w:line="400" w:lineRule="exact"/>
              <w:rPr>
                <w:rFonts w:hint="eastAsia" w:ascii="宋体" w:hAnsi="宋体" w:cs="宋体"/>
                <w:szCs w:val="21"/>
              </w:rPr>
            </w:pPr>
          </w:p>
        </w:tc>
        <w:tc>
          <w:tcPr>
            <w:tcW w:w="1045" w:type="dxa"/>
            <w:tcBorders>
              <w:top w:val="single" w:color="auto" w:sz="4" w:space="0"/>
              <w:left w:val="single" w:color="auto" w:sz="4" w:space="0"/>
              <w:bottom w:val="single" w:color="auto" w:sz="4" w:space="0"/>
              <w:right w:val="single" w:color="auto" w:sz="4" w:space="0"/>
            </w:tcBorders>
            <w:vAlign w:val="center"/>
          </w:tcPr>
          <w:p w14:paraId="201D6BD3">
            <w:pPr>
              <w:spacing w:line="400" w:lineRule="exact"/>
              <w:rPr>
                <w:rFonts w:hint="eastAsia" w:ascii="宋体" w:hAnsi="宋体" w:cs="宋体"/>
                <w:szCs w:val="21"/>
              </w:rPr>
            </w:pPr>
          </w:p>
        </w:tc>
      </w:tr>
      <w:tr w14:paraId="7C68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655" w:type="dxa"/>
            <w:tcBorders>
              <w:top w:val="single" w:color="auto" w:sz="4" w:space="0"/>
              <w:left w:val="single" w:color="auto" w:sz="4" w:space="0"/>
              <w:bottom w:val="single" w:color="auto" w:sz="4" w:space="0"/>
              <w:right w:val="single" w:color="auto" w:sz="4" w:space="0"/>
            </w:tcBorders>
            <w:vAlign w:val="center"/>
          </w:tcPr>
          <w:p w14:paraId="064C751C">
            <w:pPr>
              <w:spacing w:line="400" w:lineRule="exact"/>
              <w:jc w:val="center"/>
              <w:rPr>
                <w:rFonts w:hint="eastAsia" w:ascii="宋体" w:hAnsi="宋体" w:cs="宋体"/>
                <w:szCs w:val="21"/>
              </w:rPr>
            </w:pPr>
            <w:r>
              <w:rPr>
                <w:rFonts w:hint="eastAsia" w:ascii="宋体" w:hAnsi="宋体" w:cs="宋体"/>
                <w:szCs w:val="21"/>
              </w:rPr>
              <w:t>...</w:t>
            </w:r>
          </w:p>
        </w:tc>
        <w:tc>
          <w:tcPr>
            <w:tcW w:w="1377" w:type="dxa"/>
            <w:tcBorders>
              <w:top w:val="single" w:color="auto" w:sz="4" w:space="0"/>
              <w:left w:val="single" w:color="auto" w:sz="4" w:space="0"/>
              <w:bottom w:val="single" w:color="auto" w:sz="4" w:space="0"/>
              <w:right w:val="single" w:color="auto" w:sz="4" w:space="0"/>
            </w:tcBorders>
            <w:vAlign w:val="center"/>
          </w:tcPr>
          <w:p w14:paraId="4287985F">
            <w:pPr>
              <w:spacing w:line="400" w:lineRule="exact"/>
              <w:rPr>
                <w:rFonts w:hint="eastAsia" w:ascii="宋体" w:hAnsi="宋体" w:cs="宋体"/>
                <w:szCs w:val="21"/>
              </w:rPr>
            </w:pPr>
          </w:p>
        </w:tc>
        <w:tc>
          <w:tcPr>
            <w:tcW w:w="1923" w:type="dxa"/>
            <w:tcBorders>
              <w:top w:val="single" w:color="auto" w:sz="4" w:space="0"/>
              <w:left w:val="single" w:color="auto" w:sz="4" w:space="0"/>
              <w:bottom w:val="single" w:color="auto" w:sz="4" w:space="0"/>
              <w:right w:val="single" w:color="auto" w:sz="4" w:space="0"/>
            </w:tcBorders>
            <w:vAlign w:val="center"/>
          </w:tcPr>
          <w:p w14:paraId="64F58A73">
            <w:pPr>
              <w:spacing w:line="400" w:lineRule="exact"/>
              <w:rPr>
                <w:rFonts w:hint="eastAsia" w:ascii="宋体" w:hAnsi="宋体" w:cs="宋体"/>
                <w:szCs w:val="21"/>
              </w:rPr>
            </w:pPr>
          </w:p>
        </w:tc>
        <w:tc>
          <w:tcPr>
            <w:tcW w:w="1838" w:type="dxa"/>
            <w:tcBorders>
              <w:top w:val="single" w:color="auto" w:sz="4" w:space="0"/>
              <w:left w:val="single" w:color="auto" w:sz="4" w:space="0"/>
              <w:bottom w:val="single" w:color="auto" w:sz="4" w:space="0"/>
              <w:right w:val="single" w:color="auto" w:sz="4" w:space="0"/>
            </w:tcBorders>
            <w:vAlign w:val="center"/>
          </w:tcPr>
          <w:p w14:paraId="652B8FD3">
            <w:pPr>
              <w:spacing w:line="400" w:lineRule="exact"/>
              <w:rPr>
                <w:rFonts w:hint="eastAsia" w:ascii="宋体" w:hAnsi="宋体" w:cs="宋体"/>
                <w:szCs w:val="21"/>
              </w:rPr>
            </w:pPr>
          </w:p>
        </w:tc>
        <w:tc>
          <w:tcPr>
            <w:tcW w:w="1042" w:type="dxa"/>
            <w:tcBorders>
              <w:top w:val="single" w:color="auto" w:sz="4" w:space="0"/>
              <w:left w:val="single" w:color="auto" w:sz="4" w:space="0"/>
              <w:bottom w:val="single" w:color="auto" w:sz="4" w:space="0"/>
              <w:right w:val="single" w:color="auto" w:sz="4" w:space="0"/>
            </w:tcBorders>
            <w:vAlign w:val="center"/>
          </w:tcPr>
          <w:p w14:paraId="68769021">
            <w:pPr>
              <w:spacing w:line="400" w:lineRule="exact"/>
              <w:rPr>
                <w:rFonts w:hint="eastAsia" w:ascii="宋体" w:hAnsi="宋体" w:cs="宋体"/>
                <w:szCs w:val="21"/>
              </w:rPr>
            </w:pPr>
          </w:p>
        </w:tc>
        <w:tc>
          <w:tcPr>
            <w:tcW w:w="1216" w:type="dxa"/>
            <w:tcBorders>
              <w:top w:val="single" w:color="auto" w:sz="4" w:space="0"/>
              <w:left w:val="single" w:color="auto" w:sz="4" w:space="0"/>
              <w:bottom w:val="single" w:color="auto" w:sz="4" w:space="0"/>
              <w:right w:val="single" w:color="auto" w:sz="4" w:space="0"/>
            </w:tcBorders>
            <w:vAlign w:val="center"/>
          </w:tcPr>
          <w:p w14:paraId="6D924F63">
            <w:pPr>
              <w:spacing w:line="400" w:lineRule="exact"/>
              <w:rPr>
                <w:rFonts w:hint="eastAsia" w:ascii="宋体" w:hAnsi="宋体" w:cs="宋体"/>
                <w:szCs w:val="21"/>
              </w:rPr>
            </w:pPr>
          </w:p>
        </w:tc>
        <w:tc>
          <w:tcPr>
            <w:tcW w:w="1045" w:type="dxa"/>
            <w:tcBorders>
              <w:top w:val="single" w:color="auto" w:sz="4" w:space="0"/>
              <w:left w:val="single" w:color="auto" w:sz="4" w:space="0"/>
              <w:bottom w:val="single" w:color="auto" w:sz="4" w:space="0"/>
              <w:right w:val="single" w:color="auto" w:sz="4" w:space="0"/>
            </w:tcBorders>
            <w:vAlign w:val="center"/>
          </w:tcPr>
          <w:p w14:paraId="1791557E">
            <w:pPr>
              <w:spacing w:line="400" w:lineRule="exact"/>
              <w:rPr>
                <w:rFonts w:hint="eastAsia" w:ascii="宋体" w:hAnsi="宋体" w:cs="宋体"/>
                <w:szCs w:val="21"/>
              </w:rPr>
            </w:pPr>
          </w:p>
        </w:tc>
      </w:tr>
      <w:tr w14:paraId="7595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096" w:type="dxa"/>
            <w:gridSpan w:val="7"/>
            <w:tcBorders>
              <w:top w:val="single" w:color="auto" w:sz="4" w:space="0"/>
              <w:left w:val="single" w:color="auto" w:sz="4" w:space="0"/>
              <w:bottom w:val="single" w:color="auto" w:sz="4" w:space="0"/>
              <w:right w:val="single" w:color="auto" w:sz="4" w:space="0"/>
            </w:tcBorders>
            <w:vAlign w:val="center"/>
          </w:tcPr>
          <w:p w14:paraId="227FE46D">
            <w:pPr>
              <w:spacing w:line="400" w:lineRule="exact"/>
              <w:rPr>
                <w:rFonts w:hint="eastAsia" w:ascii="宋体" w:hAnsi="宋体" w:cs="宋体"/>
                <w:szCs w:val="21"/>
              </w:rPr>
            </w:pPr>
            <w:r>
              <w:rPr>
                <w:rFonts w:hint="eastAsia" w:ascii="宋体" w:hAnsi="宋体" w:cs="宋体"/>
                <w:szCs w:val="21"/>
              </w:rPr>
              <w:t>合计金额大写：人民币（¥）</w:t>
            </w:r>
          </w:p>
        </w:tc>
      </w:tr>
    </w:tbl>
    <w:p w14:paraId="64C84570">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 xml:space="preserve">注： </w:t>
      </w:r>
    </w:p>
    <w:p w14:paraId="78B26E0D">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1.投标人的开标一览表必须加盖投标人</w:t>
      </w:r>
      <w:r>
        <w:rPr>
          <w:rFonts w:hint="eastAsia" w:ascii="宋体" w:hAnsi="宋体" w:cs="宋体"/>
          <w:kern w:val="0"/>
          <w:szCs w:val="21"/>
        </w:rPr>
        <w:t>公章或</w:t>
      </w:r>
      <w:r>
        <w:rPr>
          <w:rFonts w:hint="eastAsia" w:ascii="宋体" w:hAnsi="宋体" w:cs="宋体"/>
          <w:kern w:val="0"/>
          <w:szCs w:val="21"/>
          <w:lang w:val="zh-CN"/>
        </w:rPr>
        <w:t>电子签章，否则其投标作无效标处理。</w:t>
      </w:r>
    </w:p>
    <w:p w14:paraId="0DB915F0">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2.报价一经涂改，应在涂改处加盖投标人公章或者加盖电子签章或者由法定代表人或者委托代理人签字（或者电子签名），</w:t>
      </w:r>
      <w:r>
        <w:rPr>
          <w:rFonts w:hint="eastAsia" w:ascii="宋体" w:hAnsi="宋体" w:cs="宋体"/>
          <w:b/>
          <w:kern w:val="0"/>
          <w:szCs w:val="21"/>
          <w:lang w:val="zh-CN"/>
        </w:rPr>
        <w:t>否则其投标作无效标处理。</w:t>
      </w:r>
    </w:p>
    <w:p w14:paraId="5406BE19">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3.招标文件中列明采购专用耗材的，应按招标文件规定的耗材量或者按耗材的常规试用量提供报价。</w:t>
      </w:r>
    </w:p>
    <w:p w14:paraId="607FBB9A">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4.如为联合体投标，“投标人名称”处必须列明联合体各方名称，并标注联合体牵头人名称，</w:t>
      </w:r>
      <w:r>
        <w:rPr>
          <w:rFonts w:hint="eastAsia" w:ascii="宋体" w:hAnsi="宋体" w:cs="宋体"/>
          <w:b/>
          <w:kern w:val="0"/>
          <w:szCs w:val="21"/>
          <w:lang w:val="zh-CN"/>
        </w:rPr>
        <w:t>否则其投标作无效标处理。</w:t>
      </w:r>
    </w:p>
    <w:p w14:paraId="7C38B5CF">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5.如为联合体投标，盖章处须加盖联合体牵头人电子签章，</w:t>
      </w:r>
      <w:r>
        <w:rPr>
          <w:rFonts w:hint="eastAsia" w:ascii="宋体" w:hAnsi="宋体" w:cs="宋体"/>
          <w:b/>
          <w:kern w:val="0"/>
          <w:szCs w:val="21"/>
          <w:lang w:val="zh-CN"/>
        </w:rPr>
        <w:t>否则其投标作无效标处理。</w:t>
      </w:r>
    </w:p>
    <w:p w14:paraId="38330249">
      <w:pPr>
        <w:snapToGrid w:val="0"/>
        <w:spacing w:line="400" w:lineRule="exact"/>
        <w:ind w:firstLine="420" w:firstLineChars="200"/>
        <w:jc w:val="left"/>
        <w:rPr>
          <w:rFonts w:hint="eastAsia" w:ascii="宋体" w:hAnsi="宋体" w:cs="宋体"/>
          <w:kern w:val="0"/>
          <w:szCs w:val="21"/>
          <w:lang w:val="zh-CN"/>
        </w:rPr>
      </w:pPr>
      <w:r>
        <w:rPr>
          <w:rFonts w:hint="eastAsia" w:ascii="宋体" w:hAnsi="宋体" w:cs="宋体"/>
          <w:kern w:val="0"/>
          <w:szCs w:val="21"/>
          <w:lang w:val="zh-CN"/>
        </w:rPr>
        <w:t>6.如有多分标，按分标分别提供开标一览表，</w:t>
      </w:r>
      <w:r>
        <w:rPr>
          <w:rFonts w:hint="eastAsia" w:ascii="宋体" w:hAnsi="宋体" w:cs="宋体"/>
          <w:b/>
          <w:kern w:val="0"/>
          <w:szCs w:val="21"/>
          <w:lang w:val="zh-CN"/>
        </w:rPr>
        <w:t>否则投标无效。</w:t>
      </w:r>
    </w:p>
    <w:p w14:paraId="2805717D">
      <w:pPr>
        <w:snapToGrid w:val="0"/>
        <w:spacing w:line="400" w:lineRule="exact"/>
        <w:jc w:val="right"/>
        <w:rPr>
          <w:rFonts w:hint="eastAsia" w:ascii="宋体" w:hAnsi="宋体" w:cs="宋体"/>
          <w:kern w:val="0"/>
          <w:szCs w:val="21"/>
          <w:lang w:val="zh-CN"/>
        </w:rPr>
      </w:pPr>
    </w:p>
    <w:p w14:paraId="29925150">
      <w:pPr>
        <w:snapToGrid w:val="0"/>
        <w:spacing w:line="400" w:lineRule="exact"/>
        <w:jc w:val="right"/>
        <w:rPr>
          <w:rFonts w:hint="eastAsia" w:ascii="宋体" w:hAnsi="宋体" w:cs="宋体"/>
          <w:kern w:val="0"/>
          <w:szCs w:val="21"/>
          <w:lang w:val="zh-CN"/>
        </w:rPr>
      </w:pPr>
    </w:p>
    <w:p w14:paraId="3A6B5E20">
      <w:pPr>
        <w:snapToGrid w:val="0"/>
        <w:spacing w:line="400" w:lineRule="exact"/>
        <w:ind w:firstLine="4410" w:firstLineChars="21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45318E1E">
      <w:pPr>
        <w:snapToGrid w:val="0"/>
        <w:spacing w:line="400" w:lineRule="exact"/>
        <w:ind w:firstLine="4410" w:firstLineChars="210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5D547755">
      <w:pPr>
        <w:pStyle w:val="11"/>
        <w:spacing w:line="440" w:lineRule="exact"/>
        <w:rPr>
          <w:rFonts w:hint="eastAsia" w:hAnsi="宋体" w:cs="宋体"/>
          <w:sz w:val="21"/>
        </w:rPr>
        <w:sectPr>
          <w:pgSz w:w="11905" w:h="16838"/>
          <w:pgMar w:top="1417" w:right="1417" w:bottom="1417" w:left="1417" w:header="720" w:footer="720" w:gutter="0"/>
          <w:cols w:space="720" w:num="1"/>
          <w:docGrid w:type="lines" w:linePitch="333" w:charSpace="0"/>
        </w:sectPr>
      </w:pPr>
    </w:p>
    <w:p w14:paraId="1C4F7749">
      <w:pPr>
        <w:snapToGrid w:val="0"/>
        <w:spacing w:line="400" w:lineRule="exact"/>
        <w:jc w:val="center"/>
        <w:outlineLvl w:val="1"/>
        <w:rPr>
          <w:rFonts w:hint="eastAsia" w:ascii="宋体" w:hAnsi="宋体" w:cs="宋体"/>
          <w:b/>
          <w:bCs/>
          <w:szCs w:val="21"/>
        </w:rPr>
      </w:pPr>
      <w:bookmarkStart w:id="194" w:name="_Toc99033107"/>
      <w:bookmarkStart w:id="195" w:name="_Toc19686840"/>
      <w:bookmarkStart w:id="196" w:name="_Toc17480"/>
      <w:r>
        <w:rPr>
          <w:rFonts w:hint="eastAsia" w:ascii="宋体" w:hAnsi="宋体" w:cs="宋体"/>
          <w:b/>
          <w:bCs/>
          <w:szCs w:val="21"/>
        </w:rPr>
        <w:t>第六节 其他文书、文件格式</w:t>
      </w:r>
      <w:bookmarkEnd w:id="194"/>
      <w:bookmarkEnd w:id="195"/>
      <w:bookmarkEnd w:id="196"/>
    </w:p>
    <w:p w14:paraId="492C44A3">
      <w:pPr>
        <w:spacing w:line="400" w:lineRule="exact"/>
        <w:jc w:val="center"/>
        <w:rPr>
          <w:rFonts w:hint="eastAsia" w:ascii="宋体" w:hAnsi="宋体" w:cs="宋体"/>
          <w:b/>
          <w:szCs w:val="21"/>
        </w:rPr>
      </w:pPr>
    </w:p>
    <w:p w14:paraId="3CC28323">
      <w:pPr>
        <w:spacing w:line="400" w:lineRule="exact"/>
        <w:jc w:val="center"/>
        <w:rPr>
          <w:rFonts w:hint="eastAsia" w:ascii="宋体" w:hAnsi="宋体" w:cs="宋体"/>
          <w:b/>
          <w:szCs w:val="21"/>
        </w:rPr>
      </w:pPr>
      <w:r>
        <w:rPr>
          <w:rFonts w:hint="eastAsia" w:ascii="宋体" w:hAnsi="宋体" w:cs="宋体"/>
          <w:b/>
          <w:szCs w:val="21"/>
        </w:rPr>
        <w:t>中小企业声明函（服务）（格式）</w:t>
      </w:r>
    </w:p>
    <w:p w14:paraId="69C04A5D">
      <w:pPr>
        <w:spacing w:line="400" w:lineRule="exact"/>
        <w:rPr>
          <w:rFonts w:hint="eastAsia" w:ascii="宋体" w:hAnsi="宋体" w:cs="宋体"/>
          <w:b/>
          <w:bCs/>
          <w:szCs w:val="21"/>
        </w:rPr>
      </w:pPr>
    </w:p>
    <w:p w14:paraId="1545894B">
      <w:pPr>
        <w:spacing w:line="400" w:lineRule="exact"/>
        <w:ind w:left="-426" w:leftChars="-203" w:right="142" w:firstLine="420" w:firstLineChars="200"/>
        <w:contextualSpacing/>
        <w:rPr>
          <w:rFonts w:hint="eastAsia" w:ascii="宋体" w:hAnsi="宋体" w:cs="宋体"/>
          <w:kern w:val="24"/>
          <w:szCs w:val="21"/>
        </w:rPr>
      </w:pPr>
      <w:r>
        <w:rPr>
          <w:rFonts w:hint="eastAsia" w:ascii="宋体" w:hAnsi="宋体" w:cs="宋体"/>
          <w:kern w:val="0"/>
          <w:szCs w:val="21"/>
        </w:rPr>
        <w:t>本公司（联合体）郑重声明，根据《政府采购促进中小企业发展管理办法》（财库﹝2020﹞46号）的规定，本公司（联合体）参加</w:t>
      </w:r>
      <w:r>
        <w:rPr>
          <w:rFonts w:hint="eastAsia" w:ascii="宋体" w:hAnsi="宋体" w:cs="宋体"/>
          <w:kern w:val="0"/>
          <w:szCs w:val="21"/>
          <w:u w:val="single"/>
        </w:rPr>
        <w:t>（单位名称）</w:t>
      </w:r>
      <w:r>
        <w:rPr>
          <w:rFonts w:hint="eastAsia" w:ascii="宋体" w:hAnsi="宋体" w:cs="宋体"/>
          <w:kern w:val="0"/>
          <w:szCs w:val="21"/>
        </w:rPr>
        <w:t>的</w:t>
      </w:r>
      <w:r>
        <w:rPr>
          <w:rFonts w:hint="eastAsia" w:ascii="宋体" w:hAnsi="宋体" w:cs="宋体"/>
          <w:kern w:val="0"/>
          <w:szCs w:val="21"/>
          <w:u w:val="single"/>
        </w:rPr>
        <w:t>（项目名称）</w:t>
      </w:r>
      <w:r>
        <w:rPr>
          <w:rFonts w:hint="eastAsia" w:ascii="宋体" w:hAnsi="宋体" w:cs="宋体"/>
          <w:kern w:val="0"/>
          <w:szCs w:val="21"/>
        </w:rPr>
        <w:t>采购活动，服务全部由符合政策要求的中小企业承接。相关企业（含联合体中的中小企业、签订分包意向协议的中小企业）的具体情况如下：</w:t>
      </w:r>
    </w:p>
    <w:p w14:paraId="03F56993">
      <w:pPr>
        <w:tabs>
          <w:tab w:val="left" w:pos="1384"/>
          <w:tab w:val="left" w:pos="4562"/>
          <w:tab w:val="left" w:pos="6803"/>
        </w:tabs>
        <w:spacing w:line="400" w:lineRule="exact"/>
        <w:ind w:left="-426" w:right="-58" w:firstLine="655"/>
        <w:contextualSpacing/>
        <w:rPr>
          <w:rFonts w:hint="eastAsia" w:ascii="宋体" w:hAnsi="宋体" w:cs="宋体"/>
          <w:kern w:val="24"/>
          <w:szCs w:val="21"/>
        </w:rPr>
      </w:pPr>
      <w:r>
        <w:rPr>
          <w:rFonts w:hint="eastAsia" w:ascii="宋体" w:hAnsi="宋体" w:cs="宋体"/>
          <w:kern w:val="24"/>
          <w:szCs w:val="21"/>
        </w:rPr>
        <w:t>1.</w:t>
      </w:r>
      <w:r>
        <w:rPr>
          <w:rFonts w:hint="eastAsia" w:ascii="宋体" w:hAnsi="宋体" w:cs="宋体"/>
          <w:kern w:val="24"/>
          <w:szCs w:val="21"/>
          <w:u w:val="single"/>
        </w:rPr>
        <w:t>（标的名称）</w:t>
      </w:r>
      <w:r>
        <w:rPr>
          <w:rFonts w:hint="eastAsia" w:ascii="宋体" w:hAnsi="宋体" w:cs="宋体"/>
          <w:kern w:val="24"/>
          <w:szCs w:val="21"/>
        </w:rPr>
        <w:t>，属于</w:t>
      </w:r>
      <w:r>
        <w:rPr>
          <w:rFonts w:hint="eastAsia" w:ascii="宋体" w:hAnsi="宋体" w:cs="宋体"/>
          <w:kern w:val="24"/>
          <w:szCs w:val="21"/>
          <w:u w:val="single"/>
        </w:rPr>
        <w:t>（采购文件中明确的所属行业）</w:t>
      </w:r>
      <w:r>
        <w:rPr>
          <w:rFonts w:hint="eastAsia" w:ascii="宋体" w:hAnsi="宋体" w:cs="宋体"/>
          <w:kern w:val="24"/>
          <w:szCs w:val="21"/>
        </w:rPr>
        <w:t>行业；承接企业为</w:t>
      </w:r>
      <w:r>
        <w:rPr>
          <w:rFonts w:hint="eastAsia" w:ascii="宋体" w:hAnsi="宋体" w:cs="宋体"/>
          <w:kern w:val="24"/>
          <w:szCs w:val="21"/>
          <w:u w:val="single"/>
        </w:rPr>
        <w:t>（企业名称）</w:t>
      </w:r>
      <w:r>
        <w:rPr>
          <w:rFonts w:hint="eastAsia" w:ascii="宋体" w:hAnsi="宋体" w:cs="宋体"/>
          <w:kern w:val="24"/>
          <w:szCs w:val="21"/>
        </w:rPr>
        <w:t>，从业人员人，营业收入为万元，资产总额为万元，属于</w:t>
      </w:r>
      <w:r>
        <w:rPr>
          <w:rFonts w:hint="eastAsia" w:ascii="宋体" w:hAnsi="宋体" w:cs="宋体"/>
          <w:kern w:val="24"/>
          <w:szCs w:val="21"/>
          <w:u w:val="single"/>
        </w:rPr>
        <w:t>（中型企业、小型企业、微型企业）</w:t>
      </w:r>
      <w:r>
        <w:rPr>
          <w:rFonts w:hint="eastAsia" w:ascii="宋体" w:hAnsi="宋体" w:cs="宋体"/>
          <w:kern w:val="24"/>
          <w:szCs w:val="21"/>
        </w:rPr>
        <w:t>；</w:t>
      </w:r>
    </w:p>
    <w:p w14:paraId="735228E5">
      <w:pPr>
        <w:tabs>
          <w:tab w:val="left" w:pos="1065"/>
          <w:tab w:val="left" w:pos="6477"/>
        </w:tabs>
        <w:spacing w:line="400" w:lineRule="exact"/>
        <w:ind w:left="-426" w:right="-58" w:firstLine="655"/>
        <w:contextualSpacing/>
        <w:rPr>
          <w:rFonts w:hint="eastAsia" w:ascii="宋体" w:hAnsi="宋体" w:cs="宋体"/>
          <w:kern w:val="24"/>
          <w:szCs w:val="21"/>
        </w:rPr>
      </w:pPr>
      <w:r>
        <w:rPr>
          <w:rFonts w:hint="eastAsia" w:ascii="宋体" w:hAnsi="宋体" w:cs="宋体"/>
          <w:kern w:val="24"/>
          <w:szCs w:val="21"/>
        </w:rPr>
        <w:t>2.</w:t>
      </w:r>
      <w:r>
        <w:rPr>
          <w:rFonts w:hint="eastAsia" w:ascii="宋体" w:hAnsi="宋体" w:cs="宋体"/>
          <w:kern w:val="24"/>
          <w:szCs w:val="21"/>
          <w:u w:val="single"/>
        </w:rPr>
        <w:t>（标的名称）</w:t>
      </w:r>
      <w:r>
        <w:rPr>
          <w:rFonts w:hint="eastAsia" w:ascii="宋体" w:hAnsi="宋体" w:cs="宋体"/>
          <w:kern w:val="24"/>
          <w:szCs w:val="21"/>
        </w:rPr>
        <w:t>，属于</w:t>
      </w:r>
      <w:r>
        <w:rPr>
          <w:rFonts w:hint="eastAsia" w:ascii="宋体" w:hAnsi="宋体" w:cs="宋体"/>
          <w:kern w:val="24"/>
          <w:szCs w:val="21"/>
          <w:u w:val="single"/>
        </w:rPr>
        <w:t>（采购文件中明确的所属行业）</w:t>
      </w:r>
      <w:r>
        <w:rPr>
          <w:rFonts w:hint="eastAsia" w:ascii="宋体" w:hAnsi="宋体" w:cs="宋体"/>
          <w:kern w:val="24"/>
          <w:szCs w:val="21"/>
        </w:rPr>
        <w:t>行业；承接企业为</w:t>
      </w:r>
      <w:r>
        <w:rPr>
          <w:rFonts w:hint="eastAsia" w:ascii="宋体" w:hAnsi="宋体" w:cs="宋体"/>
          <w:kern w:val="24"/>
          <w:szCs w:val="21"/>
          <w:u w:val="single"/>
        </w:rPr>
        <w:t>（企业名称）</w:t>
      </w:r>
      <w:r>
        <w:rPr>
          <w:rFonts w:hint="eastAsia" w:ascii="宋体" w:hAnsi="宋体" w:cs="宋体"/>
          <w:kern w:val="24"/>
          <w:szCs w:val="21"/>
        </w:rPr>
        <w:t>，从业人员人，营业收入为万元，资产总额为万元，属于</w:t>
      </w:r>
      <w:r>
        <w:rPr>
          <w:rFonts w:hint="eastAsia" w:ascii="宋体" w:hAnsi="宋体" w:cs="宋体"/>
          <w:kern w:val="24"/>
          <w:szCs w:val="21"/>
          <w:u w:val="single"/>
        </w:rPr>
        <w:t>（中型企业、小型企业、微型企业）</w:t>
      </w:r>
      <w:r>
        <w:rPr>
          <w:rFonts w:hint="eastAsia" w:ascii="宋体" w:hAnsi="宋体" w:cs="宋体"/>
          <w:kern w:val="24"/>
          <w:szCs w:val="21"/>
        </w:rPr>
        <w:t>；</w:t>
      </w:r>
    </w:p>
    <w:p w14:paraId="6BE900A6">
      <w:pPr>
        <w:tabs>
          <w:tab w:val="left" w:pos="1065"/>
          <w:tab w:val="left" w:pos="6477"/>
        </w:tabs>
        <w:spacing w:line="400" w:lineRule="exact"/>
        <w:ind w:left="-426" w:right="-58" w:firstLine="655"/>
        <w:contextualSpacing/>
        <w:rPr>
          <w:rFonts w:hint="eastAsia" w:ascii="宋体" w:hAnsi="宋体" w:cs="宋体"/>
          <w:kern w:val="24"/>
          <w:szCs w:val="21"/>
          <w:u w:val="single"/>
        </w:rPr>
      </w:pPr>
      <w:r>
        <w:rPr>
          <w:rFonts w:hint="eastAsia" w:ascii="宋体" w:hAnsi="宋体" w:cs="宋体"/>
          <w:kern w:val="24"/>
          <w:szCs w:val="21"/>
        </w:rPr>
        <w:t xml:space="preserve">…… </w:t>
      </w:r>
    </w:p>
    <w:p w14:paraId="7A387725">
      <w:pPr>
        <w:tabs>
          <w:tab w:val="left" w:pos="1065"/>
          <w:tab w:val="left" w:pos="6477"/>
        </w:tabs>
        <w:spacing w:line="400" w:lineRule="exact"/>
        <w:ind w:left="-426" w:right="-58" w:firstLine="454"/>
        <w:contextualSpacing/>
        <w:rPr>
          <w:rFonts w:hint="eastAsia" w:ascii="宋体" w:hAnsi="宋体" w:cs="宋体"/>
          <w:kern w:val="24"/>
          <w:szCs w:val="21"/>
        </w:rPr>
      </w:pPr>
      <w:r>
        <w:rPr>
          <w:rFonts w:hint="eastAsia" w:ascii="宋体" w:hAnsi="宋体" w:cs="宋体"/>
          <w:kern w:val="24"/>
          <w:szCs w:val="21"/>
        </w:rPr>
        <w:t>以上企业，不属于大企业的分支机构，不存在控股股东为大企业的情形，也不存在与大企业的负责人为同一人的情形。</w:t>
      </w:r>
    </w:p>
    <w:p w14:paraId="392FC48E">
      <w:pPr>
        <w:tabs>
          <w:tab w:val="left" w:pos="1065"/>
          <w:tab w:val="left" w:pos="6477"/>
        </w:tabs>
        <w:spacing w:line="400" w:lineRule="exact"/>
        <w:ind w:right="-58"/>
        <w:contextualSpacing/>
        <w:rPr>
          <w:rFonts w:hint="eastAsia" w:ascii="宋体" w:hAnsi="宋体" w:cs="宋体"/>
          <w:kern w:val="24"/>
          <w:szCs w:val="21"/>
          <w:u w:val="single"/>
        </w:rPr>
      </w:pPr>
      <w:r>
        <w:rPr>
          <w:rFonts w:hint="eastAsia" w:ascii="宋体" w:hAnsi="宋体" w:cs="宋体"/>
          <w:kern w:val="24"/>
          <w:szCs w:val="21"/>
        </w:rPr>
        <w:t>本企业对上述声明内容的真实性负责。如有虚假，将依法承担相应责任。</w:t>
      </w:r>
    </w:p>
    <w:p w14:paraId="222B7D4F">
      <w:pPr>
        <w:pStyle w:val="11"/>
        <w:spacing w:line="400" w:lineRule="exact"/>
        <w:ind w:firstLine="420" w:firstLineChars="200"/>
        <w:rPr>
          <w:rFonts w:hint="eastAsia" w:hAnsi="宋体" w:cs="宋体"/>
          <w:sz w:val="21"/>
        </w:rPr>
      </w:pPr>
    </w:p>
    <w:p w14:paraId="64CEFFFB">
      <w:pPr>
        <w:pStyle w:val="11"/>
        <w:spacing w:line="400" w:lineRule="exact"/>
        <w:ind w:firstLine="420" w:firstLineChars="200"/>
        <w:rPr>
          <w:rFonts w:hint="eastAsia" w:hAnsi="宋体" w:cs="宋体"/>
          <w:sz w:val="21"/>
        </w:rPr>
      </w:pPr>
    </w:p>
    <w:p w14:paraId="12F34017">
      <w:pPr>
        <w:snapToGrid w:val="0"/>
        <w:spacing w:line="400" w:lineRule="exact"/>
        <w:ind w:firstLine="4410" w:firstLineChars="2100"/>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0599DA1E">
      <w:pPr>
        <w:snapToGrid w:val="0"/>
        <w:spacing w:line="400" w:lineRule="exact"/>
        <w:ind w:firstLine="4410" w:firstLineChars="210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50DB6CCB">
      <w:pPr>
        <w:pStyle w:val="11"/>
        <w:spacing w:line="400" w:lineRule="exact"/>
        <w:ind w:firstLine="420" w:firstLineChars="200"/>
        <w:rPr>
          <w:rFonts w:hint="eastAsia" w:hAnsi="宋体" w:cs="宋体"/>
          <w:sz w:val="21"/>
        </w:rPr>
      </w:pPr>
    </w:p>
    <w:p w14:paraId="005D2EB1">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注：</w:t>
      </w:r>
    </w:p>
    <w:p w14:paraId="3466F756">
      <w:pPr>
        <w:snapToGrid w:val="0"/>
        <w:spacing w:line="400" w:lineRule="exact"/>
        <w:ind w:firstLine="420" w:firstLineChars="200"/>
        <w:jc w:val="left"/>
        <w:rPr>
          <w:rFonts w:hint="eastAsia" w:ascii="宋体" w:hAnsi="宋体" w:cs="宋体"/>
          <w:szCs w:val="21"/>
        </w:rPr>
      </w:pPr>
      <w:r>
        <w:rPr>
          <w:rFonts w:hint="eastAsia" w:ascii="宋体" w:hAnsi="宋体" w:cs="宋体"/>
          <w:szCs w:val="21"/>
        </w:rPr>
        <w:t>1.从业人员、营业收入、资产总额填报上一年度数据，无上一年度数据的新成立企业可不填报。</w:t>
      </w:r>
    </w:p>
    <w:p w14:paraId="1E784E56">
      <w:pPr>
        <w:spacing w:line="400" w:lineRule="exact"/>
        <w:ind w:firstLine="420" w:firstLineChars="200"/>
        <w:jc w:val="left"/>
        <w:rPr>
          <w:rFonts w:hint="eastAsia" w:ascii="宋体" w:hAnsi="宋体" w:cs="宋体"/>
          <w:b/>
          <w:szCs w:val="21"/>
        </w:rPr>
      </w:pPr>
      <w:r>
        <w:rPr>
          <w:rFonts w:hint="eastAsia" w:ascii="宋体" w:hAnsi="宋体" w:cs="宋体"/>
          <w:szCs w:val="21"/>
        </w:rPr>
        <w:t>2.请根据自己的真实情况出具《中小企业声明函》。依法享受中小企业优惠政策的，采购人或者采购代理机构在公告中标结果时，同时公告其《中小企业声明函》，接受社会监督。</w:t>
      </w:r>
    </w:p>
    <w:p w14:paraId="2D232F28">
      <w:pPr>
        <w:spacing w:line="400" w:lineRule="exact"/>
        <w:jc w:val="center"/>
        <w:rPr>
          <w:rFonts w:hint="eastAsia" w:ascii="宋体" w:hAnsi="宋体" w:cs="宋体"/>
          <w:b/>
          <w:szCs w:val="21"/>
        </w:rPr>
      </w:pPr>
    </w:p>
    <w:p w14:paraId="6A6113C2">
      <w:pPr>
        <w:jc w:val="center"/>
        <w:rPr>
          <w:rFonts w:hint="eastAsia" w:ascii="宋体" w:hAnsi="宋体" w:cs="宋体"/>
          <w:b/>
          <w:szCs w:val="21"/>
        </w:rPr>
      </w:pPr>
    </w:p>
    <w:p w14:paraId="2CB23DCC">
      <w:pPr>
        <w:jc w:val="center"/>
        <w:rPr>
          <w:rFonts w:hint="eastAsia" w:ascii="宋体" w:hAnsi="宋体" w:cs="宋体"/>
          <w:b/>
          <w:szCs w:val="21"/>
        </w:rPr>
      </w:pPr>
    </w:p>
    <w:p w14:paraId="47CAE73C">
      <w:pPr>
        <w:pStyle w:val="12"/>
      </w:pPr>
    </w:p>
    <w:p w14:paraId="0010FBA2">
      <w:pPr>
        <w:pStyle w:val="12"/>
      </w:pPr>
    </w:p>
    <w:p w14:paraId="71B100B6">
      <w:pPr>
        <w:pStyle w:val="12"/>
      </w:pPr>
    </w:p>
    <w:p w14:paraId="08A35A2D">
      <w:pPr>
        <w:pStyle w:val="12"/>
      </w:pPr>
    </w:p>
    <w:p w14:paraId="32C0FA11"/>
    <w:p w14:paraId="6BB31E96">
      <w:pPr>
        <w:pStyle w:val="2"/>
      </w:pPr>
    </w:p>
    <w:p w14:paraId="594DBB34">
      <w:pPr>
        <w:pStyle w:val="3"/>
      </w:pPr>
    </w:p>
    <w:p w14:paraId="2989C41F">
      <w:pPr>
        <w:pStyle w:val="12"/>
      </w:pPr>
    </w:p>
    <w:p w14:paraId="77A477C8">
      <w:pPr>
        <w:spacing w:line="480" w:lineRule="exact"/>
        <w:jc w:val="center"/>
        <w:rPr>
          <w:rFonts w:hint="eastAsia" w:ascii="宋体" w:hAnsi="宋体" w:cs="宋体"/>
          <w:b/>
          <w:szCs w:val="21"/>
        </w:rPr>
      </w:pPr>
    </w:p>
    <w:p w14:paraId="799E0A73">
      <w:pPr>
        <w:spacing w:line="400" w:lineRule="exact"/>
        <w:jc w:val="center"/>
        <w:rPr>
          <w:rFonts w:hint="eastAsia" w:ascii="宋体" w:hAnsi="宋体" w:cs="宋体"/>
          <w:b/>
          <w:szCs w:val="21"/>
        </w:rPr>
      </w:pPr>
      <w:r>
        <w:rPr>
          <w:rFonts w:hint="eastAsia" w:ascii="宋体" w:hAnsi="宋体" w:cs="宋体"/>
          <w:b/>
          <w:szCs w:val="21"/>
        </w:rPr>
        <w:t>残疾人福利性单位声明函（格式）</w:t>
      </w:r>
    </w:p>
    <w:p w14:paraId="54EF15D1">
      <w:pPr>
        <w:pStyle w:val="11"/>
        <w:spacing w:line="400" w:lineRule="exact"/>
        <w:jc w:val="center"/>
        <w:rPr>
          <w:rFonts w:hint="eastAsia" w:hAnsi="宋体" w:cs="宋体"/>
          <w:b/>
          <w:sz w:val="21"/>
        </w:rPr>
      </w:pPr>
    </w:p>
    <w:p w14:paraId="2066D371">
      <w:pPr>
        <w:pStyle w:val="11"/>
        <w:spacing w:line="400" w:lineRule="exact"/>
        <w:jc w:val="left"/>
        <w:rPr>
          <w:rFonts w:hint="eastAsia" w:hAnsi="宋体" w:cs="宋体"/>
          <w:sz w:val="21"/>
        </w:rPr>
      </w:pPr>
      <w:r>
        <w:rPr>
          <w:rFonts w:hint="eastAsia" w:hAnsi="宋体" w:cs="宋体"/>
          <w:sz w:val="21"/>
        </w:rPr>
        <w:t xml:space="preserve">   本公司郑重声明，根据《财政部 民政部 中国残疾人联合会关于促进残疾人就业政府采购政策的通知》（财库〔2017〕 141号）的规定，本公司为符合条件的残疾人福利性单位，且本公司参加单位的项目采购活动提供本公司制造的货物（由本公司承担工程/提供服务），或者提供其他残疾人福利性单位制造的货物（不包括使用非残疾人福利性单位注册商标的货物）。</w:t>
      </w:r>
    </w:p>
    <w:p w14:paraId="5DABC9E3">
      <w:pPr>
        <w:pStyle w:val="11"/>
        <w:spacing w:line="400" w:lineRule="exact"/>
        <w:ind w:firstLine="420" w:firstLineChars="200"/>
        <w:jc w:val="left"/>
        <w:rPr>
          <w:rFonts w:hint="eastAsia" w:hAnsi="宋体" w:cs="宋体"/>
          <w:sz w:val="21"/>
        </w:rPr>
      </w:pPr>
      <w:r>
        <w:rPr>
          <w:rFonts w:hint="eastAsia" w:hAnsi="宋体" w:cs="宋体"/>
          <w:sz w:val="21"/>
        </w:rPr>
        <w:t>本公司对上述声明的真实性负责。如有虚假，将依法承担相应责任。</w:t>
      </w:r>
    </w:p>
    <w:p w14:paraId="2DE4BA44">
      <w:pPr>
        <w:pStyle w:val="11"/>
        <w:spacing w:line="400" w:lineRule="exact"/>
        <w:jc w:val="left"/>
        <w:rPr>
          <w:rFonts w:hint="eastAsia" w:hAnsi="宋体" w:cs="宋体"/>
          <w:b/>
          <w:sz w:val="21"/>
        </w:rPr>
      </w:pPr>
    </w:p>
    <w:p w14:paraId="176C993B">
      <w:pPr>
        <w:pStyle w:val="11"/>
        <w:spacing w:line="400" w:lineRule="exact"/>
        <w:jc w:val="left"/>
        <w:rPr>
          <w:rFonts w:hint="eastAsia" w:hAnsi="宋体" w:cs="宋体"/>
          <w:b/>
          <w:sz w:val="21"/>
        </w:rPr>
      </w:pPr>
    </w:p>
    <w:p w14:paraId="51545779">
      <w:pPr>
        <w:snapToGrid w:val="0"/>
        <w:spacing w:line="400" w:lineRule="exact"/>
        <w:ind w:left="5378" w:leftChars="1736" w:hanging="1732" w:hangingChars="825"/>
        <w:rPr>
          <w:rFonts w:hint="eastAsia" w:ascii="宋体" w:hAnsi="宋体" w:cs="宋体"/>
          <w:kern w:val="0"/>
          <w:szCs w:val="21"/>
        </w:rPr>
      </w:pPr>
      <w:r>
        <w:rPr>
          <w:rFonts w:hint="eastAsia" w:ascii="宋体" w:hAnsi="宋体" w:cs="宋体"/>
          <w:kern w:val="0"/>
          <w:szCs w:val="21"/>
          <w:lang w:val="zh-CN"/>
        </w:rPr>
        <w:t>投标人名称(</w:t>
      </w:r>
      <w:r>
        <w:rPr>
          <w:rFonts w:hint="eastAsia" w:ascii="宋体" w:hAnsi="宋体" w:cs="宋体"/>
          <w:kern w:val="0"/>
          <w:szCs w:val="21"/>
        </w:rPr>
        <w:t>公章或</w:t>
      </w:r>
      <w:r>
        <w:rPr>
          <w:rFonts w:hint="eastAsia" w:ascii="宋体" w:hAnsi="宋体" w:cs="宋体"/>
          <w:kern w:val="0"/>
          <w:szCs w:val="21"/>
          <w:lang w:val="zh-CN"/>
        </w:rPr>
        <w:t>电子签章)：</w:t>
      </w:r>
    </w:p>
    <w:p w14:paraId="5A228C94">
      <w:pPr>
        <w:snapToGrid w:val="0"/>
        <w:spacing w:line="400" w:lineRule="exact"/>
        <w:ind w:firstLine="4515" w:firstLineChars="2150"/>
        <w:rPr>
          <w:rFonts w:hint="eastAsia" w:ascii="宋体" w:hAnsi="宋体" w:cs="宋体"/>
          <w:kern w:val="0"/>
          <w:szCs w:val="21"/>
          <w:lang w:val="zh-CN"/>
        </w:rPr>
      </w:pPr>
      <w:r>
        <w:rPr>
          <w:rFonts w:hint="eastAsia" w:ascii="宋体" w:hAnsi="宋体" w:cs="宋体"/>
          <w:kern w:val="0"/>
          <w:szCs w:val="21"/>
          <w:lang w:val="zh-CN"/>
        </w:rPr>
        <w:t>日期</w:t>
      </w:r>
      <w:r>
        <w:rPr>
          <w:rFonts w:hint="eastAsia" w:ascii="宋体" w:hAnsi="宋体" w:cs="宋体"/>
          <w:kern w:val="0"/>
          <w:szCs w:val="21"/>
        </w:rPr>
        <w:t xml:space="preserve">：  年  </w:t>
      </w:r>
      <w:r>
        <w:rPr>
          <w:rFonts w:hint="eastAsia" w:ascii="宋体" w:hAnsi="宋体" w:cs="宋体"/>
          <w:kern w:val="0"/>
          <w:szCs w:val="21"/>
          <w:lang w:val="zh-CN"/>
        </w:rPr>
        <w:t>月日</w:t>
      </w:r>
    </w:p>
    <w:p w14:paraId="10969424">
      <w:pPr>
        <w:pStyle w:val="11"/>
        <w:spacing w:line="400" w:lineRule="exact"/>
        <w:rPr>
          <w:rFonts w:hint="eastAsia" w:hAnsi="宋体" w:cs="宋体"/>
          <w:sz w:val="21"/>
        </w:rPr>
      </w:pPr>
    </w:p>
    <w:p w14:paraId="6978C507">
      <w:pPr>
        <w:spacing w:line="400" w:lineRule="exact"/>
        <w:ind w:right="420" w:firstLine="420" w:firstLineChars="200"/>
        <w:rPr>
          <w:rFonts w:hint="eastAsia" w:ascii="宋体" w:hAnsi="宋体" w:cs="宋体"/>
          <w:szCs w:val="21"/>
        </w:rPr>
      </w:pPr>
    </w:p>
    <w:p w14:paraId="60B6C037">
      <w:pPr>
        <w:spacing w:line="400" w:lineRule="exact"/>
        <w:ind w:right="420" w:firstLine="420" w:firstLineChars="200"/>
        <w:rPr>
          <w:rFonts w:hint="eastAsia" w:ascii="宋体" w:hAnsi="宋体" w:cs="宋体"/>
          <w:szCs w:val="21"/>
        </w:rPr>
      </w:pPr>
      <w:r>
        <w:rPr>
          <w:rFonts w:hint="eastAsia" w:ascii="宋体" w:hAnsi="宋体" w:cs="宋体"/>
          <w:szCs w:val="21"/>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rPr>
        <w:t>〔2014〕</w:t>
      </w:r>
      <w:r>
        <w:rPr>
          <w:rFonts w:hint="eastAsia" w:ascii="宋体" w:hAnsi="宋体" w:cs="宋体"/>
          <w:szCs w:val="21"/>
        </w:rPr>
        <w:t>68号）的规定，投标人提供由省级以上监狱管理局、戒毒管理局（含新疆生产建设兵团）出具的属于监狱企业证明文件的，视同为小型和微型企业。</w:t>
      </w:r>
    </w:p>
    <w:p w14:paraId="538D12D0">
      <w:pPr>
        <w:spacing w:line="400" w:lineRule="exact"/>
        <w:ind w:firstLine="420" w:firstLineChars="200"/>
        <w:contextualSpacing/>
        <w:rPr>
          <w:rFonts w:hint="eastAsia" w:ascii="宋体" w:hAnsi="宋体" w:cs="宋体"/>
          <w:szCs w:val="21"/>
        </w:rPr>
      </w:pPr>
    </w:p>
    <w:p w14:paraId="7854A9A4">
      <w:pPr>
        <w:spacing w:line="400" w:lineRule="exact"/>
        <w:jc w:val="left"/>
        <w:rPr>
          <w:rFonts w:hint="eastAsia" w:ascii="宋体" w:hAnsi="宋体" w:cs="宋体"/>
          <w:szCs w:val="21"/>
        </w:rPr>
      </w:pPr>
      <w:r>
        <w:rPr>
          <w:rFonts w:hint="eastAsia" w:ascii="宋体" w:hAnsi="宋体" w:cs="宋体"/>
          <w:szCs w:val="21"/>
        </w:rPr>
        <w:br w:type="page"/>
      </w:r>
      <w:r>
        <w:rPr>
          <w:rFonts w:hint="eastAsia" w:ascii="宋体" w:hAnsi="宋体" w:cs="宋体"/>
          <w:b/>
          <w:szCs w:val="21"/>
        </w:rPr>
        <w:t>4.质疑函格式</w:t>
      </w:r>
    </w:p>
    <w:p w14:paraId="5356551D">
      <w:pPr>
        <w:spacing w:line="400" w:lineRule="exact"/>
        <w:jc w:val="center"/>
        <w:rPr>
          <w:rFonts w:hint="eastAsia" w:ascii="宋体" w:hAnsi="宋体" w:cs="宋体"/>
          <w:b/>
          <w:bCs/>
          <w:szCs w:val="21"/>
        </w:rPr>
      </w:pPr>
      <w:r>
        <w:rPr>
          <w:rFonts w:hint="eastAsia" w:ascii="宋体" w:hAnsi="宋体" w:cs="宋体"/>
          <w:b/>
          <w:bCs/>
          <w:szCs w:val="21"/>
        </w:rPr>
        <w:t>质疑函</w:t>
      </w:r>
    </w:p>
    <w:p w14:paraId="4D0A5962">
      <w:pPr>
        <w:pStyle w:val="11"/>
        <w:snapToGrid w:val="0"/>
        <w:spacing w:line="400" w:lineRule="exact"/>
        <w:ind w:firstLine="422" w:firstLineChars="200"/>
        <w:rPr>
          <w:rFonts w:hint="eastAsia" w:hAnsi="宋体" w:cs="宋体"/>
          <w:b/>
          <w:bCs/>
          <w:sz w:val="21"/>
        </w:rPr>
      </w:pPr>
      <w:r>
        <w:rPr>
          <w:rFonts w:hint="eastAsia" w:hAnsi="宋体" w:cs="宋体"/>
          <w:b/>
          <w:bCs/>
          <w:sz w:val="21"/>
        </w:rPr>
        <w:t>一、质疑供应商基本信息：</w:t>
      </w:r>
    </w:p>
    <w:p w14:paraId="2C4D0648">
      <w:pPr>
        <w:pStyle w:val="11"/>
        <w:snapToGrid w:val="0"/>
        <w:spacing w:line="400" w:lineRule="exact"/>
        <w:ind w:firstLine="420" w:firstLineChars="200"/>
        <w:rPr>
          <w:rFonts w:hint="eastAsia" w:hAnsi="宋体" w:cs="宋体"/>
          <w:bCs/>
          <w:sz w:val="21"/>
          <w:u w:val="single"/>
        </w:rPr>
      </w:pPr>
      <w:r>
        <w:rPr>
          <w:rFonts w:hint="eastAsia" w:hAnsi="宋体" w:cs="宋体"/>
          <w:bCs/>
          <w:sz w:val="21"/>
        </w:rPr>
        <w:t>质疑供应商：</w:t>
      </w:r>
    </w:p>
    <w:p w14:paraId="73E245C7">
      <w:pPr>
        <w:pStyle w:val="11"/>
        <w:snapToGrid w:val="0"/>
        <w:spacing w:line="400" w:lineRule="exact"/>
        <w:ind w:firstLine="420" w:firstLineChars="200"/>
        <w:rPr>
          <w:rFonts w:hint="eastAsia" w:hAnsi="宋体" w:cs="宋体"/>
          <w:bCs/>
          <w:sz w:val="21"/>
        </w:rPr>
      </w:pPr>
      <w:r>
        <w:rPr>
          <w:rFonts w:hint="eastAsia" w:hAnsi="宋体" w:cs="宋体"/>
          <w:bCs/>
          <w:sz w:val="21"/>
        </w:rPr>
        <w:t>地址：邮编：</w:t>
      </w:r>
    </w:p>
    <w:p w14:paraId="3A931416">
      <w:pPr>
        <w:pStyle w:val="11"/>
        <w:snapToGrid w:val="0"/>
        <w:spacing w:line="400" w:lineRule="exact"/>
        <w:ind w:firstLine="420" w:firstLineChars="200"/>
        <w:rPr>
          <w:rFonts w:hint="eastAsia" w:hAnsi="宋体" w:cs="宋体"/>
          <w:bCs/>
          <w:sz w:val="21"/>
        </w:rPr>
      </w:pPr>
      <w:r>
        <w:rPr>
          <w:rFonts w:hint="eastAsia" w:hAnsi="宋体" w:cs="宋体"/>
          <w:bCs/>
          <w:sz w:val="21"/>
        </w:rPr>
        <w:t>联系人：联系电话：</w:t>
      </w:r>
    </w:p>
    <w:p w14:paraId="1176BEBD">
      <w:pPr>
        <w:pStyle w:val="11"/>
        <w:snapToGrid w:val="0"/>
        <w:spacing w:line="400" w:lineRule="exact"/>
        <w:ind w:firstLine="420" w:firstLineChars="200"/>
        <w:rPr>
          <w:rFonts w:hint="eastAsia" w:hAnsi="宋体" w:cs="宋体"/>
          <w:bCs/>
          <w:sz w:val="21"/>
        </w:rPr>
      </w:pPr>
      <w:r>
        <w:rPr>
          <w:rFonts w:hint="eastAsia" w:hAnsi="宋体" w:cs="宋体"/>
          <w:bCs/>
          <w:sz w:val="21"/>
        </w:rPr>
        <w:t>授权代表：</w:t>
      </w:r>
    </w:p>
    <w:p w14:paraId="6BE7FF29">
      <w:pPr>
        <w:pStyle w:val="11"/>
        <w:snapToGrid w:val="0"/>
        <w:spacing w:line="400" w:lineRule="exact"/>
        <w:ind w:firstLine="420" w:firstLineChars="200"/>
        <w:rPr>
          <w:rFonts w:hint="eastAsia" w:hAnsi="宋体" w:cs="宋体"/>
          <w:bCs/>
          <w:sz w:val="21"/>
          <w:u w:val="single"/>
        </w:rPr>
      </w:pPr>
      <w:r>
        <w:rPr>
          <w:rFonts w:hint="eastAsia" w:hAnsi="宋体" w:cs="宋体"/>
          <w:bCs/>
          <w:sz w:val="21"/>
        </w:rPr>
        <w:t>联系电话：</w:t>
      </w:r>
    </w:p>
    <w:p w14:paraId="0CC8E862">
      <w:pPr>
        <w:pStyle w:val="11"/>
        <w:snapToGrid w:val="0"/>
        <w:spacing w:line="400" w:lineRule="exact"/>
        <w:ind w:firstLine="420" w:firstLineChars="200"/>
        <w:rPr>
          <w:rFonts w:hint="eastAsia" w:hAnsi="宋体" w:cs="宋体"/>
          <w:bCs/>
          <w:sz w:val="21"/>
        </w:rPr>
      </w:pPr>
      <w:r>
        <w:rPr>
          <w:rFonts w:hint="eastAsia" w:hAnsi="宋体" w:cs="宋体"/>
          <w:bCs/>
          <w:sz w:val="21"/>
        </w:rPr>
        <w:t>地址：邮编：</w:t>
      </w:r>
    </w:p>
    <w:p w14:paraId="2C4BBBDE">
      <w:pPr>
        <w:pStyle w:val="11"/>
        <w:snapToGrid w:val="0"/>
        <w:spacing w:line="400" w:lineRule="exact"/>
        <w:ind w:firstLine="422" w:firstLineChars="200"/>
        <w:rPr>
          <w:rFonts w:hint="eastAsia" w:hAnsi="宋体" w:cs="宋体"/>
          <w:b/>
          <w:bCs/>
          <w:sz w:val="21"/>
        </w:rPr>
      </w:pPr>
      <w:r>
        <w:rPr>
          <w:rFonts w:hint="eastAsia" w:hAnsi="宋体" w:cs="宋体"/>
          <w:b/>
          <w:bCs/>
          <w:sz w:val="21"/>
        </w:rPr>
        <w:t>二、质疑项目基本情况：</w:t>
      </w:r>
    </w:p>
    <w:p w14:paraId="39E3AA8A">
      <w:pPr>
        <w:pStyle w:val="11"/>
        <w:spacing w:line="400" w:lineRule="exact"/>
        <w:ind w:left="25" w:leftChars="12" w:firstLine="413" w:firstLineChars="197"/>
        <w:rPr>
          <w:rFonts w:hint="eastAsia" w:hAnsi="宋体" w:cs="宋体"/>
          <w:sz w:val="21"/>
        </w:rPr>
      </w:pPr>
      <w:r>
        <w:rPr>
          <w:rFonts w:hint="eastAsia" w:hAnsi="宋体" w:cs="宋体"/>
          <w:bCs/>
          <w:sz w:val="21"/>
        </w:rPr>
        <w:t>质疑</w:t>
      </w:r>
      <w:r>
        <w:rPr>
          <w:rFonts w:hint="eastAsia" w:hAnsi="宋体" w:cs="宋体"/>
          <w:sz w:val="21"/>
        </w:rPr>
        <w:t>项目的名称：</w:t>
      </w:r>
    </w:p>
    <w:p w14:paraId="42C759AE">
      <w:pPr>
        <w:pStyle w:val="11"/>
        <w:spacing w:line="400" w:lineRule="exact"/>
        <w:ind w:left="25" w:leftChars="12" w:firstLine="413" w:firstLineChars="197"/>
        <w:rPr>
          <w:rFonts w:hint="eastAsia" w:hAnsi="宋体" w:cs="宋体"/>
          <w:sz w:val="21"/>
        </w:rPr>
      </w:pPr>
      <w:r>
        <w:rPr>
          <w:rFonts w:hint="eastAsia" w:hAnsi="宋体" w:cs="宋体"/>
          <w:bCs/>
          <w:sz w:val="21"/>
        </w:rPr>
        <w:t>质疑</w:t>
      </w:r>
      <w:r>
        <w:rPr>
          <w:rFonts w:hint="eastAsia" w:hAnsi="宋体" w:cs="宋体"/>
          <w:sz w:val="21"/>
        </w:rPr>
        <w:t>项目的编号：</w:t>
      </w:r>
    </w:p>
    <w:p w14:paraId="10526F29">
      <w:pPr>
        <w:pStyle w:val="11"/>
        <w:spacing w:line="400" w:lineRule="exact"/>
        <w:ind w:left="25" w:leftChars="12" w:firstLine="413" w:firstLineChars="197"/>
        <w:rPr>
          <w:rFonts w:hint="eastAsia" w:hAnsi="宋体" w:cs="宋体"/>
          <w:sz w:val="21"/>
        </w:rPr>
      </w:pPr>
      <w:r>
        <w:rPr>
          <w:rFonts w:hint="eastAsia" w:hAnsi="宋体" w:cs="宋体"/>
          <w:sz w:val="21"/>
        </w:rPr>
        <w:t>采购人名称：</w:t>
      </w:r>
    </w:p>
    <w:p w14:paraId="1BBAC0E1">
      <w:pPr>
        <w:pStyle w:val="11"/>
        <w:spacing w:line="400" w:lineRule="exact"/>
        <w:ind w:left="25" w:leftChars="12" w:firstLine="413" w:firstLineChars="197"/>
        <w:rPr>
          <w:rFonts w:hint="eastAsia" w:hAnsi="宋体" w:cs="宋体"/>
          <w:sz w:val="21"/>
        </w:rPr>
      </w:pPr>
      <w:r>
        <w:rPr>
          <w:rFonts w:hint="eastAsia" w:hAnsi="宋体" w:cs="宋体"/>
          <w:sz w:val="21"/>
        </w:rPr>
        <w:t>质疑事项：</w:t>
      </w:r>
    </w:p>
    <w:p w14:paraId="0810B2FD">
      <w:pPr>
        <w:pStyle w:val="11"/>
        <w:spacing w:line="400" w:lineRule="exact"/>
        <w:ind w:left="25" w:leftChars="12" w:firstLine="308" w:firstLineChars="147"/>
        <w:rPr>
          <w:rFonts w:hint="eastAsia" w:hAnsi="宋体" w:cs="宋体"/>
          <w:sz w:val="21"/>
        </w:rPr>
      </w:pPr>
      <w:r>
        <w:rPr>
          <w:rFonts w:hint="eastAsia" w:hAnsi="宋体" w:cs="宋体"/>
          <w:sz w:val="21"/>
        </w:rPr>
        <w:t>□招标文件   招标文件获取日期：</w:t>
      </w:r>
    </w:p>
    <w:p w14:paraId="4075753A">
      <w:pPr>
        <w:pStyle w:val="11"/>
        <w:spacing w:line="400" w:lineRule="exact"/>
        <w:ind w:left="25" w:leftChars="12" w:firstLine="308" w:firstLineChars="147"/>
        <w:rPr>
          <w:rFonts w:hint="eastAsia" w:hAnsi="宋体" w:cs="宋体"/>
          <w:sz w:val="21"/>
        </w:rPr>
      </w:pPr>
      <w:r>
        <w:rPr>
          <w:rFonts w:hint="eastAsia" w:hAnsi="宋体" w:cs="宋体"/>
          <w:sz w:val="21"/>
        </w:rPr>
        <w:t xml:space="preserve">□采购过程   </w:t>
      </w:r>
    </w:p>
    <w:p w14:paraId="109C08C1">
      <w:pPr>
        <w:pStyle w:val="11"/>
        <w:spacing w:line="400" w:lineRule="exact"/>
        <w:ind w:left="25" w:leftChars="12" w:firstLine="308" w:firstLineChars="147"/>
        <w:rPr>
          <w:rFonts w:hint="eastAsia" w:hAnsi="宋体" w:cs="宋体"/>
          <w:bCs/>
          <w:sz w:val="21"/>
          <w:u w:val="single"/>
        </w:rPr>
      </w:pPr>
      <w:r>
        <w:rPr>
          <w:rFonts w:hint="eastAsia" w:hAnsi="宋体" w:cs="宋体"/>
          <w:sz w:val="21"/>
        </w:rPr>
        <w:t xml:space="preserve">□中标结果   </w:t>
      </w:r>
    </w:p>
    <w:p w14:paraId="214D75D4">
      <w:pPr>
        <w:pStyle w:val="11"/>
        <w:spacing w:line="400" w:lineRule="exact"/>
        <w:ind w:left="25" w:leftChars="12" w:firstLine="413" w:firstLineChars="196"/>
        <w:rPr>
          <w:rFonts w:hint="eastAsia" w:hAnsi="宋体" w:cs="宋体"/>
          <w:b/>
          <w:sz w:val="21"/>
        </w:rPr>
      </w:pPr>
      <w:r>
        <w:rPr>
          <w:rFonts w:hint="eastAsia" w:hAnsi="宋体" w:cs="宋体"/>
          <w:b/>
          <w:sz w:val="21"/>
        </w:rPr>
        <w:t>三、质疑事项具体内容</w:t>
      </w:r>
    </w:p>
    <w:p w14:paraId="4789214B">
      <w:pPr>
        <w:pStyle w:val="11"/>
        <w:spacing w:line="400" w:lineRule="exact"/>
        <w:ind w:left="25" w:leftChars="12" w:firstLine="413" w:firstLineChars="197"/>
        <w:rPr>
          <w:rFonts w:hint="eastAsia" w:hAnsi="宋体" w:cs="宋体"/>
          <w:sz w:val="21"/>
        </w:rPr>
      </w:pPr>
      <w:r>
        <w:rPr>
          <w:rFonts w:hint="eastAsia" w:hAnsi="宋体" w:cs="宋体"/>
          <w:sz w:val="21"/>
        </w:rPr>
        <w:t>质疑事项1：</w:t>
      </w:r>
    </w:p>
    <w:p w14:paraId="42037B4C">
      <w:pPr>
        <w:pStyle w:val="11"/>
        <w:spacing w:line="400" w:lineRule="exact"/>
        <w:ind w:left="25" w:leftChars="12" w:firstLine="413" w:firstLineChars="197"/>
        <w:rPr>
          <w:rFonts w:hint="eastAsia" w:hAnsi="宋体" w:cs="宋体"/>
          <w:sz w:val="21"/>
        </w:rPr>
      </w:pPr>
      <w:r>
        <w:rPr>
          <w:rFonts w:hint="eastAsia" w:hAnsi="宋体" w:cs="宋体"/>
          <w:sz w:val="21"/>
        </w:rPr>
        <w:t>事实依据：</w:t>
      </w:r>
    </w:p>
    <w:p w14:paraId="6B30B0F4">
      <w:pPr>
        <w:pStyle w:val="11"/>
        <w:spacing w:line="400" w:lineRule="exact"/>
        <w:ind w:left="25" w:leftChars="12" w:firstLine="413" w:firstLineChars="197"/>
        <w:rPr>
          <w:rFonts w:hint="eastAsia" w:hAnsi="宋体" w:cs="宋体"/>
          <w:sz w:val="21"/>
        </w:rPr>
      </w:pPr>
      <w:r>
        <w:rPr>
          <w:rFonts w:hint="eastAsia" w:hAnsi="宋体" w:cs="宋体"/>
          <w:sz w:val="21"/>
        </w:rPr>
        <w:t>法律依据：</w:t>
      </w:r>
    </w:p>
    <w:p w14:paraId="36F984C0">
      <w:pPr>
        <w:pStyle w:val="11"/>
        <w:spacing w:line="400" w:lineRule="exact"/>
        <w:ind w:left="25" w:leftChars="12" w:firstLine="413" w:firstLineChars="197"/>
        <w:rPr>
          <w:rFonts w:hint="eastAsia" w:hAnsi="宋体" w:cs="宋体"/>
          <w:sz w:val="21"/>
        </w:rPr>
      </w:pPr>
      <w:r>
        <w:rPr>
          <w:rFonts w:hint="eastAsia" w:hAnsi="宋体" w:cs="宋体"/>
          <w:sz w:val="21"/>
        </w:rPr>
        <w:t>质疑事项2</w:t>
      </w:r>
    </w:p>
    <w:p w14:paraId="214B4C04">
      <w:pPr>
        <w:pStyle w:val="11"/>
        <w:spacing w:line="400" w:lineRule="exact"/>
        <w:ind w:left="25" w:leftChars="12" w:firstLine="413" w:firstLineChars="197"/>
        <w:rPr>
          <w:rFonts w:hint="eastAsia" w:hAnsi="宋体" w:cs="宋体"/>
          <w:sz w:val="21"/>
        </w:rPr>
      </w:pPr>
      <w:r>
        <w:rPr>
          <w:rFonts w:hint="eastAsia" w:hAnsi="宋体" w:cs="宋体"/>
          <w:sz w:val="21"/>
        </w:rPr>
        <w:t>……</w:t>
      </w:r>
    </w:p>
    <w:p w14:paraId="6F7A8E6C">
      <w:pPr>
        <w:pStyle w:val="11"/>
        <w:spacing w:line="400" w:lineRule="exact"/>
        <w:ind w:left="25" w:leftChars="12" w:firstLine="413" w:firstLineChars="197"/>
        <w:rPr>
          <w:rFonts w:hint="eastAsia" w:hAnsi="宋体" w:cs="宋体"/>
          <w:sz w:val="21"/>
        </w:rPr>
      </w:pPr>
      <w:r>
        <w:rPr>
          <w:rFonts w:hint="eastAsia" w:hAnsi="宋体" w:cs="宋体"/>
          <w:sz w:val="21"/>
        </w:rPr>
        <w:t>四、与质疑事项相关的质疑请求：</w:t>
      </w:r>
    </w:p>
    <w:p w14:paraId="05BCDA73">
      <w:pPr>
        <w:pStyle w:val="11"/>
        <w:spacing w:line="400" w:lineRule="exact"/>
        <w:ind w:left="25" w:leftChars="12" w:firstLine="413" w:firstLineChars="197"/>
        <w:rPr>
          <w:rFonts w:hint="eastAsia" w:hAnsi="宋体" w:cs="宋体"/>
          <w:sz w:val="21"/>
        </w:rPr>
      </w:pPr>
      <w:r>
        <w:rPr>
          <w:rFonts w:hint="eastAsia" w:hAnsi="宋体" w:cs="宋体"/>
          <w:sz w:val="21"/>
        </w:rPr>
        <w:t>请求：</w:t>
      </w:r>
    </w:p>
    <w:p w14:paraId="28A05E9A">
      <w:pPr>
        <w:pStyle w:val="11"/>
        <w:spacing w:line="400" w:lineRule="exact"/>
        <w:ind w:left="25" w:leftChars="12" w:firstLine="308" w:firstLineChars="147"/>
        <w:rPr>
          <w:rFonts w:hint="eastAsia" w:hAnsi="宋体" w:cs="宋体"/>
          <w:sz w:val="21"/>
        </w:rPr>
      </w:pPr>
    </w:p>
    <w:p w14:paraId="0F642A7F">
      <w:pPr>
        <w:pStyle w:val="11"/>
        <w:spacing w:line="400" w:lineRule="exact"/>
        <w:ind w:left="25" w:leftChars="12" w:firstLine="413" w:firstLineChars="197"/>
        <w:rPr>
          <w:rFonts w:hint="eastAsia" w:hAnsi="宋体" w:cs="宋体"/>
          <w:sz w:val="21"/>
        </w:rPr>
      </w:pPr>
      <w:r>
        <w:rPr>
          <w:rFonts w:hint="eastAsia" w:hAnsi="宋体" w:cs="宋体"/>
          <w:sz w:val="21"/>
        </w:rPr>
        <w:t>签字（签章）：                                       公章：</w:t>
      </w:r>
    </w:p>
    <w:p w14:paraId="1DF7F189">
      <w:pPr>
        <w:pStyle w:val="11"/>
        <w:spacing w:line="400" w:lineRule="exact"/>
        <w:ind w:left="25" w:leftChars="12" w:firstLine="308" w:firstLineChars="147"/>
        <w:rPr>
          <w:rFonts w:hint="eastAsia" w:hAnsi="宋体" w:cs="宋体"/>
          <w:sz w:val="21"/>
        </w:rPr>
      </w:pPr>
    </w:p>
    <w:p w14:paraId="2EA88DA7">
      <w:pPr>
        <w:pStyle w:val="11"/>
        <w:spacing w:line="400" w:lineRule="exact"/>
        <w:ind w:left="25" w:leftChars="12" w:firstLine="413" w:firstLineChars="197"/>
        <w:rPr>
          <w:rFonts w:hint="eastAsia" w:hAnsi="宋体" w:cs="宋体"/>
          <w:sz w:val="21"/>
        </w:rPr>
      </w:pPr>
      <w:r>
        <w:rPr>
          <w:rFonts w:hint="eastAsia" w:hAnsi="宋体" w:cs="宋体"/>
          <w:sz w:val="21"/>
        </w:rPr>
        <w:t>日期：</w:t>
      </w:r>
    </w:p>
    <w:p w14:paraId="38518A2B">
      <w:pPr>
        <w:pStyle w:val="11"/>
        <w:snapToGrid w:val="0"/>
        <w:spacing w:line="400" w:lineRule="exact"/>
        <w:rPr>
          <w:rFonts w:hint="eastAsia" w:hAnsi="宋体" w:cs="宋体"/>
          <w:b/>
          <w:sz w:val="21"/>
        </w:rPr>
      </w:pPr>
    </w:p>
    <w:p w14:paraId="3C1B94B9">
      <w:pPr>
        <w:pStyle w:val="11"/>
        <w:snapToGrid w:val="0"/>
        <w:spacing w:line="400" w:lineRule="exact"/>
        <w:rPr>
          <w:rFonts w:hint="eastAsia" w:hAnsi="宋体" w:cs="宋体"/>
          <w:b/>
          <w:sz w:val="21"/>
        </w:rPr>
      </w:pPr>
      <w:r>
        <w:rPr>
          <w:rFonts w:hint="eastAsia" w:hAnsi="宋体" w:cs="宋体"/>
          <w:b/>
          <w:sz w:val="21"/>
        </w:rPr>
        <w:t>说明：</w:t>
      </w:r>
    </w:p>
    <w:p w14:paraId="0C073D6F">
      <w:pPr>
        <w:pStyle w:val="11"/>
        <w:spacing w:line="400" w:lineRule="exact"/>
        <w:ind w:left="25" w:leftChars="12" w:firstLine="310" w:firstLineChars="147"/>
        <w:rPr>
          <w:rFonts w:hint="eastAsia" w:hAnsi="宋体" w:cs="宋体"/>
          <w:b/>
          <w:bCs/>
          <w:sz w:val="21"/>
        </w:rPr>
      </w:pPr>
      <w:r>
        <w:rPr>
          <w:rFonts w:hint="eastAsia" w:hAnsi="宋体" w:cs="宋体"/>
          <w:b/>
          <w:sz w:val="21"/>
        </w:rPr>
        <w:t>1.供应商提出质疑时，应提交质疑函和必要的证明材料</w:t>
      </w:r>
      <w:r>
        <w:rPr>
          <w:rFonts w:hint="eastAsia" w:hAnsi="宋体" w:cs="宋体"/>
          <w:b/>
          <w:bCs/>
          <w:sz w:val="21"/>
        </w:rPr>
        <w:t>。</w:t>
      </w:r>
    </w:p>
    <w:p w14:paraId="4E5F2EDD">
      <w:pPr>
        <w:pStyle w:val="11"/>
        <w:spacing w:line="400" w:lineRule="exact"/>
        <w:ind w:left="25" w:leftChars="12" w:firstLine="310" w:firstLineChars="147"/>
        <w:rPr>
          <w:rFonts w:hint="eastAsia" w:hAnsi="宋体" w:cs="宋体"/>
          <w:b/>
          <w:sz w:val="21"/>
        </w:rPr>
      </w:pPr>
      <w:r>
        <w:rPr>
          <w:rFonts w:hint="eastAsia" w:hAnsi="宋体" w:cs="宋体"/>
          <w:b/>
          <w:sz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6CD0A83">
      <w:pPr>
        <w:pStyle w:val="11"/>
        <w:spacing w:line="400" w:lineRule="exact"/>
        <w:ind w:left="25" w:leftChars="12" w:firstLine="310" w:firstLineChars="147"/>
        <w:rPr>
          <w:rFonts w:hint="eastAsia" w:hAnsi="宋体" w:cs="宋体"/>
          <w:b/>
          <w:sz w:val="21"/>
        </w:rPr>
      </w:pPr>
      <w:r>
        <w:rPr>
          <w:rFonts w:hint="eastAsia" w:hAnsi="宋体" w:cs="宋体"/>
          <w:b/>
          <w:sz w:val="21"/>
        </w:rPr>
        <w:t>3.质疑函的质疑事项应具体、明确，并有必要的事实依据和法律依据。</w:t>
      </w:r>
    </w:p>
    <w:p w14:paraId="5CA6652A">
      <w:pPr>
        <w:pStyle w:val="11"/>
        <w:spacing w:line="400" w:lineRule="exact"/>
        <w:ind w:left="25" w:leftChars="12" w:firstLine="310" w:firstLineChars="147"/>
        <w:rPr>
          <w:rFonts w:hint="eastAsia" w:hAnsi="宋体" w:cs="宋体"/>
          <w:b/>
          <w:sz w:val="21"/>
        </w:rPr>
      </w:pPr>
      <w:r>
        <w:rPr>
          <w:rFonts w:hint="eastAsia" w:hAnsi="宋体" w:cs="宋体"/>
          <w:b/>
          <w:sz w:val="21"/>
        </w:rPr>
        <w:t>4.质疑函的质疑请求应与质疑事项相关。</w:t>
      </w:r>
    </w:p>
    <w:p w14:paraId="7DAFC1DC">
      <w:pPr>
        <w:pStyle w:val="11"/>
        <w:spacing w:line="400" w:lineRule="exact"/>
        <w:ind w:left="25" w:leftChars="12" w:firstLine="310" w:firstLineChars="147"/>
        <w:rPr>
          <w:rFonts w:hint="eastAsia" w:hAnsi="宋体" w:cs="宋体"/>
          <w:b/>
          <w:sz w:val="21"/>
        </w:rPr>
      </w:pPr>
      <w:r>
        <w:rPr>
          <w:rFonts w:hint="eastAsia" w:hAnsi="宋体" w:cs="宋体"/>
          <w:b/>
          <w:sz w:val="21"/>
        </w:rPr>
        <w:t>5.质疑供应商为法人或者其他组织的，质疑函应由法定代表人、主要负责人，或者其授权代表签字或者盖章，并加盖公章。</w:t>
      </w:r>
    </w:p>
    <w:p w14:paraId="2467D3D5">
      <w:pPr>
        <w:pStyle w:val="11"/>
        <w:snapToGrid w:val="0"/>
        <w:spacing w:line="400" w:lineRule="exact"/>
        <w:rPr>
          <w:rFonts w:hint="eastAsia" w:hAnsi="宋体" w:cs="宋体"/>
          <w:b/>
          <w:sz w:val="21"/>
        </w:rPr>
      </w:pPr>
    </w:p>
    <w:p w14:paraId="52B2B3A6">
      <w:pPr>
        <w:spacing w:line="400" w:lineRule="exact"/>
        <w:jc w:val="left"/>
        <w:rPr>
          <w:rFonts w:hint="eastAsia" w:ascii="宋体" w:hAnsi="宋体" w:cs="宋体"/>
          <w:b/>
          <w:bCs/>
          <w:szCs w:val="21"/>
        </w:rPr>
      </w:pPr>
      <w:r>
        <w:rPr>
          <w:rFonts w:hint="eastAsia" w:ascii="宋体" w:hAnsi="宋体" w:cs="宋体"/>
          <w:szCs w:val="21"/>
        </w:rPr>
        <w:br w:type="page"/>
      </w:r>
      <w:r>
        <w:rPr>
          <w:rFonts w:hint="eastAsia" w:ascii="宋体" w:hAnsi="宋体" w:cs="宋体"/>
          <w:b/>
          <w:szCs w:val="21"/>
        </w:rPr>
        <w:t>5.投诉书格式</w:t>
      </w:r>
    </w:p>
    <w:p w14:paraId="562CF195">
      <w:pPr>
        <w:spacing w:line="400" w:lineRule="exact"/>
        <w:jc w:val="center"/>
        <w:rPr>
          <w:rFonts w:hint="eastAsia" w:ascii="宋体" w:hAnsi="宋体" w:cs="宋体"/>
          <w:b/>
          <w:bCs/>
          <w:szCs w:val="21"/>
        </w:rPr>
      </w:pPr>
      <w:r>
        <w:rPr>
          <w:rFonts w:hint="eastAsia" w:ascii="宋体" w:hAnsi="宋体" w:cs="宋体"/>
          <w:b/>
          <w:bCs/>
          <w:szCs w:val="21"/>
        </w:rPr>
        <w:t>投诉书</w:t>
      </w:r>
    </w:p>
    <w:p w14:paraId="75423514">
      <w:pPr>
        <w:pStyle w:val="11"/>
        <w:snapToGrid w:val="0"/>
        <w:spacing w:line="400" w:lineRule="exact"/>
        <w:ind w:firstLine="422" w:firstLineChars="200"/>
        <w:rPr>
          <w:rFonts w:hint="eastAsia" w:hAnsi="宋体" w:cs="宋体"/>
          <w:b/>
          <w:bCs/>
          <w:sz w:val="21"/>
        </w:rPr>
      </w:pPr>
    </w:p>
    <w:p w14:paraId="28389CD7">
      <w:pPr>
        <w:pStyle w:val="11"/>
        <w:snapToGrid w:val="0"/>
        <w:spacing w:line="400" w:lineRule="exact"/>
        <w:ind w:firstLine="422" w:firstLineChars="200"/>
        <w:rPr>
          <w:rFonts w:hint="eastAsia" w:hAnsi="宋体" w:cs="宋体"/>
          <w:b/>
          <w:bCs/>
          <w:sz w:val="21"/>
        </w:rPr>
      </w:pPr>
      <w:r>
        <w:rPr>
          <w:rFonts w:hint="eastAsia" w:hAnsi="宋体" w:cs="宋体"/>
          <w:b/>
          <w:bCs/>
          <w:sz w:val="21"/>
        </w:rPr>
        <w:t>一、投诉相关主体基本情况：</w:t>
      </w:r>
    </w:p>
    <w:p w14:paraId="240B7D8C">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投标人：</w:t>
      </w:r>
    </w:p>
    <w:p w14:paraId="4FE31272">
      <w:pPr>
        <w:pStyle w:val="11"/>
        <w:snapToGrid w:val="0"/>
        <w:spacing w:line="400" w:lineRule="exact"/>
        <w:ind w:firstLine="420" w:firstLineChars="200"/>
        <w:jc w:val="left"/>
        <w:rPr>
          <w:rFonts w:hint="eastAsia" w:hAnsi="宋体" w:cs="宋体"/>
          <w:bCs/>
          <w:sz w:val="21"/>
        </w:rPr>
      </w:pPr>
      <w:r>
        <w:rPr>
          <w:rFonts w:hint="eastAsia" w:hAnsi="宋体" w:cs="宋体"/>
          <w:bCs/>
          <w:sz w:val="21"/>
        </w:rPr>
        <w:t>地址：邮编：</w:t>
      </w:r>
    </w:p>
    <w:p w14:paraId="404BC9D5">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法定代表人/主要负责人：</w:t>
      </w:r>
    </w:p>
    <w:p w14:paraId="504214CC">
      <w:pPr>
        <w:pStyle w:val="11"/>
        <w:snapToGrid w:val="0"/>
        <w:spacing w:line="400" w:lineRule="exact"/>
        <w:ind w:firstLine="420" w:firstLineChars="200"/>
        <w:jc w:val="left"/>
        <w:rPr>
          <w:rFonts w:hint="eastAsia" w:hAnsi="宋体" w:cs="宋体"/>
          <w:bCs/>
          <w:sz w:val="21"/>
        </w:rPr>
      </w:pPr>
      <w:r>
        <w:rPr>
          <w:rFonts w:hint="eastAsia" w:hAnsi="宋体" w:cs="宋体"/>
          <w:bCs/>
          <w:sz w:val="21"/>
        </w:rPr>
        <w:t>联系电话：</w:t>
      </w:r>
    </w:p>
    <w:p w14:paraId="7CF17142">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授权代表：联系电话：</w:t>
      </w:r>
    </w:p>
    <w:p w14:paraId="6581C136">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地址：</w:t>
      </w:r>
    </w:p>
    <w:p w14:paraId="207E7B2E">
      <w:pPr>
        <w:pStyle w:val="11"/>
        <w:snapToGrid w:val="0"/>
        <w:spacing w:line="400" w:lineRule="exact"/>
        <w:ind w:firstLine="420" w:firstLineChars="200"/>
        <w:jc w:val="left"/>
        <w:rPr>
          <w:rFonts w:hint="eastAsia" w:hAnsi="宋体" w:cs="宋体"/>
          <w:bCs/>
          <w:sz w:val="21"/>
        </w:rPr>
      </w:pPr>
      <w:r>
        <w:rPr>
          <w:rFonts w:hint="eastAsia" w:hAnsi="宋体" w:cs="宋体"/>
          <w:bCs/>
          <w:sz w:val="21"/>
        </w:rPr>
        <w:t>邮编：</w:t>
      </w:r>
    </w:p>
    <w:p w14:paraId="33CCB26F">
      <w:pPr>
        <w:pStyle w:val="11"/>
        <w:snapToGrid w:val="0"/>
        <w:spacing w:line="400" w:lineRule="exact"/>
        <w:ind w:firstLine="420" w:firstLineChars="200"/>
        <w:jc w:val="left"/>
        <w:rPr>
          <w:rFonts w:hint="eastAsia" w:hAnsi="宋体" w:cs="宋体"/>
          <w:bCs/>
          <w:sz w:val="21"/>
        </w:rPr>
      </w:pPr>
      <w:r>
        <w:rPr>
          <w:rFonts w:hint="eastAsia" w:hAnsi="宋体" w:cs="宋体"/>
          <w:bCs/>
          <w:sz w:val="21"/>
        </w:rPr>
        <w:t>被投诉人1：</w:t>
      </w:r>
    </w:p>
    <w:p w14:paraId="008C0B59">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地址：</w:t>
      </w:r>
    </w:p>
    <w:p w14:paraId="5D137C5B">
      <w:pPr>
        <w:pStyle w:val="11"/>
        <w:snapToGrid w:val="0"/>
        <w:spacing w:line="400" w:lineRule="exact"/>
        <w:ind w:firstLine="420" w:firstLineChars="200"/>
        <w:jc w:val="left"/>
        <w:rPr>
          <w:rFonts w:hint="eastAsia" w:hAnsi="宋体" w:cs="宋体"/>
          <w:bCs/>
          <w:sz w:val="21"/>
        </w:rPr>
      </w:pPr>
      <w:r>
        <w:rPr>
          <w:rFonts w:hint="eastAsia" w:hAnsi="宋体" w:cs="宋体"/>
          <w:bCs/>
          <w:sz w:val="21"/>
        </w:rPr>
        <w:t>邮编：</w:t>
      </w:r>
    </w:p>
    <w:p w14:paraId="752B8F70">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联系人：联系电话：</w:t>
      </w:r>
    </w:p>
    <w:p w14:paraId="139DEB9D">
      <w:pPr>
        <w:pStyle w:val="11"/>
        <w:snapToGrid w:val="0"/>
        <w:spacing w:line="400" w:lineRule="exact"/>
        <w:ind w:firstLine="420" w:firstLineChars="200"/>
        <w:jc w:val="left"/>
        <w:rPr>
          <w:rFonts w:hint="eastAsia" w:hAnsi="宋体" w:cs="宋体"/>
          <w:bCs/>
          <w:sz w:val="21"/>
        </w:rPr>
      </w:pPr>
      <w:r>
        <w:rPr>
          <w:rFonts w:hint="eastAsia" w:hAnsi="宋体" w:cs="宋体"/>
          <w:bCs/>
          <w:sz w:val="21"/>
        </w:rPr>
        <w:t>被投诉人2：</w:t>
      </w:r>
    </w:p>
    <w:p w14:paraId="18C70BD0">
      <w:pPr>
        <w:pStyle w:val="11"/>
        <w:snapToGrid w:val="0"/>
        <w:spacing w:line="400" w:lineRule="exact"/>
        <w:ind w:firstLine="420" w:firstLineChars="200"/>
        <w:jc w:val="left"/>
        <w:rPr>
          <w:rFonts w:hint="eastAsia" w:hAnsi="宋体" w:cs="宋体"/>
          <w:bCs/>
          <w:sz w:val="21"/>
        </w:rPr>
      </w:pPr>
      <w:r>
        <w:rPr>
          <w:rFonts w:hint="eastAsia" w:hAnsi="宋体" w:cs="宋体"/>
          <w:bCs/>
          <w:sz w:val="21"/>
        </w:rPr>
        <w:t>……</w:t>
      </w:r>
    </w:p>
    <w:p w14:paraId="200F36EB">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相关供应商：</w:t>
      </w:r>
    </w:p>
    <w:p w14:paraId="25A37F61">
      <w:pPr>
        <w:pStyle w:val="11"/>
        <w:snapToGrid w:val="0"/>
        <w:spacing w:line="400" w:lineRule="exact"/>
        <w:ind w:firstLine="420" w:firstLineChars="200"/>
        <w:jc w:val="left"/>
        <w:rPr>
          <w:rFonts w:hint="eastAsia" w:hAnsi="宋体" w:cs="宋体"/>
          <w:bCs/>
          <w:sz w:val="21"/>
          <w:u w:val="single"/>
        </w:rPr>
      </w:pPr>
      <w:r>
        <w:rPr>
          <w:rFonts w:hint="eastAsia" w:hAnsi="宋体" w:cs="宋体"/>
          <w:bCs/>
          <w:sz w:val="21"/>
        </w:rPr>
        <w:t>地址：邮编：</w:t>
      </w:r>
    </w:p>
    <w:p w14:paraId="77BF6D9D">
      <w:pPr>
        <w:pStyle w:val="11"/>
        <w:snapToGrid w:val="0"/>
        <w:spacing w:line="400" w:lineRule="exact"/>
        <w:ind w:firstLine="420" w:firstLineChars="200"/>
        <w:jc w:val="left"/>
        <w:rPr>
          <w:rFonts w:hint="eastAsia" w:hAnsi="宋体" w:cs="宋体"/>
          <w:bCs/>
          <w:sz w:val="21"/>
        </w:rPr>
      </w:pPr>
      <w:r>
        <w:rPr>
          <w:rFonts w:hint="eastAsia" w:hAnsi="宋体" w:cs="宋体"/>
          <w:bCs/>
          <w:sz w:val="21"/>
        </w:rPr>
        <w:t>联系人：联系电话：</w:t>
      </w:r>
    </w:p>
    <w:p w14:paraId="5FCD6508">
      <w:pPr>
        <w:pStyle w:val="11"/>
        <w:snapToGrid w:val="0"/>
        <w:spacing w:line="400" w:lineRule="exact"/>
        <w:ind w:firstLine="422" w:firstLineChars="200"/>
        <w:rPr>
          <w:rFonts w:hint="eastAsia" w:hAnsi="宋体" w:cs="宋体"/>
          <w:b/>
          <w:bCs/>
          <w:sz w:val="21"/>
        </w:rPr>
      </w:pPr>
      <w:r>
        <w:rPr>
          <w:rFonts w:hint="eastAsia" w:hAnsi="宋体" w:cs="宋体"/>
          <w:b/>
          <w:bCs/>
          <w:sz w:val="21"/>
        </w:rPr>
        <w:t>二、投诉项目基本情况：</w:t>
      </w:r>
    </w:p>
    <w:p w14:paraId="711F017E">
      <w:pPr>
        <w:pStyle w:val="11"/>
        <w:spacing w:line="400" w:lineRule="exact"/>
        <w:ind w:left="25" w:leftChars="12" w:firstLine="413" w:firstLineChars="197"/>
        <w:rPr>
          <w:rFonts w:hint="eastAsia" w:hAnsi="宋体" w:cs="宋体"/>
          <w:sz w:val="21"/>
        </w:rPr>
      </w:pPr>
      <w:r>
        <w:rPr>
          <w:rFonts w:hint="eastAsia" w:hAnsi="宋体" w:cs="宋体"/>
          <w:bCs/>
          <w:sz w:val="21"/>
        </w:rPr>
        <w:t>采购</w:t>
      </w:r>
      <w:r>
        <w:rPr>
          <w:rFonts w:hint="eastAsia" w:hAnsi="宋体" w:cs="宋体"/>
          <w:sz w:val="21"/>
        </w:rPr>
        <w:t>项目的名称：</w:t>
      </w:r>
    </w:p>
    <w:p w14:paraId="465CD7D0">
      <w:pPr>
        <w:pStyle w:val="11"/>
        <w:spacing w:line="400" w:lineRule="exact"/>
        <w:ind w:left="25" w:leftChars="12" w:firstLine="413" w:firstLineChars="197"/>
        <w:rPr>
          <w:rFonts w:hint="eastAsia" w:hAnsi="宋体" w:cs="宋体"/>
          <w:sz w:val="21"/>
        </w:rPr>
      </w:pPr>
      <w:r>
        <w:rPr>
          <w:rFonts w:hint="eastAsia" w:hAnsi="宋体" w:cs="宋体"/>
          <w:bCs/>
          <w:sz w:val="21"/>
        </w:rPr>
        <w:t>采购</w:t>
      </w:r>
      <w:r>
        <w:rPr>
          <w:rFonts w:hint="eastAsia" w:hAnsi="宋体" w:cs="宋体"/>
          <w:sz w:val="21"/>
        </w:rPr>
        <w:t>项目的编号：</w:t>
      </w:r>
    </w:p>
    <w:p w14:paraId="1D32364A">
      <w:pPr>
        <w:pStyle w:val="11"/>
        <w:spacing w:line="400" w:lineRule="exact"/>
        <w:ind w:left="25" w:leftChars="12" w:firstLine="413" w:firstLineChars="197"/>
        <w:rPr>
          <w:rFonts w:hint="eastAsia" w:hAnsi="宋体" w:cs="宋体"/>
          <w:bCs/>
          <w:sz w:val="21"/>
          <w:u w:val="single"/>
        </w:rPr>
      </w:pPr>
      <w:r>
        <w:rPr>
          <w:rFonts w:hint="eastAsia" w:hAnsi="宋体" w:cs="宋体"/>
          <w:sz w:val="21"/>
        </w:rPr>
        <w:t>采购人名称：</w:t>
      </w:r>
    </w:p>
    <w:p w14:paraId="441B6E93">
      <w:pPr>
        <w:pStyle w:val="11"/>
        <w:spacing w:line="400" w:lineRule="exact"/>
        <w:ind w:left="25" w:leftChars="12" w:firstLine="413" w:firstLineChars="197"/>
        <w:rPr>
          <w:rFonts w:hint="eastAsia" w:hAnsi="宋体" w:cs="宋体"/>
          <w:bCs/>
          <w:sz w:val="21"/>
          <w:u w:val="single"/>
        </w:rPr>
      </w:pPr>
      <w:r>
        <w:rPr>
          <w:rFonts w:hint="eastAsia" w:hAnsi="宋体" w:cs="宋体"/>
          <w:sz w:val="21"/>
        </w:rPr>
        <w:t>代理机构名称：</w:t>
      </w:r>
    </w:p>
    <w:p w14:paraId="6480DF86">
      <w:pPr>
        <w:pStyle w:val="11"/>
        <w:spacing w:line="400" w:lineRule="exact"/>
        <w:ind w:left="25" w:leftChars="12" w:firstLine="413" w:firstLineChars="197"/>
        <w:rPr>
          <w:rFonts w:hint="eastAsia" w:hAnsi="宋体" w:cs="宋体"/>
          <w:bCs/>
          <w:sz w:val="21"/>
          <w:u w:val="single"/>
        </w:rPr>
      </w:pPr>
      <w:r>
        <w:rPr>
          <w:rFonts w:hint="eastAsia" w:hAnsi="宋体" w:cs="宋体"/>
          <w:bCs/>
          <w:sz w:val="21"/>
        </w:rPr>
        <w:t>招标文件公告：</w:t>
      </w:r>
      <w:r>
        <w:rPr>
          <w:rFonts w:hint="eastAsia" w:hAnsi="宋体" w:cs="宋体"/>
          <w:bCs/>
          <w:sz w:val="21"/>
          <w:u w:val="single"/>
        </w:rPr>
        <w:t>是/否</w:t>
      </w:r>
      <w:r>
        <w:rPr>
          <w:rFonts w:hint="eastAsia" w:hAnsi="宋体" w:cs="宋体"/>
          <w:bCs/>
          <w:sz w:val="21"/>
        </w:rPr>
        <w:t>公告期限：</w:t>
      </w:r>
    </w:p>
    <w:p w14:paraId="3B3935CC">
      <w:pPr>
        <w:pStyle w:val="11"/>
        <w:spacing w:line="400" w:lineRule="exact"/>
        <w:ind w:left="25" w:leftChars="12" w:firstLine="413" w:firstLineChars="197"/>
        <w:rPr>
          <w:rFonts w:hint="eastAsia" w:hAnsi="宋体" w:cs="宋体"/>
          <w:b/>
          <w:sz w:val="21"/>
        </w:rPr>
      </w:pPr>
      <w:r>
        <w:rPr>
          <w:rFonts w:hint="eastAsia" w:hAnsi="宋体" w:cs="宋体"/>
          <w:bCs/>
          <w:sz w:val="21"/>
        </w:rPr>
        <w:t>采购结果公告：</w:t>
      </w:r>
      <w:r>
        <w:rPr>
          <w:rFonts w:hint="eastAsia" w:hAnsi="宋体" w:cs="宋体"/>
          <w:bCs/>
          <w:sz w:val="21"/>
          <w:u w:val="single"/>
        </w:rPr>
        <w:t>是/否</w:t>
      </w:r>
      <w:r>
        <w:rPr>
          <w:rFonts w:hint="eastAsia" w:hAnsi="宋体" w:cs="宋体"/>
          <w:bCs/>
          <w:sz w:val="21"/>
        </w:rPr>
        <w:t>公告期限：</w:t>
      </w:r>
    </w:p>
    <w:p w14:paraId="38E952EF">
      <w:pPr>
        <w:pStyle w:val="11"/>
        <w:spacing w:line="400" w:lineRule="exact"/>
        <w:ind w:left="25" w:leftChars="12" w:firstLine="413" w:firstLineChars="196"/>
        <w:rPr>
          <w:rFonts w:hint="eastAsia" w:hAnsi="宋体" w:cs="宋体"/>
          <w:b/>
          <w:sz w:val="21"/>
        </w:rPr>
      </w:pPr>
      <w:r>
        <w:rPr>
          <w:rFonts w:hint="eastAsia" w:hAnsi="宋体" w:cs="宋体"/>
          <w:b/>
          <w:sz w:val="21"/>
        </w:rPr>
        <w:t>三、质疑基本情况</w:t>
      </w:r>
    </w:p>
    <w:p w14:paraId="1BC94A21">
      <w:pPr>
        <w:pStyle w:val="11"/>
        <w:spacing w:line="400" w:lineRule="exact"/>
        <w:ind w:left="25" w:leftChars="12" w:firstLine="420" w:firstLineChars="200"/>
        <w:rPr>
          <w:rFonts w:hint="eastAsia" w:hAnsi="宋体" w:cs="宋体"/>
          <w:sz w:val="21"/>
        </w:rPr>
      </w:pPr>
      <w:r>
        <w:rPr>
          <w:rFonts w:hint="eastAsia" w:hAnsi="宋体" w:cs="宋体"/>
          <w:sz w:val="21"/>
        </w:rPr>
        <w:t>投诉人于年月日，向提出质疑，质疑事项为：</w:t>
      </w:r>
    </w:p>
    <w:p w14:paraId="4995D7A1">
      <w:pPr>
        <w:pStyle w:val="11"/>
        <w:spacing w:line="400" w:lineRule="exact"/>
        <w:ind w:firstLine="241"/>
        <w:rPr>
          <w:rFonts w:hint="eastAsia" w:hAnsi="宋体" w:cs="宋体"/>
          <w:bCs/>
          <w:sz w:val="21"/>
          <w:u w:val="single"/>
        </w:rPr>
      </w:pPr>
    </w:p>
    <w:p w14:paraId="7169A475">
      <w:pPr>
        <w:pStyle w:val="11"/>
        <w:spacing w:line="400" w:lineRule="exact"/>
        <w:ind w:firstLine="241"/>
        <w:rPr>
          <w:rFonts w:hint="eastAsia" w:hAnsi="宋体" w:cs="宋体"/>
          <w:bCs/>
          <w:sz w:val="21"/>
          <w:u w:val="single"/>
        </w:rPr>
      </w:pPr>
    </w:p>
    <w:p w14:paraId="507645BE">
      <w:pPr>
        <w:pStyle w:val="11"/>
        <w:spacing w:line="400" w:lineRule="exact"/>
        <w:ind w:firstLine="420" w:firstLineChars="200"/>
        <w:rPr>
          <w:rFonts w:hint="eastAsia" w:hAnsi="宋体" w:cs="宋体"/>
          <w:sz w:val="21"/>
        </w:rPr>
      </w:pPr>
      <w:r>
        <w:rPr>
          <w:rFonts w:hint="eastAsia" w:hAnsi="宋体" w:cs="宋体"/>
          <w:bCs/>
          <w:sz w:val="21"/>
          <w:u w:val="single"/>
        </w:rPr>
        <w:t>采购人/代理机构</w:t>
      </w:r>
      <w:r>
        <w:rPr>
          <w:rFonts w:hint="eastAsia" w:hAnsi="宋体" w:cs="宋体"/>
          <w:bCs/>
          <w:sz w:val="21"/>
        </w:rPr>
        <w:t>于</w:t>
      </w:r>
      <w:r>
        <w:rPr>
          <w:rFonts w:hint="eastAsia" w:hAnsi="宋体" w:cs="宋体"/>
          <w:sz w:val="21"/>
        </w:rPr>
        <w:t>年月日，</w:t>
      </w:r>
      <w:r>
        <w:rPr>
          <w:rFonts w:hint="eastAsia" w:hAnsi="宋体" w:cs="宋体"/>
          <w:bCs/>
          <w:sz w:val="21"/>
        </w:rPr>
        <w:t xml:space="preserve">就质疑事项作出了答复/没有在法定期限内作出答复。                                                                                             </w:t>
      </w:r>
    </w:p>
    <w:p w14:paraId="098937F4">
      <w:pPr>
        <w:pStyle w:val="11"/>
        <w:spacing w:line="400" w:lineRule="exact"/>
        <w:ind w:left="25" w:leftChars="12" w:firstLine="413" w:firstLineChars="196"/>
        <w:rPr>
          <w:rFonts w:hint="eastAsia" w:hAnsi="宋体" w:cs="宋体"/>
          <w:b/>
          <w:sz w:val="21"/>
        </w:rPr>
      </w:pPr>
      <w:r>
        <w:rPr>
          <w:rFonts w:hint="eastAsia" w:hAnsi="宋体" w:cs="宋体"/>
          <w:b/>
          <w:sz w:val="21"/>
        </w:rPr>
        <w:t>四、投诉事项具体内容</w:t>
      </w:r>
    </w:p>
    <w:p w14:paraId="13186D09">
      <w:pPr>
        <w:pStyle w:val="11"/>
        <w:spacing w:line="400" w:lineRule="exact"/>
        <w:ind w:left="25" w:leftChars="12" w:firstLine="413" w:firstLineChars="197"/>
        <w:rPr>
          <w:rFonts w:hint="eastAsia" w:hAnsi="宋体" w:cs="宋体"/>
          <w:bCs/>
          <w:sz w:val="21"/>
          <w:u w:val="single"/>
        </w:rPr>
      </w:pPr>
      <w:r>
        <w:rPr>
          <w:rFonts w:hint="eastAsia" w:hAnsi="宋体" w:cs="宋体"/>
          <w:sz w:val="21"/>
        </w:rPr>
        <w:t>投诉事项1：</w:t>
      </w:r>
    </w:p>
    <w:p w14:paraId="16422C25">
      <w:pPr>
        <w:pStyle w:val="11"/>
        <w:spacing w:line="400" w:lineRule="exact"/>
        <w:ind w:firstLine="420" w:firstLineChars="200"/>
        <w:rPr>
          <w:rFonts w:hint="eastAsia" w:hAnsi="宋体" w:cs="宋体"/>
          <w:bCs/>
          <w:sz w:val="21"/>
          <w:u w:val="single"/>
        </w:rPr>
      </w:pPr>
      <w:r>
        <w:rPr>
          <w:rFonts w:hint="eastAsia" w:hAnsi="宋体" w:cs="宋体"/>
          <w:bCs/>
          <w:sz w:val="21"/>
        </w:rPr>
        <w:t>事实依据：</w:t>
      </w:r>
    </w:p>
    <w:p w14:paraId="27608B2D">
      <w:pPr>
        <w:pStyle w:val="11"/>
        <w:spacing w:line="400" w:lineRule="exact"/>
        <w:ind w:left="25" w:leftChars="12" w:firstLine="413" w:firstLineChars="197"/>
        <w:rPr>
          <w:rFonts w:hint="eastAsia" w:hAnsi="宋体" w:cs="宋体"/>
          <w:sz w:val="21"/>
        </w:rPr>
      </w:pPr>
    </w:p>
    <w:p w14:paraId="133307F8">
      <w:pPr>
        <w:pStyle w:val="11"/>
        <w:spacing w:line="400" w:lineRule="exact"/>
        <w:ind w:firstLine="420" w:firstLineChars="200"/>
        <w:rPr>
          <w:rFonts w:hint="eastAsia" w:hAnsi="宋体" w:cs="宋体"/>
          <w:bCs/>
          <w:sz w:val="21"/>
          <w:u w:val="single"/>
        </w:rPr>
      </w:pPr>
      <w:r>
        <w:rPr>
          <w:rFonts w:hint="eastAsia" w:hAnsi="宋体" w:cs="宋体"/>
          <w:bCs/>
          <w:sz w:val="21"/>
        </w:rPr>
        <w:t>法律依据：</w:t>
      </w:r>
    </w:p>
    <w:p w14:paraId="526863AE">
      <w:pPr>
        <w:pStyle w:val="11"/>
        <w:spacing w:line="400" w:lineRule="exact"/>
        <w:ind w:left="25" w:leftChars="12" w:firstLine="308" w:firstLineChars="147"/>
        <w:rPr>
          <w:rFonts w:hint="eastAsia" w:hAnsi="宋体" w:cs="宋体"/>
          <w:bCs/>
          <w:sz w:val="21"/>
          <w:u w:val="single"/>
        </w:rPr>
      </w:pPr>
    </w:p>
    <w:p w14:paraId="3E0FFFFC">
      <w:pPr>
        <w:pStyle w:val="11"/>
        <w:spacing w:line="400" w:lineRule="exact"/>
        <w:ind w:left="25" w:leftChars="12" w:firstLine="413" w:firstLineChars="197"/>
        <w:rPr>
          <w:rFonts w:hint="eastAsia" w:hAnsi="宋体" w:cs="宋体"/>
          <w:bCs/>
          <w:sz w:val="21"/>
        </w:rPr>
      </w:pPr>
      <w:r>
        <w:rPr>
          <w:rFonts w:hint="eastAsia" w:hAnsi="宋体" w:cs="宋体"/>
          <w:sz w:val="21"/>
        </w:rPr>
        <w:t xml:space="preserve">投诉事项2  </w:t>
      </w:r>
    </w:p>
    <w:p w14:paraId="5B674305">
      <w:pPr>
        <w:pStyle w:val="11"/>
        <w:spacing w:line="400" w:lineRule="exact"/>
        <w:ind w:left="25" w:leftChars="12" w:firstLine="413" w:firstLineChars="197"/>
        <w:rPr>
          <w:rFonts w:hint="eastAsia" w:hAnsi="宋体" w:cs="宋体"/>
          <w:bCs/>
          <w:sz w:val="21"/>
        </w:rPr>
      </w:pPr>
      <w:r>
        <w:rPr>
          <w:rFonts w:hint="eastAsia" w:hAnsi="宋体" w:cs="宋体"/>
          <w:bCs/>
          <w:sz w:val="21"/>
        </w:rPr>
        <w:t>……</w:t>
      </w:r>
    </w:p>
    <w:p w14:paraId="0621CCF6">
      <w:pPr>
        <w:pStyle w:val="11"/>
        <w:spacing w:line="400" w:lineRule="exact"/>
        <w:ind w:left="25" w:leftChars="12" w:firstLine="413" w:firstLineChars="196"/>
        <w:rPr>
          <w:rFonts w:hint="eastAsia" w:hAnsi="宋体" w:cs="宋体"/>
          <w:b/>
          <w:sz w:val="21"/>
        </w:rPr>
      </w:pPr>
      <w:r>
        <w:rPr>
          <w:rFonts w:hint="eastAsia" w:hAnsi="宋体" w:cs="宋体"/>
          <w:b/>
          <w:sz w:val="21"/>
        </w:rPr>
        <w:t>五、与投诉事项相关的投诉请求：</w:t>
      </w:r>
    </w:p>
    <w:p w14:paraId="7B884211">
      <w:pPr>
        <w:pStyle w:val="11"/>
        <w:spacing w:line="400" w:lineRule="exact"/>
        <w:ind w:left="25" w:leftChars="12" w:firstLine="413" w:firstLineChars="197"/>
        <w:rPr>
          <w:rFonts w:hint="eastAsia" w:hAnsi="宋体" w:cs="宋体"/>
          <w:sz w:val="21"/>
        </w:rPr>
      </w:pPr>
      <w:r>
        <w:rPr>
          <w:rFonts w:hint="eastAsia" w:hAnsi="宋体" w:cs="宋体"/>
          <w:sz w:val="21"/>
        </w:rPr>
        <w:t>请求：</w:t>
      </w:r>
    </w:p>
    <w:p w14:paraId="7C15755E">
      <w:pPr>
        <w:pStyle w:val="11"/>
        <w:spacing w:line="400" w:lineRule="exact"/>
        <w:ind w:left="25" w:leftChars="12" w:firstLine="308" w:firstLineChars="147"/>
        <w:rPr>
          <w:rFonts w:hint="eastAsia" w:hAnsi="宋体" w:cs="宋体"/>
          <w:sz w:val="21"/>
        </w:rPr>
      </w:pPr>
    </w:p>
    <w:p w14:paraId="1B33F081">
      <w:pPr>
        <w:pStyle w:val="11"/>
        <w:spacing w:line="400" w:lineRule="exact"/>
        <w:ind w:left="25" w:leftChars="12" w:firstLine="413" w:firstLineChars="197"/>
        <w:rPr>
          <w:rFonts w:hint="eastAsia" w:hAnsi="宋体" w:cs="宋体"/>
          <w:sz w:val="21"/>
        </w:rPr>
      </w:pPr>
      <w:r>
        <w:rPr>
          <w:rFonts w:hint="eastAsia" w:hAnsi="宋体" w:cs="宋体"/>
          <w:sz w:val="21"/>
        </w:rPr>
        <w:t>签字（签章）：                                       公章：</w:t>
      </w:r>
    </w:p>
    <w:p w14:paraId="315B1F96">
      <w:pPr>
        <w:pStyle w:val="11"/>
        <w:spacing w:line="400" w:lineRule="exact"/>
        <w:ind w:left="25" w:leftChars="12" w:firstLine="308" w:firstLineChars="147"/>
        <w:rPr>
          <w:rFonts w:hint="eastAsia" w:hAnsi="宋体" w:cs="宋体"/>
          <w:sz w:val="21"/>
        </w:rPr>
      </w:pPr>
    </w:p>
    <w:p w14:paraId="432C9C97">
      <w:pPr>
        <w:pStyle w:val="11"/>
        <w:spacing w:line="400" w:lineRule="exact"/>
        <w:ind w:left="25" w:leftChars="12" w:firstLine="413" w:firstLineChars="197"/>
        <w:rPr>
          <w:rFonts w:hint="eastAsia" w:hAnsi="宋体" w:cs="宋体"/>
          <w:sz w:val="21"/>
        </w:rPr>
      </w:pPr>
      <w:r>
        <w:rPr>
          <w:rFonts w:hint="eastAsia" w:hAnsi="宋体" w:cs="宋体"/>
          <w:sz w:val="21"/>
        </w:rPr>
        <w:t>日期：</w:t>
      </w:r>
    </w:p>
    <w:p w14:paraId="4BE873E1">
      <w:pPr>
        <w:pStyle w:val="11"/>
        <w:spacing w:line="400" w:lineRule="exact"/>
        <w:ind w:left="25" w:leftChars="12" w:firstLine="413" w:firstLineChars="197"/>
        <w:rPr>
          <w:rFonts w:hint="eastAsia" w:hAnsi="宋体" w:cs="宋体"/>
          <w:sz w:val="21"/>
        </w:rPr>
      </w:pPr>
    </w:p>
    <w:p w14:paraId="38FCDA41">
      <w:pPr>
        <w:pStyle w:val="11"/>
        <w:snapToGrid w:val="0"/>
        <w:spacing w:line="400" w:lineRule="exact"/>
        <w:rPr>
          <w:rFonts w:hint="eastAsia" w:hAnsi="宋体" w:cs="宋体"/>
          <w:b/>
          <w:sz w:val="21"/>
        </w:rPr>
      </w:pPr>
      <w:r>
        <w:rPr>
          <w:rFonts w:hint="eastAsia" w:hAnsi="宋体" w:cs="宋体"/>
          <w:b/>
          <w:sz w:val="21"/>
        </w:rPr>
        <w:t>说明：</w:t>
      </w:r>
    </w:p>
    <w:p w14:paraId="0486A755">
      <w:pPr>
        <w:pStyle w:val="11"/>
        <w:spacing w:line="400" w:lineRule="exact"/>
        <w:ind w:left="25" w:leftChars="12" w:firstLine="310" w:firstLineChars="147"/>
        <w:rPr>
          <w:rFonts w:hint="eastAsia" w:hAnsi="宋体" w:cs="宋体"/>
          <w:b/>
          <w:bCs/>
          <w:sz w:val="21"/>
        </w:rPr>
      </w:pPr>
      <w:r>
        <w:rPr>
          <w:rFonts w:hint="eastAsia" w:hAnsi="宋体" w:cs="宋体"/>
          <w:b/>
          <w:sz w:val="21"/>
        </w:rPr>
        <w:t>1.投诉人提起投诉时，应当提交投诉书和必要的证明材料，并按照被投诉人和与投诉事项有关的供应商数量提供投诉书副本</w:t>
      </w:r>
      <w:r>
        <w:rPr>
          <w:rFonts w:hint="eastAsia" w:hAnsi="宋体" w:cs="宋体"/>
          <w:b/>
          <w:bCs/>
          <w:sz w:val="21"/>
        </w:rPr>
        <w:t>。</w:t>
      </w:r>
    </w:p>
    <w:p w14:paraId="3F901397">
      <w:pPr>
        <w:pStyle w:val="11"/>
        <w:spacing w:line="400" w:lineRule="exact"/>
        <w:ind w:left="25" w:leftChars="12" w:firstLine="310" w:firstLineChars="147"/>
        <w:rPr>
          <w:rFonts w:hint="eastAsia" w:hAnsi="宋体" w:cs="宋体"/>
          <w:b/>
          <w:sz w:val="21"/>
        </w:rPr>
      </w:pPr>
      <w:r>
        <w:rPr>
          <w:rFonts w:hint="eastAsia" w:hAnsi="宋体" w:cs="宋体"/>
          <w:b/>
          <w:sz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3E7CBC6">
      <w:pPr>
        <w:pStyle w:val="11"/>
        <w:spacing w:line="400" w:lineRule="exact"/>
        <w:ind w:left="25" w:leftChars="12" w:firstLine="310" w:firstLineChars="147"/>
        <w:rPr>
          <w:rFonts w:hint="eastAsia" w:hAnsi="宋体" w:cs="宋体"/>
          <w:b/>
          <w:sz w:val="21"/>
        </w:rPr>
      </w:pPr>
      <w:r>
        <w:rPr>
          <w:rFonts w:hint="eastAsia" w:hAnsi="宋体" w:cs="宋体"/>
          <w:b/>
          <w:sz w:val="21"/>
        </w:rPr>
        <w:t>3.投诉书应简要列明质疑事项，质疑函、质疑答复等作为附件材料提供。</w:t>
      </w:r>
    </w:p>
    <w:p w14:paraId="508F60AC">
      <w:pPr>
        <w:pStyle w:val="11"/>
        <w:spacing w:line="400" w:lineRule="exact"/>
        <w:ind w:left="25" w:leftChars="12" w:firstLine="310" w:firstLineChars="147"/>
        <w:rPr>
          <w:rFonts w:hint="eastAsia" w:hAnsi="宋体" w:cs="宋体"/>
          <w:b/>
          <w:sz w:val="21"/>
        </w:rPr>
      </w:pPr>
      <w:r>
        <w:rPr>
          <w:rFonts w:hint="eastAsia" w:hAnsi="宋体" w:cs="宋体"/>
          <w:b/>
          <w:sz w:val="21"/>
        </w:rPr>
        <w:t>4.投诉书的投诉事项应具体、明确，并有必要的事实依据和法律依据。</w:t>
      </w:r>
    </w:p>
    <w:p w14:paraId="6E9E3097">
      <w:pPr>
        <w:pStyle w:val="11"/>
        <w:spacing w:line="400" w:lineRule="exact"/>
        <w:ind w:left="25" w:leftChars="12" w:firstLine="310" w:firstLineChars="147"/>
        <w:rPr>
          <w:rFonts w:hint="eastAsia" w:hAnsi="宋体" w:cs="宋体"/>
          <w:b/>
          <w:sz w:val="21"/>
        </w:rPr>
      </w:pPr>
      <w:r>
        <w:rPr>
          <w:rFonts w:hint="eastAsia" w:hAnsi="宋体" w:cs="宋体"/>
          <w:b/>
          <w:sz w:val="21"/>
        </w:rPr>
        <w:t>5.投诉书的投诉请求应与投诉事项相关。</w:t>
      </w:r>
    </w:p>
    <w:p w14:paraId="4862E780">
      <w:pPr>
        <w:pStyle w:val="11"/>
        <w:spacing w:line="400" w:lineRule="exact"/>
        <w:ind w:left="25" w:leftChars="12" w:firstLine="310" w:firstLineChars="147"/>
        <w:rPr>
          <w:rFonts w:hint="eastAsia" w:hAnsi="宋体" w:cs="宋体"/>
          <w:b/>
          <w:sz w:val="21"/>
        </w:rPr>
      </w:pPr>
      <w:r>
        <w:rPr>
          <w:rFonts w:hint="eastAsia" w:hAnsi="宋体" w:cs="宋体"/>
          <w:b/>
          <w:sz w:val="21"/>
        </w:rPr>
        <w:t>6.投诉人为法人或者其他组织的，投诉书应由法定代表人、主要负责人，或者其授权代表签字或者盖章，并加盖公章。</w:t>
      </w:r>
    </w:p>
    <w:p w14:paraId="05A81886"/>
    <w:p w14:paraId="1D7C2011"/>
    <w:sectPr>
      <w:footerReference r:id="rId21" w:type="first"/>
      <w:headerReference r:id="rId18" w:type="default"/>
      <w:footerReference r:id="rId19" w:type="default"/>
      <w:footerReference r:id="rId20" w:type="even"/>
      <w:pgSz w:w="11906" w:h="16838"/>
      <w:pgMar w:top="1440" w:right="1803" w:bottom="1440" w:left="1803" w:header="851" w:footer="567"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E17574F2-CE50-4D20-81D2-C42B322C20A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F1911BB3-836A-4A0E-96AF-97B6B2FDAA85}"/>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embedRegular r:id="rId3" w:fontKey="{EEC8607A-10A5-47CA-BFF2-AE3DD92B4F1D}"/>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4" w:fontKey="{52BDE837-762A-4B1D-84BE-39769FD8CDB3}"/>
  </w:font>
  <w:font w:name="MS Gothic">
    <w:panose1 w:val="020B0609070205080204"/>
    <w:charset w:val="80"/>
    <w:family w:val="modern"/>
    <w:pitch w:val="default"/>
    <w:sig w:usb0="E00002FF" w:usb1="6AC7FDFB" w:usb2="08000012" w:usb3="00000000" w:csb0="4002009F" w:csb1="DFD70000"/>
    <w:embedRegular r:id="rId5" w:fontKey="{B861074B-4DAD-4E0A-8DF6-31ABAF763ACD}"/>
  </w:font>
  <w:font w:name="KSOF8080F95D">
    <w:panose1 w:val="020B0503020204020204"/>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C010">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2DCA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942DCA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2D57A">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46D57">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0D46D57">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B1F3B">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63393">
                          <w:pPr>
                            <w:pStyle w:val="12"/>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5C63393">
                    <w:pPr>
                      <w:pStyle w:val="12"/>
                    </w:pPr>
                    <w:r>
                      <w:fldChar w:fldCharType="begin"/>
                    </w:r>
                    <w:r>
                      <w:instrText xml:space="preserve"> PAGE  \* MERGEFORMAT </w:instrText>
                    </w:r>
                    <w:r>
                      <w:fldChar w:fldCharType="separate"/>
                    </w:r>
                    <w:r>
                      <w:t>226</w:t>
                    </w:r>
                    <w:r>
                      <w:fldChar w:fldCharType="end"/>
                    </w:r>
                  </w:p>
                </w:txbxContent>
              </v:textbox>
            </v:shape>
          </w:pict>
        </mc:Fallback>
      </mc:AlternateContent>
    </w:r>
  </w:p>
  <w:p w14:paraId="78AB6D7B">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40488">
    <w:pPr>
      <w:pStyle w:val="12"/>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E2F31">
                          <w:pPr>
                            <w:pStyle w:val="12"/>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99E2F31">
                    <w:pPr>
                      <w:pStyle w:val="12"/>
                    </w:pPr>
                    <w:r>
                      <w:fldChar w:fldCharType="begin"/>
                    </w:r>
                    <w:r>
                      <w:instrText xml:space="preserve"> PAGE  \* MERGEFORMAT </w:instrText>
                    </w:r>
                    <w:r>
                      <w:fldChar w:fldCharType="separate"/>
                    </w:r>
                    <w:r>
                      <w:t>250</w:t>
                    </w:r>
                    <w:r>
                      <w:fldChar w:fldCharType="end"/>
                    </w:r>
                  </w:p>
                </w:txbxContent>
              </v:textbox>
            </v:shape>
          </w:pict>
        </mc:Fallback>
      </mc:AlternateContent>
    </w:r>
  </w:p>
  <w:p w14:paraId="65AFCF27">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B0C8">
    <w:pPr>
      <w:pStyle w:val="12"/>
      <w:framePr w:wrap="around" w:vAnchor="text" w:hAnchor="margin" w:xAlign="center" w:y="1"/>
      <w:rPr>
        <w:rStyle w:val="20"/>
      </w:rPr>
    </w:pPr>
    <w:r>
      <w:fldChar w:fldCharType="begin"/>
    </w:r>
    <w:r>
      <w:rPr>
        <w:rStyle w:val="20"/>
      </w:rPr>
      <w:instrText xml:space="preserve">PAGE  </w:instrText>
    </w:r>
    <w:r>
      <w:fldChar w:fldCharType="end"/>
    </w:r>
  </w:p>
  <w:p w14:paraId="6F36906A">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DAFC6">
    <w:pPr>
      <w:pStyle w:val="12"/>
      <w:framePr w:wrap="around" w:vAnchor="text" w:hAnchor="margin" w:xAlign="right" w:y="1"/>
      <w:rPr>
        <w:rStyle w:val="20"/>
      </w:rPr>
    </w:pPr>
    <w:r>
      <w:fldChar w:fldCharType="begin"/>
    </w:r>
    <w:r>
      <w:rPr>
        <w:rStyle w:val="20"/>
      </w:rPr>
      <w:instrText xml:space="preserve">PAGE  </w:instrText>
    </w:r>
    <w:r>
      <w:fldChar w:fldCharType="separate"/>
    </w:r>
    <w:r>
      <w:rPr>
        <w:rStyle w:val="20"/>
      </w:rPr>
      <w:t>122</w:t>
    </w:r>
    <w:r>
      <w:fldChar w:fldCharType="end"/>
    </w:r>
  </w:p>
  <w:p w14:paraId="3338B3DB">
    <w:pPr>
      <w:pStyle w:val="12"/>
      <w:ind w:right="360"/>
      <w:jc w:val="both"/>
    </w:pPr>
    <w:r>
      <w:rPr>
        <w:rFonts w:hint="eastAsia"/>
      </w:rPr>
      <w:t>121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B363C">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9E5F7">
                          <w:pPr>
                            <w:pStyle w:val="12"/>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39E5F7">
                    <w:pPr>
                      <w:pStyle w:val="12"/>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687CD">
    <w:pPr>
      <w:pStyle w:val="12"/>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2D2E9">
                          <w:pPr>
                            <w:pStyle w:val="12"/>
                          </w:pPr>
                          <w:r>
                            <w:fldChar w:fldCharType="begin"/>
                          </w:r>
                          <w:r>
                            <w:instrText xml:space="preserve"> PAGE  \* MERGEFORMAT </w:instrText>
                          </w:r>
                          <w:r>
                            <w:fldChar w:fldCharType="separate"/>
                          </w:r>
                          <w:r>
                            <w:t>258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6162D2E9">
                    <w:pPr>
                      <w:pStyle w:val="12"/>
                    </w:pPr>
                    <w:r>
                      <w:fldChar w:fldCharType="begin"/>
                    </w:r>
                    <w:r>
                      <w:instrText xml:space="preserve"> PAGE  \* MERGEFORMAT </w:instrText>
                    </w:r>
                    <w:r>
                      <w:fldChar w:fldCharType="separate"/>
                    </w:r>
                    <w:r>
                      <w:t>258</w:t>
                    </w:r>
                    <w:r>
                      <w:fldChar w:fldCharType="end"/>
                    </w:r>
                  </w:p>
                </w:txbxContent>
              </v:textbox>
            </v:shape>
          </w:pict>
        </mc:Fallback>
      </mc:AlternateContent>
    </w:r>
  </w:p>
  <w:p w14:paraId="3F5717EB">
    <w:pPr>
      <w:pStyle w:val="1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1E0CB">
    <w:pPr>
      <w:pStyle w:val="12"/>
      <w:framePr w:wrap="around" w:vAnchor="text" w:hAnchor="margin" w:xAlign="center" w:y="1"/>
      <w:rPr>
        <w:rStyle w:val="20"/>
      </w:rPr>
    </w:pPr>
    <w:r>
      <w:fldChar w:fldCharType="begin"/>
    </w:r>
    <w:r>
      <w:rPr>
        <w:rStyle w:val="20"/>
      </w:rPr>
      <w:instrText xml:space="preserve">PAGE  </w:instrText>
    </w:r>
    <w:r>
      <w:fldChar w:fldCharType="end"/>
    </w:r>
  </w:p>
  <w:p w14:paraId="22CFABD5">
    <w:pPr>
      <w:pStyle w:val="1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5DF67">
    <w:pPr>
      <w:pStyle w:val="12"/>
      <w:framePr w:wrap="around" w:vAnchor="text" w:hAnchor="margin" w:xAlign="right" w:y="1"/>
      <w:rPr>
        <w:rStyle w:val="20"/>
      </w:rPr>
    </w:pPr>
    <w:r>
      <w:fldChar w:fldCharType="begin"/>
    </w:r>
    <w:r>
      <w:rPr>
        <w:rStyle w:val="20"/>
      </w:rPr>
      <w:instrText xml:space="preserve">PAGE  </w:instrText>
    </w:r>
    <w:r>
      <w:fldChar w:fldCharType="separate"/>
    </w:r>
    <w:r>
      <w:rPr>
        <w:rStyle w:val="20"/>
      </w:rPr>
      <w:t>122</w:t>
    </w:r>
    <w:r>
      <w:fldChar w:fldCharType="end"/>
    </w:r>
  </w:p>
  <w:p w14:paraId="5FBBEC95">
    <w:pPr>
      <w:pStyle w:val="12"/>
      <w:ind w:right="360"/>
      <w:jc w:val="both"/>
    </w:pPr>
    <w:r>
      <w:rPr>
        <w:rFonts w:hint="eastAsia"/>
      </w:rPr>
      <w:t>121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AEC7D">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04854">
                          <w:pPr>
                            <w:pStyle w:val="12"/>
                          </w:pPr>
                          <w:r>
                            <w:fldChar w:fldCharType="begin"/>
                          </w:r>
                          <w:r>
                            <w:instrText xml:space="preserve"> PAGE  \* MERGEFORMAT </w:instrText>
                          </w:r>
                          <w:r>
                            <w:fldChar w:fldCharType="separate"/>
                          </w:r>
                          <w:r>
                            <w:t>269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DD04854">
                    <w:pPr>
                      <w:pStyle w:val="12"/>
                    </w:pPr>
                    <w:r>
                      <w:fldChar w:fldCharType="begin"/>
                    </w:r>
                    <w:r>
                      <w:instrText xml:space="preserve"> PAGE  \* MERGEFORMAT </w:instrText>
                    </w:r>
                    <w:r>
                      <w:fldChar w:fldCharType="separate"/>
                    </w:r>
                    <w:r>
                      <w:t>269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CAF7">
    <w:pPr>
      <w:pStyle w:val="12"/>
      <w:framePr w:wrap="around" w:vAnchor="text" w:hAnchor="margin" w:xAlign="center" w:y="1"/>
      <w:rPr>
        <w:rStyle w:val="20"/>
      </w:rPr>
    </w:pPr>
    <w:r>
      <w:fldChar w:fldCharType="begin"/>
    </w:r>
    <w:r>
      <w:rPr>
        <w:rStyle w:val="20"/>
      </w:rPr>
      <w:instrText xml:space="preserve">PAGE  </w:instrText>
    </w:r>
    <w:r>
      <w:fldChar w:fldCharType="end"/>
    </w:r>
  </w:p>
  <w:p w14:paraId="580151E4">
    <w:pPr>
      <w:pStyle w:val="12"/>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8E9C5">
    <w:pPr>
      <w:pStyle w:val="12"/>
      <w:ind w:right="360"/>
      <w:jc w:val="both"/>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B997F">
                          <w:pPr>
                            <w:pStyle w:val="12"/>
                          </w:pPr>
                          <w:r>
                            <w:fldChar w:fldCharType="begin"/>
                          </w:r>
                          <w:r>
                            <w:instrText xml:space="preserve"> PAGE  \* MERGEFORMAT </w:instrText>
                          </w:r>
                          <w:r>
                            <w:fldChar w:fldCharType="separate"/>
                          </w:r>
                          <w:r>
                            <w:t>268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34B997F">
                    <w:pPr>
                      <w:pStyle w:val="12"/>
                    </w:pPr>
                    <w:r>
                      <w:fldChar w:fldCharType="begin"/>
                    </w:r>
                    <w:r>
                      <w:instrText xml:space="preserve"> PAGE  \* MERGEFORMAT </w:instrText>
                    </w:r>
                    <w:r>
                      <w:fldChar w:fldCharType="separate"/>
                    </w:r>
                    <w:r>
                      <w:t>268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E4EE3">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5875F">
    <w:pPr>
      <w:pStyle w:val="13"/>
      <w:pBdr>
        <w:bottom w:val="none" w:color="auto" w:sz="0" w:space="1"/>
      </w:pBdr>
      <w:tabs>
        <w:tab w:val="right"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1CE56">
    <w:pPr>
      <w:pStyle w:val="13"/>
      <w:pBdr>
        <w:bottom w:val="none" w:color="auto" w:sz="0" w:space="1"/>
      </w:pBdr>
      <w:tabs>
        <w:tab w:val="center" w:pos="4153"/>
        <w:tab w:val="right" w:pos="8306"/>
        <w:tab w:val="clear" w:pos="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20C4">
    <w:pPr>
      <w:pStyle w:val="13"/>
      <w:tabs>
        <w:tab w:val="center" w:pos="4153"/>
        <w:tab w:val="right" w:pos="8306"/>
        <w:tab w:val="clear" w:pos="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8BA28">
    <w:pPr>
      <w:pStyle w:val="13"/>
      <w:pBdr>
        <w:bottom w:val="none" w:color="auto" w:sz="0" w:space="1"/>
      </w:pBdr>
      <w:tabs>
        <w:tab w:val="center" w:pos="4153"/>
        <w:tab w:val="right" w:pos="8306"/>
        <w:tab w:val="clear" w:pos="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4D9F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589EA8"/>
    <w:multiLevelType w:val="singleLevel"/>
    <w:tmpl w:val="AB589EA8"/>
    <w:lvl w:ilvl="0" w:tentative="0">
      <w:start w:val="1"/>
      <w:numFmt w:val="decimal"/>
      <w:suff w:val="nothing"/>
      <w:lvlText w:val="（%1）"/>
      <w:lvlJc w:val="left"/>
    </w:lvl>
  </w:abstractNum>
  <w:abstractNum w:abstractNumId="1">
    <w:nsid w:val="C8DF3945"/>
    <w:multiLevelType w:val="singleLevel"/>
    <w:tmpl w:val="C8DF3945"/>
    <w:lvl w:ilvl="0" w:tentative="0">
      <w:start w:val="2"/>
      <w:numFmt w:val="chineseCounting"/>
      <w:suff w:val="nothing"/>
      <w:lvlText w:val="%1、"/>
      <w:lvlJc w:val="left"/>
      <w:rPr>
        <w:rFonts w:hint="eastAsia"/>
      </w:rPr>
    </w:lvl>
  </w:abstractNum>
  <w:abstractNum w:abstractNumId="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B24"/>
    <w:rsid w:val="000B2944"/>
    <w:rsid w:val="001015C5"/>
    <w:rsid w:val="00103897"/>
    <w:rsid w:val="001E615E"/>
    <w:rsid w:val="002C1F37"/>
    <w:rsid w:val="0032688E"/>
    <w:rsid w:val="003B3D0B"/>
    <w:rsid w:val="00AF39EE"/>
    <w:rsid w:val="00D15101"/>
    <w:rsid w:val="00FA1B24"/>
    <w:rsid w:val="032D5ABF"/>
    <w:rsid w:val="0429421C"/>
    <w:rsid w:val="05A30D0A"/>
    <w:rsid w:val="069B7776"/>
    <w:rsid w:val="07386417"/>
    <w:rsid w:val="07CB4548"/>
    <w:rsid w:val="08AE00F1"/>
    <w:rsid w:val="09223499"/>
    <w:rsid w:val="09490657"/>
    <w:rsid w:val="0AF64CCD"/>
    <w:rsid w:val="0B073AE9"/>
    <w:rsid w:val="0C2C2093"/>
    <w:rsid w:val="0D86113E"/>
    <w:rsid w:val="0D8837E5"/>
    <w:rsid w:val="0E004EC3"/>
    <w:rsid w:val="10A32F80"/>
    <w:rsid w:val="10B1077E"/>
    <w:rsid w:val="11D6411E"/>
    <w:rsid w:val="12B90746"/>
    <w:rsid w:val="137B17ED"/>
    <w:rsid w:val="14A405FA"/>
    <w:rsid w:val="15997A33"/>
    <w:rsid w:val="16585B40"/>
    <w:rsid w:val="173D69EE"/>
    <w:rsid w:val="17A0154D"/>
    <w:rsid w:val="18882132"/>
    <w:rsid w:val="19864D35"/>
    <w:rsid w:val="1D645EE5"/>
    <w:rsid w:val="20293DD2"/>
    <w:rsid w:val="216B7D9C"/>
    <w:rsid w:val="238318EA"/>
    <w:rsid w:val="23BF41FB"/>
    <w:rsid w:val="24101808"/>
    <w:rsid w:val="24B86128"/>
    <w:rsid w:val="2503474E"/>
    <w:rsid w:val="25524FC9"/>
    <w:rsid w:val="25A16BBC"/>
    <w:rsid w:val="25C96113"/>
    <w:rsid w:val="26FF02C7"/>
    <w:rsid w:val="27331CE1"/>
    <w:rsid w:val="27435A51"/>
    <w:rsid w:val="27EF79D0"/>
    <w:rsid w:val="27F531EF"/>
    <w:rsid w:val="282E04AF"/>
    <w:rsid w:val="2897708C"/>
    <w:rsid w:val="297F2F29"/>
    <w:rsid w:val="29CE5AA6"/>
    <w:rsid w:val="29DF5F05"/>
    <w:rsid w:val="2A665D56"/>
    <w:rsid w:val="2B067121"/>
    <w:rsid w:val="2B724EEF"/>
    <w:rsid w:val="2C6721E1"/>
    <w:rsid w:val="2C870122"/>
    <w:rsid w:val="2D37043D"/>
    <w:rsid w:val="2D9E22BA"/>
    <w:rsid w:val="2E613D4F"/>
    <w:rsid w:val="34173357"/>
    <w:rsid w:val="34595660"/>
    <w:rsid w:val="355319F4"/>
    <w:rsid w:val="35B9685D"/>
    <w:rsid w:val="3A2B2B31"/>
    <w:rsid w:val="3A7B3A28"/>
    <w:rsid w:val="3B691AD2"/>
    <w:rsid w:val="3BB31535"/>
    <w:rsid w:val="3CE32852"/>
    <w:rsid w:val="3CE36AEB"/>
    <w:rsid w:val="3D793B23"/>
    <w:rsid w:val="3DFFC1BA"/>
    <w:rsid w:val="3E1877DF"/>
    <w:rsid w:val="3F701B31"/>
    <w:rsid w:val="3F8D464B"/>
    <w:rsid w:val="40896439"/>
    <w:rsid w:val="41CE13DD"/>
    <w:rsid w:val="46686840"/>
    <w:rsid w:val="47B6EB80"/>
    <w:rsid w:val="4A411D97"/>
    <w:rsid w:val="4AD8632C"/>
    <w:rsid w:val="4B636AF4"/>
    <w:rsid w:val="4BA00C4C"/>
    <w:rsid w:val="4C8A0766"/>
    <w:rsid w:val="4E0513CE"/>
    <w:rsid w:val="4E52012F"/>
    <w:rsid w:val="4ED54978"/>
    <w:rsid w:val="4FF7E93F"/>
    <w:rsid w:val="502407EE"/>
    <w:rsid w:val="51E4582D"/>
    <w:rsid w:val="5642772B"/>
    <w:rsid w:val="579954F5"/>
    <w:rsid w:val="57DB15B9"/>
    <w:rsid w:val="582F1556"/>
    <w:rsid w:val="58544F50"/>
    <w:rsid w:val="58DF1EA0"/>
    <w:rsid w:val="597F4A48"/>
    <w:rsid w:val="59BF6AD5"/>
    <w:rsid w:val="5A3D1234"/>
    <w:rsid w:val="5BA81D4B"/>
    <w:rsid w:val="5BD66996"/>
    <w:rsid w:val="5C9127DF"/>
    <w:rsid w:val="5CD1707F"/>
    <w:rsid w:val="5DC55B33"/>
    <w:rsid w:val="5E1A336F"/>
    <w:rsid w:val="5E8A637B"/>
    <w:rsid w:val="5F0D5F64"/>
    <w:rsid w:val="5FD72BFF"/>
    <w:rsid w:val="6051729E"/>
    <w:rsid w:val="61AA0357"/>
    <w:rsid w:val="64255DFD"/>
    <w:rsid w:val="64886F1A"/>
    <w:rsid w:val="64D078AB"/>
    <w:rsid w:val="6648053E"/>
    <w:rsid w:val="66841F53"/>
    <w:rsid w:val="680A299D"/>
    <w:rsid w:val="68507615"/>
    <w:rsid w:val="69AC3AAD"/>
    <w:rsid w:val="69C904AC"/>
    <w:rsid w:val="6B0574A6"/>
    <w:rsid w:val="6BBB0337"/>
    <w:rsid w:val="6C5A4DFF"/>
    <w:rsid w:val="6CD01102"/>
    <w:rsid w:val="6CE044C1"/>
    <w:rsid w:val="6D795C6B"/>
    <w:rsid w:val="6E3A43B9"/>
    <w:rsid w:val="70A07A7A"/>
    <w:rsid w:val="721721D6"/>
    <w:rsid w:val="72D82ABE"/>
    <w:rsid w:val="73FBB53E"/>
    <w:rsid w:val="73FECAE4"/>
    <w:rsid w:val="757A434E"/>
    <w:rsid w:val="75E623D8"/>
    <w:rsid w:val="760970D6"/>
    <w:rsid w:val="76EA2E1A"/>
    <w:rsid w:val="77D6E3E3"/>
    <w:rsid w:val="77F20F5F"/>
    <w:rsid w:val="77FDC9DB"/>
    <w:rsid w:val="78112457"/>
    <w:rsid w:val="7A41719B"/>
    <w:rsid w:val="7B784E3E"/>
    <w:rsid w:val="7BDB7E7C"/>
    <w:rsid w:val="7CFF9E11"/>
    <w:rsid w:val="7DC050DC"/>
    <w:rsid w:val="7DEFF770"/>
    <w:rsid w:val="7E935C0B"/>
    <w:rsid w:val="7FC71729"/>
    <w:rsid w:val="7FE5D4AD"/>
    <w:rsid w:val="8FAEF3AF"/>
    <w:rsid w:val="93EF7109"/>
    <w:rsid w:val="9DDB1FDC"/>
    <w:rsid w:val="BE5F26B4"/>
    <w:rsid w:val="BFAF6E10"/>
    <w:rsid w:val="D79D0280"/>
    <w:rsid w:val="D7DBF1BB"/>
    <w:rsid w:val="E5FFDD9C"/>
    <w:rsid w:val="EFA76C81"/>
    <w:rsid w:val="F3EDCE3C"/>
    <w:rsid w:val="F7FDBC5A"/>
    <w:rsid w:val="F9FBD416"/>
    <w:rsid w:val="FEBBE68C"/>
    <w:rsid w:val="FF25E95A"/>
    <w:rsid w:val="FF6F9646"/>
    <w:rsid w:val="FFD3B944"/>
    <w:rsid w:val="FFFF82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6">
    <w:name w:val="heading 3"/>
    <w:basedOn w:val="1"/>
    <w:next w:val="1"/>
    <w:qFormat/>
    <w:uiPriority w:val="0"/>
    <w:pPr>
      <w:keepNext/>
      <w:keepLines/>
      <w:spacing w:before="260" w:after="260" w:line="416" w:lineRule="auto"/>
      <w:outlineLvl w:val="2"/>
    </w:pPr>
    <w:rPr>
      <w:b/>
      <w:bCs/>
      <w:kern w:val="0"/>
      <w:sz w:val="32"/>
      <w:szCs w:val="32"/>
    </w:rPr>
  </w:style>
  <w:style w:type="paragraph" w:styleId="7">
    <w:name w:val="heading 5"/>
    <w:basedOn w:val="1"/>
    <w:next w:val="8"/>
    <w:qFormat/>
    <w:uiPriority w:val="0"/>
    <w:pPr>
      <w:keepNext/>
      <w:keepLines/>
      <w:numPr>
        <w:ilvl w:val="4"/>
        <w:numId w:val="1"/>
      </w:numPr>
      <w:spacing w:before="280" w:after="290" w:line="376" w:lineRule="auto"/>
      <w:outlineLvl w:val="4"/>
    </w:pPr>
    <w:rPr>
      <w:b/>
      <w:sz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80" w:lineRule="exact"/>
    </w:pPr>
    <w:rPr>
      <w:kern w:val="0"/>
      <w:sz w:val="24"/>
    </w:rPr>
  </w:style>
  <w:style w:type="paragraph" w:styleId="3">
    <w:name w:val="Title"/>
    <w:basedOn w:val="1"/>
    <w:next w:val="1"/>
    <w:qFormat/>
    <w:uiPriority w:val="10"/>
    <w:pPr>
      <w:spacing w:before="240" w:after="60"/>
      <w:jc w:val="center"/>
      <w:outlineLvl w:val="0"/>
    </w:pPr>
    <w:rPr>
      <w:rFonts w:ascii="Cambria" w:hAnsi="Cambria"/>
      <w:b/>
      <w:bCs/>
      <w:sz w:val="32"/>
      <w:szCs w:val="32"/>
    </w:rPr>
  </w:style>
  <w:style w:type="paragraph" w:styleId="8">
    <w:name w:val="Normal Indent"/>
    <w:basedOn w:val="1"/>
    <w:qFormat/>
    <w:uiPriority w:val="0"/>
    <w:pPr>
      <w:ind w:firstLine="420"/>
    </w:pPr>
    <w:rPr>
      <w:szCs w:val="20"/>
    </w:rPr>
  </w:style>
  <w:style w:type="paragraph" w:styleId="9">
    <w:name w:val="annotation text"/>
    <w:basedOn w:val="1"/>
    <w:link w:val="29"/>
    <w:unhideWhenUsed/>
    <w:qFormat/>
    <w:uiPriority w:val="0"/>
    <w:pPr>
      <w:jc w:val="left"/>
    </w:pPr>
  </w:style>
  <w:style w:type="paragraph" w:styleId="10">
    <w:name w:val="Body Text Indent"/>
    <w:basedOn w:val="1"/>
    <w:qFormat/>
    <w:uiPriority w:val="0"/>
    <w:pPr>
      <w:ind w:firstLine="830" w:firstLineChars="352"/>
    </w:pPr>
    <w:rPr>
      <w:rFonts w:ascii="仿宋_GB2312" w:eastAsia="仿宋_GB2312"/>
      <w:kern w:val="0"/>
      <w:sz w:val="32"/>
      <w:szCs w:val="20"/>
    </w:rPr>
  </w:style>
  <w:style w:type="paragraph" w:styleId="11">
    <w:name w:val="Plain Text"/>
    <w:basedOn w:val="1"/>
    <w:next w:val="1"/>
    <w:qFormat/>
    <w:uiPriority w:val="0"/>
    <w:rPr>
      <w:rFonts w:ascii="宋体" w:hAnsi="Courier New"/>
      <w:kern w:val="0"/>
      <w:sz w:val="20"/>
      <w:szCs w:val="21"/>
    </w:rPr>
  </w:style>
  <w:style w:type="paragraph" w:styleId="12">
    <w:name w:val="footer"/>
    <w:basedOn w:val="1"/>
    <w:next w:val="1"/>
    <w:unhideWhenUsed/>
    <w:qFormat/>
    <w:uiPriority w:val="99"/>
    <w:pPr>
      <w:tabs>
        <w:tab w:val="center" w:pos="4153"/>
        <w:tab w:val="right" w:pos="8306"/>
      </w:tabs>
      <w:snapToGrid w:val="0"/>
      <w:jc w:val="left"/>
    </w:pPr>
    <w:rPr>
      <w:kern w:val="0"/>
      <w:sz w:val="18"/>
      <w:szCs w:val="18"/>
    </w:rPr>
  </w:style>
  <w:style w:type="paragraph" w:styleId="13">
    <w:name w:val="header"/>
    <w:basedOn w:val="1"/>
    <w:unhideWhenUsed/>
    <w:qFormat/>
    <w:uiPriority w:val="99"/>
    <w:pPr>
      <w:pBdr>
        <w:bottom w:val="single" w:color="auto" w:sz="6" w:space="1"/>
      </w:pBdr>
      <w:tabs>
        <w:tab w:val="center" w:pos="0"/>
        <w:tab w:val="left" w:pos="8306"/>
      </w:tabs>
      <w:snapToGrid w:val="0"/>
      <w:jc w:val="center"/>
    </w:pPr>
    <w:rPr>
      <w:sz w:val="18"/>
      <w:szCs w:val="18"/>
    </w:rPr>
  </w:style>
  <w:style w:type="paragraph" w:styleId="14">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15">
    <w:name w:val="Body Text 2"/>
    <w:basedOn w:val="1"/>
    <w:qFormat/>
    <w:uiPriority w:val="0"/>
    <w:pPr>
      <w:spacing w:after="120" w:line="480" w:lineRule="auto"/>
    </w:pPr>
    <w:rPr>
      <w:kern w:val="0"/>
      <w:sz w:val="20"/>
    </w:rPr>
  </w:style>
  <w:style w:type="paragraph" w:styleId="16">
    <w:name w:val="Normal (Web)"/>
    <w:basedOn w:val="1"/>
    <w:qFormat/>
    <w:uiPriority w:val="99"/>
    <w:pPr>
      <w:widowControl/>
      <w:spacing w:before="100" w:beforeAutospacing="1" w:after="100" w:afterAutospacing="1"/>
      <w:jc w:val="left"/>
    </w:pPr>
    <w:rPr>
      <w:rFonts w:ascii="宋体" w:hAnsi="宋体"/>
      <w:kern w:val="0"/>
      <w:sz w:val="24"/>
    </w:rPr>
  </w:style>
  <w:style w:type="paragraph" w:styleId="17">
    <w:name w:val="annotation subject"/>
    <w:basedOn w:val="9"/>
    <w:next w:val="9"/>
    <w:link w:val="30"/>
    <w:qFormat/>
    <w:uiPriority w:val="0"/>
    <w:rPr>
      <w:b/>
      <w:bCs/>
    </w:rPr>
  </w:style>
  <w:style w:type="character" w:styleId="20">
    <w:name w:val="page number"/>
    <w:qFormat/>
    <w:uiPriority w:val="0"/>
  </w:style>
  <w:style w:type="character" w:styleId="21">
    <w:name w:val="Hyperlink"/>
    <w:qFormat/>
    <w:uiPriority w:val="99"/>
    <w:rPr>
      <w:color w:val="000000"/>
      <w:u w:val="none"/>
    </w:rPr>
  </w:style>
  <w:style w:type="character" w:styleId="22">
    <w:name w:val="annotation reference"/>
    <w:basedOn w:val="19"/>
    <w:qFormat/>
    <w:uiPriority w:val="0"/>
    <w:rPr>
      <w:sz w:val="21"/>
      <w:szCs w:val="21"/>
    </w:rPr>
  </w:style>
  <w:style w:type="paragraph" w:customStyle="1" w:styleId="23">
    <w:name w:val="01 正文-首行缩进2字符"/>
    <w:basedOn w:val="1"/>
    <w:qFormat/>
    <w:uiPriority w:val="0"/>
    <w:pPr>
      <w:spacing w:beforeLines="50" w:afterLines="50"/>
      <w:ind w:firstLine="964" w:firstLineChars="200"/>
    </w:pPr>
    <w:rPr>
      <w:rFonts w:ascii="Arial" w:hAnsi="Arial"/>
      <w:color w:val="000000"/>
      <w:sz w:val="28"/>
      <w:szCs w:val="22"/>
    </w:rPr>
  </w:style>
  <w:style w:type="paragraph" w:customStyle="1" w:styleId="24">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25">
    <w:name w:val="Table Normal"/>
    <w:semiHidden/>
    <w:qFormat/>
    <w:uiPriority w:val="2"/>
    <w:pPr>
      <w:widowControl w:val="0"/>
    </w:pPr>
    <w:rPr>
      <w:rFonts w:eastAsia="Times New Roman"/>
      <w:sz w:val="22"/>
      <w:szCs w:val="22"/>
      <w:lang w:eastAsia="en-US"/>
    </w:rPr>
    <w:tblPr>
      <w:tblCellMar>
        <w:top w:w="0" w:type="dxa"/>
        <w:left w:w="0" w:type="dxa"/>
        <w:bottom w:w="0" w:type="dxa"/>
        <w:right w:w="0" w:type="dxa"/>
      </w:tblCellMar>
    </w:tblPr>
  </w:style>
  <w:style w:type="character" w:customStyle="1" w:styleId="26">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styleId="27">
    <w:name w:val="List Paragraph"/>
    <w:basedOn w:val="1"/>
    <w:qFormat/>
    <w:uiPriority w:val="34"/>
    <w:pPr>
      <w:ind w:firstLine="420" w:firstLineChars="200"/>
    </w:p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9">
    <w:name w:val="批注文字 字符"/>
    <w:basedOn w:val="19"/>
    <w:link w:val="9"/>
    <w:qFormat/>
    <w:uiPriority w:val="0"/>
    <w:rPr>
      <w:kern w:val="2"/>
      <w:sz w:val="21"/>
      <w:szCs w:val="24"/>
    </w:rPr>
  </w:style>
  <w:style w:type="character" w:customStyle="1" w:styleId="30">
    <w:name w:val="批注主题 字符"/>
    <w:basedOn w:val="29"/>
    <w:link w:val="1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274</Pages>
  <Words>14337</Words>
  <Characters>15354</Characters>
  <Lines>5253</Lines>
  <Paragraphs>4601</Paragraphs>
  <TotalTime>145</TotalTime>
  <ScaleCrop>false</ScaleCrop>
  <LinksUpToDate>false</LinksUpToDate>
  <CharactersWithSpaces>15583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Administrator.USER-20171206AJ</dc:creator>
  <cp:lastModifiedBy>WPS_1618307932</cp:lastModifiedBy>
  <dcterms:modified xsi:type="dcterms:W3CDTF">2026-09-01T08:41:07Z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eyJoZGlkIjoiMTg2NjQ0Y2IyYTZhYWRjODY4N2QxODQ5ZDRlYjc3NDAiLCJ1c2VySWQiOiIxMTk3NjE2MzUwIn0=</vt:lpwstr>
  </property>
  <property fmtid="{D5CDD505-2E9C-101B-9397-08002B2CF9AE}" pid="4" name="ICV">
    <vt:lpwstr>3A3811706DC84A399276E15B3F088DE4_13</vt:lpwstr>
  </property>
</Properties>
</file>