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line="360" w:lineRule="auto"/>
        <w:jc w:val="center"/>
        <w:rPr>
          <w:rFonts w:hAnsi="宋体" w:cs="宋体"/>
          <w:color w:val="auto"/>
          <w:spacing w:val="30"/>
          <w:kern w:val="52"/>
          <w:sz w:val="64"/>
          <w:szCs w:val="64"/>
          <w:highlight w:val="none"/>
        </w:rPr>
      </w:pPr>
      <w:r>
        <w:rPr>
          <w:rFonts w:hint="eastAsia" w:hAnsi="宋体" w:cs="宋体"/>
          <w:color w:val="auto"/>
          <w:spacing w:val="30"/>
          <w:kern w:val="52"/>
          <w:sz w:val="64"/>
          <w:szCs w:val="64"/>
          <w:highlight w:val="none"/>
        </w:rPr>
        <w:t>广西科文招标有限公司</w:t>
      </w:r>
    </w:p>
    <w:p>
      <w:pPr>
        <w:pStyle w:val="14"/>
        <w:spacing w:line="360" w:lineRule="auto"/>
        <w:ind w:firstLine="1285"/>
        <w:jc w:val="center"/>
        <w:rPr>
          <w:rFonts w:hAnsi="宋体" w:cs="宋体"/>
          <w:color w:val="auto"/>
          <w:spacing w:val="28"/>
          <w:sz w:val="64"/>
          <w:szCs w:val="64"/>
          <w:highlight w:val="none"/>
        </w:rPr>
      </w:pPr>
      <w:r>
        <w:rPr>
          <w:rFonts w:hAnsi="宋体" w:cs="宋体"/>
          <w:b/>
          <w:color w:val="auto"/>
          <w:spacing w:val="-18"/>
          <w:sz w:val="64"/>
          <w:szCs w:val="64"/>
          <w:highlight w:val="none"/>
        </w:rP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5486400" cy="12700"/>
                <wp:effectExtent l="0" t="6350" r="0" b="9525"/>
                <wp:wrapNone/>
                <wp:docPr id="2" name="1026"/>
                <wp:cNvGraphicFramePr/>
                <a:graphic xmlns:a="http://schemas.openxmlformats.org/drawingml/2006/main">
                  <a:graphicData uri="http://schemas.microsoft.com/office/word/2010/wordprocessingShape">
                    <wps:wsp>
                      <wps:cNvCnPr/>
                      <wps:spPr>
                        <a:xfrm>
                          <a:off x="0" y="0"/>
                          <a:ext cx="5486400" cy="12700"/>
                        </a:xfrm>
                        <a:prstGeom prst="line">
                          <a:avLst/>
                        </a:prstGeom>
                        <a:ln w="12700" cap="flat" cmpd="sng">
                          <a:solidFill>
                            <a:srgbClr val="FFFFFF"/>
                          </a:solidFill>
                          <a:prstDash val="solid"/>
                          <a:headEnd type="none" w="med" len="med"/>
                          <a:tailEnd type="none" w="med" len="med"/>
                        </a:ln>
                      </wps:spPr>
                      <wps:bodyPr upright="1"/>
                    </wps:wsp>
                  </a:graphicData>
                </a:graphic>
              </wp:anchor>
            </w:drawing>
          </mc:Choice>
          <mc:Fallback>
            <w:pict>
              <v:line id="1026" o:spid="_x0000_s1026" o:spt="20" style="position:absolute;left:0pt;margin-left:0pt;margin-top:0pt;height:1pt;width:432pt;z-index:251659264;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YdBa0wAAAAMBAAAPAAAAAAAAAAEAIAAAACIAAABkcnMvZG93bnJldi54bWxQSwEC&#10;FAAUAAAACACHTuJAZURemcABAACOAwAADgAAAAAAAAABACAAAAAiAQAAZHJzL2Uyb0RvYy54bWxQ&#10;SwUGAAAAAAYABgBZAQAAVAUAAAAA&#10;">
                <v:fill on="f" focussize="0,0"/>
                <v:stroke weight="1pt" color="#FFFFFF" joinstyle="round"/>
                <v:imagedata o:title=""/>
                <o:lock v:ext="edit" aspectratio="f"/>
              </v:line>
            </w:pict>
          </mc:Fallback>
        </mc:AlternateContent>
      </w:r>
    </w:p>
    <w:p>
      <w:pPr>
        <w:snapToGrid w:val="0"/>
        <w:spacing w:beforeLines="50" w:line="360" w:lineRule="auto"/>
        <w:jc w:val="center"/>
        <w:rPr>
          <w:rFonts w:ascii="宋体" w:hAnsi="宋体" w:cs="宋体"/>
          <w:color w:val="auto"/>
          <w:sz w:val="120"/>
          <w:szCs w:val="120"/>
          <w:highlight w:val="none"/>
        </w:rPr>
      </w:pPr>
      <w:r>
        <w:rPr>
          <w:rFonts w:hint="eastAsia" w:ascii="宋体" w:hAnsi="宋体" w:cs="宋体"/>
          <w:color w:val="auto"/>
          <w:sz w:val="120"/>
          <w:szCs w:val="120"/>
          <w:highlight w:val="none"/>
        </w:rPr>
        <w:t>招 标 文 件</w:t>
      </w:r>
    </w:p>
    <w:p>
      <w:pPr>
        <w:snapToGrid w:val="0"/>
        <w:spacing w:beforeLines="50"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pPr>
        <w:pStyle w:val="14"/>
        <w:snapToGrid w:val="0"/>
        <w:spacing w:line="360" w:lineRule="auto"/>
        <w:rPr>
          <w:rFonts w:hAnsi="宋体" w:cs="宋体"/>
          <w:b/>
          <w:bCs/>
          <w:color w:val="auto"/>
          <w:w w:val="95"/>
          <w:sz w:val="30"/>
          <w:szCs w:val="30"/>
          <w:highlight w:val="none"/>
        </w:rPr>
      </w:pPr>
    </w:p>
    <w:p>
      <w:pPr>
        <w:pStyle w:val="14"/>
        <w:snapToGrid w:val="0"/>
        <w:spacing w:line="360" w:lineRule="auto"/>
        <w:ind w:left="840" w:firstLine="420"/>
        <w:rPr>
          <w:rFonts w:hAnsi="宋体" w:cs="宋体"/>
          <w:b/>
          <w:bCs/>
          <w:color w:val="auto"/>
          <w:w w:val="95"/>
          <w:sz w:val="30"/>
          <w:szCs w:val="30"/>
          <w:highlight w:val="none"/>
        </w:rPr>
      </w:pPr>
      <w:r>
        <w:rPr>
          <w:rFonts w:hint="eastAsia" w:hAnsi="宋体" w:cs="宋体"/>
          <w:b/>
          <w:bCs/>
          <w:color w:val="auto"/>
          <w:w w:val="95"/>
          <w:sz w:val="30"/>
          <w:szCs w:val="30"/>
          <w:highlight w:val="none"/>
        </w:rPr>
        <w:t>项目名称：广西壮族自治区2024年县域医共体设备更新项目（数字减影血管造影系统-DSA）（重）</w:t>
      </w:r>
    </w:p>
    <w:p>
      <w:pPr>
        <w:pStyle w:val="14"/>
        <w:snapToGrid w:val="0"/>
        <w:spacing w:line="360" w:lineRule="auto"/>
        <w:ind w:left="840" w:firstLine="420"/>
        <w:rPr>
          <w:rFonts w:hAnsi="宋体" w:cs="宋体"/>
          <w:b/>
          <w:bCs/>
          <w:color w:val="auto"/>
          <w:w w:val="95"/>
          <w:sz w:val="30"/>
          <w:szCs w:val="30"/>
          <w:highlight w:val="none"/>
        </w:rPr>
      </w:pPr>
      <w:r>
        <w:rPr>
          <w:rFonts w:hint="eastAsia" w:hAnsi="宋体" w:cs="宋体"/>
          <w:b/>
          <w:bCs/>
          <w:color w:val="auto"/>
          <w:w w:val="95"/>
          <w:sz w:val="30"/>
          <w:szCs w:val="30"/>
          <w:highlight w:val="none"/>
        </w:rPr>
        <w:t>项目编号：GXZC2026-G1-001010-KWZB</w:t>
      </w:r>
    </w:p>
    <w:p>
      <w:pPr>
        <w:pStyle w:val="14"/>
        <w:snapToGrid w:val="0"/>
        <w:spacing w:line="360" w:lineRule="auto"/>
        <w:ind w:firstLine="1200" w:firstLineChars="393"/>
        <w:rPr>
          <w:rFonts w:hAnsi="宋体" w:cs="宋体"/>
          <w:b/>
          <w:bCs/>
          <w:color w:val="auto"/>
          <w:w w:val="95"/>
          <w:sz w:val="32"/>
          <w:szCs w:val="32"/>
          <w:highlight w:val="none"/>
        </w:rPr>
      </w:pPr>
    </w:p>
    <w:p>
      <w:pPr>
        <w:pStyle w:val="14"/>
        <w:snapToGrid w:val="0"/>
        <w:spacing w:line="360" w:lineRule="auto"/>
        <w:ind w:firstLine="613"/>
        <w:rPr>
          <w:rFonts w:hAnsi="宋体" w:cs="宋体"/>
          <w:b/>
          <w:bCs/>
          <w:color w:val="auto"/>
          <w:w w:val="95"/>
          <w:sz w:val="32"/>
          <w:szCs w:val="32"/>
          <w:highlight w:val="none"/>
        </w:rPr>
      </w:pPr>
    </w:p>
    <w:p>
      <w:pPr>
        <w:pStyle w:val="14"/>
        <w:snapToGrid w:val="0"/>
        <w:spacing w:line="360" w:lineRule="auto"/>
        <w:ind w:firstLine="2878" w:firstLineChars="896"/>
        <w:rPr>
          <w:rFonts w:hAnsi="宋体" w:cs="宋体"/>
          <w:b/>
          <w:bCs/>
          <w:color w:val="auto"/>
          <w:sz w:val="32"/>
          <w:szCs w:val="32"/>
          <w:highlight w:val="none"/>
        </w:rPr>
      </w:pPr>
    </w:p>
    <w:p>
      <w:pPr>
        <w:spacing w:line="360" w:lineRule="auto"/>
        <w:ind w:firstLine="1285" w:firstLineChars="400"/>
        <w:rPr>
          <w:color w:val="auto"/>
          <w:sz w:val="32"/>
          <w:szCs w:val="32"/>
          <w:highlight w:val="none"/>
        </w:rPr>
      </w:pPr>
      <w:r>
        <w:rPr>
          <w:rFonts w:hint="eastAsia"/>
          <w:b/>
          <w:bCs/>
          <w:color w:val="auto"/>
          <w:sz w:val="32"/>
          <w:szCs w:val="32"/>
          <w:highlight w:val="none"/>
        </w:rPr>
        <w:t>甲    方1：广西壮族自治区卫生健康委员会</w:t>
      </w:r>
    </w:p>
    <w:p>
      <w:pPr>
        <w:pStyle w:val="14"/>
        <w:snapToGrid w:val="0"/>
        <w:spacing w:line="360" w:lineRule="auto"/>
        <w:ind w:firstLine="1285" w:firstLineChars="400"/>
        <w:rPr>
          <w:rFonts w:hAnsi="宋体" w:cs="宋体"/>
          <w:b/>
          <w:bCs/>
          <w:color w:val="auto"/>
          <w:w w:val="95"/>
          <w:sz w:val="30"/>
          <w:szCs w:val="30"/>
          <w:highlight w:val="none"/>
        </w:rPr>
      </w:pPr>
      <w:r>
        <w:rPr>
          <w:rFonts w:hint="eastAsia"/>
          <w:b/>
          <w:bCs/>
          <w:color w:val="auto"/>
          <w:sz w:val="32"/>
          <w:szCs w:val="32"/>
          <w:highlight w:val="none"/>
        </w:rPr>
        <w:t>甲    方2：</w:t>
      </w:r>
      <w:r>
        <w:rPr>
          <w:rFonts w:hint="eastAsia" w:ascii="Times New Roman" w:hAnsi="Times New Roman"/>
          <w:b/>
          <w:bCs/>
          <w:color w:val="auto"/>
          <w:kern w:val="2"/>
          <w:sz w:val="32"/>
          <w:szCs w:val="32"/>
          <w:highlight w:val="none"/>
        </w:rPr>
        <w:t>容县人民医院</w:t>
      </w:r>
    </w:p>
    <w:p>
      <w:pPr>
        <w:pStyle w:val="14"/>
        <w:snapToGrid w:val="0"/>
        <w:spacing w:line="360" w:lineRule="auto"/>
        <w:ind w:left="840" w:firstLine="420"/>
        <w:rPr>
          <w:rFonts w:hAnsi="宋体" w:cs="宋体"/>
          <w:b/>
          <w:bCs/>
          <w:color w:val="auto"/>
          <w:w w:val="95"/>
          <w:sz w:val="30"/>
          <w:szCs w:val="30"/>
          <w:highlight w:val="none"/>
        </w:rPr>
      </w:pPr>
      <w:r>
        <w:rPr>
          <w:rFonts w:hint="eastAsia" w:hAnsi="宋体" w:cs="宋体"/>
          <w:b/>
          <w:bCs/>
          <w:color w:val="auto"/>
          <w:w w:val="95"/>
          <w:sz w:val="30"/>
          <w:szCs w:val="30"/>
          <w:highlight w:val="none"/>
        </w:rPr>
        <w:t>采购代理机构：广西科文招标有限公司</w:t>
      </w:r>
    </w:p>
    <w:p>
      <w:pPr>
        <w:pStyle w:val="14"/>
        <w:snapToGrid w:val="0"/>
        <w:spacing w:line="360" w:lineRule="auto"/>
        <w:ind w:firstLine="1200" w:firstLineChars="393"/>
        <w:rPr>
          <w:rFonts w:hAnsi="宋体" w:cs="宋体"/>
          <w:b/>
          <w:bCs/>
          <w:color w:val="auto"/>
          <w:w w:val="95"/>
          <w:sz w:val="32"/>
          <w:szCs w:val="32"/>
          <w:highlight w:val="none"/>
        </w:rPr>
      </w:pPr>
    </w:p>
    <w:p>
      <w:pPr>
        <w:pStyle w:val="14"/>
        <w:snapToGrid w:val="0"/>
        <w:spacing w:line="360" w:lineRule="auto"/>
        <w:jc w:val="center"/>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lang w:eastAsia="zh-CN"/>
        </w:rPr>
        <w:t>2026年8月13日</w:t>
      </w:r>
    </w:p>
    <w:p>
      <w:pPr>
        <w:pStyle w:val="14"/>
        <w:snapToGrid w:val="0"/>
        <w:spacing w:line="360" w:lineRule="auto"/>
        <w:ind w:firstLine="841" w:firstLineChars="294"/>
        <w:rPr>
          <w:rFonts w:hAnsi="宋体" w:cs="宋体"/>
          <w:b/>
          <w:bCs/>
          <w:color w:val="auto"/>
          <w:w w:val="95"/>
          <w:sz w:val="30"/>
          <w:szCs w:val="30"/>
          <w:highlight w:val="none"/>
        </w:rPr>
      </w:pPr>
    </w:p>
    <w:p>
      <w:pPr>
        <w:pStyle w:val="14"/>
        <w:snapToGrid w:val="0"/>
        <w:spacing w:line="360" w:lineRule="auto"/>
        <w:ind w:firstLine="588" w:firstLineChars="294"/>
        <w:rPr>
          <w:rFonts w:hAnsi="宋体" w:cs="宋体"/>
          <w:color w:val="auto"/>
          <w:szCs w:val="20"/>
          <w:highlight w:val="none"/>
        </w:rPr>
      </w:pPr>
    </w:p>
    <w:p>
      <w:pPr>
        <w:rPr>
          <w:rFonts w:ascii="宋体" w:hAnsi="宋体" w:cs="宋体"/>
          <w:b/>
          <w:color w:val="auto"/>
          <w:sz w:val="44"/>
          <w:szCs w:val="44"/>
          <w:highlight w:val="none"/>
        </w:rPr>
      </w:pPr>
    </w:p>
    <w:p>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pPr>
        <w:pStyle w:val="18"/>
        <w:tabs>
          <w:tab w:val="right" w:leader="dot" w:pos="9746"/>
          <w:tab w:val="clear" w:pos="8398"/>
        </w:tabs>
        <w:spacing w:line="480" w:lineRule="auto"/>
        <w:rPr>
          <w:color w:val="auto"/>
          <w:highlight w:val="none"/>
        </w:rPr>
      </w:pPr>
      <w:r>
        <w:rPr>
          <w:rFonts w:hint="eastAsia" w:cs="宋体"/>
          <w:b w:val="0"/>
          <w:color w:val="auto"/>
          <w:highlight w:val="none"/>
        </w:rPr>
        <w:fldChar w:fldCharType="begin"/>
      </w:r>
      <w:r>
        <w:rPr>
          <w:rFonts w:hint="eastAsia" w:cs="宋体"/>
          <w:b w:val="0"/>
          <w:color w:val="auto"/>
          <w:highlight w:val="none"/>
        </w:rPr>
        <w:instrText xml:space="preserve">TOC \o "1-2" \h \z \u</w:instrText>
      </w:r>
      <w:r>
        <w:rPr>
          <w:rFonts w:hint="eastAsia" w:cs="宋体"/>
          <w:b w:val="0"/>
          <w:color w:val="auto"/>
          <w:highlight w:val="none"/>
        </w:rPr>
        <w:fldChar w:fldCharType="separate"/>
      </w:r>
      <w:r>
        <w:rPr>
          <w:rFonts w:hint="eastAsia" w:cs="宋体"/>
          <w:color w:val="auto"/>
          <w:highlight w:val="none"/>
        </w:rPr>
        <w:fldChar w:fldCharType="begin"/>
      </w:r>
      <w:r>
        <w:rPr>
          <w:rFonts w:hint="eastAsia" w:cs="宋体"/>
          <w:color w:val="auto"/>
          <w:highlight w:val="none"/>
        </w:rPr>
        <w:instrText xml:space="preserve"> HYPERLINK \l _Toc1800 </w:instrText>
      </w:r>
      <w:r>
        <w:rPr>
          <w:rFonts w:hint="eastAsia" w:cs="宋体"/>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_Toc1800 </w:instrText>
      </w:r>
      <w:r>
        <w:rPr>
          <w:color w:val="auto"/>
          <w:highlight w:val="none"/>
        </w:rPr>
        <w:fldChar w:fldCharType="separate"/>
      </w:r>
      <w:r>
        <w:rPr>
          <w:color w:val="auto"/>
          <w:highlight w:val="none"/>
        </w:rPr>
        <w:t>1</w:t>
      </w:r>
      <w:r>
        <w:rPr>
          <w:color w:val="auto"/>
          <w:highlight w:val="none"/>
        </w:rPr>
        <w:fldChar w:fldCharType="end"/>
      </w:r>
      <w:r>
        <w:rPr>
          <w:rFonts w:hint="eastAsia" w:cs="宋体"/>
          <w:color w:val="auto"/>
          <w:highlight w:val="none"/>
        </w:rPr>
        <w:fldChar w:fldCharType="end"/>
      </w:r>
    </w:p>
    <w:p>
      <w:pPr>
        <w:pStyle w:val="18"/>
        <w:tabs>
          <w:tab w:val="right" w:leader="dot" w:pos="9746"/>
          <w:tab w:val="clear" w:pos="8398"/>
        </w:tabs>
        <w:spacing w:line="480" w:lineRule="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_Toc32610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_Toc32610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highlight w:val="none"/>
        </w:rPr>
        <w:fldChar w:fldCharType="end"/>
      </w:r>
    </w:p>
    <w:p>
      <w:pPr>
        <w:pStyle w:val="18"/>
        <w:tabs>
          <w:tab w:val="right" w:leader="dot" w:pos="9746"/>
          <w:tab w:val="clear" w:pos="8398"/>
        </w:tabs>
        <w:spacing w:line="480" w:lineRule="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_Toc19234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_Toc19234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cs="宋体"/>
          <w:color w:val="auto"/>
          <w:highlight w:val="none"/>
        </w:rPr>
        <w:fldChar w:fldCharType="end"/>
      </w:r>
    </w:p>
    <w:p>
      <w:pPr>
        <w:pStyle w:val="18"/>
        <w:tabs>
          <w:tab w:val="right" w:leader="dot" w:pos="9746"/>
          <w:tab w:val="clear" w:pos="8398"/>
        </w:tabs>
        <w:spacing w:line="480" w:lineRule="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_Toc21740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_Toc21740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cs="宋体"/>
          <w:color w:val="auto"/>
          <w:highlight w:val="none"/>
        </w:rPr>
        <w:fldChar w:fldCharType="end"/>
      </w:r>
    </w:p>
    <w:p>
      <w:pPr>
        <w:pStyle w:val="18"/>
        <w:tabs>
          <w:tab w:val="right" w:leader="dot" w:pos="9746"/>
          <w:tab w:val="clear" w:pos="8398"/>
        </w:tabs>
        <w:spacing w:line="480" w:lineRule="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_Toc23878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_Toc23878 </w:instrText>
      </w:r>
      <w:r>
        <w:rPr>
          <w:color w:val="auto"/>
          <w:highlight w:val="none"/>
        </w:rPr>
        <w:fldChar w:fldCharType="separate"/>
      </w:r>
      <w:r>
        <w:rPr>
          <w:color w:val="auto"/>
          <w:highlight w:val="none"/>
        </w:rPr>
        <w:t>57</w:t>
      </w:r>
      <w:r>
        <w:rPr>
          <w:color w:val="auto"/>
          <w:highlight w:val="none"/>
        </w:rPr>
        <w:fldChar w:fldCharType="end"/>
      </w:r>
      <w:r>
        <w:rPr>
          <w:rFonts w:hint="eastAsia" w:ascii="宋体" w:hAnsi="宋体" w:cs="宋体"/>
          <w:color w:val="auto"/>
          <w:highlight w:val="none"/>
        </w:rPr>
        <w:fldChar w:fldCharType="end"/>
      </w:r>
    </w:p>
    <w:p>
      <w:pPr>
        <w:pStyle w:val="18"/>
        <w:tabs>
          <w:tab w:val="right" w:leader="dot" w:pos="9746"/>
          <w:tab w:val="clear" w:pos="8398"/>
        </w:tabs>
        <w:spacing w:line="480" w:lineRule="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_Toc1916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_Toc1916 </w:instrText>
      </w:r>
      <w:r>
        <w:rPr>
          <w:color w:val="auto"/>
          <w:highlight w:val="none"/>
        </w:rPr>
        <w:fldChar w:fldCharType="separate"/>
      </w:r>
      <w:r>
        <w:rPr>
          <w:color w:val="auto"/>
          <w:highlight w:val="none"/>
        </w:rPr>
        <w:t>87</w:t>
      </w:r>
      <w:r>
        <w:rPr>
          <w:color w:val="auto"/>
          <w:highlight w:val="none"/>
        </w:rPr>
        <w:fldChar w:fldCharType="end"/>
      </w:r>
      <w:r>
        <w:rPr>
          <w:rFonts w:hint="eastAsia" w:ascii="宋体" w:hAnsi="宋体" w:cs="宋体"/>
          <w:color w:val="auto"/>
          <w:highlight w:val="none"/>
        </w:rPr>
        <w:fldChar w:fldCharType="end"/>
      </w:r>
    </w:p>
    <w:p>
      <w:pPr>
        <w:spacing w:before="120" w:line="360" w:lineRule="auto"/>
        <w:jc w:val="center"/>
        <w:rPr>
          <w:rFonts w:ascii="宋体" w:hAnsi="宋体" w:cs="宋体"/>
          <w:color w:val="auto"/>
          <w:sz w:val="24"/>
          <w:highlight w:val="none"/>
        </w:rPr>
      </w:pPr>
      <w:r>
        <w:rPr>
          <w:rFonts w:hint="eastAsia" w:ascii="宋体" w:hAnsi="宋体" w:cs="宋体"/>
          <w:color w:val="auto"/>
          <w:highlight w:val="none"/>
        </w:rPr>
        <w:fldChar w:fldCharType="end"/>
      </w:r>
    </w:p>
    <w:p>
      <w:pPr>
        <w:spacing w:beforeLines="50" w:line="360" w:lineRule="auto"/>
        <w:rPr>
          <w:rFonts w:ascii="宋体" w:hAnsi="宋体" w:cs="宋体"/>
          <w:color w:val="auto"/>
          <w:sz w:val="30"/>
          <w:highlight w:val="none"/>
        </w:rPr>
      </w:pPr>
    </w:p>
    <w:p>
      <w:pPr>
        <w:spacing w:line="360" w:lineRule="auto"/>
        <w:rPr>
          <w:rFonts w:ascii="宋体" w:hAnsi="宋体" w:cs="宋体"/>
          <w:color w:val="auto"/>
          <w:highlight w:val="none"/>
        </w:rPr>
      </w:pPr>
    </w:p>
    <w:p>
      <w:pPr>
        <w:spacing w:beforeLines="50" w:line="360" w:lineRule="auto"/>
        <w:rPr>
          <w:rFonts w:ascii="宋体" w:hAnsi="宋体" w:cs="宋体"/>
          <w:color w:val="auto"/>
          <w:sz w:val="30"/>
          <w:highlight w:val="none"/>
        </w:rPr>
      </w:pPr>
    </w:p>
    <w:p>
      <w:pPr>
        <w:spacing w:beforeLines="50" w:line="360" w:lineRule="auto"/>
        <w:rPr>
          <w:rFonts w:ascii="宋体" w:hAnsi="宋体" w:cs="宋体"/>
          <w:color w:val="auto"/>
          <w:sz w:val="30"/>
          <w:highlight w:val="none"/>
        </w:rPr>
      </w:pPr>
    </w:p>
    <w:p>
      <w:pPr>
        <w:pStyle w:val="10"/>
        <w:spacing w:line="360" w:lineRule="auto"/>
        <w:rPr>
          <w:rFonts w:ascii="宋体" w:hAnsi="宋体" w:cs="宋体"/>
          <w:b/>
          <w:bCs/>
          <w:color w:val="auto"/>
          <w:highlight w:val="none"/>
        </w:rPr>
      </w:pPr>
      <w:bookmarkStart w:id="0" w:name="_Toc254970630"/>
      <w:bookmarkStart w:id="1" w:name="_Toc254970489"/>
    </w:p>
    <w:bookmarkEnd w:id="0"/>
    <w:bookmarkEnd w:id="1"/>
    <w:p>
      <w:pPr>
        <w:pStyle w:val="3"/>
        <w:keepNext w:val="0"/>
        <w:keepLines w:val="0"/>
        <w:tabs>
          <w:tab w:val="left" w:pos="0"/>
          <w:tab w:val="left" w:pos="3165"/>
          <w:tab w:val="center" w:pos="4153"/>
        </w:tabs>
        <w:autoSpaceDE w:val="0"/>
        <w:autoSpaceDN w:val="0"/>
        <w:adjustRightInd w:val="0"/>
        <w:spacing w:before="0" w:after="0" w:line="384" w:lineRule="auto"/>
        <w:jc w:val="center"/>
        <w:rPr>
          <w:rFonts w:hint="eastAsia" w:ascii="宋体" w:hAnsi="宋体" w:cs="宋体"/>
          <w:color w:val="auto"/>
          <w:highlight w:val="none"/>
        </w:rPr>
        <w:sectPr>
          <w:pgSz w:w="11906" w:h="16838"/>
          <w:pgMar w:top="1440" w:right="1080" w:bottom="1440" w:left="1080" w:header="851" w:footer="992" w:gutter="0"/>
          <w:pgNumType w:start="1"/>
          <w:cols w:space="720" w:num="1"/>
          <w:docGrid w:type="lines" w:linePitch="312" w:charSpace="0"/>
        </w:sectPr>
      </w:pPr>
      <w:bookmarkStart w:id="2" w:name="_Toc35393789"/>
      <w:bookmarkEnd w:id="2"/>
      <w:bookmarkStart w:id="3" w:name="_Toc28359001"/>
      <w:bookmarkEnd w:id="3"/>
      <w:bookmarkStart w:id="4" w:name="_Toc1800"/>
    </w:p>
    <w:p>
      <w:pPr>
        <w:pStyle w:val="3"/>
        <w:keepNext w:val="0"/>
        <w:keepLines w:val="0"/>
        <w:tabs>
          <w:tab w:val="left" w:pos="0"/>
          <w:tab w:val="left" w:pos="3165"/>
          <w:tab w:val="center" w:pos="4153"/>
        </w:tabs>
        <w:autoSpaceDE w:val="0"/>
        <w:autoSpaceDN w:val="0"/>
        <w:adjustRightInd w:val="0"/>
        <w:spacing w:before="0" w:after="0" w:line="384" w:lineRule="auto"/>
        <w:jc w:val="center"/>
        <w:rPr>
          <w:rFonts w:ascii="宋体" w:hAnsi="宋体" w:cs="宋体"/>
          <w:color w:val="auto"/>
          <w:highlight w:val="none"/>
        </w:rPr>
      </w:pPr>
      <w:r>
        <w:rPr>
          <w:rFonts w:hint="eastAsia" w:ascii="宋体" w:hAnsi="宋体" w:cs="宋体"/>
          <w:color w:val="auto"/>
          <w:highlight w:val="none"/>
        </w:rPr>
        <w:t>第一章  招标公告</w:t>
      </w:r>
      <w:bookmarkEnd w:id="4"/>
    </w:p>
    <w:p>
      <w:pPr>
        <w:spacing w:line="384" w:lineRule="auto"/>
        <w:jc w:val="center"/>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广西科文招标有限公司关于广西壮族自治区2024年县域医共体设备更新项目（数字减影血管造影系统-DSA）（重）（GXZC2026-G1-001010-KWZB）</w:t>
      </w:r>
    </w:p>
    <w:p>
      <w:pPr>
        <w:spacing w:line="384" w:lineRule="auto"/>
        <w:jc w:val="center"/>
        <w:rPr>
          <w:rFonts w:ascii="宋体" w:hAnsi="宋体" w:cs="宋体"/>
          <w:color w:val="auto"/>
          <w:highlight w:val="none"/>
        </w:rPr>
      </w:pPr>
      <w:r>
        <w:rPr>
          <w:rFonts w:hint="eastAsia" w:ascii="宋体" w:hAnsi="宋体" w:cs="宋体"/>
          <w:b/>
          <w:bCs/>
          <w:color w:val="auto"/>
          <w:w w:val="95"/>
          <w:sz w:val="30"/>
          <w:szCs w:val="30"/>
          <w:highlight w:val="none"/>
        </w:rPr>
        <w:t>招标公告</w:t>
      </w:r>
      <w:bookmarkStart w:id="5" w:name="OLE_LINK1"/>
    </w:p>
    <w:p>
      <w:pPr>
        <w:pBdr>
          <w:top w:val="single" w:color="auto" w:sz="4" w:space="1"/>
          <w:left w:val="single" w:color="auto" w:sz="4" w:space="4"/>
          <w:bottom w:val="single" w:color="auto" w:sz="4" w:space="1"/>
          <w:right w:val="single" w:color="auto" w:sz="4" w:space="3"/>
        </w:pBd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项目概况</w:t>
      </w:r>
    </w:p>
    <w:p>
      <w:pPr>
        <w:pBdr>
          <w:top w:val="single" w:color="auto" w:sz="4" w:space="1"/>
          <w:left w:val="single" w:color="auto" w:sz="4" w:space="4"/>
          <w:bottom w:val="single" w:color="auto" w:sz="4" w:space="1"/>
          <w:right w:val="single" w:color="auto" w:sz="4" w:space="3"/>
        </w:pBdr>
        <w:spacing w:line="360" w:lineRule="auto"/>
        <w:ind w:firstLine="420" w:firstLineChars="200"/>
        <w:rPr>
          <w:rFonts w:ascii="宋体" w:hAnsi="宋体" w:cs="宋体"/>
          <w:color w:val="auto"/>
          <w:szCs w:val="21"/>
          <w:highlight w:val="none"/>
        </w:rPr>
      </w:pPr>
      <w:bookmarkStart w:id="6" w:name="_Toc28359079"/>
      <w:bookmarkStart w:id="7" w:name="_Toc35393621"/>
      <w:bookmarkStart w:id="8" w:name="_Toc28359002"/>
      <w:bookmarkStart w:id="9" w:name="_Toc35393790"/>
      <w:r>
        <w:rPr>
          <w:rFonts w:hint="eastAsia" w:ascii="宋体" w:hAnsi="宋体" w:cs="宋体"/>
          <w:bCs/>
          <w:color w:val="auto"/>
          <w:szCs w:val="21"/>
          <w:highlight w:val="none"/>
          <w:u w:val="single"/>
        </w:rPr>
        <w:t>广西壮族自治区2024年县域医共体设备更新项目（数字减影血管造影系统-DSA）（重）</w:t>
      </w:r>
      <w:r>
        <w:rPr>
          <w:rFonts w:hint="eastAsia" w:ascii="宋体" w:hAnsi="宋体" w:cs="宋体"/>
          <w:color w:val="auto"/>
          <w:szCs w:val="21"/>
          <w:highlight w:val="none"/>
        </w:rPr>
        <w:t>招标项目的潜在投标人应在“广西政府采购云平台”（https://www.gcy.zfcg.gxzf.gov.cn/）获取（下载）招标文件，并于</w:t>
      </w:r>
      <w:r>
        <w:rPr>
          <w:rFonts w:hint="eastAsia" w:ascii="宋体" w:hAnsi="宋体" w:cs="宋体"/>
          <w:bCs/>
          <w:color w:val="auto"/>
          <w:szCs w:val="21"/>
          <w:highlight w:val="none"/>
          <w:u w:val="single"/>
          <w:lang w:eastAsia="zh-CN"/>
        </w:rPr>
        <w:t>2026年9月7日</w:t>
      </w:r>
      <w:r>
        <w:rPr>
          <w:rFonts w:hint="eastAsia" w:ascii="宋体" w:hAnsi="宋体" w:cs="宋体"/>
          <w:bCs/>
          <w:color w:val="auto"/>
          <w:szCs w:val="21"/>
          <w:highlight w:val="none"/>
          <w:u w:val="single"/>
        </w:rPr>
        <w:t>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bookmarkEnd w:id="6"/>
    <w:bookmarkEnd w:id="7"/>
    <w:bookmarkEnd w:id="8"/>
    <w:bookmarkEnd w:id="9"/>
    <w:p>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一、项目基本情况</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项目编号：GXZC2026-G1-001010-KWZB</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项目名称：广西壮族自治区2024年县域医共体设备更新项目（数字减影血管造影系统-DSA）（重）</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预算金额：</w:t>
      </w:r>
      <w:r>
        <w:rPr>
          <w:rFonts w:ascii="宋体" w:hAnsi="宋体" w:cs="宋体"/>
          <w:color w:val="auto"/>
          <w:szCs w:val="21"/>
          <w:highlight w:val="none"/>
        </w:rPr>
        <w:t>798</w:t>
      </w:r>
      <w:r>
        <w:rPr>
          <w:rFonts w:hint="eastAsia" w:ascii="宋体" w:hAnsi="宋体" w:cs="宋体"/>
          <w:color w:val="auto"/>
          <w:szCs w:val="21"/>
          <w:highlight w:val="none"/>
        </w:rPr>
        <w:t>万元/套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最高限价（如有）：</w:t>
      </w:r>
      <w:r>
        <w:rPr>
          <w:rFonts w:ascii="宋体" w:hAnsi="宋体" w:cs="宋体"/>
          <w:color w:val="auto"/>
          <w:szCs w:val="21"/>
          <w:highlight w:val="none"/>
        </w:rPr>
        <w:t>750</w:t>
      </w:r>
      <w:r>
        <w:rPr>
          <w:rFonts w:hint="eastAsia" w:ascii="宋体" w:hAnsi="宋体" w:cs="宋体"/>
          <w:color w:val="auto"/>
          <w:szCs w:val="21"/>
          <w:highlight w:val="none"/>
        </w:rPr>
        <w:t>万元</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tbl>
      <w:tblPr>
        <w:tblStyle w:val="25"/>
        <w:tblW w:w="934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2"/>
        <w:gridCol w:w="1755"/>
        <w:gridCol w:w="974"/>
        <w:gridCol w:w="5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75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标的名称</w:t>
            </w:r>
          </w:p>
        </w:tc>
        <w:tc>
          <w:tcPr>
            <w:tcW w:w="97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581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简要技术需求或者服务要求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7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数字减影血管造影系统-DSA</w:t>
            </w:r>
          </w:p>
        </w:tc>
        <w:tc>
          <w:tcPr>
            <w:tcW w:w="97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1套</w:t>
            </w:r>
          </w:p>
        </w:tc>
        <w:tc>
          <w:tcPr>
            <w:tcW w:w="5812"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 w:val="20"/>
                <w:szCs w:val="20"/>
                <w:highlight w:val="none"/>
              </w:rPr>
            </w:pPr>
            <w:r>
              <w:rPr>
                <w:rFonts w:hint="eastAsia" w:ascii="宋体" w:hAnsi="宋体" w:cs="宋体"/>
                <w:color w:val="auto"/>
                <w:sz w:val="20"/>
                <w:szCs w:val="20"/>
                <w:highlight w:val="none"/>
              </w:rPr>
              <w:t>一、参数要求</w:t>
            </w:r>
          </w:p>
          <w:p>
            <w:pPr>
              <w:spacing w:line="360" w:lineRule="auto"/>
              <w:rPr>
                <w:rFonts w:ascii="宋体" w:hAnsi="宋体" w:cs="宋体"/>
                <w:color w:val="auto"/>
                <w:sz w:val="20"/>
                <w:szCs w:val="20"/>
                <w:highlight w:val="none"/>
              </w:rPr>
            </w:pPr>
            <w:r>
              <w:rPr>
                <w:rFonts w:hint="eastAsia" w:ascii="宋体" w:hAnsi="宋体" w:cs="宋体"/>
                <w:color w:val="auto"/>
                <w:sz w:val="20"/>
                <w:szCs w:val="20"/>
                <w:highlight w:val="none"/>
              </w:rPr>
              <w:t>1.设备用途: 可以满足肿瘤、周围血管、心血管、脑血管性疾病的介入放射学检查与治疗；</w:t>
            </w:r>
          </w:p>
        </w:tc>
      </w:tr>
    </w:tbl>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b/>
          <w:color w:val="auto"/>
          <w:szCs w:val="21"/>
          <w:highlight w:val="none"/>
        </w:rPr>
        <w:t>：自签订合同之日起</w:t>
      </w:r>
      <w:r>
        <w:rPr>
          <w:rFonts w:hint="eastAsia" w:ascii="宋体" w:hAnsi="宋体" w:cs="宋体"/>
          <w:b/>
          <w:color w:val="auto"/>
          <w:szCs w:val="21"/>
          <w:highlight w:val="none"/>
          <w:u w:val="single"/>
        </w:rPr>
        <w:t>30</w:t>
      </w:r>
      <w:r>
        <w:rPr>
          <w:rFonts w:hint="eastAsia" w:ascii="宋体" w:hAnsi="宋体" w:cs="宋体"/>
          <w:b/>
          <w:color w:val="auto"/>
          <w:szCs w:val="21"/>
          <w:highlight w:val="none"/>
        </w:rPr>
        <w:t>日历日内全部货物交货并安装调试完毕。</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本项目不接受联合体投标。</w:t>
      </w:r>
    </w:p>
    <w:p>
      <w:pPr>
        <w:spacing w:line="360" w:lineRule="auto"/>
        <w:rPr>
          <w:rFonts w:ascii="宋体" w:hAnsi="宋体" w:cs="宋体"/>
          <w:b/>
          <w:bCs/>
          <w:color w:val="auto"/>
          <w:szCs w:val="21"/>
          <w:highlight w:val="none"/>
        </w:rPr>
      </w:pPr>
      <w:bookmarkStart w:id="10" w:name="_Toc28359080"/>
      <w:bookmarkEnd w:id="10"/>
      <w:bookmarkStart w:id="11" w:name="_Toc35393791"/>
      <w:bookmarkEnd w:id="11"/>
      <w:bookmarkStart w:id="12" w:name="_Toc28359003"/>
      <w:bookmarkEnd w:id="12"/>
      <w:bookmarkStart w:id="13" w:name="_Toc35393622"/>
      <w:bookmarkEnd w:id="13"/>
      <w:r>
        <w:rPr>
          <w:rFonts w:hint="eastAsia" w:ascii="宋体" w:hAnsi="宋体" w:cs="宋体"/>
          <w:b/>
          <w:bCs/>
          <w:color w:val="auto"/>
          <w:szCs w:val="21"/>
          <w:highlight w:val="none"/>
        </w:rPr>
        <w:t>二、申请人的资格要求：</w:t>
      </w:r>
    </w:p>
    <w:p>
      <w:pPr>
        <w:spacing w:line="360" w:lineRule="auto"/>
        <w:ind w:firstLine="420" w:firstLineChars="200"/>
        <w:rPr>
          <w:rFonts w:ascii="宋体" w:hAnsi="宋体" w:cs="宋体"/>
          <w:color w:val="auto"/>
          <w:szCs w:val="21"/>
          <w:highlight w:val="none"/>
        </w:rPr>
      </w:pPr>
      <w:bookmarkStart w:id="14" w:name="_Hlk51746371"/>
      <w:r>
        <w:rPr>
          <w:rFonts w:hint="eastAsia" w:ascii="宋体" w:hAnsi="宋体" w:cs="宋体"/>
          <w:color w:val="auto"/>
          <w:szCs w:val="21"/>
          <w:highlight w:val="none"/>
        </w:rPr>
        <w:t>1.满足《中华人民共和国政府采购法》第二十二条规定；</w:t>
      </w:r>
    </w:p>
    <w:p>
      <w:pPr>
        <w:spacing w:line="360" w:lineRule="auto"/>
        <w:ind w:firstLine="420" w:firstLineChars="200"/>
        <w:rPr>
          <w:rFonts w:ascii="宋体" w:hAnsi="宋体" w:cs="宋体"/>
          <w:color w:val="auto"/>
          <w:szCs w:val="21"/>
          <w:highlight w:val="none"/>
        </w:rPr>
      </w:pPr>
      <w:bookmarkStart w:id="15" w:name="_Toc28359004"/>
      <w:bookmarkStart w:id="16" w:name="_Toc28359081"/>
      <w:r>
        <w:rPr>
          <w:rFonts w:hint="eastAsia" w:ascii="宋体" w:hAnsi="宋体" w:cs="宋体"/>
          <w:color w:val="auto"/>
          <w:szCs w:val="21"/>
          <w:highlight w:val="none"/>
        </w:rPr>
        <w:t>2.落实政府采购政策需满足的资格要求：</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3.本项目的特定资格要求：</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3.1</w:t>
      </w:r>
      <w:r>
        <w:rPr>
          <w:rFonts w:hint="eastAsia" w:ascii="宋体" w:hAnsi="宋体" w:cs="宋体"/>
          <w:color w:val="auto"/>
          <w:szCs w:val="21"/>
          <w:highlight w:val="none"/>
          <w:u w:val="single"/>
        </w:rPr>
        <w:t>投标人按《医疗器械监督管理条例》（国务院令第739号）医疗器械分类管理要求具备有效的医疗器械经营备案凭证或者经营许可证，[符合《医疗器械监督管理条例》第四十一条第二款规定的除外]；或者投标人具有《医疗器械监督管理条例》第四十三条规定的注册人凭证。</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3.2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bookmarkEnd w:id="14"/>
    <w:bookmarkEnd w:id="15"/>
    <w:bookmarkEnd w:id="16"/>
    <w:p>
      <w:pPr>
        <w:spacing w:line="360" w:lineRule="auto"/>
        <w:rPr>
          <w:rFonts w:ascii="宋体" w:hAnsi="宋体" w:cs="宋体"/>
          <w:b/>
          <w:bCs/>
          <w:color w:val="auto"/>
          <w:szCs w:val="21"/>
          <w:highlight w:val="none"/>
        </w:rPr>
      </w:pPr>
      <w:bookmarkStart w:id="17" w:name="_Toc35393792"/>
      <w:bookmarkEnd w:id="17"/>
      <w:bookmarkStart w:id="18" w:name="_Toc35393623"/>
      <w:bookmarkEnd w:id="18"/>
      <w:r>
        <w:rPr>
          <w:rFonts w:hint="eastAsia" w:ascii="宋体" w:hAnsi="宋体" w:cs="宋体"/>
          <w:b/>
          <w:bCs/>
          <w:color w:val="auto"/>
          <w:szCs w:val="21"/>
          <w:highlight w:val="none"/>
        </w:rPr>
        <w:t>三、获取招标文件</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w:t>
      </w:r>
      <w:r>
        <w:rPr>
          <w:rFonts w:hint="eastAsia" w:ascii="宋体" w:hAnsi="宋体" w:cs="宋体"/>
          <w:color w:val="auto"/>
          <w:highlight w:val="none"/>
          <w:u w:val="single"/>
          <w:lang w:eastAsia="zh-CN"/>
        </w:rPr>
        <w:t>2026年8月13日</w:t>
      </w:r>
      <w:r>
        <w:rPr>
          <w:rFonts w:hint="eastAsia" w:ascii="宋体" w:hAnsi="宋体" w:cs="宋体"/>
          <w:color w:val="auto"/>
          <w:szCs w:val="21"/>
          <w:highlight w:val="none"/>
          <w:u w:val="single"/>
        </w:rPr>
        <w:t>至</w:t>
      </w:r>
      <w:r>
        <w:rPr>
          <w:rFonts w:hint="eastAsia" w:ascii="宋体" w:hAnsi="宋体" w:cs="宋体"/>
          <w:color w:val="auto"/>
          <w:highlight w:val="none"/>
          <w:u w:val="single"/>
          <w:lang w:eastAsia="zh-CN"/>
        </w:rPr>
        <w:t>2026年8月20日</w:t>
      </w:r>
      <w:r>
        <w:rPr>
          <w:rFonts w:hint="eastAsia" w:ascii="宋体" w:hAnsi="宋体" w:cs="宋体"/>
          <w:color w:val="auto"/>
          <w:szCs w:val="21"/>
          <w:highlight w:val="none"/>
        </w:rPr>
        <w:t>，每天上午00:00-11:59；下午1</w:t>
      </w:r>
      <w:r>
        <w:rPr>
          <w:rFonts w:hint="eastAsia" w:ascii="宋体" w:hAnsi="宋体" w:cs="宋体"/>
          <w:color w:val="auto"/>
          <w:highlight w:val="none"/>
        </w:rPr>
        <w:t>2</w:t>
      </w:r>
      <w:r>
        <w:rPr>
          <w:rFonts w:hint="eastAsia" w:ascii="宋体" w:hAnsi="宋体" w:cs="宋体"/>
          <w:color w:val="auto"/>
          <w:szCs w:val="21"/>
          <w:highlight w:val="none"/>
        </w:rPr>
        <w:t>:</w:t>
      </w:r>
      <w:r>
        <w:rPr>
          <w:rFonts w:hint="eastAsia" w:ascii="宋体" w:hAnsi="宋体" w:cs="宋体"/>
          <w:color w:val="auto"/>
          <w:highlight w:val="none"/>
        </w:rPr>
        <w:t>00</w:t>
      </w:r>
      <w:r>
        <w:rPr>
          <w:rFonts w:hint="eastAsia" w:ascii="宋体" w:hAnsi="宋体" w:cs="宋体"/>
          <w:color w:val="auto"/>
          <w:szCs w:val="21"/>
          <w:highlight w:val="none"/>
        </w:rPr>
        <w:t>-23:</w:t>
      </w:r>
      <w:r>
        <w:rPr>
          <w:rFonts w:hint="eastAsia" w:ascii="宋体" w:hAnsi="宋体" w:cs="宋体"/>
          <w:color w:val="auto"/>
          <w:highlight w:val="none"/>
        </w:rPr>
        <w:t>59</w:t>
      </w:r>
      <w:r>
        <w:rPr>
          <w:rFonts w:hint="eastAsia" w:ascii="宋体" w:hAnsi="宋体" w:cs="宋体"/>
          <w:color w:val="auto"/>
          <w:szCs w:val="21"/>
          <w:highlight w:val="none"/>
        </w:rPr>
        <w:t>（北京时间，法定节假日除外）。</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地点：“广西政府采购云平台”（https://www.gcy.zfcg.gxzf.gov.cn/）</w:t>
      </w:r>
    </w:p>
    <w:p>
      <w:pPr>
        <w:spacing w:line="360" w:lineRule="auto"/>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bCs/>
          <w:color w:val="auto"/>
          <w:kern w:val="0"/>
          <w:szCs w:val="21"/>
          <w:highlight w:val="none"/>
        </w:rPr>
        <w:t>“广西政府采购云平台”（https://www.gcy.zfcg.gxzf.gov.cn/）下载招标文件（操作路径：登录“广西政府采购云平台” -项目采购-获取采购文件-找到本项目-点击“申请获取采购文件”），电子投标文件制作需要基于“广西政府采购云平台”获取的招标文件编制。</w:t>
      </w:r>
    </w:p>
    <w:p>
      <w:pPr>
        <w:spacing w:line="360" w:lineRule="auto"/>
        <w:ind w:firstLine="420" w:firstLineChars="200"/>
        <w:rPr>
          <w:rFonts w:ascii="宋体" w:hAnsi="宋体" w:cs="宋体"/>
          <w:color w:val="auto"/>
          <w:szCs w:val="21"/>
          <w:highlight w:val="none"/>
        </w:rPr>
      </w:pPr>
      <w:r>
        <w:rPr>
          <w:rFonts w:hint="eastAsia" w:ascii="宋体" w:hAnsi="宋体" w:cs="宋体"/>
          <w:bCs/>
          <w:color w:val="auto"/>
          <w:kern w:val="0"/>
          <w:szCs w:val="21"/>
          <w:highlight w:val="none"/>
        </w:rPr>
        <w:t>售价：0元。</w:t>
      </w:r>
    </w:p>
    <w:p>
      <w:pPr>
        <w:spacing w:line="360" w:lineRule="auto"/>
        <w:rPr>
          <w:rFonts w:ascii="宋体" w:hAnsi="宋体" w:cs="宋体"/>
          <w:b/>
          <w:bCs/>
          <w:color w:val="auto"/>
          <w:sz w:val="24"/>
          <w:highlight w:val="none"/>
        </w:rPr>
      </w:pPr>
      <w:bookmarkStart w:id="19" w:name="_Toc35393624"/>
      <w:bookmarkEnd w:id="19"/>
      <w:bookmarkStart w:id="20" w:name="_Toc28359082"/>
      <w:bookmarkEnd w:id="20"/>
      <w:bookmarkStart w:id="21" w:name="_Toc35393793"/>
      <w:bookmarkEnd w:id="21"/>
      <w:bookmarkStart w:id="22" w:name="_Toc28359005"/>
      <w:bookmarkEnd w:id="22"/>
      <w:r>
        <w:rPr>
          <w:rFonts w:hint="eastAsia" w:ascii="宋体" w:hAnsi="宋体" w:cs="宋体"/>
          <w:b/>
          <w:bCs/>
          <w:color w:val="auto"/>
          <w:sz w:val="24"/>
          <w:highlight w:val="none"/>
        </w:rPr>
        <w:t>四、提交投标文件截止时间、开标时间和地点</w:t>
      </w:r>
    </w:p>
    <w:p>
      <w:pPr>
        <w:spacing w:line="360" w:lineRule="auto"/>
        <w:ind w:firstLine="420" w:firstLineChars="200"/>
        <w:rPr>
          <w:rFonts w:ascii="宋体" w:hAnsi="宋体" w:cs="宋体"/>
          <w:color w:val="auto"/>
          <w:szCs w:val="21"/>
          <w:highlight w:val="none"/>
        </w:rPr>
      </w:pPr>
      <w:bookmarkStart w:id="23" w:name="_Toc28359084"/>
      <w:bookmarkStart w:id="24" w:name="_Toc35393625"/>
      <w:bookmarkStart w:id="25" w:name="_Toc35393794"/>
      <w:bookmarkStart w:id="26" w:name="_Toc28359007"/>
      <w:r>
        <w:rPr>
          <w:rFonts w:hint="eastAsia" w:ascii="宋体" w:hAnsi="宋体" w:cs="宋体"/>
          <w:color w:val="auto"/>
          <w:szCs w:val="21"/>
          <w:highlight w:val="none"/>
        </w:rPr>
        <w:t>1、截止时间：</w:t>
      </w:r>
      <w:r>
        <w:rPr>
          <w:rFonts w:hint="eastAsia" w:ascii="宋体" w:hAnsi="宋体" w:cs="宋体"/>
          <w:bCs/>
          <w:color w:val="auto"/>
          <w:szCs w:val="21"/>
          <w:highlight w:val="none"/>
          <w:u w:val="single"/>
          <w:lang w:eastAsia="zh-CN"/>
        </w:rPr>
        <w:t>2026年9月7日</w:t>
      </w:r>
      <w:r>
        <w:rPr>
          <w:rFonts w:hint="eastAsia" w:ascii="宋体" w:hAnsi="宋体" w:cs="宋体"/>
          <w:color w:val="auto"/>
          <w:highlight w:val="none"/>
          <w:u w:val="single"/>
        </w:rPr>
        <w:t>9时30分</w:t>
      </w:r>
      <w:r>
        <w:rPr>
          <w:rFonts w:hint="eastAsia" w:ascii="宋体" w:hAnsi="宋体" w:cs="宋体"/>
          <w:color w:val="auto"/>
          <w:szCs w:val="21"/>
          <w:highlight w:val="none"/>
          <w:u w:val="single"/>
        </w:rPr>
        <w:t>（北京时间）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2、地点：本项目将在“广西政府采购云平台”电子开标大厅解密、开标。</w:t>
      </w:r>
    </w:p>
    <w:bookmarkEnd w:id="23"/>
    <w:bookmarkEnd w:id="24"/>
    <w:bookmarkEnd w:id="25"/>
    <w:bookmarkEnd w:id="26"/>
    <w:p>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五、公告期限</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pPr>
        <w:spacing w:line="360" w:lineRule="auto"/>
        <w:rPr>
          <w:rFonts w:ascii="宋体" w:hAnsi="宋体" w:cs="宋体"/>
          <w:b/>
          <w:bCs/>
          <w:color w:val="auto"/>
          <w:sz w:val="24"/>
          <w:highlight w:val="none"/>
        </w:rPr>
      </w:pPr>
      <w:bookmarkStart w:id="27" w:name="_Toc35393626"/>
      <w:bookmarkEnd w:id="27"/>
      <w:bookmarkStart w:id="28" w:name="_Toc35393795"/>
      <w:bookmarkEnd w:id="28"/>
      <w:r>
        <w:rPr>
          <w:rFonts w:hint="eastAsia" w:ascii="宋体" w:hAnsi="宋体" w:cs="宋体"/>
          <w:b/>
          <w:bCs/>
          <w:color w:val="auto"/>
          <w:sz w:val="24"/>
          <w:highlight w:val="none"/>
        </w:rPr>
        <w:t>六、其他补充事宜</w:t>
      </w:r>
    </w:p>
    <w:p>
      <w:pPr>
        <w:spacing w:line="360" w:lineRule="auto"/>
        <w:ind w:firstLine="420" w:firstLineChars="200"/>
        <w:rPr>
          <w:rFonts w:ascii="宋体" w:hAnsi="宋体" w:cs="宋体"/>
          <w:color w:val="auto"/>
          <w:kern w:val="0"/>
          <w:szCs w:val="21"/>
          <w:highlight w:val="none"/>
        </w:rPr>
      </w:pPr>
      <w:bookmarkStart w:id="29" w:name="_Hlk37429674"/>
      <w:r>
        <w:rPr>
          <w:rFonts w:hint="eastAsia" w:ascii="宋体" w:hAnsi="宋体" w:cs="宋体"/>
          <w:color w:val="auto"/>
          <w:kern w:val="0"/>
          <w:szCs w:val="21"/>
          <w:highlight w:val="none"/>
        </w:rPr>
        <w:t>1、投标保证金（人民币）：</w:t>
      </w:r>
      <w:r>
        <w:rPr>
          <w:rFonts w:hint="eastAsia" w:ascii="宋体" w:hAnsi="宋体" w:cs="宋体"/>
          <w:color w:val="auto"/>
          <w:szCs w:val="21"/>
          <w:highlight w:val="none"/>
        </w:rPr>
        <w:t>70000.00元</w:t>
      </w:r>
      <w:r>
        <w:rPr>
          <w:rFonts w:hint="eastAsia" w:ascii="宋体" w:hAnsi="宋体" w:cs="宋体"/>
          <w:color w:val="auto"/>
          <w:kern w:val="0"/>
          <w:szCs w:val="21"/>
          <w:highlight w:val="none"/>
        </w:rPr>
        <w:t>。</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4、网上查询地址：中国政府采购网（www.ccgp.gov.cn）、广西政府采购网（zfcg.gxzf.gov.cn）、广西壮族自治区公共资源交易中心网站（gxggzy.gxzf.gov.cn）。</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5、本项目需要落实的政府采购政策：</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（6）扶持不发达地区和少数民族地区政策</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6、投标注意事项：</w:t>
      </w:r>
    </w:p>
    <w:p>
      <w:pPr>
        <w:widowControl/>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投标文件提交方式：本项目为全流程电子化政府采购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cs="宋体"/>
          <w:b/>
          <w:color w:val="auto"/>
          <w:szCs w:val="21"/>
          <w:highlight w:val="none"/>
        </w:rPr>
        <w:t>供应商在“广西政府采购云平台”提交电子版投标文件时，请填写参加远程开标活动经办人联系方式。</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应及时熟悉掌握电子标系统操作指南（见广西政府采购云平台电子卖场首页右上角—服务中心—帮助文档—项目采购）：https://helpcenter.zcygov.cn/document/#/document/dashboard?siteCode=beijing&amp;channel=dt；及时完成CA申领和绑定（供应商通过新平台参与政府采购项目投标需下载使用新版客户端，新版客户端下载路径：广西政府采购网（访问地址http://zfcg.gxzf.gov.cn/）—办事服务—下载专区。原在广西政府采购云平台注册的临时供应商需在新平台启用后重新注册登记。）。</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pPr>
        <w:widowControl/>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（4）为确保网上操作合法、有效和安全，请投标人确保在电子投标过程中能够对相关数据电文进行加密和使用电子签章，妥善保管CA数字证书并使用有效的CA数字证书参与整个采购活动。</w:t>
      </w:r>
    </w:p>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7、CA证书在线解密：供应商投标时，需携带制作投标文件时用来加密的有效数字证书（CA认证）登录“广西政府采购云平台”电子开标大厅现场按规定时间对加密的投标文件进行解密，否则后果自负。</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若对项目采购电子交易系统操作有疑问，可登录“广西政府采购云平台”（https://www.gcy.zfcg.gxzf.gov.cn/），点击右侧咨询小采，获取采小蜜智能服务管家帮助，或拨打广西政府采购云平台服务热线95763获取热线服务帮助。</w:t>
      </w:r>
    </w:p>
    <w:bookmarkEnd w:id="29"/>
    <w:p>
      <w:pPr>
        <w:spacing w:line="360" w:lineRule="auto"/>
        <w:rPr>
          <w:rFonts w:ascii="宋体" w:hAnsi="宋体" w:cs="宋体"/>
          <w:b/>
          <w:bCs/>
          <w:color w:val="auto"/>
          <w:sz w:val="24"/>
          <w:highlight w:val="none"/>
        </w:rPr>
      </w:pPr>
      <w:bookmarkStart w:id="30" w:name="_Toc28359008"/>
      <w:bookmarkEnd w:id="30"/>
      <w:bookmarkStart w:id="31" w:name="_Toc35393796"/>
      <w:bookmarkEnd w:id="31"/>
      <w:bookmarkStart w:id="32" w:name="_Toc35393627"/>
      <w:bookmarkEnd w:id="32"/>
      <w:bookmarkStart w:id="33" w:name="_Toc28359085"/>
      <w:bookmarkEnd w:id="33"/>
      <w:r>
        <w:rPr>
          <w:rFonts w:hint="eastAsia" w:ascii="宋体" w:hAnsi="宋体" w:cs="宋体"/>
          <w:b/>
          <w:bCs/>
          <w:color w:val="auto"/>
          <w:sz w:val="24"/>
          <w:highlight w:val="none"/>
        </w:rPr>
        <w:t>七、对本次招标提出询问，请按以下方式联系。</w:t>
      </w:r>
    </w:p>
    <w:p>
      <w:pPr>
        <w:widowControl/>
        <w:spacing w:line="360" w:lineRule="auto"/>
        <w:jc w:val="left"/>
        <w:rPr>
          <w:rFonts w:ascii="宋体" w:hAnsi="宋体" w:cs="宋体"/>
          <w:color w:val="auto"/>
          <w:szCs w:val="21"/>
          <w:highlight w:val="none"/>
        </w:rPr>
      </w:pPr>
      <w:r>
        <w:rPr>
          <w:rFonts w:hint="eastAsia" w:ascii="宋体" w:hAnsi="宋体" w:cs="宋体"/>
          <w:color w:val="auto"/>
          <w:sz w:val="24"/>
          <w:highlight w:val="none"/>
        </w:rPr>
        <w:t xml:space="preserve">      </w:t>
      </w:r>
      <w:r>
        <w:rPr>
          <w:rFonts w:hint="eastAsia" w:ascii="宋体" w:hAnsi="宋体" w:cs="宋体"/>
          <w:color w:val="auto"/>
          <w:szCs w:val="21"/>
          <w:highlight w:val="none"/>
        </w:rPr>
        <w:t>1.采购人信息</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单位名称：广西壮族自治区卫生健康委员会</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联系人：刘庆；      联系电话：0771-2821935</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联系地址：南宁市青秀区新民路2号</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名 称：广西科文招标有限公司</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地　址：南宁市民族大道路141号中鼎万象东方大厦D区五层</w:t>
      </w:r>
    </w:p>
    <w:p>
      <w:pPr>
        <w:widowControl/>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联系人：郑雄、钟文；联系方式：0771-2023821（电话）</w:t>
      </w:r>
    </w:p>
    <w:p>
      <w:pPr>
        <w:widowControl/>
        <w:spacing w:line="360" w:lineRule="auto"/>
        <w:ind w:firstLine="630" w:firstLineChars="300"/>
        <w:jc w:val="left"/>
        <w:rPr>
          <w:rFonts w:ascii="宋体" w:hAnsi="宋体" w:cs="宋体"/>
          <w:color w:val="auto"/>
          <w:szCs w:val="21"/>
          <w:highlight w:val="none"/>
          <w:u w:val="single"/>
        </w:rPr>
      </w:pPr>
      <w:r>
        <w:rPr>
          <w:rFonts w:hint="eastAsia" w:ascii="宋体" w:hAnsi="宋体" w:cs="宋体"/>
          <w:color w:val="auto"/>
          <w:szCs w:val="21"/>
          <w:highlight w:val="none"/>
        </w:rPr>
        <w:t>3.项目联系方式</w:t>
      </w:r>
    </w:p>
    <w:p>
      <w:pPr>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项目联系人：郑雄、钟文</w:t>
      </w:r>
    </w:p>
    <w:p>
      <w:pPr>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电　话： 0771-2023821</w:t>
      </w:r>
    </w:p>
    <w:p>
      <w:pPr>
        <w:spacing w:line="360" w:lineRule="auto"/>
        <w:jc w:val="right"/>
        <w:rPr>
          <w:rFonts w:ascii="宋体" w:hAnsi="宋体" w:cs="宋体"/>
          <w:color w:val="auto"/>
          <w:szCs w:val="21"/>
          <w:highlight w:val="none"/>
        </w:rPr>
      </w:pPr>
      <w:r>
        <w:rPr>
          <w:rFonts w:hint="eastAsia" w:ascii="宋体" w:hAnsi="宋体" w:cs="宋体"/>
          <w:color w:val="auto"/>
          <w:szCs w:val="21"/>
          <w:highlight w:val="none"/>
        </w:rPr>
        <w:t>广西科文招标有限公司</w:t>
      </w:r>
    </w:p>
    <w:p>
      <w:pPr>
        <w:snapToGrid w:val="0"/>
        <w:spacing w:line="360" w:lineRule="auto"/>
        <w:jc w:val="righ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2026年8月13日</w:t>
      </w:r>
    </w:p>
    <w:bookmarkEnd w:id="5"/>
    <w:p>
      <w:pPr>
        <w:pStyle w:val="3"/>
        <w:spacing w:before="0" w:after="0" w:line="360" w:lineRule="auto"/>
        <w:jc w:val="center"/>
        <w:rPr>
          <w:rFonts w:ascii="宋体" w:hAnsi="宋体" w:cs="宋体"/>
          <w:color w:val="auto"/>
          <w:highlight w:val="none"/>
        </w:rPr>
      </w:pPr>
      <w:r>
        <w:rPr>
          <w:rFonts w:hint="eastAsia" w:ascii="宋体" w:hAnsi="宋体" w:cs="宋体"/>
          <w:color w:val="auto"/>
          <w:highlight w:val="none"/>
        </w:rPr>
        <w:br w:type="page"/>
      </w:r>
      <w:bookmarkStart w:id="34" w:name="_Toc32610"/>
      <w:r>
        <w:rPr>
          <w:rFonts w:hint="eastAsia" w:ascii="宋体" w:hAnsi="宋体" w:cs="宋体"/>
          <w:color w:val="auto"/>
          <w:highlight w:val="none"/>
        </w:rPr>
        <w:t>第二章  采购需求</w:t>
      </w:r>
      <w:bookmarkEnd w:id="34"/>
    </w:p>
    <w:p>
      <w:pPr>
        <w:spacing w:line="360" w:lineRule="auto"/>
        <w:ind w:firstLine="426" w:firstLineChars="202"/>
        <w:jc w:val="left"/>
        <w:rPr>
          <w:rFonts w:ascii="宋体" w:hAnsi="宋体" w:cs="宋体"/>
          <w:b/>
          <w:color w:val="auto"/>
          <w:szCs w:val="21"/>
          <w:highlight w:val="none"/>
        </w:rPr>
      </w:pPr>
      <w:bookmarkStart w:id="35" w:name="_Hlk65055179"/>
      <w:bookmarkStart w:id="36" w:name="_Toc254970490"/>
      <w:bookmarkStart w:id="37" w:name="_Toc254970631"/>
      <w:r>
        <w:rPr>
          <w:rFonts w:hint="eastAsia" w:ascii="宋体" w:hAnsi="宋体" w:cs="宋体"/>
          <w:b/>
          <w:color w:val="auto"/>
          <w:szCs w:val="21"/>
          <w:highlight w:val="none"/>
        </w:rPr>
        <w:t>说明：</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1. 为落实政府采购政策需满足的要求</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（1）本招标文件所称中小企业必须符合《政府采购促进中小企业发展管理办法》（财库〔2020〕46号）的规定。</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专业定制除外），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2.“实质性要求”是指招标文件中已经指明不满足则投标无效的条款，或者不能负偏离的条款，或者采购需求中带“▲”的条款；重要参数要求是指采购需求中带“●”的条款，作为评分内容;“▲”及“●”必须提供相关证明材料，否则评标委员会可以视为负偏离或不响应。证明材料指对外公开的产品彩页或说明书（体现技术参数，可以是从生产厂家网页下载的PDF或HTM文件或在食品药品监督管理部门备案的技术参数或检测报告或生产厂家盖章的技术参数证明材料）。无标识则表示为一般技术参数要求，重要参数要求和一般技术参数要求如响应为负偏离，不会导致投标被否决。</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bookmarkStart w:id="188" w:name="_GoBack"/>
      <w:bookmarkEnd w:id="188"/>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4.投标人应根据自身实际情况如实响应招标文件，对招标文件提出的要求和条件作出明确响应，否则将作无效响应处理。</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5.投标人必须自行为其投标产品侵犯他人的知识产权或者专利成果的行为承担相应法律责任。</w:t>
      </w: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szCs w:val="21"/>
          <w:highlight w:val="none"/>
        </w:rPr>
        <w:t>6.本项目标的所属行业：工业。</w:t>
      </w:r>
      <w:bookmarkEnd w:id="35"/>
    </w:p>
    <w:bookmarkEnd w:id="36"/>
    <w:bookmarkEnd w:id="37"/>
    <w:tbl>
      <w:tblPr>
        <w:tblStyle w:val="25"/>
        <w:tblW w:w="994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4"/>
        <w:gridCol w:w="1098"/>
        <w:gridCol w:w="723"/>
        <w:gridCol w:w="1018"/>
        <w:gridCol w:w="1276"/>
        <w:gridCol w:w="2614"/>
        <w:gridCol w:w="26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0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采购内容</w:t>
            </w:r>
          </w:p>
        </w:tc>
        <w:tc>
          <w:tcPr>
            <w:tcW w:w="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数量与单位</w:t>
            </w:r>
          </w:p>
        </w:tc>
        <w:tc>
          <w:tcPr>
            <w:tcW w:w="7522"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color w:val="auto"/>
                <w:szCs w:val="21"/>
                <w:highlight w:val="none"/>
              </w:rPr>
            </w:pPr>
            <w:r>
              <w:rPr>
                <w:rFonts w:hint="eastAsia" w:ascii="宋体" w:hAnsi="宋体" w:cs="宋体"/>
                <w:b/>
                <w:color w:val="auto"/>
                <w:szCs w:val="21"/>
                <w:highlight w:val="none"/>
              </w:rPr>
              <w:t>技术要求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w:t>
            </w:r>
          </w:p>
        </w:tc>
        <w:tc>
          <w:tcPr>
            <w:tcW w:w="1098" w:type="dxa"/>
            <w:tcBorders>
              <w:top w:val="single" w:color="auto" w:sz="4" w:space="0"/>
              <w:left w:val="single" w:color="auto" w:sz="4" w:space="0"/>
              <w:bottom w:val="single" w:color="auto" w:sz="4" w:space="0"/>
              <w:right w:val="single" w:color="auto" w:sz="4" w:space="0"/>
            </w:tcBorders>
            <w:vAlign w:val="center"/>
          </w:tcPr>
          <w:p>
            <w:pPr>
              <w:pStyle w:val="22"/>
              <w:spacing w:beforeAutospacing="0" w:afterAutospacing="0" w:line="360" w:lineRule="auto"/>
              <w:jc w:val="both"/>
              <w:rPr>
                <w:rFonts w:cs="宋体"/>
                <w:color w:val="auto"/>
                <w:sz w:val="21"/>
                <w:szCs w:val="21"/>
                <w:highlight w:val="none"/>
              </w:rPr>
            </w:pPr>
            <w:r>
              <w:rPr>
                <w:rFonts w:hint="eastAsia" w:cs="宋体"/>
                <w:color w:val="auto"/>
                <w:sz w:val="21"/>
                <w:szCs w:val="21"/>
                <w:highlight w:val="none"/>
              </w:rPr>
              <w:t>数字减影血管造影系统-DSA</w:t>
            </w:r>
          </w:p>
        </w:tc>
        <w:tc>
          <w:tcPr>
            <w:tcW w:w="723" w:type="dxa"/>
            <w:tcBorders>
              <w:top w:val="single" w:color="auto" w:sz="4" w:space="0"/>
              <w:left w:val="single" w:color="auto" w:sz="4" w:space="0"/>
              <w:bottom w:val="single" w:color="auto" w:sz="4" w:space="0"/>
              <w:right w:val="single" w:color="auto" w:sz="4" w:space="0"/>
            </w:tcBorders>
            <w:vAlign w:val="center"/>
          </w:tcPr>
          <w:p>
            <w:pPr>
              <w:pStyle w:val="22"/>
              <w:spacing w:beforeAutospacing="0" w:afterAutospacing="0" w:line="360" w:lineRule="auto"/>
              <w:jc w:val="center"/>
              <w:rPr>
                <w:rFonts w:cs="宋体"/>
                <w:color w:val="auto"/>
                <w:sz w:val="21"/>
                <w:szCs w:val="21"/>
                <w:highlight w:val="none"/>
              </w:rPr>
            </w:pPr>
            <w:r>
              <w:rPr>
                <w:rFonts w:hint="eastAsia" w:cs="宋体"/>
                <w:color w:val="auto"/>
                <w:sz w:val="21"/>
                <w:szCs w:val="21"/>
                <w:highlight w:val="none"/>
              </w:rPr>
              <w:t>1套</w:t>
            </w:r>
          </w:p>
        </w:tc>
        <w:tc>
          <w:tcPr>
            <w:tcW w:w="7522"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color w:val="auto"/>
                <w:szCs w:val="21"/>
                <w:highlight w:val="none"/>
              </w:rPr>
            </w:pPr>
            <w:r>
              <w:rPr>
                <w:rFonts w:hint="eastAsia" w:ascii="宋体" w:hAnsi="宋体" w:cs="宋体"/>
                <w:b/>
                <w:bCs/>
                <w:color w:val="auto"/>
                <w:szCs w:val="21"/>
                <w:highlight w:val="none"/>
              </w:rPr>
              <w:t>一、参数要求</w:t>
            </w:r>
          </w:p>
          <w:p>
            <w:pPr>
              <w:spacing w:line="360" w:lineRule="auto"/>
              <w:rPr>
                <w:rFonts w:ascii="宋体" w:hAnsi="宋体" w:cs="宋体"/>
                <w:color w:val="auto"/>
                <w:highlight w:val="none"/>
              </w:rPr>
            </w:pPr>
            <w:r>
              <w:rPr>
                <w:rFonts w:hint="eastAsia" w:ascii="宋体" w:hAnsi="宋体" w:cs="宋体"/>
                <w:b/>
                <w:bCs/>
                <w:color w:val="auto"/>
                <w:highlight w:val="none"/>
              </w:rPr>
              <w:t>1.设备用途:</w:t>
            </w:r>
            <w:r>
              <w:rPr>
                <w:rFonts w:hint="eastAsia" w:ascii="宋体" w:hAnsi="宋体" w:cs="宋体"/>
                <w:color w:val="auto"/>
                <w:highlight w:val="none"/>
              </w:rPr>
              <w:t xml:space="preserve"> 可以满足肿瘤、周围血管、心血管、脑血管性疾病的介入放射学检查与治疗；</w:t>
            </w:r>
          </w:p>
          <w:p>
            <w:pPr>
              <w:spacing w:line="360" w:lineRule="auto"/>
              <w:rPr>
                <w:rFonts w:ascii="宋体" w:hAnsi="宋体" w:cs="宋体"/>
                <w:b/>
                <w:bCs/>
                <w:color w:val="auto"/>
                <w:highlight w:val="none"/>
              </w:rPr>
            </w:pPr>
            <w:r>
              <w:rPr>
                <w:rFonts w:hint="eastAsia" w:ascii="宋体" w:hAnsi="宋体" w:cs="宋体"/>
                <w:b/>
                <w:bCs/>
                <w:color w:val="auto"/>
                <w:highlight w:val="none"/>
              </w:rPr>
              <w:t>2.1机架系统（C型臂）</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2.1.1.机架类型</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●2.1.1.1悬吊式机架</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▲2.1.1.2机架运动方向：≥3轴；</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2.1.2 机架系统所有轴全部为电动而非手动；</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2.1.3 为了满足医生手术站位需求，机架可旋转至床左侧（病人仰卧位左侧）≥90度；</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2.1.4 机架斜位旋转角度范围：LAO≥100°,RAO≥130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2.1.5 机架头足位旋转角度范围：CRA≥90°，CAU≥90°；</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▲2.1.6 机架多预设位，用户自定义存储位置≥70种；</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2.1.7 C臂旋转速度（非旋转采集）LAO/RAO≥25°/秒；</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2.1.8 C臂弧深≥95cm。</w:t>
            </w:r>
          </w:p>
          <w:p>
            <w:pPr>
              <w:spacing w:line="360" w:lineRule="auto"/>
              <w:rPr>
                <w:rFonts w:ascii="宋体" w:hAnsi="宋体" w:cs="宋体"/>
                <w:b/>
                <w:bCs/>
                <w:color w:val="auto"/>
                <w:highlight w:val="none"/>
              </w:rPr>
            </w:pPr>
            <w:r>
              <w:rPr>
                <w:rFonts w:hint="eastAsia" w:ascii="宋体" w:hAnsi="宋体" w:cs="宋体"/>
                <w:b/>
                <w:bCs/>
                <w:color w:val="auto"/>
                <w:highlight w:val="none"/>
              </w:rPr>
              <w:t>2.2 导管床系统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2.2.1 落地式导管床，床面为碳纤维材质并有床垫；</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2.2.2 承重：≥300KG；</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▲2.2.3 床长（不含延长板）≥300cm；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●2.2.4 导管床旋转角度范围≥270°；</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●2.2.5 导管床纵向运动范围≥120cm；横向运动范围≥35cm。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▲2.2.6床面升降范围≥28cm</w:t>
            </w:r>
          </w:p>
          <w:p>
            <w:pPr>
              <w:spacing w:line="360" w:lineRule="auto"/>
              <w:rPr>
                <w:rFonts w:ascii="宋体" w:hAnsi="宋体" w:cs="宋体"/>
                <w:b/>
                <w:bCs/>
                <w:color w:val="auto"/>
                <w:highlight w:val="none"/>
              </w:rPr>
            </w:pPr>
            <w:r>
              <w:rPr>
                <w:rFonts w:hint="eastAsia" w:ascii="宋体" w:hAnsi="宋体" w:cs="宋体"/>
                <w:b/>
                <w:bCs/>
                <w:color w:val="auto"/>
                <w:highlight w:val="none"/>
              </w:rPr>
              <w:t>2.3 X线发生器系统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2.3.1 高频逆变高压发生器, 最大输出功率≥100KW；</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●2.3.2 最大管电流≥1000mA；</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2.3.3 管电压范围≥ 40-125kVp；</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2.3.4 最短曝光时间≤1ms。</w:t>
            </w:r>
          </w:p>
          <w:p>
            <w:pPr>
              <w:spacing w:line="360" w:lineRule="auto"/>
              <w:rPr>
                <w:rFonts w:ascii="宋体" w:hAnsi="宋体" w:cs="宋体"/>
                <w:b/>
                <w:bCs/>
                <w:color w:val="auto"/>
                <w:highlight w:val="none"/>
              </w:rPr>
            </w:pPr>
            <w:r>
              <w:rPr>
                <w:rFonts w:hint="eastAsia" w:ascii="宋体" w:hAnsi="宋体" w:cs="宋体"/>
                <w:b/>
                <w:bCs/>
                <w:color w:val="auto"/>
                <w:highlight w:val="none"/>
              </w:rPr>
              <w:t>2.4  球管系统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2.4.1高速旋转阳极球管，阳极转速≥9000转/分；</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●2.4.2 液态金属轴承；</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2.4.3球管阳极热容量≥3MHU；</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●2.4.4球管阳极散热功率≥5000W；</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2.4.5管套热容量≥4.9MHU；</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2.4.6球管焦点≥2个, 带有焦点自动切换功能；</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●2.4.7小焦点≤0.4mm；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2.4.8大焦点≥0.7mm；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2.4.9 最大透视电流≥160 mA；</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2.4.10小焦点功率≥18kW；</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●2.4.11大焦点功率≥65kW；</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●2.4.12自动实时调节铜滤片≥3档，最厚≥0.9mm；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▲2.4.13具有射线剂量监测功能，能透视、表面剂量率显示；透视间期，显示积累剂量，区域剂量和剂量限值。</w:t>
            </w:r>
          </w:p>
          <w:p>
            <w:pPr>
              <w:spacing w:line="360" w:lineRule="auto"/>
              <w:rPr>
                <w:rFonts w:ascii="宋体" w:hAnsi="宋体" w:cs="宋体"/>
                <w:b/>
                <w:bCs/>
                <w:color w:val="auto"/>
                <w:highlight w:val="none"/>
              </w:rPr>
            </w:pPr>
            <w:r>
              <w:rPr>
                <w:rFonts w:hint="eastAsia" w:ascii="宋体" w:hAnsi="宋体" w:cs="宋体"/>
                <w:b/>
                <w:bCs/>
                <w:color w:val="auto"/>
                <w:highlight w:val="none"/>
              </w:rPr>
              <w:t>2.5 数字化平板探测器：</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2.5.1采用非晶体硅数字化平板探测技术；</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●2.5.2平板的有效探测面积尺寸≥29 cm X 38cm；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2.5.3 ≥四视野可变；</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●2.5.4显示最小视野≤ 12cmx12cm；</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▲2.5.5平板像素尺寸≤154微米；</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2.5.6平板物理矩阵≥1024X1024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2.5.7平板采集模式DQE≥77%.</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2.5.8 限速器与平板探测器同步伺服，确保显示器上的临床影像始终直立。</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▲2.5.9平板探测器带有非接触式防撞保护装置及防碰撞自动控制。</w:t>
            </w:r>
          </w:p>
          <w:p>
            <w:pPr>
              <w:spacing w:line="360" w:lineRule="auto"/>
              <w:rPr>
                <w:rFonts w:ascii="宋体" w:hAnsi="宋体" w:cs="宋体"/>
                <w:b/>
                <w:bCs/>
                <w:color w:val="auto"/>
                <w:highlight w:val="none"/>
              </w:rPr>
            </w:pPr>
            <w:r>
              <w:rPr>
                <w:rFonts w:hint="eastAsia" w:ascii="宋体" w:hAnsi="宋体" w:cs="宋体"/>
                <w:b/>
                <w:bCs/>
                <w:color w:val="auto"/>
                <w:highlight w:val="none"/>
              </w:rPr>
              <w:t>2.6  图像显示系统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2.6.1 操作室：≥55英寸液晶医用高分辨率LCD显视器一台；</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2.6.2 控制室：≥24英寸液晶医用高分辨率LCD显视器四台。</w:t>
            </w:r>
          </w:p>
          <w:p>
            <w:pPr>
              <w:spacing w:line="360" w:lineRule="auto"/>
              <w:rPr>
                <w:rFonts w:ascii="宋体" w:hAnsi="宋体" w:cs="宋体"/>
                <w:b/>
                <w:bCs/>
                <w:color w:val="auto"/>
                <w:highlight w:val="none"/>
              </w:rPr>
            </w:pPr>
            <w:r>
              <w:rPr>
                <w:rFonts w:hint="eastAsia" w:ascii="宋体" w:hAnsi="宋体" w:cs="宋体"/>
                <w:b/>
                <w:bCs/>
                <w:color w:val="auto"/>
                <w:highlight w:val="none"/>
              </w:rPr>
              <w:t>2.7 图像采集及处理系统：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2.7.1 最大脉冲透视频率≥30帧/秒；</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2.7.2 提供路图功能；</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2.7.3 透视末帧图像保持；</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▲2.7.4 采集矩阵：≥1024x1024，≥16bit；</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2.7.5 心脏采集：≥30帧/秒；</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2.7.6 外周采集模式：0.5-6帧/秒；</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▲2.7.7 下肢跟踪造影；</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▲2.7.8 具备最新低剂量技术：如西门子Care&amp;Clear技术、飞利浦Dosewise技术，GE Assist技术，东软IDM技术，其他厂家提供相应最新技术。</w:t>
            </w:r>
          </w:p>
          <w:p>
            <w:pPr>
              <w:spacing w:line="360" w:lineRule="auto"/>
              <w:rPr>
                <w:rFonts w:ascii="宋体" w:hAnsi="宋体" w:cs="宋体"/>
                <w:b/>
                <w:bCs/>
                <w:color w:val="auto"/>
                <w:highlight w:val="none"/>
              </w:rPr>
            </w:pPr>
            <w:r>
              <w:rPr>
                <w:rFonts w:hint="eastAsia" w:ascii="宋体" w:hAnsi="宋体" w:cs="宋体"/>
                <w:b/>
                <w:bCs/>
                <w:color w:val="auto"/>
                <w:highlight w:val="none"/>
              </w:rPr>
              <w:t>2.8 主机系统工作站</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2.8.1 病人登录及检索功能；</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2.8.2 主机图像处理、调节功能。</w:t>
            </w:r>
          </w:p>
          <w:p>
            <w:pPr>
              <w:spacing w:line="360" w:lineRule="auto"/>
              <w:rPr>
                <w:rFonts w:ascii="宋体" w:hAnsi="宋体" w:cs="宋体"/>
                <w:b/>
                <w:bCs/>
                <w:color w:val="auto"/>
                <w:highlight w:val="none"/>
              </w:rPr>
            </w:pPr>
            <w:r>
              <w:rPr>
                <w:rFonts w:hint="eastAsia" w:ascii="宋体" w:hAnsi="宋体" w:cs="宋体"/>
                <w:b/>
                <w:bCs/>
                <w:color w:val="auto"/>
                <w:highlight w:val="none"/>
              </w:rPr>
              <w:t>▲2.9 三维功能：三维采集、重建、三维路图、类CT重建和影像融合功能。</w:t>
            </w:r>
          </w:p>
          <w:p>
            <w:pPr>
              <w:spacing w:line="360" w:lineRule="auto"/>
              <w:rPr>
                <w:rFonts w:ascii="宋体" w:hAnsi="宋体" w:cs="宋体"/>
                <w:b/>
                <w:bCs/>
                <w:color w:val="auto"/>
                <w:highlight w:val="none"/>
              </w:rPr>
            </w:pPr>
            <w:r>
              <w:rPr>
                <w:rFonts w:hint="eastAsia" w:ascii="宋体" w:hAnsi="宋体" w:cs="宋体"/>
                <w:b/>
                <w:bCs/>
                <w:color w:val="auto"/>
                <w:highlight w:val="none"/>
              </w:rPr>
              <w:t>▲2.10图像融合：</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对来自计算机断层成像 (CT)、磁共振 (MR)和 数字平板血管造影 (XA) 成像设备的体积数据影像和2D实时透视影像进行精确融合显示。具备类CT重建功能。</w:t>
            </w:r>
          </w:p>
          <w:p>
            <w:pPr>
              <w:spacing w:line="360" w:lineRule="auto"/>
              <w:rPr>
                <w:rFonts w:ascii="宋体" w:hAnsi="宋体" w:cs="宋体"/>
                <w:b/>
                <w:bCs/>
                <w:color w:val="auto"/>
                <w:highlight w:val="none"/>
              </w:rPr>
            </w:pPr>
            <w:r>
              <w:rPr>
                <w:rFonts w:hint="eastAsia" w:ascii="宋体" w:hAnsi="宋体" w:cs="宋体"/>
                <w:b/>
                <w:bCs/>
                <w:color w:val="auto"/>
                <w:highlight w:val="none"/>
              </w:rPr>
              <w:t>2.11 床旁中央控制系统</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2.11.1 床旁液晶触摸屏；</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2.11.2 床旁操作实现图像回放功能；</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2.11.3 床旁操作实现系统控制功能。</w:t>
            </w:r>
          </w:p>
          <w:p>
            <w:pPr>
              <w:spacing w:line="360" w:lineRule="auto"/>
              <w:rPr>
                <w:rFonts w:ascii="宋体" w:hAnsi="宋体" w:cs="宋体"/>
                <w:b/>
                <w:bCs/>
                <w:color w:val="auto"/>
                <w:highlight w:val="none"/>
              </w:rPr>
            </w:pPr>
            <w:r>
              <w:rPr>
                <w:rFonts w:hint="eastAsia" w:ascii="宋体" w:hAnsi="宋体" w:cs="宋体"/>
                <w:b/>
                <w:bCs/>
                <w:color w:val="auto"/>
                <w:highlight w:val="none"/>
              </w:rPr>
              <w:t>2.12 后处理工作站</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●2.12.1 可进行图像后处理，后处理功能包括：选择路标图像、电子遮光器、图像反转、附加注解、图像全幅和局部放大、移动放大、可变速度循环播放、造影图像自动窗宽、窗位调整、重定蒙片、手动像素移位、自动像素移位、最大路径和骨标记、多幅图像显示、图像边缘增强、边缘平缓。</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●2.12.2 可实现定量测量分析</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2.12.2.1左心室分析软件，可测量舒张末期和收缩末期容积、射血分数、每博量测定</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2.12.2.2 冠脉分析软件，所选血管段直径、狭窄信息、狭窄百分比等测量</w:t>
            </w:r>
          </w:p>
          <w:p>
            <w:pPr>
              <w:spacing w:line="360" w:lineRule="auto"/>
              <w:rPr>
                <w:rFonts w:ascii="宋体" w:hAnsi="宋体" w:cs="宋体"/>
                <w:b/>
                <w:bCs/>
                <w:color w:val="auto"/>
                <w:highlight w:val="none"/>
              </w:rPr>
            </w:pPr>
            <w:r>
              <w:rPr>
                <w:rFonts w:hint="eastAsia" w:ascii="宋体" w:hAnsi="宋体" w:cs="宋体"/>
                <w:b/>
                <w:bCs/>
                <w:color w:val="auto"/>
                <w:highlight w:val="none"/>
              </w:rPr>
              <w:t>2.13 射线防护</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2.13.1 床旁射线防护帘；</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2.13.2 悬吊式射线防护屏。</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2.13.3 可移动式铅屏风≥1台（</w:t>
            </w:r>
            <w:r>
              <w:rPr>
                <w:rFonts w:hint="eastAsia" w:ascii="宋体" w:hAnsi="宋体" w:cs="宋体"/>
                <w:color w:val="auto"/>
                <w:szCs w:val="21"/>
                <w:highlight w:val="none"/>
              </w:rPr>
              <w:t>铅当量不低于1mmPb</w:t>
            </w:r>
            <w:r>
              <w:rPr>
                <w:rFonts w:hint="eastAsia" w:ascii="宋体" w:hAnsi="宋体" w:cs="宋体"/>
                <w:color w:val="auto"/>
                <w:highlight w:val="none"/>
              </w:rPr>
              <w:t>）。</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2.13.4 防护服：大、中、小各2套（</w:t>
            </w:r>
            <w:r>
              <w:rPr>
                <w:rFonts w:hint="eastAsia" w:ascii="宋体" w:hAnsi="宋体" w:cs="宋体"/>
                <w:color w:val="auto"/>
                <w:szCs w:val="21"/>
                <w:highlight w:val="none"/>
              </w:rPr>
              <w:t>铅当量不低于0.5mmPb</w:t>
            </w:r>
            <w:r>
              <w:rPr>
                <w:rFonts w:hint="eastAsia" w:ascii="宋体" w:hAnsi="宋体" w:cs="宋体"/>
                <w:color w:val="auto"/>
                <w:highlight w:val="none"/>
              </w:rPr>
              <w:t>）、防护手套：大、中、小各2套（</w:t>
            </w:r>
            <w:r>
              <w:rPr>
                <w:rFonts w:hint="eastAsia" w:ascii="宋体" w:hAnsi="宋体" w:cs="宋体"/>
                <w:color w:val="auto"/>
                <w:szCs w:val="21"/>
                <w:highlight w:val="none"/>
              </w:rPr>
              <w:t>铅当量不低于0.05mmPb</w:t>
            </w:r>
            <w:r>
              <w:rPr>
                <w:rFonts w:hint="eastAsia" w:ascii="宋体" w:hAnsi="宋体" w:cs="宋体"/>
                <w:color w:val="auto"/>
                <w:highlight w:val="none"/>
              </w:rPr>
              <w:t>）、</w:t>
            </w:r>
            <w:r>
              <w:rPr>
                <w:rFonts w:hint="eastAsia" w:ascii="宋体" w:hAnsi="宋体" w:cs="宋体"/>
                <w:color w:val="auto"/>
                <w:szCs w:val="21"/>
                <w:highlight w:val="none"/>
              </w:rPr>
              <w:t>铅眼镜</w:t>
            </w:r>
            <w:r>
              <w:rPr>
                <w:rFonts w:hint="eastAsia" w:ascii="宋体" w:hAnsi="宋体" w:cs="宋体"/>
                <w:color w:val="auto"/>
                <w:highlight w:val="none"/>
              </w:rPr>
              <w:t>：2个（</w:t>
            </w:r>
            <w:r>
              <w:rPr>
                <w:rFonts w:hint="eastAsia" w:ascii="宋体" w:hAnsi="宋体" w:cs="宋体"/>
                <w:color w:val="auto"/>
                <w:szCs w:val="21"/>
                <w:highlight w:val="none"/>
              </w:rPr>
              <w:t>铅当量不低于0.25mmPb</w:t>
            </w:r>
            <w:r>
              <w:rPr>
                <w:rFonts w:hint="eastAsia" w:ascii="宋体" w:hAnsi="宋体" w:cs="宋体"/>
                <w:color w:val="auto"/>
                <w:highlight w:val="none"/>
              </w:rPr>
              <w:t>）。</w:t>
            </w:r>
          </w:p>
          <w:p>
            <w:pPr>
              <w:spacing w:line="360" w:lineRule="auto"/>
              <w:rPr>
                <w:rFonts w:ascii="宋体" w:hAnsi="宋体" w:cs="宋体"/>
                <w:b/>
                <w:bCs/>
                <w:color w:val="auto"/>
                <w:highlight w:val="none"/>
              </w:rPr>
            </w:pPr>
            <w:r>
              <w:rPr>
                <w:rFonts w:hint="eastAsia" w:ascii="宋体" w:hAnsi="宋体" w:cs="宋体"/>
                <w:b/>
                <w:bCs/>
                <w:color w:val="auto"/>
                <w:highlight w:val="none"/>
              </w:rPr>
              <w:t>2.14 其它</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具有DICOM Send； Print功能（激光打印机DICOM3.0接口）； Query/Retrieve；DICOM Worklist功能。</w:t>
            </w:r>
          </w:p>
          <w:p>
            <w:pPr>
              <w:spacing w:line="360" w:lineRule="auto"/>
              <w:rPr>
                <w:rFonts w:ascii="宋体" w:hAnsi="宋体" w:cs="宋体"/>
                <w:b/>
                <w:bCs/>
                <w:color w:val="auto"/>
                <w:highlight w:val="none"/>
              </w:rPr>
            </w:pPr>
            <w:r>
              <w:rPr>
                <w:rFonts w:hint="eastAsia" w:ascii="宋体" w:hAnsi="宋体" w:cs="宋体"/>
                <w:b/>
                <w:bCs/>
                <w:color w:val="auto"/>
                <w:highlight w:val="none"/>
              </w:rPr>
              <w:t>▲3.配置清单</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（1）DSA主机1套。</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（2）后处理工作站计算机1套。</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（3）高压注射器：1套，容量≥150 ml。</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（4）远程手术直播系统1套。</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（5）图像存储工作站（胶片打印、资料存储（硬盘容量≥10T）、查询）1套。</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（6）辐射剂量检测仪1套。</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（7）包含DSA机房、控制间、设备间X射线屏蔽及整体测量、规划、安装改造。</w:t>
            </w:r>
          </w:p>
          <w:p>
            <w:pPr>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（8）负责完成包括、竣工验收、控评检测报告、机房防护检测、设备性能检测等，由此产生的费用由中标供应商承担。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textAlignment w:val="center"/>
              <w:rPr>
                <w:rFonts w:ascii="宋体" w:hAnsi="宋体" w:cs="宋体"/>
                <w:color w:val="auto"/>
                <w:szCs w:val="21"/>
                <w:highlight w:val="none"/>
              </w:rPr>
            </w:pPr>
            <w:r>
              <w:rPr>
                <w:rFonts w:hint="eastAsia" w:ascii="宋体" w:hAnsi="宋体" w:cs="宋体"/>
                <w:color w:val="auto"/>
                <w:szCs w:val="21"/>
                <w:highlight w:val="none"/>
              </w:rPr>
              <w:t>▲二、</w:t>
            </w:r>
            <w:r>
              <w:rPr>
                <w:rFonts w:hint="eastAsia" w:ascii="宋体" w:hAnsi="宋体" w:cs="宋体"/>
                <w:b/>
                <w:color w:val="auto"/>
                <w:szCs w:val="21"/>
                <w:highlight w:val="none"/>
              </w:rPr>
              <w:t>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bCs/>
                <w:color w:val="auto"/>
                <w:szCs w:val="21"/>
                <w:highlight w:val="none"/>
              </w:rPr>
              <w:t>质保期(包修期)</w:t>
            </w:r>
          </w:p>
        </w:tc>
        <w:tc>
          <w:tcPr>
            <w:tcW w:w="8245" w:type="dxa"/>
            <w:gridSpan w:val="5"/>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1.按国家有关产品“三包”规定执行“三包”，除特别说明外，质保期(包修期)(质保、包修范围包括主机、球管、探测器及附属设备,球管、探测器只换原装全新不修理)不得少于 3年，全生命周期提供系统、工作站等软件升级服务，产生的费用包含在报价中，自设备验收合格并能正常使用之日算起,厂家或国家有更长质量保证期限规定的从其规定。</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2.质保期（包修期）内，设备整体年累计故障停机时间不得超过 18 天（即开机率不低于95%，按自然年365日计算）。</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（1）若单一年度内故障停机时间超过18天，就超出部分，供应商应按“超出天数:补偿天数=1:2”的比例，延长整机质保期。</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（2）若单一年度内故障停机时间累计达到或超过36天（即开机率≤90%），使用单位有权要求供应商在60日内更换同品牌型号或更高规格的全新设备，并承担由此产生的一切费用及给使用单位造成的直接经济损失。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3.质保期(包修期)结束后，供应商对合同货物提供终身保修服务，且要求相关配件及人工费用低于平均市场价格。</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质保期（包修期）内，设备因产品质量问题，经供应商两次维修仍不能达到本项目合同约定的质量标准，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5.质保期内提供远程诊断、故障预警功能，软件升级不少于1次（含设备功能优化、兼容性升级、数据接口更新等），且需明确每次升级的具体功能模块。</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6.质保期内，供应商承担质保范围内所有设备的维修及保养、备件更换、软件升级、安全检查、备件储备、人工（含差旅）、质量保证及远程服务的费用，不得向使用单位及采购人收取额外费用。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bCs/>
                <w:color w:val="auto"/>
                <w:szCs w:val="21"/>
                <w:highlight w:val="none"/>
              </w:rPr>
              <w:t>交付仪器生产日期</w:t>
            </w:r>
          </w:p>
        </w:tc>
        <w:tc>
          <w:tcPr>
            <w:tcW w:w="8245" w:type="dxa"/>
            <w:gridSpan w:val="5"/>
            <w:tcBorders>
              <w:top w:val="single" w:color="auto" w:sz="4" w:space="0"/>
              <w:left w:val="single" w:color="auto" w:sz="4" w:space="0"/>
              <w:bottom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为保证产品质量和技术先进性，本次招标所供仪器设备必须是全新未使用产品，不得为库存积压、停产清库、促销处理或返修翻新产品。供应商应承诺交付的仪器设备，其生产日期不得早于投标截止日期前的6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交货时间及地点</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1.交货时间：自签订合同之日起30日历日内全部货物交货并安装调试完毕。</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2.交货地点：使用单位的指定地点</w:t>
            </w:r>
            <w:r>
              <w:rPr>
                <w:rFonts w:hint="eastAsia" w:ascii="宋体" w:hAnsi="宋体" w:cs="宋体"/>
                <w:color w:val="auto"/>
                <w:kern w:val="0"/>
                <w:szCs w:val="21"/>
                <w:highlight w:val="none"/>
              </w:rPr>
              <w:t>（包含本项目所涉及全区县域医共体共1个使用单位，具体单位详见</w:t>
            </w:r>
            <w:r>
              <w:rPr>
                <w:rFonts w:hint="eastAsia" w:ascii="宋体" w:hAnsi="宋体" w:cs="宋体"/>
                <w:b/>
                <w:bCs/>
                <w:color w:val="auto"/>
                <w:szCs w:val="21"/>
                <w:highlight w:val="none"/>
              </w:rPr>
              <w:t>三、与实现项目目标相关的其他要求“（六）本项目所涉区内县域医共体使用单位”</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bCs/>
                <w:color w:val="auto"/>
                <w:kern w:val="0"/>
                <w:szCs w:val="21"/>
                <w:highlight w:val="none"/>
              </w:rPr>
              <w:t>交货方式</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现场交货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color w:val="auto"/>
                <w:highlight w:val="none"/>
              </w:rPr>
              <w:t>▲</w:t>
            </w:r>
            <w:r>
              <w:rPr>
                <w:rFonts w:hint="eastAsia" w:ascii="宋体" w:hAnsi="宋体" w:cs="宋体"/>
                <w:b/>
                <w:color w:val="auto"/>
                <w:szCs w:val="21"/>
                <w:highlight w:val="none"/>
              </w:rPr>
              <w:t>服务标准、服务效率、售后服务要求</w:t>
            </w:r>
          </w:p>
        </w:tc>
        <w:tc>
          <w:tcPr>
            <w:tcW w:w="8245" w:type="dxa"/>
            <w:gridSpan w:val="5"/>
            <w:tcBorders>
              <w:top w:val="single" w:color="auto" w:sz="4" w:space="0"/>
              <w:left w:val="single" w:color="auto" w:sz="4" w:space="0"/>
              <w:bottom w:val="single" w:color="auto" w:sz="4" w:space="0"/>
            </w:tcBorders>
            <w:shd w:val="clear" w:color="auto" w:fill="auto"/>
            <w:vAlign w:val="center"/>
          </w:tcPr>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1.送货上门，并负责安装调试。</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定期售后维保服务：质保期</w:t>
            </w:r>
            <w:r>
              <w:rPr>
                <w:rFonts w:hint="eastAsia" w:ascii="宋体" w:hAnsi="宋体" w:cs="宋体"/>
                <w:color w:val="auto"/>
                <w:sz w:val="21"/>
                <w:szCs w:val="21"/>
                <w:highlight w:val="none"/>
              </w:rPr>
              <w:t>（包修期）</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 xml:space="preserve">每半年一次定期回访以及对设备维护。 </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产品必须是全新、未使用过且无任何抵押、查封等产权瑕疵的产品。产品包装必须是未经使用的全新的合格产品，并按照原厂标准包装规格供货，不接受散装或拆包装件。所有货物都提供使用说明书和详细装箱清单及质量合格证。</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4.中标供应商提供7*24小时售后服务，质保期内仪器设备出现故障，在接到电话通知后，4小时内做出响应（远程解决或做出预备维护动作），48小时内到达维修现场。一般问题应在72小时内解决，以保证采购人的正常工作。重大问题或其它无法迅速解决的问题应在5个工作日内解决，供应商在接到采购人通知后拒不响应或解决故障的，采购人有权聘请第三方进行维修，由此产生的费用由供应商承担。 </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5.提供维护手册、维修手册、软件备份、故障代码表、备件清单。质保期外，中标供应商提供维修密码及设备交付验收时配置的所有软件在该项目的永久使用权并承担相应费用。</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6.相关人员培训：标的包含医护人员及工程人员的培训计划费用，设备装机验收后，现场提供对采购人进行</w:t>
            </w:r>
            <w:r>
              <w:rPr>
                <w:rFonts w:hint="eastAsia" w:ascii="宋体" w:hAnsi="宋体" w:eastAsia="宋体" w:cs="宋体"/>
                <w:color w:val="auto"/>
                <w:szCs w:val="21"/>
                <w:highlight w:val="none"/>
              </w:rPr>
              <w:t>≥</w:t>
            </w:r>
            <w:r>
              <w:rPr>
                <w:rFonts w:hint="eastAsia" w:ascii="宋体" w:hAnsi="宋体" w:cs="宋体"/>
                <w:color w:val="auto"/>
                <w:szCs w:val="21"/>
                <w:highlight w:val="none"/>
              </w:rPr>
              <w:t>1次或多次基本培训，使采购人使用人员及工程人员熟练掌握全部功能及基本维修。</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投标人承诺的质保期内的所有售后服务，包括原厂商服务和非原厂商服务，其中硬件的售后服务包括但不限于硬件维护维修、配件更换、硬件升级；应用软件的售后服务包括但不限于应用软件维护升级以及非结构性修改；投标人承诺的质保期内售后服务所产生的费用均由中标供应商承担。</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8.中标供应商提供的设备如因采购人业务需要而接入采购人信息网络(含信息网、无线网、设备网、物联网、HIS、PACS 等系统),中标供应商需积极配合并承担相关费用。</w:t>
            </w:r>
          </w:p>
          <w:p>
            <w:pPr>
              <w:widowControl/>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9.拟投入的人员：专业技术工程师及售后服务人员：负责向使用单位提供安装、调试、维护、故障排除、业务咨询、培训、售后等服务。</w:t>
            </w:r>
          </w:p>
          <w:p>
            <w:pPr>
              <w:snapToGrid w:val="0"/>
              <w:spacing w:line="360" w:lineRule="auto"/>
              <w:ind w:firstLine="420" w:firstLineChars="200"/>
              <w:rPr>
                <w:color w:val="auto"/>
                <w:highlight w:val="none"/>
              </w:rPr>
            </w:pPr>
            <w:r>
              <w:rPr>
                <w:rFonts w:hint="eastAsia" w:ascii="宋体" w:hAnsi="宋体" w:cs="宋体"/>
                <w:color w:val="auto"/>
                <w:szCs w:val="21"/>
                <w:highlight w:val="none"/>
              </w:rPr>
              <w:t>10</w:t>
            </w:r>
            <w:r>
              <w:rPr>
                <w:rFonts w:hint="eastAsia"/>
                <w:color w:val="auto"/>
                <w:highlight w:val="none"/>
              </w:rPr>
              <w:t>.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pPr>
              <w:snapToGrid w:val="0"/>
              <w:spacing w:line="360" w:lineRule="auto"/>
              <w:ind w:firstLine="420" w:firstLineChars="200"/>
              <w:rPr>
                <w:rFonts w:ascii="宋体" w:hAnsi="宋体" w:cs="宋体"/>
                <w:color w:val="auto"/>
                <w:szCs w:val="21"/>
                <w:highlight w:val="none"/>
              </w:rPr>
            </w:pPr>
            <w:r>
              <w:rPr>
                <w:rFonts w:hint="eastAsia"/>
                <w:color w:val="auto"/>
                <w:highlight w:val="none"/>
              </w:rPr>
              <w:t>11.投标人承诺响应的技术参数及功能应能实际应用于临床使用(非设备性能试验或检测环境、设备拆改等条件下实现)。不得以需要进行硬件拆改或升级、软件升级、系统升级、另外收费等形式限制使用单位使用。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付款方式</w:t>
            </w:r>
          </w:p>
        </w:tc>
        <w:tc>
          <w:tcPr>
            <w:tcW w:w="8245" w:type="dxa"/>
            <w:gridSpan w:val="5"/>
            <w:tcBorders>
              <w:top w:val="single" w:color="auto" w:sz="4" w:space="0"/>
              <w:left w:val="single" w:color="auto" w:sz="4" w:space="0"/>
              <w:bottom w:val="single" w:color="auto" w:sz="4" w:space="0"/>
            </w:tcBorders>
            <w:vAlign w:val="center"/>
          </w:tcPr>
          <w:p>
            <w:pPr>
              <w:snapToGrid w:val="0"/>
              <w:spacing w:line="360" w:lineRule="auto"/>
              <w:ind w:firstLine="420" w:firstLineChars="200"/>
              <w:rPr>
                <w:color w:val="auto"/>
                <w:highlight w:val="none"/>
              </w:rPr>
            </w:pPr>
            <w:r>
              <w:rPr>
                <w:rFonts w:hint="eastAsia"/>
                <w:color w:val="auto"/>
                <w:highlight w:val="none"/>
              </w:rPr>
              <w:t xml:space="preserve">本项目合同金额分三期支付：第一期（30%）、第二期（50%）：由采购人（广西壮族自治区卫生健康委员会，以下简称“甲方 1”）集中支付；第三期（20%）：由使用单位（本项目所涉区内县域医共体使用单位，以下简称“甲方 </w:t>
            </w:r>
            <w:r>
              <w:rPr>
                <w:color w:val="auto"/>
                <w:highlight w:val="none"/>
              </w:rPr>
              <w:t>2</w:t>
            </w:r>
            <w:r>
              <w:rPr>
                <w:rFonts w:hint="eastAsia"/>
                <w:color w:val="auto"/>
                <w:highlight w:val="none"/>
              </w:rPr>
              <w:t xml:space="preserve">”）各自按对应设备金额单独支付给供应商（以下简称“乙方”）。 </w:t>
            </w:r>
          </w:p>
          <w:p>
            <w:pPr>
              <w:snapToGrid w:val="0"/>
              <w:spacing w:line="360" w:lineRule="auto"/>
              <w:ind w:firstLine="420" w:firstLineChars="200"/>
              <w:rPr>
                <w:color w:val="auto"/>
                <w:highlight w:val="none"/>
              </w:rPr>
            </w:pPr>
            <w:r>
              <w:rPr>
                <w:rFonts w:hint="eastAsia"/>
                <w:color w:val="auto"/>
                <w:highlight w:val="none"/>
              </w:rPr>
              <w:t>1.第一期付款（合同金额 30%）</w:t>
            </w:r>
          </w:p>
          <w:p>
            <w:pPr>
              <w:snapToGrid w:val="0"/>
              <w:spacing w:line="360" w:lineRule="auto"/>
              <w:ind w:firstLine="420" w:firstLineChars="200"/>
              <w:rPr>
                <w:color w:val="auto"/>
                <w:highlight w:val="none"/>
              </w:rPr>
            </w:pPr>
            <w:r>
              <w:rPr>
                <w:rFonts w:hint="eastAsia"/>
                <w:color w:val="auto"/>
                <w:highlight w:val="none"/>
              </w:rPr>
              <w:t>触发条件：乙方提交等额合法发票（抬头：广西壮族自治区卫生健康委员会）。</w:t>
            </w:r>
          </w:p>
          <w:p>
            <w:pPr>
              <w:snapToGrid w:val="0"/>
              <w:spacing w:line="360" w:lineRule="auto"/>
              <w:ind w:firstLine="420" w:firstLineChars="200"/>
              <w:rPr>
                <w:color w:val="auto"/>
                <w:highlight w:val="none"/>
              </w:rPr>
            </w:pPr>
            <w:r>
              <w:rPr>
                <w:rFonts w:hint="eastAsia"/>
                <w:color w:val="auto"/>
                <w:highlight w:val="none"/>
              </w:rPr>
              <w:t>付款期限： 甲方 1在满足全部条件后10 个工作日内支付。</w:t>
            </w:r>
          </w:p>
          <w:p>
            <w:pPr>
              <w:snapToGrid w:val="0"/>
              <w:spacing w:line="360" w:lineRule="auto"/>
              <w:ind w:firstLine="420" w:firstLineChars="200"/>
              <w:rPr>
                <w:color w:val="auto"/>
                <w:highlight w:val="none"/>
              </w:rPr>
            </w:pPr>
            <w:r>
              <w:rPr>
                <w:rFonts w:hint="eastAsia"/>
                <w:color w:val="auto"/>
                <w:highlight w:val="none"/>
              </w:rPr>
              <w:t>2.第二期付款（合同金额 50%）</w:t>
            </w:r>
          </w:p>
          <w:p>
            <w:pPr>
              <w:snapToGrid w:val="0"/>
              <w:spacing w:line="360" w:lineRule="auto"/>
              <w:ind w:firstLine="420" w:firstLineChars="200"/>
              <w:rPr>
                <w:color w:val="auto"/>
                <w:highlight w:val="none"/>
              </w:rPr>
            </w:pPr>
            <w:r>
              <w:rPr>
                <w:rFonts w:hint="eastAsia"/>
                <w:color w:val="auto"/>
                <w:highlight w:val="none"/>
              </w:rPr>
              <w:t>触发条件：①乙方将全部设备运抵甲方 2 ，并经到货验收合格（甲方 2 出具《设备到货确认单》并提交甲方 1）；②乙方提交等额合法发票（抬头同第一期）。</w:t>
            </w:r>
          </w:p>
          <w:p>
            <w:pPr>
              <w:snapToGrid w:val="0"/>
              <w:spacing w:line="360" w:lineRule="auto"/>
              <w:ind w:firstLine="420" w:firstLineChars="200"/>
              <w:rPr>
                <w:color w:val="auto"/>
                <w:highlight w:val="none"/>
              </w:rPr>
            </w:pPr>
            <w:r>
              <w:rPr>
                <w:rFonts w:hint="eastAsia"/>
                <w:color w:val="auto"/>
                <w:highlight w:val="none"/>
              </w:rPr>
              <w:t>付款期限：甲方 1 在收到验收确认单及发票后 10 个工作日内支付。</w:t>
            </w:r>
          </w:p>
          <w:p>
            <w:pPr>
              <w:snapToGrid w:val="0"/>
              <w:spacing w:line="360" w:lineRule="auto"/>
              <w:ind w:firstLine="420" w:firstLineChars="200"/>
              <w:rPr>
                <w:color w:val="auto"/>
                <w:highlight w:val="none"/>
              </w:rPr>
            </w:pPr>
            <w:r>
              <w:rPr>
                <w:rFonts w:hint="eastAsia"/>
                <w:color w:val="auto"/>
                <w:highlight w:val="none"/>
              </w:rPr>
              <w:t>3.第三期付款（合同金额 20%）</w:t>
            </w:r>
          </w:p>
          <w:p>
            <w:pPr>
              <w:snapToGrid w:val="0"/>
              <w:spacing w:line="360" w:lineRule="auto"/>
              <w:ind w:firstLine="420" w:firstLineChars="200"/>
              <w:rPr>
                <w:color w:val="auto"/>
                <w:highlight w:val="none"/>
              </w:rPr>
            </w:pPr>
            <w:r>
              <w:rPr>
                <w:rFonts w:hint="eastAsia"/>
                <w:color w:val="auto"/>
                <w:highlight w:val="none"/>
              </w:rPr>
              <w:t>触发条件：①由验收小组出具通过最终验收的《设备最终验收单》；②乙方按各甲方 2 要求，提交对应抬头的等额合法发票。</w:t>
            </w:r>
          </w:p>
          <w:p>
            <w:pPr>
              <w:snapToGrid w:val="0"/>
              <w:spacing w:line="360" w:lineRule="auto"/>
              <w:ind w:firstLine="420" w:firstLineChars="200"/>
              <w:rPr>
                <w:rFonts w:cs="Calibri"/>
                <w:color w:val="auto"/>
                <w:highlight w:val="none"/>
              </w:rPr>
            </w:pPr>
            <w:r>
              <w:rPr>
                <w:rFonts w:hint="eastAsia"/>
                <w:color w:val="auto"/>
                <w:highlight w:val="none"/>
              </w:rPr>
              <w:t>付款期限：甲方 2 收到《设备最终验收单》及发票后 10 个工作日内支付；甲方 1 监督付款进度，督促逾期单位。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kern w:val="0"/>
                <w:szCs w:val="21"/>
                <w:highlight w:val="none"/>
              </w:rPr>
            </w:pPr>
            <w:r>
              <w:rPr>
                <w:rFonts w:hint="eastAsia" w:ascii="宋体" w:hAnsi="宋体" w:cs="宋体"/>
                <w:color w:val="auto"/>
                <w:szCs w:val="21"/>
                <w:highlight w:val="none"/>
              </w:rPr>
              <w:t>▲</w:t>
            </w:r>
            <w:r>
              <w:rPr>
                <w:rFonts w:hint="eastAsia" w:ascii="宋体" w:hAnsi="宋体" w:eastAsia="宋体" w:cs="宋体"/>
                <w:b/>
                <w:color w:val="auto"/>
                <w:kern w:val="0"/>
                <w:szCs w:val="21"/>
                <w:highlight w:val="none"/>
              </w:rPr>
              <w:t>履约保证金</w:t>
            </w:r>
          </w:p>
        </w:tc>
        <w:tc>
          <w:tcPr>
            <w:tcW w:w="8245" w:type="dxa"/>
            <w:gridSpan w:val="5"/>
            <w:tcBorders>
              <w:top w:val="single" w:color="auto" w:sz="4" w:space="0"/>
              <w:left w:val="single" w:color="auto" w:sz="4" w:space="0"/>
              <w:bottom w:val="single" w:color="auto" w:sz="4" w:space="0"/>
            </w:tcBorders>
            <w:vAlign w:val="center"/>
          </w:tcPr>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w:t>
            </w:r>
            <w:r>
              <w:rPr>
                <w:rFonts w:hint="eastAsia" w:ascii="宋体" w:hAnsi="宋体" w:cs="Calibri"/>
                <w:szCs w:val="21"/>
                <w:highlight w:val="none"/>
                <w:lang w:val="en-US" w:eastAsia="zh-CN"/>
              </w:rPr>
              <w:t>提供的两种方式中任选一种</w:t>
            </w:r>
            <w:r>
              <w:rPr>
                <w:rFonts w:hint="eastAsia" w:ascii="宋体" w:hAnsi="宋体" w:cs="Calibri"/>
                <w:szCs w:val="21"/>
                <w:highlight w:val="none"/>
              </w:rPr>
              <w:t>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宋体"/>
                <w:szCs w:val="21"/>
                <w:highlight w:val="none"/>
              </w:rPr>
            </w:pPr>
            <w:r>
              <w:rPr>
                <w:rFonts w:hint="eastAsia" w:ascii="宋体" w:hAnsi="宋体" w:cs="Calibri"/>
                <w:szCs w:val="21"/>
                <w:highlight w:val="none"/>
                <w:lang w:eastAsia="zh-CN"/>
              </w:rPr>
              <w:t>（</w:t>
            </w:r>
            <w:r>
              <w:rPr>
                <w:rFonts w:hint="eastAsia" w:ascii="宋体" w:hAnsi="宋体" w:cs="Calibri"/>
                <w:szCs w:val="21"/>
                <w:highlight w:val="none"/>
                <w:lang w:val="en-US" w:eastAsia="zh-CN"/>
              </w:rPr>
              <w:t>1</w:t>
            </w:r>
            <w:r>
              <w:rPr>
                <w:rFonts w:hint="eastAsia" w:ascii="宋体" w:hAnsi="宋体" w:cs="Calibri"/>
                <w:szCs w:val="21"/>
                <w:highlight w:val="none"/>
                <w:lang w:eastAsia="zh-CN"/>
              </w:rPr>
              <w:t>）</w:t>
            </w: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基本户开户行：中国工商银行股份有限公司南宁市桃源支行</w:t>
            </w:r>
          </w:p>
          <w:p>
            <w:pPr>
              <w:pStyle w:val="30"/>
              <w:rPr>
                <w:color w:val="auto"/>
                <w:highlight w:val="none"/>
              </w:rPr>
            </w:pP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（3）有下列情形之一的，视为履约保证金提交无效：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4.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5.风险处置措施和替代方案：若乙方因自身原因（如资金、生产能力等）无法按约履约，需在违约情形发生后24小时内书面通知甲方，甲方1有权选择：①要求乙方在5天内恢复履约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napToGrid w:val="0"/>
              <w:spacing w:line="360" w:lineRule="exact"/>
              <w:ind w:firstLine="420" w:firstLineChars="200"/>
              <w:rPr>
                <w:rFonts w:ascii="宋体" w:hAnsi="宋体" w:cs="Calibri"/>
                <w:color w:val="auto"/>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投标报价要求</w:t>
            </w:r>
          </w:p>
        </w:tc>
        <w:tc>
          <w:tcPr>
            <w:tcW w:w="8245" w:type="dxa"/>
            <w:gridSpan w:val="5"/>
            <w:tcBorders>
              <w:top w:val="single" w:color="auto" w:sz="4" w:space="0"/>
              <w:left w:val="single" w:color="auto" w:sz="4" w:space="0"/>
              <w:bottom w:val="single" w:color="auto" w:sz="4" w:space="0"/>
            </w:tcBorders>
            <w:vAlign w:val="center"/>
          </w:tcPr>
          <w:p>
            <w:pPr>
              <w:pStyle w:val="14"/>
              <w:snapToGrid w:val="0"/>
              <w:spacing w:line="360" w:lineRule="auto"/>
              <w:ind w:left="34" w:firstLine="420" w:firstLineChars="200"/>
              <w:rPr>
                <w:rFonts w:hAnsi="宋体" w:cs="宋体"/>
                <w:color w:val="auto"/>
                <w:sz w:val="21"/>
                <w:highlight w:val="none"/>
              </w:rPr>
            </w:pPr>
            <w:bookmarkStart w:id="38" w:name="_Toc1854"/>
            <w:r>
              <w:rPr>
                <w:rFonts w:hint="eastAsia" w:ascii="宋体" w:hAnsi="宋体" w:eastAsia="宋体" w:cs="宋体"/>
                <w:color w:val="auto"/>
                <w:sz w:val="21"/>
                <w:highlight w:val="none"/>
              </w:rPr>
              <w:t>投标报价包含货物、货物标准附件、软件、备品备件、专用工具、设备安装辅材、施工辅材、包装、运输、装卸、保险、货到就位、</w:t>
            </w:r>
            <w:r>
              <w:rPr>
                <w:rFonts w:hint="eastAsia" w:hAnsi="宋体"/>
                <w:color w:val="auto"/>
                <w:highlight w:val="none"/>
              </w:rPr>
              <w:t>软件接口费用、</w:t>
            </w:r>
            <w:r>
              <w:rPr>
                <w:rFonts w:hint="eastAsia" w:ascii="宋体" w:hAnsi="宋体" w:eastAsia="宋体" w:cs="宋体"/>
                <w:color w:val="auto"/>
                <w:sz w:val="21"/>
                <w:highlight w:val="none"/>
              </w:rPr>
              <w:t>质保期(包修期)内维护、保养、维修及设备软件更新升级的各种费用以及设备安装场地的改造、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rPr>
                <w:rFonts w:ascii="宋体" w:hAnsi="宋体" w:cs="宋体"/>
                <w:color w:val="auto"/>
                <w:szCs w:val="21"/>
                <w:highlight w:val="none"/>
              </w:rPr>
            </w:pPr>
            <w:r>
              <w:rPr>
                <w:rFonts w:hint="eastAsia" w:ascii="宋体" w:hAnsi="宋体" w:cs="宋体"/>
                <w:b/>
                <w:bCs/>
                <w:color w:val="auto"/>
                <w:szCs w:val="21"/>
                <w:highlight w:val="none"/>
              </w:rPr>
              <w:t>三、与实现项目目标相关的其他要求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rPr>
                <w:rFonts w:ascii="宋体" w:hAnsi="宋体" w:cs="宋体"/>
                <w:b/>
                <w:bCs/>
                <w:color w:val="auto"/>
                <w:szCs w:val="21"/>
                <w:highlight w:val="none"/>
              </w:rPr>
            </w:pPr>
            <w:r>
              <w:rPr>
                <w:rFonts w:hint="eastAsia" w:ascii="宋体" w:hAnsi="宋体" w:cs="宋体"/>
                <w:b/>
                <w:color w:val="auto"/>
                <w:szCs w:val="21"/>
                <w:highlight w:val="none"/>
              </w:rPr>
              <w:t>（一）投标人的履约能力要求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rPr>
                <w:rFonts w:ascii="宋体" w:hAnsi="宋体" w:cs="宋体"/>
                <w:color w:val="auto"/>
                <w:szCs w:val="21"/>
                <w:highlight w:val="none"/>
              </w:rPr>
            </w:pPr>
            <w:r>
              <w:rPr>
                <w:rFonts w:hint="eastAsia" w:ascii="宋体" w:hAnsi="宋体" w:cs="宋体"/>
                <w:b/>
                <w:color w:val="auto"/>
                <w:szCs w:val="21"/>
                <w:highlight w:val="none"/>
              </w:rPr>
              <w:t>管理体系要求</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rPr>
                <w:rFonts w:ascii="宋体" w:hAnsi="宋体" w:cs="宋体"/>
                <w:b/>
                <w:color w:val="auto"/>
                <w:szCs w:val="21"/>
                <w:highlight w:val="none"/>
              </w:rPr>
            </w:pPr>
            <w:r>
              <w:rPr>
                <w:rFonts w:hint="eastAsia" w:ascii="宋体" w:hAnsi="宋体" w:cs="宋体"/>
                <w:b/>
                <w:color w:val="auto"/>
                <w:szCs w:val="21"/>
                <w:highlight w:val="none"/>
              </w:rPr>
              <w:t>业绩要求</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jc w:val="left"/>
              <w:rPr>
                <w:rFonts w:ascii="宋体" w:hAnsi="宋体" w:cs="宋体"/>
                <w:color w:val="auto"/>
                <w:szCs w:val="21"/>
                <w:highlight w:val="none"/>
              </w:rPr>
            </w:pPr>
            <w:r>
              <w:rPr>
                <w:rFonts w:hint="eastAsia" w:ascii="宋体" w:hAnsi="宋体" w:cs="宋体"/>
                <w:b/>
                <w:color w:val="auto"/>
                <w:szCs w:val="21"/>
                <w:highlight w:val="none"/>
              </w:rPr>
              <w:t>（二）政策性加分条件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政策性加分条件</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符合节能环保等国家政策要求。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（三）验收标准、验收方法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验收标准、验收方法及方案</w:t>
            </w:r>
          </w:p>
        </w:tc>
        <w:tc>
          <w:tcPr>
            <w:tcW w:w="8245" w:type="dxa"/>
            <w:gridSpan w:val="5"/>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采购人自行组织验收或委托第三方组织验收。</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1.中标供应商提供不符合公告规定的、招标文件、投标文件承诺的或本合同规定的货物，采购人有权拒绝接受。</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2.中标供应商应将所提供货物的装箱清单、用户手册、原厂保修卡、随机资料、工具和备品、备件等在初步查验阶段交付给使用单位，如有缺失应在采购人要求的期限内及时补齐，否则视为逾期交货。</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货物为原厂商未启封全新包装，具出厂合格证，清晰标注生产日期，序列号、包装箱号与出厂批号一致，并可追索查阅。所有随设备的附件必须齐全。货物生产日期必须符合招标文件的要求。生产日期不符合要求视为交付产品不合格，采购人有权拒收货物，并要求采购人承担违约责任。</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4.中标供应商在交货前，应对产品进行全面检查并对交付验收文件材料进行汇总整理，编制文件清单，作为使用单位验收和使用的技术条件依据。</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5.初步查验：货物送达使用单位指定地点后，使用单位应在2个工作日内组织初步查验，初步查验合格后由双方签署</w:t>
            </w:r>
            <w:r>
              <w:rPr>
                <w:rFonts w:hint="eastAsia" w:cs="Calibri"/>
                <w:color w:val="auto"/>
                <w:sz w:val="21"/>
                <w:szCs w:val="21"/>
                <w:highlight w:val="none"/>
              </w:rPr>
              <w:t>《设备到货确认单》</w:t>
            </w:r>
            <w:r>
              <w:rPr>
                <w:rFonts w:hint="eastAsia" w:ascii="宋体" w:hAnsi="宋体" w:eastAsia="宋体" w:cs="宋体"/>
                <w:color w:val="auto"/>
                <w:sz w:val="21"/>
                <w:szCs w:val="21"/>
                <w:highlight w:val="none"/>
              </w:rPr>
              <w:t>并加盖采购人单位公章。</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6.使用单位应当在货物达到最终验收状态（安装调试完成且可正常使用60日无质量问题）5个工作日内组织进行验收。验收合格后由双方签署货物验收单并加盖采购人单位公章。</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rPr>
              <w:t>若采购人委托第三方组织的验收项目，其验收时间以该项目验收方案确定的验收时间为准，验收结果以该项目验收报告结论为准，由此所产生的的验收费用由中标人承担；采购人组织验收专家组对验收情况进行抽查，如在抽查过程中发现中标供应商有违约问题，可暂缓资金结算，待违约问题解决后，方可办理资金结算事宜，在此期间，采购人不承担逾期付款责任</w:t>
            </w:r>
            <w:r>
              <w:rPr>
                <w:rFonts w:hint="eastAsia" w:ascii="宋体" w:hAnsi="宋体" w:eastAsia="宋体" w:cs="宋体"/>
                <w:color w:val="auto"/>
                <w:sz w:val="21"/>
                <w:szCs w:val="21"/>
                <w:highlight w:val="none"/>
              </w:rPr>
              <w:t>。</w:t>
            </w:r>
          </w:p>
          <w:p>
            <w:pPr>
              <w:pStyle w:val="2"/>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8.因货物质量问题或验收结果发生争议的，采购人或使用单位应邀请国家认定的质量检测机构按照采购文件采购需求对货物质量进行验收。货物符合验收标准的，鉴定费由采购人或使用单位承担；货物不符合验收标准的，鉴定费由中标供应商承担。</w:t>
            </w:r>
          </w:p>
          <w:p>
            <w:pPr>
              <w:pStyle w:val="24"/>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9.具体履约验收程序详见第五章政府采购合同协议书。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rPr>
                <w:rFonts w:ascii="宋体" w:hAnsi="宋体" w:cs="宋体"/>
                <w:color w:val="auto"/>
                <w:szCs w:val="21"/>
                <w:highlight w:val="none"/>
              </w:rPr>
            </w:pPr>
            <w:r>
              <w:rPr>
                <w:rFonts w:hint="eastAsia" w:ascii="宋体" w:hAnsi="宋体" w:cs="宋体"/>
                <w:b/>
                <w:bCs/>
                <w:color w:val="auto"/>
                <w:szCs w:val="21"/>
                <w:highlight w:val="none"/>
              </w:rPr>
              <w:t>（四）进口产品说明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进口产品说明</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本项目货物不接受进口产品（即通过中国海关报关验放进入中国境内且产自关境外的产品）参与投标，如有进口产品参与投标的作无效标处理。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jc w:val="left"/>
              <w:rPr>
                <w:rFonts w:ascii="宋体" w:hAnsi="宋体" w:cs="宋体"/>
                <w:color w:val="auto"/>
                <w:szCs w:val="21"/>
                <w:highlight w:val="none"/>
              </w:rPr>
            </w:pPr>
            <w:r>
              <w:rPr>
                <w:rFonts w:hint="eastAsia" w:ascii="宋体" w:hAnsi="宋体" w:cs="宋体"/>
                <w:b/>
                <w:bCs/>
                <w:color w:val="auto"/>
                <w:kern w:val="0"/>
                <w:szCs w:val="21"/>
                <w:highlight w:val="none"/>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规范标准</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执行现行的强制执行的国家、行业、地方标准。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b/>
                <w:color w:val="auto"/>
                <w:szCs w:val="21"/>
                <w:highlight w:val="none"/>
              </w:rPr>
              <w:t>其他技术及服务要求</w:t>
            </w:r>
          </w:p>
        </w:tc>
        <w:tc>
          <w:tcPr>
            <w:tcW w:w="8245" w:type="dxa"/>
            <w:gridSpan w:val="5"/>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2"/>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2.供应商（或设备生产厂家）须按照《放射性同位素与射线装置安全和防护条例》、《放射性同位素与射线装置安全许可管理办法》的规定，完成设备的安装及调试。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▲产品资料及说明文件</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提供投标产品对外公开的产品彩页或说明书（体现技术参数，可以是从生产厂家网页下载的PDF或HTM文件或在国家药品监督管理部门备案的技术参数或检测报告或生产厂家盖章的技术参数证明材料），以供评标时核对。当投标文件提供的仪器性能参数与该仪器生产商提供的性能参数不符合时，以后者为准。</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2.投标人在供货时必须提供所投标产品生产厂家或合法授权的厂家代理商出具的授权书，原件备查。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▲采购预算价及最高限价</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详见《第一章公开招标公告》，投标报价超采购预算（含单项采购预算，如有）及最高限价（含单项最高限价，如有）的投标无效。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▲医疗器械注册证</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其它</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投标人根据自身情况提供方案，内容包括但不限于：</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1.项目实施方案（包括但不限于：实施管理组织架构、实施管理措施、实施流程及进度安排、设备配送方案、设备配送团队、安装方案、验收方案、质量保障措施等）</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2.拟投入技术人员方案（包含但不限于技术人员投入计划，有技术人员在质保期内提供技术支持和协助计划，拟派技术人员的经验介绍，有利于采购项目实施的内容或合理性建议）；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3.培训方案（包括但不限于：培训计划、培训方式、培训次数、人数、课程内容及师资等）；</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4.售后服务方案（包括但不限于：服务承诺、售后服务团队配置、服务保障体系，响应时间，服务流程，应急预案，技术服务表单等）。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包装和运输要求</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kern w:val="0"/>
                <w:szCs w:val="21"/>
                <w:highlight w:val="none"/>
              </w:rPr>
            </w:pPr>
            <w:r>
              <w:rPr>
                <w:rFonts w:hint="eastAsia" w:ascii="宋体" w:hAnsi="宋体" w:eastAsia="宋体"/>
                <w:color w:val="auto"/>
                <w:szCs w:val="21"/>
                <w:highlight w:val="none"/>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保险</w:t>
            </w:r>
          </w:p>
        </w:tc>
        <w:tc>
          <w:tcPr>
            <w:tcW w:w="8245" w:type="dxa"/>
            <w:gridSpan w:val="5"/>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kern w:val="0"/>
                <w:szCs w:val="21"/>
                <w:highlight w:val="none"/>
              </w:rPr>
            </w:pPr>
            <w:r>
              <w:rPr>
                <w:rFonts w:hint="eastAsia" w:ascii="宋体" w:hAnsi="宋体" w:eastAsia="宋体"/>
                <w:color w:val="auto"/>
                <w:szCs w:val="21"/>
                <w:highlight w:val="none"/>
              </w:rPr>
              <w:t>供应商负责办理运输和保险，将货物运抵交货地点。与运输、保险相关的费用由供应商承担。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947" w:type="dxa"/>
            <w:gridSpan w:val="7"/>
            <w:tcBorders>
              <w:top w:val="single" w:color="auto" w:sz="4" w:space="0"/>
              <w:bottom w:val="single" w:color="auto" w:sz="4" w:space="0"/>
            </w:tcBorders>
            <w:vAlign w:val="center"/>
          </w:tcPr>
          <w:p>
            <w:pPr>
              <w:spacing w:line="360" w:lineRule="auto"/>
              <w:rPr>
                <w:rFonts w:ascii="宋体" w:hAnsi="宋体" w:cs="宋体"/>
                <w:b/>
                <w:color w:val="auto"/>
                <w:szCs w:val="21"/>
                <w:highlight w:val="none"/>
              </w:rPr>
            </w:pPr>
            <w:r>
              <w:rPr>
                <w:rFonts w:hint="eastAsia" w:ascii="宋体" w:hAnsi="宋体" w:cs="宋体"/>
                <w:b/>
                <w:color w:val="auto"/>
                <w:szCs w:val="21"/>
                <w:highlight w:val="none"/>
              </w:rPr>
              <w:t>（六）本分标所涉区内县域医共体使用单位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highlight w:val="none"/>
              </w:rPr>
              <w:t>序号</w:t>
            </w:r>
          </w:p>
        </w:tc>
        <w:tc>
          <w:tcPr>
            <w:tcW w:w="1741" w:type="dxa"/>
            <w:gridSpan w:val="2"/>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highlight w:val="none"/>
              </w:rPr>
              <w:t>地市</w:t>
            </w:r>
          </w:p>
        </w:tc>
        <w:tc>
          <w:tcPr>
            <w:tcW w:w="1276"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highlight w:val="none"/>
              </w:rPr>
              <w:t>县（市区）</w:t>
            </w:r>
          </w:p>
        </w:tc>
        <w:tc>
          <w:tcPr>
            <w:tcW w:w="2614"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highlight w:val="none"/>
              </w:rPr>
              <w:t>医共体名称（及牵头单位）</w:t>
            </w:r>
          </w:p>
        </w:tc>
        <w:tc>
          <w:tcPr>
            <w:tcW w:w="2614"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highlight w:val="none"/>
              </w:rPr>
              <w:t>使用单位名称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2"/>
            <w:tcBorders>
              <w:top w:val="single" w:color="auto" w:sz="4" w:space="0"/>
              <w:bottom w:val="single" w:color="auto" w:sz="4" w:space="0"/>
              <w:right w:val="single" w:color="auto" w:sz="4" w:space="0"/>
            </w:tcBorders>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1</w:t>
            </w:r>
          </w:p>
        </w:tc>
        <w:tc>
          <w:tcPr>
            <w:tcW w:w="1741" w:type="dxa"/>
            <w:gridSpan w:val="2"/>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玉林市</w:t>
            </w:r>
          </w:p>
        </w:tc>
        <w:tc>
          <w:tcPr>
            <w:tcW w:w="1276"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容县</w:t>
            </w:r>
          </w:p>
        </w:tc>
        <w:tc>
          <w:tcPr>
            <w:tcW w:w="2614"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容县紧密型县域医共体（容县人民医院）</w:t>
            </w:r>
          </w:p>
        </w:tc>
        <w:tc>
          <w:tcPr>
            <w:tcW w:w="2614" w:type="dxa"/>
            <w:tcBorders>
              <w:top w:val="single" w:color="auto" w:sz="4" w:space="0"/>
              <w:left w:val="single" w:color="auto" w:sz="4" w:space="0"/>
              <w:bottom w:val="single" w:color="auto" w:sz="4" w:space="0"/>
            </w:tcBorders>
            <w:vAlign w:val="center"/>
          </w:tcPr>
          <w:p>
            <w:pPr>
              <w:spacing w:line="360" w:lineRule="auto"/>
              <w:jc w:val="center"/>
              <w:rPr>
                <w:rFonts w:ascii="宋体" w:hAnsi="宋体" w:cs="宋体"/>
                <w:color w:val="auto"/>
                <w:highlight w:val="none"/>
              </w:rPr>
            </w:pPr>
            <w:r>
              <w:rPr>
                <w:rFonts w:hint="eastAsia" w:ascii="宋体" w:hAnsi="宋体" w:cs="宋体"/>
                <w:color w:val="auto"/>
                <w:highlight w:val="none"/>
              </w:rPr>
              <w:t>容县人民医院</w:t>
            </w:r>
          </w:p>
        </w:tc>
      </w:tr>
    </w:tbl>
    <w:p>
      <w:pPr>
        <w:spacing w:line="360" w:lineRule="auto"/>
        <w:ind w:firstLine="420" w:firstLineChars="200"/>
        <w:jc w:val="left"/>
        <w:rPr>
          <w:rFonts w:ascii="宋体" w:hAnsi="宋体" w:cs="宋体"/>
          <w:bCs/>
          <w:color w:val="auto"/>
          <w:szCs w:val="21"/>
          <w:highlight w:val="none"/>
          <w:u w:val="single"/>
        </w:rPr>
      </w:pPr>
    </w:p>
    <w:p>
      <w:pPr>
        <w:pStyle w:val="2"/>
        <w:spacing w:line="360" w:lineRule="auto"/>
        <w:ind w:firstLine="482" w:firstLineChars="200"/>
        <w:rPr>
          <w:rFonts w:ascii="宋体" w:hAnsi="宋体" w:cs="宋体"/>
          <w:b/>
          <w:color w:val="auto"/>
          <w:highlight w:val="none"/>
        </w:rPr>
      </w:pPr>
    </w:p>
    <w:p>
      <w:pPr>
        <w:spacing w:line="360" w:lineRule="auto"/>
        <w:ind w:firstLine="426" w:firstLineChars="202"/>
        <w:jc w:val="left"/>
        <w:rPr>
          <w:rFonts w:ascii="宋体" w:hAnsi="宋体" w:cs="宋体"/>
          <w:b/>
          <w:color w:val="auto"/>
          <w:szCs w:val="21"/>
          <w:highlight w:val="none"/>
        </w:rPr>
      </w:pPr>
      <w:r>
        <w:rPr>
          <w:rFonts w:hint="eastAsia" w:ascii="宋体" w:hAnsi="宋体" w:cs="宋体"/>
          <w:b/>
          <w:color w:val="auto"/>
          <w:highlight w:val="none"/>
        </w:rPr>
        <w:br w:type="page"/>
      </w:r>
    </w:p>
    <w:p>
      <w:pPr>
        <w:widowControl/>
        <w:spacing w:line="360" w:lineRule="auto"/>
        <w:jc w:val="left"/>
        <w:rPr>
          <w:rFonts w:ascii="宋体" w:hAnsi="宋体" w:cs="宋体"/>
          <w:color w:val="auto"/>
          <w:sz w:val="32"/>
          <w:szCs w:val="32"/>
          <w:highlight w:val="none"/>
        </w:rPr>
      </w:pPr>
      <w:r>
        <w:rPr>
          <w:rFonts w:hint="eastAsia" w:ascii="宋体" w:hAnsi="宋体" w:cs="宋体"/>
          <w:color w:val="auto"/>
          <w:sz w:val="32"/>
          <w:szCs w:val="32"/>
          <w:highlight w:val="none"/>
        </w:rPr>
        <w:t>附件：</w:t>
      </w:r>
    </w:p>
    <w:p>
      <w:pPr>
        <w:spacing w:before="7" w:line="360" w:lineRule="auto"/>
        <w:rPr>
          <w:rFonts w:ascii="宋体" w:hAnsi="宋体" w:cs="宋体"/>
          <w:color w:val="auto"/>
          <w:sz w:val="17"/>
          <w:szCs w:val="17"/>
          <w:highlight w:val="none"/>
        </w:rPr>
      </w:pPr>
    </w:p>
    <w:p>
      <w:pPr>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节能产品政府采购品目清单</w:t>
      </w:r>
    </w:p>
    <w:tbl>
      <w:tblPr>
        <w:tblStyle w:val="25"/>
        <w:tblW w:w="91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464"/>
        <w:gridCol w:w="1845"/>
        <w:gridCol w:w="2055"/>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6" w:type="dxa"/>
            <w:vAlign w:val="center"/>
          </w:tcPr>
          <w:p>
            <w:pPr>
              <w:pStyle w:val="31"/>
              <w:spacing w:before="124" w:line="360" w:lineRule="auto"/>
              <w:ind w:left="7" w:right="4"/>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品目序号</w:t>
            </w:r>
          </w:p>
        </w:tc>
        <w:tc>
          <w:tcPr>
            <w:tcW w:w="5364" w:type="dxa"/>
            <w:gridSpan w:val="3"/>
            <w:vAlign w:val="center"/>
          </w:tcPr>
          <w:p>
            <w:pPr>
              <w:pStyle w:val="31"/>
              <w:spacing w:before="124" w:line="360" w:lineRule="auto"/>
              <w:ind w:left="7" w:right="4"/>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名称</w:t>
            </w:r>
          </w:p>
        </w:tc>
        <w:tc>
          <w:tcPr>
            <w:tcW w:w="3106" w:type="dxa"/>
            <w:vAlign w:val="center"/>
          </w:tcPr>
          <w:p>
            <w:pPr>
              <w:pStyle w:val="31"/>
              <w:spacing w:before="124" w:line="360" w:lineRule="auto"/>
              <w:ind w:left="7" w:right="4"/>
              <w:jc w:val="center"/>
              <w:rPr>
                <w:rFonts w:ascii="宋体" w:hAnsi="宋体" w:cs="宋体"/>
                <w:b/>
                <w:bCs/>
                <w:color w:val="auto"/>
                <w:sz w:val="24"/>
                <w:szCs w:val="24"/>
                <w:highlight w:val="none"/>
              </w:rPr>
            </w:pPr>
            <w:r>
              <w:rPr>
                <w:rFonts w:hint="eastAsia" w:ascii="宋体" w:hAnsi="宋体" w:cs="宋体"/>
                <w:b/>
                <w:bCs/>
                <w:color w:val="auto"/>
                <w:sz w:val="24"/>
                <w:szCs w:val="24"/>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A020101计算机设备</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★A02010104台式计算机</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before="44" w:line="360" w:lineRule="auto"/>
              <w:ind w:left="7"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★A02010105便携式计算机</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4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before="64" w:line="360" w:lineRule="auto"/>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★A02010107平板式微型计算机</w:t>
            </w:r>
          </w:p>
        </w:tc>
        <w:tc>
          <w:tcPr>
            <w:tcW w:w="2055" w:type="dxa"/>
            <w:vAlign w:val="center"/>
          </w:tcPr>
          <w:p>
            <w:pPr>
              <w:spacing w:line="360" w:lineRule="auto"/>
              <w:jc w:val="center"/>
              <w:rPr>
                <w:rFonts w:ascii="宋体" w:hAnsi="宋体" w:cs="宋体"/>
                <w:color w:val="auto"/>
                <w:kern w:val="0"/>
                <w:szCs w:val="21"/>
                <w:highlight w:val="none"/>
              </w:rPr>
            </w:pPr>
          </w:p>
        </w:tc>
        <w:tc>
          <w:tcPr>
            <w:tcW w:w="3106" w:type="dxa"/>
            <w:vAlign w:val="center"/>
          </w:tcPr>
          <w:p>
            <w:pPr>
              <w:pStyle w:val="31"/>
              <w:spacing w:before="6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A020106输入输出设备</w:t>
            </w:r>
          </w:p>
        </w:tc>
        <w:tc>
          <w:tcPr>
            <w:tcW w:w="1845"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A02010601打印设备</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A0201060101喷墨打印机</w:t>
            </w: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before="52"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★A0201060102激光打印机</w:t>
            </w:r>
          </w:p>
        </w:tc>
        <w:tc>
          <w:tcPr>
            <w:tcW w:w="3106" w:type="dxa"/>
            <w:vAlign w:val="center"/>
          </w:tcPr>
          <w:p>
            <w:pPr>
              <w:pStyle w:val="31"/>
              <w:spacing w:before="52"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before="52"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★A0201060104针式打印机</w:t>
            </w:r>
          </w:p>
        </w:tc>
        <w:tc>
          <w:tcPr>
            <w:tcW w:w="3106" w:type="dxa"/>
            <w:vAlign w:val="center"/>
          </w:tcPr>
          <w:p>
            <w:pPr>
              <w:pStyle w:val="31"/>
              <w:spacing w:before="52"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A02010604显示设备</w:t>
            </w:r>
          </w:p>
        </w:tc>
        <w:tc>
          <w:tcPr>
            <w:tcW w:w="2055" w:type="dxa"/>
            <w:vAlign w:val="center"/>
          </w:tcPr>
          <w:p>
            <w:pPr>
              <w:pStyle w:val="31"/>
              <w:spacing w:before="68"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★A0201060401液晶显示器</w:t>
            </w:r>
          </w:p>
        </w:tc>
        <w:tc>
          <w:tcPr>
            <w:tcW w:w="3106" w:type="dxa"/>
            <w:vAlign w:val="center"/>
          </w:tcPr>
          <w:p>
            <w:pPr>
              <w:pStyle w:val="31"/>
              <w:spacing w:before="68"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A02010609图形图像输入设备</w:t>
            </w: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A0201060901扫描仪</w:t>
            </w:r>
          </w:p>
        </w:tc>
        <w:tc>
          <w:tcPr>
            <w:tcW w:w="3106" w:type="dxa"/>
            <w:vAlign w:val="center"/>
          </w:tcPr>
          <w:p>
            <w:pPr>
              <w:pStyle w:val="31"/>
              <w:spacing w:before="49"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参照《复印机、打印机和传真机能效限定值及能效等级》（GB21521</w:t>
            </w:r>
          </w:p>
          <w:p>
            <w:pPr>
              <w:pStyle w:val="31"/>
              <w:spacing w:before="12" w:line="360" w:lineRule="auto"/>
              <w:ind w:left="7" w:right="5"/>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A020202投影仪</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《投影机能效限定值及能效等级</w:t>
            </w:r>
          </w:p>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4</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A020204多功能一体机</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5</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A020519泵</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A02051901离心泵</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6</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A020523制冷空调设备</w:t>
            </w:r>
          </w:p>
        </w:tc>
        <w:tc>
          <w:tcPr>
            <w:tcW w:w="1845"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★A02052301制冷压缩机</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冷水机组</w:t>
            </w: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水源热泵机组</w:t>
            </w:r>
          </w:p>
        </w:tc>
        <w:tc>
          <w:tcPr>
            <w:tcW w:w="3106" w:type="dxa"/>
            <w:vAlign w:val="center"/>
          </w:tcPr>
          <w:p>
            <w:pPr>
              <w:pStyle w:val="31"/>
              <w:spacing w:before="52"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7" w:hRule="atLeast"/>
          <w:jc w:val="center"/>
        </w:trPr>
        <w:tc>
          <w:tcPr>
            <w:tcW w:w="716" w:type="dxa"/>
            <w:vMerge w:val="continue"/>
            <w:vAlign w:val="center"/>
          </w:tcPr>
          <w:p>
            <w:pPr>
              <w:spacing w:line="360" w:lineRule="auto"/>
              <w:jc w:val="center"/>
              <w:rPr>
                <w:rFonts w:ascii="宋体" w:hAnsi="宋体" w:cs="宋体"/>
                <w:color w:val="auto"/>
                <w:kern w:val="0"/>
                <w:szCs w:val="21"/>
                <w:highlight w:val="none"/>
              </w:rPr>
            </w:pPr>
          </w:p>
        </w:tc>
        <w:tc>
          <w:tcPr>
            <w:tcW w:w="1464" w:type="dxa"/>
            <w:vMerge w:val="continue"/>
            <w:vAlign w:val="center"/>
          </w:tcPr>
          <w:p>
            <w:pPr>
              <w:spacing w:line="360" w:lineRule="auto"/>
              <w:jc w:val="center"/>
              <w:rPr>
                <w:rFonts w:ascii="宋体" w:hAnsi="宋体" w:cs="宋体"/>
                <w:color w:val="auto"/>
                <w:kern w:val="0"/>
                <w:szCs w:val="21"/>
                <w:highlight w:val="none"/>
              </w:rPr>
            </w:pPr>
          </w:p>
        </w:tc>
        <w:tc>
          <w:tcPr>
            <w:tcW w:w="1845" w:type="dxa"/>
            <w:vMerge w:val="continue"/>
            <w:vAlign w:val="center"/>
          </w:tcPr>
          <w:p>
            <w:pPr>
              <w:spacing w:line="360" w:lineRule="auto"/>
              <w:jc w:val="center"/>
              <w:rPr>
                <w:rFonts w:ascii="宋体" w:hAnsi="宋体" w:cs="宋体"/>
                <w:color w:val="auto"/>
                <w:kern w:val="0"/>
                <w:szCs w:val="21"/>
                <w:highlight w:val="none"/>
              </w:rPr>
            </w:pPr>
          </w:p>
        </w:tc>
        <w:tc>
          <w:tcPr>
            <w:tcW w:w="2055" w:type="dxa"/>
            <w:vAlign w:val="center"/>
          </w:tcPr>
          <w:p>
            <w:pPr>
              <w:pStyle w:val="31"/>
              <w:spacing w:before="93"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溴化锂吸收式冷水机组</w:t>
            </w:r>
          </w:p>
        </w:tc>
        <w:tc>
          <w:tcPr>
            <w:tcW w:w="3106" w:type="dxa"/>
            <w:vAlign w:val="center"/>
          </w:tcPr>
          <w:p>
            <w:pPr>
              <w:pStyle w:val="31"/>
              <w:spacing w:before="93"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restart"/>
            <w:vAlign w:val="center"/>
          </w:tcPr>
          <w:p>
            <w:pPr>
              <w:pStyle w:val="31"/>
              <w:spacing w:line="360" w:lineRule="auto"/>
              <w:ind w:right="5"/>
              <w:jc w:val="center"/>
              <w:rPr>
                <w:rFonts w:ascii="宋体" w:hAnsi="宋体" w:cs="宋体"/>
                <w:color w:val="auto"/>
                <w:sz w:val="21"/>
                <w:szCs w:val="21"/>
                <w:highlight w:val="none"/>
              </w:rPr>
            </w:pPr>
            <w:r>
              <w:rPr>
                <w:rFonts w:hint="eastAsia" w:ascii="宋体" w:hAnsi="宋体" w:cs="宋体"/>
                <w:color w:val="auto"/>
                <w:sz w:val="21"/>
                <w:szCs w:val="21"/>
                <w:highlight w:val="none"/>
              </w:rPr>
              <w:t>★A02052305空调机组</w:t>
            </w:r>
          </w:p>
        </w:tc>
        <w:tc>
          <w:tcPr>
            <w:tcW w:w="2055" w:type="dxa"/>
            <w:vAlign w:val="center"/>
          </w:tcPr>
          <w:p>
            <w:pPr>
              <w:pStyle w:val="31"/>
              <w:spacing w:before="4"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多联式空调（热泵）机组(制冷量&gt;14000W)</w:t>
            </w:r>
          </w:p>
        </w:tc>
        <w:tc>
          <w:tcPr>
            <w:tcW w:w="3106" w:type="dxa"/>
            <w:vAlign w:val="center"/>
          </w:tcPr>
          <w:p>
            <w:pPr>
              <w:pStyle w:val="31"/>
              <w:spacing w:before="160"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1"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w:t>
            </w:r>
          </w:p>
          <w:p>
            <w:pPr>
              <w:pStyle w:val="31"/>
              <w:spacing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(制冷量&gt;14000W)</w:t>
            </w:r>
          </w:p>
        </w:tc>
        <w:tc>
          <w:tcPr>
            <w:tcW w:w="3106" w:type="dxa"/>
            <w:vAlign w:val="center"/>
          </w:tcPr>
          <w:p>
            <w:pPr>
              <w:pStyle w:val="31"/>
              <w:spacing w:before="9"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before="83"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★A02052309专用制冷、空调设备</w:t>
            </w: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机房空调</w:t>
            </w:r>
          </w:p>
        </w:tc>
        <w:tc>
          <w:tcPr>
            <w:tcW w:w="3106" w:type="dxa"/>
            <w:vAlign w:val="center"/>
          </w:tcPr>
          <w:p>
            <w:pPr>
              <w:pStyle w:val="31"/>
              <w:spacing w:before="83"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0"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A02052399其他制冷空调设备</w:t>
            </w:r>
          </w:p>
        </w:tc>
        <w:tc>
          <w:tcPr>
            <w:tcW w:w="2055" w:type="dxa"/>
            <w:vAlign w:val="center"/>
          </w:tcPr>
          <w:p>
            <w:pPr>
              <w:pStyle w:val="31"/>
              <w:spacing w:before="164"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冷却塔</w:t>
            </w:r>
          </w:p>
        </w:tc>
        <w:tc>
          <w:tcPr>
            <w:tcW w:w="3106" w:type="dxa"/>
            <w:vAlign w:val="center"/>
          </w:tcPr>
          <w:p>
            <w:pPr>
              <w:pStyle w:val="31"/>
              <w:spacing w:line="360" w:lineRule="auto"/>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《机械通风冷却塔第1部分：中小型开式冷却塔》（GB/T7190.1）</w:t>
            </w:r>
          </w:p>
          <w:p>
            <w:pPr>
              <w:pStyle w:val="31"/>
              <w:spacing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7</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A020601电机</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8" w:hRule="atLeast"/>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8</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A020602变压器</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配电变压器</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0" w:hRule="atLeast"/>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9</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★A020609镇流器</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管型荧光灯镇流器</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2" w:hRule="atLeast"/>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10</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A020618生活用电器</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A0206180101电冰箱</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《家用电冰箱耗电量限定值及能效等级》（GB12021.2）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96"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restart"/>
            <w:vAlign w:val="center"/>
          </w:tcPr>
          <w:p>
            <w:pPr>
              <w:pStyle w:val="31"/>
              <w:spacing w:before="171"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★A0206180203空调</w:t>
            </w:r>
          </w:p>
          <w:p>
            <w:pPr>
              <w:pStyle w:val="31"/>
              <w:spacing w:before="50"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机</w:t>
            </w: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房间空气调节器</w:t>
            </w:r>
          </w:p>
        </w:tc>
        <w:tc>
          <w:tcPr>
            <w:tcW w:w="3106" w:type="dxa"/>
            <w:vAlign w:val="center"/>
          </w:tcPr>
          <w:p>
            <w:pPr>
              <w:pStyle w:val="31"/>
              <w:spacing w:before="4"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before="4"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多联式空调（热泵）机组（制冷量≤14000W）</w:t>
            </w:r>
          </w:p>
        </w:tc>
        <w:tc>
          <w:tcPr>
            <w:tcW w:w="3106" w:type="dxa"/>
            <w:vAlign w:val="center"/>
          </w:tcPr>
          <w:p>
            <w:pPr>
              <w:pStyle w:val="31"/>
              <w:spacing w:before="160"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单元式空气调节机</w:t>
            </w:r>
          </w:p>
        </w:tc>
        <w:tc>
          <w:tcPr>
            <w:tcW w:w="3106" w:type="dxa"/>
            <w:vAlign w:val="center"/>
          </w:tcPr>
          <w:p>
            <w:pPr>
              <w:pStyle w:val="31"/>
              <w:spacing w:before="4"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《单元式空气调节机能效限定值及能源效率等级》（GB19576）《风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2" w:hRule="atLeast"/>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(制冷量≤14000W)</w:t>
            </w:r>
          </w:p>
        </w:tc>
        <w:tc>
          <w:tcPr>
            <w:tcW w:w="3106" w:type="dxa"/>
            <w:vAlign w:val="center"/>
          </w:tcPr>
          <w:p>
            <w:pPr>
              <w:pStyle w:val="31"/>
              <w:spacing w:line="360" w:lineRule="auto"/>
              <w:ind w:lef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before="162"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A0206180301洗衣机</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6"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spacing w:line="360" w:lineRule="auto"/>
              <w:jc w:val="center"/>
              <w:rPr>
                <w:rFonts w:ascii="宋体" w:hAnsi="宋体" w:cs="宋体"/>
                <w:color w:val="auto"/>
                <w:kern w:val="0"/>
                <w:szCs w:val="21"/>
                <w:highlight w:val="none"/>
              </w:rPr>
            </w:pPr>
          </w:p>
        </w:tc>
        <w:tc>
          <w:tcPr>
            <w:tcW w:w="1464" w:type="dxa"/>
            <w:vMerge w:val="continue"/>
            <w:vAlign w:val="center"/>
          </w:tcPr>
          <w:p>
            <w:pPr>
              <w:spacing w:line="360" w:lineRule="auto"/>
              <w:jc w:val="center"/>
              <w:rPr>
                <w:rFonts w:ascii="宋体" w:hAnsi="宋体" w:cs="宋体"/>
                <w:color w:val="auto"/>
                <w:kern w:val="0"/>
                <w:szCs w:val="21"/>
                <w:highlight w:val="none"/>
              </w:rPr>
            </w:pPr>
          </w:p>
        </w:tc>
        <w:tc>
          <w:tcPr>
            <w:tcW w:w="1845" w:type="dxa"/>
            <w:vMerge w:val="restart"/>
            <w:vAlign w:val="center"/>
          </w:tcPr>
          <w:p>
            <w:pPr>
              <w:pStyle w:val="31"/>
              <w:spacing w:before="161"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A02061808热水器</w:t>
            </w: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★电热水器</w:t>
            </w:r>
          </w:p>
        </w:tc>
        <w:tc>
          <w:tcPr>
            <w:tcW w:w="3106" w:type="dxa"/>
            <w:vAlign w:val="center"/>
          </w:tcPr>
          <w:p>
            <w:pPr>
              <w:pStyle w:val="31"/>
              <w:tabs>
                <w:tab w:val="left" w:pos="1608"/>
              </w:tabs>
              <w:spacing w:before="52"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燃气热水器</w:t>
            </w:r>
          </w:p>
        </w:tc>
        <w:tc>
          <w:tcPr>
            <w:tcW w:w="3106" w:type="dxa"/>
            <w:vAlign w:val="center"/>
          </w:tcPr>
          <w:p>
            <w:pPr>
              <w:pStyle w:val="31"/>
              <w:spacing w:before="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《家用燃气快速热水器和燃气采暖热水炉能效限定值及能效等级》</w:t>
            </w:r>
          </w:p>
          <w:p>
            <w:pPr>
              <w:pStyle w:val="31"/>
              <w:spacing w:before="12" w:line="360" w:lineRule="auto"/>
              <w:ind w:left="7"/>
              <w:jc w:val="center"/>
              <w:rPr>
                <w:rFonts w:ascii="宋体" w:hAnsi="宋体" w:cs="宋体"/>
                <w:color w:val="auto"/>
                <w:sz w:val="21"/>
                <w:szCs w:val="21"/>
                <w:highlight w:val="none"/>
              </w:rPr>
            </w:pPr>
            <w:r>
              <w:rPr>
                <w:rFonts w:hint="eastAsia" w:ascii="宋体" w:hAnsi="宋体" w:cs="宋体"/>
                <w:color w:val="auto"/>
                <w:sz w:val="21"/>
                <w:szCs w:val="21"/>
                <w:highlight w:val="none"/>
              </w:rPr>
              <w:t>（GB20665）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lang w:eastAsia="en-US"/>
              </w:rPr>
            </w:pPr>
          </w:p>
        </w:tc>
        <w:tc>
          <w:tcPr>
            <w:tcW w:w="1464" w:type="dxa"/>
            <w:vMerge w:val="continue"/>
            <w:vAlign w:val="center"/>
          </w:tcPr>
          <w:p>
            <w:pPr>
              <w:widowControl/>
              <w:spacing w:line="360" w:lineRule="auto"/>
              <w:jc w:val="center"/>
              <w:rPr>
                <w:rFonts w:ascii="宋体" w:hAnsi="宋体" w:cs="宋体"/>
                <w:color w:val="auto"/>
                <w:kern w:val="0"/>
                <w:szCs w:val="21"/>
                <w:highlight w:val="none"/>
                <w:lang w:eastAsia="en-US"/>
              </w:rPr>
            </w:pPr>
          </w:p>
        </w:tc>
        <w:tc>
          <w:tcPr>
            <w:tcW w:w="1845" w:type="dxa"/>
            <w:vMerge w:val="continue"/>
            <w:vAlign w:val="center"/>
          </w:tcPr>
          <w:p>
            <w:pPr>
              <w:widowControl/>
              <w:spacing w:line="360" w:lineRule="auto"/>
              <w:jc w:val="center"/>
              <w:rPr>
                <w:rFonts w:ascii="宋体" w:hAnsi="宋体" w:cs="宋体"/>
                <w:color w:val="auto"/>
                <w:kern w:val="0"/>
                <w:szCs w:val="21"/>
                <w:highlight w:val="none"/>
                <w:lang w:eastAsia="en-US"/>
              </w:rPr>
            </w:pP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热泵热水器</w:t>
            </w:r>
          </w:p>
        </w:tc>
        <w:tc>
          <w:tcPr>
            <w:tcW w:w="3106" w:type="dxa"/>
            <w:vAlign w:val="center"/>
          </w:tcPr>
          <w:p>
            <w:pPr>
              <w:pStyle w:val="31"/>
              <w:spacing w:before="93"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Merge w:val="continue"/>
            <w:vAlign w:val="center"/>
          </w:tcPr>
          <w:p>
            <w:pPr>
              <w:widowControl/>
              <w:spacing w:line="360" w:lineRule="auto"/>
              <w:jc w:val="center"/>
              <w:rPr>
                <w:rFonts w:ascii="宋体" w:hAnsi="宋体" w:cs="宋体"/>
                <w:color w:val="auto"/>
                <w:kern w:val="0"/>
                <w:szCs w:val="21"/>
                <w:highlight w:val="none"/>
              </w:rPr>
            </w:pPr>
          </w:p>
        </w:tc>
        <w:tc>
          <w:tcPr>
            <w:tcW w:w="205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太阳能热水系统</w:t>
            </w:r>
          </w:p>
        </w:tc>
        <w:tc>
          <w:tcPr>
            <w:tcW w:w="3106" w:type="dxa"/>
            <w:vAlign w:val="center"/>
          </w:tcPr>
          <w:p>
            <w:pPr>
              <w:pStyle w:val="31"/>
              <w:spacing w:before="52"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11</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A020619照明设备</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lang w:eastAsia="zh-CN"/>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before="92" w:line="360" w:lineRule="auto"/>
              <w:ind w:left="7" w:right="2"/>
              <w:jc w:val="center"/>
              <w:rPr>
                <w:rFonts w:ascii="宋体" w:hAnsi="宋体" w:cs="宋体"/>
                <w:color w:val="auto"/>
                <w:sz w:val="21"/>
                <w:szCs w:val="21"/>
                <w:highlight w:val="none"/>
              </w:rPr>
            </w:pPr>
            <w:r>
              <w:rPr>
                <w:rFonts w:hint="eastAsia" w:ascii="宋体" w:hAnsi="宋体" w:cs="宋体"/>
                <w:color w:val="auto"/>
                <w:sz w:val="21"/>
                <w:szCs w:val="21"/>
                <w:highlight w:val="none"/>
              </w:rPr>
              <w:t>LED道路/隧道照明产品</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92"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LED筒灯</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83" w:line="360" w:lineRule="auto"/>
              <w:ind w:left="7"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普通照明用非定向自镇流LED灯</w:t>
            </w:r>
          </w:p>
        </w:tc>
        <w:tc>
          <w:tcPr>
            <w:tcW w:w="2055" w:type="dxa"/>
            <w:vAlign w:val="center"/>
          </w:tcPr>
          <w:p>
            <w:pPr>
              <w:spacing w:line="360" w:lineRule="auto"/>
              <w:jc w:val="center"/>
              <w:rPr>
                <w:rFonts w:ascii="宋体" w:hAnsi="宋体" w:cs="宋体"/>
                <w:color w:val="auto"/>
                <w:kern w:val="0"/>
                <w:szCs w:val="21"/>
                <w:highlight w:val="none"/>
              </w:rPr>
            </w:pPr>
          </w:p>
        </w:tc>
        <w:tc>
          <w:tcPr>
            <w:tcW w:w="3106" w:type="dxa"/>
            <w:vAlign w:val="center"/>
          </w:tcPr>
          <w:p>
            <w:pPr>
              <w:pStyle w:val="31"/>
              <w:spacing w:line="360" w:lineRule="auto"/>
              <w:ind w:right="7"/>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12</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★A020910电视设备</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A02091001普通电视设备（电视机）</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lang w:eastAsia="zh-CN"/>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13</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★A020911视频设备</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A02091107视频监控设备</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监视器</w:t>
            </w: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14</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A031210饮食炊事机械</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商用燃气灶具</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15</w:t>
            </w:r>
          </w:p>
        </w:tc>
        <w:tc>
          <w:tcPr>
            <w:tcW w:w="1464" w:type="dxa"/>
            <w:vMerge w:val="restart"/>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★A060805便器</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坐便器</w:t>
            </w: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《坐便器水效限定值及水效等级》</w:t>
            </w:r>
          </w:p>
          <w:p>
            <w:pPr>
              <w:pStyle w:val="31"/>
              <w:spacing w:before="124" w:line="360" w:lineRule="auto"/>
              <w:ind w:left="7" w:right="4"/>
              <w:jc w:val="center"/>
              <w:rPr>
                <w:rFonts w:ascii="宋体" w:hAnsi="宋体" w:cs="宋体"/>
                <w:color w:val="auto"/>
                <w:sz w:val="21"/>
                <w:szCs w:val="21"/>
                <w:highlight w:val="none"/>
              </w:rPr>
            </w:pPr>
            <w:r>
              <w:rPr>
                <w:rFonts w:hint="eastAsia" w:ascii="宋体" w:hAnsi="宋体" w:cs="宋体"/>
                <w:color w:val="auto"/>
                <w:sz w:val="21"/>
                <w:szCs w:val="21"/>
                <w:highlight w:val="none"/>
              </w:rPr>
              <w:t>（GB25502）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lang w:eastAsia="en-US"/>
              </w:rPr>
            </w:pPr>
          </w:p>
        </w:tc>
        <w:tc>
          <w:tcPr>
            <w:tcW w:w="1464" w:type="dxa"/>
            <w:vMerge w:val="continue"/>
            <w:vAlign w:val="center"/>
          </w:tcPr>
          <w:p>
            <w:pPr>
              <w:widowControl/>
              <w:spacing w:line="360" w:lineRule="auto"/>
              <w:jc w:val="center"/>
              <w:rPr>
                <w:rFonts w:ascii="宋体" w:hAnsi="宋体" w:cs="宋体"/>
                <w:color w:val="auto"/>
                <w:kern w:val="0"/>
                <w:szCs w:val="21"/>
                <w:highlight w:val="none"/>
                <w:lang w:eastAsia="en-US"/>
              </w:rPr>
            </w:pPr>
          </w:p>
        </w:tc>
        <w:tc>
          <w:tcPr>
            <w:tcW w:w="184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蹲便器</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宋体" w:hAnsi="宋体" w:cs="宋体"/>
                <w:color w:val="auto"/>
                <w:kern w:val="0"/>
                <w:szCs w:val="21"/>
                <w:highlight w:val="none"/>
              </w:rPr>
            </w:pPr>
          </w:p>
        </w:tc>
        <w:tc>
          <w:tcPr>
            <w:tcW w:w="1464" w:type="dxa"/>
            <w:vMerge w:val="continue"/>
            <w:vAlign w:val="center"/>
          </w:tcPr>
          <w:p>
            <w:pPr>
              <w:widowControl/>
              <w:spacing w:line="360" w:lineRule="auto"/>
              <w:jc w:val="center"/>
              <w:rPr>
                <w:rFonts w:ascii="宋体" w:hAnsi="宋体" w:cs="宋体"/>
                <w:color w:val="auto"/>
                <w:kern w:val="0"/>
                <w:szCs w:val="21"/>
                <w:highlight w:val="none"/>
              </w:rPr>
            </w:pPr>
          </w:p>
        </w:tc>
        <w:tc>
          <w:tcPr>
            <w:tcW w:w="1845" w:type="dxa"/>
            <w:vAlign w:val="center"/>
          </w:tcPr>
          <w:p>
            <w:pPr>
              <w:pStyle w:val="31"/>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小便器</w:t>
            </w:r>
          </w:p>
        </w:tc>
        <w:tc>
          <w:tcPr>
            <w:tcW w:w="2055" w:type="dxa"/>
            <w:vAlign w:val="center"/>
          </w:tcPr>
          <w:p>
            <w:pPr>
              <w:spacing w:line="360" w:lineRule="auto"/>
              <w:jc w:val="center"/>
              <w:rPr>
                <w:rFonts w:ascii="宋体" w:hAnsi="宋体" w:cs="宋体"/>
                <w:color w:val="auto"/>
                <w:kern w:val="0"/>
                <w:szCs w:val="21"/>
                <w:highlight w:val="none"/>
                <w:lang w:eastAsia="en-US"/>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16</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★A060806水嘴</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17</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A060807便器冲洗阀</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2" w:hRule="exact"/>
          <w:jc w:val="center"/>
        </w:trPr>
        <w:tc>
          <w:tcPr>
            <w:tcW w:w="71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18</w:t>
            </w:r>
          </w:p>
        </w:tc>
        <w:tc>
          <w:tcPr>
            <w:tcW w:w="1464"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A060810淋浴器</w:t>
            </w:r>
          </w:p>
        </w:tc>
        <w:tc>
          <w:tcPr>
            <w:tcW w:w="1845" w:type="dxa"/>
            <w:vAlign w:val="center"/>
          </w:tcPr>
          <w:p>
            <w:pPr>
              <w:pStyle w:val="31"/>
              <w:spacing w:before="124" w:line="360" w:lineRule="auto"/>
              <w:ind w:left="7" w:right="4"/>
              <w:jc w:val="center"/>
              <w:rPr>
                <w:rFonts w:ascii="宋体" w:hAnsi="宋体" w:cs="宋体"/>
                <w:color w:val="auto"/>
                <w:sz w:val="21"/>
                <w:szCs w:val="21"/>
                <w:highlight w:val="none"/>
                <w:lang w:eastAsia="zh-CN"/>
              </w:rPr>
            </w:pPr>
          </w:p>
        </w:tc>
        <w:tc>
          <w:tcPr>
            <w:tcW w:w="2055" w:type="dxa"/>
            <w:vAlign w:val="center"/>
          </w:tcPr>
          <w:p>
            <w:pPr>
              <w:pStyle w:val="31"/>
              <w:spacing w:before="124" w:line="360" w:lineRule="auto"/>
              <w:ind w:left="7" w:right="4"/>
              <w:jc w:val="center"/>
              <w:rPr>
                <w:rFonts w:ascii="宋体" w:hAnsi="宋体" w:cs="宋体"/>
                <w:color w:val="auto"/>
                <w:sz w:val="21"/>
                <w:szCs w:val="21"/>
                <w:highlight w:val="none"/>
              </w:rPr>
            </w:pPr>
          </w:p>
        </w:tc>
        <w:tc>
          <w:tcPr>
            <w:tcW w:w="3106" w:type="dxa"/>
            <w:vAlign w:val="center"/>
          </w:tcPr>
          <w:p>
            <w:pPr>
              <w:pStyle w:val="31"/>
              <w:spacing w:before="124" w:line="360" w:lineRule="auto"/>
              <w:ind w:left="7" w:right="4"/>
              <w:jc w:val="center"/>
              <w:rPr>
                <w:rFonts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《淋浴器用水效率限定值及用水效率等级》（GB28378）</w:t>
            </w:r>
          </w:p>
        </w:tc>
      </w:tr>
    </w:tbl>
    <w:p>
      <w:pPr>
        <w:pStyle w:val="2"/>
        <w:spacing w:line="360" w:lineRule="auto"/>
        <w:rPr>
          <w:rFonts w:ascii="宋体" w:hAnsi="宋体" w:cs="宋体"/>
          <w:color w:val="auto"/>
          <w:sz w:val="21"/>
          <w:szCs w:val="21"/>
          <w:highlight w:val="none"/>
        </w:rPr>
      </w:pPr>
      <w:r>
        <w:rPr>
          <w:rFonts w:hint="eastAsia" w:ascii="宋体" w:hAnsi="宋体" w:cs="宋体"/>
          <w:color w:val="auto"/>
          <w:spacing w:val="-3"/>
          <w:sz w:val="21"/>
          <w:szCs w:val="21"/>
          <w:highlight w:val="none"/>
        </w:rPr>
        <w:t>注：1.节能产品认证应依据相关国家标准的最新版本，依据国家标准中二级能效（水效）</w:t>
      </w:r>
      <w:r>
        <w:rPr>
          <w:rFonts w:hint="eastAsia" w:ascii="宋体" w:hAnsi="宋体" w:cs="宋体"/>
          <w:color w:val="auto"/>
          <w:sz w:val="21"/>
          <w:szCs w:val="21"/>
          <w:highlight w:val="none"/>
        </w:rPr>
        <w:t>指标。</w:t>
      </w:r>
    </w:p>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    2.以“★”标注的为政府强制采购产品。</w:t>
      </w:r>
    </w:p>
    <w:p>
      <w:pPr>
        <w:spacing w:line="360" w:lineRule="auto"/>
        <w:rPr>
          <w:rFonts w:ascii="宋体" w:hAnsi="宋体" w:cs="宋体"/>
          <w:color w:val="auto"/>
          <w:sz w:val="20"/>
          <w:szCs w:val="20"/>
          <w:highlight w:val="none"/>
        </w:rPr>
      </w:pPr>
    </w:p>
    <w:p>
      <w:pPr>
        <w:spacing w:line="360" w:lineRule="auto"/>
        <w:rPr>
          <w:rFonts w:ascii="宋体" w:hAnsi="宋体" w:cs="宋体"/>
          <w:color w:val="auto"/>
          <w:sz w:val="20"/>
          <w:szCs w:val="20"/>
          <w:highlight w:val="none"/>
        </w:rPr>
      </w:pPr>
    </w:p>
    <w:p>
      <w:pPr>
        <w:spacing w:line="360" w:lineRule="auto"/>
        <w:rPr>
          <w:rFonts w:ascii="宋体" w:hAnsi="宋体" w:cs="宋体"/>
          <w:color w:val="auto"/>
          <w:sz w:val="20"/>
          <w:szCs w:val="20"/>
          <w:highlight w:val="none"/>
        </w:rPr>
      </w:pPr>
    </w:p>
    <w:p>
      <w:pPr>
        <w:spacing w:line="360" w:lineRule="auto"/>
        <w:rPr>
          <w:rFonts w:ascii="宋体" w:hAnsi="宋体" w:cs="宋体"/>
          <w:color w:val="auto"/>
          <w:sz w:val="20"/>
          <w:szCs w:val="20"/>
          <w:highlight w:val="none"/>
        </w:rPr>
      </w:pPr>
    </w:p>
    <w:p>
      <w:pPr>
        <w:spacing w:line="360" w:lineRule="auto"/>
        <w:rPr>
          <w:rFonts w:ascii="宋体" w:hAnsi="宋体" w:cs="宋体"/>
          <w:color w:val="auto"/>
          <w:sz w:val="20"/>
          <w:szCs w:val="20"/>
          <w:highlight w:val="none"/>
        </w:rPr>
      </w:pPr>
    </w:p>
    <w:p>
      <w:pPr>
        <w:rPr>
          <w:rFonts w:ascii="宋体" w:hAnsi="宋体" w:cs="宋体"/>
          <w:color w:val="auto"/>
          <w:highlight w:val="none"/>
        </w:rPr>
      </w:pPr>
      <w:r>
        <w:rPr>
          <w:rFonts w:hint="eastAsia" w:ascii="宋体" w:hAnsi="宋体" w:cs="宋体"/>
          <w:color w:val="auto"/>
          <w:highlight w:val="none"/>
        </w:rPr>
        <w:br w:type="page"/>
      </w:r>
    </w:p>
    <w:p>
      <w:pPr>
        <w:pStyle w:val="3"/>
        <w:spacing w:before="0" w:after="0" w:line="360" w:lineRule="auto"/>
        <w:jc w:val="center"/>
        <w:rPr>
          <w:rFonts w:ascii="宋体" w:hAnsi="宋体" w:cs="宋体"/>
          <w:color w:val="auto"/>
          <w:highlight w:val="none"/>
        </w:rPr>
      </w:pPr>
      <w:bookmarkStart w:id="39" w:name="_Toc19234"/>
      <w:r>
        <w:rPr>
          <w:rFonts w:hint="eastAsia" w:ascii="宋体" w:hAnsi="宋体" w:cs="宋体"/>
          <w:color w:val="auto"/>
          <w:highlight w:val="none"/>
        </w:rPr>
        <w:t>第三章  投标人须知</w:t>
      </w:r>
      <w:bookmarkEnd w:id="39"/>
    </w:p>
    <w:p>
      <w:pPr>
        <w:spacing w:line="360" w:lineRule="auto"/>
        <w:jc w:val="center"/>
        <w:rPr>
          <w:rFonts w:ascii="宋体" w:hAnsi="宋体" w:cs="宋体"/>
          <w:color w:val="auto"/>
          <w:sz w:val="36"/>
          <w:szCs w:val="36"/>
          <w:highlight w:val="none"/>
        </w:rPr>
      </w:pPr>
      <w:bookmarkStart w:id="40" w:name="_Toc254970667"/>
      <w:bookmarkEnd w:id="40"/>
      <w:bookmarkStart w:id="41" w:name="_Toc254970526"/>
      <w:bookmarkEnd w:id="41"/>
      <w:r>
        <w:rPr>
          <w:rFonts w:hint="eastAsia" w:ascii="宋体" w:hAnsi="宋体" w:cs="宋体"/>
          <w:color w:val="auto"/>
          <w:sz w:val="36"/>
          <w:szCs w:val="36"/>
          <w:highlight w:val="none"/>
        </w:rPr>
        <w:t>投标人须知前附表</w:t>
      </w:r>
    </w:p>
    <w:tbl>
      <w:tblPr>
        <w:tblStyle w:val="25"/>
        <w:tblW w:w="92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2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1.投标人的资格要求详见招标公告。</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42" w:name="_8.1"/>
            <w:bookmarkEnd w:id="42"/>
            <w:bookmarkStart w:id="43" w:name="_9.2"/>
            <w:bookmarkEnd w:id="43"/>
            <w:bookmarkStart w:id="44" w:name="_5"/>
            <w:bookmarkEnd w:id="44"/>
            <w:r>
              <w:rPr>
                <w:rFonts w:hint="eastAsia" w:ascii="宋体" w:hAnsi="宋体" w:cs="宋体"/>
                <w:color w:val="auto"/>
                <w:szCs w:val="21"/>
                <w:highlight w:val="none"/>
              </w:rPr>
              <w:t>6.1</w:t>
            </w:r>
          </w:p>
        </w:tc>
        <w:tc>
          <w:tcPr>
            <w:tcW w:w="824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本项目是否接受联合体投标：详见招标公告。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6.2</w:t>
            </w:r>
          </w:p>
        </w:tc>
        <w:tc>
          <w:tcPr>
            <w:tcW w:w="824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ind w:firstLine="420" w:firstLineChars="200"/>
              <w:rPr>
                <w:rFonts w:ascii="宋体" w:hAnsi="宋体" w:cs="宋体"/>
                <w:color w:val="auto"/>
                <w:szCs w:val="21"/>
                <w:highlight w:val="none"/>
              </w:rPr>
            </w:pPr>
            <w:bookmarkStart w:id="45" w:name="_Hlk54105293"/>
            <w:bookmarkEnd w:id="45"/>
            <w:r>
              <w:rPr>
                <w:rFonts w:hint="eastAsia" w:ascii="宋体" w:hAnsi="宋体" w:cs="宋体"/>
                <w:color w:val="auto"/>
                <w:szCs w:val="21"/>
                <w:highlight w:val="none"/>
              </w:rPr>
              <w:t>如接受联合体投标，联合体投标要求如下：</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1.两个以上投标人可以组成一个投标联合体，以一个投标人的身份共同参加投标。联合体投标的，须提供《联合体投标协议书》（格式后附）。</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3.联合体各方之间必须签订联合投标协议，协议书必须明确主体方（或者牵头方）并明确约定联合体各方承担的工作和相应的责任（各方承担责任与义务的分工必须符合采购需求，否则，</w:t>
            </w:r>
            <w:r>
              <w:rPr>
                <w:rFonts w:hint="eastAsia" w:ascii="宋体" w:hAnsi="宋体" w:cs="宋体"/>
                <w:b/>
                <w:bCs/>
                <w:color w:val="auto"/>
                <w:szCs w:val="21"/>
                <w:highlight w:val="none"/>
              </w:rPr>
              <w:t>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7.2</w:t>
            </w:r>
          </w:p>
        </w:tc>
        <w:tc>
          <w:tcPr>
            <w:tcW w:w="8241" w:type="dxa"/>
            <w:tcBorders>
              <w:top w:val="single" w:color="auto" w:sz="4" w:space="0"/>
              <w:left w:val="single" w:color="auto" w:sz="4" w:space="0"/>
              <w:bottom w:val="single" w:color="auto" w:sz="4" w:space="0"/>
              <w:right w:val="single" w:color="auto" w:sz="4" w:space="0"/>
            </w:tcBorders>
            <w:vAlign w:val="center"/>
          </w:tcPr>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不允许分包</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□允许分包</w:t>
            </w:r>
          </w:p>
          <w:p>
            <w:pPr>
              <w:pStyle w:val="1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pPr>
              <w:pStyle w:val="10"/>
              <w:spacing w:line="360" w:lineRule="auto"/>
              <w:ind w:firstLine="420" w:firstLineChars="200"/>
              <w:jc w:val="both"/>
              <w:rPr>
                <w:rFonts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8.1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采用综合评分法的采购项目，提供相同品牌产品（非单一产品采购项目的，指核心产品）的不同投标人评审得分相同时，按照下列方式确定一个投标人获得中标人推荐资格：</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依次按投标报价低的优先、政策分得分高的优先、技术评分高的优先、商务评分高的优先、保修期长优先、交货期短优先、故障响应时间短优先的顺序推荐；</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1" w:hRule="atLeast"/>
          <w:jc w:val="center"/>
        </w:trPr>
        <w:tc>
          <w:tcPr>
            <w:tcW w:w="95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11.2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不组织现场踏勘</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□组织现场踏勘：</w:t>
            </w:r>
            <w:r>
              <w:rPr>
                <w:rFonts w:hint="eastAsia" w:ascii="宋体" w:hAnsi="宋体" w:cs="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58" w:hRule="atLeast"/>
          <w:jc w:val="center"/>
        </w:trPr>
        <w:tc>
          <w:tcPr>
            <w:tcW w:w="959"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不组织召开开标前答疑会</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□组织召开开标前答疑会</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会议开始时间：年月日 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46" w:name="_13.1"/>
            <w:bookmarkEnd w:id="46"/>
            <w:r>
              <w:rPr>
                <w:rFonts w:hint="eastAsia" w:ascii="宋体" w:hAnsi="宋体" w:cs="宋体"/>
                <w:color w:val="auto"/>
                <w:szCs w:val="21"/>
                <w:highlight w:val="none"/>
              </w:rPr>
              <w:t>13</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报价文件：</w:t>
            </w:r>
          </w:p>
          <w:p>
            <w:pPr>
              <w:tabs>
                <w:tab w:val="left" w:pos="34"/>
              </w:tabs>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pPr>
              <w:tabs>
                <w:tab w:val="left" w:pos="34"/>
              </w:tabs>
              <w:snapToGrid w:val="0"/>
              <w:spacing w:line="360" w:lineRule="auto"/>
              <w:ind w:firstLine="420" w:firstLineChars="200"/>
              <w:jc w:val="left"/>
              <w:rPr>
                <w:rFonts w:ascii="宋体" w:hAnsi="宋体" w:cs="宋体"/>
                <w:color w:val="auto"/>
                <w:szCs w:val="21"/>
                <w:highlight w:val="none"/>
              </w:rPr>
            </w:pPr>
            <w:bookmarkStart w:id="47" w:name="_Hlk71299233"/>
            <w:bookmarkEnd w:id="47"/>
            <w:r>
              <w:rPr>
                <w:rFonts w:hint="eastAsia" w:ascii="宋体" w:hAnsi="宋体" w:cs="宋体"/>
                <w:color w:val="auto"/>
                <w:szCs w:val="21"/>
                <w:highlight w:val="none"/>
              </w:rPr>
              <w:t>2.开标一览表（格式后附）；</w:t>
            </w:r>
            <w:r>
              <w:rPr>
                <w:rFonts w:hint="eastAsia" w:ascii="宋体" w:hAnsi="宋体" w:cs="宋体"/>
                <w:b/>
                <w:bCs/>
                <w:color w:val="auto"/>
                <w:szCs w:val="21"/>
                <w:highlight w:val="none"/>
              </w:rPr>
              <w:t>（</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 xml:space="preserve">3.中小企业声明函（格式后附）； </w:t>
            </w:r>
            <w:r>
              <w:rPr>
                <w:rFonts w:hint="eastAsia" w:ascii="宋体" w:hAnsi="宋体" w:cs="宋体"/>
                <w:b/>
                <w:bCs/>
                <w:color w:val="auto"/>
                <w:szCs w:val="21"/>
                <w:highlight w:val="none"/>
              </w:rPr>
              <w:t>（如有请提供）</w:t>
            </w:r>
          </w:p>
          <w:p>
            <w:pPr>
              <w:snapToGrid w:val="0"/>
              <w:spacing w:line="360" w:lineRule="auto"/>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rPr>
              <w:t>4.关于符合本国产品标准的声明函（格式后附）；</w:t>
            </w:r>
            <w:r>
              <w:rPr>
                <w:rFonts w:hint="eastAsia" w:ascii="宋体" w:hAnsi="宋体" w:cs="宋体"/>
                <w:b/>
                <w:bCs/>
                <w:color w:val="auto"/>
                <w:szCs w:val="21"/>
                <w:highlight w:val="none"/>
              </w:rPr>
              <w:t>（如有请提供）</w:t>
            </w:r>
          </w:p>
          <w:p>
            <w:pPr>
              <w:snapToGrid w:val="0"/>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5.投标人针对报价需要说明的其他文件和说明（格式自拟）。</w:t>
            </w:r>
            <w:r>
              <w:rPr>
                <w:rFonts w:hint="eastAsia" w:ascii="宋体" w:hAnsi="宋体"/>
                <w:b/>
                <w:bCs/>
                <w:color w:val="auto"/>
                <w:szCs w:val="21"/>
                <w:highlight w:val="none"/>
              </w:rPr>
              <w:t>（如有请提供）</w:t>
            </w:r>
          </w:p>
          <w:p>
            <w:pPr>
              <w:tabs>
                <w:tab w:val="left" w:pos="34"/>
              </w:tabs>
              <w:snapToGrid w:val="0"/>
              <w:spacing w:line="360" w:lineRule="auto"/>
              <w:ind w:firstLine="422" w:firstLineChars="200"/>
              <w:jc w:val="left"/>
              <w:rPr>
                <w:rFonts w:ascii="宋体" w:hAnsi="宋体" w:cs="宋体"/>
                <w:color w:val="auto"/>
                <w:szCs w:val="21"/>
                <w:highlight w:val="none"/>
              </w:rPr>
            </w:pPr>
            <w:r>
              <w:rPr>
                <w:rFonts w:hint="eastAsia" w:ascii="宋体" w:hAnsi="宋体"/>
                <w:b/>
                <w:bCs/>
                <w:color w:val="auto"/>
                <w:szCs w:val="21"/>
                <w:highlight w:val="none"/>
              </w:rPr>
              <w:t>注：投标函、开标一览表必须由法定代表人或者委托代理人在规定签章处逐一签字并加盖投标人公章，否则按无效投标</w:t>
            </w:r>
            <w:r>
              <w:rPr>
                <w:rFonts w:hint="eastAsia" w:ascii="宋体" w:hAnsi="宋体" w:cs="Courier New"/>
                <w:b/>
                <w:color w:val="auto"/>
                <w:szCs w:val="21"/>
                <w:highlight w:val="none"/>
              </w:rPr>
              <w:t>处理</w:t>
            </w:r>
            <w:r>
              <w:rPr>
                <w:rFonts w:hint="eastAsia" w:ascii="宋体" w:hAnsi="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right w:val="single" w:color="auto" w:sz="4" w:space="0"/>
            </w:tcBorders>
            <w:vAlign w:val="center"/>
          </w:tcPr>
          <w:p>
            <w:pPr>
              <w:spacing w:line="360" w:lineRule="auto"/>
              <w:rPr>
                <w:rFonts w:ascii="宋体" w:hAnsi="宋体" w:cs="宋体"/>
                <w:color w:val="auto"/>
                <w:szCs w:val="21"/>
                <w:highlight w:val="none"/>
              </w:rPr>
            </w:pPr>
            <w:bookmarkStart w:id="48" w:name="_13.2"/>
            <w:bookmarkEnd w:id="48"/>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pPr>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32"/>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投标文件提交截止之日前半年内</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投标文件提交截止之日前半年内</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2025年</w:t>
            </w:r>
            <w:r>
              <w:rPr>
                <w:rFonts w:hint="eastAsia" w:ascii="宋体" w:hAnsi="宋体" w:cs="宋体"/>
                <w:color w:val="auto"/>
                <w:szCs w:val="21"/>
                <w:highlight w:val="none"/>
              </w:rPr>
              <w:t>度财务报表复印件或者银行出具的资信证明；投标人属于成立时间</w:t>
            </w:r>
            <w:r>
              <w:rPr>
                <w:rFonts w:hint="eastAsia" w:ascii="宋体" w:hAnsi="宋体" w:cs="宋体"/>
                <w:color w:val="auto"/>
                <w:kern w:val="0"/>
                <w:szCs w:val="21"/>
                <w:highlight w:val="none"/>
              </w:rPr>
              <w:t>在规定年度之后</w:t>
            </w:r>
            <w:r>
              <w:rPr>
                <w:rFonts w:hint="eastAsia" w:ascii="宋体" w:hAnsi="宋体" w:cs="宋体"/>
                <w:color w:val="auto"/>
                <w:szCs w:val="21"/>
                <w:highlight w:val="none"/>
              </w:rPr>
              <w:t>的法人或其他组织，需提供成立之日起至投标截止时间前的月报表或银行出具的资信证明；资信证明应在有效期内，未注明有效期的，银行出具时间至投标截止时间不超过一年）；（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8.本项目的特定资格要求：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投标人按《医疗器械监督管理条例》（国务院令第739号）医疗器械分类管理要求具备有效的医疗器械经营备案凭证或者经营许可证，[符合《医疗器械监督管理条例》第四十一条第二款规定的除外]；或者投标人具有《医疗器械监督管理条例》第四十三条规定的注册人凭证。</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②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p>
            <w:pPr>
              <w:snapToGrid w:val="0"/>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（①和②</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w:t>
            </w:r>
          </w:p>
          <w:p>
            <w:pPr>
              <w:tabs>
                <w:tab w:val="left" w:pos="0"/>
              </w:tabs>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注：1.以上标明“必须提供”的材料属于复印件的，必须加盖投标人公章，否则按无效投标</w:t>
            </w:r>
            <w:r>
              <w:rPr>
                <w:rFonts w:hint="eastAsia" w:ascii="宋体" w:hAnsi="宋体" w:cs="宋体"/>
                <w:b/>
                <w:color w:val="auto"/>
                <w:szCs w:val="21"/>
                <w:highlight w:val="none"/>
              </w:rPr>
              <w:t>处理。</w:t>
            </w:r>
          </w:p>
          <w:p>
            <w:pPr>
              <w:tabs>
                <w:tab w:val="left" w:pos="0"/>
              </w:tabs>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投标声明必须由法定代表人在规定签章处签字或者电子签名并加盖投标人公章，否则按无效投标处理。</w:t>
            </w:r>
          </w:p>
          <w:p>
            <w:pPr>
              <w:tabs>
                <w:tab w:val="left" w:pos="0"/>
              </w:tabs>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3.投标人直接控股、管理关系信息表必须由法定代表人或者委托代理人在规定签章处签字或者电子签名并加盖投标人公章，否则按无效投标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p>
            <w:pPr>
              <w:tabs>
                <w:tab w:val="left" w:pos="0"/>
              </w:tabs>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4.联合体投标时，第1-5项资格证明文件联合体各方均必须分别提供，联合体各方分别盖章和签字（或者电子签名），否则按无效投标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p>
            <w:pPr>
              <w:tabs>
                <w:tab w:val="left" w:pos="0"/>
              </w:tabs>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5.分公司参加投标的，应当取得总公司授权。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right w:val="single" w:color="auto" w:sz="4" w:space="0"/>
            </w:tcBorders>
            <w:vAlign w:val="center"/>
          </w:tcPr>
          <w:p>
            <w:pPr>
              <w:spacing w:line="360" w:lineRule="auto"/>
              <w:rPr>
                <w:rFonts w:ascii="宋体" w:hAnsi="宋体" w:cs="宋体"/>
                <w:color w:val="auto"/>
                <w:szCs w:val="21"/>
                <w:highlight w:val="none"/>
              </w:rPr>
            </w:pPr>
            <w:bookmarkStart w:id="49" w:name="_13.3"/>
            <w:bookmarkEnd w:id="49"/>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商务文件：</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2.投标保证金提交凭证；（</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7.投标人情况介绍（格式自拟）；</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8.联合体协议书（格式后附）；（</w:t>
            </w:r>
            <w:r>
              <w:rPr>
                <w:rFonts w:hint="eastAsia" w:ascii="宋体" w:hAnsi="宋体" w:cs="宋体"/>
                <w:b/>
                <w:color w:val="auto"/>
                <w:szCs w:val="21"/>
                <w:highlight w:val="none"/>
              </w:rPr>
              <w:t>联合体投标时必须提供，否则按无效投标处理</w:t>
            </w:r>
            <w:r>
              <w:rPr>
                <w:rFonts w:hint="eastAsia" w:ascii="宋体" w:hAnsi="宋体" w:cs="宋体"/>
                <w:color w:val="auto"/>
                <w:szCs w:val="21"/>
                <w:highlight w:val="none"/>
              </w:rPr>
              <w:t>）</w:t>
            </w:r>
          </w:p>
          <w:p>
            <w:pPr>
              <w:snapToGrid w:val="0"/>
              <w:spacing w:line="360" w:lineRule="auto"/>
              <w:ind w:left="34" w:firstLine="420" w:firstLineChars="200"/>
              <w:jc w:val="left"/>
              <w:rPr>
                <w:rFonts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w:t>
            </w:r>
          </w:p>
          <w:p>
            <w:pPr>
              <w:snapToGrid w:val="0"/>
              <w:spacing w:line="360" w:lineRule="auto"/>
              <w:ind w:firstLine="422" w:firstLineChars="200"/>
              <w:jc w:val="left"/>
              <w:rPr>
                <w:rFonts w:ascii="宋体" w:hAnsi="宋体" w:cs="宋体"/>
                <w:color w:val="auto"/>
                <w:szCs w:val="21"/>
                <w:highlight w:val="none"/>
              </w:rPr>
            </w:pPr>
            <w:r>
              <w:rPr>
                <w:rFonts w:hint="eastAsia" w:ascii="宋体" w:hAnsi="宋体" w:cs="宋体"/>
                <w:b/>
                <w:bCs/>
                <w:color w:val="auto"/>
                <w:szCs w:val="21"/>
                <w:highlight w:val="none"/>
              </w:rPr>
              <w:t>注：以上标明“必须提供”的材料属于复印件的，必须加盖投标人公章，否则按无效投标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bottom w:val="single" w:color="auto" w:sz="4" w:space="0"/>
              <w:right w:val="single" w:color="auto" w:sz="4" w:space="0"/>
            </w:tcBorders>
            <w:vAlign w:val="center"/>
          </w:tcPr>
          <w:p>
            <w:pPr>
              <w:spacing w:line="360" w:lineRule="auto"/>
              <w:rPr>
                <w:rFonts w:ascii="宋体" w:hAnsi="宋体" w:cs="宋体"/>
                <w:color w:val="auto"/>
                <w:szCs w:val="21"/>
                <w:highlight w:val="none"/>
              </w:rPr>
            </w:pPr>
            <w:bookmarkStart w:id="50" w:name="_13.4"/>
            <w:bookmarkEnd w:id="50"/>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技术文件：</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1.设备性能配置清单（格式后附）；（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3.项目实施方案（格式自拟）；</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4.对本项目系统总体要求的理解。包括：功能说明、性能指标及设备选型说明（质量、性能、价格、外观、体积等方面进行比较和选择的理由及过程，格式自拟）；</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5.产品出厂标准、质量检测报告【其中有精度要求的仪器设备类政府采购项目，应当要求投标人提供精度数据（国家认可的有资质的第三方检测机构出具的检测报告复印件或者由采购人在投标前组织的实测获得）】</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6.优惠条件：投标人承诺给予招标人的各种优惠条件，包括售后服务、备品备件、专用耗材等方面的优惠；投标人不得给予赠品或者与采购无关的其他商品、服务；</w:t>
            </w:r>
          </w:p>
          <w:p>
            <w:pPr>
              <w:snapToGrid w:val="0"/>
              <w:spacing w:line="360" w:lineRule="auto"/>
              <w:ind w:left="-2" w:leftChars="-1" w:firstLine="420" w:firstLineChars="200"/>
              <w:jc w:val="left"/>
              <w:rPr>
                <w:rFonts w:ascii="宋体" w:hAnsi="宋体" w:cs="宋体"/>
                <w:color w:val="auto"/>
                <w:szCs w:val="21"/>
                <w:highlight w:val="none"/>
              </w:rPr>
            </w:pPr>
            <w:r>
              <w:rPr>
                <w:rFonts w:hint="eastAsia" w:ascii="宋体" w:hAnsi="宋体" w:cs="宋体"/>
                <w:color w:val="auto"/>
                <w:szCs w:val="21"/>
                <w:highlight w:val="none"/>
              </w:rPr>
              <w:t>7.投标人对本项目的合理化建议和改进措施（格式自拟）；</w:t>
            </w:r>
          </w:p>
          <w:p>
            <w:pPr>
              <w:snapToGrid w:val="0"/>
              <w:spacing w:line="360" w:lineRule="auto"/>
              <w:ind w:left="-2" w:leftChars="-1" w:firstLine="420" w:firstLineChars="200"/>
              <w:jc w:val="left"/>
              <w:rPr>
                <w:rFonts w:ascii="宋体" w:hAnsi="宋体" w:cs="宋体"/>
                <w:bCs/>
                <w:color w:val="auto"/>
                <w:szCs w:val="21"/>
                <w:highlight w:val="none"/>
              </w:rPr>
            </w:pPr>
            <w:r>
              <w:rPr>
                <w:rFonts w:hint="eastAsia" w:ascii="宋体" w:hAnsi="宋体" w:cs="宋体"/>
                <w:color w:val="auto"/>
                <w:szCs w:val="21"/>
                <w:highlight w:val="none"/>
              </w:rPr>
              <w:t>8.除招标文件规定必须提供以外，投标人需要说明的其他文件和说明（格式自拟）。</w:t>
            </w:r>
          </w:p>
          <w:p>
            <w:pPr>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注：以上标明“必须提供”的材料属于复印件的，必须加盖投标人公章，否则按无效投标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51" w:name="_Hlt19194067"/>
            <w:bookmarkEnd w:id="51"/>
            <w:bookmarkStart w:id="52" w:name="_Hlt19693759"/>
            <w:bookmarkEnd w:id="52"/>
            <w:bookmarkStart w:id="53" w:name="_13.5"/>
            <w:bookmarkEnd w:id="53"/>
            <w:bookmarkStart w:id="54" w:name="_Hlt19693758"/>
            <w:bookmarkEnd w:id="54"/>
            <w:bookmarkStart w:id="55" w:name="_Hlt19194066"/>
            <w:bookmarkEnd w:id="55"/>
            <w:bookmarkStart w:id="56" w:name="_16.2"/>
            <w:bookmarkEnd w:id="56"/>
            <w:r>
              <w:rPr>
                <w:rFonts w:hint="eastAsia" w:ascii="宋体" w:hAnsi="宋体" w:cs="宋体"/>
                <w:color w:val="auto"/>
                <w:szCs w:val="21"/>
                <w:highlight w:val="none"/>
              </w:rPr>
              <w:t>16.2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报价包含货物、货物标准附件、备品备件、专用工具、设备安装辅材、施工辅材、包装、运输、装卸、保险、货到就位、质保期(包修期)内维护、保养、维修及设备软件更新升级的各种费用以及安装、调试等本招标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57" w:name="_17.1"/>
            <w:bookmarkEnd w:id="57"/>
            <w:r>
              <w:rPr>
                <w:rFonts w:hint="eastAsia" w:ascii="宋体" w:hAnsi="宋体" w:cs="宋体"/>
                <w:color w:val="auto"/>
                <w:szCs w:val="21"/>
                <w:highlight w:val="none"/>
              </w:rPr>
              <w:t>17.2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120</w:t>
            </w:r>
            <w:r>
              <w:rPr>
                <w:rFonts w:hint="eastAsia" w:ascii="宋体" w:hAnsi="宋体" w:cs="宋体"/>
                <w:color w:val="auto"/>
                <w:szCs w:val="21"/>
                <w:highlight w:val="none"/>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58" w:name="_18"/>
            <w:bookmarkEnd w:id="58"/>
            <w:r>
              <w:rPr>
                <w:rFonts w:hint="eastAsia" w:ascii="宋体" w:hAnsi="宋体" w:cs="宋体"/>
                <w:color w:val="auto"/>
                <w:szCs w:val="21"/>
                <w:highlight w:val="none"/>
              </w:rPr>
              <w:t>18.1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□本项目不收取投标保证金。</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本项目收取投标保证金，具体规定如下：</w:t>
            </w:r>
          </w:p>
          <w:p>
            <w:pPr>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投标保证金（人民币）：</w:t>
            </w:r>
            <w:r>
              <w:rPr>
                <w:rFonts w:hint="eastAsia" w:ascii="宋体" w:hAnsi="宋体" w:cs="宋体"/>
                <w:color w:val="auto"/>
                <w:szCs w:val="21"/>
                <w:highlight w:val="none"/>
              </w:rPr>
              <w:t>70000.00元</w:t>
            </w:r>
            <w:r>
              <w:rPr>
                <w:rFonts w:hint="eastAsia" w:ascii="宋体" w:hAnsi="宋体" w:cs="宋体"/>
                <w:color w:val="auto"/>
                <w:kern w:val="0"/>
                <w:szCs w:val="21"/>
                <w:highlight w:val="none"/>
              </w:rPr>
              <w:t>。</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投标保证金的交纳方式：</w:t>
            </w:r>
            <w:r>
              <w:rPr>
                <w:rFonts w:hint="eastAsia" w:ascii="宋体" w:hAnsi="宋体" w:eastAsia="宋体" w:cs="宋体"/>
                <w:color w:val="auto"/>
                <w:kern w:val="0"/>
                <w:szCs w:val="21"/>
                <w:highlight w:val="none"/>
              </w:rPr>
              <w:t>银行转账、支票、汇票、本票或者金融出具的保函，禁止采用现钞方式。采用银行转账方式的，在投标截止时间前交至指定账户并且到账（</w:t>
            </w:r>
            <w:r>
              <w:rPr>
                <w:rFonts w:hint="eastAsia" w:ascii="宋体" w:hAnsi="宋体" w:eastAsia="宋体" w:cs="宋体"/>
                <w:color w:val="auto"/>
                <w:kern w:val="0"/>
                <w:szCs w:val="21"/>
                <w:highlight w:val="none"/>
                <w:u w:val="single"/>
              </w:rPr>
              <w:t>开户名称：广西科文招标有限公司，开户银行：广西北部湾银行南宁分行营业部，银行账号：0101012090615689</w:t>
            </w:r>
            <w:r>
              <w:rPr>
                <w:rFonts w:hint="eastAsia" w:ascii="宋体" w:hAnsi="宋体" w:eastAsia="宋体" w:cs="宋体"/>
                <w:color w:val="auto"/>
                <w:kern w:val="0"/>
                <w:szCs w:val="21"/>
                <w:highlight w:val="none"/>
              </w:rPr>
              <w:t>）；采用支票、汇票、本票或者保函等方式的，在投标截止时间前，投标人必须递交支票、汇票、本票或者保函原件。否则视为无效投标保证金。</w:t>
            </w:r>
            <w:r>
              <w:rPr>
                <w:rFonts w:hint="eastAsia" w:ascii="宋体" w:hAnsi="宋体" w:eastAsia="宋体"/>
                <w:color w:val="auto"/>
                <w:szCs w:val="21"/>
                <w:highlight w:val="none"/>
              </w:rPr>
              <w:t>相关要求</w:t>
            </w:r>
            <w:r>
              <w:rPr>
                <w:rFonts w:hint="eastAsia" w:ascii="宋体" w:hAnsi="宋体" w:cs="宋体"/>
                <w:color w:val="auto"/>
                <w:szCs w:val="21"/>
                <w:highlight w:val="none"/>
              </w:rPr>
              <w:t>：</w:t>
            </w:r>
          </w:p>
          <w:p>
            <w:pPr>
              <w:pStyle w:val="1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1.投标保证金采用银行转账交纳方式的，投标人转帐时请在银行转账底单备注“</w:t>
            </w:r>
            <w:r>
              <w:rPr>
                <w:rFonts w:hint="eastAsia" w:ascii="宋体" w:hAnsi="宋体" w:cs="宋体"/>
                <w:b/>
                <w:color w:val="auto"/>
                <w:szCs w:val="21"/>
                <w:highlight w:val="none"/>
                <w:u w:val="single"/>
              </w:rPr>
              <w:t>GXZC2026-G1-001010-KWZB投标保证金</w:t>
            </w:r>
            <w:r>
              <w:rPr>
                <w:rFonts w:hint="eastAsia" w:ascii="宋体" w:hAnsi="宋体" w:cs="宋体"/>
                <w:color w:val="auto"/>
                <w:szCs w:val="21"/>
                <w:highlight w:val="none"/>
              </w:rPr>
              <w:t>”，在投标截止时间前交至指定账户并且到账，投标人应将银行转账底单的复印件作为投标保证金提交凭证，放置于商务文件中，</w:t>
            </w:r>
            <w:r>
              <w:rPr>
                <w:rFonts w:hint="eastAsia" w:ascii="宋体" w:hAnsi="宋体" w:cs="宋体"/>
                <w:b/>
                <w:color w:val="auto"/>
                <w:szCs w:val="21"/>
                <w:highlight w:val="none"/>
              </w:rPr>
              <w:t>否则投标无效</w:t>
            </w:r>
            <w:r>
              <w:rPr>
                <w:rFonts w:hint="eastAsia" w:ascii="宋体" w:hAnsi="宋体" w:cs="宋体"/>
                <w:color w:val="auto"/>
                <w:szCs w:val="21"/>
                <w:highlight w:val="none"/>
              </w:rPr>
              <w:t>。</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2.投标保证金采用支票、汇票、本票或者银行、保险机构出具的保函交纳方式的，投标人应将支票、汇票、本票或者银行、保险机构出具的保函的复印件作为投标保证金提交凭证，放置于商务文件中，</w:t>
            </w:r>
            <w:r>
              <w:rPr>
                <w:rFonts w:hint="eastAsia" w:ascii="宋体" w:hAnsi="宋体" w:cs="宋体"/>
                <w:b/>
                <w:color w:val="auto"/>
                <w:szCs w:val="21"/>
                <w:highlight w:val="none"/>
              </w:rPr>
              <w:t>否则投标无效</w:t>
            </w:r>
            <w:r>
              <w:rPr>
                <w:rFonts w:hint="eastAsia" w:ascii="宋体" w:hAnsi="宋体" w:cs="宋体"/>
                <w:color w:val="auto"/>
                <w:szCs w:val="21"/>
                <w:highlight w:val="none"/>
              </w:rPr>
              <w:t>。投标人必须在投标截止时间前采用现场或邮寄方式（</w:t>
            </w:r>
            <w:r>
              <w:rPr>
                <w:rFonts w:hint="eastAsia" w:ascii="宋体" w:hAnsi="宋体" w:cs="宋体"/>
                <w:color w:val="auto"/>
                <w:szCs w:val="21"/>
                <w:highlight w:val="none"/>
                <w:u w:val="single"/>
              </w:rPr>
              <w:t>现场提交或邮寄地址：广西南宁市民族大道141号中鼎万象东方大厦D区五层，联系人：郑雄、钟文</w:t>
            </w:r>
            <w:r>
              <w:rPr>
                <w:rFonts w:hint="eastAsia" w:ascii="宋体" w:hAnsi="宋体" w:cs="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s="宋体"/>
                <w:color w:val="auto"/>
                <w:szCs w:val="21"/>
                <w:highlight w:val="none"/>
              </w:rPr>
              <w:t>支票、汇票、本票或者银行、保险机构出具的保函原件提交给采购人或者采购代理机构，由采购人或者采购代理机构向投标人出具回执（邮寄方式的除外），并妥善保管。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3.投标人为联合体的，可以由联合体中的一方或者多方共同交纳投标保证金，其交纳的保证金对联合体各方均具有约束力。</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备注： </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 投标保证金在投标截止时间后提交的，或者不按规定交纳方式交纳的，或者未足额交纳的（包含保函额度不足的），视为无效投标保证金。</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2.投标人采用现钞方式或者从个人账户（自然人投标除外）转出的投标保证金，视为无效投标保证金。</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3.支票、汇票或者本票出现无效或者背书情形的，视为无效投标保证金。</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4.保函有效期低于投标有效期的，视为无效投标保证金。</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5.采用银行、保险机构出具保函的，必须为无条件保函，否则视为无效投标保证金。</w:t>
            </w:r>
          </w:p>
          <w:p>
            <w:pPr>
              <w:pStyle w:val="2"/>
              <w:spacing w:line="360" w:lineRule="auto"/>
              <w:ind w:firstLine="422" w:firstLineChars="200"/>
              <w:rPr>
                <w:rFonts w:ascii="宋体" w:hAnsi="宋体" w:cs="宋体"/>
                <w:color w:val="auto"/>
                <w:sz w:val="21"/>
                <w:szCs w:val="21"/>
                <w:highlight w:val="none"/>
              </w:rPr>
            </w:pPr>
            <w:r>
              <w:rPr>
                <w:rFonts w:hint="eastAsia" w:ascii="宋体" w:hAnsi="宋体" w:cs="宋体"/>
                <w:b/>
                <w:color w:val="auto"/>
                <w:kern w:val="2"/>
                <w:sz w:val="21"/>
                <w:szCs w:val="21"/>
                <w:highlight w:val="none"/>
              </w:rPr>
              <w:t>6.政采云平台暂未支持电子保函功能，故本项目暂不接受电子保函形式的保证金。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59" w:name="_19.2"/>
            <w:bookmarkEnd w:id="59"/>
            <w:r>
              <w:rPr>
                <w:rFonts w:hint="eastAsia" w:ascii="宋体" w:hAnsi="宋体" w:cs="宋体"/>
                <w:color w:val="auto"/>
                <w:szCs w:val="21"/>
                <w:highlight w:val="none"/>
              </w:rPr>
              <w:t>20</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本项目不接受电子备份投标文件；</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□本项目接受电子备份投标文件。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76"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0" w:name="_21.1"/>
            <w:bookmarkEnd w:id="60"/>
            <w:r>
              <w:rPr>
                <w:rFonts w:hint="eastAsia" w:ascii="宋体" w:hAnsi="宋体" w:cs="宋体"/>
                <w:color w:val="auto"/>
                <w:szCs w:val="21"/>
                <w:highlight w:val="none"/>
              </w:rPr>
              <w:t>21.1</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1.投标文件提交截止时间：详见招标公告</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2.投标地点：详见招标公告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1" w:name="_23"/>
            <w:bookmarkEnd w:id="61"/>
            <w:r>
              <w:rPr>
                <w:rFonts w:hint="eastAsia" w:ascii="宋体" w:hAnsi="宋体" w:cs="宋体"/>
                <w:color w:val="auto"/>
                <w:szCs w:val="21"/>
                <w:highlight w:val="none"/>
              </w:rPr>
              <w:t>23</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1.开标时间：详见招标公告</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2.开标地点：详见招标公告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24.3（1）</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24.3（2）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宣布的内容：投标人名称、投标价格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2" w:name="_25.3"/>
            <w:bookmarkEnd w:id="62"/>
            <w:r>
              <w:rPr>
                <w:rFonts w:hint="eastAsia" w:ascii="宋体" w:hAnsi="宋体" w:cs="宋体"/>
                <w:color w:val="auto"/>
                <w:szCs w:val="21"/>
                <w:highlight w:val="none"/>
              </w:rPr>
              <w:t>25.3（2）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信用查询截止时点：资格审查结束前</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查询记录和证据留存方式：将查询网站中的查询记录截图并作为评审资料保存。</w:t>
            </w:r>
          </w:p>
          <w:p>
            <w:pPr>
              <w:snapToGrid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名单、政府采购严重违法失信行为记录名单及其他不符合《中华人民共和国政府采购法》第二十二条规定条件的供应商）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3" w:name="_26"/>
            <w:bookmarkEnd w:id="63"/>
            <w:r>
              <w:rPr>
                <w:rFonts w:hint="eastAsia" w:ascii="宋体" w:hAnsi="宋体" w:cs="宋体"/>
                <w:color w:val="auto"/>
                <w:szCs w:val="21"/>
                <w:highlight w:val="none"/>
              </w:rPr>
              <w:t>26.1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评标委员会的人数：</w:t>
            </w:r>
            <w:r>
              <w:rPr>
                <w:rFonts w:hint="default" w:ascii="宋体" w:hAnsi="宋体" w:cs="宋体"/>
                <w:color w:val="auto"/>
                <w:szCs w:val="21"/>
                <w:highlight w:val="none"/>
                <w:lang w:val="en-US"/>
              </w:rPr>
              <w:t>5</w:t>
            </w:r>
            <w:r>
              <w:rPr>
                <w:rFonts w:hint="eastAsia" w:ascii="宋体" w:hAnsi="宋体" w:cs="宋体"/>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28.5</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rPr>
              <w:t>本项目政府采购异常低价审查情形见本章“投标人须知正文28.5”规定。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4" w:name="_28.3"/>
            <w:bookmarkEnd w:id="64"/>
            <w:r>
              <w:rPr>
                <w:rFonts w:hint="eastAsia" w:ascii="宋体" w:hAnsi="宋体" w:cs="宋体"/>
                <w:color w:val="auto"/>
                <w:szCs w:val="21"/>
                <w:highlight w:val="none"/>
              </w:rPr>
              <w:t>29.1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评标方法：</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综合评分法</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5" w:name="_29.2.2（2）"/>
            <w:bookmarkEnd w:id="65"/>
            <w:r>
              <w:rPr>
                <w:rFonts w:hint="eastAsia" w:ascii="宋体" w:hAnsi="宋体" w:cs="宋体"/>
                <w:color w:val="auto"/>
                <w:szCs w:val="21"/>
                <w:highlight w:val="none"/>
              </w:rPr>
              <w:t>29.2</w:t>
            </w:r>
          </w:p>
        </w:tc>
        <w:tc>
          <w:tcPr>
            <w:tcW w:w="8241" w:type="dxa"/>
            <w:tcBorders>
              <w:top w:val="single" w:color="auto" w:sz="4" w:space="0"/>
              <w:left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中标候选人推荐数量：</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根据总得分由高到低排列次序并全部推荐为中标候选人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30.1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采用综合评分法的采购项目，采购人确定中标人时，出现中标候选人并列的情形，采购人按以下的方式确定中标人：</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bdr w:val="single" w:color="auto" w:sz="4" w:space="0"/>
              </w:rPr>
              <w:t>√</w:t>
            </w:r>
            <w:r>
              <w:rPr>
                <w:rFonts w:hint="eastAsia" w:ascii="宋体" w:hAnsi="宋体" w:cs="宋体"/>
                <w:color w:val="auto"/>
                <w:szCs w:val="21"/>
                <w:highlight w:val="none"/>
              </w:rPr>
              <w:t>依次按投标报价低的优先、政策分得分高的优先、技术评分高的优先、商务评分高的优先、保修期长优先、交货期短优先、故障响应时间短优先的顺序确定；</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color w:val="auto"/>
                <w:szCs w:val="21"/>
                <w:highlight w:val="none"/>
              </w:rPr>
            </w:pPr>
            <w:bookmarkStart w:id="66" w:name="_39.1"/>
            <w:bookmarkEnd w:id="66"/>
            <w:r>
              <w:rPr>
                <w:rFonts w:hint="eastAsia" w:ascii="宋体" w:hAnsi="宋体" w:eastAsia="宋体" w:cs="宋体"/>
                <w:color w:val="auto"/>
                <w:szCs w:val="21"/>
                <w:highlight w:val="none"/>
              </w:rPr>
              <w:t>35.1</w:t>
            </w:r>
          </w:p>
        </w:tc>
        <w:tc>
          <w:tcPr>
            <w:tcW w:w="8241" w:type="dxa"/>
            <w:tcBorders>
              <w:top w:val="single" w:color="auto" w:sz="4" w:space="0"/>
              <w:left w:val="single" w:color="auto" w:sz="4" w:space="0"/>
              <w:bottom w:val="single" w:color="auto" w:sz="4" w:space="0"/>
              <w:right w:val="single" w:color="auto" w:sz="4" w:space="0"/>
            </w:tcBorders>
            <w:vAlign w:val="center"/>
          </w:tcPr>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w:t>
            </w:r>
            <w:r>
              <w:rPr>
                <w:rFonts w:hint="eastAsia" w:ascii="宋体" w:hAnsi="宋体" w:cs="Calibri"/>
                <w:szCs w:val="21"/>
                <w:highlight w:val="none"/>
                <w:lang w:val="en-US" w:eastAsia="zh-CN"/>
              </w:rPr>
              <w:t>提供的两种方式中任选一种</w:t>
            </w:r>
            <w:r>
              <w:rPr>
                <w:rFonts w:hint="eastAsia" w:ascii="宋体" w:hAnsi="宋体" w:cs="Calibri"/>
                <w:szCs w:val="21"/>
                <w:highlight w:val="none"/>
              </w:rPr>
              <w:t>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宋体"/>
                <w:szCs w:val="21"/>
                <w:highlight w:val="none"/>
              </w:rPr>
            </w:pPr>
            <w:r>
              <w:rPr>
                <w:rFonts w:hint="eastAsia" w:ascii="宋体" w:hAnsi="宋体" w:cs="Calibri"/>
                <w:szCs w:val="21"/>
                <w:highlight w:val="none"/>
                <w:lang w:eastAsia="zh-CN"/>
              </w:rPr>
              <w:t>（</w:t>
            </w:r>
            <w:r>
              <w:rPr>
                <w:rFonts w:hint="eastAsia" w:ascii="宋体" w:hAnsi="宋体" w:cs="Calibri"/>
                <w:szCs w:val="21"/>
                <w:highlight w:val="none"/>
                <w:lang w:val="en-US" w:eastAsia="zh-CN"/>
              </w:rPr>
              <w:t>1</w:t>
            </w:r>
            <w:r>
              <w:rPr>
                <w:rFonts w:hint="eastAsia" w:ascii="宋体" w:hAnsi="宋体" w:cs="Calibri"/>
                <w:szCs w:val="21"/>
                <w:highlight w:val="none"/>
                <w:lang w:eastAsia="zh-CN"/>
              </w:rPr>
              <w:t>）</w:t>
            </w: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基本户开户行：中国工商银行股份有限公司南宁市桃源支行</w:t>
            </w:r>
          </w:p>
          <w:p>
            <w:pPr>
              <w:pStyle w:val="30"/>
              <w:rPr>
                <w:color w:val="auto"/>
                <w:highlight w:val="none"/>
              </w:rPr>
            </w:pP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（3）有下列情形之一的，视为履约保证金提交无效：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4.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履约保证金</w:t>
            </w:r>
            <w:r>
              <w:rPr>
                <w:rFonts w:hint="eastAsia" w:ascii="宋体" w:hAnsi="宋体" w:cs="Calibri"/>
                <w:szCs w:val="21"/>
                <w:highlight w:val="none"/>
                <w:lang w:eastAsia="zh-CN"/>
              </w:rPr>
              <w:t>的</w:t>
            </w:r>
            <w:r>
              <w:rPr>
                <w:rFonts w:hint="eastAsia" w:ascii="宋体" w:hAnsi="宋体" w:cs="Calibri"/>
                <w:szCs w:val="21"/>
                <w:highlight w:val="none"/>
              </w:rPr>
              <w:t>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5.风险处置措施和替代方案：若乙方因自身原因（如资金、生产能力等）无法按约履约，需在违约情形发生后24小时内书面通知甲方，甲方1有权选择：①要求乙方在5天内恢复履约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napToGrid w:val="0"/>
              <w:spacing w:line="360" w:lineRule="exact"/>
              <w:ind w:firstLine="420" w:firstLineChars="200"/>
              <w:rPr>
                <w:rFonts w:ascii="宋体" w:hAnsi="宋体" w:eastAsia="宋体"/>
                <w:b/>
                <w:color w:val="auto"/>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7" w:name="_40.1"/>
            <w:bookmarkEnd w:id="67"/>
            <w:r>
              <w:rPr>
                <w:rFonts w:hint="eastAsia" w:ascii="宋体" w:hAnsi="宋体" w:cs="宋体"/>
                <w:color w:val="auto"/>
                <w:szCs w:val="21"/>
                <w:highlight w:val="none"/>
              </w:rPr>
              <w:t>36.1</w:t>
            </w:r>
          </w:p>
        </w:tc>
        <w:tc>
          <w:tcPr>
            <w:tcW w:w="8241"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38.2</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质疑联系部门及联系方式：广西科文招标有限公司，联系电话：0771-2023821，通讯地址：广西科文招标有限公司（广西南宁市民族大道141号中鼎万象东方大厦D区五层）</w:t>
            </w:r>
          </w:p>
          <w:p>
            <w:pPr>
              <w:autoSpaceDE w:val="0"/>
              <w:autoSpaceDN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现场提交质疑办理业务时间：每天8时00分到12时00分，15时00分到18时 00分，业务时间以外、双休日和法定节假日不办理业务。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bookmarkStart w:id="68" w:name="_41"/>
            <w:bookmarkEnd w:id="68"/>
            <w:bookmarkStart w:id="69" w:name="_42"/>
            <w:bookmarkEnd w:id="69"/>
            <w:bookmarkStart w:id="70" w:name="_Hlt17709148"/>
            <w:bookmarkEnd w:id="70"/>
            <w:r>
              <w:rPr>
                <w:rFonts w:hint="eastAsia" w:ascii="宋体" w:hAnsi="宋体" w:cs="宋体"/>
                <w:color w:val="auto"/>
                <w:szCs w:val="21"/>
                <w:highlight w:val="none"/>
              </w:rPr>
              <w:t>39.1</w:t>
            </w:r>
          </w:p>
        </w:tc>
        <w:tc>
          <w:tcPr>
            <w:tcW w:w="8241" w:type="dxa"/>
            <w:tcBorders>
              <w:top w:val="single" w:color="auto" w:sz="4" w:space="0"/>
              <w:left w:val="single" w:color="auto" w:sz="4" w:space="0"/>
              <w:bottom w:val="single" w:color="auto" w:sz="4" w:space="0"/>
              <w:right w:val="single" w:color="auto" w:sz="4" w:space="0"/>
            </w:tcBorders>
            <w:vAlign w:val="center"/>
          </w:tcPr>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1.采购代理费支付方式：</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bdr w:val="single" w:color="auto" w:sz="4" w:space="0"/>
              </w:rPr>
              <w:t>√</w:t>
            </w:r>
            <w:r>
              <w:rPr>
                <w:rFonts w:hint="eastAsia" w:hAnsi="宋体" w:cs="宋体"/>
                <w:color w:val="auto"/>
                <w:sz w:val="21"/>
                <w:highlight w:val="none"/>
              </w:rPr>
              <w:t>本项目代理服务费由</w:t>
            </w:r>
            <w:r>
              <w:rPr>
                <w:rFonts w:hint="eastAsia" w:hAnsi="宋体" w:cs="宋体"/>
                <w:color w:val="auto"/>
                <w:sz w:val="21"/>
                <w:highlight w:val="none"/>
                <w:u w:val="single"/>
              </w:rPr>
              <w:t>中标人</w:t>
            </w:r>
            <w:r>
              <w:rPr>
                <w:rFonts w:hint="eastAsia" w:hAnsi="宋体" w:cs="宋体"/>
                <w:color w:val="auto"/>
                <w:sz w:val="21"/>
                <w:highlight w:val="none"/>
              </w:rPr>
              <w:t>在领取中标通知书前，一次性向采购代理机构支付。</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□采购人支付。</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2.采购代理费收取标准：</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bdr w:val="single" w:color="auto" w:sz="4" w:space="0"/>
              </w:rPr>
              <w:t>√</w:t>
            </w:r>
            <w:r>
              <w:rPr>
                <w:rFonts w:hint="eastAsia" w:hAnsi="宋体" w:cs="宋体"/>
                <w:color w:val="auto"/>
                <w:sz w:val="21"/>
                <w:highlight w:val="none"/>
              </w:rPr>
              <w:t>以分标（</w:t>
            </w:r>
            <w:r>
              <w:rPr>
                <w:rFonts w:hint="eastAsia" w:hAnsi="宋体" w:cs="宋体"/>
                <w:color w:val="auto"/>
                <w:sz w:val="21"/>
                <w:highlight w:val="none"/>
                <w:bdr w:val="single" w:color="auto" w:sz="4" w:space="0"/>
              </w:rPr>
              <w:t>√</w:t>
            </w:r>
            <w:r>
              <w:rPr>
                <w:rFonts w:hint="eastAsia" w:hAnsi="宋体" w:cs="宋体"/>
                <w:color w:val="auto"/>
                <w:sz w:val="21"/>
                <w:highlight w:val="none"/>
              </w:rPr>
              <w:t>中标金额/□采购预算/□暂定中标金额/□其他）为计费额，按本须知正文第39.2条规定的收费计算标准（</w:t>
            </w:r>
            <w:r>
              <w:rPr>
                <w:rFonts w:hint="eastAsia" w:hAnsi="宋体" w:cs="宋体"/>
                <w:color w:val="auto"/>
                <w:sz w:val="21"/>
                <w:highlight w:val="none"/>
                <w:bdr w:val="single" w:color="auto" w:sz="4" w:space="0"/>
              </w:rPr>
              <w:t>√</w:t>
            </w:r>
            <w:r>
              <w:rPr>
                <w:rFonts w:hint="eastAsia" w:hAnsi="宋体" w:cs="宋体"/>
                <w:color w:val="auto"/>
                <w:sz w:val="21"/>
                <w:highlight w:val="none"/>
              </w:rPr>
              <w:t>货物招标/□服务招标/□工程招标）采用差额定率累进法计算出收费基准价格，采购代理收费以（□收费基准价格/</w:t>
            </w:r>
            <w:r>
              <w:rPr>
                <w:rFonts w:hint="eastAsia" w:hAnsi="宋体" w:cs="宋体"/>
                <w:color w:val="auto"/>
                <w:sz w:val="21"/>
                <w:highlight w:val="none"/>
                <w:bdr w:val="single" w:color="auto" w:sz="4" w:space="0"/>
              </w:rPr>
              <w:t>√</w:t>
            </w:r>
            <w:r>
              <w:rPr>
                <w:rFonts w:hint="eastAsia" w:hAnsi="宋体" w:cs="宋体"/>
                <w:color w:val="auto"/>
                <w:sz w:val="21"/>
                <w:highlight w:val="none"/>
              </w:rPr>
              <w:t>收费基准价格下浮</w:t>
            </w:r>
            <w:r>
              <w:rPr>
                <w:rFonts w:hint="eastAsia" w:hAnsi="宋体" w:cs="宋体"/>
                <w:color w:val="auto"/>
                <w:sz w:val="21"/>
                <w:highlight w:val="none"/>
                <w:u w:val="single"/>
              </w:rPr>
              <w:t>20%</w:t>
            </w:r>
            <w:r>
              <w:rPr>
                <w:rFonts w:hint="eastAsia" w:hAnsi="宋体" w:cs="宋体"/>
                <w:color w:val="auto"/>
                <w:sz w:val="21"/>
                <w:highlight w:val="none"/>
              </w:rPr>
              <w:t>/□收费基准价格上浮</w:t>
            </w:r>
            <w:r>
              <w:rPr>
                <w:rFonts w:hint="eastAsia" w:hAnsi="宋体" w:cs="宋体"/>
                <w:color w:val="auto"/>
                <w:sz w:val="21"/>
                <w:highlight w:val="none"/>
                <w:u w:val="single"/>
              </w:rPr>
              <w:t>%</w:t>
            </w:r>
            <w:r>
              <w:rPr>
                <w:rFonts w:hint="eastAsia" w:hAnsi="宋体" w:cs="宋体"/>
                <w:color w:val="auto"/>
                <w:sz w:val="21"/>
                <w:highlight w:val="none"/>
              </w:rPr>
              <w:t>）收取。</w:t>
            </w:r>
          </w:p>
          <w:p>
            <w:pPr>
              <w:pStyle w:val="14"/>
              <w:snapToGrid w:val="0"/>
              <w:spacing w:line="360" w:lineRule="auto"/>
              <w:ind w:firstLine="420" w:firstLineChars="200"/>
              <w:rPr>
                <w:rFonts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3.账户名称：广西科文招标有限公司</w:t>
            </w:r>
          </w:p>
          <w:p>
            <w:pPr>
              <w:pStyle w:val="14"/>
              <w:snapToGrid w:val="0"/>
              <w:spacing w:line="360" w:lineRule="auto"/>
              <w:ind w:firstLine="420" w:firstLineChars="200"/>
              <w:rPr>
                <w:rFonts w:hAnsi="宋体" w:cs="宋体"/>
                <w:color w:val="auto"/>
                <w:kern w:val="2"/>
                <w:sz w:val="21"/>
                <w:highlight w:val="none"/>
              </w:rPr>
            </w:pPr>
            <w:r>
              <w:rPr>
                <w:rFonts w:hint="eastAsia" w:hAnsi="宋体" w:cs="宋体"/>
                <w:color w:val="auto"/>
                <w:kern w:val="2"/>
                <w:sz w:val="21"/>
                <w:highlight w:val="none"/>
              </w:rPr>
              <w:t>账户名称：广西科文招标有限公司南宁造价三分公司</w:t>
            </w:r>
          </w:p>
          <w:p>
            <w:pPr>
              <w:pStyle w:val="14"/>
              <w:snapToGrid w:val="0"/>
              <w:spacing w:line="360" w:lineRule="auto"/>
              <w:ind w:firstLine="420" w:firstLineChars="200"/>
              <w:rPr>
                <w:rFonts w:hAnsi="宋体" w:cs="宋体"/>
                <w:color w:val="auto"/>
                <w:kern w:val="2"/>
                <w:sz w:val="21"/>
                <w:highlight w:val="none"/>
              </w:rPr>
            </w:pPr>
            <w:r>
              <w:rPr>
                <w:rFonts w:hint="eastAsia" w:hAnsi="宋体" w:cs="宋体"/>
                <w:color w:val="auto"/>
                <w:kern w:val="2"/>
                <w:sz w:val="21"/>
                <w:highlight w:val="none"/>
              </w:rPr>
              <w:t>开户银行：广西北部湾银行股份有限公司南宁市云景支行</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kern w:val="2"/>
                <w:sz w:val="21"/>
                <w:highlight w:val="none"/>
              </w:rPr>
              <w:t>银行账号：805030224500001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40.1</w:t>
            </w:r>
          </w:p>
        </w:tc>
        <w:tc>
          <w:tcPr>
            <w:tcW w:w="824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40.2</w:t>
            </w:r>
          </w:p>
        </w:tc>
        <w:tc>
          <w:tcPr>
            <w:tcW w:w="8241" w:type="dxa"/>
            <w:tcBorders>
              <w:top w:val="single" w:color="auto" w:sz="4" w:space="0"/>
              <w:left w:val="single" w:color="auto" w:sz="4" w:space="0"/>
              <w:bottom w:val="single" w:color="auto" w:sz="4" w:space="0"/>
              <w:right w:val="single" w:color="auto" w:sz="4" w:space="0"/>
            </w:tcBorders>
            <w:vAlign w:val="center"/>
          </w:tcPr>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2.本招标文件所称的“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pPr>
              <w:pStyle w:val="14"/>
              <w:snapToGrid w:val="0"/>
              <w:spacing w:line="360" w:lineRule="auto"/>
              <w:ind w:firstLine="420" w:firstLineChars="200"/>
              <w:rPr>
                <w:rFonts w:hAnsi="宋体" w:cs="宋体"/>
                <w:color w:val="auto"/>
                <w:sz w:val="21"/>
                <w:highlight w:val="none"/>
              </w:rPr>
            </w:pPr>
            <w:r>
              <w:rPr>
                <w:rFonts w:hint="eastAsia" w:hAnsi="宋体" w:cs="宋体"/>
                <w:bCs/>
                <w:color w:val="auto"/>
                <w:sz w:val="21"/>
                <w:highlight w:val="none"/>
              </w:rPr>
              <w:t>5.本招标文件所称的“以上”“以下”“以内”“届满”，包括本数；所称的“不满”“超过”“以外”，不包括本数。</w:t>
            </w:r>
          </w:p>
        </w:tc>
      </w:tr>
    </w:tbl>
    <w:p>
      <w:pPr>
        <w:snapToGrid w:val="0"/>
        <w:spacing w:line="360" w:lineRule="auto"/>
        <w:rPr>
          <w:rFonts w:ascii="宋体" w:hAnsi="宋体" w:cs="宋体"/>
          <w:color w:val="auto"/>
          <w:sz w:val="24"/>
          <w:szCs w:val="20"/>
          <w:highlight w:val="none"/>
        </w:rPr>
      </w:pPr>
    </w:p>
    <w:p>
      <w:pPr>
        <w:snapToGrid w:val="0"/>
        <w:spacing w:line="360" w:lineRule="auto"/>
        <w:rPr>
          <w:rFonts w:ascii="宋体" w:hAnsi="宋体" w:cs="宋体"/>
          <w:color w:val="auto"/>
          <w:sz w:val="24"/>
          <w:szCs w:val="20"/>
          <w:highlight w:val="none"/>
        </w:rPr>
      </w:pPr>
    </w:p>
    <w:p>
      <w:pPr>
        <w:rPr>
          <w:rFonts w:ascii="宋体" w:hAnsi="宋体" w:cs="宋体"/>
          <w:color w:val="auto"/>
          <w:highlight w:val="none"/>
        </w:rPr>
      </w:pPr>
      <w:r>
        <w:rPr>
          <w:rFonts w:hint="eastAsia" w:ascii="宋体" w:hAnsi="宋体" w:cs="宋体"/>
          <w:color w:val="auto"/>
          <w:highlight w:val="none"/>
        </w:rPr>
        <w:br w:type="page"/>
      </w:r>
    </w:p>
    <w:p>
      <w:pPr>
        <w:pStyle w:val="5"/>
        <w:keepNext w:val="0"/>
        <w:keepLines w:val="0"/>
        <w:spacing w:line="360" w:lineRule="auto"/>
        <w:jc w:val="center"/>
        <w:rPr>
          <w:rFonts w:ascii="宋体" w:hAnsi="宋体" w:cs="宋体"/>
          <w:color w:val="auto"/>
          <w:highlight w:val="none"/>
        </w:rPr>
      </w:pPr>
      <w:r>
        <w:rPr>
          <w:rFonts w:hint="eastAsia" w:ascii="宋体" w:hAnsi="宋体" w:cs="宋体"/>
          <w:color w:val="auto"/>
          <w:highlight w:val="none"/>
        </w:rPr>
        <w:t>投标人须知正文</w:t>
      </w:r>
    </w:p>
    <w:p>
      <w:pPr>
        <w:pStyle w:val="5"/>
        <w:keepNext w:val="0"/>
        <w:keepLines w:val="0"/>
        <w:spacing w:line="360" w:lineRule="auto"/>
        <w:jc w:val="center"/>
        <w:rPr>
          <w:rFonts w:ascii="宋体" w:hAnsi="宋体" w:cs="宋体"/>
          <w:color w:val="auto"/>
          <w:highlight w:val="none"/>
        </w:rPr>
      </w:pPr>
      <w:r>
        <w:rPr>
          <w:rFonts w:hint="eastAsia" w:ascii="宋体" w:hAnsi="宋体" w:cs="宋体"/>
          <w:color w:val="auto"/>
          <w:highlight w:val="none"/>
        </w:rPr>
        <w:t>一、总  则</w:t>
      </w:r>
    </w:p>
    <w:p>
      <w:pPr>
        <w:pStyle w:val="6"/>
        <w:keepNext w:val="0"/>
        <w:keepLines w:val="0"/>
        <w:spacing w:before="0" w:after="0" w:line="360" w:lineRule="auto"/>
        <w:ind w:left="420" w:leftChars="200"/>
        <w:rPr>
          <w:rFonts w:ascii="宋体" w:hAnsi="宋体" w:cs="宋体"/>
          <w:color w:val="auto"/>
          <w:sz w:val="24"/>
          <w:highlight w:val="none"/>
        </w:rPr>
      </w:pPr>
      <w:bookmarkStart w:id="71" w:name="_Toc254970668"/>
      <w:bookmarkEnd w:id="71"/>
      <w:bookmarkStart w:id="72" w:name="_Toc254970527"/>
      <w:bookmarkEnd w:id="72"/>
      <w:r>
        <w:rPr>
          <w:rFonts w:hint="eastAsia" w:ascii="宋体" w:hAnsi="宋体" w:cs="宋体"/>
          <w:color w:val="auto"/>
          <w:sz w:val="24"/>
          <w:highlight w:val="none"/>
        </w:rPr>
        <w:t>1.适用范围</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pPr>
        <w:snapToGrid w:val="0"/>
        <w:spacing w:line="360" w:lineRule="auto"/>
        <w:ind w:firstLine="420" w:firstLineChars="200"/>
        <w:jc w:val="left"/>
        <w:rPr>
          <w:rFonts w:ascii="宋体" w:hAnsi="宋体" w:cs="宋体"/>
          <w:color w:val="auto"/>
          <w:spacing w:val="-6"/>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pPr>
        <w:pStyle w:val="6"/>
        <w:keepNext w:val="0"/>
        <w:keepLines w:val="0"/>
        <w:spacing w:before="0" w:after="0" w:line="360" w:lineRule="auto"/>
        <w:ind w:left="420" w:leftChars="200"/>
        <w:rPr>
          <w:rFonts w:ascii="宋体" w:hAnsi="宋体" w:cs="宋体"/>
          <w:color w:val="auto"/>
          <w:sz w:val="24"/>
          <w:highlight w:val="none"/>
        </w:rPr>
      </w:pPr>
      <w:bookmarkStart w:id="73" w:name="_Toc254970669"/>
      <w:bookmarkEnd w:id="73"/>
      <w:bookmarkStart w:id="74" w:name="_Toc254970528"/>
      <w:bookmarkEnd w:id="74"/>
      <w:r>
        <w:rPr>
          <w:rFonts w:hint="eastAsia" w:ascii="宋体" w:hAnsi="宋体" w:cs="宋体"/>
          <w:color w:val="auto"/>
          <w:sz w:val="24"/>
          <w:highlight w:val="none"/>
        </w:rPr>
        <w:t>2.定义</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2.1“采购人”是指依法进行政府采购的国家机关、事业单位、团体组织。</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2.2“采购代理机构”是指政府采购集中采购机构和集中采购机构以外的采购代理机构。</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2.3“供应商”是指向采购人提供货物、工程或者服务的法人、其他组织或者自然人。</w:t>
      </w:r>
    </w:p>
    <w:p>
      <w:pPr>
        <w:pStyle w:val="8"/>
        <w:spacing w:line="360" w:lineRule="auto"/>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2.5“货物”是指各种形态和种类的物品，包括原材料、燃料、设备、产品等。</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pPr>
        <w:pStyle w:val="6"/>
        <w:keepNext w:val="0"/>
        <w:keepLines w:val="0"/>
        <w:spacing w:before="0" w:after="0" w:line="360" w:lineRule="auto"/>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2.7“书面形式”是指合同书、信件和数据电文（包括电报、电传、传真、电子数据交换和电子邮件）等可以有形地表现所载内容的形式。</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2.8“实质性要求”是指招标文件中已经指明不满足则投标无效的条款，或者不能负偏离的条款，或者采购需求中带“▲”的条款。</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pPr>
        <w:snapToGrid w:val="0"/>
        <w:spacing w:line="360" w:lineRule="auto"/>
        <w:ind w:firstLine="420" w:firstLineChars="200"/>
        <w:jc w:val="left"/>
        <w:rPr>
          <w:rFonts w:ascii="宋体" w:hAnsi="宋体" w:cs="宋体"/>
          <w:color w:val="auto"/>
          <w:szCs w:val="21"/>
          <w:highlight w:val="none"/>
        </w:rPr>
      </w:pPr>
      <w:bookmarkStart w:id="75" w:name="_Toc254970670"/>
      <w:bookmarkStart w:id="76" w:name="_Toc254970529"/>
      <w:r>
        <w:rPr>
          <w:rFonts w:hint="eastAsia" w:ascii="宋体" w:hAnsi="宋体" w:cs="宋体"/>
          <w:color w:val="auto"/>
          <w:szCs w:val="21"/>
          <w:highlight w:val="none"/>
        </w:rPr>
        <w:t>2.11“允许负偏离的条款”是指采购需求中的不属于“实质性要求”的条款。</w:t>
      </w:r>
    </w:p>
    <w:bookmarkEnd w:id="75"/>
    <w:bookmarkEnd w:id="76"/>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3.投标人的资格要求</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pPr>
        <w:pStyle w:val="6"/>
        <w:keepNext w:val="0"/>
        <w:keepLines w:val="0"/>
        <w:spacing w:before="0" w:after="0" w:line="360" w:lineRule="auto"/>
        <w:ind w:left="420" w:leftChars="200"/>
        <w:rPr>
          <w:rFonts w:ascii="宋体" w:hAnsi="宋体" w:cs="宋体"/>
          <w:color w:val="auto"/>
          <w:sz w:val="24"/>
          <w:highlight w:val="none"/>
        </w:rPr>
      </w:pPr>
      <w:bookmarkStart w:id="77" w:name="_Toc254970530"/>
      <w:bookmarkEnd w:id="77"/>
      <w:bookmarkStart w:id="78" w:name="_Toc254970671"/>
      <w:bookmarkEnd w:id="78"/>
      <w:r>
        <w:rPr>
          <w:rFonts w:hint="eastAsia" w:ascii="宋体" w:hAnsi="宋体" w:cs="宋体"/>
          <w:color w:val="auto"/>
          <w:sz w:val="24"/>
          <w:highlight w:val="none"/>
        </w:rPr>
        <w:t>4.投标委托</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pPr>
        <w:pStyle w:val="6"/>
        <w:keepNext w:val="0"/>
        <w:keepLines w:val="0"/>
        <w:spacing w:before="0" w:after="0" w:line="360" w:lineRule="auto"/>
        <w:ind w:left="420" w:leftChars="200"/>
        <w:rPr>
          <w:rFonts w:ascii="宋体" w:hAnsi="宋体" w:cs="宋体"/>
          <w:color w:val="auto"/>
          <w:sz w:val="24"/>
          <w:highlight w:val="none"/>
        </w:rPr>
      </w:pPr>
      <w:bookmarkStart w:id="79" w:name="_Toc254970672"/>
      <w:bookmarkEnd w:id="79"/>
      <w:bookmarkStart w:id="80" w:name="_Toc254970531"/>
      <w:bookmarkEnd w:id="80"/>
      <w:bookmarkStart w:id="81" w:name="_5.投标费用"/>
      <w:bookmarkEnd w:id="81"/>
      <w:r>
        <w:rPr>
          <w:rFonts w:hint="eastAsia" w:ascii="宋体" w:hAnsi="宋体" w:cs="宋体"/>
          <w:color w:val="auto"/>
          <w:sz w:val="24"/>
          <w:highlight w:val="none"/>
        </w:rPr>
        <w:t>5.投标费用</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6.联合体投标</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pPr>
        <w:pStyle w:val="6"/>
        <w:keepNext w:val="0"/>
        <w:keepLines w:val="0"/>
        <w:spacing w:before="0" w:after="0" w:line="360" w:lineRule="auto"/>
        <w:ind w:firstLine="424" w:firstLineChars="202"/>
        <w:rPr>
          <w:rFonts w:ascii="宋体" w:hAnsi="宋体" w:cs="宋体"/>
          <w:color w:val="auto"/>
          <w:sz w:val="24"/>
          <w:highlight w:val="none"/>
        </w:rPr>
      </w:pPr>
      <w:bookmarkStart w:id="82" w:name="_Hlk65857072"/>
      <w:bookmarkEnd w:id="82"/>
      <w:r>
        <w:rPr>
          <w:rFonts w:hint="eastAsia" w:ascii="宋体" w:hAnsi="宋体" w:cs="宋体"/>
          <w:b w:val="0"/>
          <w:bCs/>
          <w:color w:val="auto"/>
          <w:sz w:val="21"/>
          <w:szCs w:val="21"/>
          <w:highlight w:val="none"/>
        </w:rPr>
        <w:t>6.3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7.1本项目不允许转包。</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pPr>
        <w:pStyle w:val="6"/>
        <w:keepNext w:val="0"/>
        <w:keepLines w:val="0"/>
        <w:spacing w:before="0" w:after="0" w:line="360" w:lineRule="auto"/>
        <w:ind w:left="420" w:leftChars="200"/>
        <w:rPr>
          <w:rFonts w:ascii="宋体" w:hAnsi="宋体" w:cs="宋体"/>
          <w:color w:val="auto"/>
          <w:sz w:val="24"/>
          <w:highlight w:val="none"/>
        </w:rPr>
      </w:pPr>
      <w:bookmarkStart w:id="83" w:name="_Toc254970532"/>
      <w:bookmarkEnd w:id="83"/>
      <w:bookmarkStart w:id="84" w:name="_Toc254970673"/>
      <w:bookmarkEnd w:id="84"/>
      <w:r>
        <w:rPr>
          <w:rFonts w:hint="eastAsia" w:ascii="宋体" w:hAnsi="宋体" w:cs="宋体"/>
          <w:color w:val="auto"/>
          <w:sz w:val="24"/>
          <w:highlight w:val="none"/>
        </w:rPr>
        <w:t>8.特别说明</w:t>
      </w:r>
    </w:p>
    <w:p>
      <w:pPr>
        <w:pStyle w:val="6"/>
        <w:keepNext w:val="0"/>
        <w:keepLines w:val="0"/>
        <w:spacing w:before="0" w:after="0" w:line="360" w:lineRule="auto"/>
        <w:ind w:firstLine="562" w:firstLineChars="200"/>
        <w:rPr>
          <w:rFonts w:ascii="宋体" w:hAnsi="宋体" w:cs="宋体"/>
          <w:b w:val="0"/>
          <w:color w:val="auto"/>
          <w:sz w:val="21"/>
          <w:szCs w:val="21"/>
          <w:highlight w:val="none"/>
        </w:rPr>
      </w:pPr>
      <w:r>
        <w:rPr>
          <w:color w:val="auto"/>
          <w:highlight w:val="none"/>
        </w:rPr>
        <w:fldChar w:fldCharType="begin"/>
      </w:r>
      <w:r>
        <w:rPr>
          <w:color w:val="auto"/>
          <w:highlight w:val="none"/>
        </w:rPr>
        <w:instrText xml:space="preserve"> HYPERLINK \l "_8.1" </w:instrText>
      </w:r>
      <w:r>
        <w:rPr>
          <w:color w:val="auto"/>
          <w:highlight w:val="none"/>
        </w:rPr>
        <w:fldChar w:fldCharType="separate"/>
      </w:r>
      <w:r>
        <w:rPr>
          <w:rFonts w:hint="eastAsia" w:ascii="宋体" w:hAnsi="宋体" w:cs="宋体"/>
          <w:b w:val="0"/>
          <w:color w:val="auto"/>
          <w:sz w:val="21"/>
          <w:szCs w:val="21"/>
          <w:highlight w:val="none"/>
        </w:rPr>
        <w:t>8.1</w:t>
      </w:r>
      <w:r>
        <w:rPr>
          <w:color w:val="auto"/>
          <w:highlight w:val="none"/>
        </w:rPr>
        <w:fldChar w:fldCharType="end"/>
      </w:r>
      <w:r>
        <w:rPr>
          <w:rFonts w:hint="eastAsia" w:ascii="宋体" w:hAnsi="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color w:val="auto"/>
          <w:sz w:val="22"/>
          <w:szCs w:val="22"/>
          <w:highlight w:val="none"/>
        </w:rPr>
        <w:t>其他投标无效。</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非单一产品采购项目，多家投标人提供的核心产品品牌相同的，</w:t>
      </w:r>
      <w:r>
        <w:rPr>
          <w:rFonts w:hint="eastAsia" w:hAnsi="宋体" w:cs="宋体"/>
          <w:color w:val="auto"/>
          <w:sz w:val="22"/>
          <w:szCs w:val="22"/>
          <w:highlight w:val="none"/>
        </w:rPr>
        <w:t>按前两款规定处理</w:t>
      </w:r>
      <w:r>
        <w:rPr>
          <w:rFonts w:hint="eastAsia" w:hAnsi="宋体" w:cs="宋体"/>
          <w:color w:val="auto"/>
          <w:kern w:val="2"/>
          <w:sz w:val="21"/>
          <w:highlight w:val="none"/>
        </w:rPr>
        <w:t>。</w:t>
      </w:r>
    </w:p>
    <w:p>
      <w:pPr>
        <w:pStyle w:val="6"/>
        <w:keepNext w:val="0"/>
        <w:keepLines w:val="0"/>
        <w:spacing w:before="0" w:after="0" w:line="360" w:lineRule="auto"/>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pPr>
        <w:pStyle w:val="6"/>
        <w:keepNext w:val="0"/>
        <w:keepLines w:val="0"/>
        <w:spacing w:before="0" w:after="0" w:line="360" w:lineRule="auto"/>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8.3投标人应仔细阅读招标文件的所有内容，按照招标文件的要求提交投标文件，并对所提供的全部资料的真实性承担法律责任。</w:t>
      </w:r>
    </w:p>
    <w:p>
      <w:pPr>
        <w:pStyle w:val="6"/>
        <w:keepNext w:val="0"/>
        <w:keepLines w:val="0"/>
        <w:spacing w:before="0" w:after="0" w:line="360" w:lineRule="auto"/>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9.回避与串通投标</w:t>
      </w:r>
    </w:p>
    <w:p>
      <w:pPr>
        <w:pStyle w:val="6"/>
        <w:keepNext w:val="0"/>
        <w:keepLines w:val="0"/>
        <w:spacing w:before="0" w:after="0" w:line="360" w:lineRule="auto"/>
        <w:ind w:firstLine="367" w:firstLineChars="175"/>
        <w:rPr>
          <w:rFonts w:ascii="宋体" w:hAnsi="宋体" w:cs="宋体"/>
          <w:b w:val="0"/>
          <w:color w:val="auto"/>
          <w:sz w:val="21"/>
          <w:szCs w:val="21"/>
          <w:highlight w:val="none"/>
        </w:rPr>
      </w:pPr>
      <w:r>
        <w:rPr>
          <w:rFonts w:hint="eastAsia" w:ascii="宋体" w:hAnsi="宋体" w:cs="宋体"/>
          <w:b w:val="0"/>
          <w:color w:val="auto"/>
          <w:sz w:val="21"/>
          <w:szCs w:val="21"/>
          <w:highlight w:val="none"/>
        </w:rPr>
        <w:t>9.1在政府采购活动中，采购人员及相关人员与供应商有下列利害关系之一的，应当回避：</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（1）参加采购活动前3年内与供应商存在劳动关系；</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（2）参加采购活动前3年内担任供应商的董事、监事；</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（3）参加采购活动前3年内是供应商的控股股东或者实际控制人；</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（4）与供应商的法定代表人或者负责人有夫妻、直系血亲、三代以内旁系血亲或者近姻亲关系；</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（5）与供应商有其他可能影响政府采购活动公平、公正进行的关系。</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9.2有下列情形之一的视为投标人相互串通投标，投标文件将被视为无效：</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 xml:space="preserve">（1）不同投标人的投标文件由同一单位或者个人编制； </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（2）不同投标人委托同一单位或者个人办理投标事宜；</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（3）不同的投标人的投标文件载明的项目管理员为同一个人；</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（4）不同投标人的投标文件异常一致或者投标报价呈规律性差异；</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（5）不同投标人的投标文件相互混装；</w:t>
      </w:r>
    </w:p>
    <w:p>
      <w:pPr>
        <w:pStyle w:val="14"/>
        <w:snapToGrid w:val="0"/>
        <w:spacing w:line="360" w:lineRule="auto"/>
        <w:ind w:left="2" w:leftChars="1" w:firstLine="422" w:firstLineChars="200"/>
        <w:rPr>
          <w:rFonts w:hAnsi="宋体" w:cs="宋体"/>
          <w:b/>
          <w:color w:val="auto"/>
          <w:kern w:val="2"/>
          <w:sz w:val="21"/>
          <w:highlight w:val="none"/>
        </w:rPr>
      </w:pPr>
      <w:r>
        <w:rPr>
          <w:rFonts w:hint="eastAsia" w:hAnsi="宋体" w:cs="宋体"/>
          <w:b/>
          <w:color w:val="auto"/>
          <w:kern w:val="2"/>
          <w:sz w:val="21"/>
          <w:highlight w:val="none"/>
        </w:rPr>
        <w:t>（6）不同投标人的投标保证金从同一单位或者个人账户转出。</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9.3供应商有下列情形之一的，属于恶意串通行为，将报同级监督管理部门：</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（1）供应商直接或者间接从采购人或者采购代理机构处获得其他供应商的相关信息并修改其投标文件或者响应文件；</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（2）供应商按照采购人或者采购代理机构的授意撤换、修改投标文件或者响应文件；</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（3）供应商之间协商报价、技术方案等投标文件或者响应文件的实质性内容；</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（4）属于同一集团、协会、商会等组织成员的供应商按照该组织要求协同参加政府采购活动；</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（6）供应商之间商定部分供应商放弃参加政府采购活动或者放弃中标；</w:t>
      </w:r>
    </w:p>
    <w:p>
      <w:pPr>
        <w:pStyle w:val="14"/>
        <w:snapToGrid w:val="0"/>
        <w:spacing w:line="360" w:lineRule="auto"/>
        <w:ind w:left="2" w:leftChars="1" w:firstLine="420" w:firstLineChars="200"/>
        <w:rPr>
          <w:rFonts w:hAnsi="宋体" w:cs="宋体"/>
          <w:color w:val="auto"/>
          <w:kern w:val="2"/>
          <w:sz w:val="21"/>
          <w:highlight w:val="none"/>
        </w:rPr>
      </w:pPr>
      <w:r>
        <w:rPr>
          <w:rFonts w:hint="eastAsia" w:hAnsi="宋体" w:cs="宋体"/>
          <w:color w:val="auto"/>
          <w:kern w:val="2"/>
          <w:sz w:val="21"/>
          <w:highlight w:val="none"/>
        </w:rPr>
        <w:t>（7）供应商与采购人或者采购代理机构之间、供应商相互之间，为谋求特定供应商中标或者排斥其他供应商的其他串通行为。</w:t>
      </w:r>
    </w:p>
    <w:p>
      <w:pPr>
        <w:pStyle w:val="5"/>
        <w:keepNext w:val="0"/>
        <w:keepLines w:val="0"/>
        <w:spacing w:line="360" w:lineRule="auto"/>
        <w:jc w:val="center"/>
        <w:rPr>
          <w:rFonts w:ascii="宋体" w:hAnsi="宋体" w:cs="宋体"/>
          <w:color w:val="auto"/>
          <w:highlight w:val="none"/>
        </w:rPr>
      </w:pPr>
      <w:bookmarkStart w:id="85" w:name="_Toc254970675"/>
      <w:bookmarkEnd w:id="85"/>
      <w:bookmarkStart w:id="86" w:name="_Toc254970534"/>
      <w:bookmarkEnd w:id="86"/>
      <w:r>
        <w:rPr>
          <w:rFonts w:hint="eastAsia" w:ascii="宋体" w:hAnsi="宋体" w:cs="宋体"/>
          <w:color w:val="auto"/>
          <w:highlight w:val="none"/>
        </w:rPr>
        <w:t>二、招标文件</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10.招标文件的组成</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（1）招标公告；</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 xml:space="preserve">（2）采购需求； </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（3）投标人须知；</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（4）评标方法及评标标准；</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（5）拟签订的合同文本；</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（6）投标文件格式。</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11.招标文件的澄清、修改 、现场踏勘和答疑会</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pStyle w:val="14"/>
        <w:snapToGrid w:val="0"/>
        <w:spacing w:line="360" w:lineRule="auto"/>
        <w:ind w:firstLine="420" w:firstLineChars="200"/>
        <w:rPr>
          <w:rFonts w:hAnsi="宋体" w:cs="宋体"/>
          <w:color w:val="auto"/>
          <w:sz w:val="21"/>
          <w:highlight w:val="none"/>
        </w:rPr>
      </w:pPr>
      <w:bookmarkStart w:id="87" w:name="_Hlk53134511"/>
      <w:r>
        <w:rPr>
          <w:rFonts w:hint="eastAsia" w:hAnsi="宋体" w:cs="宋体"/>
          <w:color w:val="auto"/>
          <w:sz w:val="21"/>
          <w:highlight w:val="none"/>
        </w:rPr>
        <w:t>11.2采购人或者采购代理机构可以在招标文件提供期限截止后，组织已获取招标文件的潜在投标人现场踏勘或者召开开标前答疑会，具体详见“投标人须知前附表”。</w:t>
      </w:r>
    </w:p>
    <w:bookmarkEnd w:id="87"/>
    <w:p>
      <w:pPr>
        <w:pStyle w:val="5"/>
        <w:keepNext w:val="0"/>
        <w:keepLines w:val="0"/>
        <w:spacing w:line="360" w:lineRule="auto"/>
        <w:jc w:val="center"/>
        <w:rPr>
          <w:rFonts w:ascii="宋体" w:hAnsi="宋体" w:cs="宋体"/>
          <w:color w:val="auto"/>
          <w:highlight w:val="none"/>
        </w:rPr>
      </w:pPr>
      <w:bookmarkStart w:id="88" w:name="_Toc254970535"/>
      <w:bookmarkEnd w:id="88"/>
      <w:bookmarkStart w:id="89" w:name="_Toc254970676"/>
      <w:bookmarkEnd w:id="89"/>
      <w:r>
        <w:rPr>
          <w:rFonts w:hint="eastAsia" w:ascii="宋体" w:hAnsi="宋体" w:cs="宋体"/>
          <w:color w:val="auto"/>
          <w:highlight w:val="none"/>
        </w:rPr>
        <w:t>三、投标文件的编制</w:t>
      </w:r>
    </w:p>
    <w:p>
      <w:pPr>
        <w:pStyle w:val="6"/>
        <w:keepNext w:val="0"/>
        <w:keepLines w:val="0"/>
        <w:spacing w:before="0" w:after="0" w:line="360" w:lineRule="auto"/>
        <w:ind w:left="420" w:leftChars="200"/>
        <w:rPr>
          <w:rFonts w:ascii="宋体" w:hAnsi="宋体" w:cs="宋体"/>
          <w:color w:val="auto"/>
          <w:sz w:val="24"/>
          <w:highlight w:val="none"/>
        </w:rPr>
      </w:pPr>
      <w:bookmarkStart w:id="90" w:name="_Toc254970677"/>
      <w:bookmarkStart w:id="91" w:name="_Toc254970536"/>
      <w:r>
        <w:rPr>
          <w:rFonts w:hint="eastAsia" w:ascii="宋体" w:hAnsi="宋体" w:cs="宋体"/>
          <w:color w:val="auto"/>
          <w:sz w:val="24"/>
          <w:highlight w:val="none"/>
        </w:rPr>
        <w:t>12.投标文件的编制原则</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bookmarkEnd w:id="90"/>
    <w:bookmarkEnd w:id="91"/>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13.投标文件的组成</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投标文件由报价文件、资格证明文件、商务文件、技术文件四部分组成。</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92" w:name="_13.1报价文件:_具体材料见“投标人须知前附表”。"/>
      <w:bookmarkEnd w:id="92"/>
      <w:r>
        <w:rPr>
          <w:rFonts w:hint="eastAsia" w:ascii="宋体" w:hAnsi="宋体" w:cs="宋体"/>
          <w:b w:val="0"/>
          <w:color w:val="auto"/>
          <w:sz w:val="21"/>
          <w:szCs w:val="21"/>
          <w:highlight w:val="none"/>
        </w:rPr>
        <w:t>（1）报价文件：具体材料见“投标人须知前附表”。</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93" w:name="_13.2资格证明文件：具体材料见“投标人须知前附表”。"/>
      <w:bookmarkEnd w:id="93"/>
      <w:r>
        <w:rPr>
          <w:rFonts w:hint="eastAsia" w:ascii="宋体" w:hAnsi="宋体" w:cs="宋体"/>
          <w:b w:val="0"/>
          <w:color w:val="auto"/>
          <w:sz w:val="21"/>
          <w:szCs w:val="21"/>
          <w:highlight w:val="none"/>
        </w:rPr>
        <w:t>（2）资格证明文件：具体材料见“投标人须知前附表”。</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94" w:name="_13.3商务文件:_具体材料见“投标人须知前附表”。"/>
      <w:bookmarkEnd w:id="94"/>
      <w:r>
        <w:rPr>
          <w:rFonts w:hint="eastAsia" w:ascii="宋体" w:hAnsi="宋体" w:cs="宋体"/>
          <w:b w:val="0"/>
          <w:color w:val="auto"/>
          <w:sz w:val="21"/>
          <w:szCs w:val="21"/>
          <w:highlight w:val="none"/>
        </w:rPr>
        <w:t>（3）商务文件：具体材料见“投标人须知前附表”。</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95" w:name="_13.4技术文件：具体材料见“投标人须知前附表”。"/>
      <w:bookmarkEnd w:id="95"/>
      <w:r>
        <w:rPr>
          <w:rFonts w:hint="eastAsia" w:ascii="宋体" w:hAnsi="宋体" w:cs="宋体"/>
          <w:b w:val="0"/>
          <w:color w:val="auto"/>
          <w:sz w:val="21"/>
          <w:szCs w:val="21"/>
          <w:highlight w:val="none"/>
        </w:rPr>
        <w:t>（4）技术文件：具体材料见“投标人须知前附表”。</w:t>
      </w:r>
    </w:p>
    <w:p>
      <w:pPr>
        <w:pStyle w:val="6"/>
        <w:keepNext w:val="0"/>
        <w:keepLines w:val="0"/>
        <w:spacing w:before="0" w:after="0" w:line="360" w:lineRule="auto"/>
        <w:ind w:left="420" w:leftChars="200"/>
        <w:rPr>
          <w:rFonts w:ascii="宋体" w:hAnsi="宋体" w:cs="宋体"/>
          <w:color w:val="auto"/>
          <w:sz w:val="24"/>
          <w:highlight w:val="none"/>
        </w:rPr>
      </w:pPr>
      <w:bookmarkStart w:id="96" w:name="_Toc254970678"/>
      <w:bookmarkEnd w:id="96"/>
      <w:bookmarkStart w:id="97" w:name="_Toc254970537"/>
      <w:bookmarkEnd w:id="97"/>
      <w:bookmarkStart w:id="98" w:name="_13.5投标文件电子版：具体材料见“投标人须知前附表”。"/>
      <w:bookmarkEnd w:id="98"/>
      <w:r>
        <w:rPr>
          <w:rFonts w:hint="eastAsia" w:ascii="宋体" w:hAnsi="宋体" w:cs="宋体"/>
          <w:color w:val="auto"/>
          <w:sz w:val="24"/>
          <w:highlight w:val="none"/>
        </w:rPr>
        <w:t>14.投标文件的语言及计量</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14.1语言文字</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14.2投标计量单位</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color w:val="auto"/>
          <w:sz w:val="21"/>
          <w:szCs w:val="21"/>
          <w:highlight w:val="none"/>
        </w:rPr>
        <w:t>否则视同未响应。</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15.投标的风险</w:t>
      </w:r>
    </w:p>
    <w:p>
      <w:pPr>
        <w:pStyle w:val="14"/>
        <w:snapToGrid w:val="0"/>
        <w:spacing w:line="360" w:lineRule="auto"/>
        <w:ind w:firstLine="420" w:firstLineChars="200"/>
        <w:jc w:val="left"/>
        <w:rPr>
          <w:rFonts w:hAnsi="宋体" w:cs="宋体"/>
          <w:color w:val="auto"/>
          <w:sz w:val="21"/>
          <w:highlight w:val="none"/>
        </w:rPr>
      </w:pPr>
      <w:r>
        <w:rPr>
          <w:rFonts w:hint="eastAsia" w:hAnsi="宋体" w:cs="宋体"/>
          <w:color w:val="auto"/>
          <w:sz w:val="21"/>
          <w:highlight w:val="none"/>
        </w:rPr>
        <w:t>投标人没有按照招标文件要求提供全部资料，或者投标人没有对招标文件作出实质性响应是投标人的风险，并可能导致其投标被拒绝。</w:t>
      </w:r>
    </w:p>
    <w:p>
      <w:pPr>
        <w:pStyle w:val="6"/>
        <w:keepNext w:val="0"/>
        <w:keepLines w:val="0"/>
        <w:spacing w:before="0" w:after="0" w:line="360" w:lineRule="auto"/>
        <w:ind w:left="420" w:leftChars="200"/>
        <w:rPr>
          <w:rFonts w:ascii="宋体" w:hAnsi="宋体" w:cs="宋体"/>
          <w:color w:val="auto"/>
          <w:sz w:val="24"/>
          <w:highlight w:val="none"/>
        </w:rPr>
      </w:pPr>
      <w:bookmarkStart w:id="99" w:name="_Toc254970679"/>
      <w:bookmarkEnd w:id="99"/>
      <w:bookmarkStart w:id="100" w:name="_Toc254970538"/>
      <w:bookmarkEnd w:id="100"/>
      <w:r>
        <w:rPr>
          <w:rFonts w:hint="eastAsia" w:ascii="宋体" w:hAnsi="宋体" w:cs="宋体"/>
          <w:color w:val="auto"/>
          <w:sz w:val="24"/>
          <w:highlight w:val="none"/>
        </w:rPr>
        <w:t>16.投标报价</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16.1投标报价应按“第六章　投标文件格式”中“开标一览表”格式填写。</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101" w:name="_16.2投标报价具体定义见投标人须知前附表。"/>
      <w:bookmarkEnd w:id="101"/>
      <w:r>
        <w:rPr>
          <w:rFonts w:hint="eastAsia" w:ascii="宋体" w:hAnsi="宋体" w:cs="宋体"/>
          <w:b w:val="0"/>
          <w:color w:val="auto"/>
          <w:sz w:val="21"/>
          <w:szCs w:val="21"/>
          <w:highlight w:val="none"/>
        </w:rPr>
        <w:t>16.2投标报价具体包括内容详见“投标人须知前附表”。</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16.3投标人必须就所投每个分标的全部内容分别作完整唯一总价报价，不得存在漏项报价；投标人必须就所投分标的单项内容作唯一报价。</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17.投标有效期</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bookmarkStart w:id="102" w:name="_17.1投标有效期应按“投标人须知中的前附表”规定的期限。"/>
      <w:bookmarkEnd w:id="102"/>
      <w:r>
        <w:rPr>
          <w:rFonts w:hint="eastAsia" w:ascii="宋体" w:hAnsi="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pPr>
        <w:pStyle w:val="6"/>
        <w:keepNext w:val="0"/>
        <w:keepLines w:val="0"/>
        <w:spacing w:before="0" w:after="0" w:line="360" w:lineRule="auto"/>
        <w:ind w:left="420" w:leftChars="200"/>
        <w:rPr>
          <w:rFonts w:ascii="宋体" w:hAnsi="宋体" w:cs="宋体"/>
          <w:b w:val="0"/>
          <w:color w:val="auto"/>
          <w:sz w:val="21"/>
          <w:szCs w:val="21"/>
          <w:highlight w:val="none"/>
        </w:rPr>
      </w:pPr>
      <w:bookmarkStart w:id="103" w:name="_Toc254970540"/>
      <w:bookmarkStart w:id="104" w:name="_Toc254970681"/>
      <w:r>
        <w:rPr>
          <w:rFonts w:hint="eastAsia" w:ascii="宋体" w:hAnsi="宋体" w:cs="宋体"/>
          <w:b w:val="0"/>
          <w:color w:val="auto"/>
          <w:sz w:val="21"/>
          <w:szCs w:val="21"/>
          <w:highlight w:val="none"/>
        </w:rPr>
        <w:t>17.2 投标有效期应按规定的期限作出承诺，具体详见“投标人须知前附表”。</w:t>
      </w:r>
    </w:p>
    <w:bookmarkEnd w:id="103"/>
    <w:bookmarkEnd w:id="104"/>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17.3投标人的投标文件在投标有效期内均保持有效。</w:t>
      </w:r>
    </w:p>
    <w:p>
      <w:pPr>
        <w:pStyle w:val="6"/>
        <w:keepNext w:val="0"/>
        <w:keepLines w:val="0"/>
        <w:spacing w:before="0" w:after="0" w:line="360" w:lineRule="auto"/>
        <w:ind w:left="420" w:leftChars="200"/>
        <w:rPr>
          <w:rFonts w:ascii="宋体" w:hAnsi="宋体" w:cs="宋体"/>
          <w:color w:val="auto"/>
          <w:sz w:val="24"/>
          <w:highlight w:val="none"/>
        </w:rPr>
      </w:pPr>
      <w:bookmarkStart w:id="105" w:name="_18.投标保证金"/>
      <w:bookmarkEnd w:id="105"/>
      <w:bookmarkStart w:id="106" w:name="_Toc254970541"/>
      <w:bookmarkEnd w:id="106"/>
      <w:bookmarkStart w:id="107" w:name="_Toc254970682"/>
      <w:bookmarkEnd w:id="107"/>
      <w:r>
        <w:rPr>
          <w:rFonts w:hint="eastAsia" w:ascii="宋体" w:hAnsi="宋体" w:cs="宋体"/>
          <w:color w:val="auto"/>
          <w:sz w:val="24"/>
          <w:highlight w:val="none"/>
        </w:rPr>
        <w:t>18.投标保证金</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18.1投标人须按“投标人须知前附表” 的规定提交投标保证金。</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18.2投标保证金的退还</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未中标人的投标保证金自中标通知书发出之日起4个工作日内退还；中标人的投标保证金自政府采购合同签订之日起4个工作日内退还。 </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18.3除逾期退还投标保证金和终止招标的情形以外，投标保证金不计息。</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18.4投标人有下列情形之一的，投标保证金将不予退还： </w:t>
      </w:r>
    </w:p>
    <w:p>
      <w:pPr>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pPr>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（2）未按规定提交履约保证金的；</w:t>
      </w:r>
    </w:p>
    <w:p>
      <w:pPr>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pPr>
        <w:snapToGrid w:val="0"/>
        <w:spacing w:line="360" w:lineRule="auto"/>
        <w:ind w:firstLine="411" w:firstLineChars="196"/>
        <w:rPr>
          <w:rFonts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（5）投标人出现本章第9.2、9.3情形的；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pPr>
        <w:pStyle w:val="6"/>
        <w:keepNext w:val="0"/>
        <w:keepLines w:val="0"/>
        <w:spacing w:before="0" w:after="0" w:line="360" w:lineRule="auto"/>
        <w:ind w:left="420" w:leftChars="200"/>
        <w:rPr>
          <w:rFonts w:ascii="宋体" w:hAnsi="宋体" w:cs="宋体"/>
          <w:color w:val="auto"/>
          <w:sz w:val="24"/>
          <w:highlight w:val="none"/>
        </w:rPr>
      </w:pPr>
      <w:bookmarkStart w:id="108" w:name="_Toc254970542"/>
      <w:bookmarkEnd w:id="108"/>
      <w:bookmarkStart w:id="109" w:name="_Toc254970683"/>
      <w:bookmarkEnd w:id="109"/>
      <w:r>
        <w:rPr>
          <w:rFonts w:hint="eastAsia" w:ascii="宋体" w:hAnsi="宋体" w:cs="宋体"/>
          <w:color w:val="auto"/>
          <w:sz w:val="24"/>
          <w:highlight w:val="none"/>
        </w:rPr>
        <w:t>19.投标文件的编制</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bookmarkStart w:id="110" w:name="_19.2投标文件应按报价文件、资格证明文件、商务文件、技术文件分别编制"/>
      <w:bookmarkEnd w:id="110"/>
      <w:r>
        <w:rPr>
          <w:rFonts w:hint="eastAsia" w:ascii="宋体" w:hAnsi="宋体" w:cs="宋体"/>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19.2为确保网上操作合法、有效和安全，投标人应当在投标截止时间前完成在”广西政府采购云平台”的身份认证，确保在电子投标过程中能够对相关数据电文进行加密和使用电子签名。</w:t>
      </w:r>
    </w:p>
    <w:p>
      <w:pPr>
        <w:pStyle w:val="6"/>
        <w:keepNext w:val="0"/>
        <w:keepLines w:val="0"/>
        <w:spacing w:before="0" w:after="0" w:line="360" w:lineRule="auto"/>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19.3投标文件须由投标人在规定位置签字（或者电子签名）、盖章（具体以投标人须知前附表或投标文件格式规定为准），</w:t>
      </w:r>
      <w:r>
        <w:rPr>
          <w:rFonts w:hint="eastAsia" w:ascii="宋体" w:hAnsi="宋体" w:cs="宋体"/>
          <w:bCs/>
          <w:color w:val="auto"/>
          <w:sz w:val="21"/>
          <w:szCs w:val="21"/>
          <w:highlight w:val="none"/>
        </w:rPr>
        <w:t>否则按无效投标处理</w:t>
      </w:r>
      <w:r>
        <w:rPr>
          <w:rFonts w:hint="eastAsia" w:ascii="宋体" w:hAnsi="宋体" w:cs="宋体"/>
          <w:b w:val="0"/>
          <w:color w:val="auto"/>
          <w:sz w:val="21"/>
          <w:szCs w:val="21"/>
          <w:highlight w:val="none"/>
        </w:rPr>
        <w:t>。</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19.4投标文件中标注的投标人名称应与主体资格证明（如营业执照或者事业单位法人证书或者执业许可证或者登记证书等）及公章一致，并与“政采云”中获取招标文件的投标人名称一致，投标人为自然人的，标注的投标人名称应与身份证姓名及签名一致，</w:t>
      </w:r>
      <w:r>
        <w:rPr>
          <w:rFonts w:hint="eastAsia" w:ascii="宋体" w:hAnsi="宋体" w:cs="宋体"/>
          <w:color w:val="auto"/>
          <w:sz w:val="21"/>
          <w:szCs w:val="21"/>
          <w:highlight w:val="none"/>
        </w:rPr>
        <w:t>否则按无效投标处理</w:t>
      </w:r>
      <w:r>
        <w:rPr>
          <w:rFonts w:hint="eastAsia" w:ascii="宋体" w:hAnsi="宋体" w:cs="宋体"/>
          <w:b w:val="0"/>
          <w:color w:val="auto"/>
          <w:sz w:val="21"/>
          <w:szCs w:val="21"/>
          <w:highlight w:val="none"/>
        </w:rPr>
        <w:t>。</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投标文件因字迹潦草或者表达不清所引起的后果由投标人承担。</w:t>
      </w:r>
    </w:p>
    <w:p>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20.电子备份投标文件</w:t>
      </w:r>
    </w:p>
    <w:p>
      <w:pPr>
        <w:spacing w:line="360" w:lineRule="auto"/>
        <w:ind w:firstLine="420" w:firstLineChars="200"/>
        <w:rPr>
          <w:rFonts w:ascii="宋体" w:hAnsi="宋体" w:cs="宋体"/>
          <w:color w:val="auto"/>
          <w:sz w:val="24"/>
          <w:highlight w:val="none"/>
        </w:rPr>
      </w:pPr>
      <w:r>
        <w:rPr>
          <w:rFonts w:hint="eastAsia" w:ascii="宋体" w:hAnsi="宋体" w:cs="宋体"/>
          <w:color w:val="auto"/>
          <w:highlight w:val="none"/>
        </w:rPr>
        <w:t>具体</w:t>
      </w:r>
      <w:r>
        <w:rPr>
          <w:rFonts w:hint="eastAsia" w:ascii="宋体" w:hAnsi="宋体" w:cs="宋体"/>
          <w:bCs/>
          <w:color w:val="auto"/>
          <w:szCs w:val="21"/>
          <w:highlight w:val="none"/>
        </w:rPr>
        <w:t>详见在“投标人须知前附表”要求。</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21.投标文件的提交</w:t>
      </w:r>
    </w:p>
    <w:p>
      <w:pPr>
        <w:spacing w:line="360" w:lineRule="auto"/>
        <w:ind w:firstLine="420" w:firstLineChars="200"/>
        <w:rPr>
          <w:rFonts w:ascii="宋体" w:hAnsi="宋体" w:cs="宋体"/>
          <w:b/>
          <w:color w:val="auto"/>
          <w:highlight w:val="none"/>
        </w:rPr>
      </w:pPr>
      <w:bookmarkStart w:id="111" w:name="_21.1投标人必须在“投标人须知中的前附表”规定的投标文件接收时间和投"/>
      <w:bookmarkEnd w:id="111"/>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投标文件提交截止时间前将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 xml:space="preserve">。 </w:t>
      </w:r>
    </w:p>
    <w:p>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pPr>
        <w:snapToGrid w:val="0"/>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（补充、修改或者撤回方式可登陆</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p>
      <w:pPr>
        <w:pStyle w:val="33"/>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pPr>
        <w:pStyle w:val="5"/>
        <w:keepNext w:val="0"/>
        <w:keepLines w:val="0"/>
        <w:spacing w:line="360" w:lineRule="auto"/>
        <w:jc w:val="center"/>
        <w:rPr>
          <w:rFonts w:ascii="宋体" w:hAnsi="宋体" w:cs="宋体"/>
          <w:color w:val="auto"/>
          <w:highlight w:val="none"/>
        </w:rPr>
      </w:pPr>
      <w:bookmarkStart w:id="112" w:name="_Toc254970685"/>
      <w:bookmarkEnd w:id="112"/>
      <w:bookmarkStart w:id="113" w:name="_Toc254970544"/>
      <w:bookmarkEnd w:id="113"/>
      <w:r>
        <w:rPr>
          <w:rFonts w:hint="eastAsia" w:ascii="宋体" w:hAnsi="宋体" w:cs="宋体"/>
          <w:color w:val="auto"/>
          <w:highlight w:val="none"/>
        </w:rPr>
        <w:t>四、开    标</w:t>
      </w:r>
    </w:p>
    <w:p>
      <w:pPr>
        <w:pStyle w:val="6"/>
        <w:keepNext w:val="0"/>
        <w:keepLines w:val="0"/>
        <w:spacing w:before="0" w:after="0" w:line="360" w:lineRule="auto"/>
        <w:ind w:left="420" w:leftChars="200"/>
        <w:rPr>
          <w:rFonts w:ascii="宋体" w:hAnsi="宋体" w:cs="宋体"/>
          <w:color w:val="auto"/>
          <w:sz w:val="24"/>
          <w:highlight w:val="none"/>
        </w:rPr>
      </w:pPr>
      <w:bookmarkStart w:id="114" w:name="_23.开标时间和地点"/>
      <w:bookmarkEnd w:id="114"/>
      <w:r>
        <w:rPr>
          <w:rFonts w:hint="eastAsia" w:ascii="宋体" w:hAnsi="宋体" w:cs="宋体"/>
          <w:color w:val="auto"/>
          <w:sz w:val="24"/>
          <w:highlight w:val="none"/>
        </w:rPr>
        <w:t>23.开标时间和地点</w:t>
      </w:r>
    </w:p>
    <w:p>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开标时间及地点详见“投标人须知前附表”</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24.开标程序</w:t>
      </w:r>
    </w:p>
    <w:p>
      <w:pPr>
        <w:pStyle w:val="8"/>
        <w:spacing w:line="360" w:lineRule="auto"/>
        <w:rPr>
          <w:rFonts w:ascii="宋体" w:hAnsi="宋体" w:cs="宋体"/>
          <w:color w:val="auto"/>
          <w:highlight w:val="none"/>
        </w:rPr>
      </w:pPr>
      <w:r>
        <w:rPr>
          <w:rFonts w:hint="eastAsia" w:ascii="宋体" w:hAnsi="宋体" w:cs="宋体"/>
          <w:color w:val="auto"/>
          <w:highlight w:val="none"/>
        </w:rPr>
        <w:t>24.1提交投标文件截止时间止，投标人不足3家的，不得开标。</w:t>
      </w:r>
    </w:p>
    <w:p>
      <w:pPr>
        <w:pStyle w:val="8"/>
        <w:spacing w:line="360" w:lineRule="auto"/>
        <w:rPr>
          <w:rFonts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pPr>
        <w:pStyle w:val="8"/>
        <w:spacing w:line="360" w:lineRule="auto"/>
        <w:rPr>
          <w:rFonts w:ascii="宋体" w:hAnsi="宋体" w:cs="宋体"/>
          <w:color w:val="auto"/>
          <w:highlight w:val="none"/>
        </w:rPr>
      </w:pPr>
      <w:r>
        <w:rPr>
          <w:rFonts w:hint="eastAsia" w:ascii="宋体" w:hAnsi="宋体" w:cs="宋体"/>
          <w:color w:val="auto"/>
          <w:highlight w:val="none"/>
        </w:rPr>
        <w:t>24.3开标程序</w:t>
      </w:r>
    </w:p>
    <w:p>
      <w:pPr>
        <w:pStyle w:val="8"/>
        <w:spacing w:line="360" w:lineRule="auto"/>
        <w:rPr>
          <w:rFonts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p>
    <w:p>
      <w:pPr>
        <w:pStyle w:val="8"/>
        <w:spacing w:line="360" w:lineRule="auto"/>
        <w:rPr>
          <w:rFonts w:ascii="宋体" w:hAnsi="宋体" w:cs="宋体"/>
          <w:color w:val="auto"/>
          <w:highlight w:val="none"/>
        </w:rPr>
      </w:pPr>
      <w:r>
        <w:rPr>
          <w:rFonts w:hint="eastAsia" w:ascii="宋体" w:hAnsi="宋体" w:cs="宋体"/>
          <w:color w:val="auto"/>
          <w:highlight w:val="none"/>
        </w:rPr>
        <w:t>如招标文件规定不接受备份电子投标文件，投标人未在规定的时间内解密投标文件或者解密失败的，</w:t>
      </w:r>
      <w:r>
        <w:rPr>
          <w:rFonts w:hint="eastAsia" w:ascii="宋体" w:hAnsi="宋体" w:cs="宋体"/>
          <w:color w:val="auto"/>
          <w:szCs w:val="21"/>
          <w:highlight w:val="none"/>
        </w:rPr>
        <w:t>投标人的投标文件作无效处理</w:t>
      </w:r>
      <w:r>
        <w:rPr>
          <w:rFonts w:hint="eastAsia" w:ascii="宋体" w:hAnsi="宋体" w:cs="宋体"/>
          <w:color w:val="auto"/>
          <w:highlight w:val="none"/>
        </w:rPr>
        <w:t>；如招标文件规定接受备份电子投标文件，投标人未在规定的时间内解密投标文件或者解密失败的，采购代理机构将电子备份投标文件按“政府采购云平台”操作规范上传至“政府采购云平台”，电子备份投标文件上传成功后，投标人原上传的“电子加密投标文件”自动失效。若投标人未在规定时间内解密或者解密失败，且未提供电子备份投标文件或者提供的电子备份投标文件无效或者电子备份投标文件无法解读的，</w:t>
      </w:r>
      <w:r>
        <w:rPr>
          <w:rFonts w:hint="eastAsia" w:ascii="宋体" w:hAnsi="宋体" w:cs="宋体"/>
          <w:color w:val="auto"/>
          <w:szCs w:val="21"/>
          <w:highlight w:val="none"/>
        </w:rPr>
        <w:t>投标人的投标文件作无效处理</w:t>
      </w:r>
      <w:r>
        <w:rPr>
          <w:rFonts w:hint="eastAsia" w:ascii="宋体" w:hAnsi="宋体" w:cs="宋体"/>
          <w:color w:val="auto"/>
          <w:highlight w:val="none"/>
        </w:rPr>
        <w:t>。</w:t>
      </w:r>
    </w:p>
    <w:p>
      <w:pPr>
        <w:pStyle w:val="8"/>
        <w:spacing w:line="360" w:lineRule="auto"/>
        <w:rPr>
          <w:rFonts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pPr>
        <w:pStyle w:val="8"/>
        <w:spacing w:line="360" w:lineRule="auto"/>
        <w:rPr>
          <w:rFonts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pPr>
        <w:pStyle w:val="8"/>
        <w:spacing w:line="360" w:lineRule="auto"/>
        <w:rPr>
          <w:rFonts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pStyle w:val="8"/>
        <w:spacing w:line="360" w:lineRule="auto"/>
        <w:rPr>
          <w:rFonts w:ascii="宋体" w:hAnsi="宋体" w:cs="宋体"/>
          <w:color w:val="auto"/>
          <w:highlight w:val="none"/>
        </w:rPr>
      </w:pPr>
      <w:r>
        <w:rPr>
          <w:rFonts w:hint="eastAsia" w:ascii="宋体" w:hAnsi="宋体" w:cs="宋体"/>
          <w:color w:val="auto"/>
          <w:highlight w:val="none"/>
        </w:rPr>
        <w:t>（5）开标结束。</w:t>
      </w:r>
    </w:p>
    <w:p>
      <w:pPr>
        <w:pStyle w:val="14"/>
        <w:snapToGrid w:val="0"/>
        <w:spacing w:line="360" w:lineRule="auto"/>
        <w:ind w:firstLine="420" w:firstLineChars="200"/>
        <w:rPr>
          <w:rFonts w:hAnsi="宋体" w:cs="宋体"/>
          <w:color w:val="auto"/>
          <w:kern w:val="2"/>
          <w:sz w:val="21"/>
          <w:szCs w:val="20"/>
          <w:highlight w:val="none"/>
        </w:rPr>
      </w:pPr>
      <w:r>
        <w:rPr>
          <w:rFonts w:hint="eastAsia" w:hAnsi="宋体" w:cs="宋体"/>
          <w:color w:val="auto"/>
          <w:kern w:val="2"/>
          <w:sz w:val="21"/>
          <w:szCs w:val="20"/>
          <w:highlight w:val="none"/>
        </w:rPr>
        <w:t>特别说明：如遇”广西政府采购云平台”电子化开标或评审程序调整的，按调整后执行。</w:t>
      </w:r>
    </w:p>
    <w:p>
      <w:pPr>
        <w:pStyle w:val="5"/>
        <w:keepNext w:val="0"/>
        <w:keepLines w:val="0"/>
        <w:spacing w:line="360" w:lineRule="auto"/>
        <w:jc w:val="center"/>
        <w:rPr>
          <w:rFonts w:ascii="宋体" w:hAnsi="宋体" w:cs="宋体"/>
          <w:color w:val="auto"/>
          <w:highlight w:val="none"/>
        </w:rPr>
      </w:pPr>
      <w:r>
        <w:rPr>
          <w:rFonts w:hint="eastAsia" w:ascii="宋体" w:hAnsi="宋体" w:cs="宋体"/>
          <w:color w:val="auto"/>
          <w:highlight w:val="none"/>
        </w:rPr>
        <w:t>五、资格审查</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25.资格审查</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25.1开标结束后，采购人或者采购代理机构通过电子开评标系统依据招标文件对电子投标文件进行线上资格审查。</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pPr>
        <w:pStyle w:val="6"/>
        <w:keepNext w:val="0"/>
        <w:keepLines w:val="0"/>
        <w:numPr>
          <w:ilvl w:val="0"/>
          <w:numId w:val="0"/>
        </w:numPr>
        <w:spacing w:before="0" w:after="0" w:line="360" w:lineRule="auto"/>
        <w:ind w:firstLine="422" w:firstLineChars="200"/>
        <w:rPr>
          <w:rFonts w:ascii="宋体" w:hAnsi="宋体" w:cs="宋体"/>
          <w:color w:val="auto"/>
          <w:sz w:val="21"/>
          <w:szCs w:val="21"/>
          <w:highlight w:val="none"/>
        </w:rPr>
      </w:pPr>
      <w:bookmarkStart w:id="115" w:name="_25.3_投标人有下列情形之一的，资格审查不通过而导致其投标无效："/>
      <w:bookmarkEnd w:id="115"/>
      <w:r>
        <w:rPr>
          <w:rFonts w:hint="eastAsia" w:ascii="宋体" w:hAnsi="宋体" w:cs="宋体"/>
          <w:color w:val="auto"/>
          <w:sz w:val="21"/>
          <w:szCs w:val="21"/>
          <w:highlight w:val="none"/>
        </w:rPr>
        <w:t>25.3 投标人有下列情形之一的，资格审查不通过，作无效投标处理：</w:t>
      </w:r>
    </w:p>
    <w:p>
      <w:pPr>
        <w:pStyle w:val="14"/>
        <w:snapToGrid w:val="0"/>
        <w:spacing w:line="360" w:lineRule="auto"/>
        <w:ind w:firstLine="422" w:firstLineChars="200"/>
        <w:rPr>
          <w:rFonts w:hAnsi="宋体" w:cs="宋体"/>
          <w:b/>
          <w:color w:val="auto"/>
          <w:sz w:val="21"/>
          <w:highlight w:val="none"/>
        </w:rPr>
      </w:pPr>
      <w:r>
        <w:rPr>
          <w:rFonts w:hint="eastAsia" w:hAnsi="宋体" w:cs="宋体"/>
          <w:b/>
          <w:color w:val="auto"/>
          <w:sz w:val="21"/>
          <w:highlight w:val="none"/>
        </w:rPr>
        <w:t>（1）不具备招标文件中规定的资格要求的；</w:t>
      </w:r>
    </w:p>
    <w:p>
      <w:pPr>
        <w:pStyle w:val="14"/>
        <w:snapToGrid w:val="0"/>
        <w:spacing w:line="360" w:lineRule="auto"/>
        <w:ind w:firstLine="422" w:firstLineChars="200"/>
        <w:rPr>
          <w:rFonts w:hAnsi="宋体" w:cs="宋体"/>
          <w:b/>
          <w:color w:val="auto"/>
          <w:sz w:val="21"/>
          <w:highlight w:val="none"/>
        </w:rPr>
      </w:pPr>
      <w:r>
        <w:rPr>
          <w:rFonts w:hint="eastAsia" w:hAnsi="宋体" w:cs="宋体"/>
          <w:b/>
          <w:color w:val="auto"/>
          <w:sz w:val="21"/>
          <w:highlight w:val="none"/>
        </w:rPr>
        <w:t>（2）在“信用中国”网站（www.creditchina.gov.cn）、中国政府采购网（www.ccgp.gov.cn）被列入失信被执行人、重大税收违法失信主体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pPr>
        <w:pStyle w:val="14"/>
        <w:snapToGrid w:val="0"/>
        <w:spacing w:line="360" w:lineRule="auto"/>
        <w:ind w:firstLine="422" w:firstLineChars="200"/>
        <w:rPr>
          <w:rFonts w:hAnsi="宋体" w:cs="宋体"/>
          <w:b/>
          <w:color w:val="auto"/>
          <w:sz w:val="21"/>
          <w:highlight w:val="none"/>
        </w:rPr>
      </w:pPr>
      <w:r>
        <w:rPr>
          <w:rFonts w:hint="eastAsia" w:hAnsi="宋体" w:cs="宋体"/>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pPr>
        <w:pStyle w:val="14"/>
        <w:snapToGrid w:val="0"/>
        <w:spacing w:line="360" w:lineRule="auto"/>
        <w:ind w:firstLine="422" w:firstLineChars="200"/>
        <w:rPr>
          <w:rFonts w:hAnsi="宋体" w:cs="宋体"/>
          <w:b/>
          <w:color w:val="auto"/>
          <w:sz w:val="21"/>
          <w:highlight w:val="none"/>
        </w:rPr>
      </w:pPr>
      <w:r>
        <w:rPr>
          <w:rFonts w:hint="eastAsia" w:hAnsi="宋体" w:cs="宋体"/>
          <w:b/>
          <w:color w:val="auto"/>
          <w:sz w:val="21"/>
          <w:highlight w:val="none"/>
        </w:rPr>
        <w:t>（4）投标文件中的资格证明文件缺少任一项“投标人须知前附表”资格证明文件规定“必须提供”的文件资料的；</w:t>
      </w:r>
    </w:p>
    <w:p>
      <w:pPr>
        <w:pStyle w:val="14"/>
        <w:snapToGrid w:val="0"/>
        <w:spacing w:line="360" w:lineRule="auto"/>
        <w:ind w:firstLine="422" w:firstLineChars="200"/>
        <w:rPr>
          <w:rFonts w:hAnsi="宋体" w:cs="宋体"/>
          <w:b/>
          <w:color w:val="auto"/>
          <w:sz w:val="21"/>
          <w:highlight w:val="none"/>
        </w:rPr>
      </w:pPr>
      <w:r>
        <w:rPr>
          <w:rFonts w:hint="eastAsia" w:hAnsi="宋体" w:cs="宋体"/>
          <w:b/>
          <w:color w:val="auto"/>
          <w:sz w:val="21"/>
          <w:highlight w:val="none"/>
        </w:rPr>
        <w:t>（5）投标文件中的资格证明文件出现任一项不符合“投标人须知前附表”资格证明文件规定“必须提供”的文件资料要求或者无效的。</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color w:val="auto"/>
          <w:sz w:val="21"/>
          <w:szCs w:val="21"/>
          <w:highlight w:val="none"/>
        </w:rPr>
        <w:t>25.4合格投标人不足3家的，不得评标。</w:t>
      </w:r>
    </w:p>
    <w:p>
      <w:pPr>
        <w:pStyle w:val="5"/>
        <w:keepNext w:val="0"/>
        <w:keepLines w:val="0"/>
        <w:spacing w:line="360" w:lineRule="auto"/>
        <w:jc w:val="center"/>
        <w:rPr>
          <w:rFonts w:ascii="宋体" w:hAnsi="宋体" w:cs="宋体"/>
          <w:color w:val="auto"/>
          <w:highlight w:val="none"/>
        </w:rPr>
      </w:pPr>
      <w:r>
        <w:rPr>
          <w:rFonts w:hint="eastAsia" w:ascii="宋体" w:hAnsi="宋体" w:cs="宋体"/>
          <w:color w:val="auto"/>
          <w:highlight w:val="none"/>
        </w:rPr>
        <w:t>六、评   标</w:t>
      </w:r>
    </w:p>
    <w:p>
      <w:pPr>
        <w:pStyle w:val="6"/>
        <w:keepNext w:val="0"/>
        <w:keepLines w:val="0"/>
        <w:spacing w:before="0" w:after="0" w:line="360" w:lineRule="auto"/>
        <w:ind w:left="420" w:leftChars="200"/>
        <w:rPr>
          <w:rFonts w:ascii="宋体" w:hAnsi="宋体" w:cs="宋体"/>
          <w:color w:val="auto"/>
          <w:sz w:val="24"/>
          <w:highlight w:val="none"/>
        </w:rPr>
      </w:pPr>
      <w:bookmarkStart w:id="116" w:name="_26.组建评标委员会"/>
      <w:bookmarkEnd w:id="116"/>
      <w:r>
        <w:rPr>
          <w:rFonts w:hint="eastAsia" w:ascii="宋体" w:hAnsi="宋体" w:cs="宋体"/>
          <w:color w:val="auto"/>
          <w:sz w:val="24"/>
          <w:highlight w:val="none"/>
        </w:rPr>
        <w:t>26.组建评标委员会</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26.1评标委员会由采购人代表和评审专家组成，具体人数详见“投标人须知前附表”，其中评审专家不得少于成员总数的三分之二。</w:t>
      </w:r>
    </w:p>
    <w:p>
      <w:pPr>
        <w:pStyle w:val="14"/>
        <w:snapToGrid w:val="0"/>
        <w:spacing w:line="360" w:lineRule="auto"/>
        <w:ind w:left="2" w:leftChars="1" w:firstLine="420" w:firstLineChars="200"/>
        <w:rPr>
          <w:rFonts w:hAnsi="宋体" w:cs="宋体"/>
          <w:color w:val="auto"/>
          <w:sz w:val="21"/>
          <w:highlight w:val="none"/>
        </w:rPr>
      </w:pPr>
      <w:r>
        <w:rPr>
          <w:rFonts w:hint="eastAsia" w:hAnsi="宋体" w:cs="宋体"/>
          <w:color w:val="auto"/>
          <w:sz w:val="21"/>
          <w:highlight w:val="none"/>
        </w:rPr>
        <w:t>26.2参加过采购项目前期咨询论证的专家，不得参加该采购项目的评审活动。</w:t>
      </w:r>
    </w:p>
    <w:p>
      <w:pPr>
        <w:pStyle w:val="14"/>
        <w:snapToGrid w:val="0"/>
        <w:spacing w:line="360" w:lineRule="auto"/>
        <w:ind w:left="2" w:leftChars="1" w:firstLine="420" w:firstLineChars="200"/>
        <w:rPr>
          <w:rFonts w:hAnsi="宋体" w:cs="宋体"/>
          <w:color w:val="auto"/>
          <w:sz w:val="21"/>
          <w:highlight w:val="none"/>
        </w:rPr>
      </w:pPr>
      <w:r>
        <w:rPr>
          <w:rFonts w:hint="eastAsia" w:hAnsi="宋体" w:cs="宋体"/>
          <w:color w:val="auto"/>
          <w:sz w:val="21"/>
          <w:highlight w:val="none"/>
        </w:rPr>
        <w:t>26.3</w:t>
      </w:r>
      <w:r>
        <w:rPr>
          <w:rFonts w:hint="eastAsia" w:hAnsi="宋体" w:cs="宋体"/>
          <w:bCs/>
          <w:color w:val="auto"/>
          <w:sz w:val="21"/>
          <w:highlight w:val="none"/>
        </w:rPr>
        <w:t>采购代理机构必须基于”广西政府采购云平台”选取评审专家，如采购代理机构未按规定选取专家的，视为本次开评标无效，应当重新采购。</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27.评标的依据</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评标委员会以“第四章 评标方法和评标标准”为依据对投标文件进行评审，没有规定的方法、评审因素和标准，不作为评标依据。</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28.评标原则</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pPr>
        <w:pStyle w:val="14"/>
        <w:snapToGrid w:val="0"/>
        <w:spacing w:line="360" w:lineRule="auto"/>
        <w:ind w:firstLine="420" w:firstLineChars="200"/>
        <w:rPr>
          <w:rFonts w:hAnsi="宋体" w:cs="宋体"/>
          <w:color w:val="auto"/>
          <w:sz w:val="21"/>
          <w:highlight w:val="none"/>
        </w:rPr>
      </w:pPr>
      <w:bookmarkStart w:id="117" w:name="_28.3评标方法。本项目将按须知前附表规定的评标办法进行评标，具体评标"/>
      <w:bookmarkEnd w:id="117"/>
      <w:r>
        <w:rPr>
          <w:rFonts w:hint="eastAsia" w:hAnsi="宋体" w:cs="宋体"/>
          <w:color w:val="auto"/>
          <w:sz w:val="21"/>
          <w:highlight w:val="none"/>
        </w:rPr>
        <w:t>28.2评委表决。评标委员会成员对需要共同认定的事项存在争议的，应当按照少数服从多数的原则作出结论。</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pPr>
        <w:pStyle w:val="14"/>
        <w:snapToGrid w:val="0"/>
        <w:spacing w:line="360" w:lineRule="auto"/>
        <w:ind w:firstLine="420" w:firstLineChars="200"/>
        <w:rPr>
          <w:rFonts w:hAnsi="宋体" w:cs="宋体"/>
          <w:b/>
          <w:color w:val="auto"/>
          <w:sz w:val="21"/>
          <w:highlight w:val="none"/>
        </w:rPr>
      </w:pPr>
      <w:r>
        <w:rPr>
          <w:rFonts w:hint="eastAsia" w:hAnsi="宋体" w:cs="宋体"/>
          <w:color w:val="auto"/>
          <w:sz w:val="21"/>
          <w:highlight w:val="none"/>
        </w:rPr>
        <w:t>28.4评标过程的监控。本项目电子评标过程实行网上留痕、全程录音、录像监控，</w:t>
      </w:r>
      <w:r>
        <w:rPr>
          <w:rFonts w:hint="eastAsia" w:hAnsi="宋体" w:cs="宋体"/>
          <w:b/>
          <w:color w:val="auto"/>
          <w:sz w:val="21"/>
          <w:highlight w:val="none"/>
        </w:rPr>
        <w:t>投标人在评标过程中所进行的试图影响评标结果的不公正活动，可能导致其投标按无效处理。</w:t>
      </w:r>
    </w:p>
    <w:p>
      <w:pPr>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highlight w:val="none"/>
        </w:rPr>
        <w:t>28.5</w:t>
      </w:r>
      <w:r>
        <w:rPr>
          <w:rFonts w:hint="eastAsia" w:ascii="宋体" w:hAnsi="宋体" w:cs="宋体"/>
          <w:b/>
          <w:color w:val="auto"/>
          <w:highlight w:val="none"/>
        </w:rPr>
        <w:t>异常低价审查</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根据《关于推动解决政府采购异常低价问题的通知》（财库〔2026〕2号）的规定，本项目明确内容如下：</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（一）政府采购评审中出现下列情形之一的，评审委员会应当启动异常低价投标（响应）审查程序：</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1.投标（响应）报价低于全部通过符合性审查供应商投标（响应）报价平均值</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%的，即投标（响应）报价&lt;全部通过符合性审查供应商投标（响应）报价平均值×</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2.投标（响应）报价低于通过符合性审查的次低报价供应商投标（响应）报价</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%的，即投标（响应）报价&lt;通过符合性审查的次低报价供应商投标（响应）报价×</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3.投标（响应）报价低于采购项目最高限价</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%的，即投标（响应）报价&lt;采购项目最高限价×</w:t>
      </w:r>
      <w:r>
        <w:rPr>
          <w:rFonts w:hint="eastAsia" w:ascii="宋体" w:hAnsi="宋体"/>
          <w:b/>
          <w:color w:val="auto"/>
          <w:szCs w:val="21"/>
          <w:highlight w:val="none"/>
          <w:lang w:val="en-US" w:eastAsia="zh-CN"/>
        </w:rPr>
        <w:t>65</w:t>
      </w:r>
      <w:r>
        <w:rPr>
          <w:rFonts w:hint="eastAsia" w:ascii="宋体" w:hAnsi="宋体" w:eastAsia="宋体"/>
          <w:b/>
          <w:color w:val="auto"/>
          <w:szCs w:val="21"/>
          <w:highlight w:val="none"/>
        </w:rPr>
        <w:t>%；</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4.评审委员会基于专业判断，认为供应商报价过低，有可能影响产品质量或者不能诚信履约的其他情形。</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相关法律法规对供应商报价有规定的，从其规定。</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before="120"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异常低价投标（响应）审查的启动原因、审查意见和审查结果应当在评审报告中记录，并随供应商提供的相关书面说明及证明材料，以及评审委员会有关互联网浏览、查询历史一并归档。</w:t>
      </w:r>
    </w:p>
    <w:p>
      <w:pPr>
        <w:spacing w:line="360" w:lineRule="auto"/>
        <w:ind w:firstLine="422" w:firstLineChars="200"/>
        <w:jc w:val="left"/>
        <w:rPr>
          <w:rFonts w:ascii="宋体" w:hAnsi="宋体" w:cs="宋体"/>
          <w:color w:val="auto"/>
          <w:highlight w:val="none"/>
        </w:rPr>
      </w:pPr>
      <w:r>
        <w:rPr>
          <w:rFonts w:hint="eastAsia" w:ascii="宋体" w:hAnsi="宋体" w:eastAsia="宋体"/>
          <w:b/>
          <w:color w:val="auto"/>
          <w:szCs w:val="21"/>
          <w:highlight w:val="none"/>
        </w:rPr>
        <w:t>书面证明应当按照 “第四章  评标方法及评标标准二、评标程序3.澄清补正”的规定提交。</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29.评标方法及中标候选人推荐</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29.1本项目的评标方法详见“投标人须知前附表”。</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29.2中标候选人推荐数量详见“投标人须知前附表”。</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电子交易活动的中止。采购过程中出现以下情形，导致电子交易平台无法正常运行，或者无法保证电子交易的公平、公正和安全时，采购代理机构可以中止电子交易活动：</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（5）其他无法保证电子交易的公平、公正和安全的情况。</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pPr>
        <w:pStyle w:val="5"/>
        <w:keepNext w:val="0"/>
        <w:keepLines w:val="0"/>
        <w:spacing w:line="360" w:lineRule="auto"/>
        <w:jc w:val="center"/>
        <w:rPr>
          <w:rFonts w:ascii="宋体" w:hAnsi="宋体" w:cs="宋体"/>
          <w:color w:val="auto"/>
          <w:highlight w:val="none"/>
        </w:rPr>
      </w:pPr>
      <w:bookmarkStart w:id="118" w:name="_Toc254970687"/>
      <w:bookmarkEnd w:id="118"/>
      <w:bookmarkStart w:id="119" w:name="_Toc254970546"/>
      <w:bookmarkEnd w:id="119"/>
      <w:r>
        <w:rPr>
          <w:rFonts w:hint="eastAsia" w:ascii="宋体" w:hAnsi="宋体" w:cs="宋体"/>
          <w:color w:val="auto"/>
          <w:highlight w:val="none"/>
        </w:rPr>
        <w:t>七、中标和合同</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30确定中标人</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30.3出现下列情形之一的，应予废标：</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（1）符合专业条件的供应商或者对招标文件作实质响应的供应商不足三家的；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（3）投标人的报价均超过了采购预算，采购人不能支付的；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（4）因重大变故，采购任务取消的。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废标后，采购人应当将废标理由通知所有投标人。</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31. 结果公告</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pPr>
        <w:pStyle w:val="6"/>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31.3中标供应商享受《国务院办公厅关于在政府采购中实施本国产品标准及相关政策的通知》（国办发〔2025〕34号）规定的本国产品标准政策的，采购人、采购代理机构应当随中标结果公开中标供应商的《关于符合本国产品标准的声明函》。</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32.发出中标通知书</w:t>
      </w:r>
    </w:p>
    <w:p>
      <w:pPr>
        <w:pStyle w:val="6"/>
        <w:keepNext w:val="0"/>
        <w:keepLines w:val="0"/>
        <w:spacing w:before="0" w:after="0" w:line="360" w:lineRule="auto"/>
        <w:rPr>
          <w:rFonts w:ascii="宋体" w:hAnsi="宋体" w:cs="宋体"/>
          <w:b w:val="0"/>
          <w:color w:val="auto"/>
          <w:sz w:val="21"/>
          <w:szCs w:val="21"/>
          <w:highlight w:val="none"/>
        </w:rPr>
      </w:pPr>
      <w:r>
        <w:rPr>
          <w:rFonts w:hint="eastAsia" w:ascii="宋体" w:hAnsi="宋体" w:cs="宋体"/>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采购代理机构无义务向未中标的投标人解释未中标原因。</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34.合同授予标准</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35.履约保证金</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bookmarkStart w:id="120" w:name="_39.1中标人须于签订合同前按本须知前附表规定的金额转账或电汇到指定账"/>
      <w:bookmarkEnd w:id="120"/>
      <w:r>
        <w:rPr>
          <w:rFonts w:hint="eastAsia" w:ascii="宋体" w:hAnsi="宋体" w:cs="宋体"/>
          <w:b w:val="0"/>
          <w:color w:val="auto"/>
          <w:sz w:val="21"/>
          <w:szCs w:val="21"/>
          <w:highlight w:val="none"/>
        </w:rPr>
        <w:t>35.1 履约保证金的金额、提交方式、退付的时间和条件详见 “投标人须知前附表”。中标人未按规定提交履约保证金的，视为拒绝与采购人签订合同。</w:t>
      </w:r>
    </w:p>
    <w:p>
      <w:pPr>
        <w:pStyle w:val="6"/>
        <w:keepNext w:val="0"/>
        <w:keepLines w:val="0"/>
        <w:spacing w:before="0" w:after="0" w:line="360" w:lineRule="auto"/>
        <w:ind w:firstLine="315" w:firstLineChars="150"/>
        <w:rPr>
          <w:rFonts w:ascii="宋体" w:hAnsi="宋体" w:cs="宋体"/>
          <w:color w:val="auto"/>
          <w:sz w:val="21"/>
          <w:szCs w:val="21"/>
          <w:highlight w:val="none"/>
        </w:rPr>
      </w:pPr>
      <w:r>
        <w:rPr>
          <w:rFonts w:hint="eastAsia" w:ascii="宋体" w:hAnsi="宋体" w:cs="宋体"/>
          <w:b w:val="0"/>
          <w:bCs/>
          <w:color w:val="auto"/>
          <w:sz w:val="21"/>
          <w:szCs w:val="21"/>
          <w:highlight w:val="none"/>
        </w:rPr>
        <w:t>35.2在履约保证金退还日期前，若中标人的开户名称、开户银行、帐号有变动的，请以书面形式通知履约保证金收取单位，否则由此产生的后果由中标人自行承担。</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36.签订合同</w:t>
      </w:r>
    </w:p>
    <w:p>
      <w:pPr>
        <w:pStyle w:val="6"/>
        <w:keepNext w:val="0"/>
        <w:keepLines w:val="0"/>
        <w:spacing w:before="0" w:after="0" w:line="360" w:lineRule="auto"/>
        <w:ind w:firstLine="316" w:firstLineChars="150"/>
        <w:rPr>
          <w:rFonts w:ascii="宋体" w:hAnsi="宋体" w:cs="宋体"/>
          <w:b w:val="0"/>
          <w:color w:val="auto"/>
          <w:sz w:val="21"/>
          <w:szCs w:val="21"/>
          <w:highlight w:val="none"/>
        </w:rPr>
      </w:pPr>
      <w:bookmarkStart w:id="121" w:name="_40.1投标人接到中标通知书后，按须知前附表规定向采购人出示相关资格证"/>
      <w:bookmarkEnd w:id="121"/>
      <w:r>
        <w:rPr>
          <w:rFonts w:hint="eastAsia" w:ascii="宋体" w:hAnsi="宋体" w:cs="宋体"/>
          <w:color w:val="auto"/>
          <w:sz w:val="21"/>
          <w:szCs w:val="21"/>
          <w:highlight w:val="none"/>
        </w:rPr>
        <w:t>36.1签订电子采购合同：中标人领取电子中标通知书后，</w:t>
      </w:r>
      <w:r>
        <w:rPr>
          <w:rFonts w:hint="eastAsia" w:ascii="宋体" w:hAnsi="宋体" w:cs="宋体"/>
          <w:color w:val="auto"/>
          <w:kern w:val="0"/>
          <w:sz w:val="21"/>
          <w:szCs w:val="21"/>
          <w:highlight w:val="none"/>
        </w:rPr>
        <w:t>在</w:t>
      </w:r>
      <w:r>
        <w:rPr>
          <w:rFonts w:hint="eastAsia" w:ascii="宋体" w:hAnsi="宋体" w:cs="宋体"/>
          <w:color w:val="auto"/>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pPr>
        <w:pStyle w:val="6"/>
        <w:keepNext w:val="0"/>
        <w:keepLines w:val="0"/>
        <w:numPr>
          <w:ilvl w:val="0"/>
          <w:numId w:val="0"/>
        </w:numPr>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36.2签订合同时间：按中标通知书规定的时间与采购人签订合同。</w:t>
      </w:r>
    </w:p>
    <w:p>
      <w:pPr>
        <w:pStyle w:val="6"/>
        <w:keepNext w:val="0"/>
        <w:keepLines w:val="0"/>
        <w:spacing w:before="0" w:after="0" w:line="360" w:lineRule="auto"/>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36.6如签订合同并生效后，供应商无故拒绝或延期，除按照合同条款处理外，将承担相应的法律责任。</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pPr>
        <w:pStyle w:val="6"/>
        <w:keepNext w:val="0"/>
        <w:keepLines w:val="0"/>
        <w:spacing w:before="0" w:after="0" w:line="360" w:lineRule="auto"/>
        <w:ind w:left="420" w:leftChars="200"/>
        <w:rPr>
          <w:rFonts w:ascii="宋体" w:hAnsi="宋体" w:cs="宋体"/>
          <w:color w:val="auto"/>
          <w:sz w:val="24"/>
          <w:highlight w:val="none"/>
        </w:rPr>
      </w:pPr>
      <w:bookmarkStart w:id="122" w:name="_41.政府采购合同公告"/>
      <w:bookmarkEnd w:id="122"/>
      <w:r>
        <w:rPr>
          <w:rFonts w:hint="eastAsia" w:ascii="宋体" w:hAnsi="宋体" w:cs="宋体"/>
          <w:color w:val="auto"/>
          <w:sz w:val="24"/>
          <w:highlight w:val="none"/>
        </w:rPr>
        <w:t>37.政府采购合同公告</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38. 询问、质疑和投诉</w:t>
      </w:r>
    </w:p>
    <w:p>
      <w:pPr>
        <w:pStyle w:val="8"/>
        <w:spacing w:line="360" w:lineRule="auto"/>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（1）对可以质疑的招标文件提出质疑的，为收到招标文件之日或者招标文件公告期限届满之日；</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（2）对采购过程提出质疑的，为各采购程序环节结束之日；</w:t>
      </w:r>
    </w:p>
    <w:p>
      <w:pPr>
        <w:pStyle w:val="14"/>
        <w:snapToGrid w:val="0"/>
        <w:spacing w:line="360" w:lineRule="auto"/>
        <w:ind w:firstLine="420" w:firstLineChars="200"/>
        <w:rPr>
          <w:rFonts w:hAnsi="宋体" w:cs="宋体"/>
          <w:bCs/>
          <w:color w:val="auto"/>
          <w:sz w:val="21"/>
          <w:highlight w:val="none"/>
        </w:rPr>
      </w:pPr>
      <w:r>
        <w:rPr>
          <w:rFonts w:hint="eastAsia" w:hAnsi="宋体" w:cs="宋体"/>
          <w:color w:val="auto"/>
          <w:sz w:val="21"/>
          <w:highlight w:val="none"/>
        </w:rPr>
        <w:t>（3）对中标结果提出质疑的，为中标结果公告期限届满之日。</w:t>
      </w:r>
    </w:p>
    <w:p>
      <w:pPr>
        <w:pStyle w:val="6"/>
        <w:keepNext w:val="0"/>
        <w:keepLines w:val="0"/>
        <w:spacing w:before="0" w:after="0" w:line="360" w:lineRule="auto"/>
        <w:ind w:firstLine="315" w:firstLineChars="150"/>
        <w:rPr>
          <w:rFonts w:ascii="宋体" w:hAnsi="宋体" w:cs="宋体"/>
          <w:b w:val="0"/>
          <w:color w:val="auto"/>
          <w:sz w:val="21"/>
          <w:szCs w:val="21"/>
          <w:highlight w:val="none"/>
        </w:rPr>
      </w:pPr>
      <w:r>
        <w:rPr>
          <w:rFonts w:hint="eastAsia" w:ascii="宋体" w:hAnsi="宋体" w:cs="宋体"/>
          <w:b w:val="0"/>
          <w:color w:val="auto"/>
          <w:sz w:val="21"/>
          <w:szCs w:val="21"/>
          <w:highlight w:val="none"/>
        </w:rPr>
        <w:t>38.3</w:t>
      </w:r>
      <w:r>
        <w:rPr>
          <w:rFonts w:hint="eastAsia" w:ascii="宋体" w:hAnsi="宋体" w:cs="宋体"/>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（1）供应商的姓名或者名称、地址、邮编、联系人及联系电话；</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（2）质疑项目的名称、编号；</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（3）具体、明确的质疑事项和与质疑事项相关的请求；</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（4）事实依据；</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（5）必要的法律依据；</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（6）提出质疑的日期。</w:t>
      </w:r>
    </w:p>
    <w:p>
      <w:pPr>
        <w:pStyle w:val="14"/>
        <w:snapToGrid w:val="0"/>
        <w:spacing w:line="360" w:lineRule="auto"/>
        <w:ind w:firstLine="420" w:firstLineChars="200"/>
        <w:rPr>
          <w:rFonts w:hAnsi="宋体" w:cs="宋体"/>
          <w:bCs/>
          <w:color w:val="auto"/>
          <w:sz w:val="21"/>
          <w:highlight w:val="none"/>
        </w:rPr>
      </w:pPr>
      <w:r>
        <w:rPr>
          <w:rFonts w:hint="eastAsia" w:hAnsi="宋体" w:cs="宋体"/>
          <w:bCs/>
          <w:color w:val="auto"/>
          <w:sz w:val="21"/>
          <w:highlight w:val="none"/>
        </w:rPr>
        <w:t>供应商为自然人的，应当由本人签字；供应商为法人或者其他组织的，应当由法定代表人、主要负责人，或者其委托代理人签字或者盖章，并加盖公章。</w:t>
      </w:r>
    </w:p>
    <w:p>
      <w:pPr>
        <w:pStyle w:val="6"/>
        <w:keepNext w:val="0"/>
        <w:keepLines w:val="0"/>
        <w:snapToGrid w:val="0"/>
        <w:spacing w:before="0" w:after="0" w:line="360" w:lineRule="auto"/>
        <w:ind w:firstLine="420" w:firstLineChars="200"/>
        <w:rPr>
          <w:rFonts w:ascii="宋体" w:hAnsi="宋体" w:cs="宋体"/>
          <w:b w:val="0"/>
          <w:bCs/>
          <w:color w:val="auto"/>
          <w:sz w:val="21"/>
          <w:szCs w:val="21"/>
          <w:highlight w:val="none"/>
        </w:rPr>
      </w:pPr>
      <w:r>
        <w:rPr>
          <w:rFonts w:hint="eastAsia" w:ascii="宋体" w:hAnsi="宋体" w:cs="宋体"/>
          <w:b w:val="0"/>
          <w:color w:val="auto"/>
          <w:sz w:val="21"/>
          <w:szCs w:val="21"/>
          <w:highlight w:val="none"/>
        </w:rPr>
        <w:t>3</w:t>
      </w:r>
      <w:r>
        <w:rPr>
          <w:rFonts w:hint="eastAsia" w:ascii="宋体" w:hAnsi="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pPr>
        <w:pStyle w:val="14"/>
        <w:snapToGrid w:val="0"/>
        <w:spacing w:line="360" w:lineRule="auto"/>
        <w:ind w:firstLine="420"/>
        <w:rPr>
          <w:rFonts w:hAnsi="宋体" w:cs="宋体"/>
          <w:bCs/>
          <w:color w:val="auto"/>
          <w:sz w:val="21"/>
          <w:highlight w:val="none"/>
        </w:rPr>
      </w:pPr>
      <w:r>
        <w:rPr>
          <w:rFonts w:hint="eastAsia" w:hAnsi="宋体" w:cs="宋体"/>
          <w:bCs/>
          <w:color w:val="auto"/>
          <w:sz w:val="21"/>
          <w:highlight w:val="none"/>
        </w:rPr>
        <w:t>　　（一）对招标文件提出的质疑，依法通过澄清或者修改可以继续开展采购活动的，澄清或者修改招标文件后继续开展采购活动；否则应当修改招标文件后重新开展采购活动。</w:t>
      </w:r>
    </w:p>
    <w:p>
      <w:pPr>
        <w:pStyle w:val="14"/>
        <w:snapToGrid w:val="0"/>
        <w:spacing w:line="360" w:lineRule="auto"/>
        <w:ind w:firstLine="420"/>
        <w:rPr>
          <w:rFonts w:hAnsi="宋体" w:cs="宋体"/>
          <w:bCs/>
          <w:color w:val="auto"/>
          <w:sz w:val="21"/>
          <w:highlight w:val="none"/>
        </w:rPr>
      </w:pPr>
      <w:r>
        <w:rPr>
          <w:rFonts w:hint="eastAsia" w:hAnsi="宋体" w:cs="宋体"/>
          <w:bCs/>
          <w:color w:val="auto"/>
          <w:sz w:val="21"/>
          <w:highlight w:val="none"/>
        </w:rPr>
        <w:t>　　（二）对采购过程、中标结果提出的质疑，合格供应商符合法定数量时，可以从合格的中标候选人中另行确定中标供应商的，应当依法另行确定中标供应商；否则应当重新开展采购活动。</w:t>
      </w:r>
    </w:p>
    <w:p>
      <w:pPr>
        <w:pStyle w:val="14"/>
        <w:snapToGrid w:val="0"/>
        <w:spacing w:line="360" w:lineRule="auto"/>
        <w:ind w:firstLine="420"/>
        <w:rPr>
          <w:rFonts w:hAnsi="宋体" w:cs="宋体"/>
          <w:bCs/>
          <w:color w:val="auto"/>
          <w:sz w:val="21"/>
          <w:highlight w:val="none"/>
        </w:rPr>
      </w:pPr>
      <w:r>
        <w:rPr>
          <w:rFonts w:hint="eastAsia" w:hAnsi="宋体" w:cs="宋体"/>
          <w:bCs/>
          <w:color w:val="auto"/>
          <w:sz w:val="21"/>
          <w:highlight w:val="none"/>
        </w:rPr>
        <w:t>质疑答复导致中标结果改变的，采购人或者采购代理机构应当将有关情况书面报告本级财政部门。</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pStyle w:val="5"/>
        <w:keepNext w:val="0"/>
        <w:keepLines w:val="0"/>
        <w:spacing w:line="360" w:lineRule="auto"/>
        <w:jc w:val="center"/>
        <w:rPr>
          <w:rFonts w:ascii="宋体" w:hAnsi="宋体" w:cs="宋体"/>
          <w:color w:val="auto"/>
          <w:highlight w:val="none"/>
        </w:rPr>
      </w:pPr>
      <w:r>
        <w:rPr>
          <w:rFonts w:hint="eastAsia" w:ascii="宋体" w:hAnsi="宋体" w:cs="宋体"/>
          <w:color w:val="auto"/>
          <w:highlight w:val="none"/>
        </w:rPr>
        <w:t>八、其他事项</w:t>
      </w:r>
    </w:p>
    <w:p>
      <w:pPr>
        <w:pStyle w:val="6"/>
        <w:keepNext w:val="0"/>
        <w:keepLines w:val="0"/>
        <w:spacing w:before="0" w:after="0" w:line="360" w:lineRule="auto"/>
        <w:ind w:left="420" w:leftChars="200"/>
        <w:rPr>
          <w:rFonts w:ascii="宋体" w:hAnsi="宋体" w:cs="宋体"/>
          <w:color w:val="auto"/>
          <w:sz w:val="24"/>
          <w:highlight w:val="none"/>
        </w:rPr>
      </w:pPr>
      <w:bookmarkStart w:id="123" w:name="_42.代理服务费"/>
      <w:bookmarkEnd w:id="123"/>
      <w:r>
        <w:rPr>
          <w:rFonts w:hint="eastAsia" w:ascii="宋体" w:hAnsi="宋体" w:cs="宋体"/>
          <w:color w:val="auto"/>
          <w:sz w:val="24"/>
          <w:highlight w:val="none"/>
        </w:rPr>
        <w:t>39.代理服务费</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39.1代理服务收取标准及缴费账户详见“投标人须知前附表”，投标人为联合体的，可以由联合体中的一方或者多方共同交纳代理服务费。</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39.2代理服务收费标准：</w:t>
      </w:r>
    </w:p>
    <w:tbl>
      <w:tblPr>
        <w:tblStyle w:val="25"/>
        <w:tblW w:w="84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Borders>
              <w:tl2br w:val="single" w:color="auto" w:sz="4" w:space="0"/>
            </w:tcBorders>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费率</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中标金额</w:t>
            </w:r>
          </w:p>
        </w:tc>
        <w:tc>
          <w:tcPr>
            <w:tcW w:w="1659" w:type="dxa"/>
            <w:vAlign w:val="center"/>
          </w:tcPr>
          <w:p>
            <w:pPr>
              <w:spacing w:line="360" w:lineRule="auto"/>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货物招标</w:t>
            </w:r>
          </w:p>
        </w:tc>
        <w:tc>
          <w:tcPr>
            <w:tcW w:w="1687"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服务招标</w:t>
            </w:r>
          </w:p>
        </w:tc>
        <w:tc>
          <w:tcPr>
            <w:tcW w:w="1659" w:type="dxa"/>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Pr>
          <w:p>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1.5% </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1.5%</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100～500万元</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0.8%</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500～1000万元</w:t>
            </w:r>
          </w:p>
        </w:tc>
        <w:tc>
          <w:tcPr>
            <w:tcW w:w="1659" w:type="dxa"/>
          </w:tcPr>
          <w:p>
            <w:pPr>
              <w:spacing w:line="360" w:lineRule="auto"/>
              <w:rPr>
                <w:rFonts w:ascii="宋体" w:hAnsi="宋体" w:cs="宋体"/>
                <w:color w:val="auto"/>
                <w:szCs w:val="21"/>
                <w:highlight w:val="none"/>
              </w:rPr>
            </w:pPr>
            <w:r>
              <w:rPr>
                <w:rFonts w:hint="eastAsia" w:ascii="宋体" w:hAnsi="宋体" w:cs="宋体"/>
                <w:color w:val="auto"/>
                <w:kern w:val="0"/>
                <w:szCs w:val="21"/>
                <w:highlight w:val="none"/>
              </w:rPr>
              <w:t xml:space="preserve">0.8% </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0.45%</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1000～5000万元</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0.25%</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0.1%</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1～5亿元</w:t>
            </w:r>
          </w:p>
        </w:tc>
        <w:tc>
          <w:tcPr>
            <w:tcW w:w="1659"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0.05%</w:t>
            </w:r>
          </w:p>
        </w:tc>
        <w:tc>
          <w:tcPr>
            <w:tcW w:w="168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c>
          <w:tcPr>
            <w:tcW w:w="1659"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5～10亿元</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c>
          <w:tcPr>
            <w:tcW w:w="1687"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0.035%</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10～50亿元</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0.008%</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50～100亿元</w:t>
            </w:r>
          </w:p>
        </w:tc>
        <w:tc>
          <w:tcPr>
            <w:tcW w:w="1659"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0.006%</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0.006%</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472"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100亿以上</w:t>
            </w:r>
          </w:p>
        </w:tc>
        <w:tc>
          <w:tcPr>
            <w:tcW w:w="1659" w:type="dxa"/>
          </w:tcPr>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0.004%</w:t>
            </w:r>
          </w:p>
        </w:tc>
        <w:tc>
          <w:tcPr>
            <w:tcW w:w="1687" w:type="dxa"/>
          </w:tcPr>
          <w:p>
            <w:pPr>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0.004%</w:t>
            </w:r>
          </w:p>
        </w:tc>
        <w:tc>
          <w:tcPr>
            <w:tcW w:w="1659" w:type="dxa"/>
          </w:tcPr>
          <w:p>
            <w:pPr>
              <w:spacing w:line="360" w:lineRule="auto"/>
              <w:ind w:firstLine="105" w:firstLineChars="50"/>
              <w:rPr>
                <w:rFonts w:ascii="宋体" w:hAnsi="宋体" w:cs="宋体"/>
                <w:color w:val="auto"/>
                <w:szCs w:val="21"/>
                <w:highlight w:val="none"/>
              </w:rPr>
            </w:pPr>
            <w:r>
              <w:rPr>
                <w:rFonts w:hint="eastAsia" w:ascii="宋体" w:hAnsi="宋体" w:cs="宋体"/>
                <w:color w:val="auto"/>
                <w:szCs w:val="21"/>
                <w:highlight w:val="none"/>
              </w:rPr>
              <w:t>0.004%</w:t>
            </w:r>
          </w:p>
        </w:tc>
      </w:tr>
    </w:tbl>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例如：某货物采购代理业务中标金额或者暂定价为200万元，计算采购代理收费额如下：</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100 万元×l.5 ％＝ 1.5 万元</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200 － 100 ）万元 ×1.1％＝1.1万元</w:t>
      </w:r>
    </w:p>
    <w:p>
      <w:pPr>
        <w:pStyle w:val="14"/>
        <w:snapToGrid w:val="0"/>
        <w:spacing w:before="120" w:after="120" w:line="360" w:lineRule="auto"/>
        <w:ind w:firstLine="420" w:firstLineChars="200"/>
        <w:rPr>
          <w:rFonts w:hAnsi="宋体" w:cs="宋体"/>
          <w:color w:val="auto"/>
          <w:sz w:val="21"/>
          <w:highlight w:val="none"/>
        </w:rPr>
      </w:pPr>
      <w:r>
        <w:rPr>
          <w:rFonts w:hint="eastAsia" w:hAnsi="宋体" w:cs="宋体"/>
          <w:color w:val="auto"/>
          <w:sz w:val="21"/>
          <w:highlight w:val="none"/>
        </w:rPr>
        <w:t>合计收费＝（1.5+1.1）*0.8＝ 2.08 （万元）</w:t>
      </w:r>
    </w:p>
    <w:p>
      <w:pPr>
        <w:pStyle w:val="6"/>
        <w:keepNext w:val="0"/>
        <w:keepLines w:val="0"/>
        <w:spacing w:before="0" w:after="0" w:line="360" w:lineRule="auto"/>
        <w:ind w:left="420" w:leftChars="200"/>
        <w:rPr>
          <w:rFonts w:ascii="宋体" w:hAnsi="宋体" w:cs="宋体"/>
          <w:color w:val="auto"/>
          <w:sz w:val="24"/>
          <w:highlight w:val="none"/>
        </w:rPr>
      </w:pPr>
      <w:r>
        <w:rPr>
          <w:rFonts w:hint="eastAsia" w:ascii="宋体" w:hAnsi="宋体" w:cs="宋体"/>
          <w:color w:val="auto"/>
          <w:sz w:val="24"/>
          <w:highlight w:val="none"/>
        </w:rPr>
        <w:t>40. 需要补充的其他内容</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40.1本招标文件解释规则详见“投标人须知前附表”。</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40.2 其他事项详见“投标人须知前附表”。</w:t>
      </w:r>
    </w:p>
    <w:p>
      <w:pPr>
        <w:pStyle w:val="14"/>
        <w:spacing w:before="120" w:after="120" w:line="360" w:lineRule="auto"/>
        <w:ind w:firstLine="420" w:firstLineChars="200"/>
        <w:contextualSpacing/>
        <w:rPr>
          <w:rFonts w:hAnsi="宋体" w:cs="宋体"/>
          <w:color w:val="auto"/>
          <w:sz w:val="21"/>
          <w:highlight w:val="none"/>
        </w:rPr>
      </w:pPr>
      <w:bookmarkStart w:id="124" w:name="_Hlk65857140"/>
      <w:r>
        <w:rPr>
          <w:rFonts w:hint="eastAsia" w:hAnsi="宋体" w:cs="宋体"/>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bookmarkEnd w:id="124"/>
    <w:p>
      <w:pPr>
        <w:pStyle w:val="14"/>
        <w:spacing w:before="120" w:after="120"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依据本招标文件规定享受扶持政策获得政府采购合同的，小微企业不得将合同分包给大中型企业，中型企业不得将合同分包给大型企业。</w:t>
      </w:r>
    </w:p>
    <w:p>
      <w:pPr>
        <w:keepNext/>
        <w:keepLines/>
        <w:spacing w:line="360" w:lineRule="auto"/>
        <w:jc w:val="center"/>
        <w:rPr>
          <w:rFonts w:ascii="宋体" w:hAnsi="宋体" w:cs="宋体"/>
          <w:color w:val="auto"/>
          <w:highlight w:val="none"/>
        </w:rPr>
      </w:pPr>
      <w:bookmarkStart w:id="125" w:name="_Toc254970689"/>
      <w:bookmarkEnd w:id="125"/>
      <w:bookmarkStart w:id="126" w:name="_Toc254970548"/>
      <w:bookmarkEnd w:id="126"/>
      <w:bookmarkStart w:id="127" w:name="_Toc330456896"/>
      <w:bookmarkEnd w:id="127"/>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rPr>
          <w:rFonts w:ascii="宋体" w:hAnsi="宋体" w:cs="宋体"/>
          <w:color w:val="auto"/>
          <w:highlight w:val="none"/>
        </w:rPr>
      </w:pPr>
      <w:r>
        <w:rPr>
          <w:rFonts w:hint="eastAsia" w:ascii="宋体" w:hAnsi="宋体" w:cs="宋体"/>
          <w:color w:val="auto"/>
          <w:highlight w:val="none"/>
        </w:rPr>
        <w:br w:type="page"/>
      </w:r>
    </w:p>
    <w:p>
      <w:pPr>
        <w:pStyle w:val="3"/>
        <w:spacing w:line="360" w:lineRule="auto"/>
        <w:jc w:val="center"/>
        <w:rPr>
          <w:rFonts w:ascii="宋体" w:hAnsi="宋体" w:cs="宋体"/>
          <w:color w:val="auto"/>
          <w:highlight w:val="none"/>
        </w:rPr>
      </w:pPr>
      <w:bookmarkStart w:id="128" w:name="_Toc21740"/>
      <w:r>
        <w:rPr>
          <w:rFonts w:hint="eastAsia" w:ascii="宋体" w:hAnsi="宋体" w:cs="宋体"/>
          <w:color w:val="auto"/>
          <w:highlight w:val="none"/>
        </w:rPr>
        <w:t>第四章  评标方法及评标标准</w:t>
      </w:r>
      <w:bookmarkEnd w:id="128"/>
    </w:p>
    <w:p>
      <w:pPr>
        <w:pStyle w:val="4"/>
        <w:keepNext w:val="0"/>
        <w:keepLines w:val="0"/>
        <w:spacing w:line="360" w:lineRule="auto"/>
        <w:jc w:val="center"/>
        <w:rPr>
          <w:rFonts w:ascii="宋体" w:hAnsi="宋体" w:eastAsia="宋体" w:cs="宋体"/>
          <w:color w:val="auto"/>
          <w:sz w:val="30"/>
          <w:szCs w:val="30"/>
          <w:highlight w:val="none"/>
        </w:rPr>
      </w:pPr>
      <w:bookmarkStart w:id="129" w:name="_Toc24421"/>
      <w:bookmarkStart w:id="130" w:name="_Toc13091"/>
      <w:bookmarkStart w:id="131" w:name="_Toc3611"/>
      <w:bookmarkStart w:id="132" w:name="_Toc513"/>
      <w:r>
        <w:rPr>
          <w:rFonts w:hint="eastAsia" w:ascii="宋体" w:hAnsi="宋体" w:eastAsia="宋体" w:cs="宋体"/>
          <w:color w:val="auto"/>
          <w:sz w:val="30"/>
          <w:szCs w:val="30"/>
          <w:highlight w:val="none"/>
        </w:rPr>
        <w:t>一、评标方法</w:t>
      </w:r>
      <w:bookmarkEnd w:id="129"/>
      <w:bookmarkEnd w:id="130"/>
      <w:bookmarkEnd w:id="131"/>
      <w:bookmarkEnd w:id="132"/>
    </w:p>
    <w:p>
      <w:pPr>
        <w:pStyle w:val="14"/>
        <w:spacing w:line="360" w:lineRule="auto"/>
        <w:ind w:firstLine="420"/>
        <w:rPr>
          <w:rFonts w:hAnsi="宋体" w:cs="宋体"/>
          <w:color w:val="auto"/>
          <w:sz w:val="21"/>
          <w:highlight w:val="none"/>
        </w:rPr>
      </w:pPr>
      <w:r>
        <w:rPr>
          <w:rFonts w:hint="eastAsia" w:hAnsi="宋体" w:cs="宋体"/>
          <w:color w:val="auto"/>
          <w:sz w:val="21"/>
          <w:highlight w:val="none"/>
        </w:rPr>
        <w:t>综合评分法，是指投标文件满足招标文件全部实质性要求，且按照评审因素的量化指标评审得分最高的投标人为中标候选人的评标方法。</w:t>
      </w:r>
    </w:p>
    <w:p>
      <w:pPr>
        <w:pStyle w:val="4"/>
        <w:keepNext w:val="0"/>
        <w:keepLines w:val="0"/>
        <w:spacing w:line="360" w:lineRule="auto"/>
        <w:jc w:val="center"/>
        <w:rPr>
          <w:rFonts w:ascii="宋体" w:hAnsi="宋体" w:eastAsia="宋体" w:cs="宋体"/>
          <w:color w:val="auto"/>
          <w:sz w:val="30"/>
          <w:szCs w:val="30"/>
          <w:highlight w:val="none"/>
        </w:rPr>
      </w:pPr>
      <w:bookmarkStart w:id="133" w:name="_Toc21980"/>
      <w:bookmarkStart w:id="134" w:name="_Toc30926"/>
      <w:bookmarkStart w:id="135" w:name="_Toc19892"/>
      <w:bookmarkStart w:id="136" w:name="_Toc17879"/>
      <w:r>
        <w:rPr>
          <w:rFonts w:hint="eastAsia" w:ascii="宋体" w:hAnsi="宋体" w:eastAsia="宋体" w:cs="宋体"/>
          <w:color w:val="auto"/>
          <w:sz w:val="30"/>
          <w:szCs w:val="30"/>
          <w:highlight w:val="none"/>
        </w:rPr>
        <w:t>二、评标程序</w:t>
      </w:r>
      <w:bookmarkEnd w:id="133"/>
      <w:bookmarkEnd w:id="134"/>
      <w:bookmarkEnd w:id="135"/>
      <w:bookmarkEnd w:id="136"/>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1.符合性审查</w:t>
      </w:r>
    </w:p>
    <w:p>
      <w:pPr>
        <w:pStyle w:val="14"/>
        <w:snapToGrid w:val="0"/>
        <w:spacing w:line="360" w:lineRule="auto"/>
        <w:ind w:left="1" w:firstLine="422"/>
        <w:rPr>
          <w:rFonts w:hAnsi="宋体" w:cs="宋体"/>
          <w:b/>
          <w:color w:val="auto"/>
          <w:kern w:val="2"/>
          <w:sz w:val="21"/>
          <w:highlight w:val="none"/>
        </w:rPr>
      </w:pPr>
      <w:r>
        <w:rPr>
          <w:rFonts w:hint="eastAsia" w:hAnsi="宋体" w:cs="宋体"/>
          <w:b/>
          <w:color w:val="auto"/>
          <w:kern w:val="2"/>
          <w:sz w:val="21"/>
          <w:highlight w:val="none"/>
        </w:rPr>
        <w:t>评标委员会应当对符合资格的投标人的投标文件进行投标报价、商务、技术等实质性内容符合性审查，以确定其是否满足招标文件的实质性要求。</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2.符合性审查不通过而导致投标无效的情形</w:t>
      </w:r>
    </w:p>
    <w:p>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2.1在报价评审时，如发现下列情形之一的，将被视为投标无效：</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未提供“投标人须知前附表”第13.1条规定中“必须提供”的文件资料的；</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各分标报价超出招标文件相应分标规定最高限价，或者超出相应分标采购预算金额的；</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pPr>
        <w:pStyle w:val="8"/>
        <w:numPr>
          <w:ilvl w:val="0"/>
          <w:numId w:val="2"/>
        </w:numPr>
        <w:spacing w:line="360" w:lineRule="auto"/>
        <w:ind w:firstLine="422"/>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2.2在商务评审时，如发现下列情形之一的，将被视为投标无效：</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委托代理人未能出具有效身份证或者出具的身份证与授权委托书中的信息不符的；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未响应招标文件实质性要求的；</w:t>
      </w:r>
    </w:p>
    <w:p>
      <w:pPr>
        <w:numPr>
          <w:ilvl w:val="0"/>
          <w:numId w:val="3"/>
        </w:num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法律、法规和招标文件规定的其他无效情形。</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2.3在技术评审时，如发现下列情形之一的，将被视为投标无效：</w:t>
      </w:r>
    </w:p>
    <w:p>
      <w:pPr>
        <w:pStyle w:val="12"/>
        <w:snapToGrid w:val="0"/>
        <w:spacing w:line="360" w:lineRule="auto"/>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pPr>
        <w:pStyle w:val="12"/>
        <w:snapToGrid w:val="0"/>
        <w:spacing w:line="360" w:lineRule="auto"/>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pPr>
        <w:pStyle w:val="12"/>
        <w:snapToGrid w:val="0"/>
        <w:spacing w:line="360" w:lineRule="auto"/>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pPr>
        <w:pStyle w:val="12"/>
        <w:snapToGrid w:val="0"/>
        <w:spacing w:line="360" w:lineRule="auto"/>
        <w:ind w:firstLine="413" w:firstLineChars="196"/>
        <w:rPr>
          <w:rFonts w:ascii="宋体" w:hAnsi="宋体" w:eastAsia="宋体" w:cs="宋体"/>
          <w:b/>
          <w:color w:val="auto"/>
          <w:kern w:val="2"/>
          <w:sz w:val="21"/>
          <w:szCs w:val="21"/>
          <w:highlight w:val="none"/>
        </w:rPr>
      </w:pPr>
      <w:bookmarkStart w:id="137" w:name="_Hlk71706244"/>
      <w:bookmarkEnd w:id="137"/>
      <w:r>
        <w:rPr>
          <w:rFonts w:hint="eastAsia" w:ascii="宋体" w:hAnsi="宋体" w:eastAsia="宋体" w:cs="宋体"/>
          <w:b/>
          <w:color w:val="auto"/>
          <w:kern w:val="2"/>
          <w:sz w:val="21"/>
          <w:szCs w:val="21"/>
          <w:highlight w:val="none"/>
        </w:rPr>
        <w:t>（4）招标文件未载明允许提供备选（替代）投标方案或明确不允许提供备选（替代）投标方案时，投标人提供了备选（替代）投标方案的；</w:t>
      </w:r>
    </w:p>
    <w:p>
      <w:pPr>
        <w:pStyle w:val="12"/>
        <w:snapToGrid w:val="0"/>
        <w:spacing w:line="360" w:lineRule="auto"/>
        <w:ind w:firstLine="413" w:firstLineChars="196"/>
        <w:rPr>
          <w:rFonts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（5）未响应招标文件实质性要求的。</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3.澄清补正</w:t>
      </w:r>
    </w:p>
    <w:p>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4.投标文件修正</w:t>
      </w:r>
    </w:p>
    <w:p>
      <w:pPr>
        <w:pStyle w:val="6"/>
        <w:keepNext w:val="0"/>
        <w:keepLines w:val="0"/>
        <w:spacing w:before="0" w:after="0" w:line="360" w:lineRule="auto"/>
        <w:ind w:left="420" w:leftChars="200"/>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4.1投标文件报价出现前后不一致的，按照下列规定修正： </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（1）投标文件中开标一览表（报价表）内容与投标文件中相应内容不一致的，以开标一览表（报价表）为准；</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（2）大写金额和小写金额不一致的，以大写金额为准；</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（3）单价金额小数点或者百分比有明显错位的，以开标一览表的总价为准，并修改单价；</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（4）总价金额与按单价汇总金额不一致的，以单价金额计算结果为准。</w:t>
      </w:r>
    </w:p>
    <w:p>
      <w:pPr>
        <w:pStyle w:val="14"/>
        <w:snapToGrid w:val="0"/>
        <w:spacing w:line="360" w:lineRule="auto"/>
        <w:ind w:firstLine="420" w:firstLineChars="200"/>
        <w:rPr>
          <w:rFonts w:hAnsi="宋体" w:cs="宋体"/>
          <w:color w:val="auto"/>
          <w:sz w:val="21"/>
          <w:highlight w:val="none"/>
        </w:rPr>
      </w:pPr>
      <w:r>
        <w:rPr>
          <w:rFonts w:hint="eastAsia" w:hAnsi="宋体" w:cs="宋体"/>
          <w:color w:val="auto"/>
          <w:sz w:val="21"/>
          <w:highlight w:val="none"/>
        </w:rPr>
        <w:t>同时出现两种以上不一致的，按照以上（1）-（4）规定的顺序修正。修正后的报价经投标人确认后产生约束力，投标人不确认的，</w:t>
      </w:r>
      <w:r>
        <w:rPr>
          <w:rFonts w:hint="eastAsia" w:hAnsi="宋体" w:cs="宋体"/>
          <w:b/>
          <w:color w:val="auto"/>
          <w:kern w:val="2"/>
          <w:sz w:val="21"/>
          <w:highlight w:val="none"/>
        </w:rPr>
        <w:t>其投标无效</w:t>
      </w:r>
      <w:r>
        <w:rPr>
          <w:rFonts w:hint="eastAsia" w:hAnsi="宋体" w:cs="宋体"/>
          <w:color w:val="auto"/>
          <w:sz w:val="21"/>
          <w:highlight w:val="none"/>
        </w:rPr>
        <w:t>。</w:t>
      </w:r>
    </w:p>
    <w:p>
      <w:pPr>
        <w:pStyle w:val="6"/>
        <w:keepNext w:val="0"/>
        <w:keepLines w:val="0"/>
        <w:spacing w:before="0" w:after="0" w:line="360" w:lineRule="auto"/>
        <w:rPr>
          <w:rFonts w:ascii="宋体" w:hAnsi="宋体" w:cs="宋体"/>
          <w:b w:val="0"/>
          <w:color w:val="auto"/>
          <w:sz w:val="21"/>
          <w:szCs w:val="21"/>
          <w:highlight w:val="none"/>
        </w:rPr>
      </w:pPr>
      <w:r>
        <w:rPr>
          <w:rFonts w:hint="eastAsia" w:ascii="宋体" w:hAnsi="宋体" w:cs="宋体"/>
          <w:b w:val="0"/>
          <w:color w:val="auto"/>
          <w:sz w:val="21"/>
          <w:szCs w:val="21"/>
          <w:highlight w:val="none"/>
        </w:rPr>
        <w:t xml:space="preserve">    4.2经投标人确认修正后的报价若超过采购预算金额或者最高限价，</w:t>
      </w:r>
      <w:r>
        <w:rPr>
          <w:rFonts w:hint="eastAsia" w:ascii="宋体" w:hAnsi="宋体" w:cs="宋体"/>
          <w:color w:val="auto"/>
          <w:sz w:val="21"/>
          <w:szCs w:val="21"/>
          <w:highlight w:val="none"/>
        </w:rPr>
        <w:t>投标人的投标文件作无效投标处理</w:t>
      </w:r>
      <w:r>
        <w:rPr>
          <w:rFonts w:hint="eastAsia" w:ascii="宋体" w:hAnsi="宋体" w:cs="宋体"/>
          <w:b w:val="0"/>
          <w:color w:val="auto"/>
          <w:sz w:val="21"/>
          <w:szCs w:val="21"/>
          <w:highlight w:val="none"/>
        </w:rPr>
        <w:t>。</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pPr>
        <w:pStyle w:val="6"/>
        <w:keepNext w:val="0"/>
        <w:keepLines w:val="0"/>
        <w:spacing w:before="0" w:after="0"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5.比较与评价</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5.1采用综合评分法的</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5.2采用</w:t>
      </w:r>
      <w:r>
        <w:rPr>
          <w:rFonts w:hint="eastAsia" w:ascii="宋体" w:hAnsi="宋体" w:cs="宋体"/>
          <w:color w:val="auto"/>
          <w:highlight w:val="none"/>
        </w:rPr>
        <w:t>最低评标价法</w:t>
      </w:r>
      <w:r>
        <w:rPr>
          <w:rFonts w:hint="eastAsia" w:ascii="宋体" w:hAnsi="宋体" w:cs="宋体"/>
          <w:color w:val="auto"/>
          <w:szCs w:val="21"/>
          <w:highlight w:val="none"/>
        </w:rPr>
        <w:t>的</w:t>
      </w:r>
    </w:p>
    <w:p>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（1）评标委员会按照招标文件中规定的评标方法及评标标准，对符合性审查合格的投标文件报价进行比较。</w:t>
      </w:r>
    </w:p>
    <w:p>
      <w:pPr>
        <w:snapToGrid w:val="0"/>
        <w:spacing w:line="360" w:lineRule="auto"/>
        <w:ind w:firstLine="399" w:firstLineChars="202"/>
        <w:jc w:val="left"/>
        <w:rPr>
          <w:rFonts w:ascii="宋体" w:hAnsi="宋体" w:cs="宋体"/>
          <w:color w:val="auto"/>
          <w:spacing w:val="-6"/>
          <w:szCs w:val="21"/>
          <w:highlight w:val="none"/>
        </w:rPr>
      </w:pPr>
      <w:r>
        <w:rPr>
          <w:rFonts w:hint="eastAsia" w:ascii="宋体" w:hAnsi="宋体" w:cs="宋体"/>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color w:val="auto"/>
          <w:spacing w:val="-6"/>
          <w:szCs w:val="21"/>
          <w:highlight w:val="none"/>
        </w:rPr>
        <w:t>投标人不能证明其报价合理性的，评标委员会将其作为无效投标处理</w:t>
      </w:r>
      <w:r>
        <w:rPr>
          <w:rFonts w:hint="eastAsia" w:ascii="宋体" w:hAnsi="宋体" w:cs="宋体"/>
          <w:color w:val="auto"/>
          <w:spacing w:val="-6"/>
          <w:szCs w:val="21"/>
          <w:highlight w:val="none"/>
        </w:rPr>
        <w:t>。</w:t>
      </w:r>
    </w:p>
    <w:p>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（3）评标委员会按照招标文件中的规定推荐中标候选人。</w:t>
      </w:r>
    </w:p>
    <w:p>
      <w:pPr>
        <w:snapToGrid w:val="0"/>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pPr>
        <w:snapToGrid w:val="0"/>
        <w:spacing w:line="360" w:lineRule="auto"/>
        <w:ind w:firstLine="424" w:firstLineChars="202"/>
        <w:jc w:val="center"/>
        <w:outlineLvl w:val="1"/>
        <w:rPr>
          <w:rFonts w:ascii="宋体" w:hAnsi="宋体" w:cs="宋体"/>
          <w:color w:val="auto"/>
          <w:highlight w:val="none"/>
        </w:rPr>
      </w:pPr>
      <w:r>
        <w:rPr>
          <w:rFonts w:hint="eastAsia" w:ascii="宋体" w:hAnsi="宋体" w:cs="宋体"/>
          <w:color w:val="auto"/>
          <w:highlight w:val="none"/>
        </w:rPr>
        <w:br w:type="page"/>
      </w:r>
      <w:bookmarkStart w:id="138" w:name="_Toc32762"/>
      <w:bookmarkStart w:id="139" w:name="_Toc7685"/>
      <w:bookmarkStart w:id="140" w:name="_Toc14484"/>
      <w:bookmarkStart w:id="141" w:name="_Toc21993"/>
      <w:r>
        <w:rPr>
          <w:rFonts w:hint="eastAsia" w:ascii="宋体" w:hAnsi="宋体" w:cs="宋体"/>
          <w:b/>
          <w:bCs/>
          <w:color w:val="auto"/>
          <w:sz w:val="32"/>
          <w:szCs w:val="32"/>
          <w:highlight w:val="none"/>
        </w:rPr>
        <w:t>三、评标标准</w:t>
      </w:r>
      <w:bookmarkEnd w:id="138"/>
      <w:bookmarkEnd w:id="139"/>
      <w:bookmarkEnd w:id="140"/>
      <w:bookmarkEnd w:id="141"/>
    </w:p>
    <w:p>
      <w:pPr>
        <w:spacing w:line="360" w:lineRule="auto"/>
        <w:jc w:val="center"/>
        <w:rPr>
          <w:rFonts w:ascii="宋体" w:hAnsi="宋体" w:cs="宋体"/>
          <w:b/>
          <w:bCs/>
          <w:color w:val="auto"/>
          <w:sz w:val="24"/>
          <w:highlight w:val="none"/>
        </w:rPr>
      </w:pPr>
      <w:r>
        <w:rPr>
          <w:rFonts w:hint="eastAsia" w:ascii="宋体" w:hAnsi="宋体" w:cs="宋体"/>
          <w:b/>
          <w:bCs/>
          <w:color w:val="auto"/>
          <w:highlight w:val="none"/>
        </w:rPr>
        <w:t>综合评分法</w:t>
      </w:r>
    </w:p>
    <w:tbl>
      <w:tblPr>
        <w:tblStyle w:val="25"/>
        <w:tblW w:w="94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48"/>
        <w:gridCol w:w="1329"/>
        <w:gridCol w:w="6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color w:val="auto"/>
                <w:szCs w:val="21"/>
                <w:highlight w:val="none"/>
              </w:rPr>
            </w:pPr>
            <w:r>
              <w:rPr>
                <w:rFonts w:hint="eastAsia" w:ascii="宋体" w:hAnsi="宋体" w:cs="宋体"/>
                <w:b/>
                <w:color w:val="auto"/>
                <w:szCs w:val="21"/>
                <w:highlight w:val="none"/>
              </w:rPr>
              <w:t>序号</w:t>
            </w:r>
          </w:p>
        </w:tc>
        <w:tc>
          <w:tcPr>
            <w:tcW w:w="1329"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评分因素</w:t>
            </w:r>
          </w:p>
        </w:tc>
        <w:tc>
          <w:tcPr>
            <w:tcW w:w="654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color w:val="auto"/>
                <w:szCs w:val="21"/>
                <w:highlight w:val="none"/>
              </w:rPr>
            </w:pPr>
            <w:r>
              <w:rPr>
                <w:rFonts w:hint="eastAsia" w:ascii="宋体" w:hAnsi="宋体" w:cs="宋体"/>
                <w:b/>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1</w:t>
            </w: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价格分</w:t>
            </w:r>
          </w:p>
          <w:p>
            <w:pPr>
              <w:adjustRightInd w:val="0"/>
              <w:spacing w:line="360" w:lineRule="auto"/>
              <w:jc w:val="center"/>
              <w:textAlignment w:val="baseline"/>
              <w:rPr>
                <w:rFonts w:ascii="宋体" w:hAnsi="宋体" w:cs="宋体"/>
                <w:color w:val="auto"/>
                <w:szCs w:val="21"/>
                <w:highlight w:val="none"/>
              </w:rPr>
            </w:pPr>
            <w:r>
              <w:rPr>
                <w:rFonts w:hint="eastAsia" w:ascii="宋体" w:hAnsi="宋体" w:cs="宋体"/>
                <w:b/>
                <w:color w:val="auto"/>
                <w:szCs w:val="21"/>
                <w:highlight w:val="none"/>
              </w:rPr>
              <w:t>（30分）</w:t>
            </w:r>
          </w:p>
        </w:tc>
        <w:tc>
          <w:tcPr>
            <w:tcW w:w="1329"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color w:val="auto"/>
                <w:szCs w:val="21"/>
                <w:highlight w:val="none"/>
              </w:rPr>
            </w:pPr>
            <w:r>
              <w:rPr>
                <w:rFonts w:hint="eastAsia" w:ascii="宋体" w:hAnsi="宋体" w:cs="宋体"/>
                <w:color w:val="auto"/>
                <w:szCs w:val="21"/>
                <w:highlight w:val="none"/>
              </w:rPr>
              <w:t>投标报价（满分30分）</w:t>
            </w:r>
          </w:p>
        </w:tc>
        <w:tc>
          <w:tcPr>
            <w:tcW w:w="65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（1）评标报价为投标人的投标报价进行政策性扣除后的价格，评标报价只是作为评标时使用。最终中标人的中标金额等于投标报价。</w:t>
            </w:r>
          </w:p>
          <w:p>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（2）政策性扣除计算方法。</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根据《政府采购促进中小企业发展管理办法》（财库〔2020〕46号）及</w:t>
            </w:r>
            <w:r>
              <w:rPr>
                <w:rFonts w:hint="eastAsia" w:ascii="宋体" w:hAnsi="宋体" w:cs="宋体"/>
                <w:b/>
                <w:bCs/>
                <w:color w:val="auto"/>
                <w:szCs w:val="21"/>
                <w:highlight w:val="none"/>
              </w:rPr>
              <w:t>《</w:t>
            </w:r>
            <w:r>
              <w:rPr>
                <w:rFonts w:hint="eastAsia" w:ascii="宋体" w:hAnsi="宋体" w:cs="宋体"/>
                <w:bCs/>
                <w:color w:val="auto"/>
                <w:szCs w:val="21"/>
                <w:highlight w:val="none"/>
              </w:rPr>
              <w:t>广西壮族自治区财政厅关于持续优化政府采购营商环境推动高质量发展的通知</w:t>
            </w:r>
            <w:r>
              <w:rPr>
                <w:rFonts w:hint="eastAsia" w:ascii="宋体" w:hAnsi="宋体" w:cs="宋体"/>
                <w:b/>
                <w:bCs/>
                <w:color w:val="auto"/>
                <w:szCs w:val="21"/>
                <w:highlight w:val="none"/>
              </w:rPr>
              <w:t>》（</w:t>
            </w:r>
            <w:r>
              <w:rPr>
                <w:rFonts w:hint="eastAsia" w:ascii="宋体" w:hAnsi="宋体" w:cs="宋体"/>
                <w:bCs/>
                <w:color w:val="auto"/>
                <w:szCs w:val="21"/>
                <w:highlight w:val="none"/>
              </w:rPr>
              <w:t>桂财采〔2024〕55号</w:t>
            </w:r>
            <w:r>
              <w:rPr>
                <w:rFonts w:hint="eastAsia" w:ascii="宋体" w:hAnsi="宋体" w:cs="宋体"/>
                <w:b/>
                <w:bCs/>
                <w:color w:val="auto"/>
                <w:szCs w:val="21"/>
                <w:highlight w:val="none"/>
              </w:rPr>
              <w:t>）</w:t>
            </w:r>
            <w:r>
              <w:rPr>
                <w:rFonts w:hint="eastAsia" w:ascii="宋体" w:hAnsi="宋体" w:cs="宋体"/>
                <w:bCs/>
                <w:color w:val="auto"/>
                <w:szCs w:val="21"/>
                <w:highlight w:val="none"/>
              </w:rPr>
              <w:t>的规定，投标人在其投标文件中提供《中小企业声明函》，且其投标全部货物由小微企业制造的，对其投标报价给予</w:t>
            </w:r>
            <w:r>
              <w:rPr>
                <w:rFonts w:hint="eastAsia" w:ascii="宋体" w:hAnsi="宋体" w:cs="宋体"/>
                <w:bCs/>
                <w:color w:val="auto"/>
                <w:szCs w:val="21"/>
                <w:highlight w:val="none"/>
                <w:u w:val="single"/>
              </w:rPr>
              <w:t>10%</w:t>
            </w:r>
            <w:r>
              <w:rPr>
                <w:rFonts w:hint="eastAsia" w:ascii="宋体" w:hAnsi="宋体" w:cs="宋体"/>
                <w:bCs/>
                <w:color w:val="auto"/>
                <w:szCs w:val="21"/>
                <w:highlight w:val="none"/>
              </w:rPr>
              <w:t>（范围为10%-20%）的扣除，扣除后的价格为评标报价，即评标报价=投标报价×（1-</w:t>
            </w:r>
            <w:r>
              <w:rPr>
                <w:rFonts w:hint="eastAsia" w:ascii="宋体" w:hAnsi="宋体" w:cs="宋体"/>
                <w:bCs/>
                <w:color w:val="auto"/>
                <w:szCs w:val="21"/>
                <w:highlight w:val="none"/>
                <w:u w:val="single"/>
              </w:rPr>
              <w:t>10</w:t>
            </w:r>
            <w:r>
              <w:rPr>
                <w:rFonts w:hint="eastAsia" w:ascii="宋体" w:hAnsi="宋体" w:cs="宋体"/>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szCs w:val="21"/>
                <w:highlight w:val="none"/>
                <w:u w:val="single"/>
              </w:rPr>
              <w:t>4</w:t>
            </w:r>
            <w:r>
              <w:rPr>
                <w:rFonts w:hint="eastAsia" w:ascii="宋体" w:hAnsi="宋体" w:cs="宋体"/>
                <w:bCs/>
                <w:color w:val="auto"/>
                <w:szCs w:val="21"/>
                <w:highlight w:val="none"/>
              </w:rPr>
              <w:t>%（范围为4%-6%）的扣除，用扣除后的价格参加评审，扣除后的价格为评标报价，即评标报价=投标报价×（1-</w:t>
            </w:r>
            <w:r>
              <w:rPr>
                <w:rFonts w:hint="eastAsia" w:ascii="宋体" w:hAnsi="宋体" w:cs="宋体"/>
                <w:bCs/>
                <w:color w:val="auto"/>
                <w:szCs w:val="21"/>
                <w:highlight w:val="none"/>
                <w:u w:val="single"/>
              </w:rPr>
              <w:t>4</w:t>
            </w:r>
            <w:r>
              <w:rPr>
                <w:rFonts w:hint="eastAsia" w:ascii="宋体" w:hAnsi="宋体" w:cs="宋体"/>
                <w:bCs/>
                <w:color w:val="auto"/>
                <w:szCs w:val="21"/>
                <w:highlight w:val="none"/>
              </w:rPr>
              <w:t>%）。除上述情况外，评标报价=投标报价。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当采购项目或者采购包中含有多种产品，投标人为该采购项目或者采购包提供的符合本国产品标准的产品成本之和占该投标人提供的全部产品成本之和的比例达到80%以上时，依法对该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提供的全部产品给予价格评审优惠，即对该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提供的全部产品的总报价给予20%的价格扣除，用扣除后的价格参与评审。</w:t>
            </w:r>
          </w:p>
          <w:p>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cs="宋体"/>
                <w:bCs/>
                <w:color w:val="auto"/>
                <w:szCs w:val="21"/>
                <w:highlight w:val="none"/>
              </w:rPr>
              <w:t>监狱企业属于小型、微型企业的，不重复享受政策。</w:t>
            </w:r>
          </w:p>
          <w:p>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（5）按照</w:t>
            </w:r>
            <w:r>
              <w:rPr>
                <w:rFonts w:hint="eastAsia" w:ascii="宋体" w:hAnsi="宋体" w:cs="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color w:val="auto"/>
                <w:szCs w:val="21"/>
                <w:highlight w:val="none"/>
              </w:rPr>
              <w:t>残疾人福利性单位参加政府采购活动时，应当提供该通知规定的《残疾人福利性单位声明函》，并对声明的真实性负责。</w:t>
            </w:r>
            <w:r>
              <w:rPr>
                <w:rFonts w:hint="eastAsia" w:ascii="宋体" w:hAnsi="宋体" w:cs="宋体"/>
                <w:bCs/>
                <w:color w:val="auto"/>
                <w:szCs w:val="21"/>
                <w:highlight w:val="none"/>
              </w:rPr>
              <w:t>残疾人福利性单位属于小型、微型企业的，不重复享受政策。</w:t>
            </w:r>
          </w:p>
          <w:p>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（6）满足招标文件要求且评标报价最低的评标报价为评标基准价，其价格分为满分。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（7）价格分计算公式： 价格分=（评标基准价／评标报价）×</w:t>
            </w:r>
            <w:r>
              <w:rPr>
                <w:rFonts w:hint="eastAsia" w:ascii="宋体" w:hAnsi="宋体" w:cs="宋体"/>
                <w:bCs/>
                <w:color w:val="auto"/>
                <w:szCs w:val="21"/>
                <w:highlight w:val="none"/>
                <w:u w:val="single"/>
              </w:rPr>
              <w:t>30</w:t>
            </w:r>
            <w:r>
              <w:rPr>
                <w:rFonts w:hint="eastAsia" w:ascii="宋体" w:hAnsi="宋体" w:cs="宋体"/>
                <w:bCs/>
                <w:color w:val="auto"/>
                <w:szCs w:val="21"/>
                <w:highlight w:val="none"/>
              </w:rPr>
              <w:t xml:space="preserve">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2</w:t>
            </w:r>
          </w:p>
        </w:tc>
        <w:tc>
          <w:tcPr>
            <w:tcW w:w="1048" w:type="dxa"/>
            <w:vMerge w:val="restart"/>
            <w:tcBorders>
              <w:top w:val="single" w:color="auto" w:sz="4" w:space="0"/>
              <w:left w:val="single" w:color="auto" w:sz="4" w:space="0"/>
              <w:right w:val="single" w:color="auto" w:sz="4" w:space="0"/>
            </w:tcBorders>
            <w:vAlign w:val="center"/>
          </w:tcPr>
          <w:p>
            <w:pPr>
              <w:adjustRightInd w:val="0"/>
              <w:spacing w:line="360" w:lineRule="auto"/>
              <w:ind w:left="-105" w:leftChars="-50" w:right="-105" w:rightChars="-50"/>
              <w:jc w:val="center"/>
              <w:textAlignment w:val="baseline"/>
              <w:rPr>
                <w:rFonts w:ascii="宋体" w:hAnsi="宋体" w:cs="宋体"/>
                <w:b/>
                <w:bCs/>
                <w:color w:val="auto"/>
                <w:szCs w:val="21"/>
                <w:highlight w:val="none"/>
              </w:rPr>
            </w:pPr>
            <w:r>
              <w:rPr>
                <w:rFonts w:hint="eastAsia" w:ascii="宋体" w:hAnsi="宋体" w:cs="宋体"/>
                <w:b/>
                <w:bCs/>
                <w:color w:val="auto"/>
                <w:szCs w:val="21"/>
                <w:highlight w:val="none"/>
              </w:rPr>
              <w:t>技术分</w:t>
            </w:r>
          </w:p>
          <w:p>
            <w:pPr>
              <w:adjustRightInd w:val="0"/>
              <w:spacing w:line="360" w:lineRule="auto"/>
              <w:ind w:left="-105" w:leftChars="-50" w:right="-105" w:rightChars="-50"/>
              <w:jc w:val="center"/>
              <w:textAlignment w:val="baseline"/>
              <w:rPr>
                <w:rFonts w:ascii="宋体" w:hAnsi="宋体" w:cs="宋体"/>
                <w:color w:val="auto"/>
                <w:spacing w:val="-18"/>
                <w:szCs w:val="21"/>
                <w:highlight w:val="none"/>
              </w:rPr>
            </w:pPr>
            <w:r>
              <w:rPr>
                <w:rFonts w:hint="eastAsia" w:ascii="宋体" w:hAnsi="宋体" w:cs="宋体"/>
                <w:b/>
                <w:bCs/>
                <w:color w:val="auto"/>
                <w:szCs w:val="21"/>
                <w:highlight w:val="none"/>
              </w:rPr>
              <w:t>（</w:t>
            </w:r>
            <w:r>
              <w:rPr>
                <w:rFonts w:hint="eastAsia" w:ascii="宋体" w:hAnsi="宋体" w:cs="宋体"/>
                <w:b/>
                <w:color w:val="auto"/>
                <w:szCs w:val="21"/>
                <w:highlight w:val="none"/>
              </w:rPr>
              <w:t>满分</w:t>
            </w:r>
            <w:r>
              <w:rPr>
                <w:rFonts w:hint="eastAsia" w:ascii="宋体" w:hAnsi="宋体" w:cs="宋体"/>
                <w:b/>
                <w:color w:val="auto"/>
                <w:szCs w:val="21"/>
                <w:highlight w:val="none"/>
                <w:u w:val="single"/>
              </w:rPr>
              <w:t>63.5</w:t>
            </w:r>
            <w:r>
              <w:rPr>
                <w:rFonts w:hint="eastAsia" w:ascii="宋体" w:hAnsi="宋体" w:cs="宋体"/>
                <w:b/>
                <w:bCs/>
                <w:color w:val="auto"/>
                <w:szCs w:val="21"/>
                <w:highlight w:val="none"/>
              </w:rPr>
              <w:t>分）</w:t>
            </w:r>
          </w:p>
        </w:tc>
        <w:tc>
          <w:tcPr>
            <w:tcW w:w="13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一般技术参数要求响应得分（满分</w:t>
            </w:r>
            <w:r>
              <w:rPr>
                <w:rFonts w:hint="eastAsia" w:ascii="宋体" w:hAnsi="宋体" w:cs="宋体"/>
                <w:bCs/>
                <w:color w:val="auto"/>
                <w:szCs w:val="21"/>
                <w:highlight w:val="none"/>
                <w:u w:val="single"/>
              </w:rPr>
              <w:t>21</w:t>
            </w:r>
            <w:r>
              <w:rPr>
                <w:rFonts w:hint="eastAsia" w:ascii="宋体" w:hAnsi="宋体" w:cs="宋体"/>
                <w:bCs/>
                <w:color w:val="auto"/>
                <w:szCs w:val="21"/>
                <w:highlight w:val="none"/>
              </w:rPr>
              <w:t>分）</w:t>
            </w:r>
          </w:p>
        </w:tc>
        <w:tc>
          <w:tcPr>
            <w:tcW w:w="6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一般技术参数要求响应得分（共计42项目）：</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一般技术参数要求每1项满足或优于要求的，得0.5分，全部满足要求的，得21分。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注：1、一般技术参数要求是指技术参数要求中未标注“▲”、“●”的技术参数。</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p>
        </w:tc>
        <w:tc>
          <w:tcPr>
            <w:tcW w:w="1048" w:type="dxa"/>
            <w:vMerge w:val="continue"/>
            <w:tcBorders>
              <w:left w:val="single" w:color="auto" w:sz="4" w:space="0"/>
              <w:right w:val="single" w:color="auto" w:sz="4" w:space="0"/>
            </w:tcBorders>
            <w:vAlign w:val="center"/>
          </w:tcPr>
          <w:p>
            <w:pPr>
              <w:adjustRightInd w:val="0"/>
              <w:spacing w:line="360" w:lineRule="auto"/>
              <w:ind w:left="-105" w:leftChars="-50" w:right="-105" w:rightChars="-50"/>
              <w:jc w:val="center"/>
              <w:textAlignment w:val="baseline"/>
              <w:rPr>
                <w:rFonts w:ascii="宋体" w:hAnsi="宋体" w:cs="宋体"/>
                <w:b/>
                <w:bCs/>
                <w:color w:val="auto"/>
                <w:szCs w:val="21"/>
                <w:highlight w:val="none"/>
              </w:rPr>
            </w:pPr>
          </w:p>
        </w:tc>
        <w:tc>
          <w:tcPr>
            <w:tcW w:w="1329" w:type="dxa"/>
            <w:tcBorders>
              <w:left w:val="single" w:color="auto" w:sz="4" w:space="0"/>
              <w:right w:val="single" w:color="auto" w:sz="4" w:space="0"/>
            </w:tcBorders>
            <w:vAlign w:val="center"/>
          </w:tcPr>
          <w:p>
            <w:pPr>
              <w:spacing w:line="360" w:lineRule="auto"/>
              <w:rPr>
                <w:rFonts w:ascii="宋体" w:hAnsi="宋体" w:cs="宋体"/>
                <w:bCs/>
                <w:color w:val="auto"/>
                <w:szCs w:val="21"/>
                <w:highlight w:val="none"/>
              </w:rPr>
            </w:pPr>
            <w:r>
              <w:rPr>
                <w:rFonts w:hint="eastAsia" w:ascii="宋体" w:hAnsi="宋体" w:cs="宋体"/>
                <w:bCs/>
                <w:color w:val="auto"/>
                <w:szCs w:val="21"/>
                <w:highlight w:val="none"/>
              </w:rPr>
              <w:t>重要技术参数要求响应得分（满分</w:t>
            </w:r>
            <w:r>
              <w:rPr>
                <w:rFonts w:hint="eastAsia" w:ascii="宋体" w:hAnsi="宋体" w:cs="宋体"/>
                <w:bCs/>
                <w:color w:val="auto"/>
                <w:szCs w:val="21"/>
                <w:highlight w:val="none"/>
                <w:u w:val="single"/>
              </w:rPr>
              <w:t>32.5</w:t>
            </w:r>
            <w:r>
              <w:rPr>
                <w:rFonts w:hint="eastAsia" w:ascii="宋体" w:hAnsi="宋体" w:cs="宋体"/>
                <w:bCs/>
                <w:color w:val="auto"/>
                <w:szCs w:val="21"/>
                <w:highlight w:val="none"/>
              </w:rPr>
              <w:t>分）</w:t>
            </w:r>
          </w:p>
        </w:tc>
        <w:tc>
          <w:tcPr>
            <w:tcW w:w="6543" w:type="dxa"/>
            <w:tcBorders>
              <w:top w:val="single" w:color="auto" w:sz="4" w:space="0"/>
              <w:left w:val="single" w:color="auto" w:sz="4" w:space="0"/>
              <w:right w:val="single" w:color="auto" w:sz="4" w:space="0"/>
            </w:tcBorders>
            <w:vAlign w:val="center"/>
          </w:tcPr>
          <w:p>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重要技术参数要求响应得分（共计13项目）：</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（1）投标人所投设备满足或优于技术要求“●2.1.1.1悬吊式机架”的得2.5分。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（2）投标人所投设备满足或优于技术要求“●2.2.4 导管床旋转角度范围≥270°”的得2.5分。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（3）投标人所投设备满足或优于技术要求“●2.2.5 导管床纵向运动范围≥120cm；横向运动范围≥35cm”的得2.5分。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（4）投标人所投设备满足或优于技术要求“●2.3.2 最大管电流≥1000mA”的得2.5分。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（5）投标人所投设备满足或优于技术要求“●2.4.2 液态金属轴承”的得2.5分。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（6）投标人所投设备满足或优于技术要求“●2.4.4球管阳极散热功率≥5000W”的得3分。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（7）投标人所投设备满足或优于技术要求“●2.4.7小焦点≤0.4mm”的得2.5分。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（8）投标人所投设备满足或优于技术要求“●2.4.11大焦点功率≥65kW”的得2.5分。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（9）投标人所投设备满足或优于技术要求“●2.4.12自动实时调节铜滤片≥3档，最厚≥0.9mm”的得2.5分。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（10）投标人所投设备满足或优于技术要求“●2.5.2平板的有效探测面积尺寸≥29 cm X 38cm”的得2.5分。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（11）投标人所投设备满足或优于技术要求“●2.5.4显示最小视野≤ 12cmx12cm”的得2.5分。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（12）投标人所投设备满足或优于技术要求“●2.12.1 可进行图像后处理，后处理功能包括：选择路标图像、电子遮光器、图像反转、附加注解、图像全幅和局部放大、移动放大、可变速度循环播放、造影图像自动窗宽、窗位调整、重定蒙片、手动像素移位、自动像素移位、最大路径和骨标记、多幅图像显示、图像边缘增强、边缘平缓”的得2分。</w:t>
            </w:r>
          </w:p>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（13）投标人所投设备满足或优于技术要求“●2.12.2 可实现定量测量分析”的得2.5分。</w:t>
            </w:r>
          </w:p>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注：1、重要技术参数是指技术参数中标注“●”的技术参数。必须提供相关证明材料，否则评标委员会可以视为负偏离或不响应。证明材料指对外公开的产品彩页或说明书（体现技术参数，可以是从生产厂家网页下载的PDF或HTM文件或在食品药品监督管理部门备案的技术参数或检测报告或生产厂家盖章的技术参数证明材料）</w:t>
            </w:r>
          </w:p>
          <w:p>
            <w:pPr>
              <w:spacing w:line="360" w:lineRule="auto"/>
              <w:ind w:firstLine="422" w:firstLineChars="200"/>
              <w:rPr>
                <w:rFonts w:ascii="宋体" w:hAnsi="宋体" w:cs="宋体"/>
                <w:bCs/>
                <w:color w:val="auto"/>
                <w:szCs w:val="21"/>
                <w:highlight w:val="none"/>
              </w:rPr>
            </w:pPr>
            <w:r>
              <w:rPr>
                <w:rFonts w:hint="eastAsia" w:ascii="宋体" w:hAnsi="宋体" w:cs="宋体"/>
                <w:b/>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b/>
                <w:color w:val="auto"/>
                <w:szCs w:val="21"/>
                <w:highlight w:val="none"/>
              </w:rPr>
            </w:pPr>
          </w:p>
        </w:tc>
        <w:tc>
          <w:tcPr>
            <w:tcW w:w="1048" w:type="dxa"/>
            <w:vMerge w:val="continue"/>
            <w:tcBorders>
              <w:left w:val="single" w:color="auto" w:sz="4" w:space="0"/>
              <w:right w:val="single" w:color="auto" w:sz="4" w:space="0"/>
            </w:tcBorders>
            <w:vAlign w:val="center"/>
          </w:tcPr>
          <w:p>
            <w:pPr>
              <w:widowControl/>
              <w:spacing w:line="360" w:lineRule="auto"/>
              <w:jc w:val="left"/>
              <w:rPr>
                <w:rFonts w:ascii="宋体" w:hAnsi="宋体" w:cs="宋体"/>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项目实施方案分（满分6分）</w:t>
            </w:r>
          </w:p>
        </w:tc>
        <w:tc>
          <w:tcPr>
            <w:tcW w:w="654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firstLine="422" w:firstLineChars="200"/>
              <w:textAlignment w:val="baseline"/>
              <w:rPr>
                <w:rFonts w:ascii="宋体" w:hAnsi="宋体" w:cs="宋体"/>
                <w:b/>
                <w:color w:val="auto"/>
                <w:szCs w:val="21"/>
                <w:highlight w:val="none"/>
              </w:rPr>
            </w:pPr>
            <w:r>
              <w:rPr>
                <w:rFonts w:hint="eastAsia" w:ascii="宋体" w:hAnsi="宋体" w:cs="宋体"/>
                <w:b/>
                <w:color w:val="auto"/>
                <w:highlight w:val="none"/>
              </w:rPr>
              <w:t>根据投标文件中投标人技术及项目实施方案内容独立评分，未提供方案、方案内容未达一档要求、方案内容有前后矛盾等明显错误的，本项不得分。</w:t>
            </w:r>
          </w:p>
          <w:p>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一档（2分）：</w:t>
            </w:r>
            <w:r>
              <w:rPr>
                <w:rFonts w:hint="eastAsia" w:ascii="宋体" w:hAnsi="宋体" w:cs="宋体"/>
                <w:color w:val="auto"/>
                <w:highlight w:val="none"/>
              </w:rPr>
              <w:t>方案需至少包含项目实施管理组织架构、实施管理措施、实施流程及进度安排、设备配送方案、配送团队配置、安装方案、验收方案、质量保证措施这八项基础模块。</w:t>
            </w:r>
          </w:p>
          <w:p>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二档（4分）：</w:t>
            </w:r>
            <w:r>
              <w:rPr>
                <w:rFonts w:hint="eastAsia" w:ascii="宋体" w:hAnsi="宋体" w:cs="宋体"/>
                <w:color w:val="auto"/>
                <w:highlight w:val="none"/>
              </w:rPr>
              <w:t>在满足一档的基础上，提出了有利于项目执行的初步框架，满足医院采购的合规性与功能性要求，有具体执行细节，不仅对各项基础模块赋予了明确的执行规则、时间节点、人员资质与操作标准，还有针对项目的专项应急方案，内容包括采购服务对接机制、涵盖设备破损与延误等场景的应急处理措施，以及包含性能检测与争议处理的标准化验收流程。</w:t>
            </w:r>
          </w:p>
          <w:p>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三档（6分）：</w:t>
            </w:r>
            <w:r>
              <w:rPr>
                <w:rFonts w:hint="eastAsia" w:ascii="宋体" w:hAnsi="宋体" w:cs="宋体"/>
                <w:color w:val="auto"/>
                <w:highlight w:val="none"/>
              </w:rPr>
              <w:t>在满足二档的基础上，有能应对覆盖本项目所涉区内县域医共体使用单位的集采配送方案。方案须包含至少≥2项由数据或案例支撑的优化建议（如验收效率提升）并被评标委员会认可。整个方案形成目标、标准、责任人、节点与考核指标闭环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vAlign w:val="center"/>
          </w:tcPr>
          <w:p>
            <w:pPr>
              <w:widowControl/>
              <w:spacing w:line="360" w:lineRule="auto"/>
              <w:jc w:val="left"/>
              <w:rPr>
                <w:rFonts w:ascii="宋体" w:hAnsi="宋体" w:cs="宋体"/>
                <w:b/>
                <w:color w:val="auto"/>
                <w:szCs w:val="21"/>
                <w:highlight w:val="none"/>
              </w:rPr>
            </w:pPr>
          </w:p>
        </w:tc>
        <w:tc>
          <w:tcPr>
            <w:tcW w:w="1048" w:type="dxa"/>
            <w:vMerge w:val="continue"/>
            <w:tcBorders>
              <w:left w:val="single" w:color="auto" w:sz="4" w:space="0"/>
              <w:right w:val="single" w:color="auto" w:sz="4" w:space="0"/>
            </w:tcBorders>
            <w:vAlign w:val="center"/>
          </w:tcPr>
          <w:p>
            <w:pPr>
              <w:widowControl/>
              <w:spacing w:line="360" w:lineRule="auto"/>
              <w:jc w:val="left"/>
              <w:rPr>
                <w:rFonts w:ascii="宋体" w:hAnsi="宋体" w:cs="宋体"/>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拟投入技术人员分（满分2分）</w:t>
            </w:r>
          </w:p>
        </w:tc>
        <w:tc>
          <w:tcPr>
            <w:tcW w:w="6543" w:type="dxa"/>
            <w:tcBorders>
              <w:top w:val="single" w:color="auto" w:sz="4" w:space="0"/>
              <w:left w:val="single" w:color="auto" w:sz="4" w:space="0"/>
              <w:bottom w:val="single" w:color="auto" w:sz="4" w:space="0"/>
              <w:right w:val="single" w:color="auto" w:sz="4" w:space="0"/>
            </w:tcBorders>
            <w:vAlign w:val="center"/>
          </w:tcPr>
          <w:p>
            <w:pPr>
              <w:pStyle w:val="24"/>
              <w:spacing w:line="360" w:lineRule="auto"/>
              <w:ind w:firstLine="422"/>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根据投标文件中投标人拟投入技术人员方案内容独立评分，未提供方案或未达一档要求的，本项不得分。</w:t>
            </w:r>
          </w:p>
          <w:p>
            <w:pPr>
              <w:pStyle w:val="24"/>
              <w:spacing w:line="360" w:lineRule="auto"/>
              <w:ind w:firstLine="422"/>
              <w:rPr>
                <w:rFonts w:ascii="宋体" w:hAnsi="宋体" w:eastAsia="宋体" w:cs="宋体"/>
                <w:color w:val="auto"/>
                <w:sz w:val="21"/>
                <w:szCs w:val="21"/>
                <w:highlight w:val="none"/>
              </w:rPr>
            </w:pPr>
            <w:r>
              <w:rPr>
                <w:rFonts w:hint="eastAsia" w:ascii="宋体" w:hAnsi="宋体" w:eastAsia="宋体" w:cs="宋体"/>
                <w:b/>
                <w:color w:val="auto"/>
                <w:sz w:val="21"/>
                <w:szCs w:val="21"/>
                <w:highlight w:val="none"/>
              </w:rPr>
              <w:t>一档（1分）：</w:t>
            </w:r>
            <w:r>
              <w:rPr>
                <w:rFonts w:hint="eastAsia" w:ascii="宋体" w:hAnsi="宋体" w:eastAsia="宋体" w:cs="宋体"/>
                <w:color w:val="auto"/>
                <w:sz w:val="21"/>
                <w:szCs w:val="21"/>
                <w:highlight w:val="none"/>
              </w:rPr>
              <w:t>明确安装调试及验收阶段拟投入≥1名的服务人员，且人员需提供医疗器械相关专业背景证明或制造商技术技能认证，数量与资质满足项目实施需求。</w:t>
            </w:r>
          </w:p>
          <w:p>
            <w:pPr>
              <w:pStyle w:val="24"/>
              <w:spacing w:line="360" w:lineRule="auto"/>
              <w:ind w:firstLine="422"/>
              <w:rPr>
                <w:rFonts w:ascii="宋体" w:hAnsi="宋体" w:eastAsia="宋体" w:cs="宋体"/>
                <w:color w:val="auto"/>
                <w:sz w:val="21"/>
                <w:szCs w:val="21"/>
                <w:highlight w:val="none"/>
              </w:rPr>
            </w:pPr>
            <w:r>
              <w:rPr>
                <w:rFonts w:hint="eastAsia" w:ascii="宋体" w:hAnsi="宋体" w:eastAsia="宋体" w:cs="宋体"/>
                <w:b/>
                <w:color w:val="auto"/>
                <w:sz w:val="21"/>
                <w:szCs w:val="21"/>
                <w:highlight w:val="none"/>
              </w:rPr>
              <w:t>二档（2分）：</w:t>
            </w:r>
            <w:r>
              <w:rPr>
                <w:rFonts w:hint="eastAsia" w:ascii="宋体" w:hAnsi="宋体" w:eastAsia="宋体" w:cs="宋体"/>
                <w:color w:val="auto"/>
                <w:sz w:val="21"/>
                <w:szCs w:val="21"/>
                <w:highlight w:val="none"/>
              </w:rPr>
              <w:t>满足一档全部要求基础上，额外明确安装调试及验收阶段配置覆盖所有使用单位不少于2人的专家技术梯队，梯队成员需提供3年以上本项目设备服务经验证明且至少1人主导过2个及以上同类设备项目成功部署证明；同时承诺质保期内配置常驻本区域，常驻支持团队人数不少于1人，所有成员均提供制造商技术技能认证，至少1人提供医疗器械相关专业中级及以上职称证书，且明确团队服务热线及响应时限</w:t>
            </w:r>
            <w:r>
              <w:rPr>
                <w:rFonts w:hint="eastAsia" w:ascii="宋体" w:hAnsi="宋体" w:eastAsia="宋体"/>
                <w:color w:val="auto"/>
                <w:sz w:val="21"/>
                <w:szCs w:val="21"/>
                <w:highlight w:val="none"/>
              </w:rPr>
              <w:t>、驻点地址等</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color w:val="auto"/>
                <w:szCs w:val="21"/>
                <w:highlight w:val="none"/>
              </w:rPr>
            </w:pPr>
          </w:p>
        </w:tc>
        <w:tc>
          <w:tcPr>
            <w:tcW w:w="1048" w:type="dxa"/>
            <w:vMerge w:val="continue"/>
            <w:tcBorders>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培训计划分（满分2分）</w:t>
            </w:r>
          </w:p>
        </w:tc>
        <w:tc>
          <w:tcPr>
            <w:tcW w:w="6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根据投标文件中投标人培训方案内容独立评分，未提供方案或未达一档要求的，本项不得分。</w:t>
            </w:r>
          </w:p>
          <w:p>
            <w:pPr>
              <w:adjustRightInd w:val="0"/>
              <w:spacing w:line="360" w:lineRule="auto"/>
              <w:ind w:firstLine="422" w:firstLineChars="200"/>
              <w:textAlignment w:val="baseline"/>
              <w:rPr>
                <w:rFonts w:ascii="宋体" w:hAnsi="宋体" w:cs="宋体"/>
                <w:color w:val="auto"/>
                <w:szCs w:val="21"/>
                <w:highlight w:val="none"/>
              </w:rPr>
            </w:pPr>
            <w:r>
              <w:rPr>
                <w:rFonts w:hint="eastAsia" w:ascii="宋体" w:hAnsi="宋体" w:cs="宋体"/>
                <w:b/>
                <w:color w:val="auto"/>
                <w:szCs w:val="21"/>
                <w:highlight w:val="none"/>
              </w:rPr>
              <w:t>一档（1分）：</w:t>
            </w:r>
            <w:r>
              <w:rPr>
                <w:rFonts w:hint="eastAsia" w:ascii="宋体" w:hAnsi="宋体" w:cs="宋体"/>
                <w:color w:val="auto"/>
                <w:szCs w:val="21"/>
                <w:highlight w:val="none"/>
              </w:rPr>
              <w:t>提供覆盖本项目所涉区内所有县域医共体使用单位的培训初步计划，明确承诺为每个使用单位提供不少于1次现场培训，列出的培训课程核心提纲需包含设备基本原理、标准操作流程、日常保养规范内容，覆盖所有使用单位基础标准化操作指导需求。</w:t>
            </w:r>
          </w:p>
          <w:p>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二档（2分）：</w:t>
            </w:r>
            <w:r>
              <w:rPr>
                <w:rFonts w:hint="eastAsia" w:ascii="宋体" w:hAnsi="宋体" w:cs="宋体"/>
                <w:color w:val="auto"/>
                <w:szCs w:val="21"/>
                <w:highlight w:val="none"/>
              </w:rPr>
              <w:t>满足一档全部要求基础上，额外明确拟派培训人员需具备3年以上同类医疗设备培训经验，拟派培训人员姓名及资质证明、每个使用单位培训具体时间、单次培训覆盖人数，培训形式含实操、考核环节，培训内容增加设备功能理论讲解、简单故障排除，同时提供培训资料，形成全流程覆盖的完整培训体系，且培训内容、人员、时间与所有使用单位需求完全匹配，支撑人员独立完成设备操作与基础故障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 xml:space="preserve"> 3</w:t>
            </w:r>
          </w:p>
        </w:tc>
        <w:tc>
          <w:tcPr>
            <w:tcW w:w="1048" w:type="dxa"/>
            <w:vMerge w:val="restart"/>
            <w:tcBorders>
              <w:top w:val="single" w:color="auto" w:sz="4" w:space="0"/>
              <w:left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bCs/>
                <w:color w:val="auto"/>
                <w:szCs w:val="21"/>
                <w:highlight w:val="none"/>
              </w:rPr>
              <w:t>售后服务分（</w:t>
            </w:r>
            <w:r>
              <w:rPr>
                <w:rFonts w:hint="eastAsia" w:ascii="宋体" w:hAnsi="宋体" w:cs="宋体"/>
                <w:b/>
                <w:color w:val="auto"/>
                <w:szCs w:val="21"/>
                <w:highlight w:val="none"/>
              </w:rPr>
              <w:t>满分</w:t>
            </w:r>
            <w:r>
              <w:rPr>
                <w:rFonts w:hint="eastAsia" w:ascii="宋体" w:hAnsi="宋体" w:cs="宋体"/>
                <w:b/>
                <w:color w:val="auto"/>
                <w:szCs w:val="21"/>
                <w:highlight w:val="none"/>
                <w:u w:val="single"/>
              </w:rPr>
              <w:t>3.5分</w:t>
            </w:r>
            <w:r>
              <w:rPr>
                <w:rFonts w:hint="eastAsia" w:ascii="宋体" w:hAnsi="宋体" w:cs="宋体"/>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售后服务方案分</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（满分2分）</w:t>
            </w:r>
          </w:p>
        </w:tc>
        <w:tc>
          <w:tcPr>
            <w:tcW w:w="654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22" w:firstLineChars="200"/>
              <w:rPr>
                <w:rFonts w:ascii="宋体" w:hAnsi="宋体" w:cs="宋体"/>
                <w:b/>
                <w:color w:val="auto"/>
                <w:szCs w:val="21"/>
                <w:highlight w:val="none"/>
              </w:rPr>
            </w:pPr>
            <w:r>
              <w:rPr>
                <w:rFonts w:hint="eastAsia" w:ascii="宋体" w:hAnsi="宋体" w:cs="宋体"/>
                <w:b/>
                <w:color w:val="auto"/>
                <w:highlight w:val="none"/>
              </w:rPr>
              <w:t>根据投标文件中投标人售后服务方案独立评分，未提供或未达一档要求的，本项不得分。</w:t>
            </w:r>
          </w:p>
          <w:p>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一档（1分）：</w:t>
            </w:r>
            <w:r>
              <w:rPr>
                <w:rFonts w:hint="eastAsia" w:ascii="宋体" w:hAnsi="宋体" w:cs="宋体"/>
                <w:color w:val="auto"/>
                <w:highlight w:val="none"/>
              </w:rPr>
              <w:t>能提供售后服务方案，内容包含但不限于服务承诺、售后服务团队配置、服务保障体系、响应时间、服务流程、应急预案、技术服务表单，满足招标文件基本要求。</w:t>
            </w:r>
          </w:p>
          <w:p>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二档（2分）：</w:t>
            </w:r>
            <w:r>
              <w:rPr>
                <w:rFonts w:hint="eastAsia" w:ascii="宋体" w:hAnsi="宋体" w:cs="宋体"/>
                <w:color w:val="auto"/>
                <w:highlight w:val="none"/>
              </w:rPr>
              <w:t>在满足一档的基础上，服务团队职责分工明确，发生故障时提供备用机或其他替代解决的具体措施、故障分类响应流程、售后服务质量保障方案、质保期外维修方案，售后服务有保障，服务内容及保障措施完整详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7" w:hRule="atLeast"/>
          <w:jc w:val="center"/>
        </w:trPr>
        <w:tc>
          <w:tcPr>
            <w:tcW w:w="563" w:type="dxa"/>
            <w:vMerge w:val="continue"/>
            <w:tcBorders>
              <w:left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p>
        </w:tc>
        <w:tc>
          <w:tcPr>
            <w:tcW w:w="1048" w:type="dxa"/>
            <w:vMerge w:val="continue"/>
            <w:tcBorders>
              <w:left w:val="single" w:color="auto" w:sz="4" w:space="0"/>
              <w:right w:val="single" w:color="auto" w:sz="4" w:space="0"/>
            </w:tcBorders>
            <w:vAlign w:val="center"/>
          </w:tcPr>
          <w:p>
            <w:pPr>
              <w:spacing w:line="360" w:lineRule="auto"/>
              <w:jc w:val="center"/>
              <w:rPr>
                <w:rFonts w:ascii="宋体" w:hAnsi="宋体" w:cs="宋体"/>
                <w:b/>
                <w:bCs/>
                <w:color w:val="auto"/>
                <w:szCs w:val="21"/>
                <w:highlight w:val="none"/>
              </w:rPr>
            </w:pPr>
          </w:p>
        </w:tc>
        <w:tc>
          <w:tcPr>
            <w:tcW w:w="1329"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质保期（包修期）（满分</w:t>
            </w:r>
            <w:r>
              <w:rPr>
                <w:rFonts w:hint="eastAsia" w:ascii="宋体" w:hAnsi="宋体" w:cs="宋体"/>
                <w:b/>
                <w:color w:val="auto"/>
                <w:szCs w:val="21"/>
                <w:highlight w:val="none"/>
                <w:u w:val="single"/>
              </w:rPr>
              <w:t xml:space="preserve">1.5  </w:t>
            </w:r>
            <w:r>
              <w:rPr>
                <w:rFonts w:hint="eastAsia" w:ascii="宋体" w:hAnsi="宋体" w:cs="宋体"/>
                <w:color w:val="auto"/>
                <w:szCs w:val="21"/>
                <w:highlight w:val="none"/>
              </w:rPr>
              <w:t>分）</w:t>
            </w:r>
          </w:p>
        </w:tc>
        <w:tc>
          <w:tcPr>
            <w:tcW w:w="654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ind w:firstLine="420" w:firstLineChars="200"/>
              <w:textAlignment w:val="baseline"/>
              <w:rPr>
                <w:rFonts w:ascii="宋体" w:hAnsi="宋体" w:cs="宋体"/>
                <w:color w:val="auto"/>
                <w:szCs w:val="21"/>
                <w:highlight w:val="none"/>
              </w:rPr>
            </w:pPr>
            <w:r>
              <w:rPr>
                <w:rFonts w:hint="eastAsia" w:ascii="宋体" w:hAnsi="宋体" w:cs="宋体"/>
                <w:color w:val="auto"/>
                <w:szCs w:val="21"/>
                <w:highlight w:val="none"/>
              </w:rPr>
              <w:t>整机在满足基本质保期（包修期）（3年）的基础上，免费保修期每延长6个月得 0.5分（以设备生产厂家承诺为准，投标文件中提供厂家证明文件复印件加盖投标单位公章），满分1.5分。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4</w:t>
            </w:r>
          </w:p>
        </w:tc>
        <w:tc>
          <w:tcPr>
            <w:tcW w:w="1048"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b/>
                <w:color w:val="auto"/>
                <w:szCs w:val="21"/>
                <w:highlight w:val="none"/>
              </w:rPr>
            </w:pPr>
            <w:r>
              <w:rPr>
                <w:rFonts w:hint="eastAsia" w:ascii="宋体" w:hAnsi="宋体" w:cs="宋体"/>
                <w:b/>
                <w:bCs/>
                <w:color w:val="auto"/>
                <w:szCs w:val="21"/>
                <w:highlight w:val="none"/>
              </w:rPr>
              <w:t>信誉分（</w:t>
            </w:r>
            <w:r>
              <w:rPr>
                <w:rFonts w:hint="eastAsia" w:ascii="宋体" w:hAnsi="宋体" w:cs="宋体"/>
                <w:b/>
                <w:color w:val="auto"/>
                <w:szCs w:val="21"/>
                <w:highlight w:val="none"/>
              </w:rPr>
              <w:t>满分</w:t>
            </w:r>
            <w:r>
              <w:rPr>
                <w:rFonts w:hint="eastAsia" w:ascii="宋体" w:hAnsi="宋体" w:cs="宋体"/>
                <w:b/>
                <w:color w:val="auto"/>
                <w:szCs w:val="21"/>
                <w:highlight w:val="none"/>
                <w:u w:val="single"/>
              </w:rPr>
              <w:t xml:space="preserve">2 </w:t>
            </w:r>
            <w:r>
              <w:rPr>
                <w:rFonts w:hint="eastAsia" w:ascii="宋体" w:hAnsi="宋体" w:cs="宋体"/>
                <w:b/>
                <w:color w:val="auto"/>
                <w:szCs w:val="21"/>
                <w:highlight w:val="none"/>
              </w:rPr>
              <w:t>分</w:t>
            </w:r>
            <w:r>
              <w:rPr>
                <w:rFonts w:hint="eastAsia" w:ascii="宋体" w:hAnsi="宋体" w:cs="宋体"/>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信誉及业绩</w:t>
            </w:r>
            <w:r>
              <w:rPr>
                <w:rFonts w:hint="eastAsia" w:ascii="宋体" w:hAnsi="宋体" w:cs="宋体"/>
                <w:bCs/>
                <w:color w:val="auto"/>
                <w:szCs w:val="21"/>
                <w:highlight w:val="none"/>
              </w:rPr>
              <w:t>（</w:t>
            </w:r>
            <w:r>
              <w:rPr>
                <w:rFonts w:hint="eastAsia" w:ascii="宋体" w:hAnsi="宋体" w:cs="宋体"/>
                <w:color w:val="auto"/>
                <w:szCs w:val="21"/>
                <w:highlight w:val="none"/>
              </w:rPr>
              <w:t>满分</w:t>
            </w:r>
            <w:r>
              <w:rPr>
                <w:rFonts w:hint="eastAsia" w:ascii="宋体" w:hAnsi="宋体" w:cs="宋体"/>
                <w:b/>
                <w:color w:val="auto"/>
                <w:szCs w:val="21"/>
                <w:highlight w:val="none"/>
                <w:u w:val="single"/>
              </w:rPr>
              <w:t>2</w:t>
            </w:r>
            <w:r>
              <w:rPr>
                <w:rFonts w:hint="eastAsia" w:ascii="宋体" w:hAnsi="宋体" w:cs="宋体"/>
                <w:color w:val="auto"/>
                <w:szCs w:val="21"/>
                <w:highlight w:val="none"/>
              </w:rPr>
              <w:t>分</w:t>
            </w:r>
            <w:r>
              <w:rPr>
                <w:rFonts w:hint="eastAsia" w:ascii="宋体" w:hAnsi="宋体" w:cs="宋体"/>
                <w:bCs/>
                <w:color w:val="auto"/>
                <w:szCs w:val="21"/>
                <w:highlight w:val="none"/>
              </w:rPr>
              <w:t>）</w:t>
            </w:r>
          </w:p>
        </w:tc>
        <w:tc>
          <w:tcPr>
            <w:tcW w:w="6543" w:type="dxa"/>
            <w:tcBorders>
              <w:top w:val="single" w:color="auto" w:sz="4" w:space="0"/>
              <w:left w:val="single" w:color="auto" w:sz="4" w:space="0"/>
              <w:bottom w:val="single" w:color="auto" w:sz="4" w:space="0"/>
              <w:right w:val="single" w:color="auto" w:sz="4" w:space="0"/>
            </w:tcBorders>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2022年1月1日至今所投产品</w:t>
            </w:r>
            <w:r>
              <w:rPr>
                <w:rFonts w:hint="eastAsia" w:ascii="宋体" w:hAnsi="宋体" w:eastAsia="宋体" w:cs="宋体"/>
                <w:color w:val="auto"/>
                <w:szCs w:val="21"/>
                <w:highlight w:val="none"/>
              </w:rPr>
              <w:t>相同设备</w:t>
            </w:r>
            <w:r>
              <w:rPr>
                <w:rFonts w:hint="eastAsia" w:ascii="宋体" w:hAnsi="宋体" w:cs="宋体"/>
                <w:color w:val="auto"/>
                <w:szCs w:val="21"/>
                <w:highlight w:val="none"/>
              </w:rPr>
              <w:t>（</w:t>
            </w:r>
            <w:r>
              <w:rPr>
                <w:rFonts w:hint="eastAsia" w:ascii="宋体" w:hAnsi="宋体" w:eastAsia="宋体" w:cs="宋体"/>
                <w:color w:val="auto"/>
                <w:szCs w:val="21"/>
                <w:highlight w:val="none"/>
              </w:rPr>
              <w:t>相同设备指与采购标的相同品牌及型号的设备，业绩乙方可为生产厂家、代理商或经销商，甲方须为产品实际使用用户</w:t>
            </w:r>
            <w:r>
              <w:rPr>
                <w:rFonts w:hint="eastAsia" w:ascii="宋体" w:hAnsi="宋体" w:cs="宋体"/>
                <w:color w:val="auto"/>
                <w:szCs w:val="21"/>
                <w:highlight w:val="none"/>
              </w:rPr>
              <w:t>）</w:t>
            </w:r>
            <w:r>
              <w:rPr>
                <w:rFonts w:hint="eastAsia" w:ascii="宋体" w:hAnsi="宋体" w:cs="宋体"/>
                <w:color w:val="auto"/>
                <w:highlight w:val="none"/>
              </w:rPr>
              <w:t>业绩，每提供1项得0.5分，满分</w:t>
            </w:r>
            <w:r>
              <w:rPr>
                <w:rFonts w:hint="eastAsia" w:ascii="宋体" w:hAnsi="宋体" w:cs="宋体"/>
                <w:b/>
                <w:bCs/>
                <w:color w:val="auto"/>
                <w:highlight w:val="none"/>
                <w:u w:val="single"/>
              </w:rPr>
              <w:t xml:space="preserve">2 </w:t>
            </w:r>
            <w:r>
              <w:rPr>
                <w:rFonts w:hint="eastAsia" w:ascii="宋体" w:hAnsi="宋体" w:cs="宋体"/>
                <w:color w:val="auto"/>
                <w:highlight w:val="none"/>
              </w:rPr>
              <w:t>分。</w:t>
            </w:r>
          </w:p>
          <w:p>
            <w:pPr>
              <w:snapToGrid w:val="0"/>
              <w:spacing w:line="360" w:lineRule="auto"/>
              <w:ind w:firstLine="422" w:firstLineChars="200"/>
              <w:rPr>
                <w:rFonts w:ascii="宋体" w:hAnsi="宋体" w:cs="宋体"/>
                <w:color w:val="auto"/>
                <w:highlight w:val="none"/>
              </w:rPr>
            </w:pPr>
            <w:r>
              <w:rPr>
                <w:rFonts w:hint="eastAsia" w:ascii="宋体" w:hAnsi="宋体" w:cs="宋体"/>
                <w:b/>
                <w:bCs/>
                <w:color w:val="auto"/>
                <w:highlight w:val="none"/>
              </w:rPr>
              <w:t>注：投标文件中提供有效的中标/成交通知书或合同扫描件或验收报告作为证明材料，材料需清晰体现签订时间、买卖双方信息、产品品牌型号，任一关键信息未提供、不全或不清晰的，不予以计分。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5</w:t>
            </w:r>
          </w:p>
        </w:tc>
        <w:tc>
          <w:tcPr>
            <w:tcW w:w="10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政策功能分（1分）</w:t>
            </w:r>
          </w:p>
        </w:tc>
        <w:tc>
          <w:tcPr>
            <w:tcW w:w="13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节能、环保分</w:t>
            </w:r>
            <w:r>
              <w:rPr>
                <w:rFonts w:hint="eastAsia" w:ascii="宋体" w:hAnsi="宋体" w:cs="宋体"/>
                <w:bCs/>
                <w:color w:val="auto"/>
                <w:szCs w:val="21"/>
                <w:highlight w:val="none"/>
              </w:rPr>
              <w:t>（</w:t>
            </w:r>
            <w:r>
              <w:rPr>
                <w:rFonts w:hint="eastAsia" w:ascii="宋体" w:hAnsi="宋体" w:cs="宋体"/>
                <w:color w:val="auto"/>
                <w:szCs w:val="21"/>
                <w:highlight w:val="none"/>
              </w:rPr>
              <w:t>满分1分</w:t>
            </w:r>
            <w:r>
              <w:rPr>
                <w:rFonts w:hint="eastAsia" w:ascii="宋体" w:hAnsi="宋体" w:cs="宋体"/>
                <w:bCs/>
                <w:color w:val="auto"/>
                <w:szCs w:val="21"/>
                <w:highlight w:val="none"/>
              </w:rPr>
              <w:t>）</w:t>
            </w:r>
          </w:p>
        </w:tc>
        <w:tc>
          <w:tcPr>
            <w:tcW w:w="6543" w:type="dxa"/>
            <w:tcBorders>
              <w:top w:val="single" w:color="auto" w:sz="4" w:space="0"/>
              <w:left w:val="single" w:color="auto" w:sz="4" w:space="0"/>
              <w:bottom w:val="single" w:color="auto" w:sz="4" w:space="0"/>
              <w:right w:val="single" w:color="auto" w:sz="4" w:space="0"/>
            </w:tcBorders>
          </w:tcPr>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属于财政部《节能产品政府采购品目清单》内优先采购（清单内未标注“▲”的品目）的产品[投标文件中提供有效的认证证书复印件（或扫描件）及品目清单（标注出投标产品在品目清单中所属的品目），并加盖投标人电子签章]，根据其所占项目（或分标）金额比例得0-0.5分。</w:t>
            </w:r>
          </w:p>
          <w:p>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属于财政部《环境标志产品政府采购品目清单》内的产品[投标文件中提供有效的认证证书复印件（或扫描件）及品目清单（标注出投标产品在品目清单中所属的品目），并加盖投标人电子签章]，根据其所占项目（或分标）金额比例得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48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firstLine="420"/>
              <w:rPr>
                <w:rFonts w:ascii="宋体" w:hAnsi="宋体" w:cs="宋体"/>
                <w:bCs/>
                <w:color w:val="auto"/>
                <w:szCs w:val="21"/>
                <w:highlight w:val="none"/>
              </w:rPr>
            </w:pPr>
            <w:r>
              <w:rPr>
                <w:rFonts w:hint="eastAsia" w:ascii="宋体" w:hAnsi="宋体" w:cs="宋体"/>
                <w:b/>
                <w:bCs/>
                <w:color w:val="auto"/>
                <w:szCs w:val="21"/>
                <w:highlight w:val="none"/>
              </w:rPr>
              <w:t>总得分=1+2+3+4+5。</w:t>
            </w:r>
          </w:p>
        </w:tc>
      </w:tr>
    </w:tbl>
    <w:p>
      <w:pPr>
        <w:spacing w:line="360" w:lineRule="auto"/>
        <w:rPr>
          <w:rFonts w:ascii="宋体" w:hAnsi="宋体" w:cs="宋体"/>
          <w:color w:val="auto"/>
          <w:highlight w:val="none"/>
        </w:rPr>
      </w:pPr>
    </w:p>
    <w:p>
      <w:pPr>
        <w:spacing w:line="360" w:lineRule="auto"/>
        <w:rPr>
          <w:rFonts w:ascii="宋体" w:hAnsi="宋体" w:cs="宋体"/>
          <w:bCs/>
          <w:color w:val="auto"/>
          <w:highlight w:val="none"/>
        </w:rPr>
      </w:pPr>
      <w:r>
        <w:rPr>
          <w:rFonts w:hint="eastAsia" w:ascii="宋体" w:hAnsi="宋体" w:cs="宋体"/>
          <w:bCs/>
          <w:color w:val="auto"/>
          <w:highlight w:val="none"/>
        </w:rPr>
        <w:t>注：计分方法按四舍五入取至百分位</w:t>
      </w:r>
    </w:p>
    <w:p>
      <w:pPr>
        <w:widowControl/>
        <w:spacing w:line="360" w:lineRule="auto"/>
        <w:jc w:val="left"/>
        <w:rPr>
          <w:rFonts w:ascii="宋体" w:hAnsi="宋体" w:cs="宋体"/>
          <w:b/>
          <w:color w:val="auto"/>
          <w:sz w:val="24"/>
          <w:highlight w:val="none"/>
        </w:rPr>
      </w:pPr>
    </w:p>
    <w:p>
      <w:pPr>
        <w:widowControl/>
        <w:spacing w:line="360" w:lineRule="auto"/>
        <w:jc w:val="center"/>
        <w:outlineLvl w:val="1"/>
        <w:rPr>
          <w:rFonts w:ascii="宋体" w:hAnsi="宋体" w:cs="宋体"/>
          <w:b/>
          <w:bCs/>
          <w:color w:val="auto"/>
          <w:sz w:val="24"/>
          <w:highlight w:val="none"/>
        </w:rPr>
      </w:pPr>
      <w:r>
        <w:rPr>
          <w:rFonts w:hint="eastAsia" w:ascii="宋体" w:hAnsi="宋体" w:cs="宋体"/>
          <w:color w:val="auto"/>
          <w:sz w:val="30"/>
          <w:szCs w:val="30"/>
          <w:highlight w:val="none"/>
        </w:rPr>
        <w:br w:type="page"/>
      </w:r>
      <w:bookmarkStart w:id="142" w:name="_Toc26486"/>
      <w:bookmarkStart w:id="143" w:name="_Toc19458"/>
      <w:bookmarkStart w:id="144" w:name="_Toc25918"/>
      <w:bookmarkStart w:id="145" w:name="_Toc27969"/>
      <w:r>
        <w:rPr>
          <w:rFonts w:hint="eastAsia" w:ascii="宋体" w:hAnsi="宋体" w:cs="宋体"/>
          <w:b/>
          <w:bCs/>
          <w:color w:val="auto"/>
          <w:sz w:val="30"/>
          <w:szCs w:val="30"/>
          <w:highlight w:val="none"/>
        </w:rPr>
        <w:t>四、中标候选人推荐</w:t>
      </w:r>
      <w:bookmarkEnd w:id="142"/>
      <w:bookmarkEnd w:id="143"/>
      <w:bookmarkEnd w:id="144"/>
      <w:bookmarkEnd w:id="145"/>
    </w:p>
    <w:p>
      <w:pPr>
        <w:pStyle w:val="14"/>
        <w:spacing w:line="360" w:lineRule="auto"/>
        <w:ind w:firstLine="482"/>
        <w:contextualSpacing/>
        <w:rPr>
          <w:rFonts w:hAnsi="宋体" w:cs="宋体"/>
          <w:b/>
          <w:bCs/>
          <w:color w:val="auto"/>
          <w:sz w:val="24"/>
          <w:szCs w:val="24"/>
          <w:highlight w:val="none"/>
        </w:rPr>
      </w:pPr>
    </w:p>
    <w:p>
      <w:pPr>
        <w:pStyle w:val="14"/>
        <w:spacing w:line="360" w:lineRule="auto"/>
        <w:ind w:firstLine="482"/>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pPr>
        <w:pStyle w:val="14"/>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1.评标委员会根据原始评标记录和评标结果编写评标报告，并通过电子交易平台向采购人、采购代理机构提交。</w:t>
      </w:r>
    </w:p>
    <w:p>
      <w:pPr>
        <w:pStyle w:val="14"/>
        <w:spacing w:line="360" w:lineRule="auto"/>
        <w:ind w:firstLine="420" w:firstLineChars="200"/>
        <w:contextualSpacing/>
        <w:rPr>
          <w:rFonts w:hAnsi="宋体" w:cs="宋体"/>
          <w:color w:val="auto"/>
          <w:sz w:val="21"/>
          <w:highlight w:val="none"/>
        </w:rPr>
      </w:pPr>
      <w:r>
        <w:rPr>
          <w:rFonts w:hint="eastAsia" w:hAnsi="宋体" w:cs="宋体"/>
          <w:color w:val="auto"/>
          <w:sz w:val="21"/>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beforeLines="50" w:afterLines="50" w:line="360" w:lineRule="auto"/>
        <w:rPr>
          <w:rFonts w:ascii="宋体" w:hAnsi="宋体" w:cs="宋体"/>
          <w:b/>
          <w:color w:val="auto"/>
          <w:sz w:val="24"/>
          <w:highlight w:val="none"/>
        </w:rPr>
      </w:pPr>
    </w:p>
    <w:p>
      <w:pPr>
        <w:spacing w:line="360" w:lineRule="auto"/>
        <w:rPr>
          <w:rFonts w:ascii="宋体" w:hAnsi="宋体" w:cs="宋体"/>
          <w:color w:val="auto"/>
          <w:highlight w:val="none"/>
        </w:rPr>
      </w:pPr>
    </w:p>
    <w:p>
      <w:pPr>
        <w:spacing w:line="360" w:lineRule="auto"/>
        <w:jc w:val="center"/>
        <w:rPr>
          <w:rFonts w:ascii="宋体" w:hAnsi="宋体" w:cs="宋体"/>
          <w:color w:val="auto"/>
          <w:highlight w:val="none"/>
        </w:rPr>
      </w:pPr>
    </w:p>
    <w:p>
      <w:pPr>
        <w:spacing w:line="360" w:lineRule="auto"/>
        <w:jc w:val="center"/>
        <w:rPr>
          <w:rFonts w:ascii="宋体" w:hAnsi="宋体" w:cs="宋体"/>
          <w:color w:val="auto"/>
          <w:highlight w:val="none"/>
        </w:rPr>
      </w:pPr>
    </w:p>
    <w:p>
      <w:pPr>
        <w:spacing w:line="360" w:lineRule="auto"/>
        <w:jc w:val="center"/>
        <w:rPr>
          <w:rFonts w:ascii="宋体" w:hAnsi="宋体" w:cs="宋体"/>
          <w:color w:val="auto"/>
          <w:highlight w:val="none"/>
        </w:rPr>
      </w:pPr>
    </w:p>
    <w:p>
      <w:pPr>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pStyle w:val="3"/>
        <w:spacing w:line="360" w:lineRule="auto"/>
        <w:jc w:val="center"/>
        <w:rPr>
          <w:rFonts w:ascii="宋体" w:hAnsi="宋体" w:cs="宋体"/>
          <w:color w:val="auto"/>
          <w:highlight w:val="none"/>
        </w:rPr>
      </w:pPr>
      <w:bookmarkStart w:id="146" w:name="_Toc23878"/>
      <w:r>
        <w:rPr>
          <w:rFonts w:hint="eastAsia" w:ascii="宋体" w:hAnsi="宋体" w:cs="宋体"/>
          <w:color w:val="auto"/>
          <w:highlight w:val="none"/>
        </w:rPr>
        <w:t>第五章  拟签订的合同文本</w:t>
      </w:r>
      <w:bookmarkEnd w:id="146"/>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snapToGrid w:val="0"/>
        <w:spacing w:line="360" w:lineRule="auto"/>
        <w:jc w:val="center"/>
        <w:rPr>
          <w:rFonts w:ascii="宋体" w:hAnsi="宋体" w:cs="宋体"/>
          <w:bCs/>
          <w:color w:val="auto"/>
          <w:sz w:val="32"/>
          <w:szCs w:val="32"/>
          <w:highlight w:val="none"/>
        </w:rPr>
      </w:pPr>
    </w:p>
    <w:p>
      <w:pPr>
        <w:ind w:left="1764" w:hanging="924"/>
        <w:jc w:val="center"/>
        <w:rPr>
          <w:rFonts w:ascii="宋体" w:hAnsi="宋体" w:cs="宋体"/>
          <w:b/>
          <w:bCs/>
          <w:color w:val="auto"/>
          <w:sz w:val="36"/>
          <w:szCs w:val="36"/>
          <w:highlight w:val="none"/>
        </w:rPr>
      </w:pPr>
      <w:r>
        <w:rPr>
          <w:rFonts w:hint="eastAsia" w:ascii="宋体" w:hAnsi="宋体" w:cs="宋体"/>
          <w:bCs/>
          <w:color w:val="auto"/>
          <w:sz w:val="32"/>
          <w:szCs w:val="32"/>
          <w:highlight w:val="none"/>
        </w:rPr>
        <w:br w:type="page"/>
      </w:r>
      <w:r>
        <w:rPr>
          <w:rFonts w:hint="eastAsia" w:ascii="宋体" w:hAnsi="宋体" w:cs="宋体"/>
          <w:b/>
          <w:bCs/>
          <w:color w:val="auto"/>
          <w:sz w:val="36"/>
          <w:szCs w:val="36"/>
          <w:highlight w:val="none"/>
        </w:rPr>
        <w:t>政府采购货物买卖合同</w:t>
      </w:r>
    </w:p>
    <w:p>
      <w:pPr>
        <w:ind w:left="1764" w:hanging="924"/>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spacing w:line="360" w:lineRule="auto"/>
        <w:ind w:left="420" w:leftChars="200"/>
        <w:rPr>
          <w:rFonts w:ascii="宋体" w:hAnsi="宋体" w:cs="宋体"/>
          <w:color w:val="auto"/>
          <w:sz w:val="32"/>
          <w:szCs w:val="32"/>
          <w:highlight w:val="none"/>
        </w:rPr>
      </w:pPr>
      <w:r>
        <w:rPr>
          <w:rFonts w:hint="eastAsia" w:ascii="宋体" w:hAnsi="宋体" w:cs="宋体"/>
          <w:color w:val="auto"/>
          <w:sz w:val="32"/>
          <w:szCs w:val="32"/>
          <w:highlight w:val="none"/>
        </w:rPr>
        <w:t xml:space="preserve">项目名称：                             </w:t>
      </w:r>
    </w:p>
    <w:p>
      <w:pPr>
        <w:spacing w:line="360" w:lineRule="auto"/>
        <w:ind w:left="420" w:leftChars="200"/>
        <w:rPr>
          <w:rFonts w:ascii="宋体" w:hAnsi="宋体" w:cs="宋体"/>
          <w:color w:val="auto"/>
          <w:sz w:val="32"/>
          <w:szCs w:val="32"/>
          <w:highlight w:val="none"/>
        </w:rPr>
      </w:pPr>
      <w:r>
        <w:rPr>
          <w:rFonts w:hint="eastAsia" w:ascii="宋体" w:hAnsi="宋体" w:cs="宋体"/>
          <w:color w:val="auto"/>
          <w:sz w:val="32"/>
          <w:szCs w:val="32"/>
          <w:highlight w:val="none"/>
        </w:rPr>
        <w:t xml:space="preserve">合同编号：                             </w:t>
      </w:r>
    </w:p>
    <w:p>
      <w:pPr>
        <w:spacing w:line="360" w:lineRule="auto"/>
        <w:ind w:left="420" w:leftChars="200"/>
        <w:rPr>
          <w:rFonts w:ascii="宋体" w:hAnsi="宋体" w:cs="宋体"/>
          <w:color w:val="auto"/>
          <w:sz w:val="32"/>
          <w:szCs w:val="32"/>
          <w:highlight w:val="none"/>
        </w:rPr>
      </w:pPr>
      <w:r>
        <w:rPr>
          <w:rFonts w:hint="eastAsia" w:ascii="宋体" w:hAnsi="宋体" w:cs="宋体"/>
          <w:color w:val="auto"/>
          <w:sz w:val="32"/>
          <w:szCs w:val="32"/>
          <w:highlight w:val="none"/>
        </w:rPr>
        <w:t xml:space="preserve">甲    方：                             </w:t>
      </w:r>
    </w:p>
    <w:p>
      <w:pPr>
        <w:spacing w:line="360" w:lineRule="auto"/>
        <w:ind w:left="420" w:leftChars="200"/>
        <w:rPr>
          <w:rFonts w:ascii="宋体" w:hAnsi="宋体" w:cs="宋体"/>
          <w:color w:val="auto"/>
          <w:sz w:val="32"/>
          <w:szCs w:val="32"/>
          <w:highlight w:val="none"/>
        </w:rPr>
      </w:pPr>
      <w:r>
        <w:rPr>
          <w:rFonts w:hint="eastAsia" w:ascii="宋体" w:hAnsi="宋体" w:cs="宋体"/>
          <w:color w:val="auto"/>
          <w:sz w:val="32"/>
          <w:szCs w:val="32"/>
          <w:highlight w:val="none"/>
        </w:rPr>
        <w:t xml:space="preserve">乙    方：                             </w:t>
      </w:r>
    </w:p>
    <w:p>
      <w:pPr>
        <w:spacing w:line="360" w:lineRule="auto"/>
        <w:ind w:left="420" w:leftChars="200"/>
        <w:rPr>
          <w:rFonts w:ascii="宋体" w:hAnsi="宋体" w:cs="宋体"/>
          <w:color w:val="auto"/>
          <w:sz w:val="32"/>
          <w:szCs w:val="32"/>
          <w:highlight w:val="none"/>
        </w:rPr>
      </w:pPr>
      <w:r>
        <w:rPr>
          <w:rFonts w:hint="eastAsia" w:ascii="宋体" w:hAnsi="宋体" w:cs="宋体"/>
          <w:color w:val="auto"/>
          <w:sz w:val="32"/>
          <w:szCs w:val="32"/>
          <w:highlight w:val="none"/>
        </w:rPr>
        <w:t xml:space="preserve">签订时间：                             </w:t>
      </w:r>
    </w:p>
    <w:p>
      <w:pP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pPr>
        <w:widowControl/>
        <w:jc w:val="left"/>
        <w:rPr>
          <w:rFonts w:ascii="宋体" w:hAnsi="宋体" w:cs="宋体"/>
          <w:color w:val="auto"/>
          <w:sz w:val="28"/>
          <w:szCs w:val="28"/>
          <w:highlight w:val="none"/>
        </w:rPr>
        <w:sectPr>
          <w:footerReference r:id="rId3" w:type="default"/>
          <w:pgSz w:w="11906" w:h="16838"/>
          <w:pgMar w:top="1440" w:right="1080" w:bottom="1440" w:left="1080" w:header="851" w:footer="992" w:gutter="0"/>
          <w:pgNumType w:fmt="decimal" w:start="1"/>
          <w:cols w:space="720" w:num="1"/>
          <w:docGrid w:type="lines" w:linePitch="312" w:charSpace="0"/>
        </w:sectPr>
      </w:pPr>
    </w:p>
    <w:p>
      <w:pPr>
        <w:keepNext/>
        <w:keepLines/>
        <w:adjustRightInd w:val="0"/>
        <w:snapToGrid w:val="0"/>
        <w:spacing w:before="260" w:after="260" w:line="400" w:lineRule="exact"/>
        <w:jc w:val="center"/>
        <w:outlineLvl w:val="1"/>
        <w:rPr>
          <w:rFonts w:ascii="宋体" w:hAnsi="宋体" w:cs="宋体"/>
          <w:color w:val="auto"/>
          <w:sz w:val="28"/>
          <w:szCs w:val="28"/>
          <w:highlight w:val="none"/>
        </w:rPr>
      </w:pPr>
      <w:bookmarkStart w:id="147" w:name="_Toc210308724"/>
      <w:bookmarkEnd w:id="147"/>
      <w:bookmarkStart w:id="148" w:name="_Toc23382"/>
      <w:bookmarkStart w:id="149" w:name="_Toc24535"/>
      <w:bookmarkStart w:id="150" w:name="_Toc210311314"/>
      <w:r>
        <w:rPr>
          <w:rFonts w:hint="eastAsia" w:ascii="宋体" w:hAnsi="宋体" w:cs="宋体"/>
          <w:color w:val="auto"/>
          <w:sz w:val="28"/>
          <w:szCs w:val="28"/>
          <w:highlight w:val="none"/>
        </w:rPr>
        <w:t>第一节 政府采购合同协议书</w:t>
      </w:r>
      <w:bookmarkEnd w:id="148"/>
      <w:bookmarkEnd w:id="149"/>
      <w:bookmarkEnd w:id="150"/>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甲方1（采购人）：</w:t>
      </w:r>
      <w:r>
        <w:rPr>
          <w:rFonts w:hint="eastAsia" w:ascii="宋体" w:hAnsi="宋体"/>
          <w:color w:val="auto"/>
          <w:szCs w:val="21"/>
          <w:highlight w:val="none"/>
          <w:u w:val="single"/>
        </w:rPr>
        <w:t>广西壮族自治区卫生健康委员会</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甲方2（使用单位）：</w:t>
      </w:r>
      <w:r>
        <w:rPr>
          <w:rFonts w:hint="eastAsia" w:ascii="宋体" w:hAnsi="宋体"/>
          <w:color w:val="auto"/>
          <w:szCs w:val="21"/>
          <w:highlight w:val="none"/>
          <w:u w:val="single"/>
        </w:rPr>
        <w:t>详见附件《xx 地市 xx 县（市区）xx 医共体甲方 2 使用单位名单》</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乙方（供应商）：</w:t>
      </w:r>
      <w:r>
        <w:rPr>
          <w:rFonts w:hint="eastAsia" w:ascii="宋体" w:hAnsi="宋体"/>
          <w:color w:val="auto"/>
          <w:szCs w:val="21"/>
          <w:highlight w:val="none"/>
          <w:u w:val="single"/>
        </w:rPr>
        <w:t xml:space="preserve">                       </w:t>
      </w:r>
    </w:p>
    <w:p>
      <w:pPr>
        <w:spacing w:line="360" w:lineRule="auto"/>
        <w:rPr>
          <w:color w:val="auto"/>
          <w:highlight w:val="none"/>
        </w:rPr>
      </w:pP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依据《中华人民共和国民法典》、《中华人民共和国政府采购法》等有关的法律法规，以及本采购项目采购文件、乙方的《投标文件》及《中标通知书》，甲乙双方同意签订本合同。具体情况及要求如下：     </w:t>
      </w:r>
    </w:p>
    <w:p>
      <w:pPr>
        <w:numPr>
          <w:ilvl w:val="0"/>
          <w:numId w:val="4"/>
        </w:num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项目信息</w:t>
      </w:r>
    </w:p>
    <w:p>
      <w:pPr>
        <w:numPr>
          <w:ilvl w:val="0"/>
          <w:numId w:val="5"/>
        </w:num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采购项目名称：</w:t>
      </w:r>
      <w:r>
        <w:rPr>
          <w:rFonts w:ascii="宋体" w:hAnsi="宋体"/>
          <w:color w:val="auto"/>
          <w:szCs w:val="21"/>
          <w:highlight w:val="none"/>
        </w:rPr>
        <w:t xml:space="preserve"> </w:t>
      </w:r>
      <w:r>
        <w:rPr>
          <w:rFonts w:hint="eastAsia" w:ascii="宋体" w:hAnsi="宋体"/>
          <w:color w:val="auto"/>
          <w:szCs w:val="21"/>
          <w:highlight w:val="none"/>
          <w:u w:val="single"/>
        </w:rPr>
        <w:t>广西壮族自治区2024年县域医共体设备更新项目（数字减影血管造影系统-DSA）（重）</w:t>
      </w:r>
      <w:r>
        <w:rPr>
          <w:rFonts w:ascii="宋体" w:hAnsi="宋体"/>
          <w:color w:val="auto"/>
          <w:szCs w:val="21"/>
          <w:highlight w:val="none"/>
        </w:rPr>
        <w:t xml:space="preserve"> </w:t>
      </w:r>
    </w:p>
    <w:p>
      <w:pPr>
        <w:tabs>
          <w:tab w:val="left" w:pos="999"/>
        </w:tabs>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采购项目编号：</w:t>
      </w:r>
      <w:r>
        <w:rPr>
          <w:rFonts w:hint="eastAsia" w:ascii="宋体" w:hAnsi="宋体"/>
          <w:color w:val="auto"/>
          <w:szCs w:val="21"/>
          <w:highlight w:val="none"/>
          <w:u w:val="single"/>
        </w:rPr>
        <w:t>GXZC2026-G1-001010-KWZB</w:t>
      </w:r>
      <w:r>
        <w:rPr>
          <w:rFonts w:ascii="宋体" w:hAnsi="宋体"/>
          <w:color w:val="auto"/>
          <w:szCs w:val="21"/>
          <w:highlight w:val="non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p>
    <w:p>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 xml:space="preserve">     采购标的及数量（台）：</w:t>
      </w:r>
      <w:r>
        <w:rPr>
          <w:rFonts w:hint="eastAsia" w:ascii="宋体" w:hAnsi="宋体"/>
          <w:color w:val="auto"/>
          <w:szCs w:val="21"/>
          <w:highlight w:val="none"/>
          <w:u w:val="single"/>
        </w:rPr>
        <w:t xml:space="preserve">                              </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规格型号：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p>
      <w:pPr>
        <w:adjustRightInd w:val="0"/>
        <w:snapToGrid w:val="0"/>
        <w:spacing w:line="360" w:lineRule="auto"/>
        <w:ind w:firstLine="945" w:firstLineChars="450"/>
        <w:rPr>
          <w:rFonts w:ascii="宋体" w:hAnsi="宋体"/>
          <w:color w:val="auto"/>
          <w:szCs w:val="21"/>
          <w:highlight w:val="none"/>
          <w:u w:val="single"/>
        </w:rPr>
      </w:pPr>
      <w:r>
        <w:rPr>
          <w:rFonts w:hint="eastAsia" w:ascii="宋体" w:hAnsi="宋体"/>
          <w:color w:val="auto"/>
          <w:szCs w:val="21"/>
          <w:highlight w:val="none"/>
        </w:rPr>
        <w:t>采购标的的技术要求、商务要求具体见附件。</w:t>
      </w:r>
    </w:p>
    <w:p>
      <w:pPr>
        <w:numPr>
          <w:ilvl w:val="0"/>
          <w:numId w:val="4"/>
        </w:num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（2）合同定价方式（采用组合定价方式的，可以勾选多项）：</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2" w:char="F052"/>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固定费率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绩效激励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（3）付款方式（按项目实际勾选填写）：</w:t>
      </w:r>
    </w:p>
    <w:p>
      <w:pPr>
        <w:snapToGrid w:val="0"/>
        <w:spacing w:line="360" w:lineRule="auto"/>
        <w:ind w:firstLine="630" w:firstLineChars="300"/>
        <w:rPr>
          <w:color w:val="auto"/>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w:t>
      </w:r>
    </w:p>
    <w:p>
      <w:pPr>
        <w:snapToGrid w:val="0"/>
        <w:spacing w:line="360" w:lineRule="auto"/>
        <w:ind w:firstLine="630" w:firstLineChars="300"/>
        <w:rPr>
          <w:rFonts w:ascii="宋体" w:hAnsi="宋体"/>
          <w:color w:val="auto"/>
          <w:szCs w:val="21"/>
          <w:highlight w:val="none"/>
          <w:u w:val="single"/>
        </w:rPr>
      </w:pPr>
      <w:r>
        <w:rPr>
          <w:rFonts w:hint="eastAsia" w:ascii="宋体" w:hAnsi="宋体"/>
          <w:iCs/>
          <w:color w:val="auto"/>
          <w:szCs w:val="21"/>
          <w:highlight w:val="none"/>
        </w:rPr>
        <w:sym w:font="Wingdings 2" w:char="F052"/>
      </w:r>
      <w:r>
        <w:rPr>
          <w:rFonts w:hint="eastAsia" w:ascii="宋体" w:hAnsi="宋体"/>
          <w:color w:val="auto"/>
          <w:szCs w:val="21"/>
          <w:highlight w:val="none"/>
        </w:rPr>
        <w:t>分期付款：</w:t>
      </w:r>
    </w:p>
    <w:p>
      <w:pPr>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u w:val="single"/>
        </w:rPr>
        <w:t>本项目合同金额分三期支付：第一期（</w:t>
      </w:r>
      <w:r>
        <w:rPr>
          <w:rFonts w:ascii="宋体" w:hAnsi="宋体"/>
          <w:color w:val="auto"/>
          <w:szCs w:val="21"/>
          <w:highlight w:val="none"/>
          <w:u w:val="single"/>
        </w:rPr>
        <w:t>30%</w:t>
      </w:r>
      <w:r>
        <w:rPr>
          <w:rFonts w:hint="eastAsia" w:ascii="宋体" w:hAnsi="宋体"/>
          <w:color w:val="auto"/>
          <w:szCs w:val="21"/>
          <w:highlight w:val="none"/>
          <w:u w:val="single"/>
        </w:rPr>
        <w:t>）、第二期（</w:t>
      </w:r>
      <w:r>
        <w:rPr>
          <w:rFonts w:ascii="宋体" w:hAnsi="宋体"/>
          <w:color w:val="auto"/>
          <w:szCs w:val="21"/>
          <w:highlight w:val="none"/>
          <w:u w:val="single"/>
        </w:rPr>
        <w:t>50%</w:t>
      </w:r>
      <w:r>
        <w:rPr>
          <w:rFonts w:hint="eastAsia" w:ascii="宋体" w:hAnsi="宋体"/>
          <w:color w:val="auto"/>
          <w:szCs w:val="21"/>
          <w:highlight w:val="none"/>
          <w:u w:val="single"/>
        </w:rPr>
        <w:t>）：由甲方</w:t>
      </w:r>
      <w:r>
        <w:rPr>
          <w:rFonts w:ascii="宋体" w:hAnsi="宋体"/>
          <w:color w:val="auto"/>
          <w:szCs w:val="21"/>
          <w:highlight w:val="none"/>
          <w:u w:val="single"/>
        </w:rPr>
        <w:t xml:space="preserve"> 1</w:t>
      </w:r>
      <w:r>
        <w:rPr>
          <w:rFonts w:hint="eastAsia" w:ascii="宋体" w:hAnsi="宋体"/>
          <w:color w:val="auto"/>
          <w:szCs w:val="21"/>
          <w:highlight w:val="none"/>
          <w:u w:val="single"/>
        </w:rPr>
        <w:t>（广西壮族自治区卫生健康委员会）集中支付；</w:t>
      </w:r>
      <w:r>
        <w:rPr>
          <w:rFonts w:hint="eastAsia" w:ascii="MS Gothic" w:hAnsi="MS Gothic" w:eastAsia="MS Gothic" w:cs="MS Gothic"/>
          <w:color w:val="auto"/>
          <w:szCs w:val="21"/>
          <w:highlight w:val="none"/>
          <w:u w:val="single"/>
        </w:rPr>
        <w:t>​</w:t>
      </w:r>
      <w:r>
        <w:rPr>
          <w:rFonts w:hint="eastAsia" w:ascii="宋体" w:hAnsi="宋体"/>
          <w:color w:val="auto"/>
          <w:szCs w:val="21"/>
          <w:highlight w:val="none"/>
          <w:u w:val="single"/>
        </w:rPr>
        <w:t xml:space="preserve">第三期（20%）：由甲方2各使用单位（详见附件）按对应设备金额单独支付。 </w:t>
      </w:r>
    </w:p>
    <w:p>
      <w:pPr>
        <w:snapToGrid w:val="0"/>
        <w:spacing w:line="360" w:lineRule="auto"/>
        <w:ind w:firstLine="630" w:firstLineChars="300"/>
        <w:rPr>
          <w:color w:val="auto"/>
          <w:highlight w:val="none"/>
          <w:u w:val="single"/>
        </w:rPr>
      </w:pPr>
      <w:r>
        <w:rPr>
          <w:rFonts w:hint="eastAsia"/>
          <w:color w:val="auto"/>
          <w:highlight w:val="none"/>
          <w:u w:val="single"/>
        </w:rPr>
        <w:t>1.第一期付款（合同金额 30%）</w:t>
      </w:r>
    </w:p>
    <w:p>
      <w:pPr>
        <w:snapToGrid w:val="0"/>
        <w:spacing w:line="360" w:lineRule="auto"/>
        <w:ind w:firstLine="630" w:firstLineChars="300"/>
        <w:rPr>
          <w:color w:val="auto"/>
          <w:highlight w:val="none"/>
          <w:u w:val="single"/>
        </w:rPr>
      </w:pPr>
      <w:r>
        <w:rPr>
          <w:rFonts w:hint="eastAsia"/>
          <w:color w:val="auto"/>
          <w:highlight w:val="none"/>
          <w:u w:val="single"/>
        </w:rPr>
        <w:t>触发条件：乙方提交等额合法发票（抬头：广西壮族自治区卫生健康委员会）。</w:t>
      </w:r>
    </w:p>
    <w:p>
      <w:pPr>
        <w:snapToGrid w:val="0"/>
        <w:spacing w:line="360" w:lineRule="auto"/>
        <w:ind w:firstLine="630" w:firstLineChars="300"/>
        <w:rPr>
          <w:color w:val="auto"/>
          <w:highlight w:val="none"/>
          <w:u w:val="single"/>
        </w:rPr>
      </w:pPr>
      <w:r>
        <w:rPr>
          <w:rFonts w:hint="eastAsia"/>
          <w:color w:val="auto"/>
          <w:highlight w:val="none"/>
          <w:u w:val="single"/>
        </w:rPr>
        <w:t>付款期限： 甲方 1在满足全部条件后10 个工作日内支付。</w:t>
      </w:r>
    </w:p>
    <w:p>
      <w:pPr>
        <w:snapToGrid w:val="0"/>
        <w:spacing w:line="360" w:lineRule="auto"/>
        <w:ind w:firstLine="630" w:firstLineChars="300"/>
        <w:rPr>
          <w:color w:val="auto"/>
          <w:highlight w:val="none"/>
          <w:u w:val="single"/>
        </w:rPr>
      </w:pPr>
      <w:r>
        <w:rPr>
          <w:rFonts w:hint="eastAsia"/>
          <w:color w:val="auto"/>
          <w:highlight w:val="none"/>
          <w:u w:val="single"/>
        </w:rPr>
        <w:t>2.第二期付款（合同金额 50%）</w:t>
      </w:r>
    </w:p>
    <w:p>
      <w:pPr>
        <w:snapToGrid w:val="0"/>
        <w:spacing w:line="360" w:lineRule="auto"/>
        <w:ind w:firstLine="630" w:firstLineChars="300"/>
        <w:rPr>
          <w:color w:val="auto"/>
          <w:highlight w:val="none"/>
          <w:u w:val="single"/>
        </w:rPr>
      </w:pPr>
      <w:r>
        <w:rPr>
          <w:rFonts w:hint="eastAsia"/>
          <w:color w:val="auto"/>
          <w:highlight w:val="none"/>
          <w:u w:val="single"/>
        </w:rPr>
        <w:t>触发条件：①乙方将全部设备运抵甲方 2 ，并经到货验收合格（甲方 2 出具《设备到货确认单》并提交甲方 1）；②乙方提交等额合法发票（抬头同第一期）。</w:t>
      </w:r>
    </w:p>
    <w:p>
      <w:pPr>
        <w:snapToGrid w:val="0"/>
        <w:spacing w:line="360" w:lineRule="auto"/>
        <w:ind w:firstLine="630" w:firstLineChars="300"/>
        <w:rPr>
          <w:color w:val="auto"/>
          <w:highlight w:val="none"/>
          <w:u w:val="single"/>
        </w:rPr>
      </w:pPr>
      <w:r>
        <w:rPr>
          <w:rFonts w:hint="eastAsia"/>
          <w:color w:val="auto"/>
          <w:highlight w:val="none"/>
          <w:u w:val="single"/>
        </w:rPr>
        <w:t>付款期限：甲方 1 在收到验收确认单及发票后 10 个工作日内支付。</w:t>
      </w:r>
    </w:p>
    <w:p>
      <w:pPr>
        <w:snapToGrid w:val="0"/>
        <w:spacing w:line="360" w:lineRule="auto"/>
        <w:ind w:firstLine="630" w:firstLineChars="300"/>
        <w:rPr>
          <w:color w:val="auto"/>
          <w:highlight w:val="none"/>
          <w:u w:val="single"/>
        </w:rPr>
      </w:pPr>
      <w:r>
        <w:rPr>
          <w:rFonts w:hint="eastAsia"/>
          <w:color w:val="auto"/>
          <w:highlight w:val="none"/>
          <w:u w:val="single"/>
        </w:rPr>
        <w:t>3.第三期付款（合同金额 20%）</w:t>
      </w:r>
    </w:p>
    <w:p>
      <w:pPr>
        <w:snapToGrid w:val="0"/>
        <w:spacing w:line="360" w:lineRule="auto"/>
        <w:ind w:firstLine="630" w:firstLineChars="300"/>
        <w:rPr>
          <w:color w:val="auto"/>
          <w:highlight w:val="none"/>
          <w:u w:val="single"/>
        </w:rPr>
      </w:pPr>
      <w:r>
        <w:rPr>
          <w:rFonts w:hint="eastAsia"/>
          <w:color w:val="auto"/>
          <w:highlight w:val="none"/>
          <w:u w:val="single"/>
        </w:rPr>
        <w:t>触发条件：①由验收小组出具通过最终验收的《设备最终验收单》；②乙方按各甲方 2 要求，提交对应抬头的等额合法发票。</w:t>
      </w:r>
    </w:p>
    <w:p>
      <w:pPr>
        <w:snapToGrid w:val="0"/>
        <w:spacing w:line="360" w:lineRule="auto"/>
        <w:ind w:firstLine="630" w:firstLineChars="300"/>
        <w:rPr>
          <w:color w:val="auto"/>
          <w:highlight w:val="none"/>
          <w:u w:val="single"/>
        </w:rPr>
      </w:pPr>
      <w:r>
        <w:rPr>
          <w:rFonts w:hint="eastAsia"/>
          <w:color w:val="auto"/>
          <w:highlight w:val="none"/>
          <w:u w:val="single"/>
        </w:rPr>
        <w:t>付款期限：甲方 2 收到《设备最终验收单》及发票后 10 个工作日内支付；甲方 1 监督付款进度。</w:t>
      </w:r>
    </w:p>
    <w:p>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w:t>
      </w:r>
    </w:p>
    <w:p>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w:t>
      </w:r>
    </w:p>
    <w:p>
      <w:pPr>
        <w:numPr>
          <w:ilvl w:val="0"/>
          <w:numId w:val="4"/>
        </w:numPr>
        <w:adjustRightInd w:val="0"/>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合同履行</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按合同签订时间填写</w:t>
      </w:r>
      <w:r>
        <w:rPr>
          <w:rFonts w:hint="eastAsia" w:ascii="宋体" w:hAnsi="宋体" w:cs="宋体"/>
          <w:color w:val="auto"/>
          <w:szCs w:val="21"/>
          <w:highlight w:val="none"/>
        </w:rPr>
        <w:t>，完成日期：</w:t>
      </w:r>
      <w:r>
        <w:rPr>
          <w:rFonts w:hint="eastAsia" w:ascii="宋体" w:hAnsi="宋体" w:cs="宋体"/>
          <w:color w:val="auto"/>
          <w:szCs w:val="21"/>
          <w:highlight w:val="none"/>
          <w:u w:val="single"/>
        </w:rPr>
        <w:t>质保期结束之日</w:t>
      </w:r>
      <w:r>
        <w:rPr>
          <w:rFonts w:hint="eastAsia" w:ascii="宋体" w:hAnsi="宋体" w:cs="宋体"/>
          <w:color w:val="auto"/>
          <w:szCs w:val="21"/>
          <w:highlight w:val="none"/>
        </w:rPr>
        <w:t>。</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设备交付期：自合同生效之日起</w:t>
      </w:r>
      <w:r>
        <w:rPr>
          <w:rFonts w:hint="eastAsia" w:ascii="宋体" w:hAnsi="宋体" w:cs="宋体"/>
          <w:color w:val="auto"/>
          <w:szCs w:val="21"/>
          <w:highlight w:val="none"/>
          <w:u w:val="single"/>
        </w:rPr>
        <w:t>（按采购需求或乙方承诺填写）</w:t>
      </w:r>
      <w:r>
        <w:rPr>
          <w:rFonts w:hint="eastAsia" w:ascii="宋体" w:hAnsi="宋体" w:cs="宋体"/>
          <w:color w:val="auto"/>
          <w:szCs w:val="21"/>
          <w:highlight w:val="none"/>
        </w:rPr>
        <w:t>天内，完成全部设备向各甲方2的交付；</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安装调试期：设备交付至甲方2后</w:t>
      </w:r>
      <w:r>
        <w:rPr>
          <w:rFonts w:hint="eastAsia" w:ascii="宋体" w:hAnsi="宋体" w:cs="宋体"/>
          <w:color w:val="auto"/>
          <w:szCs w:val="21"/>
          <w:highlight w:val="none"/>
          <w:u w:val="single"/>
        </w:rPr>
        <w:t>（按采购需求或乙方承诺填写）</w:t>
      </w:r>
      <w:r>
        <w:rPr>
          <w:rFonts w:hint="eastAsia" w:ascii="宋体" w:hAnsi="宋体" w:cs="宋体"/>
          <w:color w:val="auto"/>
          <w:szCs w:val="21"/>
          <w:highlight w:val="none"/>
        </w:rPr>
        <w:t>天内，完成安装调试并达到可正常使用状态。</w:t>
      </w:r>
    </w:p>
    <w:p>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甲方1指定抽查验收地点、各甲方2指定设备交付及使用地点</w:t>
      </w:r>
      <w:r>
        <w:rPr>
          <w:rFonts w:hint="eastAsia" w:ascii="宋体" w:hAnsi="宋体" w:cs="宋体"/>
          <w:color w:val="auto"/>
          <w:szCs w:val="21"/>
          <w:highlight w:val="none"/>
          <w:u w:val="single"/>
        </w:rPr>
        <w:t>。</w:t>
      </w:r>
    </w:p>
    <w:p>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highlight w:val="none"/>
        </w:rPr>
        <w:t>（3）</w:t>
      </w:r>
      <w:r>
        <w:rPr>
          <w:rFonts w:hint="eastAsia" w:ascii="宋体" w:hAnsi="宋体" w:cs="宋体"/>
          <w:bCs/>
          <w:color w:val="auto"/>
          <w:szCs w:val="21"/>
          <w:highlight w:val="none"/>
        </w:rPr>
        <w:t>履约担保：</w:t>
      </w:r>
      <w:r>
        <w:rPr>
          <w:rFonts w:hint="eastAsia" w:ascii="宋体" w:hAnsi="宋体" w:cs="宋体"/>
          <w:color w:val="auto"/>
          <w:highlight w:val="none"/>
        </w:rPr>
        <w:t>是否收取履约保证金：</w:t>
      </w:r>
      <w:r>
        <w:rPr>
          <w:rFonts w:hint="eastAsia" w:ascii="宋体" w:hAnsi="宋体"/>
          <w:iCs/>
          <w:color w:val="auto"/>
          <w:szCs w:val="21"/>
          <w:highlight w:val="none"/>
        </w:rPr>
        <w:sym w:font="Wingdings 2" w:char="F052"/>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履约保证金金额：</w:t>
      </w:r>
    </w:p>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w:t>
      </w:r>
      <w:r>
        <w:rPr>
          <w:rFonts w:hint="eastAsia" w:ascii="宋体" w:hAnsi="宋体" w:cs="Calibri"/>
          <w:szCs w:val="21"/>
          <w:highlight w:val="none"/>
          <w:lang w:val="en-US" w:eastAsia="zh-CN"/>
        </w:rPr>
        <w:t>提供的两种方式中任选一种</w:t>
      </w:r>
      <w:r>
        <w:rPr>
          <w:rFonts w:hint="eastAsia" w:ascii="宋体" w:hAnsi="宋体" w:cs="Calibri"/>
          <w:szCs w:val="21"/>
          <w:highlight w:val="none"/>
        </w:rPr>
        <w:t>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highlight w:val="none"/>
        </w:rPr>
      </w:pPr>
      <w:r>
        <w:rPr>
          <w:rFonts w:hint="eastAsia" w:ascii="宋体" w:hAnsi="宋体" w:cs="Calibri"/>
          <w:szCs w:val="21"/>
          <w:highlight w:val="none"/>
        </w:rPr>
        <w:t>基本户开户行：中国工商银行股份有限公司南宁市桃源支行</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（1）受益人：广西壮族自治区卫生健康委员会。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（3）特别约定：保函须注明“不可撤销、无条件见索即付”；未经采购人书面同意，不得单方面撤销或修改。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（4）履约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（5）有下列情形之一的，视为履约保证金提交无效：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rPr>
        <w:t>4.履约保证金退付方式、时间及条件：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5.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履约保证金</w:t>
      </w:r>
      <w:r>
        <w:rPr>
          <w:rFonts w:hint="eastAsia"/>
          <w:highlight w:val="none"/>
          <w:lang w:eastAsia="zh-CN"/>
        </w:rPr>
        <w:t>的</w:t>
      </w:r>
      <w:r>
        <w:rPr>
          <w:rFonts w:hint="eastAsia" w:ascii="宋体" w:hAnsi="宋体" w:cs="Calibri"/>
          <w:szCs w:val="21"/>
          <w:highlight w:val="none"/>
        </w:rPr>
        <w:t>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6.风险处置措施和替代方案：若乙方因自身原因（如资金、生产能力等）无法按约履约，需在违约情形发生后24小时内书面通知甲方，甲方1有权选择：①要求乙方在5天内恢复履约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Calibri"/>
          <w:szCs w:val="21"/>
          <w:highlight w:val="none"/>
        </w:rPr>
        <w:t>若因不可抗力导致履约受阻，双方需在不可抗力发生后7个工作日内协商调整履约计划，互不承担违约责任。</w:t>
      </w:r>
    </w:p>
    <w:p>
      <w:pPr>
        <w:numPr>
          <w:ilvl w:val="0"/>
          <w:numId w:val="4"/>
        </w:num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合同验收</w:t>
      </w:r>
    </w:p>
    <w:p>
      <w:pPr>
        <w:adjustRightInd w:val="0"/>
        <w:snapToGrid w:val="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（1）参加验收的人员</w:t>
      </w:r>
    </w:p>
    <w:p>
      <w:pPr>
        <w:adjustRightInd w:val="0"/>
        <w:snapToGrid w:val="0"/>
        <w:spacing w:line="400" w:lineRule="exact"/>
        <w:ind w:firstLine="420" w:firstLineChars="200"/>
        <w:rPr>
          <w:rFonts w:ascii="宋体" w:hAnsi="宋体"/>
          <w:b/>
          <w:color w:val="auto"/>
          <w:szCs w:val="21"/>
          <w:highlight w:val="none"/>
        </w:rPr>
      </w:pPr>
      <w:r>
        <w:rPr>
          <w:rFonts w:hint="eastAsia" w:ascii="宋体" w:hAnsi="宋体"/>
          <w:bCs/>
          <w:color w:val="auto"/>
          <w:szCs w:val="21"/>
          <w:highlight w:val="none"/>
        </w:rPr>
        <w:t>验收主体：</w:t>
      </w:r>
      <w:r>
        <w:rPr>
          <w:rFonts w:hint="eastAsia"/>
          <w:color w:val="auto"/>
          <w:highlight w:val="none"/>
          <w:u w:val="single"/>
        </w:rPr>
        <w:t>甲方 1（负责初步验收、抽查验收）、甲方 2（负责初步查验、最终验收）</w:t>
      </w:r>
      <w:r>
        <w:rPr>
          <w:rFonts w:hint="eastAsia" w:ascii="宋体" w:hAnsi="宋体"/>
          <w:bCs/>
          <w:color w:val="auto"/>
          <w:szCs w:val="21"/>
          <w:highlight w:val="none"/>
          <w:u w:val="single"/>
        </w:rPr>
        <w:t xml:space="preserve"> </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是（专家需为医疗器械领域专业人员，人数不少于 3 人）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否（甲方1有权邀请第三方检测机构参加验收，如邀请第三方验收的，由此产生的费用由乙方承担）</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FE"/>
      </w:r>
      <w:r>
        <w:rPr>
          <w:rFonts w:hint="eastAsia" w:ascii="宋体" w:hAnsi="宋体"/>
          <w:bCs/>
          <w:color w:val="auto"/>
          <w:szCs w:val="21"/>
          <w:highlight w:val="none"/>
        </w:rPr>
        <w:t>是</w:t>
      </w:r>
      <w:r>
        <w:rPr>
          <w:rFonts w:hint="eastAsia" w:ascii="宋体" w:hAnsi="宋体"/>
          <w:bCs/>
          <w:color w:val="auto"/>
          <w:szCs w:val="21"/>
          <w:highlight w:val="none"/>
          <w:u w:val="single"/>
        </w:rPr>
        <w:t>甲方1组织验收专家组对验收情况进行抽查</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（被破坏检测产品的处理方式：由乙方免费更换同型号合格产品，检测费用由乙方承担）</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pPr>
        <w:adjustRightInd w:val="0"/>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p>
    <w:p>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（2）验收时间：</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到货验收：设备运抵甲方</w:t>
      </w:r>
      <w:r>
        <w:rPr>
          <w:rFonts w:ascii="宋体" w:hAnsi="宋体"/>
          <w:bCs/>
          <w:color w:val="auto"/>
          <w:szCs w:val="21"/>
          <w:highlight w:val="none"/>
          <w:u w:val="single"/>
        </w:rPr>
        <w:t>2指定地点并安装调试完成后，乙方提请验收申请，甲方2在</w:t>
      </w:r>
      <w:r>
        <w:rPr>
          <w:rFonts w:hint="eastAsia" w:ascii="宋体" w:hAnsi="宋体"/>
          <w:bCs/>
          <w:color w:val="auto"/>
          <w:szCs w:val="21"/>
          <w:highlight w:val="none"/>
          <w:u w:val="single"/>
        </w:rPr>
        <w:t xml:space="preserve"> 2 </w:t>
      </w:r>
      <w:r>
        <w:rPr>
          <w:rFonts w:ascii="宋体" w:hAnsi="宋体"/>
          <w:bCs/>
          <w:color w:val="auto"/>
          <w:szCs w:val="21"/>
          <w:highlight w:val="none"/>
          <w:u w:val="single"/>
        </w:rPr>
        <w:t>个工作日内组织</w:t>
      </w:r>
      <w:r>
        <w:rPr>
          <w:rFonts w:hint="eastAsia" w:ascii="宋体" w:hAnsi="宋体"/>
          <w:bCs/>
          <w:color w:val="auto"/>
          <w:szCs w:val="21"/>
          <w:highlight w:val="none"/>
          <w:u w:val="single"/>
        </w:rPr>
        <w:t>到货</w:t>
      </w:r>
      <w:r>
        <w:rPr>
          <w:rFonts w:ascii="宋体" w:hAnsi="宋体"/>
          <w:bCs/>
          <w:color w:val="auto"/>
          <w:szCs w:val="21"/>
          <w:highlight w:val="none"/>
          <w:u w:val="single"/>
        </w:rPr>
        <w:t>验收工作</w:t>
      </w:r>
      <w:r>
        <w:rPr>
          <w:rFonts w:hint="eastAsia" w:ascii="宋体" w:hAnsi="宋体"/>
          <w:bCs/>
          <w:color w:val="auto"/>
          <w:szCs w:val="21"/>
          <w:highlight w:val="none"/>
          <w:u w:val="single"/>
        </w:rPr>
        <w:t>。</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最终验收：设备</w:t>
      </w:r>
      <w:bookmarkStart w:id="151" w:name="_Hlk212749001"/>
      <w:r>
        <w:rPr>
          <w:rFonts w:hint="eastAsia" w:ascii="宋体" w:hAnsi="宋体"/>
          <w:bCs/>
          <w:color w:val="auto"/>
          <w:szCs w:val="21"/>
          <w:highlight w:val="none"/>
          <w:u w:val="single"/>
        </w:rPr>
        <w:t>安装调试完成</w:t>
      </w:r>
      <w:bookmarkEnd w:id="151"/>
      <w:r>
        <w:rPr>
          <w:rFonts w:hint="eastAsia" w:ascii="宋体" w:hAnsi="宋体"/>
          <w:bCs/>
          <w:color w:val="auto"/>
          <w:szCs w:val="21"/>
          <w:highlight w:val="none"/>
          <w:u w:val="single"/>
        </w:rPr>
        <w:t>后，</w:t>
      </w:r>
      <w:bookmarkStart w:id="152" w:name="_Hlk212749015"/>
      <w:r>
        <w:rPr>
          <w:rFonts w:ascii="宋体" w:hAnsi="宋体"/>
          <w:bCs/>
          <w:color w:val="auto"/>
          <w:szCs w:val="21"/>
          <w:highlight w:val="none"/>
          <w:u w:val="single"/>
        </w:rPr>
        <w:t>乙方提请验收申请，</w:t>
      </w:r>
      <w:bookmarkEnd w:id="152"/>
      <w:r>
        <w:rPr>
          <w:rFonts w:hint="eastAsia" w:ascii="宋体" w:hAnsi="宋体"/>
          <w:bCs/>
          <w:color w:val="auto"/>
          <w:szCs w:val="21"/>
          <w:highlight w:val="none"/>
          <w:u w:val="single"/>
        </w:rPr>
        <w:t>甲方</w:t>
      </w:r>
      <w:r>
        <w:rPr>
          <w:rFonts w:ascii="宋体" w:hAnsi="宋体"/>
          <w:bCs/>
          <w:color w:val="auto"/>
          <w:szCs w:val="21"/>
          <w:highlight w:val="none"/>
          <w:u w:val="single"/>
        </w:rPr>
        <w:t>2</w:t>
      </w:r>
      <w:r>
        <w:rPr>
          <w:rFonts w:hint="eastAsia" w:ascii="宋体" w:hAnsi="宋体"/>
          <w:bCs/>
          <w:color w:val="auto"/>
          <w:szCs w:val="21"/>
          <w:highlight w:val="none"/>
          <w:u w:val="single"/>
        </w:rPr>
        <w:t>（或医共体牵头单位）</w:t>
      </w:r>
      <w:r>
        <w:rPr>
          <w:rFonts w:ascii="宋体" w:hAnsi="宋体"/>
          <w:bCs/>
          <w:color w:val="auto"/>
          <w:szCs w:val="21"/>
          <w:highlight w:val="none"/>
          <w:u w:val="single"/>
        </w:rPr>
        <w:t>在</w:t>
      </w:r>
      <w:r>
        <w:rPr>
          <w:rFonts w:hint="eastAsia" w:ascii="宋体" w:hAnsi="宋体"/>
          <w:bCs/>
          <w:color w:val="auto"/>
          <w:szCs w:val="21"/>
          <w:highlight w:val="none"/>
          <w:u w:val="single"/>
          <w:lang w:val="en-US" w:eastAsia="zh-CN"/>
        </w:rPr>
        <w:t>5</w:t>
      </w:r>
      <w:r>
        <w:rPr>
          <w:rFonts w:ascii="宋体" w:hAnsi="宋体"/>
          <w:bCs/>
          <w:color w:val="auto"/>
          <w:szCs w:val="21"/>
          <w:highlight w:val="none"/>
          <w:u w:val="single"/>
        </w:rPr>
        <w:t>个工作日内组织</w:t>
      </w:r>
      <w:r>
        <w:rPr>
          <w:rFonts w:hint="eastAsia" w:ascii="宋体" w:hAnsi="宋体"/>
          <w:bCs/>
          <w:color w:val="auto"/>
          <w:szCs w:val="21"/>
          <w:highlight w:val="none"/>
          <w:u w:val="single"/>
        </w:rPr>
        <w:t>最终验收工作。</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如委托第三方机构组织项目验收的，其验收时间以该项目验收方案确定的验收时间为准。</w:t>
      </w:r>
    </w:p>
    <w:p>
      <w:pPr>
        <w:spacing w:line="360" w:lineRule="auto"/>
        <w:ind w:firstLine="420" w:firstLineChars="200"/>
        <w:jc w:val="left"/>
        <w:rPr>
          <w:rFonts w:ascii="宋体" w:hAnsi="宋体" w:cs="宋体"/>
          <w:color w:val="auto"/>
          <w:szCs w:val="21"/>
          <w:highlight w:val="none"/>
          <w:u w:val="single"/>
        </w:rPr>
      </w:pPr>
      <w:r>
        <w:rPr>
          <w:rFonts w:hint="eastAsia"/>
          <w:color w:val="auto"/>
          <w:highlight w:val="none"/>
        </w:rPr>
        <w:t>（3）验收地点：</w:t>
      </w:r>
      <w:r>
        <w:rPr>
          <w:rFonts w:hint="eastAsia" w:ascii="宋体" w:hAnsi="宋体" w:cs="宋体"/>
          <w:color w:val="auto"/>
          <w:szCs w:val="21"/>
          <w:highlight w:val="none"/>
          <w:u w:val="single"/>
        </w:rPr>
        <w:t>甲方2指定地点。</w:t>
      </w:r>
    </w:p>
    <w:p>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（4）验收方式：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一次性验收         </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iCs/>
          <w:color w:val="auto"/>
          <w:szCs w:val="21"/>
          <w:highlight w:val="none"/>
        </w:rPr>
        <w:sym w:font="Wingdings 2" w:char="F052"/>
      </w:r>
      <w:r>
        <w:rPr>
          <w:rFonts w:hint="eastAsia" w:ascii="宋体" w:hAnsi="宋体"/>
          <w:bCs/>
          <w:color w:val="auto"/>
          <w:szCs w:val="21"/>
          <w:highlight w:val="none"/>
        </w:rPr>
        <w:t>分期/分项验收：</w:t>
      </w:r>
      <w:r>
        <w:rPr>
          <w:rFonts w:hint="eastAsia" w:ascii="宋体" w:hAnsi="宋体"/>
          <w:bCs/>
          <w:color w:val="auto"/>
          <w:szCs w:val="21"/>
          <w:highlight w:val="none"/>
          <w:u w:val="single"/>
        </w:rPr>
        <w:t xml:space="preserve">到货验收、最终验收 </w:t>
      </w:r>
    </w:p>
    <w:p>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（5）验收程序：</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①到货验收：合同签订后20日内，乙方交付设备到甲方</w:t>
      </w:r>
      <w:r>
        <w:rPr>
          <w:rFonts w:ascii="宋体" w:hAnsi="宋体"/>
          <w:bCs/>
          <w:color w:val="auto"/>
          <w:szCs w:val="21"/>
          <w:highlight w:val="none"/>
          <w:u w:val="single"/>
        </w:rPr>
        <w:t>2</w:t>
      </w:r>
      <w:r>
        <w:rPr>
          <w:rFonts w:hint="eastAsia" w:ascii="宋体" w:hAnsi="宋体"/>
          <w:bCs/>
          <w:color w:val="auto"/>
          <w:szCs w:val="21"/>
          <w:highlight w:val="none"/>
          <w:u w:val="single"/>
        </w:rPr>
        <w:t>指定地点。设备交付完成后，乙方甲方</w:t>
      </w:r>
      <w:r>
        <w:rPr>
          <w:rFonts w:ascii="宋体" w:hAnsi="宋体"/>
          <w:bCs/>
          <w:color w:val="auto"/>
          <w:szCs w:val="21"/>
          <w:highlight w:val="none"/>
          <w:u w:val="single"/>
        </w:rPr>
        <w:t>2</w:t>
      </w:r>
      <w:r>
        <w:rPr>
          <w:rFonts w:hint="eastAsia" w:ascii="宋体" w:hAnsi="宋体"/>
          <w:bCs/>
          <w:color w:val="auto"/>
          <w:szCs w:val="21"/>
          <w:highlight w:val="none"/>
          <w:u w:val="single"/>
        </w:rPr>
        <w:t>申请验收，到货验收合格后甲方</w:t>
      </w:r>
      <w:r>
        <w:rPr>
          <w:rFonts w:ascii="宋体" w:hAnsi="宋体"/>
          <w:bCs/>
          <w:color w:val="auto"/>
          <w:szCs w:val="21"/>
          <w:highlight w:val="none"/>
          <w:u w:val="single"/>
        </w:rPr>
        <w:t>2</w:t>
      </w:r>
      <w:r>
        <w:rPr>
          <w:rFonts w:hint="eastAsia" w:ascii="宋体" w:hAnsi="宋体"/>
          <w:bCs/>
          <w:color w:val="auto"/>
          <w:szCs w:val="21"/>
          <w:highlight w:val="none"/>
          <w:u w:val="single"/>
        </w:rPr>
        <w:t>出具</w:t>
      </w:r>
      <w:bookmarkStart w:id="153" w:name="_Hlk212749290"/>
      <w:r>
        <w:rPr>
          <w:rFonts w:hint="eastAsia" w:ascii="宋体" w:hAnsi="宋体"/>
          <w:bCs/>
          <w:color w:val="auto"/>
          <w:szCs w:val="21"/>
          <w:highlight w:val="none"/>
          <w:u w:val="single"/>
        </w:rPr>
        <w:t>《</w:t>
      </w:r>
      <w:r>
        <w:rPr>
          <w:rFonts w:hint="eastAsia"/>
          <w:color w:val="auto"/>
          <w:highlight w:val="none"/>
          <w:u w:val="single"/>
        </w:rPr>
        <w:t>设备到货确认单</w:t>
      </w:r>
      <w:r>
        <w:rPr>
          <w:rFonts w:hint="eastAsia" w:ascii="宋体" w:hAnsi="宋体"/>
          <w:bCs/>
          <w:color w:val="auto"/>
          <w:szCs w:val="21"/>
          <w:highlight w:val="none"/>
          <w:u w:val="single"/>
        </w:rPr>
        <w:t>》</w:t>
      </w:r>
      <w:bookmarkEnd w:id="153"/>
      <w:r>
        <w:rPr>
          <w:rFonts w:hint="eastAsia" w:ascii="宋体" w:hAnsi="宋体"/>
          <w:bCs/>
          <w:color w:val="auto"/>
          <w:szCs w:val="21"/>
          <w:highlight w:val="none"/>
          <w:u w:val="single"/>
        </w:rPr>
        <w:t>。</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②最终验收：设备安装调试完成后，乙方向甲方2（或医共体牵头单位）申请验收，</w:t>
      </w:r>
      <w:bookmarkStart w:id="154" w:name="_Hlk212749612"/>
      <w:r>
        <w:rPr>
          <w:rFonts w:hint="eastAsia" w:ascii="宋体" w:hAnsi="宋体"/>
          <w:bCs/>
          <w:color w:val="auto"/>
          <w:szCs w:val="21"/>
          <w:highlight w:val="none"/>
          <w:u w:val="single"/>
        </w:rPr>
        <w:t>最终验收合格后由验收小组出具《</w:t>
      </w:r>
      <w:r>
        <w:rPr>
          <w:rFonts w:hint="eastAsia"/>
          <w:color w:val="auto"/>
          <w:highlight w:val="none"/>
          <w:u w:val="single"/>
        </w:rPr>
        <w:t>设备最终验收单</w:t>
      </w:r>
      <w:r>
        <w:rPr>
          <w:rFonts w:hint="eastAsia" w:ascii="宋体" w:hAnsi="宋体"/>
          <w:bCs/>
          <w:color w:val="auto"/>
          <w:szCs w:val="21"/>
          <w:highlight w:val="none"/>
          <w:u w:val="single"/>
        </w:rPr>
        <w:t>》，验收小组汇总提交甲方1。</w:t>
      </w:r>
      <w:bookmarkEnd w:id="154"/>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3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③</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验收抽查：验收期间，甲方1组织验收专家组对验收情况进行抽查，如在抽查过程中发现乙方有违约问题，可暂缓资金结算，待违约问题解决后，方可办理资金结算事宜，在此期间，甲方1、2不承担逾期付款责任。</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4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④</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验收不合格处理：单项验收（到货验收、最终验收任一环节）不合格的，乙方需在 5 个工作日内制定整改方案（明确整改措施、时间），并在方案约定时间内完成整改（如补充交付、更换配件、重新调试）</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整改后重新验收仍不合格的，视为乙方最终验收不合格，甲方1有权：①解除合同，要求乙方退还已支付款项，并支付合同金额 10% 的违约金；②要求乙方更换全部不合格设备，且更换设备的质保期重新计算，同时乙方需承担因此导致的甲方损失。</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5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⑤</w:t>
      </w:r>
      <w:r>
        <w:rPr>
          <w:rFonts w:ascii="宋体" w:hAnsi="宋体"/>
          <w:bCs/>
          <w:color w:val="auto"/>
          <w:szCs w:val="21"/>
          <w:highlight w:val="none"/>
          <w:u w:val="single"/>
        </w:rPr>
        <w:fldChar w:fldCharType="end"/>
      </w:r>
      <w:r>
        <w:rPr>
          <w:rFonts w:ascii="宋体" w:hAnsi="宋体"/>
          <w:bCs/>
          <w:color w:val="auto"/>
          <w:szCs w:val="21"/>
          <w:highlight w:val="none"/>
          <w:u w:val="single"/>
        </w:rPr>
        <w:t xml:space="preserve"> </w:t>
      </w:r>
      <w:r>
        <w:rPr>
          <w:rFonts w:hint="eastAsia" w:ascii="宋体" w:hAnsi="宋体"/>
          <w:bCs/>
          <w:color w:val="auto"/>
          <w:szCs w:val="21"/>
          <w:highlight w:val="none"/>
          <w:u w:val="single"/>
        </w:rPr>
        <w:t>异议处理：乙方对验收结果有异议的，需在验收现场以书面形式提出，逾期未提出视为认可验收结果；双方争议需在 7 个工作日内协商解决，协商不成的，委托第三方检测机构重新检测，检测费用由乙方先支付，检测结果为最终依据，费用由责任方承担。</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6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⑥</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文件：在任一单项验收环节，甲方2（含医共体牵头单位，具体详见第二章采购需求三、与实现项目目标相关的其他要求“（六）本项目所涉区内县域医共体使用单位”）、乙方均应在场，交付的货物及相关资料、备品备件等符合验收标准的为单项验收合格，不符合验收标准的为单项验收不合格。验收结果由甲方</w:t>
      </w:r>
      <w:r>
        <w:rPr>
          <w:rFonts w:ascii="宋体" w:hAnsi="宋体"/>
          <w:bCs/>
          <w:color w:val="auto"/>
          <w:szCs w:val="21"/>
          <w:highlight w:val="none"/>
          <w:u w:val="single"/>
        </w:rPr>
        <w:t>2</w:t>
      </w:r>
      <w:r>
        <w:rPr>
          <w:rFonts w:hint="eastAsia" w:ascii="宋体" w:hAnsi="宋体"/>
          <w:bCs/>
          <w:color w:val="auto"/>
          <w:szCs w:val="21"/>
          <w:highlight w:val="none"/>
          <w:u w:val="single"/>
        </w:rPr>
        <w:t>出具《</w:t>
      </w:r>
      <w:r>
        <w:rPr>
          <w:rFonts w:hint="eastAsia"/>
          <w:color w:val="auto"/>
          <w:highlight w:val="none"/>
          <w:u w:val="single"/>
        </w:rPr>
        <w:t>设备到货确认单</w:t>
      </w:r>
      <w:r>
        <w:rPr>
          <w:rFonts w:hint="eastAsia" w:ascii="宋体" w:hAnsi="宋体"/>
          <w:bCs/>
          <w:color w:val="auto"/>
          <w:szCs w:val="21"/>
          <w:highlight w:val="none"/>
          <w:u w:val="single"/>
        </w:rPr>
        <w:t>》、《</w:t>
      </w:r>
      <w:r>
        <w:rPr>
          <w:rFonts w:hint="eastAsia"/>
          <w:color w:val="auto"/>
          <w:highlight w:val="none"/>
          <w:u w:val="single"/>
        </w:rPr>
        <w:t>设备最终验收单</w:t>
      </w:r>
      <w:r>
        <w:rPr>
          <w:rFonts w:hint="eastAsia" w:ascii="宋体" w:hAnsi="宋体"/>
          <w:bCs/>
          <w:color w:val="auto"/>
          <w:szCs w:val="21"/>
          <w:highlight w:val="none"/>
          <w:u w:val="single"/>
        </w:rPr>
        <w:t>》，列明各项标准的验收情况，由甲方2（含医共体牵头单位）、乙方共同签字确认。</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（6）验收的内容：</w:t>
      </w:r>
    </w:p>
    <w:p>
      <w:pPr>
        <w:spacing w:line="400" w:lineRule="exact"/>
        <w:ind w:firstLine="420" w:firstLineChars="200"/>
        <w:jc w:val="left"/>
        <w:rPr>
          <w:rFonts w:ascii="宋体" w:hAnsi="宋体" w:cs="宋体"/>
          <w:iCs/>
          <w:color w:val="auto"/>
          <w:szCs w:val="21"/>
          <w:highlight w:val="none"/>
          <w:u w:val="single"/>
        </w:rPr>
      </w:pPr>
      <w:r>
        <w:rPr>
          <w:rFonts w:hint="eastAsia" w:ascii="宋体" w:hAnsi="宋体" w:cs="宋体"/>
          <w:color w:val="auto"/>
          <w:szCs w:val="21"/>
          <w:highlight w:val="none"/>
          <w:u w:val="single"/>
        </w:rPr>
        <w:t>商务验收内容：对采购标的交付的情况、财务和服务要求，包括交付（实施）的时间（期限）和地点（范围），付款条件（进度和方式），包装和运输，文件完整性（含产品合格证、说明书、保修卡、检测报告等），售后服务（培训安排、响应时间），保险等进行验收。</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技术验收内容：对采购标的的功能和质量要求，包括性能、材料、结构、外观、安全、运行稳定性、兼容性（与甲方2现有医疗系统的对接情况），或者服务内容和标准等进行验收。</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其余按采购需求的商务要求中《验收标准、验收方法及方案》规定执行。</w:t>
      </w:r>
    </w:p>
    <w:p>
      <w:pPr>
        <w:snapToGrid w:val="0"/>
        <w:spacing w:line="400" w:lineRule="exact"/>
        <w:ind w:firstLine="420" w:firstLineChars="200"/>
        <w:rPr>
          <w:color w:val="auto"/>
          <w:highlight w:val="none"/>
          <w:u w:val="single"/>
        </w:rPr>
      </w:pPr>
      <w:r>
        <w:rPr>
          <w:rFonts w:hint="eastAsia" w:ascii="宋体" w:hAnsi="宋体"/>
          <w:bCs/>
          <w:color w:val="auto"/>
          <w:szCs w:val="21"/>
          <w:highlight w:val="none"/>
        </w:rPr>
        <w:t>（7）验收标准：</w:t>
      </w:r>
      <w:r>
        <w:rPr>
          <w:rFonts w:hint="eastAsia"/>
          <w:color w:val="auto"/>
          <w:highlight w:val="none"/>
          <w:u w:val="single"/>
        </w:rPr>
        <w:t>按甲方招标文件的采购需求、乙方的投标文件响应及承诺与本合同约定的要求进行验收，但应同时</w:t>
      </w:r>
      <w:r>
        <w:rPr>
          <w:rFonts w:hint="eastAsia" w:ascii="宋体" w:hAnsi="宋体" w:cs="宋体"/>
          <w:color w:val="auto"/>
          <w:szCs w:val="21"/>
          <w:highlight w:val="none"/>
          <w:u w:val="single"/>
        </w:rPr>
        <w:t>符合与本项目关联的法规以及国家、行业、地方标准</w:t>
      </w:r>
      <w:r>
        <w:rPr>
          <w:rFonts w:hint="eastAsia"/>
          <w:color w:val="auto"/>
          <w:highlight w:val="none"/>
          <w:u w:val="single"/>
        </w:rPr>
        <w:t>；若招标文件与投标文件要求不一致，以更优标准为准；若国家、行业、地方标准更新，需符合更新后标准；若货物中有执行国家强制标准的，则验收标准不得低于国家强制标准。</w:t>
      </w:r>
      <w:r>
        <w:rPr>
          <w:rFonts w:hint="eastAsia" w:ascii="宋体" w:hAnsi="宋体"/>
          <w:bCs/>
          <w:color w:val="auto"/>
          <w:szCs w:val="21"/>
          <w:highlight w:val="none"/>
          <w:u w:val="single"/>
        </w:rPr>
        <w:t xml:space="preserve"> </w:t>
      </w:r>
    </w:p>
    <w:p>
      <w:pPr>
        <w:snapToGrid w:val="0"/>
        <w:spacing w:line="400" w:lineRule="exact"/>
        <w:ind w:firstLine="420" w:firstLineChars="200"/>
        <w:rPr>
          <w:color w:val="auto"/>
          <w:highlight w:val="none"/>
          <w:u w:val="single"/>
        </w:rPr>
      </w:pPr>
      <w:r>
        <w:rPr>
          <w:rFonts w:hint="eastAsia"/>
          <w:color w:val="auto"/>
          <w:highlight w:val="none"/>
          <w:u w:val="single"/>
        </w:rPr>
        <w:t>（8）是否以采购活动中供应商提供的样品作为参考：</w:t>
      </w:r>
      <w:r>
        <w:rPr>
          <w:rFonts w:hint="eastAsia"/>
          <w:color w:val="auto"/>
          <w:highlight w:val="none"/>
          <w:u w:val="single"/>
        </w:rPr>
        <w:sym w:font="Wingdings" w:char="00A8"/>
      </w:r>
      <w:r>
        <w:rPr>
          <w:rFonts w:hint="eastAsia"/>
          <w:color w:val="auto"/>
          <w:highlight w:val="none"/>
          <w:u w:val="single"/>
        </w:rPr>
        <w:t xml:space="preserve">是  </w:t>
      </w:r>
      <w:r>
        <w:rPr>
          <w:rFonts w:hint="eastAsia"/>
          <w:color w:val="auto"/>
          <w:highlight w:val="none"/>
          <w:u w:val="single"/>
        </w:rPr>
        <w:sym w:font="Wingdings 2" w:char="F052"/>
      </w:r>
      <w:r>
        <w:rPr>
          <w:rFonts w:hint="eastAsia"/>
          <w:color w:val="auto"/>
          <w:highlight w:val="none"/>
          <w:u w:val="single"/>
        </w:rPr>
        <w:t>否</w:t>
      </w:r>
    </w:p>
    <w:p>
      <w:pPr>
        <w:snapToGrid w:val="0"/>
        <w:spacing w:line="400" w:lineRule="exact"/>
        <w:ind w:firstLine="420" w:firstLineChars="200"/>
        <w:rPr>
          <w:color w:val="auto"/>
          <w:highlight w:val="none"/>
          <w:u w:val="single"/>
        </w:rPr>
      </w:pPr>
      <w:r>
        <w:rPr>
          <w:rFonts w:hint="eastAsia"/>
          <w:color w:val="auto"/>
          <w:highlight w:val="none"/>
          <w:u w:val="single"/>
        </w:rPr>
        <w:t>（9）验收其他事项：其他未尽事宜应严格按照《关于印发广西壮族自治区政府采购项目履约验收管理办法的通知》[桂财采〔2015〕22号]以及《财政部关于进一步加强政府采购需求和履约验收管理的指导意见》[财库〔2016〕205号]规定执行。</w:t>
      </w:r>
    </w:p>
    <w:p>
      <w:pPr>
        <w:adjustRightInd w:val="0"/>
        <w:snapToGrid w:val="0"/>
        <w:spacing w:afterLines="50"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5.售后服务及质保要求</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（1）质保期(包修期)：</w:t>
      </w:r>
      <w:r>
        <w:rPr>
          <w:rFonts w:hint="eastAsia" w:ascii="宋体" w:hAnsi="宋体" w:eastAsia="宋体" w:cs="宋体"/>
          <w:color w:val="auto"/>
          <w:szCs w:val="21"/>
          <w:highlight w:val="none"/>
          <w:u w:val="single"/>
        </w:rPr>
        <w:t>按乙方承诺，但是不得低于采购需求或国家相关标准</w:t>
      </w:r>
      <w:r>
        <w:rPr>
          <w:rFonts w:hint="eastAsia" w:ascii="宋体" w:hAnsi="宋体" w:eastAsia="宋体" w:cs="宋体"/>
          <w:color w:val="auto"/>
          <w:szCs w:val="21"/>
          <w:highlight w:val="none"/>
        </w:rPr>
        <w:t>。</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（2）货物质量缺陷响应时间：接到甲方2通知后在</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小时内到达甲方2现场。</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（3）乙方提供的其他服务：乙方负责甲方2有关人员的培训。培训时间、地点：</w:t>
      </w:r>
      <w:r>
        <w:rPr>
          <w:rFonts w:hint="eastAsia" w:ascii="宋体" w:hAnsi="宋体" w:eastAsia="宋体" w:cs="宋体"/>
          <w:color w:val="auto"/>
          <w:szCs w:val="21"/>
          <w:highlight w:val="none"/>
          <w:u w:val="single"/>
        </w:rPr>
        <w:t>由甲方2决定</w:t>
      </w:r>
      <w:r>
        <w:rPr>
          <w:rFonts w:hint="eastAsia" w:ascii="宋体" w:hAnsi="宋体" w:eastAsia="宋体" w:cs="宋体"/>
          <w:color w:val="auto"/>
          <w:szCs w:val="21"/>
          <w:highlight w:val="none"/>
        </w:rPr>
        <w:t>。</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（4）修理、重做、更换相关具体规定：按【政府采购合同专用条款】规定执行。</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（5）乙方提供</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7*24</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小时售后服务，质保期内仪器设备出现故障，在接到电话通知后，</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小时内做出响应（远程解决或做出预备维护动作），</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小时内到达维修现场。一般问题应在</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小时内解决，以保证甲方的正常工作。重大问题或其它无法迅速解决的问题应在</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eastAsia="宋体" w:cs="宋体"/>
          <w:color w:val="auto"/>
          <w:szCs w:val="21"/>
          <w:highlight w:val="none"/>
        </w:rPr>
        <w:t xml:space="preserve">个工作日内解决，乙方在接到甲方通知后拒不响应或解决故障的，甲方有权聘请第三方进行维修，由此产生的费用由乙方承担。 </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（6）乙方提供维护手册、维修手册、软件备份、故障代码表、备件清单。质保期外，乙方提供维修密码及</w:t>
      </w:r>
      <w:r>
        <w:rPr>
          <w:rFonts w:hint="eastAsia" w:ascii="宋体" w:hAnsi="宋体" w:cs="宋体"/>
          <w:color w:val="auto"/>
          <w:szCs w:val="21"/>
          <w:highlight w:val="none"/>
        </w:rPr>
        <w:t>设备交付验收时配置的所有软件</w:t>
      </w:r>
      <w:r>
        <w:rPr>
          <w:rFonts w:hint="eastAsia" w:ascii="宋体" w:hAnsi="宋体" w:eastAsia="宋体" w:cs="宋体"/>
          <w:color w:val="auto"/>
          <w:szCs w:val="21"/>
          <w:highlight w:val="none"/>
        </w:rPr>
        <w:t>在该项目的永久使用权并承担相应费用。</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（7）相关人员培训：标的包含医护人员及工程人员的培训计划费用，设备装机验收后，现场提供对甲方进行≥1次的基本培训，使甲方使用人员及工程人员熟练掌握全部功能及基本维修。</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8）乙方承诺的质保期内的所有售后服务，包括原厂商服务和非原厂商服务，其中硬件的售后服务包括但不限于硬件维护维修、配件更换、硬件升级；应用软件的售后服务包括但不限于应用软件维护升级以及非结构性修改；乙方承诺的质保期内售后服务所产生的费用均由乙方承担。</w:t>
      </w:r>
    </w:p>
    <w:p>
      <w:pPr>
        <w:widowControl/>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（9）乙方提供的设备如因甲方业务需要而接入甲方信息网络(含信息网、无线网、设备网、物联网、HIS、PACS 等系统),乙方需积极配合并承担相关费用。</w:t>
      </w:r>
    </w:p>
    <w:p>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eastAsia="宋体" w:cs="宋体"/>
          <w:color w:val="auto"/>
          <w:szCs w:val="21"/>
          <w:highlight w:val="none"/>
        </w:rPr>
        <w:t>（10）团队人员：乙方拟投入的专业技术工程师及售后服务人员，负责向使用单位提供安装、调试、维护、故障排除、业务咨询、培训、售后等服务。</w:t>
      </w:r>
    </w:p>
    <w:p>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（11）其余售后服务及质保要求按采购需求、投标文件响应、政府采购合同专用条款规定执行。</w:t>
      </w:r>
    </w:p>
    <w:p>
      <w:pPr>
        <w:adjustRightInd w:val="0"/>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6.违约责任</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s="宋体"/>
          <w:bCs/>
          <w:color w:val="auto"/>
          <w:szCs w:val="21"/>
          <w:highlight w:val="none"/>
        </w:rPr>
        <w:t>（1）</w:t>
      </w:r>
      <w:r>
        <w:rPr>
          <w:rFonts w:hint="eastAsia" w:ascii="宋体" w:hAnsi="宋体"/>
          <w:bCs/>
          <w:color w:val="auto"/>
          <w:szCs w:val="21"/>
          <w:highlight w:val="none"/>
        </w:rPr>
        <w:t>质量瑕疵的违约责任：</w:t>
      </w: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迟延交货的违约责任：</w:t>
      </w:r>
      <w:r>
        <w:rPr>
          <w:rFonts w:hint="eastAsia" w:ascii="宋体" w:hAnsi="宋体"/>
          <w:color w:val="auto"/>
          <w:szCs w:val="21"/>
          <w:highlight w:val="none"/>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（3）迟延支付的违约责任：甲方存在迟延支付乙方合同款项的，应当承担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7.组成合同的文件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（1）政府采购合同协议书及其变更、补充协议；</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（2）政府采购合同专用条款；</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（3）政府采购合同通用条款；</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（4）中标通知书；</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（6）招标文件；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（7）有关技术文件，图纸；</w:t>
      </w:r>
    </w:p>
    <w:p>
      <w:pPr>
        <w:widowControl/>
        <w:autoSpaceDE w:val="0"/>
        <w:autoSpaceDN w:val="0"/>
        <w:adjustRightInd w:val="0"/>
        <w:spacing w:line="360" w:lineRule="auto"/>
        <w:ind w:firstLine="440"/>
        <w:jc w:val="left"/>
        <w:rPr>
          <w:rFonts w:ascii="宋体" w:hAnsi="宋体" w:cs="宋体"/>
          <w:color w:val="auto"/>
          <w:szCs w:val="21"/>
          <w:highlight w:val="none"/>
        </w:rPr>
      </w:pPr>
      <w:r>
        <w:rPr>
          <w:rFonts w:hint="eastAsia" w:ascii="宋体" w:hAnsi="宋体" w:cs="宋体"/>
          <w:color w:val="auto"/>
          <w:kern w:val="0"/>
          <w:szCs w:val="21"/>
          <w:highlight w:val="none"/>
        </w:rPr>
        <w:t>（8）</w:t>
      </w:r>
      <w:r>
        <w:rPr>
          <w:rFonts w:hint="eastAsia" w:ascii="宋体" w:hAnsi="宋体" w:cs="宋体"/>
          <w:color w:val="auto"/>
          <w:szCs w:val="21"/>
          <w:highlight w:val="none"/>
        </w:rPr>
        <w:t>国家法律、行政法规和规章制度规定或合同约定的作为合同组成部分的其他文件。</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8.合同生效</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甲乙双方法定代表人或委托代理人签字并加盖单位公章后</w:t>
      </w:r>
      <w:r>
        <w:rPr>
          <w:rFonts w:hint="eastAsia" w:ascii="宋体" w:hAnsi="宋体"/>
          <w:color w:val="auto"/>
          <w:szCs w:val="21"/>
          <w:highlight w:val="none"/>
        </w:rPr>
        <w:t>生效。</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9.合同份数</w:t>
      </w:r>
    </w:p>
    <w:p>
      <w:pPr>
        <w:pStyle w:val="41"/>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8 </w:t>
      </w:r>
      <w:r>
        <w:rPr>
          <w:rFonts w:hint="eastAsia" w:ascii="宋体" w:hAnsi="宋体"/>
          <w:color w:val="auto"/>
          <w:szCs w:val="21"/>
          <w:highlight w:val="none"/>
        </w:rPr>
        <w:t>份，甲方1执</w:t>
      </w:r>
      <w:r>
        <w:rPr>
          <w:rFonts w:hint="eastAsia" w:ascii="宋体" w:hAnsi="宋体"/>
          <w:color w:val="auto"/>
          <w:szCs w:val="21"/>
          <w:highlight w:val="none"/>
          <w:u w:val="single"/>
        </w:rPr>
        <w:t xml:space="preserve"> 3 </w:t>
      </w:r>
      <w:r>
        <w:rPr>
          <w:rFonts w:hint="eastAsia" w:ascii="宋体" w:hAnsi="宋体"/>
          <w:color w:val="auto"/>
          <w:szCs w:val="21"/>
          <w:highlight w:val="none"/>
        </w:rPr>
        <w:t>份，甲方2各使用单位合计执</w:t>
      </w:r>
      <w:r>
        <w:rPr>
          <w:rFonts w:hint="eastAsia" w:ascii="宋体" w:hAnsi="宋体"/>
          <w:color w:val="auto"/>
          <w:szCs w:val="21"/>
          <w:highlight w:val="none"/>
          <w:u w:val="single"/>
        </w:rPr>
        <w:t>2</w:t>
      </w:r>
      <w:r>
        <w:rPr>
          <w:rFonts w:hint="eastAsia" w:ascii="宋体" w:hAnsi="宋体"/>
          <w:color w:val="auto"/>
          <w:szCs w:val="21"/>
          <w:highlight w:val="none"/>
        </w:rPr>
        <w:t>份（由甲方1统一保管分发），乙方执</w:t>
      </w:r>
      <w:r>
        <w:rPr>
          <w:rFonts w:hint="eastAsia" w:ascii="宋体" w:hAnsi="宋体"/>
          <w:color w:val="auto"/>
          <w:szCs w:val="21"/>
          <w:highlight w:val="none"/>
          <w:u w:val="single"/>
        </w:rPr>
        <w:t xml:space="preserve"> 2 </w:t>
      </w:r>
      <w:r>
        <w:rPr>
          <w:rFonts w:hint="eastAsia" w:ascii="宋体" w:hAnsi="宋体"/>
          <w:color w:val="auto"/>
          <w:szCs w:val="21"/>
          <w:highlight w:val="none"/>
        </w:rPr>
        <w:t>份，采购代理机构执</w:t>
      </w:r>
      <w:r>
        <w:rPr>
          <w:rFonts w:hint="eastAsia" w:ascii="宋体" w:hAnsi="宋体"/>
          <w:color w:val="auto"/>
          <w:szCs w:val="21"/>
          <w:highlight w:val="none"/>
          <w:u w:val="single"/>
        </w:rPr>
        <w:t>1</w:t>
      </w:r>
      <w:r>
        <w:rPr>
          <w:rFonts w:hint="eastAsia" w:ascii="宋体" w:hAnsi="宋体"/>
          <w:color w:val="auto"/>
          <w:szCs w:val="21"/>
          <w:highlight w:val="none"/>
        </w:rPr>
        <w:t>份，具有同等法律效力；附件与本合同具有同等法律效力。</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广西南宁市青秀区</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附件：1、</w:t>
      </w:r>
      <w:r>
        <w:rPr>
          <w:rFonts w:hint="eastAsia" w:ascii="宋体" w:hAnsi="宋体"/>
          <w:color w:val="auto"/>
          <w:szCs w:val="21"/>
          <w:highlight w:val="none"/>
          <w:u w:val="single"/>
        </w:rPr>
        <w:t>《县域医共体甲方 2 使用单位名单》</w:t>
      </w:r>
    </w:p>
    <w:p>
      <w:pPr>
        <w:adjustRightInd w:val="0"/>
        <w:snapToGrid w:val="0"/>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2、具体标的及其技术要求和商务要求等。</w:t>
      </w:r>
    </w:p>
    <w:p>
      <w:pPr>
        <w:rPr>
          <w:rFonts w:ascii="宋体" w:hAnsi="宋体"/>
          <w:color w:val="auto"/>
          <w:szCs w:val="21"/>
          <w:highlight w:val="none"/>
        </w:rPr>
      </w:pPr>
      <w:r>
        <w:rPr>
          <w:rFonts w:hint="eastAsia" w:ascii="宋体" w:hAnsi="宋体"/>
          <w:color w:val="auto"/>
          <w:szCs w:val="21"/>
          <w:highlight w:val="none"/>
        </w:rPr>
        <w:br w:type="page"/>
      </w:r>
    </w:p>
    <w:tbl>
      <w:tblPr>
        <w:tblStyle w:val="25"/>
        <w:tblW w:w="955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569"/>
        <w:gridCol w:w="3294"/>
        <w:gridCol w:w="1690"/>
        <w:gridCol w:w="2995"/>
        <w:gridCol w:w="1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gridAfter w:val="1"/>
          <w:wAfter w:w="10" w:type="dxa"/>
          <w:trHeight w:val="435" w:hRule="atLeast"/>
        </w:trPr>
        <w:tc>
          <w:tcPr>
            <w:tcW w:w="4863" w:type="dxa"/>
            <w:gridSpan w:val="2"/>
            <w:tcBorders>
              <w:bottom w:val="single" w:color="auto" w:sz="2" w:space="0"/>
              <w:right w:val="single" w:color="auto" w:sz="2" w:space="0"/>
            </w:tcBorders>
            <w:vAlign w:val="center"/>
          </w:tcPr>
          <w:p>
            <w:pPr>
              <w:adjustRightInd w:val="0"/>
              <w:snapToGrid w:val="0"/>
              <w:spacing w:line="300" w:lineRule="exact"/>
              <w:jc w:val="left"/>
              <w:rPr>
                <w:color w:val="auto"/>
                <w:highlight w:val="none"/>
              </w:rPr>
            </w:pPr>
            <w:r>
              <w:rPr>
                <w:color w:val="auto"/>
                <w:szCs w:val="21"/>
                <w:highlight w:val="none"/>
              </w:rPr>
              <w:t>甲方</w:t>
            </w:r>
            <w:r>
              <w:rPr>
                <w:rFonts w:hint="eastAsia"/>
                <w:color w:val="auto"/>
                <w:szCs w:val="21"/>
                <w:highlight w:val="none"/>
              </w:rPr>
              <w:t>1（采购人）</w:t>
            </w:r>
          </w:p>
        </w:tc>
        <w:tc>
          <w:tcPr>
            <w:tcW w:w="4685" w:type="dxa"/>
            <w:gridSpan w:val="2"/>
            <w:tcBorders>
              <w:left w:val="single" w:color="auto" w:sz="2" w:space="0"/>
              <w:bottom w:val="single" w:color="auto" w:sz="2" w:space="0"/>
            </w:tcBorders>
            <w:vAlign w:val="center"/>
          </w:tcPr>
          <w:p>
            <w:pPr>
              <w:adjustRightInd w:val="0"/>
              <w:snapToGrid w:val="0"/>
              <w:spacing w:line="300" w:lineRule="exact"/>
              <w:jc w:val="left"/>
              <w:rPr>
                <w:color w:val="auto"/>
                <w:highlight w:val="none"/>
              </w:rPr>
            </w:pPr>
            <w:r>
              <w:rPr>
                <w:color w:val="auto"/>
                <w:szCs w:val="21"/>
                <w:highlight w:val="none"/>
              </w:rPr>
              <w:t>乙方</w:t>
            </w:r>
            <w:r>
              <w:rPr>
                <w:rFonts w:hint="eastAsia"/>
                <w:color w:val="auto"/>
                <w:szCs w:val="21"/>
                <w:highlight w:val="none"/>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1351"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广西壮族自治区卫生健康委员会</w:t>
            </w: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1068" w:hRule="atLeast"/>
        </w:trPr>
        <w:tc>
          <w:tcPr>
            <w:tcW w:w="1569" w:type="dxa"/>
            <w:tcBorders>
              <w:top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法定代表人</w:t>
            </w:r>
          </w:p>
          <w:p>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（签章/签字）</w:t>
            </w:r>
          </w:p>
        </w:tc>
        <w:tc>
          <w:tcPr>
            <w:tcW w:w="3294"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法定代表人</w:t>
            </w:r>
          </w:p>
          <w:p>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（签章/签字）</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 系 人</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 系 人</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联系电话</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联系电话</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邮政编码</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邮政编码</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开户名称</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开户名称</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开户银行</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开户银行</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银行账号</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银行账号</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bl>
    <w:p>
      <w:pPr>
        <w:ind w:firstLine="420" w:firstLineChars="200"/>
        <w:rPr>
          <w:rFonts w:ascii="宋体" w:hAnsi="宋体"/>
          <w:color w:val="auto"/>
          <w:highlight w:val="none"/>
        </w:rPr>
      </w:pPr>
    </w:p>
    <w:tbl>
      <w:tblPr>
        <w:tblStyle w:val="25"/>
        <w:tblW w:w="955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3322"/>
        <w:gridCol w:w="623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567" w:hRule="atLeast"/>
        </w:trPr>
        <w:tc>
          <w:tcPr>
            <w:tcW w:w="9558" w:type="dxa"/>
            <w:gridSpan w:val="2"/>
            <w:tcBorders>
              <w:left w:val="single" w:color="auto" w:sz="2" w:space="0"/>
              <w:bottom w:val="single" w:color="auto" w:sz="2" w:space="0"/>
            </w:tcBorders>
            <w:vAlign w:val="center"/>
          </w:tcPr>
          <w:p>
            <w:pPr>
              <w:adjustRightInd w:val="0"/>
              <w:snapToGrid w:val="0"/>
              <w:spacing w:line="300" w:lineRule="exact"/>
              <w:jc w:val="left"/>
              <w:rPr>
                <w:color w:val="auto"/>
                <w:highlight w:val="none"/>
              </w:rPr>
            </w:pPr>
            <w:r>
              <w:rPr>
                <w:rFonts w:hint="eastAsia"/>
                <w:color w:val="auto"/>
                <w:szCs w:val="21"/>
                <w:highlight w:val="none"/>
              </w:rPr>
              <w:t>甲方2（使用单位）</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1576"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1182" w:hRule="atLeast"/>
        </w:trPr>
        <w:tc>
          <w:tcPr>
            <w:tcW w:w="3322"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法定代表人</w:t>
            </w:r>
          </w:p>
          <w:p>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（签章/签字）</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 系 人</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联系电话</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邮政编码</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开户名称</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开户银行</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340" w:hRule="atLeast"/>
        </w:trPr>
        <w:tc>
          <w:tcPr>
            <w:tcW w:w="332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银行账号</w:t>
            </w:r>
          </w:p>
        </w:tc>
        <w:tc>
          <w:tcPr>
            <w:tcW w:w="623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bl>
    <w:p>
      <w:pPr>
        <w:pStyle w:val="30"/>
        <w:rPr>
          <w:color w:val="auto"/>
          <w:highlight w:val="none"/>
        </w:rPr>
      </w:pPr>
    </w:p>
    <w:p>
      <w:pPr>
        <w:ind w:firstLine="420" w:firstLineChars="200"/>
        <w:rPr>
          <w:rFonts w:ascii="宋体" w:hAnsi="宋体"/>
          <w:color w:val="auto"/>
          <w:highlight w:val="none"/>
        </w:rPr>
        <w:sectPr>
          <w:headerReference r:id="rId4" w:type="first"/>
          <w:pgSz w:w="11906" w:h="16838"/>
          <w:pgMar w:top="1418" w:right="1133" w:bottom="1246" w:left="1418" w:header="851" w:footer="992" w:gutter="0"/>
          <w:pgNumType w:fmt="decimal"/>
          <w:cols w:space="720" w:num="1"/>
          <w:docGrid w:linePitch="312" w:charSpace="0"/>
        </w:sectPr>
      </w:pPr>
    </w:p>
    <w:p>
      <w:pPr>
        <w:keepNext/>
        <w:keepLines/>
        <w:adjustRightInd w:val="0"/>
        <w:snapToGrid w:val="0"/>
        <w:spacing w:line="360" w:lineRule="auto"/>
        <w:jc w:val="center"/>
        <w:outlineLvl w:val="1"/>
        <w:rPr>
          <w:rFonts w:ascii="宋体" w:hAnsi="宋体" w:cs="宋体"/>
          <w:b/>
          <w:bCs/>
          <w:color w:val="auto"/>
          <w:sz w:val="28"/>
          <w:szCs w:val="28"/>
          <w:highlight w:val="none"/>
        </w:rPr>
      </w:pPr>
      <w:bookmarkStart w:id="155" w:name="_Toc21952"/>
      <w:bookmarkStart w:id="156" w:name="_Toc21308"/>
      <w:bookmarkStart w:id="157" w:name="_Toc210308725"/>
      <w:bookmarkStart w:id="158" w:name="_Toc28206"/>
      <w:bookmarkStart w:id="159" w:name="_Toc210311315"/>
      <w:r>
        <w:rPr>
          <w:rFonts w:hint="eastAsia" w:ascii="宋体" w:hAnsi="宋体" w:cs="宋体"/>
          <w:color w:val="auto"/>
          <w:sz w:val="28"/>
          <w:szCs w:val="28"/>
          <w:highlight w:val="none"/>
        </w:rPr>
        <w:t>第二节 政府采购合同通用条款</w:t>
      </w:r>
      <w:bookmarkEnd w:id="155"/>
      <w:bookmarkEnd w:id="156"/>
      <w:bookmarkEnd w:id="157"/>
      <w:bookmarkEnd w:id="158"/>
      <w:bookmarkEnd w:id="159"/>
    </w:p>
    <w:p>
      <w:pPr>
        <w:tabs>
          <w:tab w:val="left" w:pos="8820"/>
          <w:tab w:val="left" w:pos="9345"/>
          <w:tab w:val="left" w:pos="9765"/>
        </w:tabs>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numPr>
          <w:ilvl w:val="0"/>
          <w:numId w:val="6"/>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pPr>
        <w:autoSpaceDE w:val="0"/>
        <w:autoSpaceDN w:val="0"/>
        <w:adjustRightInd w:val="0"/>
        <w:snapToGrid w:val="0"/>
        <w:spacing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3. 履行合同的时间、地点和方式</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4. 甲方的权利和义务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pPr>
        <w:snapToGrid w:val="0"/>
        <w:spacing w:line="400" w:lineRule="exact"/>
        <w:ind w:firstLine="420" w:firstLineChars="20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 xml:space="preserve">5 </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4.6</w:t>
      </w:r>
      <w:r>
        <w:rPr>
          <w:rFonts w:ascii="宋体" w:hAnsi="宋体"/>
          <w:color w:val="auto"/>
          <w:szCs w:val="21"/>
          <w:highlight w:val="none"/>
        </w:rPr>
        <w:t xml:space="preserve"> </w:t>
      </w:r>
      <w:r>
        <w:rPr>
          <w:rFonts w:hint="eastAsia" w:ascii="宋体" w:hAnsi="宋体"/>
          <w:color w:val="auto"/>
          <w:szCs w:val="21"/>
          <w:highlight w:val="none"/>
        </w:rPr>
        <w:t>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5. 乙方的权利和义务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乙方有权根据合同约定向甲方收取合同价款。</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olor w:val="auto"/>
          <w:szCs w:val="21"/>
          <w:highlight w:val="none"/>
        </w:rPr>
        <w:t>国家法律法规规定及</w:t>
      </w:r>
      <w:r>
        <w:rPr>
          <w:rFonts w:hint="eastAsia" w:ascii="宋体" w:hAnsi="宋体" w:cs="宋体"/>
          <w:b/>
          <w:bCs/>
          <w:color w:val="auto"/>
          <w:sz w:val="22"/>
          <w:szCs w:val="20"/>
          <w:highlight w:val="none"/>
        </w:rPr>
        <w:t>【政府采购合同专用条款】</w:t>
      </w:r>
      <w:r>
        <w:rPr>
          <w:rFonts w:hint="eastAsia" w:ascii="宋体" w:hAnsi="宋体"/>
          <w:color w:val="auto"/>
          <w:szCs w:val="21"/>
          <w:highlight w:val="none"/>
        </w:rPr>
        <w:t>约定应由乙方承担的其他义务和责任。</w:t>
      </w:r>
    </w:p>
    <w:p>
      <w:pPr>
        <w:numPr>
          <w:ilvl w:val="0"/>
          <w:numId w:val="7"/>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合同履行</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pPr>
        <w:autoSpaceDE w:val="0"/>
        <w:autoSpaceDN w:val="0"/>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pPr>
        <w:widowControl/>
        <w:autoSpaceDE w:val="0"/>
        <w:autoSpaceDN w:val="0"/>
        <w:adjustRightInd w:val="0"/>
        <w:spacing w:line="400" w:lineRule="exact"/>
        <w:ind w:firstLine="440"/>
        <w:jc w:val="left"/>
        <w:rPr>
          <w:rFonts w:ascii="华文楷体" w:hAnsi="华文楷体" w:eastAsia="华文楷体" w:cs="华文楷体"/>
          <w:color w:val="auto"/>
          <w:kern w:val="0"/>
          <w:szCs w:val="21"/>
          <w:highlight w:val="none"/>
        </w:rPr>
      </w:pPr>
      <w:r>
        <w:rPr>
          <w:rFonts w:hint="eastAsia" w:ascii="宋体" w:hAnsi="宋体"/>
          <w:color w:val="auto"/>
          <w:szCs w:val="21"/>
          <w:highlight w:val="none"/>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8. 质量标准和保证</w:t>
      </w:r>
    </w:p>
    <w:p>
      <w:pPr>
        <w:adjustRightInd w:val="0"/>
        <w:snapToGrid w:val="0"/>
        <w:spacing w:line="400" w:lineRule="exact"/>
        <w:ind w:firstLine="420" w:firstLineChars="200"/>
        <w:jc w:val="left"/>
        <w:rPr>
          <w:rFonts w:hAnsi="宋体"/>
          <w:b/>
          <w:color w:val="auto"/>
          <w:highlight w:val="none"/>
        </w:rPr>
      </w:pPr>
      <w:r>
        <w:rPr>
          <w:rFonts w:hint="eastAsia" w:hAnsi="宋体"/>
          <w:color w:val="auto"/>
          <w:highlight w:val="none"/>
        </w:rPr>
        <w:t>8.1 质量标准</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8.2 保证</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9. 权利瑕疵担保</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10. 知识产权保护</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11. 保密义务</w:t>
      </w:r>
    </w:p>
    <w:p>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12. 合同价款支付</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pPr>
        <w:spacing w:line="400" w:lineRule="exact"/>
        <w:rPr>
          <w:rFonts w:ascii="宋体" w:hAnsi="宋体"/>
          <w:b/>
          <w:bCs/>
          <w:color w:val="auto"/>
          <w:highlight w:val="none"/>
        </w:rPr>
      </w:pPr>
      <w:r>
        <w:rPr>
          <w:rFonts w:hint="eastAsia" w:ascii="宋体" w:hAnsi="宋体"/>
          <w:b/>
          <w:bCs/>
          <w:color w:val="auto"/>
          <w:highlight w:val="none"/>
        </w:rPr>
        <w:t>13. 履约保证金</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乙方应当以支票、汇票、本票或者金融机构出具的保函等非现金形式提交。</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pPr>
        <w:widowControl/>
        <w:autoSpaceDE w:val="0"/>
        <w:autoSpaceDN w:val="0"/>
        <w:adjustRightInd w:val="0"/>
        <w:spacing w:line="400" w:lineRule="exact"/>
        <w:ind w:firstLine="440"/>
        <w:jc w:val="left"/>
        <w:rPr>
          <w:rFonts w:ascii="宋体" w:hAnsi="宋体" w:cs="宋体"/>
          <w:color w:val="auto"/>
          <w:kern w:val="0"/>
          <w:szCs w:val="21"/>
          <w:highlight w:val="none"/>
        </w:rPr>
      </w:pPr>
      <w:r>
        <w:rPr>
          <w:rFonts w:hint="eastAsia" w:ascii="宋体" w:hAnsi="宋体" w:cs="宋体"/>
          <w:color w:val="auto"/>
          <w:kern w:val="0"/>
          <w:szCs w:val="21"/>
          <w:highlight w:val="none"/>
        </w:rPr>
        <w:t>（5）依照法律、行政法规的规定或者按照</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15. 违约责任</w:t>
      </w:r>
    </w:p>
    <w:p>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pPr>
        <w:autoSpaceDE w:val="0"/>
        <w:autoSpaceDN w:val="0"/>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 迟延支付的违约责任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numPr>
          <w:ilvl w:val="0"/>
          <w:numId w:val="8"/>
        </w:num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合同变更、中止与终止</w:t>
      </w:r>
    </w:p>
    <w:p>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 xml:space="preserve">    16.1合同的变更</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16.2合同的中止</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16.3合同的终止</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pPr>
        <w:snapToGrid w:val="0"/>
        <w:spacing w:line="400" w:lineRule="exact"/>
        <w:ind w:firstLine="420" w:firstLineChars="20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pPr>
        <w:widowControl/>
        <w:autoSpaceDE w:val="0"/>
        <w:autoSpaceDN w:val="0"/>
        <w:adjustRightInd w:val="0"/>
        <w:spacing w:line="400" w:lineRule="exact"/>
        <w:ind w:firstLine="440" w:firstLineChars="200"/>
        <w:jc w:val="left"/>
        <w:rPr>
          <w:rFonts w:ascii="宋体" w:hAnsi="宋体" w:eastAsia="华文楷体" w:cs="华文楷体"/>
          <w:color w:val="auto"/>
          <w:kern w:val="0"/>
          <w:sz w:val="22"/>
          <w:szCs w:val="21"/>
          <w:highlight w:val="none"/>
        </w:rPr>
      </w:pPr>
      <w:r>
        <w:rPr>
          <w:rFonts w:hint="eastAsia" w:ascii="宋体" w:hAnsi="宋体" w:eastAsia="华文楷体" w:cs="华文楷体"/>
          <w:color w:val="auto"/>
          <w:kern w:val="0"/>
          <w:sz w:val="22"/>
          <w:szCs w:val="21"/>
          <w:highlight w:val="none"/>
        </w:rPr>
        <w:t xml:space="preserve">16.4 </w:t>
      </w:r>
      <w:r>
        <w:rPr>
          <w:rFonts w:hint="eastAsia" w:ascii="宋体" w:hAnsi="宋体"/>
          <w:color w:val="auto"/>
          <w:szCs w:val="21"/>
          <w:highlight w:val="none"/>
        </w:rPr>
        <w:t>涉及国家利益、社会公共利益的情形</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17. 合同分包</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18. 不可抗力</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19. 解决争议的方法</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19.2 选择仲裁的，应在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中明确仲裁机构及仲裁地；通过诉讼方式解决的，可以在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中进一步约定选择与争议有实际联系的地点的人民法院管辖，但管辖法院的约定不得违反级别管辖和专属管辖的规定。</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ascii="宋体" w:hAnsi="宋体"/>
          <w:color w:val="auto"/>
          <w:sz w:val="24"/>
          <w:highlight w:val="none"/>
        </w:rPr>
      </w:pPr>
      <w:r>
        <w:rPr>
          <w:rFonts w:hint="eastAsia" w:ascii="宋体" w:hAnsi="宋体"/>
          <w:b/>
          <w:color w:val="auto"/>
          <w:sz w:val="24"/>
          <w:highlight w:val="none"/>
        </w:rPr>
        <w:t>20. 政府采购政策</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pPr>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21. 法律适用</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21.1 本合同的订立、生效、解释、履行及与本合同有关的争议解决，均适用法律、行政法规。</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21.2 本合同条款与法律、行政法规的强制性规定不一致的，双方当事人应按照法律、行政法规的强制性规定修改本合同的相关条款。</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22. 通知</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22.1 本合同任何一方向对方发出的通知、信件、数据电文等，应当发送至本合同第一部分《政府采购合同协议书》所约定的通讯地址、联系人、联系电话或电子邮箱。</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pPr>
        <w:numPr>
          <w:ilvl w:val="0"/>
          <w:numId w:val="9"/>
        </w:num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pPr>
        <w:adjustRightInd w:val="0"/>
        <w:snapToGrid w:val="0"/>
        <w:spacing w:line="400" w:lineRule="exact"/>
        <w:jc w:val="left"/>
        <w:rPr>
          <w:rFonts w:ascii="黑体" w:hAnsi="华文中宋" w:eastAsia="黑体"/>
          <w:color w:val="auto"/>
          <w:sz w:val="28"/>
          <w:szCs w:val="28"/>
          <w:highlight w:val="none"/>
        </w:rPr>
      </w:pPr>
      <w:r>
        <w:rPr>
          <w:rFonts w:hint="eastAsia" w:ascii="宋体" w:hAnsi="宋体"/>
          <w:bCs/>
          <w:color w:val="auto"/>
          <w:szCs w:val="21"/>
          <w:highlight w:val="none"/>
        </w:rPr>
        <w:t xml:space="preserve">    23.2 合同附件与合同正文具有同等的法律效力。</w:t>
      </w:r>
    </w:p>
    <w:p>
      <w:pPr>
        <w:adjustRightInd w:val="0"/>
        <w:snapToGrid w:val="0"/>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pPr>
        <w:keepNext/>
        <w:keepLines/>
        <w:adjustRightInd w:val="0"/>
        <w:snapToGrid w:val="0"/>
        <w:spacing w:before="260" w:after="260" w:line="413" w:lineRule="auto"/>
        <w:jc w:val="center"/>
        <w:outlineLvl w:val="1"/>
        <w:rPr>
          <w:rFonts w:ascii="宋体" w:hAnsi="宋体" w:cs="宋体"/>
          <w:color w:val="auto"/>
          <w:sz w:val="28"/>
          <w:szCs w:val="28"/>
          <w:highlight w:val="none"/>
        </w:rPr>
      </w:pPr>
      <w:bookmarkStart w:id="160" w:name="_Toc6038"/>
      <w:bookmarkStart w:id="161" w:name="_Toc210308726"/>
      <w:bookmarkStart w:id="162" w:name="_Toc210311316"/>
      <w:bookmarkStart w:id="163" w:name="_Toc31461"/>
      <w:bookmarkStart w:id="164" w:name="_Toc10788"/>
      <w:r>
        <w:rPr>
          <w:rFonts w:hint="eastAsia" w:ascii="宋体" w:hAnsi="宋体" w:cs="宋体"/>
          <w:color w:val="auto"/>
          <w:sz w:val="28"/>
          <w:szCs w:val="28"/>
          <w:highlight w:val="none"/>
        </w:rPr>
        <w:t>第三节 政府采购合同专用条款</w:t>
      </w:r>
      <w:bookmarkEnd w:id="160"/>
      <w:bookmarkEnd w:id="161"/>
      <w:bookmarkEnd w:id="162"/>
      <w:bookmarkEnd w:id="163"/>
      <w:bookmarkEnd w:id="164"/>
    </w:p>
    <w:tbl>
      <w:tblPr>
        <w:tblStyle w:val="25"/>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1813"/>
        <w:gridCol w:w="5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联合体具体要求</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第1.2（7）项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其他术语解释</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采购文件由采购人负责解释。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履约验收中甲方提出异议或作出说明的期限</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履约验收过程中甲方1或甲方2发现问题，应于3个工作日内提出异议或作出说明。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第4.6款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约定甲方承担的其他义务和责任</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甲方应根据货物交付、安装调试等需求，提前向乙方提供准确的场地信息（如场地面积、承重、电源接口位置等）、货物接收联系人及联系方式，并确保交付场地具备基本履约条件（如通路、通电、通水等）。</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2、若货物需适配甲方现有系统或设备，应在合同约定的期限内提供现有系统参数、设备型号等相关技术资料，确保乙方准确对接。</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乙方按合同约定送达货物后，甲方应指定专人在约定到货时间内到场核对货物的名称、型号、规格、数量、包装完整性等，确认无误后签署《到货确认单》；若发现货物短缺、破损等问题，应立即书面通知乙方，并共同查验，留存相关证据。</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4.按照合同约定的验收标准（如国家/行业标准、采购文件要求、乙方投标响应承诺等），在货物安装调试完成并达到验收条件后，</w:t>
            </w:r>
            <w:r>
              <w:rPr>
                <w:rFonts w:hint="eastAsia" w:ascii="宋体" w:hAnsi="宋体" w:cs="宋体"/>
                <w:color w:val="auto"/>
                <w:szCs w:val="21"/>
                <w:highlight w:val="none"/>
                <w:u w:val="single"/>
              </w:rPr>
              <w:t>5</w:t>
            </w:r>
            <w:r>
              <w:rPr>
                <w:rFonts w:hint="eastAsia" w:ascii="宋体" w:hAnsi="宋体" w:cs="宋体"/>
                <w:color w:val="auto"/>
                <w:szCs w:val="21"/>
                <w:highlight w:val="none"/>
              </w:rPr>
              <w:t>个工作日内组织验收小组（成员应包含技术人员、使用部门人员等，必要时可邀请或第三方专业机构参与）开展验收。</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5、若甲方因自身需求需变更合同内容（如货物规格、交付时间等），应提前书面通知乙方，并与乙方协商变更方案及相关费用、工期调整，签订补充协议后方可执行，不得单方面强制要求乙方变更履约内容。</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6、对乙方在履约过程中提供的技术资料、价格信息、生产工艺等商业秘密严格保密，不得向任何第三方泄露，合同终止后保密义务依然有效，直至该信息成为公开信息。</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7、若因甲方提供的资料虚假、不准确，导致乙方履约错误或货物无法正常使用，甲方应自行承担后果，不得要求乙方退换货或减免费用，若因此给乙方造成损失，还应承担赔偿责任。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snapToGrid w:val="0"/>
              <w:jc w:val="center"/>
              <w:rPr>
                <w:rFonts w:ascii="宋体" w:hAnsi="宋体" w:cs="宋体"/>
                <w:color w:val="auto"/>
                <w:highlight w:val="none"/>
              </w:rPr>
            </w:pPr>
            <w:r>
              <w:rPr>
                <w:rFonts w:hint="eastAsia" w:ascii="宋体" w:hAnsi="宋体" w:cs="宋体"/>
                <w:color w:val="auto"/>
                <w:szCs w:val="21"/>
                <w:highlight w:val="none"/>
              </w:rPr>
              <w:t>第5.4款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约定乙方承担的其他义务和责任</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1、未经甲方书面同意，乙方不得擅自转让其应履行的合同义务。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2、乙方应保证所提供货物在使用时不会侵犯任何第三方的专利权、商标权、工业设计权或其他权利。</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3、乙方应按采购文件规定的时间向甲方提供使用货物的有关技术资料。</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5、乙方保证所交付的货物的所有权完全属于乙方且无任何抵押、质押、查封等产权问题。</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6、乙方应按照国家有关法律法规和“三包”规定以及招标文件、投标文件和本合同附件，为甲方提供售后服务。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7、乙方所提供的货物必须是全新、未使用的原装产品，且在正常安装、使用和保养条件下，其使用寿命期内各项指标均达到招标文件要求。</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乙方不得因投标报价较低，减少设备随机配件（如原装耦合剂、操作手册、维修工具等）的数量或降低品质，配件清单需与投标文件一致，若发现短缺或劣质配件，乙方需在3个工作日内补足或更换，且每出现1次该情形，支付合同总金额 1% 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snapToGrid w:val="0"/>
              <w:jc w:val="center"/>
              <w:rPr>
                <w:rFonts w:ascii="宋体" w:hAnsi="宋体" w:cs="宋体"/>
                <w:color w:val="auto"/>
                <w:szCs w:val="21"/>
                <w:highlight w:val="none"/>
              </w:rPr>
            </w:pPr>
            <w:r>
              <w:rPr>
                <w:rFonts w:hint="eastAsia" w:ascii="宋体" w:hAnsi="宋体" w:cs="宋体"/>
                <w:color w:val="auto"/>
                <w:szCs w:val="21"/>
                <w:highlight w:val="none"/>
              </w:rPr>
              <w:t>第6.1款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履行合同义务的顺序</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同时履行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Merge w:val="restart"/>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包装特殊要求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1、乙方提供的货物均应按招标文件要求的包装材料、包装标准、包装方式进行包装，每一包装单元内应附详细的装箱单和质量合格证。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2、使用说明书、质量检验证明书、随配附件和工具以及清单一并附于货物内。</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3、乙方应确保包装要求满足运输距离、防潮、防震、防锈和防破损装卸等要求，以保证货物安全运达甲方指定地点。</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4、乙方提供的货物包装及快递包装应满足《财政部等三部门联合印发商品包装和快递包装政府采购需求标准（试行）》财办库〔2020〕123号文要求。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Merge w:val="continue"/>
            <w:vAlign w:val="center"/>
          </w:tcPr>
          <w:p>
            <w:pPr>
              <w:adjustRightInd w:val="0"/>
              <w:snapToGrid w:val="0"/>
              <w:jc w:val="center"/>
              <w:rPr>
                <w:rFonts w:ascii="宋体" w:hAnsi="宋体" w:cs="宋体"/>
                <w:color w:val="auto"/>
                <w:szCs w:val="21"/>
                <w:highlight w:val="none"/>
              </w:rPr>
            </w:pP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指定现场</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甲方2指定的地点。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第7.2款</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运输特殊要求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1、乙方在货物发运手续办理完毕后二十四小时内或货到甲方2四十八小时前通知甲方2，以准备交付。</w:t>
            </w:r>
          </w:p>
          <w:p>
            <w:pPr>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2、货物的运输方式：</w:t>
            </w:r>
            <w:r>
              <w:rPr>
                <w:rFonts w:hint="eastAsia" w:ascii="宋体" w:hAnsi="宋体" w:cs="宋体"/>
                <w:color w:val="auto"/>
                <w:highlight w:val="none"/>
                <w:u w:val="single"/>
              </w:rPr>
              <w:t>乙方自定。</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3、乙方负责货物运输，货物运输合理损耗及计算方法：</w:t>
            </w:r>
            <w:r>
              <w:rPr>
                <w:rFonts w:hint="eastAsia" w:ascii="宋体" w:hAnsi="宋体" w:cs="宋体"/>
                <w:color w:val="auto"/>
                <w:highlight w:val="none"/>
                <w:u w:val="single"/>
              </w:rPr>
              <w:t xml:space="preserve">由乙方负责 </w:t>
            </w:r>
            <w:r>
              <w:rPr>
                <w:rFonts w:hint="eastAsia" w:ascii="宋体" w:hAnsi="宋体" w:cs="宋体"/>
                <w:color w:val="auto"/>
                <w:highlight w:val="none"/>
              </w:rPr>
              <w:t>。</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4、货物在交付甲方2前发生的风险均由乙方负责。</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5、货物在规定的交付期限内由乙方送达甲方2指定的地点并初步查验合格后视为交付，乙方同时需通知甲方2货物已送达。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第7.3款</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保险要求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乙方负责办理运输和保险，将货物运抵交货地点。与运输、保险相关的费用由供应商承担。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第8.2（1）项</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质量保证期</w:t>
            </w:r>
          </w:p>
        </w:tc>
        <w:tc>
          <w:tcPr>
            <w:tcW w:w="5758" w:type="dxa"/>
            <w:vAlign w:val="center"/>
          </w:tcPr>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按乙方承诺，但是不得低于国家相关标准。</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（与商务要求一致）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第8.2（3）项</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货物质量缺陷响应时间</w:t>
            </w:r>
          </w:p>
        </w:tc>
        <w:tc>
          <w:tcPr>
            <w:tcW w:w="5758" w:type="dxa"/>
            <w:vAlign w:val="center"/>
          </w:tcPr>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接到甲方通知后在</w:t>
            </w:r>
            <w:r>
              <w:rPr>
                <w:rFonts w:hint="eastAsia" w:ascii="宋体" w:hAnsi="宋体" w:cs="宋体"/>
                <w:color w:val="auto"/>
                <w:highlight w:val="none"/>
                <w:u w:val="single"/>
              </w:rPr>
              <w:t xml:space="preserve">    </w:t>
            </w:r>
            <w:r>
              <w:rPr>
                <w:color w:val="auto"/>
                <w:highlight w:val="none"/>
                <w:u w:val="single"/>
              </w:rPr>
              <w:t xml:space="preserve">    </w:t>
            </w:r>
            <w:r>
              <w:rPr>
                <w:rFonts w:hint="eastAsia"/>
                <w:color w:val="auto"/>
                <w:highlight w:val="none"/>
                <w:u w:val="single"/>
              </w:rPr>
              <w:t>（按乙方投标响应承诺）</w:t>
            </w:r>
            <w:r>
              <w:rPr>
                <w:rFonts w:hint="eastAsia" w:ascii="宋体" w:hAnsi="宋体" w:cs="宋体"/>
                <w:color w:val="auto"/>
                <w:highlight w:val="none"/>
              </w:rPr>
              <w:t>小时内到达甲方现场。</w:t>
            </w:r>
          </w:p>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（与商务要求一致）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低价中标设备质量强化保证</w:t>
            </w:r>
          </w:p>
        </w:tc>
        <w:tc>
          <w:tcPr>
            <w:tcW w:w="5758" w:type="dxa"/>
            <w:vAlign w:val="center"/>
          </w:tcPr>
          <w:p>
            <w:pPr>
              <w:adjustRightInd w:val="0"/>
              <w:snapToGrid w:val="0"/>
              <w:spacing w:line="360" w:lineRule="auto"/>
              <w:ind w:firstLine="420" w:firstLineChars="200"/>
              <w:jc w:val="left"/>
              <w:rPr>
                <w:color w:val="auto"/>
                <w:highlight w:val="none"/>
              </w:rPr>
            </w:pPr>
            <w:r>
              <w:rPr>
                <w:rFonts w:hint="eastAsia"/>
                <w:color w:val="auto"/>
                <w:highlight w:val="none"/>
              </w:rPr>
              <w:t>若乙方投标报价属于招标文件第三章投标人须知前附表28.5异常低价审查的情形之一的，乙方需额外提供 “质量兜底承诺函”，明确：</w:t>
            </w:r>
          </w:p>
          <w:p>
            <w:pPr>
              <w:adjustRightInd w:val="0"/>
              <w:snapToGrid w:val="0"/>
              <w:spacing w:line="360" w:lineRule="auto"/>
              <w:ind w:firstLine="420" w:firstLineChars="200"/>
              <w:jc w:val="left"/>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质保期内若设备因设计、材料或工艺缺陷导致故障，且维修次数超过2次（单台设备），乙方需免费更换同型号全新设备，更换后设备的质保期重新计算（自更换验收合格之日起算）；</w:t>
            </w:r>
          </w:p>
          <w:p>
            <w:pPr>
              <w:adjustRightInd w:val="0"/>
              <w:snapToGrid w:val="0"/>
              <w:spacing w:line="360" w:lineRule="auto"/>
              <w:ind w:firstLine="420" w:firstLineChars="200"/>
              <w:jc w:val="left"/>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质保期结束后</w:t>
            </w:r>
            <w:r>
              <w:rPr>
                <w:color w:val="auto"/>
                <w:highlight w:val="none"/>
              </w:rPr>
              <w:t>2</w:t>
            </w:r>
            <w:r>
              <w:rPr>
                <w:rFonts w:hint="eastAsia"/>
                <w:color w:val="auto"/>
                <w:highlight w:val="none"/>
              </w:rPr>
              <w:t>年内，设备核心部件（主机、球管、探测器）出现故障的，乙方提供维修服务时仅收取成本价（需提供维修成本明细供甲方核查），不得高于同行业平均维修价的</w:t>
            </w:r>
            <w:r>
              <w:rPr>
                <w:color w:val="auto"/>
                <w:highlight w:val="none"/>
              </w:rPr>
              <w:t>80</w:t>
            </w:r>
            <w:r>
              <w:rPr>
                <w:rFonts w:hint="eastAsia"/>
                <w:color w:val="auto"/>
                <w:highlight w:val="none"/>
              </w:rPr>
              <w:t>%；</w:t>
            </w:r>
          </w:p>
          <w:p>
            <w:pPr>
              <w:adjustRightInd w:val="0"/>
              <w:snapToGrid w:val="0"/>
              <w:spacing w:line="360" w:lineRule="auto"/>
              <w:ind w:firstLine="420" w:firstLineChars="200"/>
              <w:jc w:val="left"/>
              <w:rPr>
                <w:rFonts w:ascii="宋体" w:hAnsi="宋体" w:cs="宋体"/>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若设备在使用寿命期内（自最终验收合格之日起不少于5年）因质量问题无法正常使用，且维修成本超过设备原值 50% 的，乙方需以设备原值30%的价格为甲方提供同型号替换设备。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widowControl/>
              <w:autoSpaceDE w:val="0"/>
              <w:autoSpaceDN w:val="0"/>
              <w:adjustRightInd w:val="0"/>
              <w:spacing w:line="400" w:lineRule="exact"/>
              <w:ind w:left="420"/>
              <w:jc w:val="center"/>
              <w:rPr>
                <w:rFonts w:ascii="宋体" w:hAnsi="宋体" w:cs="宋体"/>
                <w:color w:val="auto"/>
                <w:kern w:val="0"/>
                <w:sz w:val="22"/>
                <w:szCs w:val="21"/>
                <w:highlight w:val="none"/>
              </w:rPr>
            </w:pPr>
            <w:r>
              <w:rPr>
                <w:rFonts w:hint="eastAsia" w:ascii="宋体" w:hAnsi="宋体" w:cs="宋体"/>
                <w:color w:val="auto"/>
                <w:kern w:val="0"/>
                <w:sz w:val="22"/>
                <w:szCs w:val="21"/>
                <w:highlight w:val="none"/>
              </w:rPr>
              <w:t>第11.1款</w:t>
            </w:r>
          </w:p>
        </w:tc>
        <w:tc>
          <w:tcPr>
            <w:tcW w:w="1813"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其他应当保密的信息</w:t>
            </w:r>
          </w:p>
        </w:tc>
        <w:tc>
          <w:tcPr>
            <w:tcW w:w="5758" w:type="dxa"/>
            <w:vAlign w:val="center"/>
          </w:tcPr>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对在合同履行及产品使用过程中获取的相关信息（文件、数据资料等）均应保密。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第12.2款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合同价款支付时间</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与政府采购合同协议书一致。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第13.2款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履约保证金不予退还的情形</w:t>
            </w:r>
          </w:p>
        </w:tc>
        <w:tc>
          <w:tcPr>
            <w:tcW w:w="5758" w:type="dxa"/>
            <w:vAlign w:val="center"/>
          </w:tcPr>
          <w:p>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（1）乙方提供虚假凭证的或不履行合同约定的义务或其履行不符合合同的约定，甲方有权扣划全部或相应金额的履约保证金。</w:t>
            </w:r>
          </w:p>
          <w:p>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（2）若乙方投标报价属于招标文件第三章投标人须知前附表</w:t>
            </w:r>
            <w:r>
              <w:rPr>
                <w:rFonts w:ascii="宋体" w:hAnsi="宋体"/>
                <w:color w:val="auto"/>
                <w:szCs w:val="21"/>
                <w:highlight w:val="none"/>
              </w:rPr>
              <w:t>28.5</w:t>
            </w:r>
            <w:r>
              <w:rPr>
                <w:rFonts w:hint="eastAsia" w:ascii="宋体" w:hAnsi="宋体"/>
                <w:color w:val="auto"/>
                <w:szCs w:val="21"/>
                <w:highlight w:val="none"/>
              </w:rPr>
              <w:t>异常低价审查的情形之一的，且存在以下履约瑕疵，甲方有权按对应比例扣除履约保证金：</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1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①</w:t>
            </w:r>
            <w:r>
              <w:rPr>
                <w:rFonts w:ascii="宋体" w:hAnsi="宋体"/>
                <w:color w:val="auto"/>
                <w:szCs w:val="21"/>
                <w:highlight w:val="none"/>
              </w:rPr>
              <w:fldChar w:fldCharType="end"/>
            </w:r>
            <w:r>
              <w:rPr>
                <w:rFonts w:hint="eastAsia" w:ascii="宋体" w:hAnsi="宋体"/>
                <w:color w:val="auto"/>
                <w:szCs w:val="21"/>
                <w:highlight w:val="none"/>
              </w:rPr>
              <w:t>设备初步查验不合格率超过5%的，扣除履约保证金的20%；</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2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②</w:t>
            </w:r>
            <w:r>
              <w:rPr>
                <w:rFonts w:ascii="宋体" w:hAnsi="宋体"/>
                <w:color w:val="auto"/>
                <w:szCs w:val="21"/>
                <w:highlight w:val="none"/>
              </w:rPr>
              <w:fldChar w:fldCharType="end"/>
            </w:r>
            <w:r>
              <w:rPr>
                <w:rFonts w:hint="eastAsia" w:ascii="宋体" w:hAnsi="宋体"/>
                <w:color w:val="auto"/>
                <w:szCs w:val="21"/>
                <w:highlight w:val="none"/>
              </w:rPr>
              <w:t>逾期交付设备超过15天的，扣除履约保证金的30%，乙方未按投标文件承诺的实施方案履行合同义务，且未在甲方要求的合理期限内改正的，甲方1有权扣除履约保证金总额的10%；</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3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③</w:t>
            </w:r>
            <w:r>
              <w:rPr>
                <w:rFonts w:ascii="宋体" w:hAnsi="宋体"/>
                <w:color w:val="auto"/>
                <w:szCs w:val="21"/>
                <w:highlight w:val="none"/>
              </w:rPr>
              <w:fldChar w:fldCharType="end"/>
            </w:r>
            <w:r>
              <w:rPr>
                <w:rFonts w:hint="eastAsia" w:ascii="宋体" w:hAnsi="宋体"/>
                <w:color w:val="auto"/>
                <w:szCs w:val="21"/>
                <w:highlight w:val="none"/>
              </w:rPr>
              <w:t>最终验收时核心性能指标未达标的，扣除剩余履约保证金。</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4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④</w:t>
            </w:r>
            <w:r>
              <w:rPr>
                <w:rFonts w:ascii="宋体" w:hAnsi="宋体"/>
                <w:color w:val="auto"/>
                <w:szCs w:val="21"/>
                <w:highlight w:val="none"/>
              </w:rPr>
              <w:fldChar w:fldCharType="end"/>
            </w:r>
            <w:r>
              <w:rPr>
                <w:rFonts w:hint="eastAsia" w:ascii="宋体" w:hAnsi="宋体"/>
                <w:color w:val="auto"/>
                <w:szCs w:val="21"/>
                <w:highlight w:val="none"/>
              </w:rPr>
              <w:t>履约保证金扣除后，乙方需在5个工作日内补足，逾期未补足的，甲方有权暂停付款，直至补足保证金为止。</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（3）若是因乙方原因导致本合同解除（终止）或甲方行使约定（法定）合同解除权解除本合同的，履约担保由甲方予以全额扣除、不予退还。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第13.3款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履约保证金退还时间及逾期退还的违约金</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若乙方投标报价属于招标文件第三章投标人须知前附表28.5异常低价审查情形的，履约保证金退还需附加条件：甲方需确认乙方已完成全部设备的最终验收，且质保期内前2年无重大质量问题（重大质量问题指设备停机超过 7 天或维修次数超过3次）。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履约保证金符合退还条件的，甲方在收到乙方提交的履约保证金退付申请之日起5天内退还履约保证金，如未在规定时间内退还的，乙方可予以催告，甲方应按中国人民银行发布的同期同类贷款基准利率向乙方支付自催告日期起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第14.1（3）项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运行监督、维修期限</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质量保证期</w:t>
            </w:r>
            <w:r>
              <w:rPr>
                <w:rFonts w:hint="eastAsia" w:ascii="宋体" w:hAnsi="宋体"/>
                <w:color w:val="auto"/>
                <w:szCs w:val="21"/>
                <w:highlight w:val="none"/>
              </w:rPr>
              <w:t>（包修期）</w:t>
            </w:r>
            <w:r>
              <w:rPr>
                <w:rFonts w:hint="eastAsia" w:ascii="宋体" w:hAnsi="宋体" w:cs="宋体"/>
                <w:color w:val="auto"/>
                <w:szCs w:val="21"/>
                <w:highlight w:val="none"/>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第14.1（5）项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货物回收的约定</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本项目产品不做回收。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乙方提供的其他服务</w:t>
            </w:r>
          </w:p>
        </w:tc>
        <w:tc>
          <w:tcPr>
            <w:tcW w:w="5758" w:type="dxa"/>
            <w:vAlign w:val="center"/>
          </w:tcPr>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1、乙方负责甲方有关人员的培训。培训时间、地点： </w:t>
            </w:r>
            <w:r>
              <w:rPr>
                <w:rFonts w:hint="eastAsia" w:ascii="宋体" w:hAnsi="宋体" w:cs="宋体"/>
                <w:color w:val="auto"/>
                <w:highlight w:val="none"/>
                <w:u w:val="single"/>
              </w:rPr>
              <w:t>由甲方决定。</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2、本合同执行中相关的一切税费均由乙方承担。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修理、重做、更换相关具体规定</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1、在质保期内因货物本身的质量问题发生故障，乙方应负责免费修理和更换零部件。对达不到技术要求者，根据实际情况，经双方协商，可按以下办法处理：</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（1）更换：</w:t>
            </w:r>
            <w:r>
              <w:rPr>
                <w:rFonts w:hint="eastAsia" w:ascii="宋体" w:hAnsi="宋体" w:cs="宋体"/>
                <w:color w:val="auto"/>
                <w:kern w:val="0"/>
                <w:szCs w:val="21"/>
                <w:highlight w:val="none"/>
              </w:rPr>
              <w:t>球管、探测器</w:t>
            </w:r>
            <w:r>
              <w:rPr>
                <w:rFonts w:hint="eastAsia" w:ascii="宋体" w:hAnsi="宋体" w:cs="宋体"/>
                <w:color w:val="auto"/>
                <w:szCs w:val="21"/>
                <w:highlight w:val="none"/>
              </w:rPr>
              <w:t>只换原装全新不修理。</w:t>
            </w:r>
            <w:r>
              <w:rPr>
                <w:rFonts w:hint="eastAsia" w:ascii="宋体" w:hAnsi="宋体"/>
                <w:color w:val="auto"/>
                <w:szCs w:val="21"/>
                <w:highlight w:val="none"/>
              </w:rPr>
              <w:t>产品出现质量问题、经乙方维修</w:t>
            </w:r>
            <w:r>
              <w:rPr>
                <w:rFonts w:hint="eastAsia"/>
                <w:color w:val="auto"/>
                <w:highlight w:val="none"/>
              </w:rPr>
              <w:t>超过2次</w:t>
            </w:r>
            <w:r>
              <w:rPr>
                <w:rFonts w:hint="eastAsia" w:ascii="宋体" w:hAnsi="宋体"/>
                <w:color w:val="auto"/>
                <w:szCs w:val="21"/>
                <w:highlight w:val="none"/>
              </w:rPr>
              <w:t>仍不能达到合同约定的质量标准的，甲方2有权更换，</w:t>
            </w:r>
            <w:r>
              <w:rPr>
                <w:rFonts w:hint="eastAsia" w:ascii="宋体" w:hAnsi="宋体" w:cs="宋体"/>
                <w:color w:val="auto"/>
                <w:szCs w:val="21"/>
                <w:highlight w:val="none"/>
              </w:rPr>
              <w:t>并由乙方承担所发生的全部费用。</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2、如在使用过程中出现故障，乙方应在接到甲方2通知后</w:t>
            </w:r>
            <w:r>
              <w:rPr>
                <w:rFonts w:hint="eastAsia" w:ascii="宋体" w:hAnsi="宋体"/>
                <w:color w:val="auto"/>
                <w:szCs w:val="21"/>
                <w:highlight w:val="none"/>
                <w:u w:val="single"/>
              </w:rPr>
              <w:t xml:space="preserve">  </w:t>
            </w:r>
            <w:r>
              <w:rPr>
                <w:color w:val="auto"/>
                <w:highlight w:val="none"/>
                <w:u w:val="single"/>
              </w:rPr>
              <w:t xml:space="preserve">  </w:t>
            </w:r>
            <w:r>
              <w:rPr>
                <w:rFonts w:hint="eastAsia"/>
                <w:color w:val="auto"/>
                <w:highlight w:val="none"/>
                <w:u w:val="single"/>
              </w:rPr>
              <w:t>（按乙方投标响应承诺）</w:t>
            </w:r>
            <w:r>
              <w:rPr>
                <w:rFonts w:hint="eastAsia" w:ascii="宋体" w:hAnsi="宋体"/>
                <w:color w:val="auto"/>
                <w:szCs w:val="21"/>
                <w:highlight w:val="none"/>
              </w:rPr>
              <w:t>小时内响应，</w:t>
            </w:r>
            <w:r>
              <w:rPr>
                <w:rFonts w:hint="eastAsia" w:ascii="宋体" w:hAnsi="宋体"/>
                <w:color w:val="auto"/>
                <w:szCs w:val="21"/>
                <w:highlight w:val="none"/>
                <w:u w:val="single"/>
              </w:rPr>
              <w:t xml:space="preserve">    </w:t>
            </w:r>
            <w:r>
              <w:rPr>
                <w:rFonts w:hint="eastAsia"/>
                <w:color w:val="auto"/>
                <w:highlight w:val="none"/>
                <w:u w:val="single"/>
              </w:rPr>
              <w:t>（按乙方投标响应承诺）</w:t>
            </w:r>
            <w:r>
              <w:rPr>
                <w:rFonts w:hint="eastAsia" w:ascii="宋体" w:hAnsi="宋体"/>
                <w:color w:val="auto"/>
                <w:szCs w:val="21"/>
                <w:highlight w:val="none"/>
              </w:rPr>
              <w:t>小时内解决故障，</w:t>
            </w:r>
            <w:r>
              <w:rPr>
                <w:rFonts w:hint="eastAsia" w:ascii="宋体" w:hAnsi="宋体" w:cs="宋体"/>
                <w:color w:val="auto"/>
                <w:szCs w:val="21"/>
                <w:highlight w:val="none"/>
              </w:rPr>
              <w:t>否则须在</w:t>
            </w:r>
            <w:r>
              <w:rPr>
                <w:rFonts w:hint="eastAsia"/>
                <w:color w:val="auto"/>
                <w:highlight w:val="none"/>
              </w:rPr>
              <w:t>60日</w:t>
            </w:r>
            <w:r>
              <w:rPr>
                <w:rFonts w:hint="eastAsia" w:ascii="宋体" w:hAnsi="宋体" w:cs="宋体"/>
                <w:color w:val="auto"/>
                <w:szCs w:val="21"/>
                <w:highlight w:val="none"/>
              </w:rPr>
              <w:t>内提供与原设备技术参数要求相同或高于原设备技术参数要求的备用产品，以保证甲方2的正常工作。乙方在接到甲方2通知后拒不响应或解决故障的，甲方2有权聘请第三方进行维修，由此产生的费用由乙方承担。</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质保期内，乙方应对货物出现的质量及安全问题负责处理解决并承担一切费用。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4、上述的货物因人为因素出现的故障不在免费保修范围内。超过质保期的机器设备，终生维修，维修时只收取部件成本费。</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5、乙方提供的服务承诺和售后服务及质保期责任等其他具体约定事项。</w:t>
            </w:r>
          </w:p>
          <w:p>
            <w:pPr>
              <w:widowControl/>
              <w:adjustRightInd w:val="0"/>
              <w:spacing w:line="360" w:lineRule="auto"/>
              <w:ind w:firstLine="420" w:firstLineChars="200"/>
              <w:jc w:val="left"/>
              <w:rPr>
                <w:rFonts w:ascii="宋体" w:hAnsi="宋体" w:cs="宋体"/>
                <w:color w:val="auto"/>
                <w:kern w:val="0"/>
                <w:sz w:val="22"/>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乙方</w:t>
            </w:r>
            <w:r>
              <w:rPr>
                <w:rFonts w:hint="eastAsia" w:ascii="宋体" w:hAnsi="宋体" w:cs="宋体"/>
                <w:color w:val="auto"/>
                <w:szCs w:val="21"/>
                <w:highlight w:val="none"/>
              </w:rPr>
              <w:t>在设备验收合格之日起一年内对同一故障进行2次维修仍不能达到合同约定的质量标准和厂家的质量标准，</w:t>
            </w:r>
            <w:r>
              <w:rPr>
                <w:rFonts w:hint="eastAsia" w:ascii="宋体" w:hAnsi="宋体"/>
                <w:color w:val="auto"/>
                <w:szCs w:val="21"/>
                <w:highlight w:val="none"/>
              </w:rPr>
              <w:t>乙方需免费更换该台设备的核心部件（如主机、球管、探测器），更换后部件的质保期重新计算。若更换后甲方仍无法正常使用，乙方需优先提供同品牌型号的备用设备（备用设备到位时间不得超过48小时），直至原设备修复完成并符合约定标准；若无法按时提供备用设备，乙方需按该台设备日使用价值（设备单价÷365）的 2 倍向甲方支付违约金（日使用价值不足1000元的，按1000元/日计算）</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迟延交货赔偿费</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逾期交货的，应向甲方1支付违约金，标准为每天向甲方偿付违约货款额0.4‰的违约金，但违约金累计不得超过延期货款额5%。如果迟延交货超过30天，甲方1有权解除合同，且乙方必须退还甲方1已支付的合同预付款。</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2.乙方未按本合同和投标文件中规定的服务承诺提供售后服务的，乙方应按本合同总金额 5%向甲方1支付违约金。</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3.乙方提供的货物在质量保证期内，因设计、工艺或材料的缺陷和其他质量原因造成的问题，由乙方负责，费用从剩余支付货款中扣除，剩余支付货款不足以支付的，由乙方另行支付。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1813" w:type="dxa"/>
            <w:vAlign w:val="center"/>
          </w:tcPr>
          <w:p>
            <w:pPr>
              <w:adjustRightInd w:val="0"/>
              <w:snapToGrid w:val="0"/>
              <w:jc w:val="left"/>
              <w:rPr>
                <w:rFonts w:ascii="宋体" w:hAnsi="宋体" w:cs="宋体"/>
                <w:color w:val="auto"/>
                <w:szCs w:val="21"/>
                <w:highlight w:val="none"/>
              </w:rPr>
            </w:pPr>
            <w:r>
              <w:rPr>
                <w:rFonts w:hint="eastAsia"/>
                <w:color w:val="auto"/>
                <w:szCs w:val="21"/>
                <w:highlight w:val="none"/>
              </w:rPr>
              <w:t>低价中标后的迟延交货加重责任</w:t>
            </w:r>
          </w:p>
        </w:tc>
        <w:tc>
          <w:tcPr>
            <w:tcW w:w="5758" w:type="dxa"/>
            <w:vAlign w:val="center"/>
          </w:tcPr>
          <w:p>
            <w:pPr>
              <w:snapToGrid w:val="0"/>
              <w:spacing w:line="300" w:lineRule="exact"/>
              <w:rPr>
                <w:rFonts w:ascii="宋体" w:hAnsi="宋体" w:cs="宋体"/>
                <w:color w:val="auto"/>
                <w:szCs w:val="21"/>
                <w:highlight w:val="none"/>
              </w:rPr>
            </w:pPr>
            <w:r>
              <w:rPr>
                <w:rFonts w:hint="eastAsia"/>
                <w:color w:val="auto"/>
                <w:szCs w:val="21"/>
                <w:highlight w:val="none"/>
              </w:rPr>
              <w:t>若乙方投标报价属于招标文件第三章投标人须知前附表28.5异常低价审查情形的，其逾期交货违约金标准调整为：每逾期1天，按违约货款额的 0.8‰支付违约金（原标准为 0.4‰），违约金累计上限调整为延期货款额的10%（原上限为 5%）；逾期超过 20 天的，甲方有权直接解除合同，无需另行催告。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第15.3款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逾期付款利息</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u w:val="single"/>
              </w:rPr>
            </w:pPr>
            <w:r>
              <w:rPr>
                <w:rFonts w:hint="eastAsia"/>
                <w:color w:val="auto"/>
                <w:szCs w:val="21"/>
                <w:highlight w:val="none"/>
              </w:rPr>
              <w:t>若甲方1或甲方2未按本合同约定的期限支付对应份额货款，应按各自逾期支付的货款份额</w:t>
            </w:r>
            <w:r>
              <w:rPr>
                <w:color w:val="auto"/>
                <w:szCs w:val="21"/>
                <w:highlight w:val="none"/>
              </w:rPr>
              <w:t>向乙方</w:t>
            </w:r>
            <w:r>
              <w:rPr>
                <w:rFonts w:hint="eastAsia"/>
                <w:color w:val="auto"/>
                <w:szCs w:val="21"/>
                <w:highlight w:val="none"/>
              </w:rPr>
              <w:t>支</w:t>
            </w:r>
            <w:r>
              <w:rPr>
                <w:color w:val="auto"/>
                <w:szCs w:val="21"/>
                <w:highlight w:val="none"/>
              </w:rPr>
              <w:t>付</w:t>
            </w:r>
            <w:r>
              <w:rPr>
                <w:rFonts w:hint="eastAsia"/>
                <w:color w:val="auto"/>
                <w:szCs w:val="21"/>
                <w:highlight w:val="none"/>
              </w:rPr>
              <w:t>对应的</w:t>
            </w:r>
            <w:r>
              <w:rPr>
                <w:color w:val="auto"/>
                <w:szCs w:val="21"/>
                <w:highlight w:val="none"/>
              </w:rPr>
              <w:t>延期滞纳金</w:t>
            </w:r>
            <w:r>
              <w:rPr>
                <w:rFonts w:hint="eastAsia"/>
                <w:color w:val="auto"/>
                <w:szCs w:val="21"/>
                <w:highlight w:val="none"/>
              </w:rPr>
              <w:t>，标准为每天向乙方偿付延期货款额0.01‰违约金</w:t>
            </w:r>
            <w:r>
              <w:rPr>
                <w:color w:val="auto"/>
                <w:szCs w:val="21"/>
                <w:highlight w:val="none"/>
              </w:rPr>
              <w:t>，但滞纳金累计不得超过延期货款额5%</w:t>
            </w:r>
            <w:r>
              <w:rPr>
                <w:rFonts w:hint="eastAsia"/>
                <w:color w:val="auto"/>
                <w:szCs w:val="21"/>
                <w:highlight w:val="none"/>
              </w:rPr>
              <w:t>；如甲方2有逾期支付的，甲方1不承担连带违约责任</w:t>
            </w:r>
            <w:r>
              <w:rPr>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其他违约责任</w:t>
            </w:r>
          </w:p>
        </w:tc>
        <w:tc>
          <w:tcPr>
            <w:tcW w:w="5758" w:type="dxa"/>
            <w:vAlign w:val="center"/>
          </w:tcPr>
          <w:p>
            <w:pPr>
              <w:spacing w:line="360" w:lineRule="auto"/>
              <w:ind w:firstLine="420" w:firstLineChars="200"/>
              <w:rPr>
                <w:color w:val="auto"/>
                <w:highlight w:val="none"/>
              </w:rPr>
            </w:pPr>
            <w:r>
              <w:rPr>
                <w:color w:val="auto"/>
                <w:highlight w:val="none"/>
              </w:rPr>
              <w:t>1</w:t>
            </w:r>
            <w:r>
              <w:rPr>
                <w:rFonts w:hint="eastAsia"/>
                <w:color w:val="auto"/>
                <w:highlight w:val="none"/>
              </w:rPr>
              <w:t>、除了本合同主文已明确可不作为违约的情形外，违反本合同任何条款均属违约，违约方应承担本合同约定的违约责任以及因违约行为造成的各方损失（违约金不足以弥补相对方损失的应按损失赔偿相对方），但仍应履行因违约行为导致未能履行到位的义务。</w:t>
            </w:r>
          </w:p>
          <w:p>
            <w:pPr>
              <w:spacing w:line="360" w:lineRule="auto"/>
              <w:ind w:firstLine="420" w:firstLineChars="200"/>
              <w:rPr>
                <w:color w:val="auto"/>
                <w:highlight w:val="none"/>
              </w:rPr>
            </w:pPr>
            <w:r>
              <w:rPr>
                <w:rFonts w:hint="eastAsia"/>
                <w:color w:val="auto"/>
                <w:highlight w:val="none"/>
              </w:rPr>
              <w:t xml:space="preserve">2、有下列情形之一的（其中的“以上”均包含本数），乙方应按合同总金额的20%向甲方支付违约金，同时，甲方可单方解除本合同： </w:t>
            </w:r>
          </w:p>
          <w:p>
            <w:pPr>
              <w:spacing w:line="360" w:lineRule="auto"/>
              <w:ind w:firstLine="420" w:firstLineChars="200"/>
              <w:rPr>
                <w:color w:val="auto"/>
                <w:highlight w:val="none"/>
              </w:rPr>
            </w:pPr>
            <w:r>
              <w:rPr>
                <w:rFonts w:hint="eastAsia"/>
                <w:color w:val="auto"/>
                <w:highlight w:val="none"/>
              </w:rPr>
              <w:t>（1）在签订本合同后发现乙方不具备或不再具备与履行本合同相关的资质（资格）的，或乙方在本项目政府采购时用于中标的资格部分或完全丧失的。</w:t>
            </w:r>
          </w:p>
          <w:p>
            <w:pPr>
              <w:spacing w:line="360" w:lineRule="auto"/>
              <w:ind w:firstLine="420" w:firstLineChars="200"/>
              <w:rPr>
                <w:color w:val="auto"/>
                <w:highlight w:val="none"/>
              </w:rPr>
            </w:pPr>
            <w:r>
              <w:rPr>
                <w:rFonts w:hint="eastAsia"/>
                <w:color w:val="auto"/>
                <w:highlight w:val="none"/>
              </w:rPr>
              <w:t>（2）乙方终止履行合同的，或乙方明确表示、以行为表明不履行义务的，或因乙方原因导致甲方无法实现合同目的的。</w:t>
            </w:r>
          </w:p>
          <w:p>
            <w:pPr>
              <w:spacing w:line="360" w:lineRule="auto"/>
              <w:ind w:firstLine="420" w:firstLineChars="200"/>
              <w:rPr>
                <w:color w:val="auto"/>
                <w:highlight w:val="none"/>
              </w:rPr>
            </w:pPr>
            <w:r>
              <w:rPr>
                <w:rFonts w:hint="eastAsia"/>
                <w:color w:val="auto"/>
                <w:highlight w:val="none"/>
              </w:rPr>
              <w:t>（3）乙方交付时间逾期达约定交付时间50%以上仍无法交付项目成果的，或乙方迟延履行义务经甲方书面催告后在5日内仍未履行的。</w:t>
            </w:r>
          </w:p>
          <w:p>
            <w:pPr>
              <w:spacing w:line="360" w:lineRule="auto"/>
              <w:ind w:firstLine="420" w:firstLineChars="200"/>
              <w:rPr>
                <w:color w:val="auto"/>
                <w:highlight w:val="none"/>
              </w:rPr>
            </w:pPr>
            <w:r>
              <w:rPr>
                <w:rFonts w:hint="eastAsia"/>
                <w:color w:val="auto"/>
                <w:highlight w:val="none"/>
              </w:rPr>
              <w:t>（4）因乙方提供虚假发票造成项目实施进度延期或逾期交付的，且延期达约定实施进度50%以上或逾期达约定交付时间50%以上。</w:t>
            </w:r>
          </w:p>
          <w:p>
            <w:pPr>
              <w:spacing w:line="360" w:lineRule="auto"/>
              <w:ind w:firstLine="420" w:firstLineChars="200"/>
              <w:rPr>
                <w:color w:val="auto"/>
                <w:highlight w:val="none"/>
              </w:rPr>
            </w:pPr>
            <w:r>
              <w:rPr>
                <w:rFonts w:hint="eastAsia"/>
                <w:color w:val="auto"/>
                <w:highlight w:val="none"/>
              </w:rPr>
              <w:t>（5）占合同货物价款50%以上的货物未通过任一单项验收的，或项目最终验收不合格的。</w:t>
            </w:r>
          </w:p>
          <w:p>
            <w:pPr>
              <w:spacing w:line="360" w:lineRule="auto"/>
              <w:ind w:firstLine="420" w:firstLineChars="200"/>
              <w:rPr>
                <w:color w:val="auto"/>
                <w:highlight w:val="none"/>
              </w:rPr>
            </w:pPr>
            <w:r>
              <w:rPr>
                <w:rFonts w:hint="eastAsia"/>
                <w:color w:val="auto"/>
                <w:highlight w:val="none"/>
              </w:rPr>
              <w:t xml:space="preserve">（6）若甲方发现乙方存在以下“降配履约”情形，视为严重违约： </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交付设备的核心部件（如主机、球管、探测器）型号、参数与投标文件不一致，且未获甲方书面同意；</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售后服务响应时间、维修周期超出投标承诺标准（如承诺24 小时内修复，实际超过48小时）；</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培训及维保服务次数、内容未达到合同约定（如承诺2次操作培训，实际仅提供1次）。</w:t>
            </w:r>
          </w:p>
          <w:p>
            <w:pPr>
              <w:spacing w:line="360" w:lineRule="auto"/>
              <w:ind w:firstLine="420" w:firstLineChars="200"/>
              <w:rPr>
                <w:color w:val="auto"/>
                <w:highlight w:val="none"/>
              </w:rPr>
            </w:pPr>
            <w:r>
              <w:rPr>
                <w:rFonts w:hint="eastAsia"/>
                <w:color w:val="auto"/>
                <w:highlight w:val="none"/>
              </w:rPr>
              <w:t>（6）本项目质保期内，经5 次以上维修（整改）无法实现合同目的的。</w:t>
            </w:r>
          </w:p>
          <w:p>
            <w:pPr>
              <w:spacing w:line="360" w:lineRule="auto"/>
              <w:ind w:firstLine="420" w:firstLineChars="200"/>
              <w:rPr>
                <w:color w:val="auto"/>
                <w:highlight w:val="none"/>
              </w:rPr>
            </w:pPr>
            <w:r>
              <w:rPr>
                <w:rFonts w:hint="eastAsia"/>
                <w:color w:val="auto"/>
                <w:highlight w:val="none"/>
              </w:rPr>
              <w:t>（7）除经甲方书面同意的符合《政府采购法》第四十八条规定的分包外，乙方转让或变相转让本合同全部或部分权利义务的，或乙方将本项目进行任何形式的整体或肢解转包、分包的，或乙方为第三方提供挂靠的。</w:t>
            </w:r>
          </w:p>
          <w:p>
            <w:pPr>
              <w:spacing w:line="360" w:lineRule="auto"/>
              <w:ind w:firstLine="420" w:firstLineChars="200"/>
              <w:rPr>
                <w:color w:val="auto"/>
                <w:highlight w:val="none"/>
              </w:rPr>
            </w:pPr>
            <w:r>
              <w:rPr>
                <w:rFonts w:hint="eastAsia"/>
                <w:color w:val="auto"/>
                <w:highlight w:val="none"/>
              </w:rPr>
              <w:t>（8）乙方提供虚假资料或证明的，或乙方采用不正当竞争手段谋取本项目政府采购中标的，或乙方向甲方或甲方工作人员行贿或提供回扣的。</w:t>
            </w:r>
          </w:p>
          <w:p>
            <w:pPr>
              <w:spacing w:line="360" w:lineRule="auto"/>
              <w:ind w:firstLine="420" w:firstLineChars="200"/>
              <w:rPr>
                <w:color w:val="auto"/>
                <w:highlight w:val="none"/>
              </w:rPr>
            </w:pPr>
            <w:r>
              <w:rPr>
                <w:rFonts w:hint="eastAsia"/>
                <w:color w:val="auto"/>
                <w:highlight w:val="none"/>
              </w:rPr>
              <w:t>（9）在甲方完成合同价款支付前，乙方被列为失信被执行人或在本合同主文中的指定收款账户被依法查封（冻结）的。</w:t>
            </w:r>
          </w:p>
          <w:p>
            <w:pPr>
              <w:spacing w:line="360" w:lineRule="auto"/>
              <w:ind w:firstLine="420" w:firstLineChars="200"/>
              <w:rPr>
                <w:color w:val="auto"/>
                <w:highlight w:val="none"/>
              </w:rPr>
            </w:pPr>
            <w:r>
              <w:rPr>
                <w:rFonts w:hint="eastAsia"/>
                <w:color w:val="auto"/>
                <w:highlight w:val="none"/>
              </w:rPr>
              <w:t>（10）依照本合同条款或法律规定明确约定，甲方可单方解除合同的情形。</w:t>
            </w:r>
          </w:p>
          <w:p>
            <w:pPr>
              <w:spacing w:line="360" w:lineRule="auto"/>
              <w:ind w:firstLine="420" w:firstLineChars="200"/>
              <w:rPr>
                <w:color w:val="auto"/>
                <w:highlight w:val="none"/>
              </w:rPr>
            </w:pPr>
            <w:r>
              <w:rPr>
                <w:rFonts w:hint="eastAsia"/>
                <w:color w:val="auto"/>
                <w:highlight w:val="none"/>
              </w:rPr>
              <w:t>3、乙方提供的货物如侵犯了第三方合法权益而引发的任何纠纷或诉讼，均由乙方负责交涉并承担全部责任。</w:t>
            </w:r>
          </w:p>
          <w:p>
            <w:pPr>
              <w:spacing w:line="360" w:lineRule="auto"/>
              <w:ind w:firstLine="420" w:firstLineChars="200"/>
              <w:rPr>
                <w:color w:val="auto"/>
                <w:highlight w:val="none"/>
              </w:rPr>
            </w:pPr>
            <w:r>
              <w:rPr>
                <w:rFonts w:hint="eastAsia"/>
                <w:color w:val="auto"/>
                <w:highlight w:val="none"/>
              </w:rPr>
              <w:t>4、其他违约行为按违约货款额5%收取违约金并赔偿经济损失。</w:t>
            </w:r>
          </w:p>
          <w:p>
            <w:pPr>
              <w:snapToGrid w:val="0"/>
              <w:spacing w:line="360" w:lineRule="auto"/>
              <w:ind w:firstLine="420" w:firstLineChars="200"/>
              <w:rPr>
                <w:color w:val="auto"/>
                <w:highlight w:val="none"/>
              </w:rPr>
            </w:pPr>
            <w:r>
              <w:rPr>
                <w:rFonts w:hint="eastAsia"/>
                <w:color w:val="auto"/>
                <w:highlight w:val="none"/>
              </w:rPr>
              <w:t>5、因甲方原因导致变更、中止或者终止政府采购合同的，应当依照合同约定对乙方受到的损失予以赔偿或者补偿。赔偿（补偿）标准：</w:t>
            </w:r>
            <w:r>
              <w:rPr>
                <w:rFonts w:hint="eastAsia"/>
                <w:color w:val="auto"/>
                <w:highlight w:val="none"/>
                <w:u w:val="single"/>
              </w:rPr>
              <w:t>按实际损失赔偿</w:t>
            </w:r>
            <w:r>
              <w:rPr>
                <w:rFonts w:hint="eastAsia"/>
                <w:color w:val="auto"/>
                <w:highlight w:val="none"/>
              </w:rPr>
              <w:t>。</w:t>
            </w:r>
          </w:p>
          <w:p>
            <w:pPr>
              <w:snapToGrid w:val="0"/>
              <w:spacing w:line="360" w:lineRule="auto"/>
              <w:ind w:firstLine="420" w:firstLineChars="200"/>
              <w:rPr>
                <w:color w:val="auto"/>
                <w:highlight w:val="none"/>
              </w:rPr>
            </w:pPr>
            <w:r>
              <w:rPr>
                <w:color w:val="auto"/>
                <w:highlight w:val="none"/>
              </w:rPr>
              <w:t>6</w:t>
            </w:r>
            <w:r>
              <w:rPr>
                <w:rFonts w:hint="eastAsia"/>
                <w:color w:val="auto"/>
                <w:highlight w:val="none"/>
              </w:rPr>
              <w:t>、若乙方投标报价属于招标文件第三章投标人须知前附表</w:t>
            </w:r>
            <w:r>
              <w:rPr>
                <w:rFonts w:ascii="宋体" w:hAnsi="宋体"/>
                <w:color w:val="auto"/>
                <w:szCs w:val="21"/>
                <w:highlight w:val="none"/>
              </w:rPr>
              <w:t>28.5</w:t>
            </w:r>
            <w:r>
              <w:rPr>
                <w:rFonts w:hint="eastAsia"/>
                <w:color w:val="auto"/>
                <w:highlight w:val="none"/>
              </w:rPr>
              <w:t>异常低价审查的情形之一的，且乙方存在下列情形之一的，视为严重违约，需按合同总金额的25%支付违约金，甲方有权解除合同：</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提供虚假成本凭证，掩盖报价低于成本事实的；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为降低成本擅自更换设备核心部件的；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因报价过低导致资金链断裂，无法继续履行合同的；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4 \* GB3</w:instrText>
            </w:r>
            <w:r>
              <w:rPr>
                <w:color w:val="auto"/>
                <w:highlight w:val="none"/>
              </w:rPr>
              <w:instrText xml:space="preserve"> </w:instrText>
            </w:r>
            <w:r>
              <w:rPr>
                <w:color w:val="auto"/>
                <w:highlight w:val="none"/>
              </w:rPr>
              <w:fldChar w:fldCharType="separate"/>
            </w:r>
            <w:r>
              <w:rPr>
                <w:rFonts w:hint="eastAsia"/>
                <w:color w:val="auto"/>
                <w:highlight w:val="none"/>
              </w:rPr>
              <w:t>④</w:t>
            </w:r>
            <w:r>
              <w:rPr>
                <w:color w:val="auto"/>
                <w:highlight w:val="none"/>
              </w:rPr>
              <w:fldChar w:fldCharType="end"/>
            </w:r>
            <w:r>
              <w:rPr>
                <w:rFonts w:hint="eastAsia"/>
                <w:color w:val="auto"/>
                <w:highlight w:val="none"/>
              </w:rPr>
              <w:t>质保期内设备开机率低于95%。</w:t>
            </w:r>
          </w:p>
          <w:p>
            <w:pPr>
              <w:snapToGrid w:val="0"/>
              <w:spacing w:line="360" w:lineRule="auto"/>
              <w:ind w:firstLine="420" w:firstLineChars="200"/>
              <w:rPr>
                <w:rFonts w:ascii="宋体" w:hAnsi="宋体" w:cs="宋体"/>
                <w:color w:val="auto"/>
                <w:highlight w:val="none"/>
              </w:rPr>
            </w:pPr>
            <w:r>
              <w:rPr>
                <w:rFonts w:hint="eastAsia"/>
                <w:color w:val="auto"/>
                <w:highlight w:val="none"/>
              </w:rPr>
              <w:t>7、甲方在合同履行期间发现乙方存在低价中标后“以次充好”（如使用翻新零部件、非原厂配件）的，乙方需立即更换所有问题设备，且每台问题设备支付合同总金额2% 的违约金，同时甲方有权将乙方不良行为上报政府采购监管部门，列入不良行为记录名单。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第19.2款</w:t>
            </w:r>
          </w:p>
        </w:tc>
        <w:tc>
          <w:tcPr>
            <w:tcW w:w="1813" w:type="dxa"/>
            <w:vAlign w:val="center"/>
          </w:tcPr>
          <w:p>
            <w:pPr>
              <w:adjustRightInd w:val="0"/>
              <w:snapToGrid w:val="0"/>
              <w:jc w:val="left"/>
              <w:rPr>
                <w:rFonts w:ascii="宋体" w:hAnsi="宋体"/>
                <w:color w:val="auto"/>
                <w:szCs w:val="21"/>
                <w:highlight w:val="none"/>
              </w:rPr>
            </w:pPr>
            <w:r>
              <w:rPr>
                <w:rFonts w:hint="eastAsia" w:ascii="宋体" w:hAnsi="宋体"/>
                <w:color w:val="auto"/>
                <w:szCs w:val="21"/>
                <w:highlight w:val="none"/>
              </w:rPr>
              <w:t>解决争议的方法</w:t>
            </w:r>
          </w:p>
        </w:tc>
        <w:tc>
          <w:tcPr>
            <w:tcW w:w="5758" w:type="dxa"/>
            <w:vAlign w:val="center"/>
          </w:tcPr>
          <w:p>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rPr>
              <w:t xml:space="preserve"> 2 </w:t>
            </w:r>
            <w:r>
              <w:rPr>
                <w:rFonts w:hint="eastAsia" w:ascii="宋体" w:hAnsi="宋体" w:cs="宋体"/>
                <w:iCs/>
                <w:color w:val="auto"/>
                <w:szCs w:val="21"/>
                <w:highlight w:val="none"/>
              </w:rPr>
              <w:t>种方式解决：</w:t>
            </w:r>
          </w:p>
          <w:p>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pPr>
              <w:adjustRightInd w:val="0"/>
              <w:snapToGrid w:val="0"/>
              <w:jc w:val="left"/>
              <w:rPr>
                <w:rFonts w:ascii="宋体" w:hAnsi="宋体" w:cs="宋体"/>
                <w:iCs/>
                <w:color w:val="auto"/>
                <w:szCs w:val="21"/>
                <w:highlight w:val="non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 xml:space="preserve">      甲方1所在地    </w:t>
            </w:r>
            <w:r>
              <w:rPr>
                <w:rFonts w:hint="eastAsia" w:ascii="宋体" w:hAnsi="宋体" w:cs="宋体"/>
                <w:iCs/>
                <w:color w:val="auto"/>
                <w:szCs w:val="21"/>
                <w:highlight w:val="none"/>
              </w:rPr>
              <w:t>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第23.1款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bCs/>
                <w:color w:val="auto"/>
                <w:szCs w:val="21"/>
                <w:highlight w:val="none"/>
              </w:rPr>
              <w:t>其他专用条款</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1、如采购项目涉及采购标的的知识产权归属的，产权归属为：</w:t>
            </w:r>
            <w:r>
              <w:rPr>
                <w:rFonts w:hint="eastAsia" w:ascii="宋体" w:hAnsi="宋体" w:cs="宋体"/>
                <w:color w:val="auto"/>
                <w:szCs w:val="21"/>
                <w:highlight w:val="none"/>
                <w:u w:val="single"/>
              </w:rPr>
              <w:t>甲方。</w:t>
            </w:r>
            <w:r>
              <w:rPr>
                <w:rFonts w:hint="eastAsia" w:ascii="宋体" w:hAnsi="宋体" w:cs="宋体"/>
                <w:color w:val="auto"/>
                <w:szCs w:val="21"/>
                <w:highlight w:val="none"/>
              </w:rPr>
              <w:t xml:space="preserve"> </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2、产权纠纷处理方式：</w:t>
            </w:r>
            <w:r>
              <w:rPr>
                <w:rFonts w:hint="eastAsia" w:ascii="宋体" w:hAnsi="宋体" w:cs="宋体"/>
                <w:color w:val="auto"/>
                <w:szCs w:val="21"/>
                <w:highlight w:val="none"/>
                <w:u w:val="single"/>
              </w:rPr>
              <w:t>甲方在中华人民共和国境内使用乙方提供的产品及服务时免受第三方提出的侵犯其专利权或其他知识产权的起诉。如果第三方提出侵权指控，乙方应妥善处理纠纷并承担由此而引起的一切法律责任和费用。</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w:t>
            </w:r>
            <w:r>
              <w:rPr>
                <w:rFonts w:hint="eastAsia" w:ascii="宋体" w:hAnsi="宋体" w:cs="宋体"/>
                <w:color w:val="auto"/>
                <w:szCs w:val="21"/>
                <w:highlight w:val="none"/>
              </w:rPr>
              <w:t>、除《中华人民共和国政府采购法》第五十条规定的情形外，本合同一经签订，甲乙双方不得擅自变更、中止或终止。如依照政府采购法确需变更合同内容的，甲方应当自合同变更之日起2个工作日内在省级以上财政部门指定的媒体上发布合同变更公告。</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4、合同执行中涉及采购资金和采购内容修改或补充的，须报财政部门备案，经财政部门同意后签订书面补充协议。</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5、如无特别说明，本合同使用货币币制为人民币，使用单位为中国国家法定计量单位。</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6、本合同中提及的招标与谈判、磋商、询价、单一来源采购为同一含义，提及的投标与响应为同一含义，提及的中标与成交为同一含义。</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7、不可抗力事件的处理：</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（1）在合同有效期内，任何一方因不可抗力事件导致不能履行合同，则合同履行期可延长，其延长期与不可抗力影响期相同。</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（2）不可抗力事件发生后，应立即通知对方，并寄送有关权威机构出具的证明。</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（3）不可抗力事件延续一百二十天以上，双方应通过友好协商，确定是否继续履行合同。</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（4）针对甲方因政策变化、规范调整而不履行合同约定，造成乙方合法利益受损的情形，甲方应当视情况给予一定补偿救济。</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8、履约监管：</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 1 \* GB3 </w:instrText>
            </w:r>
            <w:r>
              <w:rPr>
                <w:rFonts w:hint="eastAsia" w:ascii="宋体" w:hAnsi="宋体" w:cs="宋体"/>
                <w:color w:val="auto"/>
                <w:highlight w:val="none"/>
              </w:rPr>
              <w:fldChar w:fldCharType="separate"/>
            </w:r>
            <w:r>
              <w:rPr>
                <w:rFonts w:hint="eastAsia" w:ascii="宋体" w:hAnsi="宋体" w:cs="宋体"/>
                <w:color w:val="auto"/>
                <w:highlight w:val="none"/>
              </w:rPr>
              <w:t>①</w:t>
            </w:r>
            <w:r>
              <w:rPr>
                <w:rFonts w:hint="eastAsia" w:ascii="宋体" w:hAnsi="宋体" w:cs="宋体"/>
                <w:color w:val="auto"/>
                <w:highlight w:val="none"/>
              </w:rPr>
              <w:fldChar w:fldCharType="end"/>
            </w:r>
            <w:r>
              <w:rPr>
                <w:rFonts w:hint="eastAsia" w:ascii="宋体" w:hAnsi="宋体" w:cs="宋体"/>
                <w:color w:val="auto"/>
                <w:highlight w:val="none"/>
              </w:rPr>
              <w:t>甲方1有权每季度对乙方履约情况进行专项核查，核查内容包括设备运行状态、售后服务记录、配件更换情况等，乙方需配合提供设备运行日志、维修记录等资料；</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 2 \* GB3 </w:instrText>
            </w:r>
            <w:r>
              <w:rPr>
                <w:rFonts w:hint="eastAsia" w:ascii="宋体" w:hAnsi="宋体" w:cs="宋体"/>
                <w:color w:val="auto"/>
                <w:highlight w:val="none"/>
              </w:rPr>
              <w:fldChar w:fldCharType="separate"/>
            </w:r>
            <w:r>
              <w:rPr>
                <w:rFonts w:hint="eastAsia" w:ascii="宋体" w:hAnsi="宋体" w:cs="宋体"/>
                <w:color w:val="auto"/>
                <w:highlight w:val="none"/>
              </w:rPr>
              <w:t>②</w:t>
            </w:r>
            <w:r>
              <w:rPr>
                <w:rFonts w:hint="eastAsia" w:ascii="宋体" w:hAnsi="宋体" w:cs="宋体"/>
                <w:color w:val="auto"/>
                <w:highlight w:val="none"/>
              </w:rPr>
              <w:fldChar w:fldCharType="end"/>
            </w:r>
            <w:r>
              <w:rPr>
                <w:rFonts w:hint="eastAsia" w:ascii="宋体" w:hAnsi="宋体" w:cs="宋体"/>
                <w:color w:val="auto"/>
                <w:highlight w:val="none"/>
              </w:rPr>
              <w:t>若本项目涉及的设备中，有超过 10% 的设备在质保期内出现重大质量问题，甲方1可启动整体履约评估，委托第三方机构对所有设备进行质量检测，检测费用由乙方承担。</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8、合同未尽事项由双方协商另行签订补充协议，补充协议作为本合同附件，与合同具有同等的法律效力。</w:t>
            </w:r>
          </w:p>
        </w:tc>
      </w:tr>
    </w:tbl>
    <w:p>
      <w:pPr>
        <w:rPr>
          <w:rFonts w:ascii="宋体" w:hAnsi="宋体" w:cs="宋体"/>
          <w:color w:val="auto"/>
          <w:highlight w:val="none"/>
        </w:rPr>
      </w:pPr>
    </w:p>
    <w:p>
      <w:pPr>
        <w:widowControl/>
        <w:jc w:val="left"/>
        <w:rPr>
          <w:rFonts w:ascii="宋体" w:hAnsi="宋体" w:cs="宋体"/>
          <w:color w:val="auto"/>
          <w:highlight w:val="none"/>
        </w:rPr>
        <w:sectPr>
          <w:headerReference r:id="rId5" w:type="first"/>
          <w:pgSz w:w="11906" w:h="16838"/>
          <w:pgMar w:top="1418" w:right="1133" w:bottom="1246" w:left="1418" w:header="851" w:footer="992" w:gutter="0"/>
          <w:pgNumType w:fmt="decimal"/>
          <w:cols w:space="720" w:num="1"/>
          <w:docGrid w:linePitch="312" w:charSpace="0"/>
        </w:sectPr>
      </w:pPr>
    </w:p>
    <w:p>
      <w:pPr>
        <w:widowControl/>
        <w:jc w:val="left"/>
        <w:rPr>
          <w:rFonts w:ascii="宋体" w:hAnsi="宋体" w:cs="宋体"/>
          <w:color w:val="auto"/>
          <w:highlight w:val="none"/>
        </w:rPr>
      </w:pPr>
    </w:p>
    <w:p>
      <w:pPr>
        <w:spacing w:before="120" w:line="320" w:lineRule="atLeast"/>
        <w:jc w:val="left"/>
        <w:outlineLvl w:val="1"/>
        <w:rPr>
          <w:rFonts w:ascii="宋体" w:hAnsi="宋体" w:cs="宋体"/>
          <w:b/>
          <w:bCs/>
          <w:color w:val="auto"/>
          <w:kern w:val="0"/>
          <w:szCs w:val="21"/>
          <w:highlight w:val="none"/>
        </w:rPr>
      </w:pPr>
      <w:bookmarkStart w:id="165" w:name="_Toc15806"/>
      <w:bookmarkStart w:id="166" w:name="_Toc22968"/>
      <w:bookmarkStart w:id="167" w:name="_Toc16806"/>
      <w:r>
        <w:rPr>
          <w:rFonts w:hint="eastAsia" w:ascii="宋体" w:hAnsi="宋体" w:cs="宋体"/>
          <w:b/>
          <w:bCs/>
          <w:color w:val="auto"/>
          <w:kern w:val="0"/>
          <w:szCs w:val="21"/>
          <w:highlight w:val="none"/>
        </w:rPr>
        <w:t>合同附件1</w:t>
      </w:r>
      <w:bookmarkEnd w:id="165"/>
      <w:bookmarkEnd w:id="166"/>
      <w:bookmarkEnd w:id="167"/>
    </w:p>
    <w:p>
      <w:pPr>
        <w:snapToGrid w:val="0"/>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政府采购项目履约保证金退付意见书</w:t>
      </w:r>
      <w:r>
        <w:rPr>
          <w:rFonts w:hint="eastAsia"/>
          <w:b/>
          <w:bCs/>
          <w:color w:val="auto"/>
          <w:highlight w:val="none"/>
        </w:rPr>
        <w:t>（格式自拟）</w:t>
      </w:r>
    </w:p>
    <w:p>
      <w:pPr>
        <w:jc w:val="center"/>
        <w:rPr>
          <w:rFonts w:ascii="宋体" w:hAnsi="宋体" w:cs="宋体"/>
          <w:color w:val="auto"/>
          <w:sz w:val="36"/>
          <w:szCs w:val="36"/>
          <w:highlight w:val="none"/>
        </w:rPr>
      </w:pPr>
    </w:p>
    <w:p>
      <w:pPr>
        <w:ind w:left="450" w:leftChars="114" w:hanging="211" w:hangingChars="100"/>
        <w:rPr>
          <w:rFonts w:ascii="宋体" w:hAnsi="宋体" w:cs="宋体"/>
          <w:b/>
          <w:bCs/>
          <w:color w:val="auto"/>
          <w:szCs w:val="21"/>
          <w:highlight w:val="none"/>
        </w:rPr>
      </w:pPr>
      <w:r>
        <w:rPr>
          <w:rFonts w:hint="eastAsia" w:ascii="宋体" w:hAnsi="宋体" w:cs="宋体"/>
          <w:b/>
          <w:bCs/>
          <w:color w:val="auto"/>
          <w:szCs w:val="21"/>
          <w:highlight w:val="none"/>
        </w:rPr>
        <w:t>注：供应商凭经采购单位审批的退付意见书到相关财务部办理履约保证金退付事宜。</w:t>
      </w:r>
    </w:p>
    <w:p>
      <w:pPr>
        <w:widowControl/>
        <w:jc w:val="left"/>
        <w:rPr>
          <w:rFonts w:ascii="宋体" w:hAnsi="宋体" w:cs="宋体"/>
          <w:color w:val="auto"/>
          <w:highlight w:val="none"/>
        </w:rPr>
      </w:pPr>
      <w:r>
        <w:rPr>
          <w:rFonts w:hint="eastAsia" w:ascii="宋体" w:hAnsi="宋体" w:cs="宋体"/>
          <w:color w:val="auto"/>
          <w:highlight w:val="none"/>
        </w:rPr>
        <w:br w:type="page"/>
      </w:r>
    </w:p>
    <w:p>
      <w:pPr>
        <w:spacing w:before="120" w:line="320" w:lineRule="atLeast"/>
        <w:jc w:val="left"/>
        <w:outlineLvl w:val="1"/>
        <w:rPr>
          <w:rFonts w:ascii="宋体" w:hAnsi="宋体" w:cs="宋体"/>
          <w:b/>
          <w:bCs/>
          <w:color w:val="auto"/>
          <w:kern w:val="0"/>
          <w:szCs w:val="21"/>
          <w:highlight w:val="none"/>
        </w:rPr>
      </w:pPr>
      <w:bookmarkStart w:id="168" w:name="_Toc32141"/>
      <w:bookmarkStart w:id="169" w:name="_Toc21330"/>
      <w:bookmarkStart w:id="170" w:name="_Toc27081"/>
      <w:bookmarkStart w:id="171" w:name="_Toc210308728"/>
      <w:bookmarkStart w:id="172" w:name="_Toc210311318"/>
      <w:r>
        <w:rPr>
          <w:rFonts w:hint="eastAsia" w:ascii="宋体" w:hAnsi="宋体" w:cs="宋体"/>
          <w:b/>
          <w:bCs/>
          <w:color w:val="auto"/>
          <w:kern w:val="0"/>
          <w:szCs w:val="21"/>
          <w:highlight w:val="none"/>
        </w:rPr>
        <w:t>合同附件2</w:t>
      </w:r>
      <w:bookmarkEnd w:id="168"/>
      <w:bookmarkEnd w:id="169"/>
      <w:bookmarkEnd w:id="170"/>
      <w:bookmarkEnd w:id="171"/>
      <w:bookmarkEnd w:id="172"/>
    </w:p>
    <w:tbl>
      <w:tblPr>
        <w:tblStyle w:val="25"/>
        <w:tblW w:w="9836" w:type="dxa"/>
        <w:jc w:val="center"/>
        <w:tblInd w:w="0" w:type="dxa"/>
        <w:tblLayout w:type="fixed"/>
        <w:tblCellMar>
          <w:top w:w="0" w:type="dxa"/>
          <w:left w:w="108" w:type="dxa"/>
          <w:bottom w:w="0" w:type="dxa"/>
          <w:right w:w="108" w:type="dxa"/>
        </w:tblCellMar>
      </w:tblPr>
      <w:tblGrid>
        <w:gridCol w:w="1338"/>
        <w:gridCol w:w="1384"/>
        <w:gridCol w:w="764"/>
        <w:gridCol w:w="426"/>
        <w:gridCol w:w="1290"/>
        <w:gridCol w:w="1400"/>
        <w:gridCol w:w="919"/>
        <w:gridCol w:w="1281"/>
        <w:gridCol w:w="1034"/>
      </w:tblGrid>
      <w:tr>
        <w:tblPrEx>
          <w:tblLayout w:type="fixed"/>
          <w:tblCellMar>
            <w:top w:w="0" w:type="dxa"/>
            <w:left w:w="108" w:type="dxa"/>
            <w:bottom w:w="0" w:type="dxa"/>
            <w:right w:w="108" w:type="dxa"/>
          </w:tblCellMar>
        </w:tblPrEx>
        <w:trPr>
          <w:trHeight w:val="540" w:hRule="atLeast"/>
          <w:jc w:val="center"/>
        </w:trPr>
        <w:tc>
          <w:tcPr>
            <w:tcW w:w="9836" w:type="dxa"/>
            <w:gridSpan w:val="9"/>
            <w:tcBorders>
              <w:top w:val="nil"/>
              <w:left w:val="nil"/>
              <w:bottom w:val="nil"/>
              <w:right w:val="nil"/>
            </w:tcBorders>
            <w:shd w:val="clear" w:color="auto" w:fill="auto"/>
            <w:noWrap/>
            <w:vAlign w:val="center"/>
          </w:tcPr>
          <w:p>
            <w:pPr>
              <w:widowControl/>
              <w:jc w:val="center"/>
              <w:rPr>
                <w:rFonts w:ascii="宋体" w:hAnsi="宋体" w:cs="宋体"/>
                <w:color w:val="auto"/>
                <w:kern w:val="0"/>
                <w:sz w:val="44"/>
                <w:szCs w:val="44"/>
                <w:highlight w:val="none"/>
              </w:rPr>
            </w:pPr>
            <w:r>
              <w:rPr>
                <w:rFonts w:hint="eastAsia" w:ascii="宋体" w:hAnsi="宋体" w:cs="宋体"/>
                <w:color w:val="auto"/>
                <w:kern w:val="0"/>
                <w:sz w:val="44"/>
                <w:szCs w:val="44"/>
                <w:highlight w:val="none"/>
              </w:rPr>
              <w:t>2024年县域医共体设备更新项目设备验收单</w:t>
            </w:r>
          </w:p>
        </w:tc>
      </w:tr>
      <w:tr>
        <w:tblPrEx>
          <w:tblLayout w:type="fixed"/>
          <w:tblCellMar>
            <w:top w:w="0" w:type="dxa"/>
            <w:left w:w="108" w:type="dxa"/>
            <w:bottom w:w="0" w:type="dxa"/>
            <w:right w:w="108" w:type="dxa"/>
          </w:tblCellMar>
        </w:tblPrEx>
        <w:trPr>
          <w:trHeight w:val="285" w:hRule="atLeast"/>
          <w:jc w:val="center"/>
        </w:trPr>
        <w:tc>
          <w:tcPr>
            <w:tcW w:w="1338" w:type="dxa"/>
            <w:tcBorders>
              <w:top w:val="nil"/>
              <w:left w:val="nil"/>
              <w:bottom w:val="nil"/>
              <w:right w:val="nil"/>
            </w:tcBorders>
            <w:shd w:val="clear" w:color="auto" w:fill="auto"/>
            <w:noWrap/>
            <w:vAlign w:val="bottom"/>
          </w:tcPr>
          <w:p>
            <w:pPr>
              <w:widowControl/>
              <w:jc w:val="left"/>
              <w:rPr>
                <w:rFonts w:ascii="宋体" w:hAnsi="宋体" w:cs="宋体"/>
                <w:color w:val="auto"/>
                <w:kern w:val="0"/>
                <w:sz w:val="18"/>
                <w:szCs w:val="18"/>
                <w:highlight w:val="none"/>
              </w:rPr>
            </w:pPr>
          </w:p>
        </w:tc>
        <w:tc>
          <w:tcPr>
            <w:tcW w:w="1384" w:type="dxa"/>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880" w:type="dxa"/>
            <w:gridSpan w:val="4"/>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234" w:type="dxa"/>
            <w:gridSpan w:val="3"/>
            <w:tcBorders>
              <w:top w:val="nil"/>
              <w:left w:val="nil"/>
              <w:bottom w:val="nil"/>
              <w:right w:val="nil"/>
            </w:tcBorders>
            <w:shd w:val="clear" w:color="auto" w:fill="auto"/>
            <w:noWrap/>
            <w:vAlign w:val="bottom"/>
          </w:tcPr>
          <w:p>
            <w:pPr>
              <w:widowControl/>
              <w:jc w:val="center"/>
              <w:rPr>
                <w:rFonts w:ascii="宋体" w:hAnsi="宋体" w:cs="宋体"/>
                <w:color w:val="auto"/>
                <w:kern w:val="0"/>
                <w:sz w:val="20"/>
                <w:szCs w:val="20"/>
                <w:highlight w:val="none"/>
              </w:rPr>
            </w:pP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项目名称：</w:t>
            </w:r>
            <w:r>
              <w:rPr>
                <w:rFonts w:hint="eastAsia" w:ascii="宋体" w:hAnsi="宋体" w:cs="宋体"/>
                <w:color w:val="auto"/>
                <w:kern w:val="0"/>
                <w:sz w:val="20"/>
                <w:szCs w:val="20"/>
                <w:highlight w:val="none"/>
                <w:u w:val="single"/>
              </w:rPr>
              <w:t xml:space="preserve">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合同编号：</w:t>
            </w:r>
            <w:r>
              <w:rPr>
                <w:rFonts w:hint="eastAsia" w:ascii="宋体" w:hAnsi="宋体" w:cs="宋体"/>
                <w:color w:val="auto"/>
                <w:kern w:val="0"/>
                <w:sz w:val="20"/>
                <w:szCs w:val="20"/>
                <w:highlight w:val="none"/>
                <w:u w:val="single"/>
              </w:rPr>
              <w:t xml:space="preserve">                                                      </w:t>
            </w:r>
            <w:r>
              <w:rPr>
                <w:rFonts w:hint="eastAsia" w:ascii="宋体" w:hAnsi="宋体" w:cs="宋体"/>
                <w:color w:val="auto"/>
                <w:kern w:val="0"/>
                <w:sz w:val="20"/>
                <w:szCs w:val="20"/>
                <w:highlight w:val="none"/>
              </w:rPr>
              <w:t xml:space="preserve">        </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nil"/>
              <w:left w:val="nil"/>
              <w:bottom w:val="single" w:color="000000" w:sz="4" w:space="0"/>
              <w:right w:val="nil"/>
            </w:tcBorders>
            <w:shd w:val="clear" w:color="auto" w:fill="auto"/>
            <w:noWrap/>
            <w:vAlign w:val="bottom"/>
          </w:tcPr>
          <w:p>
            <w:pPr>
              <w:widowControl/>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供货一览表</w:t>
            </w:r>
          </w:p>
        </w:tc>
      </w:tr>
      <w:tr>
        <w:tblPrEx>
          <w:tblLayout w:type="fixed"/>
          <w:tblCellMar>
            <w:top w:w="0" w:type="dxa"/>
            <w:left w:w="108" w:type="dxa"/>
            <w:bottom w:w="0" w:type="dxa"/>
            <w:right w:w="108" w:type="dxa"/>
          </w:tblCellMar>
        </w:tblPrEx>
        <w:trPr>
          <w:trHeight w:val="285" w:hRule="atLeast"/>
          <w:jc w:val="center"/>
        </w:trPr>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产品名称</w:t>
            </w:r>
          </w:p>
        </w:tc>
        <w:tc>
          <w:tcPr>
            <w:tcW w:w="11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商标品牌</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规格型号</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单价(元)</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金额(元)</w:t>
            </w:r>
          </w:p>
        </w:tc>
      </w:tr>
      <w:tr>
        <w:tblPrEx>
          <w:tblLayout w:type="fixed"/>
          <w:tblCellMar>
            <w:top w:w="0" w:type="dxa"/>
            <w:left w:w="108" w:type="dxa"/>
            <w:bottom w:w="0" w:type="dxa"/>
            <w:right w:w="108" w:type="dxa"/>
          </w:tblCellMar>
        </w:tblPrEx>
        <w:trPr>
          <w:trHeight w:val="300" w:hRule="atLeast"/>
          <w:jc w:val="center"/>
        </w:trPr>
        <w:tc>
          <w:tcPr>
            <w:tcW w:w="13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24"/>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1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4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单位</w:t>
            </w: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0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r>
      <w:tr>
        <w:tblPrEx>
          <w:tblLayout w:type="fixed"/>
          <w:tblCellMar>
            <w:top w:w="0" w:type="dxa"/>
            <w:left w:w="108" w:type="dxa"/>
            <w:bottom w:w="0" w:type="dxa"/>
            <w:right w:w="108" w:type="dxa"/>
          </w:tblCellMar>
        </w:tblPrEx>
        <w:trPr>
          <w:trHeight w:val="57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人民币合计金额（含税）(大写)            元整(小写)（¥               ）</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验收方式：</w:t>
            </w:r>
            <w:r>
              <w:rPr>
                <w:rFonts w:hint="eastAsia" w:ascii="宋体" w:hAnsi="宋体" w:cs="宋体"/>
                <w:color w:val="auto"/>
                <w:kern w:val="0"/>
                <w:sz w:val="24"/>
                <w:highlight w:val="none"/>
              </w:rPr>
              <w:t xml:space="preserve">   </w:t>
            </w:r>
            <w:r>
              <w:rPr>
                <w:rFonts w:hint="eastAsia" w:ascii="宋体" w:hAnsi="宋体" w:cs="宋体"/>
                <w:color w:val="auto"/>
                <w:kern w:val="0"/>
                <w:sz w:val="22"/>
                <w:szCs w:val="22"/>
                <w:highlight w:val="none"/>
              </w:rPr>
              <w:t>□自主验收         □委托验收</w:t>
            </w: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单位名称：</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使用科室：</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设备名称：</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型号：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注册证/备案证号：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生产日期：</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设备制造序列号：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产地：</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供应商：</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使用期限：</w:t>
            </w:r>
          </w:p>
        </w:tc>
        <w:tc>
          <w:tcPr>
            <w:tcW w:w="2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质保期：</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年</w:t>
            </w: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电话：</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验收时间：</w:t>
            </w:r>
          </w:p>
        </w:tc>
        <w:tc>
          <w:tcPr>
            <w:tcW w:w="4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年    月    日</w:t>
            </w:r>
          </w:p>
        </w:tc>
      </w:tr>
      <w:tr>
        <w:tblPrEx>
          <w:tblLayout w:type="fixed"/>
          <w:tblCellMar>
            <w:top w:w="0" w:type="dxa"/>
            <w:left w:w="108" w:type="dxa"/>
            <w:bottom w:w="0" w:type="dxa"/>
            <w:right w:w="108" w:type="dxa"/>
          </w:tblCellMar>
        </w:tblPrEx>
        <w:trPr>
          <w:trHeight w:val="555"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附属设备：</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有□  无□</w:t>
            </w:r>
          </w:p>
        </w:tc>
        <w:tc>
          <w:tcPr>
            <w:tcW w:w="635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附属设备请在附属设备配置清单中列明</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验收要求</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single" w:color="000000" w:sz="4" w:space="0"/>
              <w:left w:val="single" w:color="000000" w:sz="4" w:space="0"/>
              <w:right w:val="single" w:color="000000" w:sz="4" w:space="0"/>
            </w:tcBorders>
            <w:shd w:val="clear" w:color="auto" w:fill="auto"/>
            <w:noWrap/>
            <w:vAlign w:val="bottom"/>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1、外观是否完好                                                      （是□    否□）</w:t>
            </w:r>
          </w:p>
        </w:tc>
      </w:tr>
      <w:tr>
        <w:tblPrEx>
          <w:tblLayout w:type="fixed"/>
          <w:tblCellMar>
            <w:top w:w="0" w:type="dxa"/>
            <w:left w:w="108" w:type="dxa"/>
            <w:bottom w:w="0" w:type="dxa"/>
            <w:right w:w="108" w:type="dxa"/>
          </w:tblCellMar>
        </w:tblPrEx>
        <w:trPr>
          <w:trHeight w:val="540" w:hRule="atLeast"/>
          <w:jc w:val="center"/>
        </w:trPr>
        <w:tc>
          <w:tcPr>
            <w:tcW w:w="9836" w:type="dxa"/>
            <w:gridSpan w:val="9"/>
            <w:tcBorders>
              <w:left w:val="single" w:color="000000" w:sz="4" w:space="0"/>
              <w:right w:val="single" w:color="000000" w:sz="4" w:space="0"/>
            </w:tcBorders>
            <w:shd w:val="clear" w:color="auto" w:fill="auto"/>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2、设备名称、规格型号及生产厂家等是否与医疗器械注册证内容一致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bottom"/>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3、是否随机配有产品合格证</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 xml:space="preserve">（是□    否□） </w:t>
            </w:r>
          </w:p>
        </w:tc>
      </w:tr>
      <w:tr>
        <w:tblPrEx>
          <w:tblLayout w:type="fixed"/>
          <w:tblCellMar>
            <w:top w:w="0" w:type="dxa"/>
            <w:left w:w="108" w:type="dxa"/>
            <w:bottom w:w="0" w:type="dxa"/>
            <w:right w:w="108" w:type="dxa"/>
          </w:tblCellMar>
        </w:tblPrEx>
        <w:trPr>
          <w:trHeight w:val="540" w:hRule="atLeast"/>
          <w:jc w:val="center"/>
        </w:trPr>
        <w:tc>
          <w:tcPr>
            <w:tcW w:w="9836" w:type="dxa"/>
            <w:gridSpan w:val="9"/>
            <w:tcBorders>
              <w:left w:val="single" w:color="000000" w:sz="4" w:space="0"/>
              <w:right w:val="single" w:color="000000" w:sz="4" w:space="0"/>
            </w:tcBorders>
            <w:shd w:val="clear" w:color="auto" w:fill="auto"/>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4、设备生产日期是否在医疗器械注册证、产品合格证等有效期内            （是□    否□）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5、设备配置开箱清点后是否与合同中设备配置一致  </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 xml:space="preserve">（是□    否□）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6、设备操作使用说明书或使用手册、保养手册是否随设备存放于使用科室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7、设备安装地的水电、环境是否达到设备的安装要求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8、设备及附件安装调试后各项性能及技术指标是否达到合同要求            （是□    否□）</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left w:val="single" w:color="000000" w:sz="4" w:space="0"/>
              <w:bottom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9、生产厂家是否进行设备操作培训及设备日常维护、保养培训              （是□    否□）</w:t>
            </w:r>
          </w:p>
        </w:tc>
      </w:tr>
    </w:tbl>
    <w:p>
      <w:pPr>
        <w:widowControl/>
        <w:jc w:val="left"/>
        <w:rPr>
          <w:rFonts w:ascii="宋体" w:hAnsi="宋体" w:eastAsia="宋体"/>
          <w:b/>
          <w:bCs/>
          <w:color w:val="auto"/>
          <w:kern w:val="44"/>
          <w:sz w:val="44"/>
          <w:szCs w:val="44"/>
          <w:highlight w:val="none"/>
        </w:rPr>
      </w:pPr>
    </w:p>
    <w:p>
      <w:pPr>
        <w:widowControl/>
        <w:jc w:val="left"/>
        <w:rPr>
          <w:rFonts w:ascii="宋体" w:hAnsi="宋体" w:cs="宋体"/>
          <w:b/>
          <w:bCs/>
          <w:color w:val="auto"/>
          <w:sz w:val="24"/>
          <w:highlight w:val="none"/>
        </w:rPr>
      </w:pPr>
      <w:r>
        <w:rPr>
          <w:rFonts w:ascii="宋体" w:hAnsi="宋体" w:eastAsia="宋体"/>
          <w:color w:val="auto"/>
          <w:highlight w:val="none"/>
        </w:rPr>
        <w:br w:type="page"/>
      </w:r>
    </w:p>
    <w:tbl>
      <w:tblPr>
        <w:tblStyle w:val="25"/>
        <w:tblpPr w:leftFromText="180" w:rightFromText="180" w:vertAnchor="page" w:horzAnchor="page" w:tblpXSpec="center" w:tblpY="1576"/>
        <w:tblOverlap w:val="never"/>
        <w:tblW w:w="9750" w:type="dxa"/>
        <w:jc w:val="center"/>
        <w:tblInd w:w="0" w:type="dxa"/>
        <w:tblLayout w:type="fixed"/>
        <w:tblCellMar>
          <w:top w:w="0" w:type="dxa"/>
          <w:left w:w="108" w:type="dxa"/>
          <w:bottom w:w="0" w:type="dxa"/>
          <w:right w:w="108" w:type="dxa"/>
        </w:tblCellMar>
      </w:tblPr>
      <w:tblGrid>
        <w:gridCol w:w="1791"/>
        <w:gridCol w:w="2943"/>
        <w:gridCol w:w="2175"/>
        <w:gridCol w:w="2841"/>
      </w:tblGrid>
      <w:tr>
        <w:tblPrEx>
          <w:tblLayout w:type="fixed"/>
          <w:tblCellMar>
            <w:top w:w="0" w:type="dxa"/>
            <w:left w:w="108" w:type="dxa"/>
            <w:bottom w:w="0" w:type="dxa"/>
            <w:right w:w="108" w:type="dxa"/>
          </w:tblCellMar>
        </w:tblPrEx>
        <w:trPr>
          <w:trHeight w:val="464" w:hRule="atLeast"/>
          <w:jc w:val="center"/>
        </w:trPr>
        <w:tc>
          <w:tcPr>
            <w:tcW w:w="9750" w:type="dxa"/>
            <w:gridSpan w:val="4"/>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cs="宋体"/>
                <w:color w:val="auto"/>
                <w:sz w:val="22"/>
                <w:szCs w:val="22"/>
                <w:highlight w:val="none"/>
              </w:rPr>
            </w:pPr>
            <w:r>
              <w:rPr>
                <w:rFonts w:hint="eastAsia" w:ascii="宋体" w:hAnsi="宋体" w:cs="宋体"/>
                <w:b/>
                <w:bCs/>
                <w:color w:val="auto"/>
                <w:sz w:val="24"/>
                <w:highlight w:val="none"/>
              </w:rPr>
              <w:t>验收意见</w:t>
            </w:r>
          </w:p>
        </w:tc>
      </w:tr>
      <w:tr>
        <w:tblPrEx>
          <w:tblLayout w:type="fixed"/>
          <w:tblCellMar>
            <w:top w:w="0" w:type="dxa"/>
            <w:left w:w="108" w:type="dxa"/>
            <w:bottom w:w="0" w:type="dxa"/>
            <w:right w:w="108" w:type="dxa"/>
          </w:tblCellMar>
        </w:tblPrEx>
        <w:trPr>
          <w:trHeight w:val="926" w:hRule="atLeast"/>
          <w:jc w:val="center"/>
        </w:trPr>
        <w:tc>
          <w:tcPr>
            <w:tcW w:w="1791" w:type="dxa"/>
            <w:vMerge w:val="restart"/>
            <w:tcBorders>
              <w:top w:val="single" w:color="auto" w:sz="4" w:space="0"/>
              <w:left w:val="single" w:color="000000" w:sz="4" w:space="0"/>
              <w:right w:val="single" w:color="auto"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验收小组意见</w:t>
            </w:r>
          </w:p>
        </w:tc>
        <w:tc>
          <w:tcPr>
            <w:tcW w:w="7959"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验收合格□</w:t>
            </w:r>
          </w:p>
          <w:p>
            <w:pPr>
              <w:widowControl/>
              <w:jc w:val="left"/>
              <w:textAlignment w:val="center"/>
              <w:rPr>
                <w:rFonts w:ascii="宋体" w:hAnsi="宋体" w:cs="宋体"/>
                <w:color w:val="auto"/>
                <w:sz w:val="22"/>
                <w:szCs w:val="22"/>
                <w:highlight w:val="none"/>
              </w:rPr>
            </w:pP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验收小组成员签字：</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jc w:val="center"/>
        </w:trPr>
        <w:tc>
          <w:tcPr>
            <w:tcW w:w="1791" w:type="dxa"/>
            <w:vMerge w:val="continue"/>
            <w:tcBorders>
              <w:left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验收不合格□</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意见及理由：</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 xml:space="preserve">验收小组成员签字： </w:t>
            </w:r>
          </w:p>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jc w:val="center"/>
        </w:trPr>
        <w:tc>
          <w:tcPr>
            <w:tcW w:w="1791" w:type="dxa"/>
            <w:vMerge w:val="continue"/>
            <w:tcBorders>
              <w:left w:val="single" w:color="000000" w:sz="4" w:space="0"/>
              <w:bottom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监督人员意见：合格□   不合格□</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监督人员签字：</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238" w:hRule="atLeast"/>
          <w:jc w:val="center"/>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top"/>
              <w:rPr>
                <w:rFonts w:ascii="宋体" w:hAnsi="宋体" w:cs="宋体"/>
                <w:color w:val="auto"/>
                <w:kern w:val="0"/>
                <w:sz w:val="22"/>
                <w:szCs w:val="22"/>
                <w:highlight w:val="none"/>
              </w:rPr>
            </w:pPr>
            <w:r>
              <w:rPr>
                <w:rFonts w:hint="eastAsia" w:ascii="宋体" w:hAnsi="宋体" w:cs="宋体"/>
                <w:color w:val="auto"/>
                <w:sz w:val="22"/>
                <w:szCs w:val="22"/>
                <w:highlight w:val="none"/>
              </w:rPr>
              <w:t>受邀单位或公司验收意见：</w:t>
            </w:r>
            <w:r>
              <w:rPr>
                <w:rFonts w:hint="eastAsia" w:ascii="宋体" w:hAnsi="宋体" w:cs="宋体"/>
                <w:color w:val="auto"/>
                <w:kern w:val="0"/>
                <w:sz w:val="22"/>
                <w:szCs w:val="22"/>
                <w:highlight w:val="none"/>
              </w:rPr>
              <w:t xml:space="preserve">合格□   不合格□ </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sz w:val="22"/>
                <w:szCs w:val="22"/>
                <w:highlight w:val="none"/>
              </w:rPr>
              <w:t>受邀单位或公司代表：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38" w:hRule="atLeast"/>
          <w:jc w:val="center"/>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验收意见：</w:t>
            </w:r>
            <w:r>
              <w:rPr>
                <w:rFonts w:hint="eastAsia" w:ascii="宋体" w:hAnsi="宋体" w:cs="宋体"/>
                <w:color w:val="auto"/>
                <w:kern w:val="0"/>
                <w:sz w:val="22"/>
                <w:szCs w:val="22"/>
                <w:highlight w:val="none"/>
              </w:rPr>
              <w:t xml:space="preserve">合格□   不合格□ </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01" w:hRule="atLeast"/>
          <w:jc w:val="center"/>
        </w:trPr>
        <w:tc>
          <w:tcPr>
            <w:tcW w:w="1791" w:type="dxa"/>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使用单位或委托代表人验收</w:t>
            </w:r>
            <w:r>
              <w:rPr>
                <w:rFonts w:hint="eastAsia" w:ascii="宋体" w:hAnsi="宋体" w:cs="宋体"/>
                <w:color w:val="auto"/>
                <w:sz w:val="22"/>
                <w:szCs w:val="22"/>
                <w:highlight w:val="none"/>
              </w:rPr>
              <w:t>意见：</w:t>
            </w:r>
          </w:p>
        </w:tc>
        <w:tc>
          <w:tcPr>
            <w:tcW w:w="2943" w:type="dxa"/>
            <w:tcBorders>
              <w:top w:val="single" w:color="000000" w:sz="4" w:space="0"/>
              <w:left w:val="nil"/>
              <w:bottom w:val="nil"/>
              <w:right w:val="single" w:color="000000" w:sz="4" w:space="0"/>
            </w:tcBorders>
            <w:shd w:val="clear" w:color="auto" w:fill="auto"/>
            <w:noWrap/>
            <w:vAlign w:val="center"/>
          </w:tcPr>
          <w:p>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合格□   不合格□ </w:t>
            </w:r>
          </w:p>
        </w:tc>
        <w:tc>
          <w:tcPr>
            <w:tcW w:w="2175" w:type="dxa"/>
            <w:tcBorders>
              <w:top w:val="single" w:color="000000" w:sz="4" w:space="0"/>
              <w:left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采购人或委托代表人验收</w:t>
            </w:r>
            <w:r>
              <w:rPr>
                <w:rFonts w:hint="eastAsia" w:ascii="宋体" w:hAnsi="宋体" w:cs="宋体"/>
                <w:color w:val="auto"/>
                <w:sz w:val="22"/>
                <w:szCs w:val="22"/>
                <w:highlight w:val="none"/>
              </w:rPr>
              <w:t>意见：</w:t>
            </w:r>
          </w:p>
        </w:tc>
        <w:tc>
          <w:tcPr>
            <w:tcW w:w="2841" w:type="dxa"/>
            <w:tcBorders>
              <w:top w:val="single" w:color="000000" w:sz="4" w:space="0"/>
              <w:left w:val="nil"/>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合格□  不合格□ </w:t>
            </w:r>
          </w:p>
        </w:tc>
      </w:tr>
      <w:tr>
        <w:tblPrEx>
          <w:tblLayout w:type="fixed"/>
          <w:tblCellMar>
            <w:top w:w="0" w:type="dxa"/>
            <w:left w:w="108" w:type="dxa"/>
            <w:bottom w:w="0" w:type="dxa"/>
            <w:right w:w="108" w:type="dxa"/>
          </w:tblCellMar>
        </w:tblPrEx>
        <w:trPr>
          <w:trHeight w:val="592" w:hRule="atLeast"/>
          <w:jc w:val="center"/>
        </w:trPr>
        <w:tc>
          <w:tcPr>
            <w:tcW w:w="1791" w:type="dxa"/>
            <w:tcBorders>
              <w:top w:val="nil"/>
              <w:left w:val="single" w:color="000000" w:sz="4" w:space="0"/>
              <w:bottom w:val="single" w:color="auto" w:sz="4" w:space="0"/>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nil"/>
              <w:left w:val="nil"/>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c>
          <w:tcPr>
            <w:tcW w:w="2175" w:type="dxa"/>
            <w:tcBorders>
              <w:top w:val="nil"/>
              <w:left w:val="nil"/>
              <w:bottom w:val="single" w:color="auto" w:sz="4" w:space="0"/>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nil"/>
              <w:left w:val="nil"/>
              <w:bottom w:val="single" w:color="auto" w:sz="4" w:space="0"/>
              <w:right w:val="single" w:color="000000" w:sz="4" w:space="0"/>
            </w:tcBorders>
            <w:shd w:val="clear" w:color="auto" w:fill="auto"/>
            <w:noWrap/>
            <w:vAlign w:val="center"/>
          </w:tcPr>
          <w:p>
            <w:pPr>
              <w:widowControl/>
              <w:ind w:firstLine="220" w:firstLineChars="100"/>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87" w:hRule="atLeast"/>
          <w:jc w:val="center"/>
        </w:trPr>
        <w:tc>
          <w:tcPr>
            <w:tcW w:w="1791" w:type="dxa"/>
            <w:tcBorders>
              <w:top w:val="single" w:color="auto" w:sz="4" w:space="0"/>
              <w:left w:val="nil"/>
              <w:bottom w:val="nil"/>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single" w:color="auto" w:sz="4" w:space="0"/>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p>
        </w:tc>
        <w:tc>
          <w:tcPr>
            <w:tcW w:w="2175" w:type="dxa"/>
            <w:tcBorders>
              <w:top w:val="single" w:color="auto" w:sz="4" w:space="0"/>
              <w:left w:val="nil"/>
              <w:bottom w:val="nil"/>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single" w:color="auto" w:sz="4" w:space="0"/>
              <w:left w:val="nil"/>
              <w:bottom w:val="nil"/>
              <w:right w:val="nil"/>
            </w:tcBorders>
            <w:shd w:val="clear" w:color="auto" w:fill="auto"/>
            <w:noWrap/>
            <w:vAlign w:val="center"/>
          </w:tcPr>
          <w:p>
            <w:pPr>
              <w:widowControl/>
              <w:ind w:firstLine="220" w:firstLineChars="100"/>
              <w:textAlignment w:val="center"/>
              <w:rPr>
                <w:rFonts w:ascii="宋体" w:hAnsi="宋体" w:cs="宋体"/>
                <w:color w:val="auto"/>
                <w:kern w:val="0"/>
                <w:sz w:val="22"/>
                <w:szCs w:val="22"/>
                <w:highlight w:val="none"/>
              </w:rPr>
            </w:pPr>
          </w:p>
        </w:tc>
      </w:tr>
      <w:tr>
        <w:tblPrEx>
          <w:tblLayout w:type="fixed"/>
          <w:tblCellMar>
            <w:top w:w="0" w:type="dxa"/>
            <w:left w:w="108" w:type="dxa"/>
            <w:bottom w:w="0" w:type="dxa"/>
            <w:right w:w="108" w:type="dxa"/>
          </w:tblCellMar>
        </w:tblPrEx>
        <w:trPr>
          <w:trHeight w:val="592" w:hRule="atLeast"/>
          <w:jc w:val="center"/>
        </w:trPr>
        <w:tc>
          <w:tcPr>
            <w:tcW w:w="9750" w:type="dxa"/>
            <w:gridSpan w:val="4"/>
            <w:tcBorders>
              <w:top w:val="nil"/>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b/>
                <w:bCs/>
                <w:color w:val="auto"/>
                <w:kern w:val="0"/>
                <w:sz w:val="22"/>
                <w:szCs w:val="22"/>
                <w:highlight w:val="none"/>
              </w:rPr>
              <w:t>备注：</w:t>
            </w:r>
            <w:r>
              <w:rPr>
                <w:rFonts w:hint="eastAsia" w:ascii="宋体" w:hAnsi="宋体" w:cs="宋体"/>
                <w:color w:val="auto"/>
                <w:kern w:val="0"/>
                <w:sz w:val="22"/>
                <w:szCs w:val="22"/>
                <w:highlight w:val="none"/>
              </w:rPr>
              <w:t>1.本验收单一式三份，验收完成后加盖供应商单位公章并将验收资料及相关证件交使用单位查验。</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2.验收小组成员应由熟悉掌握该采购项目技术需要的技术人员（专家）、使用单位设备使用部门、使用单位资产管理部门、使用单位设备归口管理部门、使用单位采购项目有关人员（财务科、审计科等）组成，验收小组成员不少于5人。</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3.使用单位纪检监察室或审计科负责对采购项目履约验收活动的监督检查，在“监督人员意见”处签字。</w:t>
            </w:r>
          </w:p>
          <w:p>
            <w:pPr>
              <w:widowControl/>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4.如项目邀请</w:t>
            </w:r>
            <w:r>
              <w:rPr>
                <w:rFonts w:hint="eastAsia" w:ascii="宋体" w:hAnsi="宋体" w:cs="宋体"/>
                <w:color w:val="auto"/>
                <w:sz w:val="22"/>
                <w:szCs w:val="22"/>
                <w:highlight w:val="none"/>
              </w:rPr>
              <w:t>第三方单位或公司参与验收，在表格相应位置填写验收意见。</w:t>
            </w:r>
          </w:p>
        </w:tc>
      </w:tr>
    </w:tbl>
    <w:p>
      <w:pPr>
        <w:snapToGrid w:val="0"/>
        <w:spacing w:line="360" w:lineRule="auto"/>
        <w:jc w:val="center"/>
        <w:rPr>
          <w:rFonts w:ascii="宋体" w:hAnsi="宋体" w:cs="宋体"/>
          <w:color w:val="auto"/>
          <w:highlight w:val="none"/>
        </w:rPr>
      </w:pPr>
      <w:r>
        <w:rPr>
          <w:rFonts w:hint="eastAsia" w:ascii="宋体" w:hAnsi="宋体" w:cs="宋体"/>
          <w:color w:val="auto"/>
          <w:highlight w:val="none"/>
        </w:rPr>
        <w:br w:type="page"/>
      </w:r>
    </w:p>
    <w:p>
      <w:pPr>
        <w:widowControl/>
        <w:jc w:val="left"/>
        <w:rPr>
          <w:rFonts w:ascii="宋体" w:hAnsi="宋体" w:eastAsia="宋体"/>
          <w:color w:val="auto"/>
          <w:szCs w:val="21"/>
          <w:highlight w:val="none"/>
        </w:rPr>
      </w:pPr>
      <w:r>
        <w:rPr>
          <w:b/>
          <w:bCs/>
          <w:color w:val="auto"/>
          <w:kern w:val="0"/>
          <w:szCs w:val="21"/>
          <w:highlight w:val="none"/>
        </w:rPr>
        <w:t>合同附件</w:t>
      </w:r>
      <w:r>
        <w:rPr>
          <w:rFonts w:hint="eastAsia"/>
          <w:b/>
          <w:bCs/>
          <w:color w:val="auto"/>
          <w:kern w:val="0"/>
          <w:szCs w:val="21"/>
          <w:highlight w:val="none"/>
        </w:rPr>
        <w:t>3</w:t>
      </w:r>
    </w:p>
    <w:tbl>
      <w:tblPr>
        <w:tblStyle w:val="25"/>
        <w:tblW w:w="9650" w:type="dxa"/>
        <w:jc w:val="center"/>
        <w:tblInd w:w="0" w:type="dxa"/>
        <w:tblLayout w:type="fixed"/>
        <w:tblCellMar>
          <w:top w:w="0" w:type="dxa"/>
          <w:left w:w="108" w:type="dxa"/>
          <w:bottom w:w="0" w:type="dxa"/>
          <w:right w:w="108" w:type="dxa"/>
        </w:tblCellMar>
      </w:tblPr>
      <w:tblGrid>
        <w:gridCol w:w="1263"/>
        <w:gridCol w:w="1384"/>
        <w:gridCol w:w="1190"/>
        <w:gridCol w:w="1275"/>
        <w:gridCol w:w="1276"/>
        <w:gridCol w:w="919"/>
        <w:gridCol w:w="1034"/>
        <w:gridCol w:w="1309"/>
      </w:tblGrid>
      <w:tr>
        <w:tblPrEx>
          <w:tblLayout w:type="fixed"/>
          <w:tblCellMar>
            <w:top w:w="0" w:type="dxa"/>
            <w:left w:w="108" w:type="dxa"/>
            <w:bottom w:w="0" w:type="dxa"/>
            <w:right w:w="108" w:type="dxa"/>
          </w:tblCellMar>
        </w:tblPrEx>
        <w:trPr>
          <w:trHeight w:val="540" w:hRule="atLeast"/>
          <w:jc w:val="center"/>
        </w:trPr>
        <w:tc>
          <w:tcPr>
            <w:tcW w:w="9650" w:type="dxa"/>
            <w:gridSpan w:val="8"/>
            <w:tcBorders>
              <w:top w:val="nil"/>
              <w:left w:val="nil"/>
              <w:bottom w:val="nil"/>
              <w:right w:val="nil"/>
            </w:tcBorders>
            <w:shd w:val="clear" w:color="auto" w:fill="auto"/>
            <w:noWrap/>
            <w:vAlign w:val="center"/>
          </w:tcPr>
          <w:p>
            <w:pPr>
              <w:widowControl/>
              <w:jc w:val="center"/>
              <w:rPr>
                <w:rFonts w:ascii="宋体" w:hAnsi="宋体" w:cs="宋体"/>
                <w:color w:val="auto"/>
                <w:kern w:val="0"/>
                <w:sz w:val="44"/>
                <w:szCs w:val="44"/>
                <w:highlight w:val="none"/>
              </w:rPr>
            </w:pPr>
            <w:r>
              <w:rPr>
                <w:rFonts w:hint="eastAsia" w:ascii="宋体" w:hAnsi="宋体" w:cs="宋体"/>
                <w:color w:val="auto"/>
                <w:kern w:val="0"/>
                <w:sz w:val="44"/>
                <w:szCs w:val="44"/>
                <w:highlight w:val="none"/>
              </w:rPr>
              <w:t>2024年县域医共体设备更新项目设备到货确认单</w:t>
            </w:r>
          </w:p>
        </w:tc>
      </w:tr>
      <w:tr>
        <w:tblPrEx>
          <w:tblLayout w:type="fixed"/>
          <w:tblCellMar>
            <w:top w:w="0" w:type="dxa"/>
            <w:left w:w="108" w:type="dxa"/>
            <w:bottom w:w="0" w:type="dxa"/>
            <w:right w:w="108" w:type="dxa"/>
          </w:tblCellMar>
        </w:tblPrEx>
        <w:trPr>
          <w:trHeight w:val="285" w:hRule="atLeast"/>
          <w:jc w:val="center"/>
        </w:trPr>
        <w:tc>
          <w:tcPr>
            <w:tcW w:w="1263" w:type="dxa"/>
            <w:tcBorders>
              <w:top w:val="nil"/>
              <w:left w:val="nil"/>
              <w:bottom w:val="nil"/>
              <w:right w:val="nil"/>
            </w:tcBorders>
            <w:shd w:val="clear" w:color="auto" w:fill="auto"/>
            <w:noWrap/>
            <w:vAlign w:val="bottom"/>
          </w:tcPr>
          <w:p>
            <w:pPr>
              <w:widowControl/>
              <w:jc w:val="left"/>
              <w:rPr>
                <w:rFonts w:ascii="宋体" w:hAnsi="宋体" w:cs="宋体"/>
                <w:color w:val="auto"/>
                <w:kern w:val="0"/>
                <w:sz w:val="18"/>
                <w:szCs w:val="18"/>
                <w:highlight w:val="none"/>
              </w:rPr>
            </w:pPr>
          </w:p>
        </w:tc>
        <w:tc>
          <w:tcPr>
            <w:tcW w:w="1384" w:type="dxa"/>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741" w:type="dxa"/>
            <w:gridSpan w:val="3"/>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262" w:type="dxa"/>
            <w:gridSpan w:val="3"/>
            <w:tcBorders>
              <w:top w:val="nil"/>
              <w:left w:val="nil"/>
              <w:bottom w:val="nil"/>
              <w:right w:val="nil"/>
            </w:tcBorders>
            <w:shd w:val="clear" w:color="auto" w:fill="auto"/>
            <w:noWrap/>
            <w:vAlign w:val="bottom"/>
          </w:tcPr>
          <w:p>
            <w:pPr>
              <w:widowControl/>
              <w:jc w:val="center"/>
              <w:rPr>
                <w:rFonts w:ascii="宋体" w:hAnsi="宋体" w:cs="宋体"/>
                <w:color w:val="auto"/>
                <w:kern w:val="0"/>
                <w:sz w:val="20"/>
                <w:szCs w:val="20"/>
                <w:highlight w:val="none"/>
              </w:rPr>
            </w:pP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项目名称：</w:t>
            </w:r>
            <w:r>
              <w:rPr>
                <w:rFonts w:hint="eastAsia" w:ascii="宋体" w:hAnsi="宋体" w:cs="宋体"/>
                <w:color w:val="auto"/>
                <w:kern w:val="0"/>
                <w:sz w:val="20"/>
                <w:szCs w:val="20"/>
                <w:highlight w:val="none"/>
                <w:u w:val="single"/>
              </w:rPr>
              <w:t xml:space="preserve">                                                      </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合同编号：</w:t>
            </w:r>
            <w:r>
              <w:rPr>
                <w:rFonts w:hint="eastAsia" w:ascii="宋体" w:hAnsi="宋体" w:cs="宋体"/>
                <w:color w:val="auto"/>
                <w:kern w:val="0"/>
                <w:sz w:val="20"/>
                <w:szCs w:val="20"/>
                <w:highlight w:val="none"/>
                <w:u w:val="single"/>
              </w:rPr>
              <w:t xml:space="preserve">                                                      </w:t>
            </w:r>
            <w:r>
              <w:rPr>
                <w:rFonts w:hint="eastAsia" w:ascii="宋体" w:hAnsi="宋体" w:cs="宋体"/>
                <w:color w:val="auto"/>
                <w:kern w:val="0"/>
                <w:sz w:val="20"/>
                <w:szCs w:val="20"/>
                <w:highlight w:val="none"/>
              </w:rPr>
              <w:t xml:space="preserve">        </w:t>
            </w:r>
          </w:p>
        </w:tc>
      </w:tr>
      <w:tr>
        <w:tblPrEx>
          <w:tblLayout w:type="fixed"/>
          <w:tblCellMar>
            <w:top w:w="0" w:type="dxa"/>
            <w:left w:w="108" w:type="dxa"/>
            <w:bottom w:w="0" w:type="dxa"/>
            <w:right w:w="108" w:type="dxa"/>
          </w:tblCellMar>
        </w:tblPrEx>
        <w:trPr>
          <w:trHeight w:val="300" w:hRule="atLeast"/>
          <w:jc w:val="center"/>
        </w:trPr>
        <w:tc>
          <w:tcPr>
            <w:tcW w:w="3837" w:type="dxa"/>
            <w:gridSpan w:val="3"/>
            <w:tcBorders>
              <w:top w:val="nil"/>
              <w:left w:val="nil"/>
              <w:bottom w:val="single" w:color="000000" w:sz="4" w:space="0"/>
              <w:right w:val="nil"/>
            </w:tcBorders>
            <w:shd w:val="clear" w:color="auto" w:fill="auto"/>
            <w:noWrap/>
            <w:vAlign w:val="bottom"/>
          </w:tcPr>
          <w:p>
            <w:pPr>
              <w:widowControl/>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供货一览表</w:t>
            </w:r>
          </w:p>
        </w:tc>
        <w:tc>
          <w:tcPr>
            <w:tcW w:w="5813" w:type="dxa"/>
            <w:gridSpan w:val="5"/>
            <w:tcBorders>
              <w:top w:val="nil"/>
              <w:left w:val="nil"/>
              <w:bottom w:val="single" w:color="000000" w:sz="4" w:space="0"/>
              <w:right w:val="nil"/>
            </w:tcBorders>
            <w:shd w:val="clear" w:color="auto" w:fill="auto"/>
            <w:noWrap/>
            <w:vAlign w:val="bottom"/>
          </w:tcPr>
          <w:p>
            <w:pPr>
              <w:widowControl/>
              <w:rPr>
                <w:rFonts w:ascii="宋体" w:hAnsi="宋体" w:cs="宋体"/>
                <w:color w:val="auto"/>
                <w:kern w:val="0"/>
                <w:sz w:val="24"/>
                <w:highlight w:val="none"/>
              </w:rPr>
            </w:pPr>
            <w:r>
              <w:rPr>
                <w:rFonts w:hint="eastAsia" w:ascii="宋体" w:hAnsi="宋体" w:cs="宋体"/>
                <w:color w:val="auto"/>
                <w:kern w:val="0"/>
                <w:sz w:val="24"/>
                <w:highlight w:val="none"/>
              </w:rPr>
              <w:t>　</w:t>
            </w:r>
          </w:p>
        </w:tc>
      </w:tr>
      <w:tr>
        <w:tblPrEx>
          <w:tblLayout w:type="fixed"/>
          <w:tblCellMar>
            <w:top w:w="0" w:type="dxa"/>
            <w:left w:w="108" w:type="dxa"/>
            <w:bottom w:w="0" w:type="dxa"/>
            <w:right w:w="108" w:type="dxa"/>
          </w:tblCellMar>
        </w:tblPrEx>
        <w:trPr>
          <w:trHeight w:val="285" w:hRule="atLeast"/>
          <w:jc w:val="center"/>
        </w:trPr>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产品名称</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商标品牌</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规格型号</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单价(元)</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金额(元)</w:t>
            </w:r>
          </w:p>
        </w:tc>
      </w:tr>
      <w:tr>
        <w:tblPrEx>
          <w:tblLayout w:type="fixed"/>
          <w:tblCellMar>
            <w:top w:w="0" w:type="dxa"/>
            <w:left w:w="108" w:type="dxa"/>
            <w:bottom w:w="0" w:type="dxa"/>
            <w:right w:w="108" w:type="dxa"/>
          </w:tblCellMar>
        </w:tblPrEx>
        <w:trPr>
          <w:trHeight w:val="300" w:hRule="atLeast"/>
          <w:jc w:val="center"/>
        </w:trPr>
        <w:tc>
          <w:tcPr>
            <w:tcW w:w="12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1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单位</w:t>
            </w:r>
          </w:p>
        </w:tc>
        <w:tc>
          <w:tcPr>
            <w:tcW w:w="10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570" w:hRule="atLeast"/>
          <w:jc w:val="center"/>
        </w:trPr>
        <w:tc>
          <w:tcPr>
            <w:tcW w:w="965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人民币合计金额（含税）(大写)             元整(小写)（¥               ）</w:t>
            </w: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rPr>
              <w:t>单位名称：</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使用科室：</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rPr>
              <w:t>设备名称：</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型号：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注册证/备案证号：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生产日期：</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设备制造序列号：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产地：</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供应商：</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24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使用期限：</w:t>
            </w:r>
          </w:p>
        </w:tc>
        <w:tc>
          <w:tcPr>
            <w:tcW w:w="21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质保期：</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电话：</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24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确认时间：</w:t>
            </w:r>
          </w:p>
        </w:tc>
        <w:tc>
          <w:tcPr>
            <w:tcW w:w="45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年    月    日</w:t>
            </w:r>
          </w:p>
        </w:tc>
      </w:tr>
      <w:tr>
        <w:tblPrEx>
          <w:tblLayout w:type="fixed"/>
          <w:tblCellMar>
            <w:top w:w="0" w:type="dxa"/>
            <w:left w:w="108" w:type="dxa"/>
            <w:bottom w:w="0" w:type="dxa"/>
            <w:right w:w="108" w:type="dxa"/>
          </w:tblCellMar>
        </w:tblPrEx>
        <w:trPr>
          <w:trHeight w:val="555"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附属设备：</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有□    无□</w:t>
            </w:r>
          </w:p>
        </w:tc>
        <w:tc>
          <w:tcPr>
            <w:tcW w:w="70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附属设备请在附属设备配置清单中列明</w:t>
            </w:r>
          </w:p>
        </w:tc>
      </w:tr>
      <w:tr>
        <w:tblPrEx>
          <w:tblLayout w:type="fixed"/>
          <w:tblCellMar>
            <w:top w:w="0" w:type="dxa"/>
            <w:left w:w="108" w:type="dxa"/>
            <w:bottom w:w="0" w:type="dxa"/>
            <w:right w:w="108" w:type="dxa"/>
          </w:tblCellMar>
        </w:tblPrEx>
        <w:trPr>
          <w:trHeight w:val="300" w:hRule="atLeast"/>
          <w:jc w:val="center"/>
        </w:trPr>
        <w:tc>
          <w:tcPr>
            <w:tcW w:w="9650" w:type="dxa"/>
            <w:gridSpan w:val="8"/>
            <w:tcBorders>
              <w:top w:val="single" w:color="000000" w:sz="4" w:space="0"/>
              <w:left w:val="single" w:color="000000" w:sz="4" w:space="0"/>
              <w:bottom w:val="single" w:color="000000" w:sz="4" w:space="0"/>
              <w:right w:val="single" w:color="000000" w:sz="4" w:space="0"/>
            </w:tcBorders>
            <w:shd w:val="clear" w:color="auto" w:fill="auto"/>
            <w:noWrap/>
          </w:tcPr>
          <w:p>
            <w:pPr>
              <w:widowControl/>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设备到货确认要求</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single" w:color="000000" w:sz="4" w:space="0"/>
              <w:left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1、外观是否完好                                                （是□  否□）</w:t>
            </w:r>
          </w:p>
        </w:tc>
      </w:tr>
      <w:tr>
        <w:tblPrEx>
          <w:tblLayout w:type="fixed"/>
          <w:tblCellMar>
            <w:top w:w="0" w:type="dxa"/>
            <w:left w:w="108" w:type="dxa"/>
            <w:bottom w:w="0" w:type="dxa"/>
            <w:right w:w="108" w:type="dxa"/>
          </w:tblCellMar>
        </w:tblPrEx>
        <w:trPr>
          <w:trHeight w:val="540" w:hRule="atLeast"/>
          <w:jc w:val="center"/>
        </w:trPr>
        <w:tc>
          <w:tcPr>
            <w:tcW w:w="9650" w:type="dxa"/>
            <w:gridSpan w:val="8"/>
            <w:tcBorders>
              <w:left w:val="single" w:color="000000" w:sz="4" w:space="0"/>
              <w:right w:val="single" w:color="000000" w:sz="4" w:space="0"/>
            </w:tcBorders>
            <w:shd w:val="clear" w:color="auto" w:fill="auto"/>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2、设备名称、规格型号及生产厂家等是否与医疗器械注册证内容一致  （是□  否□）</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left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3、是否随机配有产品合格证                                      （是□  否□）</w:t>
            </w:r>
          </w:p>
        </w:tc>
      </w:tr>
      <w:tr>
        <w:tblPrEx>
          <w:tblLayout w:type="fixed"/>
          <w:tblCellMar>
            <w:top w:w="0" w:type="dxa"/>
            <w:left w:w="108" w:type="dxa"/>
            <w:bottom w:w="0" w:type="dxa"/>
            <w:right w:w="108" w:type="dxa"/>
          </w:tblCellMar>
        </w:tblPrEx>
        <w:trPr>
          <w:trHeight w:val="540" w:hRule="atLeast"/>
          <w:jc w:val="center"/>
        </w:trPr>
        <w:tc>
          <w:tcPr>
            <w:tcW w:w="9650" w:type="dxa"/>
            <w:gridSpan w:val="8"/>
            <w:tcBorders>
              <w:left w:val="single" w:color="000000" w:sz="4" w:space="0"/>
              <w:right w:val="single" w:color="000000" w:sz="4" w:space="0"/>
            </w:tcBorders>
            <w:shd w:val="clear" w:color="auto" w:fill="auto"/>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4、设备生产日期是否在医疗器械注册证、产品合格证等有效期内      （是□  否□）</w:t>
            </w:r>
          </w:p>
        </w:tc>
      </w:tr>
      <w:tr>
        <w:tblPrEx>
          <w:tblLayout w:type="fixed"/>
          <w:tblCellMar>
            <w:top w:w="0" w:type="dxa"/>
            <w:left w:w="108" w:type="dxa"/>
            <w:bottom w:w="0" w:type="dxa"/>
            <w:right w:w="108" w:type="dxa"/>
          </w:tblCellMar>
        </w:tblPrEx>
        <w:trPr>
          <w:trHeight w:val="300" w:hRule="atLeast"/>
          <w:jc w:val="center"/>
        </w:trPr>
        <w:tc>
          <w:tcPr>
            <w:tcW w:w="9650" w:type="dxa"/>
            <w:gridSpan w:val="8"/>
            <w:tcBorders>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5、设备配置开箱清点后是否与合同中设备配置一致  </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（是□  否□）</w:t>
            </w:r>
          </w:p>
        </w:tc>
      </w:tr>
    </w:tbl>
    <w:p>
      <w:pPr>
        <w:widowControl/>
        <w:jc w:val="left"/>
        <w:rPr>
          <w:rFonts w:ascii="宋体" w:hAnsi="宋体" w:eastAsia="宋体"/>
          <w:b/>
          <w:bCs/>
          <w:color w:val="auto"/>
          <w:kern w:val="44"/>
          <w:szCs w:val="21"/>
          <w:highlight w:val="none"/>
        </w:rPr>
      </w:pPr>
    </w:p>
    <w:p>
      <w:pPr>
        <w:widowControl/>
        <w:jc w:val="left"/>
        <w:rPr>
          <w:rFonts w:ascii="宋体" w:hAnsi="宋体" w:eastAsia="宋体"/>
          <w:color w:val="auto"/>
          <w:szCs w:val="21"/>
          <w:highlight w:val="none"/>
        </w:rPr>
      </w:pPr>
      <w:r>
        <w:rPr>
          <w:rFonts w:ascii="宋体" w:hAnsi="宋体" w:eastAsia="宋体"/>
          <w:color w:val="auto"/>
          <w:szCs w:val="21"/>
          <w:highlight w:val="none"/>
        </w:rPr>
        <w:br w:type="page"/>
      </w:r>
    </w:p>
    <w:tbl>
      <w:tblPr>
        <w:tblStyle w:val="25"/>
        <w:tblpPr w:leftFromText="180" w:rightFromText="180" w:vertAnchor="page" w:horzAnchor="page" w:tblpX="1220" w:tblpY="1119"/>
        <w:tblOverlap w:val="never"/>
        <w:tblW w:w="9750" w:type="dxa"/>
        <w:tblInd w:w="0" w:type="dxa"/>
        <w:tblLayout w:type="fixed"/>
        <w:tblCellMar>
          <w:top w:w="0" w:type="dxa"/>
          <w:left w:w="108" w:type="dxa"/>
          <w:bottom w:w="0" w:type="dxa"/>
          <w:right w:w="108" w:type="dxa"/>
        </w:tblCellMar>
      </w:tblPr>
      <w:tblGrid>
        <w:gridCol w:w="1791"/>
        <w:gridCol w:w="2943"/>
        <w:gridCol w:w="2175"/>
        <w:gridCol w:w="2841"/>
      </w:tblGrid>
      <w:tr>
        <w:tblPrEx>
          <w:tblLayout w:type="fixed"/>
          <w:tblCellMar>
            <w:top w:w="0" w:type="dxa"/>
            <w:left w:w="108" w:type="dxa"/>
            <w:bottom w:w="0" w:type="dxa"/>
            <w:right w:w="108" w:type="dxa"/>
          </w:tblCellMar>
        </w:tblPrEx>
        <w:trPr>
          <w:trHeight w:val="464" w:hRule="atLeast"/>
        </w:trPr>
        <w:tc>
          <w:tcPr>
            <w:tcW w:w="9750" w:type="dxa"/>
            <w:gridSpan w:val="4"/>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cs="宋体"/>
                <w:color w:val="auto"/>
                <w:sz w:val="22"/>
                <w:szCs w:val="22"/>
                <w:highlight w:val="none"/>
              </w:rPr>
            </w:pPr>
            <w:r>
              <w:rPr>
                <w:rFonts w:hint="eastAsia" w:ascii="宋体" w:hAnsi="宋体" w:cs="宋体"/>
                <w:b/>
                <w:bCs/>
                <w:color w:val="auto"/>
                <w:sz w:val="24"/>
                <w:highlight w:val="none"/>
              </w:rPr>
              <w:t>设备到货确认意见</w:t>
            </w:r>
          </w:p>
        </w:tc>
      </w:tr>
      <w:tr>
        <w:tblPrEx>
          <w:tblLayout w:type="fixed"/>
          <w:tblCellMar>
            <w:top w:w="0" w:type="dxa"/>
            <w:left w:w="108" w:type="dxa"/>
            <w:bottom w:w="0" w:type="dxa"/>
            <w:right w:w="108" w:type="dxa"/>
          </w:tblCellMar>
        </w:tblPrEx>
        <w:trPr>
          <w:trHeight w:val="926" w:hRule="atLeast"/>
        </w:trPr>
        <w:tc>
          <w:tcPr>
            <w:tcW w:w="1791" w:type="dxa"/>
            <w:vMerge w:val="restart"/>
            <w:tcBorders>
              <w:top w:val="single" w:color="auto" w:sz="4" w:space="0"/>
              <w:left w:val="single" w:color="000000" w:sz="4" w:space="0"/>
              <w:right w:val="single" w:color="auto"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验收小组意见</w:t>
            </w:r>
          </w:p>
        </w:tc>
        <w:tc>
          <w:tcPr>
            <w:tcW w:w="7959"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设备已到货无误□</w:t>
            </w:r>
          </w:p>
          <w:p>
            <w:pPr>
              <w:widowControl/>
              <w:jc w:val="left"/>
              <w:textAlignment w:val="center"/>
              <w:rPr>
                <w:rFonts w:ascii="宋体" w:hAnsi="宋体" w:cs="宋体"/>
                <w:color w:val="auto"/>
                <w:sz w:val="22"/>
                <w:szCs w:val="22"/>
                <w:highlight w:val="none"/>
              </w:rPr>
            </w:pP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验收人员签字：</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trPr>
        <w:tc>
          <w:tcPr>
            <w:tcW w:w="1791" w:type="dxa"/>
            <w:vMerge w:val="continue"/>
            <w:tcBorders>
              <w:left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意见及理由：</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 xml:space="preserve">验收人员签字： </w:t>
            </w:r>
          </w:p>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trPr>
        <w:tc>
          <w:tcPr>
            <w:tcW w:w="1791" w:type="dxa"/>
            <w:vMerge w:val="continue"/>
            <w:tcBorders>
              <w:left w:val="single" w:color="000000" w:sz="4" w:space="0"/>
              <w:bottom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监督人员意见：设备已到货无误□   设备未按合同要求到货□</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监督人员签字：</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238" w:hRule="atLeast"/>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验收意见：</w:t>
            </w:r>
            <w:r>
              <w:rPr>
                <w:rFonts w:hint="eastAsia" w:ascii="宋体" w:hAnsi="宋体" w:cs="宋体"/>
                <w:color w:val="auto"/>
                <w:kern w:val="0"/>
                <w:sz w:val="22"/>
                <w:szCs w:val="22"/>
                <w:highlight w:val="none"/>
              </w:rPr>
              <w:t>设备已到货无误□   设备未按合同要求到货□</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01" w:hRule="atLeast"/>
        </w:trPr>
        <w:tc>
          <w:tcPr>
            <w:tcW w:w="1791" w:type="dxa"/>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使用单位或委托代表人验收</w:t>
            </w:r>
            <w:r>
              <w:rPr>
                <w:rFonts w:hint="eastAsia" w:ascii="宋体" w:hAnsi="宋体" w:cs="宋体"/>
                <w:color w:val="auto"/>
                <w:sz w:val="22"/>
                <w:szCs w:val="22"/>
                <w:highlight w:val="none"/>
              </w:rPr>
              <w:t>意见：</w:t>
            </w:r>
          </w:p>
        </w:tc>
        <w:tc>
          <w:tcPr>
            <w:tcW w:w="2943" w:type="dxa"/>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设备已到货无误□   </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w:t>
            </w:r>
          </w:p>
        </w:tc>
        <w:tc>
          <w:tcPr>
            <w:tcW w:w="2175" w:type="dxa"/>
            <w:tcBorders>
              <w:top w:val="single" w:color="000000" w:sz="4" w:space="0"/>
              <w:left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采购人或委托代表人验收</w:t>
            </w:r>
            <w:r>
              <w:rPr>
                <w:rFonts w:hint="eastAsia" w:ascii="宋体" w:hAnsi="宋体" w:cs="宋体"/>
                <w:color w:val="auto"/>
                <w:sz w:val="22"/>
                <w:szCs w:val="22"/>
                <w:highlight w:val="none"/>
              </w:rPr>
              <w:t>意见：</w:t>
            </w:r>
          </w:p>
        </w:tc>
        <w:tc>
          <w:tcPr>
            <w:tcW w:w="2841" w:type="dxa"/>
            <w:tcBorders>
              <w:top w:val="single" w:color="000000" w:sz="4" w:space="0"/>
              <w:left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设备已到货无误□   </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jc w:val="left"/>
              <w:textAlignment w:val="center"/>
              <w:rPr>
                <w:rFonts w:ascii="宋体" w:hAnsi="宋体" w:cs="宋体"/>
                <w:color w:val="auto"/>
                <w:sz w:val="22"/>
                <w:szCs w:val="22"/>
                <w:highlight w:val="none"/>
              </w:rPr>
            </w:pPr>
          </w:p>
        </w:tc>
      </w:tr>
      <w:tr>
        <w:tblPrEx>
          <w:tblLayout w:type="fixed"/>
          <w:tblCellMar>
            <w:top w:w="0" w:type="dxa"/>
            <w:left w:w="108" w:type="dxa"/>
            <w:bottom w:w="0" w:type="dxa"/>
            <w:right w:w="108" w:type="dxa"/>
          </w:tblCellMar>
        </w:tblPrEx>
        <w:trPr>
          <w:trHeight w:val="592" w:hRule="atLeast"/>
        </w:trPr>
        <w:tc>
          <w:tcPr>
            <w:tcW w:w="1791" w:type="dxa"/>
            <w:tcBorders>
              <w:top w:val="nil"/>
              <w:left w:val="single" w:color="000000" w:sz="4" w:space="0"/>
              <w:bottom w:val="single" w:color="auto" w:sz="4" w:space="0"/>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nil"/>
              <w:left w:val="nil"/>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c>
          <w:tcPr>
            <w:tcW w:w="2175" w:type="dxa"/>
            <w:tcBorders>
              <w:top w:val="nil"/>
              <w:left w:val="nil"/>
              <w:bottom w:val="single" w:color="auto" w:sz="4" w:space="0"/>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nil"/>
              <w:left w:val="nil"/>
              <w:bottom w:val="single" w:color="auto" w:sz="4" w:space="0"/>
              <w:right w:val="single" w:color="000000" w:sz="4" w:space="0"/>
            </w:tcBorders>
            <w:shd w:val="clear" w:color="auto" w:fill="auto"/>
            <w:noWrap/>
            <w:vAlign w:val="center"/>
          </w:tcPr>
          <w:p>
            <w:pPr>
              <w:widowControl/>
              <w:ind w:firstLine="220" w:firstLineChars="100"/>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87" w:hRule="atLeast"/>
        </w:trPr>
        <w:tc>
          <w:tcPr>
            <w:tcW w:w="1791" w:type="dxa"/>
            <w:tcBorders>
              <w:top w:val="single" w:color="auto" w:sz="4" w:space="0"/>
              <w:left w:val="nil"/>
              <w:bottom w:val="nil"/>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single" w:color="auto" w:sz="4" w:space="0"/>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p>
        </w:tc>
        <w:tc>
          <w:tcPr>
            <w:tcW w:w="2175" w:type="dxa"/>
            <w:tcBorders>
              <w:top w:val="single" w:color="auto" w:sz="4" w:space="0"/>
              <w:left w:val="nil"/>
              <w:bottom w:val="nil"/>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single" w:color="auto" w:sz="4" w:space="0"/>
              <w:left w:val="nil"/>
              <w:bottom w:val="nil"/>
              <w:right w:val="nil"/>
            </w:tcBorders>
            <w:shd w:val="clear" w:color="auto" w:fill="auto"/>
            <w:noWrap/>
            <w:vAlign w:val="center"/>
          </w:tcPr>
          <w:p>
            <w:pPr>
              <w:widowControl/>
              <w:ind w:firstLine="220" w:firstLineChars="100"/>
              <w:textAlignment w:val="center"/>
              <w:rPr>
                <w:rFonts w:ascii="宋体" w:hAnsi="宋体" w:cs="宋体"/>
                <w:color w:val="auto"/>
                <w:kern w:val="0"/>
                <w:sz w:val="22"/>
                <w:szCs w:val="22"/>
                <w:highlight w:val="none"/>
              </w:rPr>
            </w:pPr>
          </w:p>
        </w:tc>
      </w:tr>
      <w:tr>
        <w:tblPrEx>
          <w:tblLayout w:type="fixed"/>
          <w:tblCellMar>
            <w:top w:w="0" w:type="dxa"/>
            <w:left w:w="108" w:type="dxa"/>
            <w:bottom w:w="0" w:type="dxa"/>
            <w:right w:w="108" w:type="dxa"/>
          </w:tblCellMar>
        </w:tblPrEx>
        <w:trPr>
          <w:trHeight w:val="592" w:hRule="atLeast"/>
        </w:trPr>
        <w:tc>
          <w:tcPr>
            <w:tcW w:w="9750" w:type="dxa"/>
            <w:gridSpan w:val="4"/>
            <w:tcBorders>
              <w:top w:val="nil"/>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b/>
                <w:bCs/>
                <w:color w:val="auto"/>
                <w:kern w:val="0"/>
                <w:sz w:val="22"/>
                <w:szCs w:val="22"/>
                <w:highlight w:val="none"/>
              </w:rPr>
              <w:t>备注：</w:t>
            </w:r>
            <w:r>
              <w:rPr>
                <w:rFonts w:hint="eastAsia" w:ascii="宋体" w:hAnsi="宋体" w:cs="宋体"/>
                <w:color w:val="auto"/>
                <w:kern w:val="0"/>
                <w:sz w:val="22"/>
                <w:szCs w:val="22"/>
                <w:highlight w:val="none"/>
              </w:rPr>
              <w:t>1.本验收单一式三份，验收完成后加盖供应商单位公章并将验收资料及相关证件交使用单位查验。</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2.验收成员应由熟悉掌握该采购项目技术需要的技术人员（专家）、使用单位设备使用部门、使用单位资产管理部门、使用单位设备归口管理部门、使用单位采购项目有关人员（财务科、审计科等）组成，验收人员不少于3人。</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3.使用单位纪检监察室或审计科负责对采购项目履约验收活动的监督检查（在“监督人员意见”处签字）。</w:t>
            </w:r>
          </w:p>
        </w:tc>
      </w:tr>
    </w:tbl>
    <w:p>
      <w:pPr>
        <w:rPr>
          <w:color w:val="auto"/>
          <w:highlight w:val="none"/>
        </w:rPr>
      </w:pPr>
      <w:r>
        <w:rPr>
          <w:rFonts w:hint="eastAsia"/>
          <w:color w:val="auto"/>
          <w:highlight w:val="none"/>
        </w:rPr>
        <w:br w:type="page"/>
      </w:r>
    </w:p>
    <w:p>
      <w:pPr>
        <w:pStyle w:val="30"/>
        <w:rPr>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keepNext/>
        <w:keepLines/>
        <w:spacing w:line="360" w:lineRule="auto"/>
        <w:jc w:val="center"/>
        <w:rPr>
          <w:rFonts w:ascii="宋体" w:hAnsi="宋体" w:cs="宋体"/>
          <w:color w:val="auto"/>
          <w:highlight w:val="none"/>
        </w:rPr>
      </w:pPr>
    </w:p>
    <w:p>
      <w:pPr>
        <w:pStyle w:val="3"/>
        <w:spacing w:line="360" w:lineRule="auto"/>
        <w:jc w:val="center"/>
        <w:rPr>
          <w:rFonts w:ascii="宋体" w:hAnsi="宋体" w:cs="宋体"/>
          <w:color w:val="auto"/>
          <w:highlight w:val="none"/>
        </w:rPr>
      </w:pPr>
      <w:bookmarkStart w:id="173" w:name="_Toc1916"/>
      <w:r>
        <w:rPr>
          <w:rFonts w:hint="eastAsia" w:ascii="宋体" w:hAnsi="宋体" w:cs="宋体"/>
          <w:color w:val="auto"/>
          <w:highlight w:val="none"/>
        </w:rPr>
        <w:t>第六章　投标文件格式</w:t>
      </w:r>
      <w:bookmarkEnd w:id="173"/>
    </w:p>
    <w:p>
      <w:pPr>
        <w:snapToGrid w:val="0"/>
        <w:spacing w:before="50" w:after="50" w:line="360" w:lineRule="auto"/>
        <w:rPr>
          <w:rFonts w:ascii="宋体" w:hAnsi="宋体" w:cs="宋体"/>
          <w:color w:val="auto"/>
          <w:sz w:val="32"/>
          <w:szCs w:val="20"/>
          <w:highlight w:val="none"/>
        </w:rPr>
      </w:pPr>
    </w:p>
    <w:p>
      <w:pPr>
        <w:snapToGrid w:val="0"/>
        <w:spacing w:before="50" w:after="50" w:line="360" w:lineRule="auto"/>
        <w:rPr>
          <w:rFonts w:ascii="宋体" w:hAnsi="宋体" w:cs="宋体"/>
          <w:color w:val="auto"/>
          <w:sz w:val="32"/>
          <w:szCs w:val="20"/>
          <w:highlight w:val="none"/>
        </w:rPr>
      </w:pPr>
    </w:p>
    <w:p>
      <w:pPr>
        <w:snapToGrid w:val="0"/>
        <w:spacing w:before="50" w:after="50" w:line="360" w:lineRule="auto"/>
        <w:rPr>
          <w:rFonts w:ascii="宋体" w:hAnsi="宋体" w:cs="宋体"/>
          <w:color w:val="auto"/>
          <w:sz w:val="32"/>
          <w:szCs w:val="20"/>
          <w:highlight w:val="none"/>
        </w:rPr>
      </w:pPr>
    </w:p>
    <w:p>
      <w:pPr>
        <w:snapToGrid w:val="0"/>
        <w:spacing w:before="50" w:after="50" w:line="360" w:lineRule="auto"/>
        <w:rPr>
          <w:rFonts w:ascii="宋体" w:hAnsi="宋体" w:cs="宋体"/>
          <w:color w:val="auto"/>
          <w:sz w:val="32"/>
          <w:szCs w:val="20"/>
          <w:highlight w:val="none"/>
        </w:rPr>
      </w:pPr>
    </w:p>
    <w:p>
      <w:pPr>
        <w:spacing w:line="360" w:lineRule="auto"/>
        <w:outlineLvl w:val="1"/>
        <w:rPr>
          <w:rFonts w:ascii="宋体" w:hAnsi="宋体" w:cs="宋体"/>
          <w:b/>
          <w:color w:val="auto"/>
          <w:sz w:val="28"/>
          <w:szCs w:val="28"/>
          <w:highlight w:val="none"/>
        </w:rPr>
      </w:pPr>
      <w:bookmarkStart w:id="174" w:name="_Toc19686836"/>
      <w:bookmarkEnd w:id="174"/>
      <w:bookmarkStart w:id="175" w:name="_Toc254970557"/>
      <w:bookmarkStart w:id="176" w:name="_Toc254970698"/>
      <w:r>
        <w:rPr>
          <w:rFonts w:hint="eastAsia" w:ascii="宋体" w:hAnsi="宋体" w:cs="宋体"/>
          <w:b/>
          <w:color w:val="auto"/>
          <w:sz w:val="28"/>
          <w:szCs w:val="28"/>
          <w:highlight w:val="none"/>
        </w:rPr>
        <w:br w:type="page"/>
      </w:r>
      <w:bookmarkStart w:id="177" w:name="_Toc8720"/>
      <w:r>
        <w:rPr>
          <w:rFonts w:hint="eastAsia" w:ascii="宋体" w:hAnsi="宋体" w:cs="宋体"/>
          <w:b/>
          <w:color w:val="auto"/>
          <w:sz w:val="28"/>
          <w:szCs w:val="28"/>
          <w:highlight w:val="none"/>
        </w:rPr>
        <w:t>一、报价文件格式</w:t>
      </w:r>
      <w:bookmarkEnd w:id="177"/>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t xml:space="preserve">1. 报价文件封面格式： </w:t>
      </w:r>
    </w:p>
    <w:p>
      <w:pPr>
        <w:snapToGrid w:val="0"/>
        <w:spacing w:beforeLines="50" w:after="50" w:line="360" w:lineRule="auto"/>
        <w:ind w:left="142"/>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pPr>
        <w:snapToGrid w:val="0"/>
        <w:spacing w:beforeLines="50" w:after="50" w:line="360" w:lineRule="auto"/>
        <w:jc w:val="left"/>
        <w:rPr>
          <w:rFonts w:ascii="宋体" w:hAnsi="宋体" w:cs="宋体"/>
          <w:bCs/>
          <w:color w:val="auto"/>
          <w:sz w:val="48"/>
          <w:szCs w:val="48"/>
          <w:highlight w:val="none"/>
        </w:rPr>
      </w:pPr>
    </w:p>
    <w:p>
      <w:pPr>
        <w:snapToGrid w:val="0"/>
        <w:spacing w:beforeLines="50" w:after="50"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报  价  文  件</w:t>
      </w: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pPr>
        <w:snapToGrid w:val="0"/>
        <w:spacing w:beforeLines="50" w:after="50" w:line="360" w:lineRule="auto"/>
        <w:ind w:firstLine="360" w:firstLineChars="150"/>
        <w:rPr>
          <w:rFonts w:ascii="宋体" w:hAnsi="宋体" w:cs="宋体"/>
          <w:bCs/>
          <w:color w:val="auto"/>
          <w:sz w:val="24"/>
          <w:highlight w:val="none"/>
        </w:rPr>
      </w:pP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pPr>
        <w:snapToGrid w:val="0"/>
        <w:spacing w:beforeLines="50" w:after="50" w:line="360" w:lineRule="auto"/>
        <w:ind w:firstLine="360" w:firstLineChars="150"/>
        <w:rPr>
          <w:rFonts w:ascii="宋体" w:hAnsi="宋体" w:cs="宋体"/>
          <w:bCs/>
          <w:color w:val="auto"/>
          <w:sz w:val="24"/>
          <w:highlight w:val="none"/>
        </w:rPr>
      </w:pP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所投分标（如有）：</w:t>
      </w:r>
    </w:p>
    <w:p>
      <w:pPr>
        <w:snapToGrid w:val="0"/>
        <w:spacing w:beforeLines="50" w:after="50" w:line="360" w:lineRule="auto"/>
        <w:ind w:firstLine="360" w:firstLineChars="150"/>
        <w:rPr>
          <w:rFonts w:ascii="宋体" w:hAnsi="宋体" w:cs="宋体"/>
          <w:bCs/>
          <w:color w:val="auto"/>
          <w:sz w:val="24"/>
          <w:highlight w:val="none"/>
        </w:rPr>
      </w:pP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pPr>
        <w:snapToGrid w:val="0"/>
        <w:spacing w:beforeLines="50" w:after="50" w:line="360" w:lineRule="auto"/>
        <w:ind w:firstLine="360" w:firstLineChars="150"/>
        <w:rPr>
          <w:rFonts w:ascii="宋体" w:hAnsi="宋体" w:cs="宋体"/>
          <w:bCs/>
          <w:color w:val="auto"/>
          <w:sz w:val="24"/>
          <w:highlight w:val="none"/>
        </w:rPr>
      </w:pP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pPr>
        <w:pStyle w:val="8"/>
        <w:snapToGrid w:val="0"/>
        <w:spacing w:before="50" w:after="50" w:line="360" w:lineRule="auto"/>
        <w:ind w:firstLine="960" w:firstLineChars="400"/>
        <w:rPr>
          <w:rFonts w:ascii="宋体" w:hAnsi="宋体" w:cs="宋体"/>
          <w:bCs/>
          <w:color w:val="auto"/>
          <w:sz w:val="24"/>
          <w:szCs w:val="24"/>
          <w:highlight w:val="none"/>
        </w:rPr>
      </w:pPr>
    </w:p>
    <w:p>
      <w:pPr>
        <w:snapToGrid w:val="0"/>
        <w:spacing w:beforeLines="50" w:after="50" w:line="360" w:lineRule="auto"/>
        <w:rPr>
          <w:rFonts w:ascii="宋体" w:hAnsi="宋体" w:cs="宋体"/>
          <w:color w:val="auto"/>
          <w:sz w:val="30"/>
          <w:szCs w:val="20"/>
          <w:highlight w:val="none"/>
        </w:rPr>
      </w:pPr>
      <w:r>
        <w:rPr>
          <w:rFonts w:hint="eastAsia" w:ascii="宋体" w:hAnsi="宋体" w:cs="宋体"/>
          <w:color w:val="auto"/>
          <w:sz w:val="24"/>
          <w:highlight w:val="none"/>
        </w:rPr>
        <w:t xml:space="preserve">                                   年  月  日</w:t>
      </w:r>
    </w:p>
    <w:p>
      <w:pPr>
        <w:snapToGrid w:val="0"/>
        <w:spacing w:beforeLines="50" w:after="50" w:line="360" w:lineRule="auto"/>
        <w:jc w:val="left"/>
        <w:outlineLvl w:val="2"/>
        <w:rPr>
          <w:rFonts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pPr>
        <w:snapToGrid w:val="0"/>
        <w:spacing w:before="50" w:afterLines="50" w:line="360" w:lineRule="auto"/>
        <w:jc w:val="left"/>
        <w:rPr>
          <w:rFonts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pPr>
        <w:snapToGrid w:val="0"/>
        <w:spacing w:beforeLines="50" w:after="50" w:line="360" w:lineRule="auto"/>
        <w:rPr>
          <w:rFonts w:ascii="宋体" w:hAnsi="宋体" w:cs="宋体"/>
          <w:b/>
          <w:color w:val="auto"/>
          <w:sz w:val="24"/>
          <w:highlight w:val="none"/>
        </w:rPr>
      </w:pPr>
    </w:p>
    <w:p>
      <w:pPr>
        <w:snapToGrid w:val="0"/>
        <w:spacing w:beforeLines="50" w:after="50" w:line="360" w:lineRule="auto"/>
        <w:rPr>
          <w:rFonts w:ascii="宋体" w:hAnsi="宋体" w:cs="宋体"/>
          <w:b/>
          <w:color w:val="auto"/>
          <w:sz w:val="24"/>
          <w:highlight w:val="none"/>
        </w:rPr>
      </w:pPr>
    </w:p>
    <w:p>
      <w:pPr>
        <w:snapToGrid w:val="0"/>
        <w:spacing w:beforeLines="50" w:after="50" w:line="360" w:lineRule="auto"/>
        <w:rPr>
          <w:rFonts w:ascii="宋体" w:hAnsi="宋体" w:cs="宋体"/>
          <w:b/>
          <w:color w:val="auto"/>
          <w:sz w:val="24"/>
          <w:highlight w:val="none"/>
        </w:rPr>
      </w:pP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pPr>
        <w:snapToGrid w:val="0"/>
        <w:spacing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投 标 函</w:t>
      </w:r>
    </w:p>
    <w:p>
      <w:pPr>
        <w:spacing w:line="384"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pPr>
        <w:spacing w:line="384"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rPr>
        <w:t>（项目编号：）的招标公告，签字代表______（姓名）经正式授权并代表投标人（投标人名称）提交投标文件。</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据此函，我方宣布同意如下：</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2.我方在投标之前已经完全理解并接受招标文件的各项规定和要求，对招标文件的合理性、合法性不再有异议。</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3.本投标有效期自投标截止之日起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4.如中标，本投标文件至本项目合同履行完毕止均保持有效，我方将按“招标文件”及政府采购法律、法规的规定履行合同责任和义务。</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5.我方同意按照贵方要求提供与投标有关的一切数据或者资料。</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6.我方向贵方提交的所有投标文件、资料都是准确的和真实的。</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7.以上事项如有虚假或者隐瞒，我方愿意承担一切后果，并不再寻求任何旨在减轻或者免除法律责任的辩解。</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□我方本次投标文件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□我方本次投标文件</w:t>
      </w:r>
      <w:r>
        <w:rPr>
          <w:rFonts w:hint="eastAsia" w:ascii="宋体" w:hAnsi="宋体" w:cs="宋体"/>
          <w:color w:val="auto"/>
          <w:kern w:val="0"/>
          <w:sz w:val="24"/>
          <w:highlight w:val="none"/>
        </w:rPr>
        <w:t>涉及商业秘密的内容有：；</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9.与本投标有关的一切正式往来信函请寄：</w:t>
      </w:r>
    </w:p>
    <w:p>
      <w:pPr>
        <w:spacing w:line="384" w:lineRule="auto"/>
        <w:ind w:firstLine="480" w:firstLineChars="200"/>
        <w:contextualSpacing/>
        <w:rPr>
          <w:rFonts w:ascii="宋体" w:hAnsi="宋体" w:cs="宋体"/>
          <w:color w:val="auto"/>
          <w:sz w:val="24"/>
          <w:highlight w:val="none"/>
          <w:u w:val="single"/>
        </w:rPr>
      </w:pPr>
      <w:r>
        <w:rPr>
          <w:rFonts w:hint="eastAsia" w:ascii="宋体" w:hAnsi="宋体" w:cs="宋体"/>
          <w:color w:val="auto"/>
          <w:sz w:val="24"/>
          <w:highlight w:val="none"/>
        </w:rPr>
        <w:t>地址：邮编：</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电话：传真： 邮箱：</w:t>
      </w:r>
    </w:p>
    <w:p>
      <w:pPr>
        <w:spacing w:line="384"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投标人名称:</w:t>
      </w:r>
    </w:p>
    <w:p>
      <w:pPr>
        <w:spacing w:line="384"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开户银行：   银行帐号：</w:t>
      </w:r>
    </w:p>
    <w:p>
      <w:pPr>
        <w:spacing w:line="384"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法定代表人或者委托代理人签字/电子签名:___________ </w:t>
      </w:r>
    </w:p>
    <w:p>
      <w:pPr>
        <w:pStyle w:val="14"/>
        <w:spacing w:line="384" w:lineRule="auto"/>
        <w:ind w:firstLine="480"/>
        <w:contextualSpacing/>
        <w:jc w:val="center"/>
        <w:rPr>
          <w:rFonts w:hAnsi="宋体" w:cs="宋体"/>
          <w:color w:val="auto"/>
          <w:sz w:val="24"/>
          <w:highlight w:val="none"/>
        </w:rPr>
      </w:pPr>
    </w:p>
    <w:p>
      <w:pPr>
        <w:pStyle w:val="14"/>
        <w:spacing w:line="384" w:lineRule="auto"/>
        <w:ind w:firstLine="480"/>
        <w:contextualSpacing/>
        <w:jc w:val="center"/>
        <w:rPr>
          <w:rFonts w:hAnsi="宋体" w:cs="宋体"/>
          <w:color w:val="auto"/>
          <w:sz w:val="24"/>
          <w:highlight w:val="none"/>
        </w:rPr>
      </w:pPr>
    </w:p>
    <w:p>
      <w:pPr>
        <w:pStyle w:val="14"/>
        <w:spacing w:line="384" w:lineRule="auto"/>
        <w:ind w:firstLine="480"/>
        <w:contextualSpacing/>
        <w:jc w:val="right"/>
        <w:rPr>
          <w:rFonts w:hAnsi="宋体" w:cs="宋体"/>
          <w:color w:val="auto"/>
          <w:sz w:val="24"/>
          <w:szCs w:val="24"/>
          <w:highlight w:val="none"/>
          <w:u w:val="single"/>
        </w:rPr>
      </w:pPr>
      <w:r>
        <w:rPr>
          <w:rFonts w:hint="eastAsia" w:hAnsi="宋体" w:cs="宋体"/>
          <w:color w:val="auto"/>
          <w:sz w:val="24"/>
          <w:highlight w:val="none"/>
        </w:rPr>
        <w:t>投标人名称（电子签章）：</w:t>
      </w:r>
    </w:p>
    <w:p>
      <w:pPr>
        <w:pStyle w:val="14"/>
        <w:spacing w:line="384" w:lineRule="auto"/>
        <w:ind w:firstLine="480"/>
        <w:contextualSpacing/>
        <w:jc w:val="right"/>
        <w:rPr>
          <w:rFonts w:hAnsi="宋体" w:cs="宋体"/>
          <w:color w:val="auto"/>
          <w:sz w:val="24"/>
          <w:highlight w:val="none"/>
        </w:rPr>
      </w:pPr>
      <w:r>
        <w:rPr>
          <w:rFonts w:hint="eastAsia" w:hAnsi="宋体" w:cs="宋体"/>
          <w:color w:val="auto"/>
          <w:sz w:val="24"/>
          <w:szCs w:val="24"/>
          <w:highlight w:val="none"/>
        </w:rPr>
        <w:t>年月日</w:t>
      </w:r>
    </w:p>
    <w:p>
      <w:pPr>
        <w:snapToGrid w:val="0"/>
        <w:spacing w:beforeLines="50" w:after="50" w:line="360" w:lineRule="auto"/>
        <w:jc w:val="left"/>
        <w:outlineLvl w:val="2"/>
        <w:rPr>
          <w:rFonts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 开标一览表（货物类格式）</w:t>
      </w:r>
    </w:p>
    <w:p>
      <w:pPr>
        <w:snapToGrid w:val="0"/>
        <w:spacing w:before="50" w:after="50" w:line="360" w:lineRule="auto"/>
        <w:jc w:val="center"/>
        <w:rPr>
          <w:rFonts w:ascii="宋体" w:hAnsi="宋体" w:cs="宋体"/>
          <w:b/>
          <w:color w:val="auto"/>
          <w:sz w:val="30"/>
          <w:highlight w:val="none"/>
        </w:rPr>
      </w:pPr>
      <w:r>
        <w:rPr>
          <w:rFonts w:hint="eastAsia" w:ascii="宋体" w:hAnsi="宋体" w:cs="宋体"/>
          <w:b/>
          <w:color w:val="auto"/>
          <w:sz w:val="30"/>
          <w:highlight w:val="none"/>
        </w:rPr>
        <w:t>开标一览表</w:t>
      </w:r>
    </w:p>
    <w:p>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项目名称：项目编号：   分标（如有）：</w:t>
      </w:r>
    </w:p>
    <w:p>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投标人名称：                       单位：元</w:t>
      </w:r>
    </w:p>
    <w:tbl>
      <w:tblPr>
        <w:tblStyle w:val="25"/>
        <w:tblW w:w="872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1111"/>
        <w:gridCol w:w="994"/>
        <w:gridCol w:w="849"/>
        <w:gridCol w:w="710"/>
        <w:gridCol w:w="851"/>
        <w:gridCol w:w="992"/>
        <w:gridCol w:w="992"/>
        <w:gridCol w:w="15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标的的名称</w:t>
            </w: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品牌</w:t>
            </w: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71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国别</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数量及单位①</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②</w:t>
            </w: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w:t>
            </w:r>
          </w:p>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1</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2</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b/>
                <w:color w:val="auto"/>
                <w:sz w:val="24"/>
                <w:highlight w:val="none"/>
              </w:rPr>
            </w:pPr>
            <w:r>
              <w:rPr>
                <w:rFonts w:hint="eastAsia" w:ascii="宋体" w:hAnsi="宋体" w:cs="宋体"/>
                <w:b/>
                <w:color w:val="auto"/>
                <w:sz w:val="24"/>
                <w:highlight w:val="none"/>
              </w:rPr>
              <w:t>……</w:t>
            </w: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8720" w:type="dxa"/>
            <w:gridSpan w:val="9"/>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合计金额大写：人民币（￥）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8720" w:type="dxa"/>
            <w:gridSpan w:val="9"/>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交货时间：</w:t>
            </w:r>
          </w:p>
        </w:tc>
      </w:tr>
    </w:tbl>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注: </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1.投标人的开标一览表必须加盖投标人电子签章并由法定代表人或者委托代理人签字或者电子签名，</w:t>
      </w:r>
      <w:r>
        <w:rPr>
          <w:rFonts w:hint="eastAsia" w:ascii="宋体" w:hAnsi="宋体" w:cs="宋体"/>
          <w:b/>
          <w:color w:val="auto"/>
          <w:sz w:val="24"/>
          <w:highlight w:val="none"/>
        </w:rPr>
        <w:t>否则其投标作无效标处理</w:t>
      </w:r>
      <w:r>
        <w:rPr>
          <w:rFonts w:hint="eastAsia" w:ascii="宋体" w:hAnsi="宋体" w:cs="宋体"/>
          <w:color w:val="auto"/>
          <w:sz w:val="24"/>
          <w:highlight w:val="none"/>
        </w:rPr>
        <w:t>。</w:t>
      </w:r>
    </w:p>
    <w:p>
      <w:pPr>
        <w:snapToGrid w:val="0"/>
        <w:spacing w:line="360" w:lineRule="auto"/>
        <w:ind w:firstLine="480" w:firstLineChars="200"/>
        <w:jc w:val="left"/>
        <w:rPr>
          <w:rFonts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报价一经涂改，应在涂改处加盖投标人公章或者由法定代表人或者委托代理人签字（或者电子签名）或者盖章</w:t>
      </w:r>
      <w:r>
        <w:rPr>
          <w:rFonts w:hint="eastAsia" w:ascii="宋体" w:hAnsi="宋体" w:cs="宋体"/>
          <w:b/>
          <w:color w:val="auto"/>
          <w:sz w:val="24"/>
          <w:highlight w:val="none"/>
        </w:rPr>
        <w:t>，否则其投标作无效标处理。</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3.招标文件中列明采购专用耗材的，应按招标文件规定的耗材量或者按耗材的常规试用量提供报价。</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pPr>
        <w:snapToGrid w:val="0"/>
        <w:spacing w:line="360" w:lineRule="auto"/>
        <w:ind w:firstLine="456" w:firstLineChars="200"/>
        <w:jc w:val="left"/>
        <w:rPr>
          <w:rFonts w:ascii="宋体" w:hAnsi="宋体" w:cs="宋体"/>
          <w:color w:val="auto"/>
          <w:spacing w:val="-6"/>
          <w:sz w:val="24"/>
          <w:highlight w:val="none"/>
        </w:rPr>
      </w:pPr>
      <w:r>
        <w:rPr>
          <w:rFonts w:hint="eastAsia" w:ascii="宋体" w:hAnsi="宋体" w:cs="宋体"/>
          <w:color w:val="auto"/>
          <w:spacing w:val="-6"/>
          <w:sz w:val="24"/>
          <w:highlight w:val="none"/>
        </w:rPr>
        <w:t>5.如为联合体投标，盖章处须加盖联合体牵头人电子签章，</w:t>
      </w:r>
      <w:r>
        <w:rPr>
          <w:rFonts w:hint="eastAsia" w:ascii="宋体" w:hAnsi="宋体" w:cs="宋体"/>
          <w:b/>
          <w:color w:val="auto"/>
          <w:spacing w:val="-6"/>
          <w:sz w:val="24"/>
          <w:highlight w:val="none"/>
        </w:rPr>
        <w:t>否则其投标作无效标处理。</w:t>
      </w:r>
    </w:p>
    <w:p>
      <w:pPr>
        <w:snapToGri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6.如有多分标，按分标分别提供开标一览表，</w:t>
      </w:r>
      <w:r>
        <w:rPr>
          <w:rFonts w:hint="eastAsia" w:ascii="宋体" w:hAnsi="宋体" w:cs="宋体"/>
          <w:b/>
          <w:color w:val="auto"/>
          <w:sz w:val="24"/>
          <w:highlight w:val="none"/>
        </w:rPr>
        <w:t>否则投标无效。</w:t>
      </w:r>
    </w:p>
    <w:p>
      <w:pPr>
        <w:pStyle w:val="2"/>
        <w:spacing w:line="360" w:lineRule="auto"/>
        <w:rPr>
          <w:rFonts w:ascii="宋体" w:hAnsi="宋体" w:cs="宋体"/>
          <w:color w:val="auto"/>
          <w:highlight w:val="none"/>
        </w:rPr>
      </w:pPr>
    </w:p>
    <w:p>
      <w:pPr>
        <w:pStyle w:val="2"/>
        <w:spacing w:line="360" w:lineRule="auto"/>
        <w:rPr>
          <w:rFonts w:ascii="宋体" w:hAnsi="宋体" w:cs="宋体"/>
          <w:color w:val="auto"/>
          <w:highlight w:val="none"/>
        </w:rPr>
      </w:pPr>
    </w:p>
    <w:p>
      <w:pPr>
        <w:snapToGrid w:val="0"/>
        <w:spacing w:line="360" w:lineRule="auto"/>
        <w:ind w:left="-2" w:leftChars="-1" w:right="-817" w:rightChars="-389"/>
        <w:rPr>
          <w:rFonts w:ascii="宋体" w:hAnsi="宋体" w:cs="宋体"/>
          <w:color w:val="auto"/>
          <w:sz w:val="24"/>
          <w:highlight w:val="none"/>
        </w:rPr>
      </w:pPr>
      <w:r>
        <w:rPr>
          <w:rFonts w:hint="eastAsia" w:ascii="宋体" w:hAnsi="宋体" w:cs="宋体"/>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pPr>
        <w:snapToGrid w:val="0"/>
        <w:spacing w:line="360" w:lineRule="auto"/>
        <w:ind w:left="-3" w:leftChars="-15" w:right="-817" w:rightChars="-389" w:hanging="28" w:hangingChars="12"/>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rPr>
          <w:rFonts w:ascii="宋体" w:hAnsi="宋体" w:cs="宋体"/>
          <w:color w:val="auto"/>
          <w:sz w:val="24"/>
          <w:highlight w:val="none"/>
        </w:rPr>
      </w:pPr>
      <w:r>
        <w:rPr>
          <w:rFonts w:hint="eastAsia" w:ascii="宋体" w:hAnsi="宋体" w:cs="宋体"/>
          <w:color w:val="auto"/>
          <w:sz w:val="24"/>
          <w:highlight w:val="none"/>
        </w:rPr>
        <w:br w:type="page"/>
      </w:r>
    </w:p>
    <w:p>
      <w:pPr>
        <w:outlineLvl w:val="2"/>
        <w:rPr>
          <w:rFonts w:ascii="宋体" w:hAnsi="宋体" w:cs="宋体"/>
          <w:color w:val="auto"/>
          <w:highlight w:val="none"/>
        </w:rPr>
      </w:pPr>
      <w:r>
        <w:rPr>
          <w:rFonts w:hint="eastAsia" w:ascii="宋体" w:hAnsi="宋体" w:cs="宋体"/>
          <w:color w:val="auto"/>
          <w:highlight w:val="none"/>
        </w:rPr>
        <w:t>4-1 投标报价明细表格式：</w:t>
      </w:r>
    </w:p>
    <w:p>
      <w:pPr>
        <w:jc w:val="center"/>
        <w:rPr>
          <w:rFonts w:ascii="宋体" w:hAnsi="宋体" w:cs="宋体"/>
          <w:b/>
          <w:color w:val="auto"/>
          <w:szCs w:val="21"/>
          <w:highlight w:val="none"/>
        </w:rPr>
      </w:pPr>
      <w:r>
        <w:rPr>
          <w:rFonts w:hint="eastAsia" w:ascii="宋体" w:hAnsi="宋体" w:cs="宋体"/>
          <w:b/>
          <w:color w:val="auto"/>
          <w:sz w:val="30"/>
          <w:szCs w:val="30"/>
          <w:highlight w:val="none"/>
        </w:rPr>
        <w:t>投标报价明细表</w:t>
      </w:r>
    </w:p>
    <w:p>
      <w:pPr>
        <w:ind w:firstLine="2415" w:firstLineChars="1150"/>
        <w:rPr>
          <w:rFonts w:ascii="宋体" w:hAnsi="宋体" w:cs="宋体"/>
          <w:color w:val="auto"/>
          <w:szCs w:val="21"/>
          <w:highlight w:val="none"/>
        </w:rPr>
      </w:pPr>
      <w:r>
        <w:rPr>
          <w:rFonts w:hint="eastAsia" w:ascii="宋体" w:hAnsi="宋体" w:cs="宋体"/>
          <w:color w:val="auto"/>
          <w:szCs w:val="21"/>
          <w:highlight w:val="none"/>
        </w:rPr>
        <w:t xml:space="preserve">                                    金额单位：人民币（元）</w:t>
      </w:r>
    </w:p>
    <w:tbl>
      <w:tblPr>
        <w:tblStyle w:val="25"/>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709"/>
        <w:gridCol w:w="709"/>
        <w:gridCol w:w="850"/>
        <w:gridCol w:w="740"/>
        <w:gridCol w:w="740"/>
        <w:gridCol w:w="646"/>
        <w:gridCol w:w="850"/>
        <w:gridCol w:w="850"/>
        <w:gridCol w:w="1000"/>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产品名称</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商标品牌</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型号参数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制造商</w:t>
            </w: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产地</w:t>
            </w: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64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单  价</w:t>
            </w:r>
          </w:p>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总  价</w:t>
            </w:r>
          </w:p>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制造商规模</w:t>
            </w:r>
          </w:p>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（大/中/小/微型）</w:t>
            </w: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p>
        </w:tc>
      </w:tr>
    </w:tbl>
    <w:p>
      <w:pPr>
        <w:rPr>
          <w:rFonts w:ascii="宋体" w:hAnsi="宋体" w:cs="宋体"/>
          <w:color w:val="auto"/>
          <w:spacing w:val="20"/>
          <w:szCs w:val="21"/>
          <w:highlight w:val="none"/>
          <w:u w:val="single"/>
        </w:rPr>
      </w:pPr>
    </w:p>
    <w:p>
      <w:pPr>
        <w:spacing w:line="360" w:lineRule="auto"/>
        <w:rPr>
          <w:rFonts w:ascii="宋体" w:hAnsi="宋体" w:cs="宋体"/>
          <w:color w:val="auto"/>
          <w:spacing w:val="20"/>
          <w:szCs w:val="21"/>
          <w:highlight w:val="none"/>
        </w:rPr>
      </w:pPr>
    </w:p>
    <w:p>
      <w:pPr>
        <w:rPr>
          <w:rFonts w:ascii="宋体" w:hAnsi="宋体" w:cs="宋体"/>
          <w:color w:val="auto"/>
          <w:highlight w:val="none"/>
        </w:rPr>
      </w:pPr>
      <w:bookmarkStart w:id="178" w:name="_Hlk88990717"/>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p>
      <w:pPr>
        <w:jc w:val="left"/>
        <w:rPr>
          <w:rFonts w:ascii="宋体" w:hAnsi="宋体" w:cs="宋体"/>
          <w:color w:val="auto"/>
          <w:szCs w:val="21"/>
          <w:highlight w:val="none"/>
        </w:rPr>
      </w:pPr>
    </w:p>
    <w:p>
      <w:pPr>
        <w:spacing w:line="360" w:lineRule="auto"/>
        <w:rPr>
          <w:rFonts w:ascii="宋体" w:hAnsi="宋体" w:cs="宋体"/>
          <w:color w:val="auto"/>
          <w:spacing w:val="20"/>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p>
    <w:bookmarkEnd w:id="178"/>
    <w:p>
      <w:pPr>
        <w:snapToGrid w:val="0"/>
        <w:spacing w:before="50" w:afterLines="50"/>
        <w:jc w:val="left"/>
        <w:rPr>
          <w:rFonts w:ascii="宋体" w:hAnsi="宋体" w:cs="宋体"/>
          <w:color w:val="auto"/>
          <w:szCs w:val="21"/>
          <w:highlight w:val="none"/>
        </w:rPr>
      </w:pPr>
      <w:r>
        <w:rPr>
          <w:rFonts w:hint="eastAsia" w:ascii="宋体" w:hAnsi="宋体" w:cs="宋体"/>
          <w:color w:val="auto"/>
          <w:szCs w:val="21"/>
          <w:highlight w:val="none"/>
        </w:rPr>
        <w:t>4-2 过低报价合理性的说明。（如有）</w:t>
      </w:r>
    </w:p>
    <w:p>
      <w:pPr>
        <w:spacing w:line="360" w:lineRule="auto"/>
        <w:ind w:firstLine="420" w:firstLineChars="200"/>
        <w:rPr>
          <w:rFonts w:ascii="宋体" w:hAnsi="宋体" w:cs="宋体"/>
          <w:color w:val="auto"/>
          <w:szCs w:val="21"/>
          <w:highlight w:val="none"/>
        </w:rPr>
      </w:pPr>
      <w:bookmarkStart w:id="179" w:name="_Hlk211331776"/>
      <w:r>
        <w:rPr>
          <w:rFonts w:hint="eastAsia" w:ascii="宋体" w:hAnsi="宋体" w:cs="宋体"/>
          <w:color w:val="auto"/>
          <w:szCs w:val="21"/>
          <w:highlight w:val="none"/>
        </w:rPr>
        <w:t>供应商投标报价可能出现第三章投标人须知前附表28.5异常低价审查的情形的，应提前在投标文件中提供相关成本的说明材料。</w:t>
      </w:r>
    </w:p>
    <w:bookmarkEnd w:id="179"/>
    <w:p>
      <w:pPr>
        <w:pStyle w:val="24"/>
        <w:ind w:firstLine="0" w:firstLineChars="0"/>
        <w:rPr>
          <w:rFonts w:ascii="宋体" w:hAnsi="宋体" w:eastAsia="宋体" w:cs="宋体"/>
          <w:color w:val="auto"/>
          <w:szCs w:val="21"/>
          <w:highlight w:val="none"/>
        </w:rPr>
      </w:pPr>
      <w:r>
        <w:rPr>
          <w:rFonts w:hint="eastAsia" w:ascii="宋体" w:hAnsi="宋体" w:eastAsia="宋体" w:cs="宋体"/>
          <w:color w:val="auto"/>
          <w:szCs w:val="21"/>
          <w:highlight w:val="none"/>
        </w:rPr>
        <w:t>评审委员会可以要求供应商就提供货物及服务的直接成本、销售费用、管理费用、财务费用、履约费用（含质</w:t>
      </w:r>
      <w:r>
        <w:rPr>
          <w:rFonts w:hint="eastAsia" w:ascii="宋体" w:hAnsi="宋体" w:eastAsia="宋体" w:cs="宋体"/>
          <w:color w:val="auto"/>
          <w:highlight w:val="none"/>
          <w:shd w:val="clear" w:color="auto" w:fill="FFFFFF"/>
        </w:rPr>
        <w:t>保期内专用耗材、年度维护、软件升级等后续费用明细</w:t>
      </w:r>
      <w:r>
        <w:rPr>
          <w:rFonts w:hint="eastAsia" w:ascii="宋体" w:hAnsi="宋体" w:eastAsia="宋体" w:cs="宋体"/>
          <w:color w:val="auto"/>
          <w:szCs w:val="21"/>
          <w:highlight w:val="none"/>
        </w:rPr>
        <w:t>）、计划利润、税金及附加等成本构成事项进行详细陈述。其中，必须按投标方案中安装调试、验收、人员培训和设备运输的具体响应提供成本计算依据。</w:t>
      </w:r>
    </w:p>
    <w:p>
      <w:pPr>
        <w:rPr>
          <w:rFonts w:ascii="宋体" w:hAnsi="宋体" w:cs="宋体"/>
          <w:color w:val="auto"/>
          <w:szCs w:val="21"/>
          <w:highlight w:val="none"/>
        </w:rPr>
      </w:pPr>
      <w:r>
        <w:rPr>
          <w:rFonts w:hint="eastAsia" w:ascii="宋体" w:hAnsi="宋体" w:cs="宋体"/>
          <w:color w:val="auto"/>
          <w:szCs w:val="21"/>
          <w:highlight w:val="none"/>
        </w:rPr>
        <w:br w:type="page"/>
      </w:r>
    </w:p>
    <w:p>
      <w:pPr>
        <w:pStyle w:val="58"/>
        <w:ind w:firstLine="422"/>
        <w:jc w:val="center"/>
        <w:rPr>
          <w:rFonts w:ascii="宋体" w:hAnsi="宋体" w:cs="宋体"/>
          <w:b/>
          <w:bCs/>
          <w:color w:val="auto"/>
          <w:highlight w:val="none"/>
        </w:rPr>
      </w:pPr>
      <w:r>
        <w:rPr>
          <w:rFonts w:hint="eastAsia" w:ascii="宋体" w:hAnsi="宋体" w:cs="宋体"/>
          <w:b/>
          <w:bCs/>
          <w:color w:val="auto"/>
          <w:sz w:val="30"/>
          <w:szCs w:val="30"/>
          <w:highlight w:val="none"/>
        </w:rPr>
        <w:t>设备投标报价成本核算表</w:t>
      </w:r>
    </w:p>
    <w:p>
      <w:pPr>
        <w:pStyle w:val="58"/>
        <w:jc w:val="center"/>
        <w:rPr>
          <w:rFonts w:ascii="宋体" w:hAnsi="宋体" w:cs="宋体"/>
          <w:color w:val="auto"/>
          <w:highlight w:val="none"/>
        </w:rPr>
      </w:pPr>
    </w:p>
    <w:p>
      <w:pPr>
        <w:pStyle w:val="58"/>
        <w:rPr>
          <w:rFonts w:ascii="宋体" w:hAnsi="宋体" w:cs="宋体"/>
          <w:color w:val="auto"/>
          <w:highlight w:val="none"/>
        </w:rPr>
      </w:pPr>
      <w:r>
        <w:rPr>
          <w:rFonts w:hint="eastAsia" w:ascii="宋体" w:hAnsi="宋体" w:cs="宋体"/>
          <w:color w:val="auto"/>
          <w:highlight w:val="none"/>
        </w:rPr>
        <w:t>供应商名称（盖章）：</w:t>
      </w:r>
      <w:r>
        <w:rPr>
          <w:rFonts w:hint="eastAsia" w:ascii="宋体" w:hAnsi="宋体" w:cs="宋体"/>
          <w:color w:val="auto"/>
          <w:highlight w:val="none"/>
          <w:u w:val="single"/>
        </w:rPr>
        <w:t xml:space="preserve">                   </w:t>
      </w:r>
    </w:p>
    <w:p>
      <w:pPr>
        <w:pStyle w:val="58"/>
        <w:rPr>
          <w:rFonts w:ascii="宋体" w:hAnsi="宋体" w:cs="宋体"/>
          <w:color w:val="auto"/>
          <w:highlight w:val="none"/>
        </w:rPr>
      </w:pPr>
      <w:r>
        <w:rPr>
          <w:rFonts w:hint="eastAsia" w:ascii="宋体" w:hAnsi="宋体" w:cs="宋体"/>
          <w:color w:val="auto"/>
          <w:highlight w:val="none"/>
        </w:rPr>
        <w:t>投标产品型号：</w:t>
      </w:r>
      <w:r>
        <w:rPr>
          <w:rFonts w:hint="eastAsia" w:ascii="宋体" w:hAnsi="宋体" w:cs="宋体"/>
          <w:color w:val="auto"/>
          <w:highlight w:val="none"/>
          <w:u w:val="single"/>
        </w:rPr>
        <w:t xml:space="preserve">                   </w:t>
      </w:r>
    </w:p>
    <w:p>
      <w:pPr>
        <w:pStyle w:val="58"/>
        <w:rPr>
          <w:rFonts w:ascii="宋体" w:hAnsi="宋体" w:cs="宋体"/>
          <w:color w:val="auto"/>
          <w:highlight w:val="none"/>
        </w:rPr>
      </w:pPr>
      <w:r>
        <w:rPr>
          <w:rFonts w:hint="eastAsia" w:ascii="宋体" w:hAnsi="宋体" w:cs="宋体"/>
          <w:color w:val="auto"/>
          <w:highlight w:val="none"/>
        </w:rPr>
        <w:t>核算日期：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pPr>
        <w:pStyle w:val="58"/>
        <w:rPr>
          <w:rFonts w:ascii="宋体" w:hAnsi="宋体" w:cs="宋体"/>
          <w:color w:val="auto"/>
          <w:highlight w:val="none"/>
        </w:rPr>
      </w:pPr>
    </w:p>
    <w:tbl>
      <w:tblPr>
        <w:tblStyle w:val="25"/>
        <w:tblW w:w="84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716"/>
        <w:gridCol w:w="1843"/>
        <w:gridCol w:w="2391"/>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成本类别</w:t>
            </w:r>
          </w:p>
        </w:tc>
        <w:tc>
          <w:tcPr>
            <w:tcW w:w="1843"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金额(元)</w:t>
            </w:r>
          </w:p>
        </w:tc>
        <w:tc>
          <w:tcPr>
            <w:tcW w:w="2391"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佐证材料</w:t>
            </w:r>
          </w:p>
        </w:tc>
        <w:tc>
          <w:tcPr>
            <w:tcW w:w="1542"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直接成本</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销售费用</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管理费用</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财务费用</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履约费用</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计划利润</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税金及附加</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65"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合计成本</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305" w:hRule="atLeast"/>
          <w:tblHeader/>
          <w:jc w:val="center"/>
        </w:trPr>
        <w:tc>
          <w:tcPr>
            <w:tcW w:w="2716" w:type="dxa"/>
            <w:tcMar>
              <w:top w:w="60" w:type="dxa"/>
              <w:left w:w="120" w:type="dxa"/>
              <w:bottom w:w="30" w:type="dxa"/>
              <w:right w:w="120" w:type="dxa"/>
            </w:tcMar>
          </w:tcPr>
          <w:p>
            <w:pPr>
              <w:pStyle w:val="58"/>
              <w:jc w:val="center"/>
              <w:rPr>
                <w:rFonts w:ascii="宋体" w:hAnsi="宋体" w:cs="宋体"/>
                <w:color w:val="auto"/>
                <w:highlight w:val="none"/>
              </w:rPr>
            </w:pPr>
            <w:r>
              <w:rPr>
                <w:rFonts w:hint="eastAsia" w:ascii="宋体" w:hAnsi="宋体" w:cs="宋体"/>
                <w:color w:val="auto"/>
                <w:highlight w:val="none"/>
              </w:rPr>
              <w:t>投标总价</w:t>
            </w:r>
          </w:p>
        </w:tc>
        <w:tc>
          <w:tcPr>
            <w:tcW w:w="1843" w:type="dxa"/>
            <w:tcMar>
              <w:top w:w="60" w:type="dxa"/>
              <w:left w:w="120" w:type="dxa"/>
              <w:bottom w:w="30" w:type="dxa"/>
              <w:right w:w="120" w:type="dxa"/>
            </w:tcMar>
          </w:tcPr>
          <w:p>
            <w:pPr>
              <w:pStyle w:val="58"/>
              <w:rPr>
                <w:rFonts w:ascii="宋体" w:hAnsi="宋体" w:cs="宋体"/>
                <w:color w:val="auto"/>
                <w:highlight w:val="none"/>
              </w:rPr>
            </w:pPr>
          </w:p>
        </w:tc>
        <w:tc>
          <w:tcPr>
            <w:tcW w:w="2391" w:type="dxa"/>
            <w:tcMar>
              <w:top w:w="60" w:type="dxa"/>
              <w:left w:w="120" w:type="dxa"/>
              <w:bottom w:w="30" w:type="dxa"/>
              <w:right w:w="120" w:type="dxa"/>
            </w:tcMar>
          </w:tcPr>
          <w:p>
            <w:pPr>
              <w:pStyle w:val="58"/>
              <w:rPr>
                <w:rFonts w:ascii="宋体" w:hAnsi="宋体" w:cs="宋体"/>
                <w:color w:val="auto"/>
                <w:highlight w:val="none"/>
              </w:rPr>
            </w:pPr>
          </w:p>
        </w:tc>
        <w:tc>
          <w:tcPr>
            <w:tcW w:w="1542" w:type="dxa"/>
            <w:tcMar>
              <w:top w:w="60" w:type="dxa"/>
              <w:left w:w="120" w:type="dxa"/>
              <w:bottom w:w="30" w:type="dxa"/>
              <w:right w:w="120" w:type="dxa"/>
            </w:tcMar>
          </w:tcPr>
          <w:p>
            <w:pPr>
              <w:pStyle w:val="58"/>
              <w:rPr>
                <w:rFonts w:ascii="宋体" w:hAnsi="宋体" w:cs="宋体"/>
                <w:color w:val="auto"/>
                <w:highlight w:val="none"/>
              </w:rPr>
            </w:pPr>
          </w:p>
        </w:tc>
      </w:tr>
    </w:tbl>
    <w:p>
      <w:pPr>
        <w:pStyle w:val="24"/>
        <w:ind w:firstLine="0" w:firstLineChars="0"/>
        <w:rPr>
          <w:rFonts w:ascii="宋体" w:hAnsi="宋体" w:eastAsia="宋体" w:cs="宋体"/>
          <w:color w:val="auto"/>
          <w:szCs w:val="21"/>
          <w:highlight w:val="none"/>
        </w:rPr>
      </w:pPr>
    </w:p>
    <w:bookmarkEnd w:id="175"/>
    <w:bookmarkEnd w:id="176"/>
    <w:p>
      <w:pPr>
        <w:spacing w:line="360" w:lineRule="auto"/>
        <w:outlineLvl w:val="1"/>
        <w:rPr>
          <w:rFonts w:ascii="宋体" w:hAnsi="宋体" w:cs="宋体"/>
          <w:b/>
          <w:color w:val="auto"/>
          <w:sz w:val="28"/>
          <w:szCs w:val="28"/>
          <w:highlight w:val="none"/>
        </w:rPr>
      </w:pPr>
      <w:bookmarkStart w:id="180" w:name="_Toc19686837"/>
      <w:bookmarkEnd w:id="180"/>
      <w:r>
        <w:rPr>
          <w:rFonts w:hint="eastAsia" w:ascii="宋体" w:hAnsi="宋体" w:cs="宋体"/>
          <w:b/>
          <w:bCs/>
          <w:color w:val="auto"/>
          <w:sz w:val="24"/>
          <w:highlight w:val="none"/>
        </w:rPr>
        <w:br w:type="page"/>
      </w:r>
      <w:bookmarkStart w:id="181" w:name="_Toc11232"/>
      <w:r>
        <w:rPr>
          <w:rFonts w:hint="eastAsia" w:ascii="宋体" w:hAnsi="宋体" w:cs="宋体"/>
          <w:b/>
          <w:color w:val="auto"/>
          <w:sz w:val="28"/>
          <w:szCs w:val="28"/>
          <w:highlight w:val="none"/>
        </w:rPr>
        <w:t>二、资格证明文件格式</w:t>
      </w:r>
      <w:bookmarkEnd w:id="181"/>
    </w:p>
    <w:p>
      <w:pPr>
        <w:numPr>
          <w:ilvl w:val="2"/>
          <w:numId w:val="10"/>
        </w:numPr>
        <w:snapToGrid w:val="0"/>
        <w:spacing w:beforeLines="50" w:after="50" w:line="360" w:lineRule="auto"/>
        <w:ind w:left="0" w:firstLine="0"/>
        <w:jc w:val="left"/>
        <w:outlineLvl w:val="2"/>
        <w:rPr>
          <w:rFonts w:ascii="宋体" w:hAnsi="宋体" w:cs="宋体"/>
          <w:b/>
          <w:color w:val="auto"/>
          <w:sz w:val="24"/>
          <w:highlight w:val="none"/>
        </w:rPr>
      </w:pPr>
      <w:r>
        <w:rPr>
          <w:rFonts w:hint="eastAsia" w:ascii="宋体" w:hAnsi="宋体" w:cs="宋体"/>
          <w:b/>
          <w:color w:val="auto"/>
          <w:sz w:val="24"/>
          <w:highlight w:val="none"/>
        </w:rPr>
        <w:t xml:space="preserve">资格证明文件封面格式： </w:t>
      </w:r>
    </w:p>
    <w:p>
      <w:pPr>
        <w:snapToGrid w:val="0"/>
        <w:spacing w:beforeLines="50" w:after="50" w:line="360" w:lineRule="auto"/>
        <w:jc w:val="center"/>
        <w:rPr>
          <w:rFonts w:ascii="宋体" w:hAnsi="宋体" w:cs="宋体"/>
          <w:bCs/>
          <w:color w:val="auto"/>
          <w:sz w:val="48"/>
          <w:szCs w:val="48"/>
          <w:highlight w:val="none"/>
        </w:rPr>
      </w:pPr>
    </w:p>
    <w:p>
      <w:pPr>
        <w:snapToGrid w:val="0"/>
        <w:spacing w:beforeLines="50" w:after="50" w:line="360" w:lineRule="auto"/>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pPr>
        <w:pStyle w:val="2"/>
        <w:spacing w:line="360" w:lineRule="auto"/>
        <w:rPr>
          <w:rFonts w:ascii="宋体" w:hAnsi="宋体" w:cs="宋体"/>
          <w:color w:val="auto"/>
          <w:highlight w:val="none"/>
        </w:rPr>
      </w:pPr>
    </w:p>
    <w:p>
      <w:pPr>
        <w:snapToGrid w:val="0"/>
        <w:spacing w:beforeLines="50" w:after="50"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w:t>
      </w: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pPr>
        <w:snapToGrid w:val="0"/>
        <w:spacing w:beforeLines="50" w:after="50" w:line="360" w:lineRule="auto"/>
        <w:ind w:firstLine="540" w:firstLineChars="225"/>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pPr>
        <w:snapToGrid w:val="0"/>
        <w:spacing w:beforeLines="50" w:after="50" w:line="360" w:lineRule="auto"/>
        <w:ind w:firstLine="540" w:firstLineChars="225"/>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r>
        <w:rPr>
          <w:rFonts w:hint="eastAsia" w:ascii="宋体" w:hAnsi="宋体" w:cs="宋体"/>
          <w:color w:val="auto"/>
          <w:sz w:val="24"/>
          <w:highlight w:val="none"/>
        </w:rPr>
        <w:t>（如有）</w:t>
      </w:r>
      <w:r>
        <w:rPr>
          <w:rFonts w:hint="eastAsia" w:ascii="宋体" w:hAnsi="宋体" w:cs="宋体"/>
          <w:bCs/>
          <w:color w:val="auto"/>
          <w:sz w:val="24"/>
          <w:highlight w:val="none"/>
        </w:rPr>
        <w:t>：</w:t>
      </w:r>
    </w:p>
    <w:p>
      <w:pPr>
        <w:pStyle w:val="8"/>
        <w:snapToGrid w:val="0"/>
        <w:spacing w:before="50" w:after="50" w:line="360" w:lineRule="auto"/>
        <w:ind w:firstLine="540" w:firstLineChars="225"/>
        <w:rPr>
          <w:rFonts w:ascii="宋体" w:hAnsi="宋体" w:cs="宋体"/>
          <w:bCs/>
          <w:color w:val="auto"/>
          <w:sz w:val="24"/>
          <w:szCs w:val="24"/>
          <w:highlight w:val="none"/>
        </w:rPr>
      </w:pPr>
    </w:p>
    <w:p>
      <w:pPr>
        <w:pStyle w:val="8"/>
        <w:snapToGrid w:val="0"/>
        <w:spacing w:before="50" w:after="50"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pPr>
        <w:pStyle w:val="8"/>
        <w:snapToGrid w:val="0"/>
        <w:spacing w:before="50" w:after="50" w:line="360" w:lineRule="auto"/>
        <w:ind w:firstLine="540" w:firstLineChars="225"/>
        <w:rPr>
          <w:rFonts w:ascii="宋体" w:hAnsi="宋体" w:cs="宋体"/>
          <w:bCs/>
          <w:color w:val="auto"/>
          <w:sz w:val="24"/>
          <w:szCs w:val="24"/>
          <w:highlight w:val="none"/>
        </w:rPr>
      </w:pPr>
    </w:p>
    <w:p>
      <w:pPr>
        <w:pStyle w:val="8"/>
        <w:snapToGrid w:val="0"/>
        <w:spacing w:before="50" w:after="50" w:line="360" w:lineRule="auto"/>
        <w:ind w:firstLine="960" w:firstLineChars="400"/>
        <w:rPr>
          <w:rFonts w:ascii="宋体" w:hAnsi="宋体" w:cs="宋体"/>
          <w:bCs/>
          <w:color w:val="auto"/>
          <w:sz w:val="24"/>
          <w:szCs w:val="24"/>
          <w:highlight w:val="none"/>
        </w:rPr>
      </w:pPr>
    </w:p>
    <w:p>
      <w:pPr>
        <w:snapToGrid w:val="0"/>
        <w:spacing w:beforeLines="50" w:after="50"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年  月  日</w:t>
      </w:r>
    </w:p>
    <w:p>
      <w:pPr>
        <w:snapToGrid w:val="0"/>
        <w:spacing w:beforeLines="50" w:after="50" w:line="360" w:lineRule="auto"/>
        <w:rPr>
          <w:rFonts w:ascii="宋体" w:hAnsi="宋体" w:cs="宋体"/>
          <w:color w:val="auto"/>
          <w:sz w:val="24"/>
          <w:szCs w:val="20"/>
          <w:highlight w:val="none"/>
        </w:rPr>
      </w:pPr>
    </w:p>
    <w:p>
      <w:pPr>
        <w:numPr>
          <w:ilvl w:val="2"/>
          <w:numId w:val="10"/>
        </w:numPr>
        <w:snapToGrid w:val="0"/>
        <w:spacing w:beforeLines="50" w:after="50" w:line="360" w:lineRule="auto"/>
        <w:ind w:left="0" w:firstLine="0"/>
        <w:jc w:val="left"/>
        <w:outlineLvl w:val="2"/>
        <w:rPr>
          <w:rFonts w:ascii="宋体" w:hAnsi="宋体" w:cs="宋体"/>
          <w:color w:val="auto"/>
          <w:sz w:val="24"/>
          <w:szCs w:val="20"/>
          <w:highlight w:val="none"/>
        </w:rPr>
      </w:pPr>
      <w:r>
        <w:rPr>
          <w:rFonts w:hint="eastAsia" w:ascii="宋体" w:hAnsi="宋体" w:cs="宋体"/>
          <w:b/>
          <w:bCs/>
          <w:color w:val="auto"/>
          <w:sz w:val="24"/>
          <w:highlight w:val="none"/>
        </w:rPr>
        <w:t>资格证明文件目录</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pPr>
        <w:snapToGrid w:val="0"/>
        <w:spacing w:before="50" w:afterLines="50" w:line="360" w:lineRule="auto"/>
        <w:jc w:val="left"/>
        <w:rPr>
          <w:rFonts w:ascii="宋体" w:hAnsi="宋体" w:cs="宋体"/>
          <w:color w:val="auto"/>
          <w:sz w:val="24"/>
          <w:highlight w:val="none"/>
        </w:rPr>
      </w:pPr>
    </w:p>
    <w:p>
      <w:pPr>
        <w:snapToGrid w:val="0"/>
        <w:spacing w:before="50" w:afterLines="50" w:line="360" w:lineRule="auto"/>
        <w:jc w:val="left"/>
        <w:rPr>
          <w:rFonts w:ascii="宋体" w:hAnsi="宋体" w:cs="宋体"/>
          <w:color w:val="auto"/>
          <w:sz w:val="24"/>
          <w:highlight w:val="none"/>
        </w:rPr>
      </w:pPr>
    </w:p>
    <w:p>
      <w:pPr>
        <w:numPr>
          <w:ilvl w:val="2"/>
          <w:numId w:val="10"/>
        </w:numPr>
        <w:snapToGrid w:val="0"/>
        <w:spacing w:beforeLines="50" w:after="50" w:line="360" w:lineRule="auto"/>
        <w:ind w:left="0" w:firstLine="0"/>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8"/>
          <w:szCs w:val="28"/>
          <w:highlight w:val="none"/>
        </w:rPr>
        <w:t>投标人直接控股、管理关系信息表</w:t>
      </w:r>
    </w:p>
    <w:p>
      <w:pPr>
        <w:snapToGrid w:val="0"/>
        <w:spacing w:before="50" w:afterLines="50" w:line="360" w:lineRule="auto"/>
        <w:jc w:val="center"/>
        <w:rPr>
          <w:rFonts w:ascii="宋体" w:hAnsi="宋体" w:cs="宋体"/>
          <w:b/>
          <w:color w:val="auto"/>
          <w:sz w:val="28"/>
          <w:szCs w:val="28"/>
          <w:highlight w:val="none"/>
        </w:rPr>
      </w:pPr>
    </w:p>
    <w:p>
      <w:pPr>
        <w:snapToGrid w:val="0"/>
        <w:spacing w:before="50" w:afterLines="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投标人直接控股股东信息表</w:t>
      </w:r>
    </w:p>
    <w:tbl>
      <w:tblPr>
        <w:tblStyle w:val="2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4006"/>
        <w:gridCol w:w="1134"/>
      </w:tblGrid>
      <w:tr>
        <w:tblPrEx>
          <w:shd w:val="clear" w:color="auto" w:fill="FBFBFB"/>
          <w:tblLayout w:type="fixed"/>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0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13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3.供应商不存在直接控股股东的，则在“</w:t>
      </w:r>
      <w:r>
        <w:rPr>
          <w:rFonts w:hint="eastAsia" w:ascii="宋体" w:hAnsi="宋体" w:cs="宋体"/>
          <w:b/>
          <w:bCs/>
          <w:color w:val="auto"/>
          <w:kern w:val="0"/>
          <w:sz w:val="24"/>
          <w:highlight w:val="none"/>
        </w:rPr>
        <w:t>直接控股股东名称</w:t>
      </w:r>
      <w:r>
        <w:rPr>
          <w:rFonts w:hint="eastAsia" w:ascii="宋体" w:hAnsi="宋体" w:cs="宋体"/>
          <w:color w:val="auto"/>
          <w:sz w:val="24"/>
          <w:highlight w:val="none"/>
        </w:rPr>
        <w:t>”中填“无”。</w:t>
      </w:r>
    </w:p>
    <w:p>
      <w:pPr>
        <w:snapToGrid w:val="0"/>
        <w:spacing w:line="360" w:lineRule="auto"/>
        <w:jc w:val="left"/>
        <w:rPr>
          <w:rFonts w:ascii="宋体" w:hAnsi="宋体" w:cs="宋体"/>
          <w:color w:val="auto"/>
          <w:sz w:val="24"/>
          <w:highlight w:val="none"/>
        </w:rPr>
      </w:pPr>
    </w:p>
    <w:p>
      <w:pPr>
        <w:snapToGrid w:val="0"/>
        <w:spacing w:line="360" w:lineRule="auto"/>
        <w:ind w:left="-2" w:leftChars="-1" w:right="-817" w:rightChars="-389"/>
        <w:rPr>
          <w:rFonts w:ascii="宋体" w:hAnsi="宋体" w:cs="宋体"/>
          <w:color w:val="auto"/>
          <w:sz w:val="24"/>
          <w:highlight w:val="none"/>
        </w:rPr>
      </w:pPr>
      <w:r>
        <w:rPr>
          <w:rFonts w:hint="eastAsia" w:ascii="宋体" w:hAnsi="宋体" w:cs="宋体"/>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pPr>
        <w:snapToGrid w:val="0"/>
        <w:spacing w:line="360" w:lineRule="auto"/>
        <w:jc w:val="left"/>
        <w:rPr>
          <w:rFonts w:ascii="宋体" w:hAnsi="宋体" w:cs="宋体"/>
          <w:color w:val="auto"/>
          <w:szCs w:val="21"/>
          <w:highlight w:val="none"/>
        </w:rPr>
      </w:pPr>
      <w:r>
        <w:rPr>
          <w:rFonts w:hint="eastAsia" w:ascii="宋体" w:hAnsi="宋体" w:cs="宋体"/>
          <w:color w:val="auto"/>
          <w:sz w:val="24"/>
          <w:highlight w:val="none"/>
        </w:rPr>
        <w:t xml:space="preserve">                                    日期：    年   月   日</w:t>
      </w:r>
    </w:p>
    <w:p>
      <w:pPr>
        <w:snapToGrid w:val="0"/>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投标人直接管理关系信息表</w:t>
      </w:r>
    </w:p>
    <w:tbl>
      <w:tblPr>
        <w:tblStyle w:val="25"/>
        <w:tblW w:w="9652" w:type="dxa"/>
        <w:tblInd w:w="0" w:type="dxa"/>
        <w:shd w:val="clear" w:color="auto" w:fill="FBFBFB"/>
        <w:tblLayout w:type="fixed"/>
        <w:tblCellMar>
          <w:top w:w="0" w:type="dxa"/>
          <w:left w:w="0" w:type="dxa"/>
          <w:bottom w:w="0" w:type="dxa"/>
          <w:right w:w="0" w:type="dxa"/>
        </w:tblCellMar>
      </w:tblPr>
      <w:tblGrid>
        <w:gridCol w:w="1005"/>
        <w:gridCol w:w="2659"/>
        <w:gridCol w:w="3437"/>
        <w:gridCol w:w="2551"/>
      </w:tblGrid>
      <w:tr>
        <w:tblPrEx>
          <w:shd w:val="clear" w:color="auto" w:fill="FBFBFB"/>
          <w:tblLayout w:type="fixed"/>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43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55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宋体" w:hAnsi="宋体" w:cs="宋体"/>
                <w:color w:val="auto"/>
                <w:kern w:val="0"/>
                <w:sz w:val="24"/>
                <w:highlight w:val="none"/>
              </w:rPr>
            </w:pPr>
          </w:p>
        </w:tc>
      </w:tr>
    </w:tbl>
    <w:p>
      <w:pPr>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3.供应商不存在直接管理关系的，则在“</w:t>
      </w:r>
      <w:r>
        <w:rPr>
          <w:rFonts w:hint="eastAsia" w:ascii="宋体" w:hAnsi="宋体" w:cs="宋体"/>
          <w:b/>
          <w:bCs/>
          <w:color w:val="auto"/>
          <w:kern w:val="0"/>
          <w:sz w:val="24"/>
          <w:highlight w:val="none"/>
        </w:rPr>
        <w:t>直接管理关系单位名称</w:t>
      </w:r>
      <w:r>
        <w:rPr>
          <w:rFonts w:hint="eastAsia" w:ascii="宋体" w:hAnsi="宋体" w:cs="宋体"/>
          <w:color w:val="auto"/>
          <w:sz w:val="24"/>
          <w:highlight w:val="none"/>
        </w:rPr>
        <w:t>”中填“无”。</w:t>
      </w:r>
    </w:p>
    <w:p>
      <w:pPr>
        <w:snapToGrid w:val="0"/>
        <w:spacing w:line="360" w:lineRule="auto"/>
        <w:jc w:val="left"/>
        <w:rPr>
          <w:rFonts w:ascii="宋体" w:hAnsi="宋体" w:cs="宋体"/>
          <w:color w:val="auto"/>
          <w:sz w:val="24"/>
          <w:highlight w:val="none"/>
        </w:rPr>
      </w:pPr>
    </w:p>
    <w:p>
      <w:pPr>
        <w:snapToGrid w:val="0"/>
        <w:spacing w:line="360" w:lineRule="auto"/>
        <w:jc w:val="left"/>
        <w:rPr>
          <w:rFonts w:ascii="宋体" w:hAnsi="宋体" w:cs="宋体"/>
          <w:color w:val="auto"/>
          <w:sz w:val="24"/>
          <w:highlight w:val="none"/>
        </w:rPr>
      </w:pPr>
    </w:p>
    <w:p>
      <w:pPr>
        <w:snapToGrid w:val="0"/>
        <w:spacing w:line="360" w:lineRule="auto"/>
        <w:jc w:val="left"/>
        <w:rPr>
          <w:rFonts w:ascii="宋体" w:hAnsi="宋体" w:cs="宋体"/>
          <w:color w:val="auto"/>
          <w:sz w:val="24"/>
          <w:highlight w:val="none"/>
        </w:rPr>
      </w:pPr>
    </w:p>
    <w:p>
      <w:pPr>
        <w:snapToGrid w:val="0"/>
        <w:spacing w:line="360" w:lineRule="auto"/>
        <w:jc w:val="left"/>
        <w:rPr>
          <w:rFonts w:ascii="宋体" w:hAnsi="宋体" w:cs="宋体"/>
          <w:color w:val="auto"/>
          <w:sz w:val="24"/>
          <w:highlight w:val="none"/>
        </w:rPr>
      </w:pPr>
    </w:p>
    <w:p>
      <w:pPr>
        <w:snapToGrid w:val="0"/>
        <w:spacing w:line="360" w:lineRule="auto"/>
        <w:ind w:left="-2" w:leftChars="-1" w:right="-817" w:rightChars="-389"/>
        <w:rPr>
          <w:rFonts w:ascii="宋体" w:hAnsi="宋体" w:cs="宋体"/>
          <w:color w:val="auto"/>
          <w:sz w:val="24"/>
          <w:highlight w:val="none"/>
        </w:rPr>
      </w:pPr>
      <w:r>
        <w:rPr>
          <w:rFonts w:hint="eastAsia" w:ascii="宋体" w:hAnsi="宋体" w:cs="宋体"/>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pPr>
        <w:snapToGrid w:val="0"/>
        <w:spacing w:line="360" w:lineRule="auto"/>
        <w:ind w:right="480" w:firstLine="240" w:firstLineChars="100"/>
        <w:jc w:val="left"/>
        <w:rPr>
          <w:rFonts w:ascii="宋体" w:hAnsi="宋体" w:cs="宋体"/>
          <w:color w:val="auto"/>
          <w:szCs w:val="21"/>
          <w:highlight w:val="none"/>
        </w:rPr>
      </w:pPr>
      <w:r>
        <w:rPr>
          <w:rFonts w:hint="eastAsia" w:ascii="宋体" w:hAnsi="宋体" w:cs="宋体"/>
          <w:color w:val="auto"/>
          <w:sz w:val="24"/>
          <w:highlight w:val="none"/>
        </w:rPr>
        <w:t xml:space="preserve">                                日期：    年   月   日</w:t>
      </w:r>
    </w:p>
    <w:p>
      <w:pPr>
        <w:snapToGrid w:val="0"/>
        <w:spacing w:beforeLines="50" w:after="50" w:line="360" w:lineRule="auto"/>
        <w:jc w:val="left"/>
        <w:rPr>
          <w:rFonts w:ascii="宋体" w:hAnsi="宋体" w:cs="宋体"/>
          <w:b/>
          <w:color w:val="auto"/>
          <w:sz w:val="24"/>
          <w:szCs w:val="20"/>
          <w:highlight w:val="none"/>
        </w:rPr>
      </w:pPr>
    </w:p>
    <w:p>
      <w:pPr>
        <w:numPr>
          <w:ilvl w:val="2"/>
          <w:numId w:val="10"/>
        </w:numPr>
        <w:snapToGrid w:val="0"/>
        <w:spacing w:beforeLines="50" w:after="50" w:line="360" w:lineRule="auto"/>
        <w:ind w:left="0" w:firstLine="0"/>
        <w:jc w:val="left"/>
        <w:outlineLvl w:val="2"/>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投标声明</w:t>
      </w:r>
    </w:p>
    <w:p>
      <w:pPr>
        <w:snapToGrid w:val="0"/>
        <w:spacing w:before="50" w:afterLines="50" w:line="360" w:lineRule="auto"/>
        <w:jc w:val="left"/>
        <w:rPr>
          <w:rFonts w:ascii="宋体" w:hAnsi="宋体" w:cs="宋体"/>
          <w:color w:val="auto"/>
          <w:highlight w:val="none"/>
        </w:rPr>
      </w:pPr>
    </w:p>
    <w:p>
      <w:pPr>
        <w:snapToGrid w:val="0"/>
        <w:spacing w:before="50" w:afterLines="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投标声明</w:t>
      </w:r>
    </w:p>
    <w:p>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（采购人名称）：</w:t>
      </w:r>
    </w:p>
    <w:p>
      <w:pPr>
        <w:spacing w:line="360" w:lineRule="auto"/>
        <w:ind w:firstLine="523" w:firstLineChars="218"/>
        <w:contextualSpacing/>
        <w:jc w:val="left"/>
        <w:rPr>
          <w:rFonts w:ascii="宋体" w:hAnsi="宋体" w:cs="宋体"/>
          <w:color w:val="auto"/>
          <w:sz w:val="24"/>
          <w:highlight w:val="none"/>
        </w:rPr>
      </w:pPr>
      <w:r>
        <w:rPr>
          <w:rFonts w:hint="eastAsia" w:ascii="宋体" w:hAnsi="宋体" w:cs="宋体"/>
          <w:color w:val="auto"/>
          <w:sz w:val="24"/>
          <w:highlight w:val="none"/>
        </w:rPr>
        <w:t>我方参加贵单位组织项目（项目编号：）的政府采购活动。我方在此郑重声明：</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 我方承诺符合《中华人民共和国政府采购法》第二十二条规定：</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（一）具有独立承担民事责任的能力；</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（五）参加政府采购活动前三年内，在经营活动中没有重大违法记录；</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（六）法律、行政法规规定的其他条件。</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4.以上事项如有虚假或者隐瞒，我方愿意承担一切后果，并不再寻求任何旨在减轻或者免除法律责任的辩解。</w:t>
      </w:r>
    </w:p>
    <w:p>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 xml:space="preserve">    特此承诺。</w:t>
      </w:r>
    </w:p>
    <w:p>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 xml:space="preserve">                     法定代表人（签字或者盖章或者电子签名）：</w:t>
      </w:r>
    </w:p>
    <w:p>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pPr>
        <w:spacing w:line="360" w:lineRule="auto"/>
        <w:contextualSpacing/>
        <w:jc w:val="left"/>
        <w:rPr>
          <w:rFonts w:ascii="宋体" w:hAnsi="宋体" w:cs="宋体"/>
          <w:color w:val="auto"/>
          <w:highlight w:val="none"/>
        </w:rPr>
      </w:pPr>
      <w:r>
        <w:rPr>
          <w:rFonts w:hint="eastAsia" w:ascii="宋体" w:hAnsi="宋体" w:cs="宋体"/>
          <w:color w:val="auto"/>
          <w:sz w:val="24"/>
          <w:highlight w:val="none"/>
        </w:rPr>
        <w:t xml:space="preserve">                                                  年    月    日</w:t>
      </w:r>
    </w:p>
    <w:p>
      <w:pPr>
        <w:spacing w:line="360" w:lineRule="auto"/>
        <w:contextualSpacing/>
        <w:rPr>
          <w:rFonts w:ascii="宋体" w:hAnsi="宋体" w:cs="宋体"/>
          <w:b/>
          <w:color w:val="auto"/>
          <w:sz w:val="24"/>
          <w:highlight w:val="none"/>
        </w:rPr>
      </w:pPr>
      <w:bookmarkStart w:id="182" w:name="_Toc19686838"/>
      <w:r>
        <w:rPr>
          <w:rFonts w:hint="eastAsia" w:ascii="宋体" w:hAnsi="宋体" w:cs="宋体"/>
          <w:b/>
          <w:color w:val="auto"/>
          <w:sz w:val="24"/>
          <w:highlight w:val="none"/>
        </w:rPr>
        <w:t>注：1.如为联合体投标，盖章处须加盖联合体牵头人电子签章并由联合体各方法定代表人分别签字或者电子签名，否则投标无效。</w:t>
      </w:r>
    </w:p>
    <w:p>
      <w:pPr>
        <w:spacing w:line="360" w:lineRule="auto"/>
        <w:contextualSpacing/>
        <w:jc w:val="left"/>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sz w:val="24"/>
          <w:highlight w:val="none"/>
        </w:rPr>
        <w:t>.法定代表人必须在授权委托书上亲笔签字或者盖章或者电子签名，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bookmarkEnd w:id="182"/>
    <w:p>
      <w:pPr>
        <w:spacing w:line="360" w:lineRule="auto"/>
        <w:outlineLvl w:val="1"/>
        <w:rPr>
          <w:rFonts w:ascii="宋体" w:hAnsi="宋体" w:cs="宋体"/>
          <w:b/>
          <w:color w:val="auto"/>
          <w:sz w:val="28"/>
          <w:szCs w:val="28"/>
          <w:highlight w:val="none"/>
        </w:rPr>
      </w:pPr>
      <w:r>
        <w:rPr>
          <w:rFonts w:hint="eastAsia" w:ascii="宋体" w:hAnsi="宋体" w:cs="宋体"/>
          <w:b/>
          <w:color w:val="auto"/>
          <w:sz w:val="28"/>
          <w:szCs w:val="28"/>
          <w:highlight w:val="none"/>
        </w:rPr>
        <w:br w:type="page"/>
      </w:r>
      <w:bookmarkStart w:id="183" w:name="_Toc14775"/>
      <w:r>
        <w:rPr>
          <w:rFonts w:hint="eastAsia" w:ascii="宋体" w:hAnsi="宋体" w:cs="宋体"/>
          <w:b/>
          <w:color w:val="auto"/>
          <w:sz w:val="28"/>
          <w:szCs w:val="28"/>
          <w:highlight w:val="none"/>
        </w:rPr>
        <w:t>三、商务文件格式</w:t>
      </w:r>
      <w:bookmarkEnd w:id="183"/>
    </w:p>
    <w:p>
      <w:pPr>
        <w:snapToGrid w:val="0"/>
        <w:spacing w:beforeLines="50" w:after="50" w:line="360" w:lineRule="auto"/>
        <w:jc w:val="left"/>
        <w:outlineLvl w:val="2"/>
        <w:rPr>
          <w:rFonts w:ascii="宋体" w:hAnsi="宋体" w:cs="宋体"/>
          <w:b/>
          <w:color w:val="auto"/>
          <w:sz w:val="24"/>
          <w:highlight w:val="none"/>
        </w:rPr>
      </w:pPr>
      <w:r>
        <w:rPr>
          <w:rFonts w:hint="eastAsia" w:ascii="宋体" w:hAnsi="宋体" w:cs="宋体"/>
          <w:b/>
          <w:color w:val="auto"/>
          <w:sz w:val="24"/>
          <w:highlight w:val="none"/>
        </w:rPr>
        <w:t xml:space="preserve">1.商务文件封面格式： </w:t>
      </w:r>
    </w:p>
    <w:p>
      <w:pPr>
        <w:snapToGrid w:val="0"/>
        <w:spacing w:beforeLines="50" w:after="50" w:line="360" w:lineRule="auto"/>
        <w:jc w:val="center"/>
        <w:rPr>
          <w:rFonts w:ascii="宋体" w:hAnsi="宋体" w:cs="宋体"/>
          <w:bCs/>
          <w:color w:val="auto"/>
          <w:sz w:val="48"/>
          <w:szCs w:val="48"/>
          <w:highlight w:val="none"/>
        </w:rPr>
      </w:pPr>
    </w:p>
    <w:p>
      <w:pPr>
        <w:snapToGrid w:val="0"/>
        <w:spacing w:beforeLines="50" w:after="50" w:line="360" w:lineRule="auto"/>
        <w:jc w:val="center"/>
        <w:rPr>
          <w:rFonts w:ascii="宋体" w:hAnsi="宋体" w:cs="宋体"/>
          <w:color w:val="auto"/>
          <w:sz w:val="24"/>
          <w:highlight w:val="none"/>
        </w:rPr>
      </w:pPr>
      <w:r>
        <w:rPr>
          <w:rFonts w:hint="eastAsia" w:ascii="宋体" w:hAnsi="宋体" w:cs="宋体"/>
          <w:bCs/>
          <w:color w:val="auto"/>
          <w:sz w:val="48"/>
          <w:szCs w:val="48"/>
          <w:highlight w:val="none"/>
        </w:rPr>
        <w:t>电子投标文件</w:t>
      </w:r>
    </w:p>
    <w:p>
      <w:pPr>
        <w:snapToGrid w:val="0"/>
        <w:spacing w:beforeLines="50" w:after="50" w:line="360" w:lineRule="auto"/>
        <w:jc w:val="center"/>
        <w:rPr>
          <w:rFonts w:ascii="宋体" w:hAnsi="宋体" w:cs="宋体"/>
          <w:bCs/>
          <w:color w:val="auto"/>
          <w:sz w:val="44"/>
          <w:szCs w:val="44"/>
          <w:highlight w:val="none"/>
        </w:rPr>
      </w:pPr>
    </w:p>
    <w:p>
      <w:pPr>
        <w:snapToGrid w:val="0"/>
        <w:spacing w:beforeLines="50" w:after="50" w:line="360" w:lineRule="auto"/>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文  件</w:t>
      </w: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项目名称：</w:t>
      </w:r>
    </w:p>
    <w:p>
      <w:pPr>
        <w:snapToGrid w:val="0"/>
        <w:spacing w:beforeLines="50" w:after="50" w:line="360" w:lineRule="auto"/>
        <w:ind w:firstLine="540" w:firstLineChars="225"/>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p>
    <w:p>
      <w:pPr>
        <w:snapToGrid w:val="0"/>
        <w:spacing w:beforeLines="50" w:after="50" w:line="360" w:lineRule="auto"/>
        <w:ind w:firstLine="540" w:firstLineChars="225"/>
        <w:rPr>
          <w:rFonts w:ascii="宋体" w:hAnsi="宋体" w:cs="宋体"/>
          <w:bCs/>
          <w:color w:val="auto"/>
          <w:sz w:val="24"/>
          <w:szCs w:val="20"/>
          <w:highlight w:val="none"/>
        </w:rPr>
      </w:pPr>
    </w:p>
    <w:p>
      <w:pPr>
        <w:snapToGrid w:val="0"/>
        <w:spacing w:beforeLines="50" w:after="50"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r>
        <w:rPr>
          <w:rFonts w:hint="eastAsia" w:ascii="宋体" w:hAnsi="宋体" w:cs="宋体"/>
          <w:color w:val="auto"/>
          <w:sz w:val="24"/>
          <w:highlight w:val="none"/>
        </w:rPr>
        <w:t>（如有）</w:t>
      </w:r>
      <w:r>
        <w:rPr>
          <w:rFonts w:hint="eastAsia" w:ascii="宋体" w:hAnsi="宋体" w:cs="宋体"/>
          <w:bCs/>
          <w:color w:val="auto"/>
          <w:sz w:val="24"/>
          <w:highlight w:val="none"/>
        </w:rPr>
        <w:t>：</w:t>
      </w:r>
    </w:p>
    <w:p>
      <w:pPr>
        <w:snapToGrid w:val="0"/>
        <w:spacing w:beforeLines="50" w:after="50" w:line="360" w:lineRule="auto"/>
        <w:ind w:firstLine="540" w:firstLineChars="225"/>
        <w:rPr>
          <w:rFonts w:ascii="宋体" w:hAnsi="宋体" w:cs="宋体"/>
          <w:bCs/>
          <w:color w:val="auto"/>
          <w:sz w:val="24"/>
          <w:szCs w:val="20"/>
          <w:highlight w:val="none"/>
        </w:rPr>
      </w:pPr>
    </w:p>
    <w:p>
      <w:pPr>
        <w:pStyle w:val="8"/>
        <w:snapToGrid w:val="0"/>
        <w:spacing w:before="50" w:after="50"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pPr>
        <w:pStyle w:val="8"/>
        <w:snapToGrid w:val="0"/>
        <w:spacing w:before="50" w:after="50" w:line="360" w:lineRule="auto"/>
        <w:ind w:firstLine="540" w:firstLineChars="225"/>
        <w:rPr>
          <w:rFonts w:ascii="宋体" w:hAnsi="宋体" w:cs="宋体"/>
          <w:bCs/>
          <w:color w:val="auto"/>
          <w:sz w:val="24"/>
          <w:szCs w:val="24"/>
          <w:highlight w:val="none"/>
        </w:rPr>
      </w:pPr>
    </w:p>
    <w:p>
      <w:pPr>
        <w:pStyle w:val="8"/>
        <w:snapToGrid w:val="0"/>
        <w:spacing w:before="50" w:after="50"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pPr>
        <w:pStyle w:val="8"/>
        <w:snapToGrid w:val="0"/>
        <w:spacing w:before="50" w:after="50" w:line="360" w:lineRule="auto"/>
        <w:ind w:firstLine="960" w:firstLineChars="400"/>
        <w:rPr>
          <w:rFonts w:ascii="宋体" w:hAnsi="宋体" w:cs="宋体"/>
          <w:bCs/>
          <w:color w:val="auto"/>
          <w:sz w:val="24"/>
          <w:szCs w:val="24"/>
          <w:highlight w:val="none"/>
        </w:rPr>
      </w:pPr>
    </w:p>
    <w:p>
      <w:pPr>
        <w:snapToGrid w:val="0"/>
        <w:spacing w:beforeLines="50" w:after="50" w:line="360" w:lineRule="auto"/>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pPr>
        <w:snapToGrid w:val="0"/>
        <w:spacing w:beforeLines="50" w:after="50" w:line="360" w:lineRule="auto"/>
        <w:rPr>
          <w:rFonts w:ascii="宋体" w:hAnsi="宋体" w:cs="宋体"/>
          <w:color w:val="auto"/>
          <w:sz w:val="24"/>
          <w:szCs w:val="20"/>
          <w:highlight w:val="none"/>
        </w:rPr>
      </w:pPr>
    </w:p>
    <w:p>
      <w:pPr>
        <w:snapToGrid w:val="0"/>
        <w:spacing w:line="360" w:lineRule="auto"/>
        <w:jc w:val="left"/>
        <w:outlineLvl w:val="2"/>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2.商务文件目录</w:t>
      </w:r>
    </w:p>
    <w:p>
      <w:pPr>
        <w:snapToGrid w:val="0"/>
        <w:spacing w:before="50" w:afterLines="50" w:line="360" w:lineRule="auto"/>
        <w:ind w:firstLine="560" w:firstLineChars="200"/>
        <w:jc w:val="left"/>
        <w:rPr>
          <w:rFonts w:ascii="宋体" w:hAnsi="宋体" w:cs="宋体"/>
          <w:b/>
          <w:bCs/>
          <w:color w:val="auto"/>
          <w:sz w:val="32"/>
          <w:szCs w:val="32"/>
          <w:highlight w:val="none"/>
        </w:rPr>
      </w:pPr>
      <w:r>
        <w:rPr>
          <w:rFonts w:hint="eastAsia" w:ascii="宋体" w:hAnsi="宋体" w:cs="宋体"/>
          <w:color w:val="auto"/>
          <w:sz w:val="28"/>
          <w:szCs w:val="28"/>
          <w:highlight w:val="none"/>
        </w:rPr>
        <w:t>根据招标文件规定及投标人提供的材料自行编写目录。</w:t>
      </w:r>
    </w:p>
    <w:p>
      <w:pPr>
        <w:snapToGrid w:val="0"/>
        <w:spacing w:before="50" w:afterLines="50" w:line="360" w:lineRule="auto"/>
        <w:jc w:val="left"/>
        <w:rPr>
          <w:rFonts w:ascii="宋体" w:hAnsi="宋体" w:cs="宋体"/>
          <w:color w:val="auto"/>
          <w:highlight w:val="none"/>
        </w:rPr>
      </w:pPr>
    </w:p>
    <w:p>
      <w:pPr>
        <w:snapToGrid w:val="0"/>
        <w:spacing w:beforeLines="50" w:after="50" w:line="360" w:lineRule="auto"/>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3.投标人参加本项目无围标串标行为的承诺</w:t>
      </w:r>
    </w:p>
    <w:p>
      <w:pPr>
        <w:snapToGrid w:val="0"/>
        <w:spacing w:beforeLines="50" w:after="50" w:line="360" w:lineRule="auto"/>
        <w:jc w:val="left"/>
        <w:rPr>
          <w:rFonts w:ascii="宋体" w:hAnsi="宋体" w:cs="宋体"/>
          <w:b/>
          <w:color w:val="auto"/>
          <w:sz w:val="24"/>
          <w:highlight w:val="none"/>
        </w:rPr>
      </w:pPr>
    </w:p>
    <w:p>
      <w:pPr>
        <w:spacing w:line="360" w:lineRule="auto"/>
        <w:ind w:left="420"/>
        <w:contextualSpacing/>
        <w:jc w:val="center"/>
        <w:rPr>
          <w:rFonts w:ascii="宋体" w:hAnsi="宋体" w:cs="宋体"/>
          <w:b/>
          <w:color w:val="auto"/>
          <w:sz w:val="24"/>
          <w:highlight w:val="none"/>
        </w:rPr>
      </w:pPr>
      <w:r>
        <w:rPr>
          <w:rFonts w:hint="eastAsia" w:ascii="宋体" w:hAnsi="宋体" w:cs="宋体"/>
          <w:bCs/>
          <w:color w:val="auto"/>
          <w:spacing w:val="-11"/>
          <w:sz w:val="44"/>
          <w:szCs w:val="44"/>
          <w:highlight w:val="none"/>
        </w:rPr>
        <w:t>投标人参加本项目无围标串标行为的承诺函</w:t>
      </w:r>
    </w:p>
    <w:p>
      <w:pPr>
        <w:spacing w:line="360" w:lineRule="auto"/>
        <w:contextualSpacing/>
        <w:jc w:val="left"/>
        <w:rPr>
          <w:rFonts w:ascii="宋体" w:hAnsi="宋体" w:cs="宋体"/>
          <w:b/>
          <w:color w:val="auto"/>
          <w:sz w:val="24"/>
          <w:highlight w:val="none"/>
        </w:rPr>
      </w:pPr>
      <w:r>
        <w:rPr>
          <w:rFonts w:hint="eastAsia" w:ascii="宋体" w:hAnsi="宋体" w:cs="宋体"/>
          <w:b/>
          <w:color w:val="auto"/>
          <w:sz w:val="24"/>
          <w:highlight w:val="none"/>
        </w:rPr>
        <w:t>一、我方承诺无下列相互串通投标的情形：</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1.不同投标人的投标文件由同一单位或者个人编制；</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2.不同投标人委托同一单位或者个人办理投标事宜；</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3.不同的投标人的投标文件载明的项目管理员为同一个人；</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4.不同投标人的投标文件异常一致或者投标报价呈规律性差异；</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5.不同投标人的投标文件相互混装；</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6.不同投标人的投标保证金从同一单位或者个人账户转出。</w:t>
      </w:r>
    </w:p>
    <w:p>
      <w:pPr>
        <w:spacing w:line="360" w:lineRule="auto"/>
        <w:contextualSpacing/>
        <w:jc w:val="left"/>
        <w:rPr>
          <w:rFonts w:ascii="宋体" w:hAnsi="宋体" w:cs="宋体"/>
          <w:color w:val="auto"/>
          <w:sz w:val="24"/>
          <w:highlight w:val="none"/>
        </w:rPr>
      </w:pPr>
      <w:r>
        <w:rPr>
          <w:rFonts w:hint="eastAsia" w:ascii="宋体" w:hAnsi="宋体" w:cs="宋体"/>
          <w:b/>
          <w:color w:val="auto"/>
          <w:sz w:val="24"/>
          <w:highlight w:val="none"/>
        </w:rPr>
        <w:t>二、我方承诺无下列恶意串通的情形：</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1.投标人直接或者间接从采购人或者采购代理机构处获得其他投标人的相关信息并修改其投标文件或者响应文件；</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2.投标人按照采购人或者采购代理机构的授意撤换、修改投标文件或者响应文件；</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3.投标人之间协商报价、技术方案等投标文件或者响应文件的实质性内容；</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4.属于同一集团、协会、商会等组织成员的投标人按照该组织要求协同参加政府采购活动；</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5.投标人之间事先约定一致抬高或者压低投标报价，或者在招标项目中事先约定轮流以高价位或者低价位中标，或者事先约定由某一特定投标人中标，然后再参加投标；</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6.投标人之间商定部分投标人放弃参加政府采购活动或者放弃中标；</w:t>
      </w:r>
    </w:p>
    <w:p>
      <w:pPr>
        <w:spacing w:line="360" w:lineRule="auto"/>
        <w:ind w:firstLine="470" w:firstLineChars="196"/>
        <w:contextualSpacing/>
        <w:jc w:val="left"/>
        <w:rPr>
          <w:rFonts w:ascii="宋体" w:hAnsi="宋体" w:cs="宋体"/>
          <w:color w:val="auto"/>
          <w:sz w:val="24"/>
          <w:highlight w:val="none"/>
        </w:rPr>
      </w:pPr>
      <w:r>
        <w:rPr>
          <w:rFonts w:hint="eastAsia" w:ascii="宋体" w:hAnsi="宋体" w:cs="宋体"/>
          <w:color w:val="auto"/>
          <w:sz w:val="24"/>
          <w:highlight w:val="none"/>
        </w:rPr>
        <w:t>7.投标人与采购人或者采购代理机构之间、投标人相互之间，为谋求特定投标人中标或者排斥其他投标人的其他串通行为。</w:t>
      </w:r>
    </w:p>
    <w:p>
      <w:pPr>
        <w:spacing w:line="360" w:lineRule="auto"/>
        <w:ind w:firstLine="472" w:firstLineChars="196"/>
        <w:contextualSpacing/>
        <w:jc w:val="left"/>
        <w:rPr>
          <w:rFonts w:ascii="宋体" w:hAnsi="宋体" w:cs="宋体"/>
          <w:b/>
          <w:color w:val="auto"/>
          <w:sz w:val="24"/>
          <w:highlight w:val="none"/>
        </w:rPr>
      </w:pPr>
      <w:r>
        <w:rPr>
          <w:rFonts w:hint="eastAsia" w:ascii="宋体" w:hAnsi="宋体" w:cs="宋体"/>
          <w:b/>
          <w:color w:val="auto"/>
          <w:sz w:val="24"/>
          <w:highlight w:val="none"/>
        </w:rPr>
        <w:t>以上情形一经核查属实，我方愿意承担一切后果，并不再寻求任何旨在减轻或者免除法律责任的辩解。</w:t>
      </w:r>
    </w:p>
    <w:p>
      <w:pPr>
        <w:pStyle w:val="14"/>
        <w:spacing w:line="360" w:lineRule="auto"/>
        <w:ind w:firstLine="6840" w:firstLineChars="2850"/>
        <w:contextualSpacing/>
        <w:rPr>
          <w:rFonts w:hAnsi="宋体" w:cs="宋体"/>
          <w:color w:val="auto"/>
          <w:sz w:val="24"/>
          <w:szCs w:val="24"/>
          <w:highlight w:val="none"/>
        </w:rPr>
      </w:pPr>
    </w:p>
    <w:p>
      <w:pPr>
        <w:pStyle w:val="14"/>
        <w:spacing w:line="360" w:lineRule="auto"/>
        <w:ind w:firstLine="480"/>
        <w:contextualSpacing/>
        <w:jc w:val="center"/>
        <w:rPr>
          <w:rFonts w:hAnsi="宋体" w:cs="宋体"/>
          <w:color w:val="auto"/>
          <w:sz w:val="24"/>
          <w:szCs w:val="24"/>
          <w:highlight w:val="none"/>
        </w:rPr>
      </w:pPr>
      <w:r>
        <w:rPr>
          <w:rFonts w:hint="eastAsia" w:hAnsi="宋体" w:cs="宋体"/>
          <w:color w:val="auto"/>
          <w:sz w:val="24"/>
          <w:szCs w:val="24"/>
          <w:highlight w:val="none"/>
        </w:rPr>
        <w:t>投标人名称（电子签章）</w:t>
      </w:r>
    </w:p>
    <w:p>
      <w:pPr>
        <w:pStyle w:val="14"/>
        <w:spacing w:line="360" w:lineRule="auto"/>
        <w:ind w:firstLine="480"/>
        <w:contextualSpacing/>
        <w:rPr>
          <w:rFonts w:hAnsi="宋体" w:cs="宋体"/>
          <w:color w:val="auto"/>
          <w:sz w:val="24"/>
          <w:highlight w:val="none"/>
        </w:rPr>
      </w:pPr>
      <w:r>
        <w:rPr>
          <w:rFonts w:hint="eastAsia" w:hAnsi="宋体" w:cs="宋体"/>
          <w:color w:val="auto"/>
          <w:sz w:val="24"/>
          <w:highlight w:val="none"/>
        </w:rPr>
        <w:t>年月日</w:t>
      </w:r>
    </w:p>
    <w:p>
      <w:pPr>
        <w:snapToGrid w:val="0"/>
        <w:spacing w:beforeLines="50" w:after="50" w:line="360" w:lineRule="auto"/>
        <w:jc w:val="left"/>
        <w:outlineLvl w:val="2"/>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4.法定代表人身份证明</w:t>
      </w:r>
    </w:p>
    <w:p>
      <w:pPr>
        <w:spacing w:beforeLines="100" w:afterLines="50" w:line="360" w:lineRule="auto"/>
        <w:ind w:left="540"/>
        <w:jc w:val="center"/>
        <w:rPr>
          <w:rFonts w:ascii="宋体" w:hAnsi="宋体" w:cs="宋体"/>
          <w:b/>
          <w:color w:val="auto"/>
          <w:sz w:val="32"/>
          <w:szCs w:val="32"/>
          <w:highlight w:val="none"/>
        </w:rPr>
      </w:pPr>
    </w:p>
    <w:p>
      <w:pPr>
        <w:spacing w:beforeLines="100" w:afterLines="50" w:line="360" w:lineRule="auto"/>
        <w:ind w:left="54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法定代表人身份证明</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投 标 人：</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名：性      别：</w:t>
      </w:r>
    </w:p>
    <w:p>
      <w:pPr>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龄：职      务：</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pPr>
        <w:spacing w:line="360" w:lineRule="auto"/>
        <w:ind w:left="540"/>
        <w:rPr>
          <w:rFonts w:ascii="宋体" w:hAnsi="宋体" w:cs="宋体"/>
          <w:color w:val="auto"/>
          <w:sz w:val="24"/>
          <w:highlight w:val="none"/>
        </w:rPr>
      </w:pPr>
    </w:p>
    <w:p>
      <w:pPr>
        <w:spacing w:line="360" w:lineRule="auto"/>
        <w:ind w:left="540"/>
        <w:rPr>
          <w:rFonts w:ascii="宋体" w:hAnsi="宋体" w:cs="宋体"/>
          <w:color w:val="auto"/>
          <w:sz w:val="24"/>
          <w:highlight w:val="none"/>
        </w:rPr>
      </w:pPr>
    </w:p>
    <w:p>
      <w:pPr>
        <w:spacing w:line="360" w:lineRule="auto"/>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pPr>
        <w:spacing w:line="360" w:lineRule="auto"/>
        <w:ind w:left="540"/>
        <w:rPr>
          <w:rFonts w:ascii="宋体" w:hAnsi="宋体" w:cs="宋体"/>
          <w:color w:val="auto"/>
          <w:sz w:val="24"/>
          <w:highlight w:val="none"/>
        </w:rPr>
      </w:pPr>
    </w:p>
    <w:p>
      <w:pPr>
        <w:spacing w:line="360" w:lineRule="auto"/>
        <w:ind w:left="540"/>
        <w:jc w:val="right"/>
        <w:rPr>
          <w:rFonts w:ascii="宋体" w:hAnsi="宋体" w:cs="宋体"/>
          <w:color w:val="auto"/>
          <w:sz w:val="24"/>
          <w:highlight w:val="none"/>
        </w:rPr>
      </w:pPr>
      <w:r>
        <w:rPr>
          <w:rFonts w:hint="eastAsia" w:ascii="宋体" w:hAnsi="宋体" w:cs="宋体"/>
          <w:color w:val="auto"/>
          <w:sz w:val="24"/>
          <w:highlight w:val="none"/>
        </w:rPr>
        <w:t>投标人名称（电子签章）</w:t>
      </w:r>
    </w:p>
    <w:p>
      <w:pPr>
        <w:spacing w:line="360" w:lineRule="auto"/>
        <w:ind w:left="540"/>
        <w:jc w:val="right"/>
        <w:rPr>
          <w:rFonts w:ascii="宋体" w:hAnsi="宋体" w:cs="宋体"/>
          <w:color w:val="auto"/>
          <w:sz w:val="24"/>
          <w:highlight w:val="none"/>
        </w:rPr>
      </w:pPr>
    </w:p>
    <w:p>
      <w:pPr>
        <w:snapToGrid w:val="0"/>
        <w:spacing w:beforeLines="50" w:after="50" w:line="360" w:lineRule="auto"/>
        <w:ind w:left="540"/>
        <w:jc w:val="right"/>
        <w:rPr>
          <w:rFonts w:ascii="宋体" w:hAnsi="宋体" w:cs="宋体"/>
          <w:color w:val="auto"/>
          <w:sz w:val="24"/>
          <w:highlight w:val="none"/>
        </w:rPr>
      </w:pPr>
      <w:r>
        <w:rPr>
          <w:rFonts w:hint="eastAsia" w:ascii="宋体" w:hAnsi="宋体" w:cs="宋体"/>
          <w:color w:val="auto"/>
          <w:sz w:val="24"/>
          <w:highlight w:val="none"/>
        </w:rPr>
        <w:t>年月日</w:t>
      </w:r>
    </w:p>
    <w:p>
      <w:pPr>
        <w:snapToGrid w:val="0"/>
        <w:spacing w:beforeLines="50" w:after="50" w:line="360" w:lineRule="auto"/>
        <w:jc w:val="center"/>
        <w:rPr>
          <w:rFonts w:ascii="宋体" w:hAnsi="宋体" w:cs="宋体"/>
          <w:b/>
          <w:color w:val="auto"/>
          <w:sz w:val="24"/>
          <w:highlight w:val="none"/>
        </w:rPr>
      </w:pPr>
    </w:p>
    <w:p>
      <w:pPr>
        <w:snapToGrid w:val="0"/>
        <w:spacing w:beforeLines="50" w:after="50" w:line="360" w:lineRule="auto"/>
        <w:jc w:val="left"/>
        <w:rPr>
          <w:rFonts w:ascii="宋体" w:hAnsi="宋体" w:cs="宋体"/>
          <w:b/>
          <w:color w:val="auto"/>
          <w:sz w:val="24"/>
          <w:szCs w:val="20"/>
          <w:highlight w:val="none"/>
        </w:rPr>
      </w:pPr>
      <w:r>
        <w:rPr>
          <w:rFonts w:hint="eastAsia" w:ascii="宋体" w:hAnsi="宋体" w:cs="宋体"/>
          <w:color w:val="auto"/>
          <w:sz w:val="24"/>
          <w:highlight w:val="none"/>
        </w:rPr>
        <w:t>注：自然人投标的无需提供</w:t>
      </w:r>
    </w:p>
    <w:p>
      <w:pPr>
        <w:snapToGrid w:val="0"/>
        <w:spacing w:beforeLines="50" w:after="50" w:line="360" w:lineRule="auto"/>
        <w:jc w:val="left"/>
        <w:outlineLvl w:val="2"/>
        <w:rPr>
          <w:rFonts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5.授权委托书格式</w:t>
      </w:r>
    </w:p>
    <w:p>
      <w:pPr>
        <w:spacing w:line="360" w:lineRule="auto"/>
        <w:contextualSpacing/>
        <w:jc w:val="center"/>
        <w:rPr>
          <w:rFonts w:ascii="宋体" w:hAnsi="宋体" w:cs="宋体"/>
          <w:bCs/>
          <w:color w:val="auto"/>
          <w:sz w:val="44"/>
          <w:szCs w:val="44"/>
          <w:highlight w:val="none"/>
        </w:rPr>
      </w:pPr>
      <w:r>
        <w:rPr>
          <w:rFonts w:hint="eastAsia" w:ascii="宋体" w:hAnsi="宋体" w:cs="宋体"/>
          <w:bCs/>
          <w:color w:val="auto"/>
          <w:sz w:val="44"/>
          <w:szCs w:val="44"/>
          <w:highlight w:val="none"/>
        </w:rPr>
        <w:t>授权委托书</w:t>
      </w:r>
    </w:p>
    <w:p>
      <w:pPr>
        <w:spacing w:line="360" w:lineRule="auto"/>
        <w:contextualSpacing/>
        <w:jc w:val="center"/>
        <w:rPr>
          <w:rFonts w:ascii="宋体" w:hAnsi="宋体" w:cs="宋体"/>
          <w:bCs/>
          <w:color w:val="auto"/>
          <w:sz w:val="32"/>
          <w:szCs w:val="32"/>
          <w:highlight w:val="none"/>
        </w:rPr>
      </w:pPr>
      <w:r>
        <w:rPr>
          <w:rFonts w:hint="eastAsia" w:ascii="宋体" w:hAnsi="宋体" w:cs="宋体"/>
          <w:bCs/>
          <w:color w:val="auto"/>
          <w:sz w:val="32"/>
          <w:szCs w:val="32"/>
          <w:highlight w:val="none"/>
        </w:rPr>
        <w:t>（非联合体投标格式）</w:t>
      </w:r>
    </w:p>
    <w:p>
      <w:pPr>
        <w:spacing w:line="360" w:lineRule="auto"/>
        <w:contextualSpacing/>
        <w:jc w:val="center"/>
        <w:rPr>
          <w:rFonts w:ascii="宋体" w:hAnsi="宋体" w:cs="宋体"/>
          <w:bCs/>
          <w:color w:val="auto"/>
          <w:sz w:val="24"/>
          <w:highlight w:val="none"/>
        </w:rPr>
      </w:pPr>
      <w:r>
        <w:rPr>
          <w:rFonts w:hint="eastAsia" w:ascii="宋体" w:hAnsi="宋体" w:cs="宋体"/>
          <w:bCs/>
          <w:color w:val="auto"/>
          <w:sz w:val="32"/>
          <w:szCs w:val="32"/>
          <w:highlight w:val="none"/>
        </w:rPr>
        <w:t>（如有委托时）</w:t>
      </w:r>
    </w:p>
    <w:p>
      <w:pPr>
        <w:spacing w:line="360" w:lineRule="auto"/>
        <w:contextualSpacing/>
        <w:rPr>
          <w:rFonts w:ascii="宋体" w:hAnsi="宋体" w:cs="宋体"/>
          <w:b/>
          <w:bCs/>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我（姓名）系（投标人名称）的法定代表人，现授权委托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以我方的名义参加项目的投标活动，并代表我方全权办理针对上述项目的所有采购程序和环节的具体事务和签署相关文件。</w:t>
      </w:r>
    </w:p>
    <w:p>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u w:val="single"/>
        </w:rPr>
        <w:t>本授权书自签署之日起生效，在撤销授权的书面通知以前，本授权书一直有效。委托代理人在授权书有效期内签署的所有文件不因授权的撤销而失效。</w:t>
      </w:r>
    </w:p>
    <w:p>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pPr>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w:t>
      </w:r>
    </w:p>
    <w:p>
      <w:pPr>
        <w:spacing w:line="360" w:lineRule="auto"/>
        <w:contextualSpacing/>
        <w:rPr>
          <w:rFonts w:ascii="宋体" w:hAnsi="宋体" w:cs="宋体"/>
          <w:color w:val="auto"/>
          <w:sz w:val="24"/>
          <w:highlight w:val="none"/>
        </w:rPr>
      </w:pPr>
    </w:p>
    <w:p>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委托代理人（签字/电子签名）：</w:t>
      </w:r>
    </w:p>
    <w:p>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委托代理人身份证号码：</w:t>
      </w:r>
    </w:p>
    <w:p>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法定代表人（签字或者盖章或者电子签名）：</w:t>
      </w:r>
    </w:p>
    <w:p>
      <w:pPr>
        <w:spacing w:line="360" w:lineRule="auto"/>
        <w:contextualSpacing/>
        <w:rPr>
          <w:rFonts w:ascii="宋体" w:hAnsi="宋体" w:cs="宋体"/>
          <w:color w:val="auto"/>
          <w:sz w:val="24"/>
          <w:highlight w:val="none"/>
        </w:rPr>
      </w:pPr>
    </w:p>
    <w:p>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pPr>
        <w:pStyle w:val="2"/>
        <w:spacing w:line="360" w:lineRule="auto"/>
        <w:rPr>
          <w:rFonts w:ascii="宋体" w:hAnsi="宋体" w:cs="宋体"/>
          <w:color w:val="auto"/>
          <w:highlight w:val="none"/>
        </w:rPr>
      </w:pPr>
    </w:p>
    <w:p>
      <w:pPr>
        <w:spacing w:line="360" w:lineRule="auto"/>
        <w:contextualSpacing/>
        <w:rPr>
          <w:rFonts w:ascii="宋体" w:hAnsi="宋体" w:cs="宋体"/>
          <w:color w:val="auto"/>
          <w:sz w:val="24"/>
          <w:highlight w:val="none"/>
        </w:rPr>
      </w:pPr>
      <w:bookmarkStart w:id="184" w:name="_Hlk65851555"/>
      <w:bookmarkEnd w:id="184"/>
      <w:bookmarkStart w:id="185" w:name="_Hlk65851620"/>
      <w:bookmarkEnd w:id="185"/>
      <w:r>
        <w:rPr>
          <w:rFonts w:hint="eastAsia" w:ascii="宋体" w:hAnsi="宋体" w:cs="宋体"/>
          <w:color w:val="auto"/>
          <w:sz w:val="24"/>
          <w:highlight w:val="none"/>
        </w:rPr>
        <w:t>注：1.法定代表人必须在授权委托书上亲笔签字或者盖章或者电子签名，委托代理人必须在授权委托书上亲笔签字或者电子签名，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2.法人、其他组织投标时“我方”是指“我单位”，自然人投标时“我方”是指“本人”。</w:t>
      </w:r>
    </w:p>
    <w:p>
      <w:pPr>
        <w:snapToGrid w:val="0"/>
        <w:spacing w:beforeLines="50" w:after="50" w:line="360" w:lineRule="auto"/>
        <w:ind w:firstLine="566" w:firstLineChars="236"/>
        <w:jc w:val="center"/>
        <w:rPr>
          <w:rFonts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授权委托书</w:t>
      </w:r>
    </w:p>
    <w:p>
      <w:pPr>
        <w:snapToGrid w:val="0"/>
        <w:spacing w:beforeLines="50" w:after="50" w:line="360" w:lineRule="auto"/>
        <w:ind w:firstLine="755" w:firstLineChars="236"/>
        <w:jc w:val="center"/>
        <w:rPr>
          <w:rFonts w:ascii="宋体" w:hAnsi="宋体" w:cs="宋体"/>
          <w:color w:val="auto"/>
          <w:sz w:val="32"/>
          <w:szCs w:val="32"/>
          <w:highlight w:val="none"/>
        </w:rPr>
      </w:pPr>
      <w:r>
        <w:rPr>
          <w:rFonts w:hint="eastAsia" w:ascii="宋体" w:hAnsi="宋体" w:cs="宋体"/>
          <w:color w:val="auto"/>
          <w:sz w:val="32"/>
          <w:szCs w:val="32"/>
          <w:highlight w:val="none"/>
        </w:rPr>
        <w:t>（联合体投标格式）</w:t>
      </w:r>
    </w:p>
    <w:p>
      <w:pPr>
        <w:snapToGrid w:val="0"/>
        <w:spacing w:beforeLines="50" w:after="50" w:line="360" w:lineRule="auto"/>
        <w:ind w:firstLine="755" w:firstLineChars="236"/>
        <w:jc w:val="center"/>
        <w:rPr>
          <w:rFonts w:ascii="宋体" w:hAnsi="宋体" w:cs="宋体"/>
          <w:color w:val="auto"/>
          <w:sz w:val="24"/>
          <w:highlight w:val="none"/>
        </w:rPr>
      </w:pPr>
      <w:r>
        <w:rPr>
          <w:rFonts w:hint="eastAsia" w:ascii="宋体" w:hAnsi="宋体" w:cs="宋体"/>
          <w:color w:val="auto"/>
          <w:sz w:val="32"/>
          <w:szCs w:val="32"/>
          <w:highlight w:val="none"/>
        </w:rPr>
        <w:t>（如有委托时）</w:t>
      </w:r>
    </w:p>
    <w:p>
      <w:pPr>
        <w:spacing w:line="360" w:lineRule="auto"/>
        <w:contextualSpacing/>
        <w:jc w:val="left"/>
        <w:rPr>
          <w:rFonts w:ascii="宋体" w:hAnsi="宋体" w:cs="宋体"/>
          <w:color w:val="auto"/>
          <w:sz w:val="24"/>
          <w:highlight w:val="none"/>
        </w:rPr>
      </w:pPr>
      <w:r>
        <w:rPr>
          <w:rFonts w:hint="eastAsia" w:ascii="宋体" w:hAnsi="宋体" w:cs="宋体"/>
          <w:bCs/>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 xml:space="preserve">根据 </w:t>
      </w:r>
      <w:r>
        <w:rPr>
          <w:rFonts w:hint="eastAsia" w:ascii="宋体" w:hAnsi="宋体" w:cs="宋体"/>
          <w:color w:val="auto"/>
          <w:sz w:val="24"/>
          <w:highlight w:val="none"/>
          <w:u w:val="single"/>
        </w:rPr>
        <w:t xml:space="preserve"> （牵头人名称）</w:t>
      </w:r>
      <w:r>
        <w:rPr>
          <w:rFonts w:hint="eastAsia" w:ascii="宋体" w:hAnsi="宋体" w:cs="宋体"/>
          <w:color w:val="auto"/>
          <w:sz w:val="24"/>
          <w:highlight w:val="none"/>
        </w:rPr>
        <w:t>与</w:t>
      </w:r>
      <w:r>
        <w:rPr>
          <w:rFonts w:hint="eastAsia" w:ascii="宋体" w:hAnsi="宋体" w:cs="宋体"/>
          <w:color w:val="auto"/>
          <w:sz w:val="24"/>
          <w:highlight w:val="none"/>
          <w:u w:val="single"/>
        </w:rPr>
        <w:t>（联合体其他成员名称）</w:t>
      </w:r>
      <w:r>
        <w:rPr>
          <w:rFonts w:hint="eastAsia" w:ascii="宋体" w:hAnsi="宋体" w:cs="宋体"/>
          <w:color w:val="auto"/>
          <w:sz w:val="24"/>
          <w:highlight w:val="none"/>
        </w:rPr>
        <w:t>签订的《联合体投标协议书》的内容，</w:t>
      </w:r>
      <w:r>
        <w:rPr>
          <w:rFonts w:hint="eastAsia" w:ascii="宋体" w:hAnsi="宋体" w:cs="宋体"/>
          <w:color w:val="auto"/>
          <w:sz w:val="24"/>
          <w:highlight w:val="none"/>
          <w:u w:val="single"/>
        </w:rPr>
        <w:t>（牵头人名称）</w:t>
      </w:r>
      <w:r>
        <w:rPr>
          <w:rFonts w:hint="eastAsia" w:ascii="宋体" w:hAnsi="宋体" w:cs="宋体"/>
          <w:color w:val="auto"/>
          <w:sz w:val="24"/>
          <w:highlight w:val="none"/>
        </w:rPr>
        <w:t>的法定代表人</w:t>
      </w:r>
      <w:r>
        <w:rPr>
          <w:rFonts w:hint="eastAsia" w:ascii="宋体" w:hAnsi="宋体" w:cs="宋体"/>
          <w:color w:val="auto"/>
          <w:sz w:val="24"/>
          <w:highlight w:val="none"/>
          <w:u w:val="single"/>
        </w:rPr>
        <w:t>（姓名）</w:t>
      </w:r>
      <w:r>
        <w:rPr>
          <w:rFonts w:hint="eastAsia" w:ascii="宋体" w:hAnsi="宋体" w:cs="宋体"/>
          <w:color w:val="auto"/>
          <w:sz w:val="24"/>
          <w:highlight w:val="none"/>
        </w:rPr>
        <w:t>现授权委托</w:t>
      </w:r>
      <w:r>
        <w:rPr>
          <w:rFonts w:hint="eastAsia" w:ascii="宋体" w:hAnsi="宋体" w:cs="宋体"/>
          <w:color w:val="auto"/>
          <w:sz w:val="24"/>
          <w:highlight w:val="none"/>
          <w:u w:val="single"/>
        </w:rPr>
        <w:t xml:space="preserve">              （姓名）</w:t>
      </w:r>
      <w:r>
        <w:rPr>
          <w:rFonts w:hint="eastAsia" w:ascii="宋体" w:hAnsi="宋体" w:cs="宋体"/>
          <w:color w:val="auto"/>
          <w:sz w:val="24"/>
          <w:highlight w:val="none"/>
        </w:rPr>
        <w:t>以我方的名义参加项目的投标活动，并代表我方全权办理针对上述项目的所有采购程序和环节的具体事务和签署相关文件。</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我方对委托代理人的签字或者电子签名事项负全部责任。</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附：牵头人法定代表人身份证明及委托代理人有效身份证正反面复印件</w:t>
      </w:r>
    </w:p>
    <w:p>
      <w:pPr>
        <w:spacing w:line="360" w:lineRule="auto"/>
        <w:ind w:firstLine="566" w:firstLineChars="236"/>
        <w:contextualSpacing/>
        <w:rPr>
          <w:rFonts w:ascii="宋体" w:hAnsi="宋体" w:cs="宋体"/>
          <w:color w:val="auto"/>
          <w:sz w:val="24"/>
          <w:highlight w:val="none"/>
        </w:rPr>
      </w:pP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牵头人法定代表人（签字或者盖章或者电子签名）：</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牵头人（电子签章）：</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日期：    年   月   日</w:t>
      </w:r>
    </w:p>
    <w:p>
      <w:pPr>
        <w:spacing w:line="360" w:lineRule="auto"/>
        <w:ind w:firstLine="566" w:firstLineChars="236"/>
        <w:contextualSpacing/>
        <w:rPr>
          <w:rFonts w:ascii="宋体" w:hAnsi="宋体" w:cs="宋体"/>
          <w:color w:val="auto"/>
          <w:sz w:val="24"/>
          <w:highlight w:val="none"/>
        </w:rPr>
      </w:pP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被授权人（签字/电子签名）：</w:t>
      </w:r>
    </w:p>
    <w:p>
      <w:pPr>
        <w:spacing w:line="360" w:lineRule="auto"/>
        <w:ind w:firstLine="566" w:firstLineChars="236"/>
        <w:contextualSpacing/>
        <w:rPr>
          <w:rFonts w:ascii="宋体" w:hAnsi="宋体" w:cs="宋体"/>
          <w:color w:val="auto"/>
          <w:sz w:val="24"/>
          <w:highlight w:val="none"/>
        </w:rPr>
      </w:pPr>
      <w:r>
        <w:rPr>
          <w:rFonts w:hint="eastAsia" w:ascii="宋体" w:hAnsi="宋体" w:cs="宋体"/>
          <w:color w:val="auto"/>
          <w:sz w:val="24"/>
          <w:highlight w:val="none"/>
        </w:rPr>
        <w:t>日期：    年   月   日</w:t>
      </w:r>
    </w:p>
    <w:p>
      <w:pPr>
        <w:pStyle w:val="2"/>
        <w:spacing w:line="360" w:lineRule="auto"/>
        <w:rPr>
          <w:rFonts w:ascii="宋体" w:hAnsi="宋体" w:cs="宋体"/>
          <w:color w:val="auto"/>
          <w:highlight w:val="none"/>
        </w:rPr>
      </w:pPr>
    </w:p>
    <w:p>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法定代表人必须在授权委托书上亲笔签字或者盖章或者电子签名，委托代理人必须在授权委托书上亲笔签字或者电子签名，</w:t>
      </w:r>
      <w:r>
        <w:rPr>
          <w:rFonts w:hint="eastAsia" w:ascii="宋体" w:hAnsi="宋体" w:cs="宋体"/>
          <w:b/>
          <w:bCs/>
          <w:color w:val="auto"/>
          <w:sz w:val="24"/>
          <w:highlight w:val="none"/>
        </w:rPr>
        <w:t>否则按无效投标处理</w:t>
      </w:r>
      <w:r>
        <w:rPr>
          <w:rFonts w:hint="eastAsia" w:ascii="宋体" w:hAnsi="宋体" w:cs="宋体"/>
          <w:color w:val="auto"/>
          <w:sz w:val="24"/>
          <w:highlight w:val="none"/>
        </w:rPr>
        <w:t>；</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2.本授权委托书应由联合体牵头人的法定代表人按上述规定签字或者盖章或者电子签名。</w:t>
      </w:r>
    </w:p>
    <w:p>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3.法人、其他组织投标时“我方”是指“我单位”，自然人投标时“我方”是指“本人”。</w:t>
      </w:r>
    </w:p>
    <w:p>
      <w:pPr>
        <w:snapToGrid w:val="0"/>
        <w:spacing w:before="50" w:afterLines="50" w:line="360" w:lineRule="auto"/>
        <w:ind w:firstLine="480" w:firstLineChars="200"/>
        <w:jc w:val="left"/>
        <w:rPr>
          <w:rFonts w:ascii="宋体" w:hAnsi="宋体" w:cs="宋体"/>
          <w:color w:val="auto"/>
          <w:sz w:val="24"/>
          <w:highlight w:val="none"/>
        </w:rPr>
        <w:sectPr>
          <w:headerReference r:id="rId7" w:type="first"/>
          <w:footerReference r:id="rId10" w:type="first"/>
          <w:headerReference r:id="rId6" w:type="default"/>
          <w:footerReference r:id="rId8" w:type="default"/>
          <w:footerReference r:id="rId9" w:type="even"/>
          <w:pgSz w:w="11906" w:h="16838"/>
          <w:pgMar w:top="1440" w:right="1080" w:bottom="1440" w:left="1080" w:header="851" w:footer="992" w:gutter="0"/>
          <w:pgNumType w:fmt="decimal"/>
          <w:cols w:space="720" w:num="1"/>
          <w:titlePg/>
          <w:docGrid w:linePitch="312" w:charSpace="0"/>
        </w:sectPr>
      </w:pPr>
    </w:p>
    <w:p>
      <w:pPr>
        <w:spacing w:line="360" w:lineRule="auto"/>
        <w:outlineLvl w:val="2"/>
        <w:rPr>
          <w:rFonts w:ascii="宋体" w:hAnsi="宋体" w:cs="宋体"/>
          <w:b/>
          <w:color w:val="auto"/>
          <w:sz w:val="24"/>
          <w:szCs w:val="20"/>
          <w:highlight w:val="none"/>
        </w:rPr>
      </w:pPr>
      <w:r>
        <w:rPr>
          <w:rFonts w:hint="eastAsia" w:ascii="宋体" w:hAnsi="宋体" w:cs="宋体"/>
          <w:b/>
          <w:color w:val="auto"/>
          <w:sz w:val="24"/>
          <w:highlight w:val="none"/>
        </w:rPr>
        <w:t>6.商务要求偏离表格式（注：按项目需求表具体项目修改）</w:t>
      </w:r>
    </w:p>
    <w:p>
      <w:pPr>
        <w:snapToGrid w:val="0"/>
        <w:spacing w:before="50" w:line="360" w:lineRule="auto"/>
        <w:jc w:val="left"/>
        <w:rPr>
          <w:rFonts w:ascii="宋体" w:hAnsi="宋体" w:cs="宋体"/>
          <w:color w:val="auto"/>
          <w:sz w:val="24"/>
          <w:highlight w:val="none"/>
        </w:rPr>
      </w:pPr>
    </w:p>
    <w:p>
      <w:pPr>
        <w:pStyle w:val="1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highlight w:val="none"/>
        </w:rPr>
        <w:t>（如有）</w:t>
      </w:r>
      <w:r>
        <w:rPr>
          <w:rFonts w:hint="eastAsia" w:hAnsi="宋体" w:cs="宋体"/>
          <w:color w:val="auto"/>
          <w:sz w:val="24"/>
          <w:szCs w:val="24"/>
          <w:highlight w:val="none"/>
        </w:rPr>
        <w:t>：分标</w:t>
      </w:r>
    </w:p>
    <w:tbl>
      <w:tblPr>
        <w:tblStyle w:val="25"/>
        <w:tblW w:w="8641"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5"/>
        <w:gridCol w:w="2410"/>
        <w:gridCol w:w="1843"/>
        <w:gridCol w:w="18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trPr>
        <w:tc>
          <w:tcPr>
            <w:tcW w:w="2495"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项目</w:t>
            </w: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招标文件商务要求</w:t>
            </w: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投标人的承诺</w:t>
            </w: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r>
              <w:rPr>
                <w:rFonts w:hint="eastAsia" w:ascii="宋体" w:hAnsi="宋体" w:cs="宋体"/>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9" w:hRule="atLeast"/>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s="宋体"/>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s="宋体"/>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s="宋体"/>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s="宋体"/>
                <w:color w:val="auto"/>
                <w:sz w:val="24"/>
                <w:highlight w:val="none"/>
              </w:rPr>
            </w:pPr>
          </w:p>
        </w:tc>
      </w:tr>
    </w:tbl>
    <w:p>
      <w:pPr>
        <w:pStyle w:val="11"/>
        <w:spacing w:line="360" w:lineRule="auto"/>
        <w:rPr>
          <w:rFonts w:ascii="宋体" w:hAnsi="宋体" w:cs="宋体"/>
          <w:color w:val="auto"/>
          <w:highlight w:val="none"/>
        </w:rPr>
      </w:pPr>
      <w:r>
        <w:rPr>
          <w:rFonts w:hint="eastAsia" w:ascii="宋体" w:hAnsi="宋体" w:cs="宋体"/>
          <w:color w:val="auto"/>
          <w:highlight w:val="none"/>
        </w:rPr>
        <w:t>注：</w:t>
      </w:r>
    </w:p>
    <w:p>
      <w:pPr>
        <w:pStyle w:val="12"/>
        <w:spacing w:line="360" w:lineRule="auto"/>
        <w:ind w:firstLine="0" w:firstLineChars="0"/>
        <w:rPr>
          <w:rFonts w:ascii="宋体" w:hAnsi="宋体" w:eastAsia="宋体" w:cs="宋体"/>
          <w:color w:val="auto"/>
          <w:szCs w:val="32"/>
          <w:highlight w:val="none"/>
        </w:rPr>
      </w:pPr>
      <w:r>
        <w:rPr>
          <w:rFonts w:hint="eastAsia" w:ascii="宋体" w:hAnsi="宋体" w:eastAsia="宋体" w:cs="宋体"/>
          <w:color w:val="auto"/>
          <w:sz w:val="24"/>
          <w:szCs w:val="24"/>
          <w:highlight w:val="none"/>
        </w:rPr>
        <w:t>1.说明：应对照招标文件“第二章 采购需求”中的“二、商务要求表”逐条作明确的投标响应，并作出偏离说明。</w:t>
      </w:r>
    </w:p>
    <w:p>
      <w:pPr>
        <w:pStyle w:val="11"/>
        <w:spacing w:line="360" w:lineRule="auto"/>
        <w:rPr>
          <w:rFonts w:ascii="宋体" w:hAnsi="宋体" w:cs="宋体"/>
          <w:b w:val="0"/>
          <w:bCs w:val="0"/>
          <w:color w:val="auto"/>
          <w:highlight w:val="none"/>
        </w:rPr>
      </w:pPr>
      <w:r>
        <w:rPr>
          <w:rFonts w:hint="eastAsia" w:ascii="宋体" w:hAnsi="宋体" w:cs="宋体"/>
          <w:b w:val="0"/>
          <w:bCs w:val="0"/>
          <w:color w:val="auto"/>
          <w:highlight w:val="none"/>
        </w:rPr>
        <w:t>2.投标人应根据自身的承诺，对照招标文件要求在“偏离说明”中注明“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pPr>
        <w:snapToGrid w:val="0"/>
        <w:spacing w:before="50" w:after="50" w:line="360" w:lineRule="auto"/>
        <w:rPr>
          <w:rFonts w:ascii="宋体" w:hAnsi="宋体" w:cs="宋体"/>
          <w:color w:val="auto"/>
          <w:sz w:val="24"/>
          <w:highlight w:val="none"/>
        </w:rPr>
      </w:pPr>
    </w:p>
    <w:p>
      <w:pPr>
        <w:snapToGrid w:val="0"/>
        <w:spacing w:before="50" w:after="50" w:line="360" w:lineRule="auto"/>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（签字/电子签名）：</w:t>
      </w:r>
    </w:p>
    <w:p>
      <w:pPr>
        <w:snapToGrid w:val="0"/>
        <w:spacing w:beforeLines="50" w:line="360" w:lineRule="auto"/>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p>
    <w:p>
      <w:pPr>
        <w:snapToGrid w:val="0"/>
        <w:spacing w:beforeLines="50" w:line="360" w:lineRule="auto"/>
        <w:rPr>
          <w:rFonts w:ascii="宋体" w:hAnsi="宋体" w:cs="宋体"/>
          <w:color w:val="auto"/>
          <w:sz w:val="24"/>
          <w:szCs w:val="20"/>
          <w:highlight w:val="none"/>
        </w:rPr>
      </w:pPr>
      <w:r>
        <w:rPr>
          <w:rFonts w:hint="eastAsia" w:ascii="宋体" w:hAnsi="宋体" w:cs="宋体"/>
          <w:color w:val="auto"/>
          <w:spacing w:val="20"/>
          <w:sz w:val="24"/>
          <w:highlight w:val="none"/>
        </w:rPr>
        <w:t>日  期：</w:t>
      </w:r>
    </w:p>
    <w:p>
      <w:pPr>
        <w:snapToGrid w:val="0"/>
        <w:spacing w:beforeLines="50" w:line="360" w:lineRule="auto"/>
        <w:rPr>
          <w:rFonts w:ascii="宋体" w:hAnsi="宋体" w:cs="宋体"/>
          <w:color w:val="auto"/>
          <w:sz w:val="24"/>
          <w:szCs w:val="20"/>
          <w:highlight w:val="none"/>
        </w:rPr>
      </w:pPr>
    </w:p>
    <w:p>
      <w:pPr>
        <w:snapToGrid w:val="0"/>
        <w:spacing w:beforeLines="50" w:after="50" w:line="360" w:lineRule="auto"/>
        <w:jc w:val="left"/>
        <w:rPr>
          <w:rFonts w:ascii="宋体" w:hAnsi="宋体" w:cs="宋体"/>
          <w:color w:val="auto"/>
          <w:sz w:val="24"/>
          <w:szCs w:val="20"/>
          <w:highlight w:val="none"/>
        </w:rPr>
      </w:pPr>
    </w:p>
    <w:p>
      <w:pPr>
        <w:snapToGrid w:val="0"/>
        <w:spacing w:beforeLines="50" w:after="50" w:line="360" w:lineRule="auto"/>
        <w:jc w:val="left"/>
        <w:outlineLvl w:val="2"/>
        <w:rPr>
          <w:rFonts w:ascii="宋体" w:hAnsi="宋体" w:cs="宋体"/>
          <w:b/>
          <w:color w:val="auto"/>
          <w:sz w:val="24"/>
          <w:highlight w:val="none"/>
        </w:rPr>
      </w:pPr>
      <w:r>
        <w:rPr>
          <w:rFonts w:hint="eastAsia" w:ascii="宋体" w:hAnsi="宋体" w:cs="宋体"/>
          <w:color w:val="auto"/>
          <w:sz w:val="24"/>
          <w:szCs w:val="20"/>
          <w:highlight w:val="none"/>
        </w:rPr>
        <w:br w:type="page"/>
      </w:r>
      <w:r>
        <w:rPr>
          <w:rFonts w:hint="eastAsia" w:ascii="宋体" w:hAnsi="宋体" w:cs="宋体"/>
          <w:b/>
          <w:color w:val="auto"/>
          <w:sz w:val="24"/>
          <w:highlight w:val="none"/>
        </w:rPr>
        <w:t>7.投标人业绩证明材料</w:t>
      </w:r>
    </w:p>
    <w:p>
      <w:pPr>
        <w:pStyle w:val="19"/>
        <w:snapToGrid w:val="0"/>
        <w:spacing w:line="360" w:lineRule="auto"/>
        <w:ind w:left="480" w:hanging="480"/>
        <w:rPr>
          <w:rFonts w:ascii="宋体" w:hAnsi="宋体" w:cs="宋体"/>
          <w:color w:val="auto"/>
          <w:sz w:val="24"/>
          <w:highlight w:val="none"/>
        </w:rPr>
      </w:pPr>
    </w:p>
    <w:p>
      <w:pPr>
        <w:pStyle w:val="19"/>
        <w:snapToGrid w:val="0"/>
        <w:spacing w:line="360" w:lineRule="auto"/>
        <w:ind w:left="480" w:hanging="480"/>
        <w:rPr>
          <w:rFonts w:ascii="宋体" w:hAnsi="宋体" w:cs="宋体"/>
          <w:color w:val="auto"/>
          <w:sz w:val="24"/>
          <w:highlight w:val="none"/>
        </w:rPr>
      </w:pPr>
      <w:r>
        <w:rPr>
          <w:rFonts w:hint="eastAsia" w:ascii="宋体" w:hAnsi="宋体" w:cs="宋体"/>
          <w:color w:val="auto"/>
          <w:sz w:val="24"/>
          <w:highlight w:val="none"/>
        </w:rPr>
        <w:t xml:space="preserve">投标人业绩情况一览表格式： </w:t>
      </w:r>
    </w:p>
    <w:tbl>
      <w:tblPr>
        <w:tblStyle w:val="25"/>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7" w:hRule="atLeast"/>
        </w:trPr>
        <w:tc>
          <w:tcPr>
            <w:tcW w:w="213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合同金额</w:t>
            </w:r>
          </w:p>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w:t>
            </w:r>
          </w:p>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836" w:hRule="atLeast"/>
        </w:trPr>
        <w:tc>
          <w:tcPr>
            <w:tcW w:w="213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9" w:hRule="atLeast"/>
        </w:trPr>
        <w:tc>
          <w:tcPr>
            <w:tcW w:w="2133"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宋体" w:hAnsi="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trPr>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宋体" w:hAnsi="宋体" w:cs="宋体"/>
                <w:color w:val="auto"/>
                <w:sz w:val="24"/>
                <w:highlight w:val="none"/>
              </w:rPr>
            </w:pPr>
          </w:p>
        </w:tc>
      </w:tr>
    </w:tbl>
    <w:p>
      <w:pPr>
        <w:pStyle w:val="9"/>
        <w:spacing w:before="0" w:after="0" w:line="360" w:lineRule="auto"/>
        <w:contextualSpacing/>
        <w:rPr>
          <w:rFonts w:ascii="宋体" w:hAnsi="宋体" w:eastAsia="宋体" w:cs="宋体"/>
          <w:color w:val="auto"/>
          <w:sz w:val="24"/>
          <w:szCs w:val="24"/>
          <w:highlight w:val="none"/>
        </w:rPr>
      </w:pPr>
    </w:p>
    <w:p>
      <w:pPr>
        <w:pStyle w:val="9"/>
        <w:spacing w:before="0" w:after="0" w:line="360" w:lineRule="auto"/>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highlight w:val="none"/>
        </w:rPr>
        <w:t>投标人根据评标标准具体要求附业绩证明材料。</w:t>
      </w:r>
    </w:p>
    <w:p>
      <w:pPr>
        <w:pStyle w:val="9"/>
        <w:spacing w:before="0" w:after="0" w:line="360" w:lineRule="auto"/>
        <w:contextualSpacing/>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法定代表人或者委托代理人（签字/电子签名）：</w:t>
      </w:r>
      <w:r>
        <w:rPr>
          <w:rFonts w:hint="eastAsia" w:ascii="宋体" w:hAnsi="宋体" w:eastAsia="宋体" w:cs="宋体"/>
          <w:color w:val="auto"/>
          <w:sz w:val="24"/>
          <w:szCs w:val="24"/>
          <w:highlight w:val="none"/>
          <w:u w:val="single"/>
        </w:rPr>
        <w:t>　　　　　</w:t>
      </w:r>
    </w:p>
    <w:p>
      <w:pPr>
        <w:spacing w:line="360" w:lineRule="auto"/>
        <w:ind w:right="480"/>
        <w:contextualSpacing/>
        <w:jc w:val="left"/>
        <w:rPr>
          <w:rFonts w:ascii="宋体" w:hAnsi="宋体" w:cs="宋体"/>
          <w:color w:val="auto"/>
          <w:sz w:val="24"/>
          <w:szCs w:val="20"/>
          <w:highlight w:val="none"/>
        </w:rPr>
      </w:pPr>
      <w:r>
        <w:rPr>
          <w:rFonts w:hint="eastAsia" w:ascii="宋体" w:hAnsi="宋体" w:cs="宋体"/>
          <w:color w:val="auto"/>
          <w:sz w:val="24"/>
          <w:highlight w:val="none"/>
        </w:rPr>
        <w:t>投标人名称（电子签章）：                                                               年    月    日</w:t>
      </w:r>
    </w:p>
    <w:p>
      <w:pPr>
        <w:snapToGrid w:val="0"/>
        <w:spacing w:before="50" w:line="360" w:lineRule="auto"/>
        <w:ind w:firstLine="480" w:firstLineChars="200"/>
        <w:jc w:val="left"/>
        <w:rPr>
          <w:rFonts w:ascii="宋体" w:hAnsi="宋体" w:cs="宋体"/>
          <w:color w:val="auto"/>
          <w:sz w:val="24"/>
          <w:szCs w:val="20"/>
          <w:highlight w:val="none"/>
        </w:rPr>
      </w:pPr>
    </w:p>
    <w:p>
      <w:pPr>
        <w:snapToGrid w:val="0"/>
        <w:spacing w:before="50" w:line="360" w:lineRule="auto"/>
        <w:jc w:val="left"/>
        <w:rPr>
          <w:rFonts w:ascii="宋体" w:hAnsi="宋体" w:cs="宋体"/>
          <w:color w:val="auto"/>
          <w:sz w:val="24"/>
          <w:highlight w:val="none"/>
        </w:rPr>
      </w:pPr>
    </w:p>
    <w:p>
      <w:pPr>
        <w:snapToGrid w:val="0"/>
        <w:spacing w:beforeLines="50" w:line="360" w:lineRule="auto"/>
        <w:rPr>
          <w:rFonts w:ascii="宋体" w:hAnsi="宋体" w:cs="宋体"/>
          <w:color w:val="auto"/>
          <w:sz w:val="24"/>
          <w:szCs w:val="20"/>
          <w:highlight w:val="none"/>
        </w:rPr>
        <w:sectPr>
          <w:pgSz w:w="11906" w:h="16838"/>
          <w:pgMar w:top="1440" w:right="1080" w:bottom="1440" w:left="1080" w:header="851" w:footer="992" w:gutter="0"/>
          <w:pgNumType w:fmt="decimal"/>
          <w:cols w:space="720" w:num="1"/>
          <w:docGrid w:linePitch="312" w:charSpace="0"/>
        </w:sectPr>
      </w:pPr>
    </w:p>
    <w:p>
      <w:pPr>
        <w:spacing w:line="360" w:lineRule="auto"/>
        <w:outlineLvl w:val="1"/>
        <w:rPr>
          <w:rFonts w:ascii="宋体" w:hAnsi="宋体" w:cs="宋体"/>
          <w:b/>
          <w:color w:val="auto"/>
          <w:sz w:val="28"/>
          <w:szCs w:val="28"/>
          <w:highlight w:val="none"/>
        </w:rPr>
      </w:pPr>
      <w:bookmarkStart w:id="186" w:name="_Toc9867"/>
      <w:r>
        <w:rPr>
          <w:rFonts w:hint="eastAsia" w:ascii="宋体" w:hAnsi="宋体" w:cs="宋体"/>
          <w:b/>
          <w:color w:val="auto"/>
          <w:sz w:val="28"/>
          <w:szCs w:val="28"/>
          <w:highlight w:val="none"/>
        </w:rPr>
        <w:t>四、技术文件格式</w:t>
      </w:r>
      <w:bookmarkEnd w:id="186"/>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t xml:space="preserve">1. 技术文件封面格式： </w:t>
      </w:r>
    </w:p>
    <w:p>
      <w:pPr>
        <w:snapToGrid w:val="0"/>
        <w:spacing w:beforeLines="50" w:after="50" w:line="360" w:lineRule="auto"/>
        <w:ind w:left="142"/>
        <w:jc w:val="center"/>
        <w:rPr>
          <w:rFonts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pPr>
        <w:snapToGrid w:val="0"/>
        <w:spacing w:beforeLines="50" w:after="50"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w:t>
      </w:r>
    </w:p>
    <w:p>
      <w:pPr>
        <w:snapToGrid w:val="0"/>
        <w:spacing w:beforeLines="50" w:after="50" w:line="360" w:lineRule="auto"/>
        <w:rPr>
          <w:rFonts w:ascii="宋体" w:hAnsi="宋体" w:cs="宋体"/>
          <w:bCs/>
          <w:color w:val="auto"/>
          <w:sz w:val="24"/>
          <w:szCs w:val="20"/>
          <w:highlight w:val="none"/>
        </w:rPr>
      </w:pPr>
    </w:p>
    <w:p>
      <w:pPr>
        <w:snapToGrid w:val="0"/>
        <w:spacing w:beforeLines="50" w:after="50" w:line="360" w:lineRule="auto"/>
        <w:ind w:firstLine="360" w:firstLineChars="150"/>
        <w:rPr>
          <w:rFonts w:ascii="宋体" w:hAnsi="宋体" w:cs="宋体"/>
          <w:bCs/>
          <w:color w:val="auto"/>
          <w:sz w:val="24"/>
          <w:szCs w:val="20"/>
          <w:highlight w:val="none"/>
        </w:rPr>
      </w:pPr>
      <w:r>
        <w:rPr>
          <w:rFonts w:hint="eastAsia" w:ascii="宋体" w:hAnsi="宋体" w:cs="宋体"/>
          <w:bCs/>
          <w:color w:val="auto"/>
          <w:sz w:val="24"/>
          <w:highlight w:val="none"/>
        </w:rPr>
        <w:t xml:space="preserve">项目名称： </w:t>
      </w: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r>
        <w:rPr>
          <w:rFonts w:hint="eastAsia" w:ascii="宋体" w:hAnsi="宋体" w:cs="宋体"/>
          <w:color w:val="auto"/>
          <w:sz w:val="24"/>
          <w:highlight w:val="none"/>
        </w:rPr>
        <w:t>（如有）</w:t>
      </w:r>
      <w:r>
        <w:rPr>
          <w:rFonts w:hint="eastAsia" w:ascii="宋体" w:hAnsi="宋体" w:cs="宋体"/>
          <w:bCs/>
          <w:color w:val="auto"/>
          <w:sz w:val="24"/>
          <w:highlight w:val="none"/>
        </w:rPr>
        <w:t>：</w:t>
      </w: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pPr>
        <w:snapToGrid w:val="0"/>
        <w:spacing w:beforeLines="50" w:after="50"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pPr>
        <w:snapToGrid w:val="0"/>
        <w:spacing w:beforeLines="50" w:after="50"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pPr>
        <w:snapToGrid w:val="0"/>
        <w:spacing w:beforeLines="50" w:after="50" w:line="360" w:lineRule="auto"/>
        <w:ind w:firstLine="645"/>
        <w:jc w:val="center"/>
        <w:rPr>
          <w:rFonts w:ascii="宋体" w:hAnsi="宋体" w:cs="宋体"/>
          <w:color w:val="auto"/>
          <w:sz w:val="24"/>
          <w:szCs w:val="20"/>
          <w:highlight w:val="none"/>
        </w:rPr>
      </w:pP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bCs/>
          <w:color w:val="auto"/>
          <w:sz w:val="24"/>
          <w:highlight w:val="none"/>
        </w:rPr>
        <w:br w:type="page"/>
      </w:r>
      <w:r>
        <w:rPr>
          <w:rFonts w:hint="eastAsia" w:ascii="宋体" w:hAnsi="宋体" w:cs="宋体"/>
          <w:b/>
          <w:color w:val="auto"/>
          <w:sz w:val="24"/>
          <w:highlight w:val="none"/>
        </w:rPr>
        <w:t>2.技术文件目录</w:t>
      </w:r>
    </w:p>
    <w:p>
      <w:pPr>
        <w:snapToGrid w:val="0"/>
        <w:spacing w:before="50" w:afterLines="50" w:line="360" w:lineRule="auto"/>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根据招标文件规定及投标人提供的材料自行编写目录。</w:t>
      </w: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设备性能配置清单格式</w:t>
      </w:r>
    </w:p>
    <w:p>
      <w:pPr>
        <w:snapToGrid w:val="0"/>
        <w:spacing w:beforeLines="50" w:after="50"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设备性能配置清单</w:t>
      </w:r>
    </w:p>
    <w:p>
      <w:pPr>
        <w:pStyle w:val="1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highlight w:val="none"/>
        </w:rPr>
        <w:t>（如有）</w:t>
      </w:r>
      <w:r>
        <w:rPr>
          <w:rFonts w:hint="eastAsia" w:hAnsi="宋体" w:cs="宋体"/>
          <w:color w:val="auto"/>
          <w:sz w:val="24"/>
          <w:szCs w:val="24"/>
          <w:highlight w:val="none"/>
        </w:rPr>
        <w:t>：分标</w:t>
      </w:r>
    </w:p>
    <w:tbl>
      <w:tblPr>
        <w:tblStyle w:val="25"/>
        <w:tblW w:w="852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187"/>
        <w:gridCol w:w="1052"/>
        <w:gridCol w:w="851"/>
        <w:gridCol w:w="1418"/>
        <w:gridCol w:w="1187"/>
        <w:gridCol w:w="703"/>
        <w:gridCol w:w="14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货物名称</w:t>
            </w: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数量及单位</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品牌</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原产地</w:t>
            </w: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r>
              <w:rPr>
                <w:rFonts w:hint="eastAsia" w:ascii="宋体" w:hAnsi="宋体" w:cs="宋体"/>
                <w:color w:val="auto"/>
                <w:sz w:val="24"/>
                <w:highlight w:val="none"/>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宋体" w:hAnsi="宋体" w:cs="宋体"/>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宋体" w:hAnsi="宋体" w:cs="宋体"/>
                <w:color w:val="auto"/>
                <w:sz w:val="24"/>
                <w:highlight w:val="none"/>
              </w:rPr>
            </w:pPr>
          </w:p>
        </w:tc>
      </w:tr>
    </w:tbl>
    <w:p>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备注：</w:t>
      </w:r>
    </w:p>
    <w:p>
      <w:pPr>
        <w:spacing w:line="360" w:lineRule="auto"/>
        <w:ind w:firstLine="480" w:firstLineChars="200"/>
        <w:contextualSpacing/>
        <w:rPr>
          <w:rFonts w:ascii="宋体" w:hAnsi="宋体" w:cs="宋体"/>
          <w:b/>
          <w:color w:val="auto"/>
          <w:sz w:val="24"/>
          <w:highlight w:val="none"/>
        </w:rPr>
      </w:pPr>
      <w:r>
        <w:rPr>
          <w:rFonts w:hint="eastAsia" w:ascii="宋体" w:hAnsi="宋体" w:cs="宋体"/>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作无效投标处理。</w:t>
      </w:r>
      <w:r>
        <w:rPr>
          <w:rFonts w:hint="eastAsia" w:ascii="宋体" w:hAnsi="宋体" w:cs="宋体"/>
          <w:color w:val="auto"/>
          <w:sz w:val="24"/>
          <w:highlight w:val="none"/>
        </w:rPr>
        <w:t>货物名称、数量及单位、品牌必须与“开标一览表”一致，</w:t>
      </w:r>
      <w:r>
        <w:rPr>
          <w:rFonts w:hint="eastAsia" w:ascii="宋体" w:hAnsi="宋体" w:cs="宋体"/>
          <w:b/>
          <w:color w:val="auto"/>
          <w:sz w:val="24"/>
          <w:highlight w:val="none"/>
        </w:rPr>
        <w:t>否则按无效投标处理。</w:t>
      </w:r>
    </w:p>
    <w:p>
      <w:pPr>
        <w:spacing w:line="360" w:lineRule="auto"/>
        <w:ind w:firstLine="480" w:firstLineChars="200"/>
        <w:contextualSpacing/>
        <w:rPr>
          <w:rFonts w:ascii="宋体" w:hAnsi="宋体" w:cs="宋体"/>
          <w:color w:val="auto"/>
          <w:sz w:val="24"/>
          <w:highlight w:val="none"/>
        </w:rPr>
      </w:pPr>
    </w:p>
    <w:p>
      <w:pPr>
        <w:spacing w:line="360" w:lineRule="auto"/>
        <w:contextualSpacing/>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（签字/电子签名）：</w:t>
      </w:r>
    </w:p>
    <w:p>
      <w:pPr>
        <w:spacing w:line="360" w:lineRule="auto"/>
        <w:contextualSpacing/>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p>
    <w:p>
      <w:pPr>
        <w:spacing w:line="360" w:lineRule="auto"/>
        <w:contextualSpacing/>
        <w:rPr>
          <w:rFonts w:ascii="宋体" w:hAnsi="宋体" w:cs="宋体"/>
          <w:color w:val="auto"/>
          <w:sz w:val="24"/>
          <w:szCs w:val="20"/>
          <w:highlight w:val="none"/>
        </w:rPr>
      </w:pPr>
      <w:r>
        <w:rPr>
          <w:rFonts w:hint="eastAsia" w:ascii="宋体" w:hAnsi="宋体" w:cs="宋体"/>
          <w:color w:val="auto"/>
          <w:spacing w:val="20"/>
          <w:sz w:val="24"/>
          <w:highlight w:val="none"/>
        </w:rPr>
        <w:t>日  期：</w:t>
      </w:r>
    </w:p>
    <w:p>
      <w:pPr>
        <w:snapToGrid w:val="0"/>
        <w:spacing w:before="50" w:afterLines="50" w:line="360" w:lineRule="auto"/>
        <w:jc w:val="left"/>
        <w:rPr>
          <w:rFonts w:ascii="宋体" w:hAnsi="宋体" w:cs="宋体"/>
          <w:color w:val="auto"/>
          <w:sz w:val="24"/>
          <w:szCs w:val="20"/>
          <w:highlight w:val="none"/>
        </w:rPr>
      </w:pPr>
    </w:p>
    <w:p>
      <w:pPr>
        <w:snapToGrid w:val="0"/>
        <w:spacing w:before="50" w:afterLines="50" w:line="360" w:lineRule="auto"/>
        <w:jc w:val="left"/>
        <w:rPr>
          <w:rFonts w:ascii="宋体" w:hAnsi="宋体" w:cs="宋体"/>
          <w:color w:val="auto"/>
          <w:sz w:val="24"/>
          <w:szCs w:val="20"/>
          <w:highlight w:val="none"/>
        </w:rPr>
      </w:pP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 技术要求偏离表格式</w:t>
      </w:r>
    </w:p>
    <w:p>
      <w:pPr>
        <w:snapToGrid w:val="0"/>
        <w:spacing w:beforeLines="50" w:after="50"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技术要求偏离表</w:t>
      </w:r>
    </w:p>
    <w:p>
      <w:pPr>
        <w:pStyle w:val="1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highlight w:val="none"/>
        </w:rPr>
        <w:t>（如有）</w:t>
      </w:r>
      <w:r>
        <w:rPr>
          <w:rFonts w:hint="eastAsia" w:hAnsi="宋体" w:cs="宋体"/>
          <w:color w:val="auto"/>
          <w:sz w:val="24"/>
          <w:szCs w:val="24"/>
          <w:highlight w:val="none"/>
        </w:rPr>
        <w:t>：分标</w:t>
      </w:r>
    </w:p>
    <w:tbl>
      <w:tblPr>
        <w:tblStyle w:val="25"/>
        <w:tblW w:w="89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52" w:type="dxa"/>
            <w:vAlign w:val="center"/>
          </w:tcPr>
          <w:p>
            <w:pPr>
              <w:pStyle w:val="14"/>
              <w:spacing w:line="360" w:lineRule="auto"/>
              <w:rPr>
                <w:rFonts w:hAnsi="宋体" w:cs="宋体"/>
                <w:color w:val="auto"/>
                <w:kern w:val="2"/>
                <w:sz w:val="24"/>
                <w:szCs w:val="24"/>
                <w:highlight w:val="none"/>
              </w:rPr>
            </w:pPr>
            <w:r>
              <w:rPr>
                <w:rFonts w:hint="eastAsia" w:hAnsi="宋体" w:cs="宋体"/>
                <w:color w:val="auto"/>
                <w:kern w:val="2"/>
                <w:sz w:val="24"/>
                <w:szCs w:val="24"/>
                <w:highlight w:val="none"/>
              </w:rPr>
              <w:t>序号</w:t>
            </w:r>
          </w:p>
        </w:tc>
        <w:tc>
          <w:tcPr>
            <w:tcW w:w="2143" w:type="dxa"/>
            <w:vAlign w:val="center"/>
          </w:tcPr>
          <w:p>
            <w:pPr>
              <w:pStyle w:val="14"/>
              <w:spacing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标的的名称</w:t>
            </w:r>
          </w:p>
        </w:tc>
        <w:tc>
          <w:tcPr>
            <w:tcW w:w="1834" w:type="dxa"/>
            <w:vAlign w:val="center"/>
          </w:tcPr>
          <w:p>
            <w:pPr>
              <w:pStyle w:val="14"/>
              <w:spacing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技术要求</w:t>
            </w:r>
          </w:p>
        </w:tc>
        <w:tc>
          <w:tcPr>
            <w:tcW w:w="2181" w:type="dxa"/>
            <w:vAlign w:val="center"/>
          </w:tcPr>
          <w:p>
            <w:pPr>
              <w:pStyle w:val="14"/>
              <w:spacing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投标响应</w:t>
            </w:r>
          </w:p>
        </w:tc>
        <w:tc>
          <w:tcPr>
            <w:tcW w:w="1934" w:type="dxa"/>
            <w:vAlign w:val="center"/>
          </w:tcPr>
          <w:p>
            <w:pPr>
              <w:pStyle w:val="14"/>
              <w:spacing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14"/>
              <w:spacing w:line="360" w:lineRule="auto"/>
              <w:ind w:firstLine="480"/>
              <w:jc w:val="center"/>
              <w:rPr>
                <w:rFonts w:hAnsi="宋体" w:cs="宋体"/>
                <w:color w:val="auto"/>
                <w:kern w:val="2"/>
                <w:sz w:val="24"/>
                <w:szCs w:val="24"/>
                <w:highlight w:val="none"/>
              </w:rPr>
            </w:pPr>
          </w:p>
        </w:tc>
        <w:tc>
          <w:tcPr>
            <w:tcW w:w="2143" w:type="dxa"/>
            <w:vAlign w:val="center"/>
          </w:tcPr>
          <w:p>
            <w:pPr>
              <w:pStyle w:val="14"/>
              <w:spacing w:line="360" w:lineRule="auto"/>
              <w:ind w:firstLine="480"/>
              <w:jc w:val="center"/>
              <w:rPr>
                <w:rFonts w:hAnsi="宋体" w:cs="宋体"/>
                <w:color w:val="auto"/>
                <w:kern w:val="2"/>
                <w:sz w:val="24"/>
                <w:szCs w:val="24"/>
                <w:highlight w:val="none"/>
              </w:rPr>
            </w:pPr>
          </w:p>
        </w:tc>
        <w:tc>
          <w:tcPr>
            <w:tcW w:w="1834" w:type="dxa"/>
            <w:vAlign w:val="center"/>
          </w:tcPr>
          <w:p>
            <w:pPr>
              <w:pStyle w:val="14"/>
              <w:spacing w:line="360" w:lineRule="auto"/>
              <w:ind w:firstLine="480"/>
              <w:jc w:val="center"/>
              <w:rPr>
                <w:rFonts w:hAnsi="宋体" w:cs="宋体"/>
                <w:color w:val="auto"/>
                <w:kern w:val="2"/>
                <w:sz w:val="24"/>
                <w:szCs w:val="24"/>
                <w:highlight w:val="none"/>
              </w:rPr>
            </w:pPr>
          </w:p>
        </w:tc>
        <w:tc>
          <w:tcPr>
            <w:tcW w:w="2181" w:type="dxa"/>
            <w:vAlign w:val="center"/>
          </w:tcPr>
          <w:p>
            <w:pPr>
              <w:pStyle w:val="14"/>
              <w:spacing w:line="360" w:lineRule="auto"/>
              <w:ind w:firstLine="480"/>
              <w:jc w:val="center"/>
              <w:rPr>
                <w:rFonts w:hAnsi="宋体" w:cs="宋体"/>
                <w:color w:val="auto"/>
                <w:kern w:val="2"/>
                <w:sz w:val="24"/>
                <w:szCs w:val="24"/>
                <w:highlight w:val="none"/>
              </w:rPr>
            </w:pPr>
          </w:p>
        </w:tc>
        <w:tc>
          <w:tcPr>
            <w:tcW w:w="1934" w:type="dxa"/>
            <w:vAlign w:val="center"/>
          </w:tcPr>
          <w:p>
            <w:pPr>
              <w:pStyle w:val="14"/>
              <w:spacing w:line="360" w:lineRule="auto"/>
              <w:ind w:firstLine="480"/>
              <w:jc w:val="center"/>
              <w:rPr>
                <w:rFonts w:hAnsi="宋体" w:cs="宋体"/>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14"/>
              <w:spacing w:line="360" w:lineRule="auto"/>
              <w:ind w:firstLine="480"/>
              <w:rPr>
                <w:rFonts w:hAnsi="宋体" w:cs="宋体"/>
                <w:color w:val="auto"/>
                <w:kern w:val="2"/>
                <w:sz w:val="24"/>
                <w:szCs w:val="24"/>
                <w:highlight w:val="none"/>
              </w:rPr>
            </w:pPr>
          </w:p>
        </w:tc>
        <w:tc>
          <w:tcPr>
            <w:tcW w:w="2143" w:type="dxa"/>
          </w:tcPr>
          <w:p>
            <w:pPr>
              <w:pStyle w:val="14"/>
              <w:spacing w:line="360" w:lineRule="auto"/>
              <w:ind w:firstLine="480"/>
              <w:rPr>
                <w:rFonts w:hAnsi="宋体" w:cs="宋体"/>
                <w:color w:val="auto"/>
                <w:kern w:val="2"/>
                <w:sz w:val="24"/>
                <w:szCs w:val="24"/>
                <w:highlight w:val="none"/>
              </w:rPr>
            </w:pPr>
          </w:p>
        </w:tc>
        <w:tc>
          <w:tcPr>
            <w:tcW w:w="1834" w:type="dxa"/>
          </w:tcPr>
          <w:p>
            <w:pPr>
              <w:pStyle w:val="14"/>
              <w:spacing w:line="360" w:lineRule="auto"/>
              <w:ind w:firstLine="480"/>
              <w:rPr>
                <w:rFonts w:hAnsi="宋体" w:cs="宋体"/>
                <w:color w:val="auto"/>
                <w:kern w:val="2"/>
                <w:sz w:val="24"/>
                <w:szCs w:val="24"/>
                <w:highlight w:val="none"/>
              </w:rPr>
            </w:pPr>
          </w:p>
        </w:tc>
        <w:tc>
          <w:tcPr>
            <w:tcW w:w="2181" w:type="dxa"/>
          </w:tcPr>
          <w:p>
            <w:pPr>
              <w:pStyle w:val="14"/>
              <w:spacing w:line="360" w:lineRule="auto"/>
              <w:ind w:firstLine="480"/>
              <w:rPr>
                <w:rFonts w:hAnsi="宋体" w:cs="宋体"/>
                <w:color w:val="auto"/>
                <w:kern w:val="2"/>
                <w:sz w:val="24"/>
                <w:szCs w:val="24"/>
                <w:highlight w:val="none"/>
              </w:rPr>
            </w:pPr>
          </w:p>
        </w:tc>
        <w:tc>
          <w:tcPr>
            <w:tcW w:w="1934" w:type="dxa"/>
          </w:tcPr>
          <w:p>
            <w:pPr>
              <w:pStyle w:val="14"/>
              <w:spacing w:line="360" w:lineRule="auto"/>
              <w:ind w:firstLine="480"/>
              <w:rPr>
                <w:rFonts w:hAnsi="宋体" w:cs="宋体"/>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14"/>
              <w:spacing w:line="360" w:lineRule="auto"/>
              <w:ind w:firstLine="480"/>
              <w:rPr>
                <w:rFonts w:hAnsi="宋体" w:cs="宋体"/>
                <w:color w:val="auto"/>
                <w:kern w:val="2"/>
                <w:sz w:val="24"/>
                <w:szCs w:val="24"/>
                <w:highlight w:val="none"/>
              </w:rPr>
            </w:pPr>
          </w:p>
        </w:tc>
        <w:tc>
          <w:tcPr>
            <w:tcW w:w="2143" w:type="dxa"/>
          </w:tcPr>
          <w:p>
            <w:pPr>
              <w:pStyle w:val="14"/>
              <w:spacing w:line="360" w:lineRule="auto"/>
              <w:ind w:firstLine="480"/>
              <w:rPr>
                <w:rFonts w:hAnsi="宋体" w:cs="宋体"/>
                <w:color w:val="auto"/>
                <w:kern w:val="2"/>
                <w:sz w:val="24"/>
                <w:szCs w:val="24"/>
                <w:highlight w:val="none"/>
              </w:rPr>
            </w:pPr>
          </w:p>
        </w:tc>
        <w:tc>
          <w:tcPr>
            <w:tcW w:w="1834" w:type="dxa"/>
          </w:tcPr>
          <w:p>
            <w:pPr>
              <w:pStyle w:val="14"/>
              <w:spacing w:line="360" w:lineRule="auto"/>
              <w:ind w:firstLine="480"/>
              <w:rPr>
                <w:rFonts w:hAnsi="宋体" w:cs="宋体"/>
                <w:color w:val="auto"/>
                <w:kern w:val="2"/>
                <w:sz w:val="24"/>
                <w:szCs w:val="24"/>
                <w:highlight w:val="none"/>
              </w:rPr>
            </w:pPr>
          </w:p>
        </w:tc>
        <w:tc>
          <w:tcPr>
            <w:tcW w:w="2181" w:type="dxa"/>
          </w:tcPr>
          <w:p>
            <w:pPr>
              <w:pStyle w:val="14"/>
              <w:spacing w:line="360" w:lineRule="auto"/>
              <w:ind w:firstLine="480"/>
              <w:rPr>
                <w:rFonts w:hAnsi="宋体" w:cs="宋体"/>
                <w:color w:val="auto"/>
                <w:kern w:val="2"/>
                <w:sz w:val="24"/>
                <w:szCs w:val="24"/>
                <w:highlight w:val="none"/>
              </w:rPr>
            </w:pPr>
          </w:p>
        </w:tc>
        <w:tc>
          <w:tcPr>
            <w:tcW w:w="1934" w:type="dxa"/>
          </w:tcPr>
          <w:p>
            <w:pPr>
              <w:pStyle w:val="14"/>
              <w:spacing w:line="360" w:lineRule="auto"/>
              <w:ind w:firstLine="480"/>
              <w:rPr>
                <w:rFonts w:hAnsi="宋体" w:cs="宋体"/>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14"/>
              <w:spacing w:line="360" w:lineRule="auto"/>
              <w:ind w:firstLine="480"/>
              <w:rPr>
                <w:rFonts w:hAnsi="宋体" w:cs="宋体"/>
                <w:color w:val="auto"/>
                <w:kern w:val="2"/>
                <w:sz w:val="24"/>
                <w:szCs w:val="24"/>
                <w:highlight w:val="none"/>
              </w:rPr>
            </w:pPr>
          </w:p>
        </w:tc>
        <w:tc>
          <w:tcPr>
            <w:tcW w:w="2143" w:type="dxa"/>
          </w:tcPr>
          <w:p>
            <w:pPr>
              <w:pStyle w:val="14"/>
              <w:spacing w:line="360" w:lineRule="auto"/>
              <w:ind w:firstLine="480"/>
              <w:rPr>
                <w:rFonts w:hAnsi="宋体" w:cs="宋体"/>
                <w:color w:val="auto"/>
                <w:kern w:val="2"/>
                <w:sz w:val="24"/>
                <w:szCs w:val="24"/>
                <w:highlight w:val="none"/>
              </w:rPr>
            </w:pPr>
          </w:p>
        </w:tc>
        <w:tc>
          <w:tcPr>
            <w:tcW w:w="1834" w:type="dxa"/>
          </w:tcPr>
          <w:p>
            <w:pPr>
              <w:pStyle w:val="14"/>
              <w:spacing w:line="360" w:lineRule="auto"/>
              <w:ind w:firstLine="480"/>
              <w:rPr>
                <w:rFonts w:hAnsi="宋体" w:cs="宋体"/>
                <w:color w:val="auto"/>
                <w:kern w:val="2"/>
                <w:sz w:val="24"/>
                <w:szCs w:val="24"/>
                <w:highlight w:val="none"/>
              </w:rPr>
            </w:pPr>
          </w:p>
        </w:tc>
        <w:tc>
          <w:tcPr>
            <w:tcW w:w="2181" w:type="dxa"/>
          </w:tcPr>
          <w:p>
            <w:pPr>
              <w:pStyle w:val="14"/>
              <w:spacing w:line="360" w:lineRule="auto"/>
              <w:ind w:firstLine="480"/>
              <w:rPr>
                <w:rFonts w:hAnsi="宋体" w:cs="宋体"/>
                <w:color w:val="auto"/>
                <w:kern w:val="2"/>
                <w:sz w:val="24"/>
                <w:szCs w:val="24"/>
                <w:highlight w:val="none"/>
              </w:rPr>
            </w:pPr>
          </w:p>
        </w:tc>
        <w:tc>
          <w:tcPr>
            <w:tcW w:w="1934" w:type="dxa"/>
          </w:tcPr>
          <w:p>
            <w:pPr>
              <w:pStyle w:val="14"/>
              <w:spacing w:line="360" w:lineRule="auto"/>
              <w:ind w:firstLine="480"/>
              <w:rPr>
                <w:rFonts w:hAnsi="宋体" w:cs="宋体"/>
                <w:color w:val="auto"/>
                <w:kern w:val="2"/>
                <w:sz w:val="24"/>
                <w:szCs w:val="24"/>
                <w:highlight w:val="none"/>
              </w:rPr>
            </w:pPr>
          </w:p>
        </w:tc>
      </w:tr>
    </w:tbl>
    <w:p>
      <w:pPr>
        <w:pStyle w:val="11"/>
        <w:spacing w:line="360" w:lineRule="auto"/>
        <w:rPr>
          <w:rFonts w:ascii="宋体" w:hAnsi="宋体" w:cs="宋体"/>
          <w:color w:val="auto"/>
          <w:highlight w:val="none"/>
        </w:rPr>
      </w:pPr>
      <w:r>
        <w:rPr>
          <w:rFonts w:hint="eastAsia" w:ascii="宋体" w:hAnsi="宋体" w:cs="宋体"/>
          <w:color w:val="auto"/>
          <w:highlight w:val="none"/>
        </w:rPr>
        <w:t>注：</w:t>
      </w:r>
    </w:p>
    <w:p>
      <w:pPr>
        <w:pStyle w:val="12"/>
        <w:spacing w:line="360" w:lineRule="auto"/>
        <w:ind w:firstLine="0" w:firstLineChars="0"/>
        <w:rPr>
          <w:rFonts w:ascii="宋体" w:hAnsi="宋体" w:eastAsia="宋体" w:cs="宋体"/>
          <w:color w:val="auto"/>
          <w:szCs w:val="32"/>
          <w:highlight w:val="none"/>
        </w:rPr>
      </w:pPr>
      <w:r>
        <w:rPr>
          <w:rFonts w:hint="eastAsia" w:ascii="宋体" w:hAnsi="宋体" w:eastAsia="宋体" w:cs="宋体"/>
          <w:color w:val="auto"/>
          <w:sz w:val="24"/>
          <w:szCs w:val="24"/>
          <w:highlight w:val="none"/>
        </w:rPr>
        <w:t>1. 说明：应对照招标文件“第二章 采购需求”“一、采购需求”中的“技术要求”逐条作明确的投标响应，并作出偏离说明。</w:t>
      </w:r>
    </w:p>
    <w:p>
      <w:pPr>
        <w:pStyle w:val="11"/>
        <w:spacing w:line="360" w:lineRule="auto"/>
        <w:rPr>
          <w:rFonts w:ascii="宋体" w:hAnsi="宋体" w:cs="宋体"/>
          <w:b w:val="0"/>
          <w:bCs w:val="0"/>
          <w:color w:val="auto"/>
          <w:highlight w:val="none"/>
        </w:rPr>
      </w:pPr>
      <w:r>
        <w:rPr>
          <w:rFonts w:hint="eastAsia" w:ascii="宋体" w:hAnsi="宋体" w:cs="宋体"/>
          <w:b w:val="0"/>
          <w:bCs w:val="0"/>
          <w:color w:val="auto"/>
          <w:highlight w:val="none"/>
        </w:rPr>
        <w:t>2.投标人根据投标货物的性能指标，对照招标文件技术要求，在“偏离说明”中注明“</w:t>
      </w:r>
      <w:r>
        <w:rPr>
          <w:rFonts w:hint="eastAsia" w:ascii="宋体" w:hAnsi="宋体" w:cs="宋体"/>
          <w:color w:val="auto"/>
          <w:highlight w:val="none"/>
        </w:rPr>
        <w:t>正偏离</w:t>
      </w:r>
      <w:r>
        <w:rPr>
          <w:rFonts w:hint="eastAsia" w:ascii="宋体" w:hAnsi="宋体" w:cs="宋体"/>
          <w:b w:val="0"/>
          <w:bCs w:val="0"/>
          <w:color w:val="auto"/>
          <w:highlight w:val="none"/>
        </w:rPr>
        <w:t>”、“</w:t>
      </w:r>
      <w:r>
        <w:rPr>
          <w:rFonts w:hint="eastAsia" w:ascii="宋体" w:hAnsi="宋体" w:cs="宋体"/>
          <w:color w:val="auto"/>
          <w:highlight w:val="none"/>
        </w:rPr>
        <w:t>负偏离</w:t>
      </w:r>
      <w:r>
        <w:rPr>
          <w:rFonts w:hint="eastAsia" w:ascii="宋体" w:hAnsi="宋体" w:cs="宋体"/>
          <w:b w:val="0"/>
          <w:bCs w:val="0"/>
          <w:color w:val="auto"/>
          <w:highlight w:val="none"/>
        </w:rPr>
        <w:t>”或者“</w:t>
      </w:r>
      <w:r>
        <w:rPr>
          <w:rFonts w:hint="eastAsia" w:ascii="宋体" w:hAnsi="宋体" w:cs="宋体"/>
          <w:color w:val="auto"/>
          <w:highlight w:val="none"/>
        </w:rPr>
        <w:t>无偏离</w:t>
      </w:r>
      <w:r>
        <w:rPr>
          <w:rFonts w:hint="eastAsia" w:ascii="宋体" w:hAnsi="宋体" w:cs="宋体"/>
          <w:b w:val="0"/>
          <w:bCs w:val="0"/>
          <w:color w:val="auto"/>
          <w:highlight w:val="none"/>
        </w:rPr>
        <w:t>”。既不属于“</w:t>
      </w:r>
      <w:r>
        <w:rPr>
          <w:rFonts w:hint="eastAsia" w:ascii="宋体" w:hAnsi="宋体" w:cs="宋体"/>
          <w:color w:val="auto"/>
          <w:highlight w:val="none"/>
        </w:rPr>
        <w:t>正偏离</w:t>
      </w:r>
      <w:r>
        <w:rPr>
          <w:rFonts w:hint="eastAsia" w:ascii="宋体" w:hAnsi="宋体" w:cs="宋体"/>
          <w:b w:val="0"/>
          <w:bCs w:val="0"/>
          <w:color w:val="auto"/>
          <w:highlight w:val="none"/>
        </w:rPr>
        <w:t>”也不属于“</w:t>
      </w:r>
      <w:r>
        <w:rPr>
          <w:rFonts w:hint="eastAsia" w:ascii="宋体" w:hAnsi="宋体" w:cs="宋体"/>
          <w:color w:val="auto"/>
          <w:highlight w:val="none"/>
        </w:rPr>
        <w:t>负偏离</w:t>
      </w:r>
      <w:r>
        <w:rPr>
          <w:rFonts w:hint="eastAsia" w:ascii="宋体" w:hAnsi="宋体" w:cs="宋体"/>
          <w:b w:val="0"/>
          <w:bCs w:val="0"/>
          <w:color w:val="auto"/>
          <w:highlight w:val="none"/>
        </w:rPr>
        <w:t>”即为“</w:t>
      </w:r>
      <w:r>
        <w:rPr>
          <w:rFonts w:hint="eastAsia" w:ascii="宋体" w:hAnsi="宋体" w:cs="宋体"/>
          <w:color w:val="auto"/>
          <w:highlight w:val="none"/>
        </w:rPr>
        <w:t>无偏离</w:t>
      </w:r>
      <w:r>
        <w:rPr>
          <w:rFonts w:hint="eastAsia" w:ascii="宋体" w:hAnsi="宋体" w:cs="宋体"/>
          <w:b w:val="0"/>
          <w:bCs w:val="0"/>
          <w:color w:val="auto"/>
          <w:highlight w:val="none"/>
        </w:rPr>
        <w:t>”。</w:t>
      </w:r>
    </w:p>
    <w:p>
      <w:pPr>
        <w:pStyle w:val="12"/>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认为其投标响应有正偏离的，请在技术要求偏离表中列明，且在投标文件中按技术需求或评标方法及评标标准的要求提供佐证材料，以上佐证材料均须加投标人电子公章，未按要求提供的评委可不予以认可。</w:t>
      </w:r>
    </w:p>
    <w:p>
      <w:pPr>
        <w:pStyle w:val="12"/>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4.如技术要求偏离表中的投标响应与佐证材料不一致的，以佐证材料为准。</w:t>
      </w:r>
    </w:p>
    <w:p>
      <w:pPr>
        <w:snapToGrid w:val="0"/>
        <w:spacing w:before="50" w:after="50" w:line="360" w:lineRule="auto"/>
        <w:rPr>
          <w:rFonts w:ascii="宋体" w:hAnsi="宋体" w:cs="宋体"/>
          <w:color w:val="auto"/>
          <w:sz w:val="24"/>
          <w:highlight w:val="none"/>
        </w:rPr>
      </w:pPr>
    </w:p>
    <w:p>
      <w:pPr>
        <w:snapToGrid w:val="0"/>
        <w:spacing w:before="50" w:after="50" w:line="360" w:lineRule="auto"/>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（签字/电子签名）：</w:t>
      </w:r>
    </w:p>
    <w:p>
      <w:pPr>
        <w:snapToGrid w:val="0"/>
        <w:spacing w:before="50" w:after="50" w:line="360" w:lineRule="auto"/>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p>
    <w:p>
      <w:pPr>
        <w:snapToGrid w:val="0"/>
        <w:spacing w:before="50" w:after="50" w:line="360" w:lineRule="auto"/>
        <w:rPr>
          <w:rFonts w:ascii="宋体" w:hAnsi="宋体" w:cs="宋体"/>
          <w:color w:val="auto"/>
          <w:spacing w:val="20"/>
          <w:sz w:val="24"/>
          <w:highlight w:val="none"/>
        </w:rPr>
      </w:pPr>
      <w:r>
        <w:rPr>
          <w:rFonts w:hint="eastAsia" w:ascii="宋体" w:hAnsi="宋体" w:cs="宋体"/>
          <w:color w:val="auto"/>
          <w:spacing w:val="20"/>
          <w:sz w:val="24"/>
          <w:highlight w:val="none"/>
        </w:rPr>
        <w:t>日 期：</w:t>
      </w:r>
    </w:p>
    <w:p>
      <w:pPr>
        <w:snapToGrid w:val="0"/>
        <w:spacing w:before="50" w:after="50" w:line="360" w:lineRule="auto"/>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5. 项目实施人员一览表格式</w:t>
      </w:r>
    </w:p>
    <w:p>
      <w:pPr>
        <w:snapToGrid w:val="0"/>
        <w:spacing w:beforeLines="50" w:after="50" w:line="360" w:lineRule="auto"/>
        <w:ind w:left="142"/>
        <w:jc w:val="left"/>
        <w:rPr>
          <w:rFonts w:ascii="宋体" w:hAnsi="宋体" w:cs="宋体"/>
          <w:b/>
          <w:color w:val="auto"/>
          <w:sz w:val="24"/>
          <w:highlight w:val="none"/>
        </w:rPr>
      </w:pPr>
    </w:p>
    <w:p>
      <w:pPr>
        <w:snapToGrid w:val="0"/>
        <w:spacing w:beforeLines="50" w:after="50"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pPr>
        <w:pStyle w:val="1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highlight w:val="none"/>
        </w:rPr>
        <w:t>（如有）</w:t>
      </w:r>
      <w:r>
        <w:rPr>
          <w:rFonts w:hint="eastAsia" w:hAnsi="宋体" w:cs="宋体"/>
          <w:color w:val="auto"/>
          <w:sz w:val="24"/>
          <w:szCs w:val="24"/>
          <w:highlight w:val="none"/>
        </w:rPr>
        <w:t xml:space="preserve">： </w:t>
      </w:r>
    </w:p>
    <w:tbl>
      <w:tblPr>
        <w:tblStyle w:val="25"/>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17"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姓名</w:t>
            </w:r>
          </w:p>
        </w:tc>
        <w:tc>
          <w:tcPr>
            <w:tcW w:w="709"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职务</w:t>
            </w:r>
          </w:p>
        </w:tc>
        <w:tc>
          <w:tcPr>
            <w:tcW w:w="1701"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专业技术资格（职称）或者职业资格或者执业资格证或者其他证书</w:t>
            </w:r>
          </w:p>
        </w:tc>
        <w:tc>
          <w:tcPr>
            <w:tcW w:w="1420"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证书编号</w:t>
            </w:r>
          </w:p>
        </w:tc>
        <w:tc>
          <w:tcPr>
            <w:tcW w:w="1698"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参加本单位</w:t>
            </w:r>
          </w:p>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工作时间</w:t>
            </w:r>
          </w:p>
        </w:tc>
        <w:tc>
          <w:tcPr>
            <w:tcW w:w="1843" w:type="dxa"/>
            <w:vAlign w:val="center"/>
          </w:tcPr>
          <w:p>
            <w:pPr>
              <w:snapToGrid w:val="0"/>
              <w:spacing w:before="50" w:afterLines="50" w:line="360" w:lineRule="auto"/>
              <w:jc w:val="center"/>
              <w:rPr>
                <w:rFonts w:ascii="宋体" w:hAnsi="宋体" w:cs="宋体"/>
                <w:color w:val="auto"/>
                <w:sz w:val="24"/>
                <w:szCs w:val="20"/>
                <w:highlight w:val="none"/>
              </w:rPr>
            </w:pPr>
            <w:r>
              <w:rPr>
                <w:rFonts w:hint="eastAsia" w:ascii="宋体" w:hAnsi="宋体" w:cs="宋体"/>
                <w:color w:val="auto"/>
                <w:sz w:val="24"/>
                <w:szCs w:val="20"/>
                <w:highlight w:val="none"/>
              </w:rPr>
              <w:t>劳动合同编号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before="50" w:afterLines="50" w:line="360" w:lineRule="auto"/>
              <w:jc w:val="center"/>
              <w:rPr>
                <w:rFonts w:ascii="宋体" w:hAnsi="宋体" w:cs="宋体"/>
                <w:color w:val="auto"/>
                <w:sz w:val="24"/>
                <w:szCs w:val="20"/>
                <w:highlight w:val="none"/>
              </w:rPr>
            </w:pPr>
          </w:p>
        </w:tc>
        <w:tc>
          <w:tcPr>
            <w:tcW w:w="709" w:type="dxa"/>
            <w:vAlign w:val="center"/>
          </w:tcPr>
          <w:p>
            <w:pPr>
              <w:snapToGrid w:val="0"/>
              <w:spacing w:before="50" w:afterLines="50" w:line="360" w:lineRule="auto"/>
              <w:jc w:val="center"/>
              <w:rPr>
                <w:rFonts w:ascii="宋体" w:hAnsi="宋体" w:cs="宋体"/>
                <w:color w:val="auto"/>
                <w:sz w:val="24"/>
                <w:szCs w:val="20"/>
                <w:highlight w:val="none"/>
              </w:rPr>
            </w:pPr>
          </w:p>
        </w:tc>
        <w:tc>
          <w:tcPr>
            <w:tcW w:w="1701" w:type="dxa"/>
            <w:vAlign w:val="center"/>
          </w:tcPr>
          <w:p>
            <w:pPr>
              <w:snapToGrid w:val="0"/>
              <w:spacing w:before="50" w:afterLines="50" w:line="360" w:lineRule="auto"/>
              <w:jc w:val="center"/>
              <w:rPr>
                <w:rFonts w:ascii="宋体" w:hAnsi="宋体" w:cs="宋体"/>
                <w:color w:val="auto"/>
                <w:sz w:val="24"/>
                <w:szCs w:val="20"/>
                <w:highlight w:val="none"/>
              </w:rPr>
            </w:pPr>
          </w:p>
        </w:tc>
        <w:tc>
          <w:tcPr>
            <w:tcW w:w="1420" w:type="dxa"/>
            <w:vAlign w:val="center"/>
          </w:tcPr>
          <w:p>
            <w:pPr>
              <w:snapToGrid w:val="0"/>
              <w:spacing w:before="50" w:afterLines="50" w:line="360" w:lineRule="auto"/>
              <w:jc w:val="center"/>
              <w:rPr>
                <w:rFonts w:ascii="宋体" w:hAnsi="宋体" w:cs="宋体"/>
                <w:color w:val="auto"/>
                <w:sz w:val="24"/>
                <w:szCs w:val="20"/>
                <w:highlight w:val="none"/>
              </w:rPr>
            </w:pPr>
          </w:p>
        </w:tc>
        <w:tc>
          <w:tcPr>
            <w:tcW w:w="1698" w:type="dxa"/>
            <w:vAlign w:val="center"/>
          </w:tcPr>
          <w:p>
            <w:pPr>
              <w:snapToGrid w:val="0"/>
              <w:spacing w:before="50" w:afterLines="50" w:line="360" w:lineRule="auto"/>
              <w:jc w:val="center"/>
              <w:rPr>
                <w:rFonts w:ascii="宋体" w:hAnsi="宋体" w:cs="宋体"/>
                <w:color w:val="auto"/>
                <w:sz w:val="24"/>
                <w:szCs w:val="20"/>
                <w:highlight w:val="none"/>
              </w:rPr>
            </w:pPr>
          </w:p>
        </w:tc>
        <w:tc>
          <w:tcPr>
            <w:tcW w:w="1843" w:type="dxa"/>
            <w:vAlign w:val="center"/>
          </w:tcPr>
          <w:p>
            <w:pPr>
              <w:snapToGrid w:val="0"/>
              <w:spacing w:before="50" w:afterLines="50" w:line="360" w:lineRule="auto"/>
              <w:jc w:val="center"/>
              <w:rPr>
                <w:rFonts w:ascii="宋体" w:hAnsi="宋体" w:cs="宋体"/>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before="50" w:afterLines="50" w:line="360" w:lineRule="auto"/>
              <w:jc w:val="center"/>
              <w:rPr>
                <w:rFonts w:ascii="宋体" w:hAnsi="宋体" w:cs="宋体"/>
                <w:color w:val="auto"/>
                <w:sz w:val="24"/>
                <w:szCs w:val="20"/>
                <w:highlight w:val="none"/>
              </w:rPr>
            </w:pPr>
          </w:p>
        </w:tc>
        <w:tc>
          <w:tcPr>
            <w:tcW w:w="709" w:type="dxa"/>
            <w:vAlign w:val="center"/>
          </w:tcPr>
          <w:p>
            <w:pPr>
              <w:snapToGrid w:val="0"/>
              <w:spacing w:before="50" w:afterLines="50" w:line="360" w:lineRule="auto"/>
              <w:jc w:val="center"/>
              <w:rPr>
                <w:rFonts w:ascii="宋体" w:hAnsi="宋体" w:cs="宋体"/>
                <w:color w:val="auto"/>
                <w:sz w:val="24"/>
                <w:szCs w:val="20"/>
                <w:highlight w:val="none"/>
              </w:rPr>
            </w:pPr>
          </w:p>
        </w:tc>
        <w:tc>
          <w:tcPr>
            <w:tcW w:w="1701" w:type="dxa"/>
            <w:vAlign w:val="center"/>
          </w:tcPr>
          <w:p>
            <w:pPr>
              <w:snapToGrid w:val="0"/>
              <w:spacing w:before="50" w:afterLines="50" w:line="360" w:lineRule="auto"/>
              <w:jc w:val="center"/>
              <w:rPr>
                <w:rFonts w:ascii="宋体" w:hAnsi="宋体" w:cs="宋体"/>
                <w:color w:val="auto"/>
                <w:sz w:val="24"/>
                <w:szCs w:val="20"/>
                <w:highlight w:val="none"/>
              </w:rPr>
            </w:pPr>
          </w:p>
        </w:tc>
        <w:tc>
          <w:tcPr>
            <w:tcW w:w="1420" w:type="dxa"/>
            <w:vAlign w:val="center"/>
          </w:tcPr>
          <w:p>
            <w:pPr>
              <w:snapToGrid w:val="0"/>
              <w:spacing w:before="50" w:afterLines="50" w:line="360" w:lineRule="auto"/>
              <w:jc w:val="center"/>
              <w:rPr>
                <w:rFonts w:ascii="宋体" w:hAnsi="宋体" w:cs="宋体"/>
                <w:color w:val="auto"/>
                <w:sz w:val="24"/>
                <w:szCs w:val="20"/>
                <w:highlight w:val="none"/>
              </w:rPr>
            </w:pPr>
          </w:p>
        </w:tc>
        <w:tc>
          <w:tcPr>
            <w:tcW w:w="1698" w:type="dxa"/>
            <w:vAlign w:val="center"/>
          </w:tcPr>
          <w:p>
            <w:pPr>
              <w:snapToGrid w:val="0"/>
              <w:spacing w:before="50" w:afterLines="50" w:line="360" w:lineRule="auto"/>
              <w:jc w:val="center"/>
              <w:rPr>
                <w:rFonts w:ascii="宋体" w:hAnsi="宋体" w:cs="宋体"/>
                <w:color w:val="auto"/>
                <w:sz w:val="24"/>
                <w:szCs w:val="20"/>
                <w:highlight w:val="none"/>
              </w:rPr>
            </w:pPr>
          </w:p>
        </w:tc>
        <w:tc>
          <w:tcPr>
            <w:tcW w:w="1843" w:type="dxa"/>
            <w:vAlign w:val="center"/>
          </w:tcPr>
          <w:p>
            <w:pPr>
              <w:snapToGrid w:val="0"/>
              <w:spacing w:before="50" w:afterLines="50" w:line="360" w:lineRule="auto"/>
              <w:jc w:val="center"/>
              <w:rPr>
                <w:rFonts w:ascii="宋体" w:hAnsi="宋体" w:cs="宋体"/>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before="50" w:afterLines="50" w:line="360" w:lineRule="auto"/>
              <w:jc w:val="center"/>
              <w:rPr>
                <w:rFonts w:ascii="宋体" w:hAnsi="宋体" w:cs="宋体"/>
                <w:color w:val="auto"/>
                <w:sz w:val="24"/>
                <w:szCs w:val="20"/>
                <w:highlight w:val="none"/>
              </w:rPr>
            </w:pPr>
          </w:p>
        </w:tc>
        <w:tc>
          <w:tcPr>
            <w:tcW w:w="709" w:type="dxa"/>
            <w:vAlign w:val="center"/>
          </w:tcPr>
          <w:p>
            <w:pPr>
              <w:snapToGrid w:val="0"/>
              <w:spacing w:before="50" w:afterLines="50" w:line="360" w:lineRule="auto"/>
              <w:jc w:val="center"/>
              <w:rPr>
                <w:rFonts w:ascii="宋体" w:hAnsi="宋体" w:cs="宋体"/>
                <w:color w:val="auto"/>
                <w:sz w:val="24"/>
                <w:szCs w:val="20"/>
                <w:highlight w:val="none"/>
              </w:rPr>
            </w:pPr>
          </w:p>
        </w:tc>
        <w:tc>
          <w:tcPr>
            <w:tcW w:w="1701" w:type="dxa"/>
            <w:vAlign w:val="center"/>
          </w:tcPr>
          <w:p>
            <w:pPr>
              <w:snapToGrid w:val="0"/>
              <w:spacing w:before="50" w:afterLines="50" w:line="360" w:lineRule="auto"/>
              <w:jc w:val="center"/>
              <w:rPr>
                <w:rFonts w:ascii="宋体" w:hAnsi="宋体" w:cs="宋体"/>
                <w:color w:val="auto"/>
                <w:sz w:val="24"/>
                <w:szCs w:val="20"/>
                <w:highlight w:val="none"/>
              </w:rPr>
            </w:pPr>
          </w:p>
        </w:tc>
        <w:tc>
          <w:tcPr>
            <w:tcW w:w="1420" w:type="dxa"/>
            <w:vAlign w:val="center"/>
          </w:tcPr>
          <w:p>
            <w:pPr>
              <w:snapToGrid w:val="0"/>
              <w:spacing w:before="50" w:afterLines="50" w:line="360" w:lineRule="auto"/>
              <w:jc w:val="center"/>
              <w:rPr>
                <w:rFonts w:ascii="宋体" w:hAnsi="宋体" w:cs="宋体"/>
                <w:color w:val="auto"/>
                <w:sz w:val="24"/>
                <w:szCs w:val="20"/>
                <w:highlight w:val="none"/>
              </w:rPr>
            </w:pPr>
          </w:p>
        </w:tc>
        <w:tc>
          <w:tcPr>
            <w:tcW w:w="1698" w:type="dxa"/>
            <w:vAlign w:val="center"/>
          </w:tcPr>
          <w:p>
            <w:pPr>
              <w:snapToGrid w:val="0"/>
              <w:spacing w:before="50" w:afterLines="50" w:line="360" w:lineRule="auto"/>
              <w:jc w:val="center"/>
              <w:rPr>
                <w:rFonts w:ascii="宋体" w:hAnsi="宋体" w:cs="宋体"/>
                <w:color w:val="auto"/>
                <w:sz w:val="24"/>
                <w:szCs w:val="20"/>
                <w:highlight w:val="none"/>
              </w:rPr>
            </w:pPr>
          </w:p>
        </w:tc>
        <w:tc>
          <w:tcPr>
            <w:tcW w:w="1843" w:type="dxa"/>
            <w:vAlign w:val="center"/>
          </w:tcPr>
          <w:p>
            <w:pPr>
              <w:snapToGrid w:val="0"/>
              <w:spacing w:before="50" w:afterLines="50" w:line="360" w:lineRule="auto"/>
              <w:jc w:val="center"/>
              <w:rPr>
                <w:rFonts w:ascii="宋体" w:hAnsi="宋体" w:cs="宋体"/>
                <w:color w:val="auto"/>
                <w:sz w:val="24"/>
                <w:szCs w:val="20"/>
                <w:highlight w:val="none"/>
              </w:rPr>
            </w:pPr>
          </w:p>
        </w:tc>
      </w:tr>
    </w:tbl>
    <w:p>
      <w:pPr>
        <w:snapToGrid w:val="0"/>
        <w:spacing w:before="50" w:afterLines="50" w:line="360" w:lineRule="auto"/>
        <w:jc w:val="left"/>
        <w:rPr>
          <w:rFonts w:ascii="宋体" w:hAnsi="宋体" w:cs="宋体"/>
          <w:color w:val="auto"/>
          <w:sz w:val="24"/>
          <w:szCs w:val="20"/>
          <w:highlight w:val="none"/>
        </w:rPr>
      </w:pPr>
    </w:p>
    <w:p>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注：</w:t>
      </w:r>
    </w:p>
    <w:p>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1.在填写时，如本表格不适合投标单位的实际情况，可根据本表格式自行制表填写。</w:t>
      </w:r>
    </w:p>
    <w:p>
      <w:pPr>
        <w:spacing w:line="360" w:lineRule="auto"/>
        <w:contextualSpacing/>
        <w:jc w:val="left"/>
        <w:rPr>
          <w:rFonts w:ascii="宋体" w:hAnsi="宋体" w:cs="宋体"/>
          <w:color w:val="auto"/>
          <w:sz w:val="24"/>
          <w:szCs w:val="20"/>
          <w:highlight w:val="none"/>
        </w:rPr>
      </w:pPr>
      <w:r>
        <w:rPr>
          <w:rFonts w:hint="eastAsia" w:ascii="宋体" w:hAnsi="宋体" w:cs="宋体"/>
          <w:color w:val="auto"/>
          <w:sz w:val="24"/>
          <w:szCs w:val="20"/>
          <w:highlight w:val="none"/>
        </w:rPr>
        <w:t>2.投标人应当附本表所列证书的复印件（如有）并加盖投标人公章。</w:t>
      </w:r>
    </w:p>
    <w:p>
      <w:pPr>
        <w:spacing w:line="360" w:lineRule="auto"/>
        <w:contextualSpacing/>
        <w:jc w:val="left"/>
        <w:rPr>
          <w:rFonts w:ascii="宋体" w:hAnsi="宋体" w:cs="宋体"/>
          <w:color w:val="auto"/>
          <w:sz w:val="24"/>
          <w:szCs w:val="20"/>
          <w:highlight w:val="none"/>
        </w:rPr>
      </w:pPr>
    </w:p>
    <w:p>
      <w:pPr>
        <w:spacing w:line="360" w:lineRule="auto"/>
        <w:contextualSpacing/>
        <w:jc w:val="left"/>
        <w:rPr>
          <w:rFonts w:ascii="宋体" w:hAnsi="宋体" w:cs="宋体"/>
          <w:color w:val="auto"/>
          <w:sz w:val="24"/>
          <w:szCs w:val="20"/>
          <w:highlight w:val="none"/>
        </w:rPr>
      </w:pPr>
    </w:p>
    <w:p>
      <w:pPr>
        <w:spacing w:line="360" w:lineRule="auto"/>
        <w:contextualSpacing/>
        <w:rPr>
          <w:rFonts w:ascii="宋体" w:hAnsi="宋体" w:cs="宋体"/>
          <w:color w:val="auto"/>
          <w:spacing w:val="20"/>
          <w:sz w:val="24"/>
          <w:szCs w:val="20"/>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（签字/电子签名）：</w:t>
      </w:r>
    </w:p>
    <w:p>
      <w:pPr>
        <w:spacing w:line="360" w:lineRule="auto"/>
        <w:contextualSpacing/>
        <w:jc w:val="left"/>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p>
    <w:p>
      <w:pPr>
        <w:spacing w:line="360" w:lineRule="auto"/>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w:t>
      </w:r>
    </w:p>
    <w:p>
      <w:pPr>
        <w:snapToGrid w:val="0"/>
        <w:spacing w:before="50" w:afterLines="50" w:line="360" w:lineRule="auto"/>
        <w:jc w:val="left"/>
        <w:rPr>
          <w:rFonts w:ascii="宋体" w:hAnsi="宋体" w:cs="宋体"/>
          <w:color w:val="auto"/>
          <w:sz w:val="24"/>
          <w:szCs w:val="20"/>
          <w:highlight w:val="none"/>
        </w:rPr>
      </w:pP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6. 选配件、专用耗材、售后服务优惠表格式（注：按项目需求表具体项目修改）</w:t>
      </w:r>
    </w:p>
    <w:p>
      <w:pPr>
        <w:snapToGrid w:val="0"/>
        <w:spacing w:beforeLines="50" w:after="50" w:line="360" w:lineRule="auto"/>
        <w:ind w:left="142"/>
        <w:jc w:val="left"/>
        <w:rPr>
          <w:rFonts w:ascii="宋体" w:hAnsi="宋体" w:cs="宋体"/>
          <w:b/>
          <w:color w:val="auto"/>
          <w:sz w:val="24"/>
          <w:highlight w:val="none"/>
        </w:rPr>
      </w:pPr>
    </w:p>
    <w:p>
      <w:pPr>
        <w:snapToGrid w:val="0"/>
        <w:spacing w:beforeLines="50" w:after="50"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选配件、专用耗材、售后服务优惠表</w:t>
      </w:r>
    </w:p>
    <w:p>
      <w:pPr>
        <w:pStyle w:val="14"/>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highlight w:val="none"/>
        </w:rPr>
        <w:t>（如有）</w:t>
      </w:r>
      <w:r>
        <w:rPr>
          <w:rFonts w:hint="eastAsia" w:hAnsi="宋体" w:cs="宋体"/>
          <w:color w:val="auto"/>
          <w:sz w:val="24"/>
          <w:szCs w:val="24"/>
          <w:highlight w:val="none"/>
        </w:rPr>
        <w:t>：分标</w:t>
      </w:r>
    </w:p>
    <w:tbl>
      <w:tblPr>
        <w:tblStyle w:val="25"/>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单价</w:t>
            </w:r>
          </w:p>
        </w:tc>
        <w:tc>
          <w:tcPr>
            <w:tcW w:w="2340" w:type="dxa"/>
            <w:tcBorders>
              <w:top w:val="single" w:color="auto" w:sz="4" w:space="0"/>
              <w:left w:val="single" w:color="auto" w:sz="4" w:space="0"/>
              <w:bottom w:val="single" w:color="auto" w:sz="2" w:space="0"/>
              <w:right w:val="single" w:color="auto" w:sz="4" w:space="0"/>
            </w:tcBorders>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比市场价优惠率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1</w:t>
            </w:r>
          </w:p>
        </w:tc>
        <w:tc>
          <w:tcPr>
            <w:tcW w:w="2700" w:type="dxa"/>
            <w:tcBorders>
              <w:top w:val="single" w:color="auto" w:sz="2" w:space="0"/>
              <w:left w:val="single" w:color="auto" w:sz="2" w:space="0"/>
              <w:bottom w:val="single" w:color="auto" w:sz="6" w:space="0"/>
              <w:right w:val="single" w:color="auto" w:sz="4"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2340" w:type="dxa"/>
            <w:tcBorders>
              <w:top w:val="single" w:color="auto" w:sz="2" w:space="0"/>
              <w:left w:val="single" w:color="auto" w:sz="6" w:space="0"/>
              <w:bottom w:val="single" w:color="auto" w:sz="6" w:space="0"/>
              <w:right w:val="single" w:color="auto" w:sz="2"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2</w:t>
            </w:r>
          </w:p>
        </w:tc>
        <w:tc>
          <w:tcPr>
            <w:tcW w:w="2700" w:type="dxa"/>
            <w:tcBorders>
              <w:top w:val="single" w:color="auto" w:sz="6" w:space="0"/>
              <w:left w:val="single" w:color="auto" w:sz="2" w:space="0"/>
              <w:bottom w:val="single" w:color="auto" w:sz="6" w:space="0"/>
              <w:right w:val="single" w:color="auto" w:sz="4"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14"/>
              <w:snapToGrid w:val="0"/>
              <w:spacing w:before="295" w:after="295" w:line="360" w:lineRule="auto"/>
              <w:jc w:val="center"/>
              <w:rPr>
                <w:rFonts w:hAnsi="宋体" w:cs="宋体"/>
                <w:color w:val="auto"/>
                <w:kern w:val="2"/>
                <w:sz w:val="24"/>
                <w:szCs w:val="24"/>
                <w:highlight w:val="none"/>
              </w:rPr>
            </w:pPr>
            <w:r>
              <w:rPr>
                <w:rFonts w:hint="eastAsia" w:hAnsi="宋体" w:cs="宋体"/>
                <w:color w:val="auto"/>
                <w:kern w:val="2"/>
                <w:sz w:val="24"/>
                <w:szCs w:val="24"/>
                <w:highlight w:val="none"/>
              </w:rPr>
              <w:t>3</w:t>
            </w:r>
          </w:p>
        </w:tc>
        <w:tc>
          <w:tcPr>
            <w:tcW w:w="2700" w:type="dxa"/>
            <w:tcBorders>
              <w:top w:val="single" w:color="auto" w:sz="6" w:space="0"/>
              <w:left w:val="single" w:color="auto" w:sz="2" w:space="0"/>
              <w:bottom w:val="single" w:color="auto" w:sz="6" w:space="0"/>
              <w:right w:val="single" w:color="auto" w:sz="4"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14"/>
              <w:snapToGrid w:val="0"/>
              <w:spacing w:before="295" w:after="295" w:line="360" w:lineRule="auto"/>
              <w:ind w:firstLine="480"/>
              <w:jc w:val="center"/>
              <w:rPr>
                <w:rFonts w:hAnsi="宋体" w:cs="宋体"/>
                <w:color w:val="auto"/>
                <w:kern w:val="2"/>
                <w:sz w:val="24"/>
                <w:szCs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pPr>
              <w:pStyle w:val="14"/>
              <w:snapToGrid w:val="0"/>
              <w:spacing w:before="295" w:after="295" w:line="360" w:lineRule="auto"/>
              <w:ind w:firstLine="480"/>
              <w:jc w:val="center"/>
              <w:rPr>
                <w:rFonts w:hAnsi="宋体" w:cs="宋体"/>
                <w:color w:val="auto"/>
                <w:kern w:val="2"/>
                <w:sz w:val="24"/>
                <w:szCs w:val="24"/>
                <w:highlight w:val="none"/>
              </w:rPr>
            </w:pPr>
            <w:r>
              <w:rPr>
                <w:rFonts w:hint="eastAsia" w:hAnsi="宋体" w:cs="宋体"/>
                <w:color w:val="auto"/>
                <w:kern w:val="2"/>
                <w:sz w:val="24"/>
                <w:szCs w:val="24"/>
                <w:highlight w:val="none"/>
              </w:rPr>
              <w:t>%</w:t>
            </w:r>
          </w:p>
        </w:tc>
      </w:tr>
    </w:tbl>
    <w:p>
      <w:pPr>
        <w:spacing w:line="360" w:lineRule="auto"/>
        <w:contextualSpacing/>
        <w:rPr>
          <w:rFonts w:ascii="宋体" w:hAnsi="宋体" w:cs="宋体"/>
          <w:color w:val="auto"/>
          <w:sz w:val="24"/>
          <w:highlight w:val="none"/>
        </w:rPr>
      </w:pPr>
    </w:p>
    <w:p>
      <w:pPr>
        <w:spacing w:line="360" w:lineRule="auto"/>
        <w:contextualSpacing/>
        <w:rPr>
          <w:rFonts w:ascii="宋体" w:hAnsi="宋体" w:cs="宋体"/>
          <w:color w:val="auto"/>
          <w:spacing w:val="20"/>
          <w:sz w:val="24"/>
          <w:highlight w:val="none"/>
          <w:u w:val="single"/>
        </w:rPr>
      </w:pPr>
      <w:r>
        <w:rPr>
          <w:rFonts w:hint="eastAsia" w:ascii="宋体" w:hAnsi="宋体" w:cs="宋体"/>
          <w:color w:val="auto"/>
          <w:sz w:val="24"/>
          <w:highlight w:val="none"/>
        </w:rPr>
        <w:t>法定代表人或者委托代理人</w:t>
      </w:r>
      <w:r>
        <w:rPr>
          <w:rFonts w:hint="eastAsia" w:ascii="宋体" w:hAnsi="宋体" w:cs="宋体"/>
          <w:color w:val="auto"/>
          <w:spacing w:val="20"/>
          <w:sz w:val="24"/>
          <w:highlight w:val="none"/>
        </w:rPr>
        <w:t>（签字/电子签名）：</w:t>
      </w:r>
    </w:p>
    <w:p>
      <w:pPr>
        <w:spacing w:line="360" w:lineRule="auto"/>
        <w:contextualSpacing/>
        <w:jc w:val="left"/>
        <w:rPr>
          <w:rFonts w:ascii="宋体" w:hAnsi="宋体" w:cs="宋体"/>
          <w:color w:val="auto"/>
          <w:spacing w:val="20"/>
          <w:sz w:val="24"/>
          <w:highlight w:val="none"/>
        </w:rPr>
      </w:pPr>
      <w:r>
        <w:rPr>
          <w:rFonts w:hint="eastAsia" w:ascii="宋体" w:hAnsi="宋体" w:cs="宋体"/>
          <w:color w:val="auto"/>
          <w:spacing w:val="20"/>
          <w:sz w:val="24"/>
          <w:highlight w:val="none"/>
        </w:rPr>
        <w:t>投标人名称（电子签章）：</w:t>
      </w:r>
    </w:p>
    <w:p>
      <w:pPr>
        <w:spacing w:line="360" w:lineRule="auto"/>
        <w:contextualSpacing/>
        <w:jc w:val="left"/>
        <w:rPr>
          <w:rFonts w:ascii="宋体" w:hAnsi="宋体" w:cs="宋体"/>
          <w:color w:val="auto"/>
          <w:sz w:val="24"/>
          <w:szCs w:val="20"/>
          <w:highlight w:val="none"/>
        </w:rPr>
      </w:pPr>
      <w:r>
        <w:rPr>
          <w:rFonts w:hint="eastAsia" w:ascii="宋体" w:hAnsi="宋体" w:cs="宋体"/>
          <w:color w:val="auto"/>
          <w:spacing w:val="20"/>
          <w:sz w:val="24"/>
          <w:highlight w:val="none"/>
        </w:rPr>
        <w:t>日 期：</w:t>
      </w:r>
    </w:p>
    <w:p>
      <w:pPr>
        <w:snapToGrid w:val="0"/>
        <w:spacing w:before="50" w:afterLines="50" w:line="360" w:lineRule="auto"/>
        <w:jc w:val="left"/>
        <w:rPr>
          <w:rFonts w:ascii="宋体" w:hAnsi="宋体" w:cs="宋体"/>
          <w:color w:val="auto"/>
          <w:sz w:val="24"/>
          <w:szCs w:val="20"/>
          <w:highlight w:val="none"/>
        </w:rPr>
      </w:pPr>
    </w:p>
    <w:p>
      <w:pPr>
        <w:spacing w:line="360" w:lineRule="auto"/>
        <w:outlineLvl w:val="1"/>
        <w:rPr>
          <w:rFonts w:ascii="宋体" w:hAnsi="宋体" w:cs="宋体"/>
          <w:b/>
          <w:color w:val="auto"/>
          <w:sz w:val="28"/>
          <w:szCs w:val="28"/>
          <w:highlight w:val="none"/>
        </w:rPr>
      </w:pPr>
      <w:r>
        <w:rPr>
          <w:rFonts w:hint="eastAsia" w:ascii="宋体" w:hAnsi="宋体" w:cs="宋体"/>
          <w:b/>
          <w:bCs/>
          <w:color w:val="auto"/>
          <w:sz w:val="24"/>
          <w:highlight w:val="none"/>
        </w:rPr>
        <w:br w:type="page"/>
      </w:r>
      <w:bookmarkStart w:id="187" w:name="_Toc5239"/>
      <w:r>
        <w:rPr>
          <w:rFonts w:hint="eastAsia" w:ascii="宋体" w:hAnsi="宋体" w:cs="宋体"/>
          <w:b/>
          <w:color w:val="auto"/>
          <w:sz w:val="28"/>
          <w:szCs w:val="28"/>
          <w:highlight w:val="none"/>
        </w:rPr>
        <w:t>五、其他文书、文件格式</w:t>
      </w:r>
      <w:bookmarkEnd w:id="187"/>
    </w:p>
    <w:p>
      <w:pPr>
        <w:snapToGrid w:val="0"/>
        <w:spacing w:beforeLines="50" w:after="50" w:line="360" w:lineRule="auto"/>
        <w:ind w:left="142"/>
        <w:jc w:val="left"/>
        <w:outlineLvl w:val="2"/>
        <w:rPr>
          <w:rFonts w:ascii="宋体" w:hAnsi="宋体" w:cs="宋体"/>
          <w:b/>
          <w:color w:val="auto"/>
          <w:spacing w:val="20"/>
          <w:sz w:val="24"/>
          <w:highlight w:val="none"/>
        </w:rPr>
      </w:pPr>
      <w:r>
        <w:rPr>
          <w:rFonts w:hint="eastAsia" w:ascii="宋体" w:hAnsi="宋体" w:cs="宋体"/>
          <w:b/>
          <w:color w:val="auto"/>
          <w:spacing w:val="20"/>
          <w:sz w:val="24"/>
          <w:highlight w:val="none"/>
        </w:rPr>
        <w:t>1.联合投标协议书格式</w:t>
      </w:r>
    </w:p>
    <w:p>
      <w:pPr>
        <w:pStyle w:val="8"/>
        <w:overflowPunct w:val="0"/>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联合体协议书</w:t>
      </w:r>
    </w:p>
    <w:p>
      <w:pPr>
        <w:pStyle w:val="8"/>
        <w:overflowPunct w:val="0"/>
        <w:spacing w:line="360" w:lineRule="auto"/>
        <w:contextualSpacing/>
        <w:rPr>
          <w:rFonts w:ascii="宋体" w:hAnsi="宋体" w:cs="宋体"/>
          <w:color w:val="auto"/>
          <w:sz w:val="24"/>
          <w:highlight w:val="none"/>
          <w:u w:val="single"/>
        </w:rPr>
      </w:pP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u w:val="single"/>
        </w:rPr>
        <w:tab/>
      </w:r>
      <w:r>
        <w:rPr>
          <w:rFonts w:hint="eastAsia" w:ascii="宋体" w:hAnsi="宋体" w:cs="宋体"/>
          <w:color w:val="auto"/>
          <w:sz w:val="24"/>
          <w:highlight w:val="none"/>
        </w:rPr>
        <w:t>（所有成员单位名称）自愿组成</w:t>
      </w:r>
      <w:r>
        <w:rPr>
          <w:rFonts w:hint="eastAsia" w:ascii="宋体" w:hAnsi="宋体" w:cs="宋体"/>
          <w:color w:val="auto"/>
          <w:sz w:val="24"/>
          <w:highlight w:val="none"/>
          <w:u w:val="single"/>
        </w:rPr>
        <w:tab/>
      </w:r>
      <w:r>
        <w:rPr>
          <w:rFonts w:hint="eastAsia" w:ascii="宋体" w:hAnsi="宋体" w:cs="宋体"/>
          <w:color w:val="auto"/>
          <w:sz w:val="24"/>
          <w:highlight w:val="none"/>
        </w:rPr>
        <w:t>（联合体名称）联合体，共同参加</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采购招标项目投标。现就联合体投标事宜订立如下协议。</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1.  </w:t>
      </w:r>
      <w:r>
        <w:rPr>
          <w:rFonts w:hint="eastAsia" w:ascii="宋体" w:hAnsi="宋体" w:cs="宋体"/>
          <w:color w:val="auto"/>
          <w:sz w:val="24"/>
          <w:highlight w:val="none"/>
          <w:u w:val="single"/>
        </w:rPr>
        <w:tab/>
      </w:r>
      <w:r>
        <w:rPr>
          <w:rFonts w:hint="eastAsia" w:ascii="宋体" w:hAnsi="宋体" w:cs="宋体"/>
          <w:color w:val="auto"/>
          <w:sz w:val="24"/>
          <w:highlight w:val="none"/>
        </w:rPr>
        <w:t>（某成员单位名称）为</w:t>
      </w:r>
      <w:r>
        <w:rPr>
          <w:rFonts w:hint="eastAsia" w:ascii="宋体" w:hAnsi="宋体" w:cs="宋体"/>
          <w:color w:val="auto"/>
          <w:sz w:val="24"/>
          <w:highlight w:val="none"/>
          <w:u w:val="single"/>
        </w:rPr>
        <w:tab/>
      </w:r>
      <w:r>
        <w:rPr>
          <w:rFonts w:hint="eastAsia" w:ascii="宋体" w:hAnsi="宋体" w:cs="宋体"/>
          <w:color w:val="auto"/>
          <w:sz w:val="24"/>
          <w:highlight w:val="none"/>
        </w:rPr>
        <w:t>（联合体名称）牵头人。</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2.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3.联合体牵头人在本项目中签署和盖章的一切文件和处理的一切事宜，联合体各成员均予以承认。联合体各成员将严格按照招标文件、投标文件和合同的要求全面履行义务，并向招标人承担连带责任。</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4.联合体各成员单位内部的职责分工如下：</w:t>
      </w:r>
      <w:r>
        <w:rPr>
          <w:rFonts w:hint="eastAsia" w:ascii="宋体" w:hAnsi="宋体" w:cs="宋体"/>
          <w:color w:val="auto"/>
          <w:sz w:val="24"/>
          <w:highlight w:val="none"/>
          <w:u w:val="single"/>
        </w:rPr>
        <w:tab/>
      </w:r>
      <w:r>
        <w:rPr>
          <w:rFonts w:hint="eastAsia" w:ascii="宋体" w:hAnsi="宋体" w:cs="宋体"/>
          <w:color w:val="auto"/>
          <w:sz w:val="24"/>
          <w:highlight w:val="none"/>
        </w:rPr>
        <w:t>。</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5.本协议书自所有成员单位法定代表人或者其委托代理人签字（或者电子签名）或者盖公章之日起生效，合同履行完毕后自动失效。</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6.本协议书一式</w:t>
      </w:r>
      <w:r>
        <w:rPr>
          <w:rFonts w:hint="eastAsia" w:ascii="宋体" w:hAnsi="宋体" w:cs="宋体"/>
          <w:color w:val="auto"/>
          <w:sz w:val="24"/>
          <w:highlight w:val="none"/>
          <w:u w:val="single"/>
        </w:rPr>
        <w:tab/>
      </w:r>
      <w:r>
        <w:rPr>
          <w:rFonts w:hint="eastAsia" w:ascii="宋体" w:hAnsi="宋体" w:cs="宋体"/>
          <w:color w:val="auto"/>
          <w:sz w:val="24"/>
          <w:highlight w:val="none"/>
        </w:rPr>
        <w:t>份，联合体成员和招标人各执一份。</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注：本协议书由法定代表人签字或者电子签名的，应附法定代表人身份证明；由委托代理人签字或者电子签名的，应附授权委托书。</w:t>
      </w:r>
    </w:p>
    <w:p>
      <w:pPr>
        <w:pStyle w:val="8"/>
        <w:overflowPunct w:val="0"/>
        <w:spacing w:line="360" w:lineRule="auto"/>
        <w:contextualSpacing/>
        <w:rPr>
          <w:rFonts w:ascii="宋体" w:hAnsi="宋体" w:cs="宋体"/>
          <w:color w:val="auto"/>
          <w:sz w:val="24"/>
          <w:highlight w:val="none"/>
        </w:rPr>
      </w:pP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联合体牵头人名称（电子签章）：</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法定代表人或者其委托代理人：</w:t>
      </w:r>
      <w:r>
        <w:rPr>
          <w:rFonts w:hint="eastAsia" w:ascii="宋体" w:hAnsi="宋体" w:cs="宋体"/>
          <w:color w:val="auto"/>
          <w:sz w:val="24"/>
          <w:highlight w:val="none"/>
        </w:rPr>
        <w:tab/>
      </w:r>
      <w:r>
        <w:rPr>
          <w:rFonts w:hint="eastAsia" w:ascii="宋体" w:hAnsi="宋体" w:cs="宋体"/>
          <w:color w:val="auto"/>
          <w:sz w:val="24"/>
          <w:highlight w:val="none"/>
        </w:rPr>
        <w:t>（签字/电子签名）</w:t>
      </w:r>
    </w:p>
    <w:p>
      <w:pPr>
        <w:pStyle w:val="8"/>
        <w:overflowPunct w:val="0"/>
        <w:spacing w:line="360" w:lineRule="auto"/>
        <w:ind w:firstLine="0"/>
        <w:contextualSpacing/>
        <w:rPr>
          <w:rFonts w:ascii="宋体" w:hAnsi="宋体" w:cs="宋体"/>
          <w:color w:val="auto"/>
          <w:sz w:val="24"/>
          <w:highlight w:val="none"/>
        </w:rPr>
      </w:pP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联合体成员名称（盖公章）：</w:t>
      </w: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法定代表人或者其委托代理人：</w:t>
      </w:r>
      <w:r>
        <w:rPr>
          <w:rFonts w:hint="eastAsia" w:ascii="宋体" w:hAnsi="宋体" w:cs="宋体"/>
          <w:color w:val="auto"/>
          <w:sz w:val="24"/>
          <w:highlight w:val="none"/>
        </w:rPr>
        <w:tab/>
      </w:r>
      <w:r>
        <w:rPr>
          <w:rFonts w:hint="eastAsia" w:ascii="宋体" w:hAnsi="宋体" w:cs="宋体"/>
          <w:color w:val="auto"/>
          <w:sz w:val="24"/>
          <w:highlight w:val="none"/>
        </w:rPr>
        <w:t>（签字/电子签名）</w:t>
      </w:r>
    </w:p>
    <w:p>
      <w:pPr>
        <w:pStyle w:val="8"/>
        <w:overflowPunct w:val="0"/>
        <w:spacing w:line="360" w:lineRule="auto"/>
        <w:contextualSpacing/>
        <w:rPr>
          <w:rFonts w:ascii="宋体" w:hAnsi="宋体" w:cs="宋体"/>
          <w:color w:val="auto"/>
          <w:sz w:val="24"/>
          <w:highlight w:val="none"/>
        </w:rPr>
      </w:pPr>
    </w:p>
    <w:p>
      <w:pPr>
        <w:pStyle w:val="8"/>
        <w:overflowPunct w:val="0"/>
        <w:spacing w:line="360" w:lineRule="auto"/>
        <w:contextualSpacing/>
        <w:rPr>
          <w:rFonts w:ascii="宋体" w:hAnsi="宋体" w:cs="宋体"/>
          <w:color w:val="auto"/>
          <w:sz w:val="24"/>
          <w:highlight w:val="none"/>
        </w:rPr>
      </w:pPr>
      <w:r>
        <w:rPr>
          <w:rFonts w:hint="eastAsia" w:ascii="宋体" w:hAnsi="宋体" w:cs="宋体"/>
          <w:color w:val="auto"/>
          <w:sz w:val="24"/>
          <w:highlight w:val="none"/>
        </w:rPr>
        <w:t>……</w:t>
      </w:r>
    </w:p>
    <w:p>
      <w:pPr>
        <w:pStyle w:val="8"/>
        <w:overflowPunct w:val="0"/>
        <w:spacing w:line="360" w:lineRule="auto"/>
        <w:contextualSpacing/>
        <w:jc w:val="right"/>
        <w:rPr>
          <w:rFonts w:ascii="宋体" w:hAnsi="宋体" w:cs="宋体"/>
          <w:b/>
          <w:color w:val="auto"/>
          <w:sz w:val="24"/>
          <w:highlight w:val="none"/>
        </w:rPr>
      </w:pPr>
      <w:r>
        <w:rPr>
          <w:rFonts w:hint="eastAsia" w:ascii="宋体" w:hAnsi="宋体" w:cs="宋体"/>
          <w:color w:val="auto"/>
          <w:sz w:val="24"/>
          <w:highlight w:val="none"/>
        </w:rPr>
        <w:tab/>
      </w:r>
      <w:r>
        <w:rPr>
          <w:rFonts w:hint="eastAsia" w:ascii="宋体" w:hAnsi="宋体" w:cs="宋体"/>
          <w:color w:val="auto"/>
          <w:sz w:val="24"/>
          <w:highlight w:val="none"/>
        </w:rPr>
        <w:t>年</w:t>
      </w:r>
      <w:r>
        <w:rPr>
          <w:rFonts w:hint="eastAsia" w:ascii="宋体" w:hAnsi="宋体" w:cs="宋体"/>
          <w:color w:val="auto"/>
          <w:sz w:val="24"/>
          <w:highlight w:val="none"/>
        </w:rPr>
        <w:tab/>
      </w:r>
      <w:r>
        <w:rPr>
          <w:rFonts w:hint="eastAsia" w:ascii="宋体" w:hAnsi="宋体" w:cs="宋体"/>
          <w:color w:val="auto"/>
          <w:sz w:val="24"/>
          <w:highlight w:val="none"/>
        </w:rPr>
        <w:t>月</w:t>
      </w:r>
      <w:r>
        <w:rPr>
          <w:rFonts w:hint="eastAsia" w:ascii="宋体" w:hAnsi="宋体" w:cs="宋体"/>
          <w:color w:val="auto"/>
          <w:sz w:val="24"/>
          <w:highlight w:val="none"/>
        </w:rPr>
        <w:tab/>
      </w:r>
      <w:r>
        <w:rPr>
          <w:rFonts w:hint="eastAsia" w:ascii="宋体" w:hAnsi="宋体" w:cs="宋体"/>
          <w:color w:val="auto"/>
          <w:sz w:val="24"/>
          <w:highlight w:val="none"/>
        </w:rPr>
        <w:t>日</w:t>
      </w:r>
    </w:p>
    <w:p>
      <w:pPr>
        <w:snapToGrid w:val="0"/>
        <w:spacing w:beforeLines="50" w:after="50" w:line="360" w:lineRule="auto"/>
        <w:jc w:val="left"/>
        <w:outlineLvl w:val="2"/>
        <w:rPr>
          <w:rFonts w:ascii="宋体" w:hAnsi="宋体" w:cs="宋体"/>
          <w:color w:val="auto"/>
          <w:highlight w:val="none"/>
        </w:rPr>
      </w:pPr>
      <w:r>
        <w:rPr>
          <w:rFonts w:hint="eastAsia" w:ascii="宋体" w:hAnsi="宋体" w:cs="宋体"/>
          <w:b/>
          <w:color w:val="auto"/>
          <w:sz w:val="24"/>
          <w:highlight w:val="none"/>
        </w:rPr>
        <w:t>2.中小企业声明函格式</w:t>
      </w:r>
    </w:p>
    <w:p>
      <w:pPr>
        <w:spacing w:line="360" w:lineRule="auto"/>
        <w:rPr>
          <w:rFonts w:ascii="宋体" w:hAnsi="宋体" w:cs="宋体"/>
          <w:color w:val="auto"/>
          <w:highlight w:val="none"/>
        </w:rPr>
      </w:pPr>
    </w:p>
    <w:p>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中小企业声明函（货物）</w:t>
      </w:r>
    </w:p>
    <w:p>
      <w:pPr>
        <w:pStyle w:val="2"/>
        <w:spacing w:line="360" w:lineRule="auto"/>
        <w:ind w:left="-426" w:leftChars="-203" w:right="142" w:firstLine="480" w:firstLineChars="200"/>
        <w:contextualSpacing/>
        <w:rPr>
          <w:rFonts w:ascii="宋体" w:hAnsi="宋体" w:cs="宋体"/>
          <w:color w:val="auto"/>
          <w:kern w:val="24"/>
          <w:highlight w:val="none"/>
        </w:rPr>
      </w:pPr>
    </w:p>
    <w:p>
      <w:pPr>
        <w:pStyle w:val="2"/>
        <w:spacing w:line="360" w:lineRule="auto"/>
        <w:ind w:left="-426" w:leftChars="-203" w:right="142" w:firstLine="480" w:firstLineChars="200"/>
        <w:contextualSpacing/>
        <w:rPr>
          <w:rFonts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1.</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，从业人员人，营业收入为万元，资产总额为万元，属于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pPr>
        <w:tabs>
          <w:tab w:val="left" w:pos="1065"/>
          <w:tab w:val="left" w:pos="6477"/>
        </w:tabs>
        <w:spacing w:line="360" w:lineRule="auto"/>
        <w:ind w:left="-426" w:right="-58" w:firstLine="655"/>
        <w:contextualSpacing/>
        <w:rPr>
          <w:rFonts w:ascii="宋体" w:hAnsi="宋体" w:cs="宋体"/>
          <w:color w:val="auto"/>
          <w:kern w:val="24"/>
          <w:sz w:val="24"/>
          <w:highlight w:val="none"/>
        </w:rPr>
      </w:pPr>
      <w:r>
        <w:rPr>
          <w:rFonts w:hint="eastAsia" w:ascii="宋体" w:hAnsi="宋体" w:cs="宋体"/>
          <w:color w:val="auto"/>
          <w:kern w:val="24"/>
          <w:sz w:val="24"/>
          <w:highlight w:val="none"/>
        </w:rPr>
        <w:t>2.</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，从业人员人，营业收入为万元，资产总额为万元，属于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pPr>
        <w:pStyle w:val="2"/>
        <w:spacing w:line="360" w:lineRule="auto"/>
        <w:ind w:left="142" w:right="142"/>
        <w:contextualSpacing/>
        <w:rPr>
          <w:rFonts w:ascii="宋体" w:hAnsi="宋体" w:cs="宋体"/>
          <w:color w:val="auto"/>
          <w:kern w:val="24"/>
          <w:highlight w:val="none"/>
        </w:rPr>
      </w:pPr>
      <w:r>
        <w:rPr>
          <w:rFonts w:hint="eastAsia" w:ascii="宋体" w:hAnsi="宋体" w:cs="宋体"/>
          <w:color w:val="auto"/>
          <w:kern w:val="24"/>
          <w:highlight w:val="none"/>
        </w:rPr>
        <w:t xml:space="preserve">…… </w:t>
      </w:r>
    </w:p>
    <w:p>
      <w:pPr>
        <w:pStyle w:val="2"/>
        <w:spacing w:line="360" w:lineRule="auto"/>
        <w:ind w:left="-405" w:leftChars="-193" w:right="142" w:firstLine="453" w:firstLineChars="189"/>
        <w:contextualSpacing/>
        <w:rPr>
          <w:rFonts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pPr>
        <w:pStyle w:val="2"/>
        <w:spacing w:line="360" w:lineRule="auto"/>
        <w:ind w:left="-426" w:right="142" w:firstLine="567"/>
        <w:contextualSpacing/>
        <w:rPr>
          <w:rFonts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pPr>
        <w:pStyle w:val="2"/>
        <w:spacing w:line="360" w:lineRule="auto"/>
        <w:ind w:left="3960" w:right="1808"/>
        <w:contextualSpacing/>
        <w:rPr>
          <w:rFonts w:ascii="宋体" w:hAnsi="宋体" w:cs="宋体"/>
          <w:color w:val="auto"/>
          <w:kern w:val="24"/>
          <w:highlight w:val="none"/>
        </w:rPr>
      </w:pPr>
    </w:p>
    <w:p>
      <w:pPr>
        <w:pStyle w:val="2"/>
        <w:spacing w:line="360" w:lineRule="auto"/>
        <w:ind w:left="3960" w:right="1808"/>
        <w:contextualSpacing/>
        <w:rPr>
          <w:rFonts w:ascii="宋体" w:hAnsi="宋体" w:cs="宋体"/>
          <w:color w:val="auto"/>
          <w:kern w:val="24"/>
          <w:highlight w:val="none"/>
        </w:rPr>
      </w:pPr>
      <w:r>
        <w:rPr>
          <w:rFonts w:hint="eastAsia" w:ascii="宋体" w:hAnsi="宋体" w:cs="宋体"/>
          <w:color w:val="auto"/>
          <w:kern w:val="24"/>
          <w:highlight w:val="none"/>
        </w:rPr>
        <w:t xml:space="preserve">企业名称（电子签章）： </w:t>
      </w:r>
    </w:p>
    <w:p>
      <w:pPr>
        <w:pStyle w:val="2"/>
        <w:spacing w:line="360" w:lineRule="auto"/>
        <w:ind w:left="3960" w:right="1808"/>
        <w:contextualSpacing/>
        <w:rPr>
          <w:rFonts w:ascii="宋体" w:hAnsi="宋体" w:cs="宋体"/>
          <w:color w:val="auto"/>
          <w:kern w:val="24"/>
          <w:highlight w:val="none"/>
        </w:rPr>
      </w:pPr>
      <w:r>
        <w:rPr>
          <w:rFonts w:hint="eastAsia" w:ascii="宋体" w:hAnsi="宋体" w:cs="宋体"/>
          <w:color w:val="auto"/>
          <w:kern w:val="24"/>
          <w:highlight w:val="none"/>
        </w:rPr>
        <w:t>日期：</w:t>
      </w:r>
    </w:p>
    <w:p>
      <w:pPr>
        <w:pStyle w:val="2"/>
        <w:spacing w:line="360" w:lineRule="auto"/>
        <w:ind w:left="3960" w:right="1808"/>
        <w:contextualSpacing/>
        <w:rPr>
          <w:rFonts w:ascii="宋体" w:hAnsi="宋体" w:cs="宋体"/>
          <w:color w:val="auto"/>
          <w:kern w:val="24"/>
          <w:highlight w:val="none"/>
        </w:rPr>
      </w:pPr>
    </w:p>
    <w:p>
      <w:pPr>
        <w:pStyle w:val="2"/>
        <w:spacing w:line="360" w:lineRule="auto"/>
        <w:ind w:left="3960" w:right="1808"/>
        <w:contextualSpacing/>
        <w:rPr>
          <w:rFonts w:ascii="宋体" w:hAnsi="宋体" w:cs="宋体"/>
          <w:color w:val="auto"/>
          <w:kern w:val="24"/>
          <w:highlight w:val="none"/>
        </w:rPr>
      </w:pPr>
    </w:p>
    <w:p>
      <w:pPr>
        <w:pStyle w:val="2"/>
        <w:spacing w:line="360" w:lineRule="auto"/>
        <w:ind w:left="-426" w:right="142" w:firstLine="567"/>
        <w:contextualSpacing/>
        <w:rPr>
          <w:rFonts w:ascii="宋体" w:hAnsi="宋体" w:cs="宋体"/>
          <w:color w:val="auto"/>
          <w:kern w:val="24"/>
          <w:highlight w:val="none"/>
        </w:rPr>
      </w:pPr>
      <w:r>
        <w:rPr>
          <w:rFonts w:hint="eastAsia" w:ascii="宋体" w:hAnsi="宋体" w:cs="宋体"/>
          <w:color w:val="auto"/>
          <w:kern w:val="24"/>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pPr>
        <w:widowControl/>
        <w:jc w:val="left"/>
        <w:rPr>
          <w:rFonts w:ascii="宋体" w:hAnsi="宋体" w:eastAsia="宋体"/>
          <w:b/>
          <w:color w:val="auto"/>
          <w:sz w:val="24"/>
          <w:highlight w:val="none"/>
        </w:rPr>
      </w:pPr>
      <w:r>
        <w:rPr>
          <w:rFonts w:hint="eastAsia" w:ascii="宋体" w:hAnsi="宋体" w:cs="宋体"/>
          <w:b/>
          <w:color w:val="auto"/>
          <w:sz w:val="24"/>
          <w:highlight w:val="none"/>
        </w:rPr>
        <w:br w:type="page"/>
      </w:r>
      <w:r>
        <w:rPr>
          <w:rFonts w:hint="eastAsia" w:ascii="宋体" w:hAnsi="宋体" w:eastAsia="宋体"/>
          <w:b/>
          <w:color w:val="auto"/>
          <w:sz w:val="24"/>
          <w:highlight w:val="none"/>
        </w:rPr>
        <w:t>3.关于符合本国产品标准的声明函</w:t>
      </w:r>
    </w:p>
    <w:p>
      <w:pPr>
        <w:widowControl/>
        <w:shd w:val="clear" w:color="auto" w:fill="FFFFFF"/>
        <w:spacing w:before="30" w:after="30" w:line="560" w:lineRule="atLeast"/>
        <w:jc w:val="center"/>
        <w:textAlignment w:val="baseline"/>
        <w:rPr>
          <w:rFonts w:ascii="仿宋" w:hAnsi="仿宋" w:eastAsia="仿宋" w:cs="仿宋"/>
          <w:b/>
          <w:color w:val="auto"/>
          <w:kern w:val="0"/>
          <w:sz w:val="36"/>
          <w:highlight w:val="none"/>
        </w:rPr>
      </w:pPr>
    </w:p>
    <w:p>
      <w:pPr>
        <w:widowControl/>
        <w:shd w:val="clear" w:color="auto" w:fill="FFFFFF"/>
        <w:spacing w:before="30" w:after="30" w:line="560" w:lineRule="atLeast"/>
        <w:jc w:val="center"/>
        <w:textAlignment w:val="baseline"/>
        <w:rPr>
          <w:rFonts w:ascii="仿宋" w:hAnsi="仿宋" w:eastAsia="仿宋" w:cs="仿宋"/>
          <w:color w:val="auto"/>
          <w:kern w:val="0"/>
          <w:sz w:val="36"/>
          <w:szCs w:val="36"/>
          <w:highlight w:val="none"/>
        </w:rPr>
      </w:pPr>
      <w:r>
        <w:rPr>
          <w:rFonts w:hint="eastAsia" w:ascii="仿宋" w:hAnsi="仿宋" w:eastAsia="仿宋" w:cs="仿宋"/>
          <w:b/>
          <w:color w:val="auto"/>
          <w:kern w:val="0"/>
          <w:sz w:val="36"/>
          <w:highlight w:val="none"/>
        </w:rPr>
        <w:t>关于符合本国产品标准的声明函</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1.</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rPr>
        <w:t>1</w:t>
      </w:r>
      <w:r>
        <w:rPr>
          <w:rFonts w:hint="eastAsia" w:ascii="宋体" w:hAnsi="宋体" w:cs="宋体"/>
          <w:color w:val="auto"/>
          <w:kern w:val="0"/>
          <w:sz w:val="24"/>
          <w:highlight w:val="none"/>
          <w:shd w:val="clear" w:color="auto" w:fill="FFFFFF"/>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24"/>
          <w:highlight w:val="none"/>
        </w:rPr>
        <w:t>2</w:t>
      </w:r>
      <w:r>
        <w:rPr>
          <w:rFonts w:hint="eastAsia" w:ascii="宋体" w:hAnsi="宋体" w:cs="宋体"/>
          <w:color w:val="auto"/>
          <w:kern w:val="0"/>
          <w:sz w:val="24"/>
          <w:highlight w:val="none"/>
          <w:shd w:val="clear" w:color="auto" w:fill="FFFFFF"/>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24"/>
          <w:highlight w:val="none"/>
        </w:rPr>
        <w:t>3</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24"/>
          <w:highlight w:val="none"/>
        </w:rPr>
        <w:t>4</w:t>
      </w:r>
      <w:r>
        <w:rPr>
          <w:rFonts w:hint="eastAsia" w:ascii="宋体" w:hAnsi="宋体" w:cs="宋体"/>
          <w:color w:val="auto"/>
          <w:kern w:val="0"/>
          <w:sz w:val="24"/>
          <w:highlight w:val="none"/>
          <w:shd w:val="clear" w:color="auto" w:fill="FFFFFF"/>
        </w:rPr>
        <w:t>在中国境内生产。</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24"/>
          <w:highlight w:val="none"/>
        </w:rPr>
        <w:t>5</w:t>
      </w:r>
      <w:r>
        <w:rPr>
          <w:rFonts w:hint="eastAsia" w:ascii="宋体" w:hAnsi="宋体" w:cs="宋体"/>
          <w:color w:val="auto"/>
          <w:kern w:val="0"/>
          <w:sz w:val="24"/>
          <w:highlight w:val="none"/>
          <w:shd w:val="clear" w:color="auto" w:fill="FFFFFF"/>
        </w:rPr>
        <w:t>在中国境内完成。</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2.</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24"/>
          <w:highlight w:val="none"/>
          <w:shd w:val="clear" w:color="auto" w:fill="FFFFFF"/>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24"/>
          <w:highlight w:val="none"/>
          <w:shd w:val="clear" w:color="auto" w:fill="FFFFFF"/>
        </w:rPr>
        <w:t>在中国境内生产。</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24"/>
          <w:highlight w:val="none"/>
          <w:shd w:val="clear" w:color="auto" w:fill="FFFFFF"/>
        </w:rPr>
        <w:t>在中国境内完成。</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本公司（单位）对上述声明内容的真实性负责。如有虚假，愿承担相应法律责任。</w:t>
      </w:r>
    </w:p>
    <w:p>
      <w:pPr>
        <w:widowControl/>
        <w:shd w:val="clear" w:color="auto" w:fill="FFFFFF"/>
        <w:spacing w:before="30" w:after="30" w:line="560" w:lineRule="atLeas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 </w:t>
      </w:r>
    </w:p>
    <w:p>
      <w:pPr>
        <w:widowControl/>
        <w:shd w:val="clear" w:color="auto" w:fill="FFFFFF"/>
        <w:spacing w:before="30" w:after="30" w:line="560" w:lineRule="atLeast"/>
        <w:jc w:val="righ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公司（单位）名称（盖章）：　        </w:t>
      </w:r>
    </w:p>
    <w:p>
      <w:pPr>
        <w:widowControl/>
        <w:shd w:val="clear" w:color="auto" w:fill="FFFFFF"/>
        <w:spacing w:before="30" w:after="30" w:line="560" w:lineRule="atLeast"/>
        <w:jc w:val="righ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日期：　     年　  月　  日         </w:t>
      </w:r>
    </w:p>
    <w:p>
      <w:pPr>
        <w:widowControl/>
        <w:shd w:val="clear" w:color="auto" w:fill="FFFFFF"/>
        <w:spacing w:before="30" w:after="30" w:line="560" w:lineRule="atLeas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__________________</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1.产品如有型号，请在“产品名称”栏一并填写。</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2.生产厂名与厂址应与生产厂营业执照载明的相关信息保持一致。</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3.该产品的中国境内生产的组件成本占比相关要求实施前，“规定比例”栏可不填，下同。</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4.该产品的关键组件要求实施前，“关键组件”栏可不填，下同。</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5.该产品的关键工序要求实施前，“关键工序”栏可不填，下同。</w:t>
      </w:r>
    </w:p>
    <w:p>
      <w:pPr>
        <w:rPr>
          <w:rFonts w:ascii="宋体" w:hAnsi="宋体" w:cs="宋体"/>
          <w:b/>
          <w:color w:val="auto"/>
          <w:sz w:val="24"/>
          <w:highlight w:val="none"/>
        </w:rPr>
      </w:pPr>
      <w:r>
        <w:rPr>
          <w:rFonts w:hint="eastAsia" w:ascii="宋体" w:hAnsi="宋体" w:cs="宋体"/>
          <w:color w:val="auto"/>
          <w:kern w:val="0"/>
          <w:szCs w:val="21"/>
          <w:highlight w:val="none"/>
          <w:shd w:val="clear" w:color="auto" w:fill="FFFFFF"/>
        </w:rPr>
        <w:t>采购人、采购代理机构应当随中标、成交结果同时公告中标、成交供应商提供的《声明函》或有关证明文件。</w:t>
      </w:r>
      <w:r>
        <w:rPr>
          <w:rFonts w:hint="eastAsia" w:ascii="宋体" w:hAnsi="宋体" w:cs="宋体"/>
          <w:b/>
          <w:color w:val="auto"/>
          <w:sz w:val="24"/>
          <w:highlight w:val="none"/>
        </w:rPr>
        <w:br w:type="page"/>
      </w:r>
    </w:p>
    <w:p>
      <w:pPr>
        <w:snapToGrid w:val="0"/>
        <w:spacing w:beforeLines="50" w:after="50" w:line="360" w:lineRule="auto"/>
        <w:ind w:left="142"/>
        <w:jc w:val="left"/>
        <w:outlineLvl w:val="2"/>
        <w:rPr>
          <w:rFonts w:ascii="宋体" w:hAnsi="宋体" w:cs="宋体"/>
          <w:b/>
          <w:color w:val="auto"/>
          <w:sz w:val="24"/>
          <w:highlight w:val="none"/>
        </w:rPr>
      </w:pPr>
      <w:r>
        <w:rPr>
          <w:rFonts w:hint="eastAsia" w:ascii="宋体" w:hAnsi="宋体" w:cs="宋体"/>
          <w:b/>
          <w:color w:val="auto"/>
          <w:sz w:val="24"/>
          <w:highlight w:val="none"/>
        </w:rPr>
        <w:t>4.残疾人福利性单位声明函格式</w:t>
      </w: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Cs/>
          <w:color w:val="auto"/>
          <w:spacing w:val="6"/>
          <w:sz w:val="44"/>
          <w:szCs w:val="44"/>
          <w:highlight w:val="none"/>
        </w:rPr>
      </w:pPr>
      <w:r>
        <w:rPr>
          <w:rFonts w:hint="eastAsia" w:ascii="宋体" w:hAnsi="宋体" w:cs="宋体"/>
          <w:bCs/>
          <w:color w:val="auto"/>
          <w:spacing w:val="6"/>
          <w:sz w:val="44"/>
          <w:szCs w:val="44"/>
          <w:highlight w:val="none"/>
        </w:rPr>
        <w:t>残疾人福利性单位声明函</w:t>
      </w:r>
    </w:p>
    <w:p>
      <w:pPr>
        <w:spacing w:line="360" w:lineRule="auto"/>
        <w:contextualSpacing/>
        <w:rPr>
          <w:rFonts w:ascii="宋体" w:hAnsi="宋体" w:cs="宋体"/>
          <w:bCs/>
          <w:color w:val="auto"/>
          <w:spacing w:val="6"/>
          <w:sz w:val="30"/>
          <w:szCs w:val="30"/>
          <w:highlight w:val="none"/>
        </w:rPr>
      </w:pPr>
    </w:p>
    <w:p>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 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 w:val="24"/>
          <w:highlight w:val="none"/>
        </w:rPr>
        <w:t>疾人福利性单位制造的货物（不包括使用非残疾人福利性单位注册商标的货物）。</w:t>
      </w:r>
    </w:p>
    <w:p>
      <w:pPr>
        <w:spacing w:line="360" w:lineRule="auto"/>
        <w:ind w:firstLine="504" w:firstLineChars="200"/>
        <w:contextualSpacing/>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pPr>
        <w:spacing w:line="360" w:lineRule="auto"/>
        <w:ind w:firstLine="504" w:firstLineChars="200"/>
        <w:contextualSpacing/>
        <w:rPr>
          <w:rFonts w:ascii="宋体" w:hAnsi="宋体" w:cs="宋体"/>
          <w:color w:val="auto"/>
          <w:spacing w:val="6"/>
          <w:sz w:val="24"/>
          <w:highlight w:val="none"/>
        </w:rPr>
      </w:pPr>
    </w:p>
    <w:p>
      <w:pPr>
        <w:spacing w:line="360" w:lineRule="auto"/>
        <w:ind w:firstLine="504" w:firstLineChars="200"/>
        <w:contextualSpacing/>
        <w:rPr>
          <w:rFonts w:ascii="宋体" w:hAnsi="宋体" w:cs="宋体"/>
          <w:color w:val="auto"/>
          <w:spacing w:val="6"/>
          <w:sz w:val="24"/>
          <w:highlight w:val="none"/>
        </w:rPr>
      </w:pPr>
    </w:p>
    <w:p>
      <w:pPr>
        <w:tabs>
          <w:tab w:val="left" w:pos="4860"/>
        </w:tabs>
        <w:spacing w:line="360" w:lineRule="auto"/>
        <w:ind w:right="1560" w:firstLine="504" w:firstLineChars="200"/>
        <w:contextualSpacing/>
        <w:jc w:val="center"/>
        <w:rPr>
          <w:rFonts w:ascii="宋体" w:hAnsi="宋体" w:cs="宋体"/>
          <w:color w:val="auto"/>
          <w:spacing w:val="6"/>
          <w:sz w:val="24"/>
          <w:highlight w:val="none"/>
        </w:rPr>
      </w:pPr>
      <w:r>
        <w:rPr>
          <w:rFonts w:hint="eastAsia" w:ascii="宋体" w:hAnsi="宋体" w:cs="宋体"/>
          <w:color w:val="auto"/>
          <w:spacing w:val="6"/>
          <w:sz w:val="24"/>
          <w:highlight w:val="none"/>
        </w:rPr>
        <w:t>单位名称（电子签章）：</w:t>
      </w:r>
    </w:p>
    <w:p>
      <w:pPr>
        <w:tabs>
          <w:tab w:val="left" w:pos="4860"/>
        </w:tabs>
        <w:spacing w:line="360" w:lineRule="auto"/>
        <w:ind w:right="1560" w:firstLine="504" w:firstLineChars="200"/>
        <w:contextualSpacing/>
        <w:jc w:val="center"/>
        <w:rPr>
          <w:rFonts w:ascii="宋体" w:hAnsi="宋体" w:cs="宋体"/>
          <w:color w:val="auto"/>
          <w:spacing w:val="6"/>
          <w:sz w:val="24"/>
          <w:highlight w:val="none"/>
        </w:rPr>
      </w:pPr>
      <w:r>
        <w:rPr>
          <w:rFonts w:hint="eastAsia" w:ascii="宋体" w:hAnsi="宋体" w:cs="宋体"/>
          <w:color w:val="auto"/>
          <w:spacing w:val="6"/>
          <w:sz w:val="24"/>
          <w:highlight w:val="none"/>
        </w:rPr>
        <w:t>日  期：</w:t>
      </w:r>
    </w:p>
    <w:p>
      <w:pPr>
        <w:spacing w:line="360" w:lineRule="auto"/>
        <w:contextualSpacing/>
        <w:rPr>
          <w:rFonts w:ascii="宋体" w:hAnsi="宋体" w:cs="宋体"/>
          <w:color w:val="auto"/>
          <w:sz w:val="24"/>
          <w:highlight w:val="none"/>
        </w:rPr>
      </w:pPr>
    </w:p>
    <w:p>
      <w:pPr>
        <w:spacing w:line="360" w:lineRule="auto"/>
        <w:contextualSpacing/>
        <w:rPr>
          <w:rFonts w:ascii="宋体" w:hAnsi="宋体" w:cs="宋体"/>
          <w:color w:val="auto"/>
          <w:sz w:val="24"/>
          <w:highlight w:val="none"/>
        </w:rPr>
      </w:pPr>
    </w:p>
    <w:p>
      <w:pPr>
        <w:spacing w:line="360" w:lineRule="auto"/>
        <w:contextualSpacing/>
        <w:rPr>
          <w:rFonts w:ascii="宋体" w:hAnsi="宋体" w:cs="宋体"/>
          <w:color w:val="auto"/>
          <w:sz w:val="24"/>
          <w:highlight w:val="none"/>
        </w:rPr>
      </w:pPr>
    </w:p>
    <w:p>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pPr>
        <w:pStyle w:val="2"/>
        <w:spacing w:line="360" w:lineRule="auto"/>
        <w:ind w:left="479" w:leftChars="114" w:hanging="240" w:hangingChars="100"/>
        <w:rPr>
          <w:rFonts w:ascii="宋体" w:hAnsi="宋体" w:cs="宋体"/>
          <w:b/>
          <w:bCs/>
          <w:color w:val="auto"/>
          <w:sz w:val="18"/>
          <w:highlight w:val="none"/>
        </w:rPr>
      </w:pPr>
      <w:r>
        <w:rPr>
          <w:rFonts w:hint="eastAsia" w:ascii="宋体" w:hAnsi="宋体" w:cs="宋体"/>
          <w:color w:val="auto"/>
          <w:highlight w:val="none"/>
        </w:rPr>
        <w:br w:type="page"/>
      </w:r>
    </w:p>
    <w:p>
      <w:pPr>
        <w:spacing w:line="360" w:lineRule="auto"/>
        <w:jc w:val="left"/>
        <w:outlineLvl w:val="2"/>
        <w:rPr>
          <w:rFonts w:ascii="宋体" w:hAnsi="宋体" w:cs="宋体"/>
          <w:color w:val="auto"/>
          <w:sz w:val="24"/>
          <w:highlight w:val="none"/>
        </w:rPr>
      </w:pPr>
      <w:r>
        <w:rPr>
          <w:rFonts w:hint="eastAsia" w:ascii="宋体" w:hAnsi="宋体" w:cs="宋体"/>
          <w:b/>
          <w:color w:val="auto"/>
          <w:sz w:val="24"/>
          <w:highlight w:val="none"/>
        </w:rPr>
        <w:t>5.质疑函（格式）</w:t>
      </w:r>
    </w:p>
    <w:p>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质疑函（格式）</w:t>
      </w:r>
    </w:p>
    <w:p>
      <w:pPr>
        <w:pStyle w:val="14"/>
        <w:snapToGrid w:val="0"/>
        <w:spacing w:line="360" w:lineRule="auto"/>
        <w:ind w:left="1" w:leftChars="-67" w:hanging="142" w:hangingChars="59"/>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pPr>
        <w:pStyle w:val="14"/>
        <w:snapToGrid w:val="0"/>
        <w:spacing w:line="360" w:lineRule="auto"/>
        <w:ind w:left="0" w:leftChars="-67" w:hanging="141" w:hangingChars="59"/>
        <w:rPr>
          <w:rFonts w:hAnsi="宋体" w:cs="宋体"/>
          <w:bCs/>
          <w:color w:val="auto"/>
          <w:sz w:val="24"/>
          <w:szCs w:val="24"/>
          <w:highlight w:val="none"/>
          <w:u w:val="single"/>
        </w:rPr>
      </w:pPr>
      <w:r>
        <w:rPr>
          <w:rFonts w:hint="eastAsia" w:hAnsi="宋体" w:cs="宋体"/>
          <w:bCs/>
          <w:color w:val="auto"/>
          <w:sz w:val="24"/>
          <w:szCs w:val="24"/>
          <w:highlight w:val="none"/>
        </w:rPr>
        <w:t>质疑供应商：</w:t>
      </w:r>
    </w:p>
    <w:p>
      <w:pPr>
        <w:pStyle w:val="14"/>
        <w:snapToGrid w:val="0"/>
        <w:spacing w:line="360" w:lineRule="auto"/>
        <w:ind w:left="0" w:leftChars="-67" w:hanging="141" w:hangingChars="59"/>
        <w:rPr>
          <w:rFonts w:hAnsi="宋体" w:cs="宋体"/>
          <w:bCs/>
          <w:color w:val="auto"/>
          <w:sz w:val="24"/>
          <w:szCs w:val="24"/>
          <w:highlight w:val="none"/>
        </w:rPr>
      </w:pPr>
      <w:r>
        <w:rPr>
          <w:rFonts w:hint="eastAsia" w:hAnsi="宋体" w:cs="宋体"/>
          <w:bCs/>
          <w:color w:val="auto"/>
          <w:sz w:val="24"/>
          <w:szCs w:val="24"/>
          <w:highlight w:val="none"/>
        </w:rPr>
        <w:t>地址：邮编：</w:t>
      </w:r>
    </w:p>
    <w:p>
      <w:pPr>
        <w:pStyle w:val="14"/>
        <w:snapToGrid w:val="0"/>
        <w:spacing w:line="360" w:lineRule="auto"/>
        <w:ind w:left="0" w:leftChars="-67" w:hanging="141" w:hangingChars="59"/>
        <w:rPr>
          <w:rFonts w:hAnsi="宋体" w:cs="宋体"/>
          <w:bCs/>
          <w:color w:val="auto"/>
          <w:sz w:val="24"/>
          <w:szCs w:val="24"/>
          <w:highlight w:val="none"/>
        </w:rPr>
      </w:pPr>
      <w:r>
        <w:rPr>
          <w:rFonts w:hint="eastAsia" w:hAnsi="宋体" w:cs="宋体"/>
          <w:bCs/>
          <w:color w:val="auto"/>
          <w:sz w:val="24"/>
          <w:szCs w:val="24"/>
          <w:highlight w:val="none"/>
        </w:rPr>
        <w:t>联系人：联系电话：</w:t>
      </w:r>
    </w:p>
    <w:p>
      <w:pPr>
        <w:pStyle w:val="14"/>
        <w:snapToGrid w:val="0"/>
        <w:spacing w:line="360" w:lineRule="auto"/>
        <w:ind w:left="0" w:leftChars="-67" w:hanging="141" w:hangingChars="59"/>
        <w:rPr>
          <w:rFonts w:hAnsi="宋体" w:cs="宋体"/>
          <w:bCs/>
          <w:color w:val="auto"/>
          <w:sz w:val="24"/>
          <w:szCs w:val="24"/>
          <w:highlight w:val="none"/>
        </w:rPr>
      </w:pPr>
      <w:r>
        <w:rPr>
          <w:rFonts w:hint="eastAsia" w:hAnsi="宋体" w:cs="宋体"/>
          <w:bCs/>
          <w:color w:val="auto"/>
          <w:sz w:val="24"/>
          <w:szCs w:val="24"/>
          <w:highlight w:val="none"/>
        </w:rPr>
        <w:t>授权代表：</w:t>
      </w:r>
    </w:p>
    <w:p>
      <w:pPr>
        <w:pStyle w:val="14"/>
        <w:snapToGrid w:val="0"/>
        <w:spacing w:line="360" w:lineRule="auto"/>
        <w:ind w:left="0" w:leftChars="-67" w:hanging="141" w:hangingChars="59"/>
        <w:rPr>
          <w:rFonts w:hAnsi="宋体" w:cs="宋体"/>
          <w:bCs/>
          <w:color w:val="auto"/>
          <w:sz w:val="24"/>
          <w:szCs w:val="24"/>
          <w:highlight w:val="none"/>
          <w:u w:val="single"/>
        </w:rPr>
      </w:pPr>
      <w:r>
        <w:rPr>
          <w:rFonts w:hint="eastAsia" w:hAnsi="宋体" w:cs="宋体"/>
          <w:bCs/>
          <w:color w:val="auto"/>
          <w:sz w:val="24"/>
          <w:szCs w:val="24"/>
          <w:highlight w:val="none"/>
        </w:rPr>
        <w:t>联系电话：</w:t>
      </w:r>
    </w:p>
    <w:p>
      <w:pPr>
        <w:pStyle w:val="14"/>
        <w:snapToGrid w:val="0"/>
        <w:spacing w:line="360" w:lineRule="auto"/>
        <w:ind w:left="0" w:leftChars="-67" w:hanging="141" w:hangingChars="59"/>
        <w:rPr>
          <w:rFonts w:hAnsi="宋体" w:cs="宋体"/>
          <w:bCs/>
          <w:color w:val="auto"/>
          <w:sz w:val="24"/>
          <w:szCs w:val="24"/>
          <w:highlight w:val="none"/>
        </w:rPr>
      </w:pPr>
      <w:r>
        <w:rPr>
          <w:rFonts w:hint="eastAsia" w:hAnsi="宋体" w:cs="宋体"/>
          <w:bCs/>
          <w:color w:val="auto"/>
          <w:sz w:val="24"/>
          <w:szCs w:val="24"/>
          <w:highlight w:val="none"/>
        </w:rPr>
        <w:t>地址：邮编：</w:t>
      </w:r>
    </w:p>
    <w:p>
      <w:pPr>
        <w:pStyle w:val="14"/>
        <w:snapToGrid w:val="0"/>
        <w:spacing w:line="360" w:lineRule="auto"/>
        <w:ind w:left="1" w:leftChars="-67" w:hanging="142" w:hangingChars="59"/>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pPr>
        <w:pStyle w:val="14"/>
        <w:spacing w:line="360" w:lineRule="auto"/>
        <w:ind w:left="0" w:leftChars="-67" w:hanging="141" w:hangingChars="59"/>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p>
    <w:p>
      <w:pPr>
        <w:pStyle w:val="14"/>
        <w:spacing w:line="360" w:lineRule="auto"/>
        <w:ind w:left="0" w:leftChars="-67" w:hanging="141" w:hangingChars="59"/>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采购人名称：</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质疑事项：</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□采购文件   采购文件获取日期：</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 xml:space="preserve">□采购过程   </w:t>
      </w:r>
    </w:p>
    <w:p>
      <w:pPr>
        <w:pStyle w:val="14"/>
        <w:spacing w:line="360" w:lineRule="auto"/>
        <w:ind w:left="0" w:leftChars="-67" w:hanging="141" w:hangingChars="59"/>
        <w:rPr>
          <w:rFonts w:hAnsi="宋体" w:cs="宋体"/>
          <w:bCs/>
          <w:color w:val="auto"/>
          <w:sz w:val="24"/>
          <w:szCs w:val="24"/>
          <w:highlight w:val="none"/>
          <w:u w:val="single"/>
        </w:rPr>
      </w:pPr>
      <w:r>
        <w:rPr>
          <w:rFonts w:hint="eastAsia" w:hAnsi="宋体" w:cs="宋体"/>
          <w:color w:val="auto"/>
          <w:sz w:val="24"/>
          <w:szCs w:val="24"/>
          <w:highlight w:val="none"/>
        </w:rPr>
        <w:t xml:space="preserve">□采购结果   </w:t>
      </w:r>
    </w:p>
    <w:p>
      <w:pPr>
        <w:pStyle w:val="14"/>
        <w:spacing w:line="360" w:lineRule="auto"/>
        <w:ind w:left="1" w:leftChars="-67" w:hanging="142" w:hangingChars="59"/>
        <w:rPr>
          <w:rFonts w:hAnsi="宋体" w:cs="宋体"/>
          <w:b/>
          <w:color w:val="auto"/>
          <w:sz w:val="24"/>
          <w:szCs w:val="24"/>
          <w:highlight w:val="none"/>
        </w:rPr>
      </w:pPr>
      <w:r>
        <w:rPr>
          <w:rFonts w:hint="eastAsia" w:hAnsi="宋体" w:cs="宋体"/>
          <w:b/>
          <w:color w:val="auto"/>
          <w:sz w:val="24"/>
          <w:szCs w:val="24"/>
          <w:highlight w:val="none"/>
        </w:rPr>
        <w:t>三、质疑事项具体内容</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质疑事项1：</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事实依据：</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法律依据：</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质疑事项2</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四、与质疑事项相关的质疑请求：</w:t>
      </w: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请求：</w:t>
      </w:r>
    </w:p>
    <w:p>
      <w:pPr>
        <w:pStyle w:val="14"/>
        <w:spacing w:line="360" w:lineRule="auto"/>
        <w:ind w:left="0" w:leftChars="-67" w:hanging="141" w:hangingChars="59"/>
        <w:rPr>
          <w:rFonts w:hAnsi="宋体" w:cs="宋体"/>
          <w:color w:val="auto"/>
          <w:sz w:val="24"/>
          <w:szCs w:val="24"/>
          <w:highlight w:val="none"/>
        </w:rPr>
      </w:pP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签字（签章）：                                       公章：</w:t>
      </w:r>
    </w:p>
    <w:p>
      <w:pPr>
        <w:pStyle w:val="14"/>
        <w:spacing w:line="360" w:lineRule="auto"/>
        <w:ind w:left="0" w:leftChars="-67" w:hanging="141" w:hangingChars="59"/>
        <w:rPr>
          <w:rFonts w:hAnsi="宋体" w:cs="宋体"/>
          <w:color w:val="auto"/>
          <w:sz w:val="24"/>
          <w:szCs w:val="24"/>
          <w:highlight w:val="none"/>
        </w:rPr>
      </w:pPr>
    </w:p>
    <w:p>
      <w:pPr>
        <w:pStyle w:val="14"/>
        <w:spacing w:line="360" w:lineRule="auto"/>
        <w:ind w:left="0" w:leftChars="-67" w:hanging="141" w:hangingChars="59"/>
        <w:rPr>
          <w:rFonts w:hAnsi="宋体" w:cs="宋体"/>
          <w:color w:val="auto"/>
          <w:sz w:val="24"/>
          <w:szCs w:val="24"/>
          <w:highlight w:val="none"/>
        </w:rPr>
      </w:pPr>
      <w:r>
        <w:rPr>
          <w:rFonts w:hint="eastAsia" w:hAnsi="宋体" w:cs="宋体"/>
          <w:color w:val="auto"/>
          <w:sz w:val="24"/>
          <w:szCs w:val="24"/>
          <w:highlight w:val="none"/>
        </w:rPr>
        <w:t>日期：</w:t>
      </w:r>
    </w:p>
    <w:p>
      <w:pPr>
        <w:pStyle w:val="14"/>
        <w:snapToGrid w:val="0"/>
        <w:spacing w:line="360" w:lineRule="auto"/>
        <w:ind w:left="1" w:leftChars="-67" w:hanging="142" w:hangingChars="59"/>
        <w:rPr>
          <w:rFonts w:hAnsi="宋体" w:cs="宋体"/>
          <w:b/>
          <w:color w:val="auto"/>
          <w:sz w:val="24"/>
          <w:szCs w:val="24"/>
          <w:highlight w:val="none"/>
        </w:rPr>
      </w:pPr>
    </w:p>
    <w:p>
      <w:pPr>
        <w:pStyle w:val="14"/>
        <w:snapToGrid w:val="0"/>
        <w:spacing w:line="360" w:lineRule="auto"/>
        <w:ind w:left="1" w:leftChars="-67" w:hanging="142" w:hangingChars="59"/>
        <w:rPr>
          <w:rFonts w:hAnsi="宋体" w:cs="宋体"/>
          <w:b/>
          <w:color w:val="auto"/>
          <w:sz w:val="24"/>
          <w:szCs w:val="24"/>
          <w:highlight w:val="none"/>
        </w:rPr>
      </w:pPr>
      <w:r>
        <w:rPr>
          <w:rFonts w:hint="eastAsia" w:hAnsi="宋体" w:cs="宋体"/>
          <w:b/>
          <w:color w:val="auto"/>
          <w:sz w:val="24"/>
          <w:szCs w:val="24"/>
          <w:highlight w:val="none"/>
        </w:rPr>
        <w:t>说明：</w:t>
      </w:r>
    </w:p>
    <w:p>
      <w:pPr>
        <w:pStyle w:val="14"/>
        <w:spacing w:line="360" w:lineRule="auto"/>
        <w:ind w:left="1" w:leftChars="-67" w:hanging="142" w:hangingChars="59"/>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pPr>
        <w:pStyle w:val="14"/>
        <w:spacing w:line="360" w:lineRule="auto"/>
        <w:ind w:left="1" w:leftChars="-67" w:hanging="142" w:hangingChars="59"/>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auto"/>
        <w:ind w:left="1" w:leftChars="-67" w:hanging="142" w:hangingChars="59"/>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pPr>
        <w:pStyle w:val="14"/>
        <w:spacing w:line="360" w:lineRule="auto"/>
        <w:ind w:left="1" w:leftChars="-67" w:hanging="142" w:hangingChars="59"/>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pPr>
        <w:pStyle w:val="14"/>
        <w:spacing w:line="360" w:lineRule="auto"/>
        <w:ind w:left="1" w:leftChars="-67" w:hanging="142" w:hangingChars="59"/>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pPr>
        <w:pStyle w:val="14"/>
        <w:snapToGrid w:val="0"/>
        <w:spacing w:line="360" w:lineRule="auto"/>
        <w:ind w:firstLine="482"/>
        <w:rPr>
          <w:rFonts w:hAnsi="宋体" w:cs="宋体"/>
          <w:b/>
          <w:color w:val="auto"/>
          <w:sz w:val="24"/>
          <w:szCs w:val="24"/>
          <w:highlight w:val="none"/>
        </w:rPr>
      </w:pPr>
    </w:p>
    <w:p>
      <w:pPr>
        <w:spacing w:line="360" w:lineRule="auto"/>
        <w:jc w:val="left"/>
        <w:outlineLvl w:val="2"/>
        <w:rPr>
          <w:rFonts w:ascii="宋体" w:hAnsi="宋体" w:cs="宋体"/>
          <w:b/>
          <w:bCs/>
          <w:color w:val="auto"/>
          <w:sz w:val="32"/>
          <w:szCs w:val="32"/>
          <w:highlight w:val="none"/>
        </w:rPr>
      </w:pPr>
      <w:r>
        <w:rPr>
          <w:rFonts w:hint="eastAsia" w:ascii="宋体" w:hAnsi="宋体" w:cs="宋体"/>
          <w:color w:val="auto"/>
          <w:sz w:val="44"/>
          <w:highlight w:val="none"/>
        </w:rPr>
        <w:br w:type="page"/>
      </w:r>
      <w:r>
        <w:rPr>
          <w:rFonts w:hint="eastAsia" w:ascii="宋体" w:hAnsi="宋体" w:cs="宋体"/>
          <w:b/>
          <w:color w:val="auto"/>
          <w:sz w:val="24"/>
          <w:highlight w:val="none"/>
        </w:rPr>
        <w:t>6.投诉书（格式）</w:t>
      </w:r>
    </w:p>
    <w:p>
      <w:pPr>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投诉书（格式）</w:t>
      </w:r>
    </w:p>
    <w:p>
      <w:pPr>
        <w:pStyle w:val="14"/>
        <w:snapToGrid w:val="0"/>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投标人：</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地址：邮编：</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联系电话：</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授权代表：联系电话：</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地址：</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邮编：</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被投诉人1：</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地址：</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邮编：</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联系人：联系电话：</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被投诉人2：</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相关供应商：</w:t>
      </w:r>
    </w:p>
    <w:p>
      <w:pPr>
        <w:pStyle w:val="14"/>
        <w:snapToGrid w:val="0"/>
        <w:spacing w:line="360" w:lineRule="auto"/>
        <w:ind w:firstLine="480"/>
        <w:jc w:val="left"/>
        <w:rPr>
          <w:rFonts w:hAnsi="宋体" w:cs="宋体"/>
          <w:bCs/>
          <w:color w:val="auto"/>
          <w:sz w:val="24"/>
          <w:szCs w:val="24"/>
          <w:highlight w:val="none"/>
          <w:u w:val="single"/>
        </w:rPr>
      </w:pPr>
      <w:r>
        <w:rPr>
          <w:rFonts w:hint="eastAsia" w:hAnsi="宋体" w:cs="宋体"/>
          <w:bCs/>
          <w:color w:val="auto"/>
          <w:sz w:val="24"/>
          <w:szCs w:val="24"/>
          <w:highlight w:val="none"/>
        </w:rPr>
        <w:t>地址：邮编：</w:t>
      </w:r>
    </w:p>
    <w:p>
      <w:pPr>
        <w:pStyle w:val="14"/>
        <w:snapToGrid w:val="0"/>
        <w:spacing w:line="360" w:lineRule="auto"/>
        <w:ind w:firstLine="480"/>
        <w:jc w:val="left"/>
        <w:rPr>
          <w:rFonts w:hAnsi="宋体" w:cs="宋体"/>
          <w:bCs/>
          <w:color w:val="auto"/>
          <w:sz w:val="24"/>
          <w:szCs w:val="24"/>
          <w:highlight w:val="none"/>
        </w:rPr>
      </w:pPr>
      <w:r>
        <w:rPr>
          <w:rFonts w:hint="eastAsia" w:hAnsi="宋体" w:cs="宋体"/>
          <w:bCs/>
          <w:color w:val="auto"/>
          <w:sz w:val="24"/>
          <w:szCs w:val="24"/>
          <w:highlight w:val="none"/>
        </w:rPr>
        <w:t>联系人：联系电话：</w:t>
      </w:r>
    </w:p>
    <w:p>
      <w:pPr>
        <w:pStyle w:val="14"/>
        <w:snapToGrid w:val="0"/>
        <w:spacing w:line="360" w:lineRule="auto"/>
        <w:ind w:firstLine="482"/>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pPr>
        <w:pStyle w:val="14"/>
        <w:spacing w:line="360" w:lineRule="auto"/>
        <w:ind w:left="25" w:leftChars="12" w:firstLine="480"/>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p>
    <w:p>
      <w:pPr>
        <w:pStyle w:val="14"/>
        <w:spacing w:line="360" w:lineRule="auto"/>
        <w:ind w:left="25" w:leftChars="12" w:firstLine="480"/>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p>
    <w:p>
      <w:pPr>
        <w:pStyle w:val="14"/>
        <w:spacing w:line="360" w:lineRule="auto"/>
        <w:ind w:left="25" w:leftChars="12" w:firstLine="480"/>
        <w:rPr>
          <w:rFonts w:hAnsi="宋体" w:cs="宋体"/>
          <w:bCs/>
          <w:color w:val="auto"/>
          <w:sz w:val="24"/>
          <w:szCs w:val="24"/>
          <w:highlight w:val="none"/>
          <w:u w:val="single"/>
        </w:rPr>
      </w:pPr>
      <w:r>
        <w:rPr>
          <w:rFonts w:hint="eastAsia" w:hAnsi="宋体" w:cs="宋体"/>
          <w:color w:val="auto"/>
          <w:sz w:val="24"/>
          <w:szCs w:val="24"/>
          <w:highlight w:val="none"/>
        </w:rPr>
        <w:t>采购人名称：</w:t>
      </w:r>
    </w:p>
    <w:p>
      <w:pPr>
        <w:pStyle w:val="14"/>
        <w:spacing w:line="360" w:lineRule="auto"/>
        <w:ind w:left="25" w:leftChars="12" w:firstLine="480"/>
        <w:rPr>
          <w:rFonts w:hAnsi="宋体" w:cs="宋体"/>
          <w:bCs/>
          <w:color w:val="auto"/>
          <w:sz w:val="24"/>
          <w:szCs w:val="24"/>
          <w:highlight w:val="none"/>
          <w:u w:val="single"/>
        </w:rPr>
      </w:pPr>
      <w:r>
        <w:rPr>
          <w:rFonts w:hint="eastAsia" w:hAnsi="宋体" w:cs="宋体"/>
          <w:color w:val="auto"/>
          <w:sz w:val="24"/>
          <w:szCs w:val="24"/>
          <w:highlight w:val="none"/>
        </w:rPr>
        <w:t>代理机构名称：</w:t>
      </w:r>
    </w:p>
    <w:p>
      <w:pPr>
        <w:pStyle w:val="14"/>
        <w:spacing w:line="360" w:lineRule="auto"/>
        <w:ind w:left="25" w:leftChars="12" w:firstLine="480"/>
        <w:rPr>
          <w:rFonts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pPr>
        <w:pStyle w:val="14"/>
        <w:spacing w:line="360" w:lineRule="auto"/>
        <w:ind w:left="25" w:leftChars="12" w:firstLine="480"/>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p>
    <w:p>
      <w:pPr>
        <w:pStyle w:val="14"/>
        <w:spacing w:line="360" w:lineRule="auto"/>
        <w:ind w:left="25" w:leftChars="12" w:firstLine="482"/>
        <w:rPr>
          <w:rFonts w:hAnsi="宋体" w:cs="宋体"/>
          <w:b/>
          <w:color w:val="auto"/>
          <w:sz w:val="24"/>
          <w:szCs w:val="24"/>
          <w:highlight w:val="none"/>
        </w:rPr>
      </w:pPr>
      <w:r>
        <w:rPr>
          <w:rFonts w:hint="eastAsia" w:hAnsi="宋体" w:cs="宋体"/>
          <w:b/>
          <w:color w:val="auto"/>
          <w:sz w:val="24"/>
          <w:szCs w:val="24"/>
          <w:highlight w:val="none"/>
        </w:rPr>
        <w:t>三、质疑基本情况</w:t>
      </w:r>
    </w:p>
    <w:p>
      <w:pPr>
        <w:pStyle w:val="14"/>
        <w:spacing w:line="360" w:lineRule="auto"/>
        <w:ind w:left="25" w:leftChars="12" w:firstLine="480"/>
        <w:rPr>
          <w:rFonts w:hAnsi="宋体" w:cs="宋体"/>
          <w:color w:val="auto"/>
          <w:sz w:val="24"/>
          <w:szCs w:val="24"/>
          <w:highlight w:val="none"/>
        </w:rPr>
      </w:pPr>
      <w:r>
        <w:rPr>
          <w:rFonts w:hint="eastAsia" w:hAnsi="宋体" w:cs="宋体"/>
          <w:color w:val="auto"/>
          <w:sz w:val="24"/>
          <w:szCs w:val="24"/>
          <w:highlight w:val="none"/>
        </w:rPr>
        <w:t>投诉人于年月日，向提出质疑，质疑事项为：</w:t>
      </w:r>
    </w:p>
    <w:p>
      <w:pPr>
        <w:pStyle w:val="14"/>
        <w:spacing w:line="360" w:lineRule="auto"/>
        <w:ind w:firstLine="480"/>
        <w:rPr>
          <w:rFonts w:hAnsi="宋体" w:cs="宋体"/>
          <w:bCs/>
          <w:color w:val="auto"/>
          <w:sz w:val="24"/>
          <w:szCs w:val="24"/>
          <w:highlight w:val="none"/>
          <w:u w:val="single"/>
        </w:rPr>
      </w:pPr>
    </w:p>
    <w:p>
      <w:pPr>
        <w:pStyle w:val="14"/>
        <w:spacing w:line="360" w:lineRule="auto"/>
        <w:ind w:firstLine="48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rPr>
        <w:t>年月日，</w:t>
      </w:r>
      <w:r>
        <w:rPr>
          <w:rFonts w:hint="eastAsia" w:hAnsi="宋体" w:cs="宋体"/>
          <w:bCs/>
          <w:color w:val="auto"/>
          <w:sz w:val="24"/>
          <w:szCs w:val="24"/>
          <w:highlight w:val="none"/>
        </w:rPr>
        <w:t xml:space="preserve">就质疑事项作出了答复/没有在法定期限内作出答复。                                                                                             </w:t>
      </w:r>
    </w:p>
    <w:p>
      <w:pPr>
        <w:pStyle w:val="14"/>
        <w:spacing w:line="360" w:lineRule="auto"/>
        <w:ind w:left="25" w:leftChars="12" w:firstLine="482"/>
        <w:rPr>
          <w:rFonts w:hAnsi="宋体" w:cs="宋体"/>
          <w:b/>
          <w:color w:val="auto"/>
          <w:sz w:val="24"/>
          <w:szCs w:val="24"/>
          <w:highlight w:val="none"/>
        </w:rPr>
      </w:pPr>
      <w:r>
        <w:rPr>
          <w:rFonts w:hint="eastAsia" w:hAnsi="宋体" w:cs="宋体"/>
          <w:b/>
          <w:color w:val="auto"/>
          <w:sz w:val="24"/>
          <w:szCs w:val="24"/>
          <w:highlight w:val="none"/>
        </w:rPr>
        <w:t>四、投诉事项具体内容</w:t>
      </w:r>
    </w:p>
    <w:p>
      <w:pPr>
        <w:pStyle w:val="14"/>
        <w:spacing w:line="360" w:lineRule="auto"/>
        <w:ind w:left="25" w:leftChars="12" w:firstLine="480"/>
        <w:rPr>
          <w:rFonts w:hAnsi="宋体" w:cs="宋体"/>
          <w:bCs/>
          <w:color w:val="auto"/>
          <w:sz w:val="24"/>
          <w:szCs w:val="24"/>
          <w:highlight w:val="none"/>
          <w:u w:val="single"/>
        </w:rPr>
      </w:pPr>
      <w:r>
        <w:rPr>
          <w:rFonts w:hint="eastAsia" w:hAnsi="宋体" w:cs="宋体"/>
          <w:color w:val="auto"/>
          <w:sz w:val="24"/>
          <w:szCs w:val="24"/>
          <w:highlight w:val="none"/>
        </w:rPr>
        <w:t>投诉事项1：</w:t>
      </w:r>
    </w:p>
    <w:p>
      <w:pPr>
        <w:pStyle w:val="1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事实依据：</w:t>
      </w:r>
    </w:p>
    <w:p>
      <w:pPr>
        <w:pStyle w:val="14"/>
        <w:spacing w:line="360" w:lineRule="auto"/>
        <w:ind w:firstLine="480"/>
        <w:rPr>
          <w:rFonts w:hAnsi="宋体" w:cs="宋体"/>
          <w:bCs/>
          <w:color w:val="auto"/>
          <w:sz w:val="24"/>
          <w:szCs w:val="24"/>
          <w:highlight w:val="none"/>
          <w:u w:val="single"/>
        </w:rPr>
      </w:pPr>
      <w:r>
        <w:rPr>
          <w:rFonts w:hint="eastAsia" w:hAnsi="宋体" w:cs="宋体"/>
          <w:bCs/>
          <w:color w:val="auto"/>
          <w:sz w:val="24"/>
          <w:szCs w:val="24"/>
          <w:highlight w:val="none"/>
        </w:rPr>
        <w:t>法律依据：</w:t>
      </w:r>
    </w:p>
    <w:p>
      <w:pPr>
        <w:pStyle w:val="14"/>
        <w:spacing w:line="360" w:lineRule="auto"/>
        <w:ind w:left="25" w:leftChars="12" w:firstLine="480"/>
        <w:rPr>
          <w:rFonts w:hAnsi="宋体" w:cs="宋体"/>
          <w:bCs/>
          <w:color w:val="auto"/>
          <w:sz w:val="24"/>
          <w:szCs w:val="24"/>
          <w:highlight w:val="none"/>
        </w:rPr>
      </w:pPr>
      <w:r>
        <w:rPr>
          <w:rFonts w:hint="eastAsia" w:hAnsi="宋体" w:cs="宋体"/>
          <w:color w:val="auto"/>
          <w:sz w:val="24"/>
          <w:szCs w:val="24"/>
          <w:highlight w:val="none"/>
        </w:rPr>
        <w:t xml:space="preserve">投诉事项2  </w:t>
      </w:r>
    </w:p>
    <w:p>
      <w:pPr>
        <w:pStyle w:val="14"/>
        <w:spacing w:line="360" w:lineRule="auto"/>
        <w:ind w:left="25" w:leftChars="12" w:firstLine="480"/>
        <w:rPr>
          <w:rFonts w:hAnsi="宋体" w:cs="宋体"/>
          <w:bCs/>
          <w:color w:val="auto"/>
          <w:sz w:val="24"/>
          <w:szCs w:val="24"/>
          <w:highlight w:val="none"/>
        </w:rPr>
      </w:pPr>
      <w:r>
        <w:rPr>
          <w:rFonts w:hint="eastAsia" w:hAnsi="宋体" w:cs="宋体"/>
          <w:bCs/>
          <w:color w:val="auto"/>
          <w:sz w:val="24"/>
          <w:szCs w:val="24"/>
          <w:highlight w:val="none"/>
        </w:rPr>
        <w:t>……</w:t>
      </w:r>
    </w:p>
    <w:p>
      <w:pPr>
        <w:pStyle w:val="14"/>
        <w:spacing w:line="360" w:lineRule="auto"/>
        <w:ind w:left="25" w:leftChars="12" w:firstLine="482"/>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pPr>
        <w:pStyle w:val="14"/>
        <w:spacing w:line="360" w:lineRule="auto"/>
        <w:ind w:left="25" w:leftChars="12" w:firstLine="480"/>
        <w:rPr>
          <w:rFonts w:hAnsi="宋体" w:cs="宋体"/>
          <w:color w:val="auto"/>
          <w:sz w:val="24"/>
          <w:szCs w:val="24"/>
          <w:highlight w:val="none"/>
        </w:rPr>
      </w:pPr>
      <w:r>
        <w:rPr>
          <w:rFonts w:hint="eastAsia" w:hAnsi="宋体" w:cs="宋体"/>
          <w:color w:val="auto"/>
          <w:sz w:val="24"/>
          <w:szCs w:val="24"/>
          <w:highlight w:val="none"/>
        </w:rPr>
        <w:t>请求：</w:t>
      </w:r>
    </w:p>
    <w:p>
      <w:pPr>
        <w:pStyle w:val="14"/>
        <w:spacing w:line="360" w:lineRule="auto"/>
        <w:ind w:left="25" w:leftChars="12" w:firstLine="480"/>
        <w:rPr>
          <w:rFonts w:hAnsi="宋体" w:cs="宋体"/>
          <w:color w:val="auto"/>
          <w:sz w:val="24"/>
          <w:szCs w:val="24"/>
          <w:highlight w:val="none"/>
        </w:rPr>
      </w:pPr>
    </w:p>
    <w:p>
      <w:pPr>
        <w:pStyle w:val="14"/>
        <w:spacing w:line="360" w:lineRule="auto"/>
        <w:ind w:left="25" w:leftChars="12" w:firstLine="480"/>
        <w:rPr>
          <w:rFonts w:hAnsi="宋体" w:cs="宋体"/>
          <w:color w:val="auto"/>
          <w:sz w:val="24"/>
          <w:szCs w:val="24"/>
          <w:highlight w:val="none"/>
        </w:rPr>
      </w:pPr>
      <w:r>
        <w:rPr>
          <w:rFonts w:hint="eastAsia" w:hAnsi="宋体" w:cs="宋体"/>
          <w:color w:val="auto"/>
          <w:sz w:val="24"/>
          <w:szCs w:val="24"/>
          <w:highlight w:val="none"/>
        </w:rPr>
        <w:t>签字（签章）：                                       公章：</w:t>
      </w:r>
    </w:p>
    <w:p>
      <w:pPr>
        <w:pStyle w:val="14"/>
        <w:spacing w:line="360" w:lineRule="auto"/>
        <w:ind w:left="25" w:leftChars="12" w:firstLine="480"/>
        <w:rPr>
          <w:rFonts w:hAnsi="宋体" w:cs="宋体"/>
          <w:color w:val="auto"/>
          <w:sz w:val="24"/>
          <w:szCs w:val="24"/>
          <w:highlight w:val="none"/>
        </w:rPr>
      </w:pPr>
    </w:p>
    <w:p>
      <w:pPr>
        <w:pStyle w:val="14"/>
        <w:spacing w:line="360" w:lineRule="auto"/>
        <w:ind w:left="25" w:leftChars="12" w:firstLine="480"/>
        <w:rPr>
          <w:rFonts w:hAnsi="宋体" w:cs="宋体"/>
          <w:color w:val="auto"/>
          <w:sz w:val="24"/>
          <w:szCs w:val="24"/>
          <w:highlight w:val="none"/>
        </w:rPr>
      </w:pPr>
      <w:r>
        <w:rPr>
          <w:rFonts w:hint="eastAsia" w:hAnsi="宋体" w:cs="宋体"/>
          <w:color w:val="auto"/>
          <w:sz w:val="24"/>
          <w:szCs w:val="24"/>
          <w:highlight w:val="none"/>
        </w:rPr>
        <w:t>日期：</w:t>
      </w:r>
    </w:p>
    <w:p>
      <w:pPr>
        <w:pStyle w:val="14"/>
        <w:spacing w:line="360" w:lineRule="auto"/>
        <w:ind w:left="25" w:leftChars="12" w:firstLine="472" w:firstLineChars="197"/>
        <w:rPr>
          <w:rFonts w:hAnsi="宋体" w:cs="宋体"/>
          <w:color w:val="auto"/>
          <w:sz w:val="24"/>
          <w:szCs w:val="24"/>
          <w:highlight w:val="none"/>
        </w:rPr>
      </w:pPr>
    </w:p>
    <w:p>
      <w:pPr>
        <w:pStyle w:val="14"/>
        <w:snapToGrid w:val="0"/>
        <w:spacing w:line="360" w:lineRule="auto"/>
        <w:ind w:firstLine="482"/>
        <w:rPr>
          <w:rFonts w:hAnsi="宋体" w:cs="宋体"/>
          <w:b/>
          <w:color w:val="auto"/>
          <w:sz w:val="24"/>
          <w:szCs w:val="24"/>
          <w:highlight w:val="none"/>
        </w:rPr>
      </w:pPr>
      <w:r>
        <w:rPr>
          <w:rFonts w:hint="eastAsia" w:hAnsi="宋体" w:cs="宋体"/>
          <w:b/>
          <w:color w:val="auto"/>
          <w:sz w:val="24"/>
          <w:szCs w:val="24"/>
          <w:highlight w:val="none"/>
        </w:rPr>
        <w:t>说明：</w:t>
      </w:r>
    </w:p>
    <w:p>
      <w:pPr>
        <w:pStyle w:val="14"/>
        <w:spacing w:line="360" w:lineRule="auto"/>
        <w:ind w:left="25" w:leftChars="12"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pPr>
        <w:pStyle w:val="14"/>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4"/>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pPr>
        <w:pStyle w:val="14"/>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pPr>
        <w:pStyle w:val="14"/>
        <w:spacing w:line="360" w:lineRule="auto"/>
        <w:ind w:left="25" w:leftChars="12"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pPr>
        <w:pStyle w:val="14"/>
        <w:spacing w:line="360" w:lineRule="auto"/>
        <w:ind w:left="25" w:leftChars="12" w:firstLine="354" w:firstLineChars="147"/>
        <w:rPr>
          <w:rFonts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pPr>
        <w:spacing w:line="360" w:lineRule="auto"/>
        <w:rPr>
          <w:rFonts w:ascii="宋体" w:hAnsi="宋体" w:cs="宋体"/>
          <w:color w:val="auto"/>
          <w:highlight w:val="none"/>
        </w:rPr>
      </w:pPr>
    </w:p>
    <w:sectPr>
      <w:headerReference r:id="rId11" w:type="default"/>
      <w:footerReference r:id="rId12" w:type="default"/>
      <w:footerReference r:id="rId13" w:type="even"/>
      <w:pgSz w:w="11906" w:h="16838"/>
      <w:pgMar w:top="1440" w:right="1080" w:bottom="1440" w:left="108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EDC6577-7F9A-4C85-9141-EF409E7C9F96}"/>
  </w:font>
  <w:font w:name="Arial">
    <w:panose1 w:val="020B0604020202020204"/>
    <w:charset w:val="01"/>
    <w:family w:val="swiss"/>
    <w:pitch w:val="default"/>
    <w:sig w:usb0="E0002AFF" w:usb1="C0007843" w:usb2="00000009" w:usb3="00000000" w:csb0="400001FF" w:csb1="FFFF0000"/>
    <w:embedRegular r:id="rId2" w:fontKey="{C8CF0F31-66C5-4628-A8F2-F04A29700213}"/>
  </w:font>
  <w:font w:name="黑体">
    <w:panose1 w:val="02010609060101010101"/>
    <w:charset w:val="86"/>
    <w:family w:val="auto"/>
    <w:pitch w:val="default"/>
    <w:sig w:usb0="800002BF" w:usb1="38CF7CFA" w:usb2="00000016" w:usb3="00000000" w:csb0="00040001" w:csb1="00000000"/>
    <w:embedRegular r:id="rId3" w:fontKey="{EA111072-2AC6-422A-8FA6-EA55EFA54731}"/>
  </w:font>
  <w:font w:name="Courier New">
    <w:panose1 w:val="02070309020205020404"/>
    <w:charset w:val="01"/>
    <w:family w:val="modern"/>
    <w:pitch w:val="default"/>
    <w:sig w:usb0="E0002AFF" w:usb1="C0007843" w:usb2="00000009" w:usb3="00000000" w:csb0="400001FF" w:csb1="FFFF0000"/>
    <w:embedRegular r:id="rId4" w:fontKey="{93FB2018-D9A8-49A7-B99A-CD313B66EA0C}"/>
  </w:font>
  <w:font w:name="Symbol">
    <w:panose1 w:val="05050102010706020507"/>
    <w:charset w:val="02"/>
    <w:family w:val="roman"/>
    <w:pitch w:val="default"/>
    <w:sig w:usb0="00000000" w:usb1="00000000" w:usb2="00000000" w:usb3="00000000" w:csb0="80000000" w:csb1="00000000"/>
    <w:embedRegular r:id="rId5" w:fontKey="{C7047AF5-EACC-4F9D-B6F7-706EEE90C955}"/>
  </w:font>
  <w:font w:name="Calibri">
    <w:panose1 w:val="020F0502020204030204"/>
    <w:charset w:val="00"/>
    <w:family w:val="swiss"/>
    <w:pitch w:val="default"/>
    <w:sig w:usb0="E00002FF" w:usb1="4000ACFF" w:usb2="00000001" w:usb3="00000000" w:csb0="2000019F" w:csb1="00000000"/>
    <w:embedRegular r:id="rId6" w:fontKey="{CDC5645A-C8D1-4F7D-A496-8178047F8DB9}"/>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1B7D3451-1AA3-4D60-A143-7A7F91689452}"/>
  </w:font>
  <w:font w:name="Wingdings 2">
    <w:panose1 w:val="05020102010507070707"/>
    <w:charset w:val="02"/>
    <w:family w:val="roman"/>
    <w:pitch w:val="default"/>
    <w:sig w:usb0="00000000" w:usb1="00000000" w:usb2="00000000" w:usb3="00000000" w:csb0="80000000" w:csb1="00000000"/>
    <w:embedRegular r:id="rId8" w:fontKey="{A4C81783-9934-4920-B3F3-7ECDD8B2E520}"/>
  </w:font>
  <w:font w:name="MS Gothic">
    <w:panose1 w:val="020B0609070205080204"/>
    <w:charset w:val="80"/>
    <w:family w:val="modern"/>
    <w:pitch w:val="default"/>
    <w:sig w:usb0="E00002FF" w:usb1="6AC7FDFB" w:usb2="00000012" w:usb3="00000000" w:csb0="4002009F" w:csb1="DFD70000"/>
    <w:embedRegular r:id="rId9" w:fontKey="{E871CE3D-1550-4B5C-B9B7-244D1AC60CCF}"/>
  </w:font>
  <w:font w:name="华文楷体">
    <w:panose1 w:val="02010600040101010101"/>
    <w:charset w:val="86"/>
    <w:family w:val="auto"/>
    <w:pitch w:val="default"/>
    <w:sig w:usb0="00000287" w:usb1="080F0000" w:usb2="00000000" w:usb3="00000000" w:csb0="0004009F" w:csb1="DFD70000"/>
    <w:embedRegular r:id="rId10" w:fontKey="{58BA899D-52B3-4DFA-B1D7-484DB4A35661}"/>
  </w:font>
  <w:font w:name="华文中宋">
    <w:panose1 w:val="02010600040101010101"/>
    <w:charset w:val="86"/>
    <w:family w:val="auto"/>
    <w:pitch w:val="default"/>
    <w:sig w:usb0="00000287" w:usb1="080F0000" w:usb2="00000000" w:usb3="00000000" w:csb0="0004009F" w:csb1="DFD70000"/>
    <w:embedRegular r:id="rId11" w:fontKey="{A1080F26-6D6C-4866-AE3E-C85AC23D55FD}"/>
  </w:font>
  <w:font w:name="等线">
    <w:panose1 w:val="02010600030101010101"/>
    <w:charset w:val="86"/>
    <w:family w:val="roman"/>
    <w:pitch w:val="default"/>
    <w:sig w:usb0="A00002BF" w:usb1="38CF7CFA" w:usb2="00000016" w:usb3="00000000" w:csb0="0004000F" w:csb1="00000000"/>
    <w:embedRegular r:id="rId12" w:fontKey="{9C9D7516-AEBC-4938-BF2B-3CEBC4CF12C7}"/>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4694C238-A2A9-4F6D-8405-CC3D2928CB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83</w:t>
                    </w:r>
                    <w:r>
                      <w:rPr>
                        <w:rFonts w:hint="eastAsia"/>
                        <w:lang w:eastAsia="zh-CN"/>
                      </w:rPr>
                      <w:fldChar w:fldCharType="end"/>
                    </w:r>
                  </w:p>
                </w:txbxContent>
              </v:textbox>
            </v:shape>
          </w:pict>
        </mc:Fallback>
      </mc:AlternateContent>
    </w:r>
  </w:p>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7"/>
      </w:rPr>
    </w:pPr>
    <w:r>
      <w:fldChar w:fldCharType="begin"/>
    </w:r>
    <w:r>
      <w:rPr>
        <w:rStyle w:val="27"/>
      </w:rPr>
      <w:instrText xml:space="preserve">PAGE  </w:instrText>
    </w:r>
    <w:r>
      <w:fldChar w:fldCharType="end"/>
    </w:r>
  </w:p>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82</w:t>
                    </w:r>
                    <w:r>
                      <w:rPr>
                        <w:rFonts w:hint="eastAsia"/>
                        <w:lang w:eastAsia="zh-CN"/>
                      </w:rPr>
                      <w:fldChar w:fldCharType="end"/>
                    </w:r>
                  </w:p>
                </w:txbxContent>
              </v:textbox>
            </v:shape>
          </w:pict>
        </mc:Fallback>
      </mc:AlternateContent>
    </w:r>
  </w:p>
  <w:p>
    <w:pPr>
      <w:pStyle w:val="16"/>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108</w:t>
                    </w:r>
                    <w:r>
                      <w:rPr>
                        <w:rFonts w:hint="eastAsia"/>
                        <w:lang w:eastAsia="zh-CN"/>
                      </w:rPr>
                      <w:fldChar w:fldCharType="end"/>
                    </w:r>
                  </w:p>
                </w:txbxContent>
              </v:textbox>
            </v:shape>
          </w:pict>
        </mc:Fallback>
      </mc:AlternateContent>
    </w:r>
  </w:p>
  <w:p>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7"/>
      </w:rPr>
    </w:pPr>
    <w:r>
      <w:fldChar w:fldCharType="begin"/>
    </w:r>
    <w:r>
      <w:rPr>
        <w:rStyle w:val="27"/>
      </w:rPr>
      <w:instrText xml:space="preserve">PAGE  </w:instrText>
    </w:r>
    <w:r>
      <w:fldChar w:fldCharType="end"/>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广西机电设备招标有限公司招标文件                                                     评标方法及评标标准</w:t>
    </w:r>
  </w:p>
  <w:p>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 xml:space="preserve">                                             </w:t>
    </w:r>
  </w:p>
  <w:p>
    <w:pP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 xml:space="preserve">                                             </w:t>
    </w:r>
  </w:p>
  <w:p>
    <w:pP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6"/>
      <w:numFmt w:val="decimal"/>
      <w:suff w:val="space"/>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6"/>
      <w:numFmt w:val="decimal"/>
      <w:suff w:val="space"/>
      <w:lvlText w:val="%1."/>
      <w:lvlJc w:val="left"/>
    </w:lvl>
  </w:abstractNum>
  <w:abstractNum w:abstractNumId="3">
    <w:nsid w:val="00000003"/>
    <w:multiLevelType w:val="singleLevel"/>
    <w:tmpl w:val="00000003"/>
    <w:lvl w:ilvl="0" w:tentative="0">
      <w:start w:val="2"/>
      <w:numFmt w:val="decimal"/>
      <w:suff w:val="space"/>
      <w:lvlText w:val="%1."/>
      <w:lvlJc w:val="left"/>
    </w:lvl>
  </w:abstractNum>
  <w:abstractNum w:abstractNumId="4">
    <w:nsid w:val="00000004"/>
    <w:multiLevelType w:val="singleLevel"/>
    <w:tmpl w:val="00000004"/>
    <w:lvl w:ilvl="0" w:tentative="0">
      <w:start w:val="23"/>
      <w:numFmt w:val="decimal"/>
      <w:suff w:val="space"/>
      <w:lvlText w:val="%1."/>
      <w:lvlJc w:val="left"/>
    </w:lvl>
  </w:abstractNum>
  <w:abstractNum w:abstractNumId="5">
    <w:nsid w:val="00000005"/>
    <w:multiLevelType w:val="multilevel"/>
    <w:tmpl w:val="00000005"/>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0000006"/>
    <w:multiLevelType w:val="singleLevel"/>
    <w:tmpl w:val="00000006"/>
    <w:lvl w:ilvl="0" w:tentative="0">
      <w:start w:val="1"/>
      <w:numFmt w:val="decimal"/>
      <w:suff w:val="nothing"/>
      <w:lvlText w:val="（%1）"/>
      <w:lvlJc w:val="left"/>
      <w:pPr>
        <w:ind w:left="-2"/>
      </w:pPr>
    </w:lvl>
  </w:abstractNum>
  <w:abstractNum w:abstractNumId="7">
    <w:nsid w:val="00000007"/>
    <w:multiLevelType w:val="singleLevel"/>
    <w:tmpl w:val="00000007"/>
    <w:lvl w:ilvl="0" w:tentative="0">
      <w:start w:val="1"/>
      <w:numFmt w:val="decimal"/>
      <w:suff w:val="nothing"/>
      <w:lvlText w:val="（%1）"/>
      <w:lvlJc w:val="left"/>
    </w:lvl>
  </w:abstractNum>
  <w:abstractNum w:abstractNumId="8">
    <w:nsid w:val="00000008"/>
    <w:multiLevelType w:val="multilevel"/>
    <w:tmpl w:val="00000008"/>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00000009"/>
    <w:multiLevelType w:val="singleLevel"/>
    <w:tmpl w:val="00000009"/>
    <w:lvl w:ilvl="0" w:tentative="0">
      <w:start w:val="1"/>
      <w:numFmt w:val="decimal"/>
      <w:suff w:val="space"/>
      <w:lvlText w:val="%1."/>
      <w:lvlJc w:val="left"/>
    </w:lvl>
  </w:abstractNum>
  <w:num w:numId="1">
    <w:abstractNumId w:val="5"/>
  </w:num>
  <w:num w:numId="2">
    <w:abstractNumId w:val="6"/>
  </w:num>
  <w:num w:numId="3">
    <w:abstractNumId w:val="7"/>
  </w:num>
  <w:num w:numId="4">
    <w:abstractNumId w:val="9"/>
  </w:num>
  <w:num w:numId="5">
    <w:abstractNumId w:val="1"/>
  </w:num>
  <w:num w:numId="6">
    <w:abstractNumId w:val="3"/>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36D99"/>
    <w:rsid w:val="028014A6"/>
    <w:rsid w:val="044E52DA"/>
    <w:rsid w:val="05126F24"/>
    <w:rsid w:val="098F1467"/>
    <w:rsid w:val="0A9D4569"/>
    <w:rsid w:val="0D1C1622"/>
    <w:rsid w:val="0DCE603B"/>
    <w:rsid w:val="0E880652"/>
    <w:rsid w:val="0FF42C2C"/>
    <w:rsid w:val="11F07887"/>
    <w:rsid w:val="1399733B"/>
    <w:rsid w:val="17256E5A"/>
    <w:rsid w:val="1A531709"/>
    <w:rsid w:val="1D0109DB"/>
    <w:rsid w:val="236F4F57"/>
    <w:rsid w:val="26B91887"/>
    <w:rsid w:val="28A47198"/>
    <w:rsid w:val="292B5451"/>
    <w:rsid w:val="29BC351C"/>
    <w:rsid w:val="2CCC65D3"/>
    <w:rsid w:val="2D7769F1"/>
    <w:rsid w:val="30105A93"/>
    <w:rsid w:val="318E61BB"/>
    <w:rsid w:val="329161B5"/>
    <w:rsid w:val="32DC4B4A"/>
    <w:rsid w:val="35546368"/>
    <w:rsid w:val="39B60138"/>
    <w:rsid w:val="3B3851ED"/>
    <w:rsid w:val="3CC93975"/>
    <w:rsid w:val="3E2340D2"/>
    <w:rsid w:val="3F597C8F"/>
    <w:rsid w:val="42302A59"/>
    <w:rsid w:val="48A8630F"/>
    <w:rsid w:val="4F7E795B"/>
    <w:rsid w:val="539075B3"/>
    <w:rsid w:val="541D462B"/>
    <w:rsid w:val="5539567D"/>
    <w:rsid w:val="59054895"/>
    <w:rsid w:val="5C254E83"/>
    <w:rsid w:val="6015457E"/>
    <w:rsid w:val="61C13F7E"/>
    <w:rsid w:val="621D6007"/>
    <w:rsid w:val="62FA0231"/>
    <w:rsid w:val="66740FE0"/>
    <w:rsid w:val="69585DB5"/>
    <w:rsid w:val="6A1535B6"/>
    <w:rsid w:val="6AF738FA"/>
    <w:rsid w:val="6D730EFB"/>
    <w:rsid w:val="6D9D3C67"/>
    <w:rsid w:val="6E6C58EF"/>
    <w:rsid w:val="6E7A4742"/>
    <w:rsid w:val="709D7222"/>
    <w:rsid w:val="72060B3A"/>
    <w:rsid w:val="76043C42"/>
    <w:rsid w:val="7E0C0340"/>
    <w:rsid w:val="7E766817"/>
    <w:rsid w:val="7F7B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4"/>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39"/>
    <w:qFormat/>
    <w:uiPriority w:val="0"/>
    <w:pPr>
      <w:keepNext/>
      <w:keepLines/>
      <w:spacing w:before="260" w:after="260" w:line="416" w:lineRule="auto"/>
      <w:outlineLvl w:val="2"/>
    </w:pPr>
    <w:rPr>
      <w:b/>
      <w:bCs/>
      <w:kern w:val="0"/>
      <w:sz w:val="32"/>
      <w:szCs w:val="32"/>
    </w:rPr>
  </w:style>
  <w:style w:type="paragraph" w:styleId="6">
    <w:name w:val="heading 5"/>
    <w:basedOn w:val="1"/>
    <w:next w:val="1"/>
    <w:link w:val="45"/>
    <w:qFormat/>
    <w:uiPriority w:val="0"/>
    <w:pPr>
      <w:keepNext/>
      <w:keepLines/>
      <w:numPr>
        <w:ilvl w:val="4"/>
        <w:numId w:val="1"/>
      </w:numPr>
      <w:spacing w:before="280" w:after="290" w:line="376" w:lineRule="auto"/>
      <w:outlineLvl w:val="4"/>
    </w:pPr>
    <w:rPr>
      <w:b/>
      <w:sz w:val="28"/>
    </w:rPr>
  </w:style>
  <w:style w:type="character" w:default="1" w:styleId="26">
    <w:name w:val="Default Paragraph Font"/>
    <w:qFormat/>
    <w:uiPriority w:val="1"/>
  </w:style>
  <w:style w:type="table" w:default="1" w:styleId="25">
    <w:name w:val="Normal Table"/>
    <w:qFormat/>
    <w:uiPriority w:val="99"/>
    <w:tblPr>
      <w:tblLayout w:type="fixed"/>
      <w:tblCellMar>
        <w:top w:w="0" w:type="dxa"/>
        <w:left w:w="108" w:type="dxa"/>
        <w:bottom w:w="0" w:type="dxa"/>
        <w:right w:w="108" w:type="dxa"/>
      </w:tblCellMar>
    </w:tblPr>
  </w:style>
  <w:style w:type="paragraph" w:styleId="2">
    <w:name w:val="Body Text"/>
    <w:basedOn w:val="1"/>
    <w:next w:val="1"/>
    <w:link w:val="42"/>
    <w:qFormat/>
    <w:uiPriority w:val="99"/>
    <w:pPr>
      <w:spacing w:line="380" w:lineRule="exact"/>
    </w:pPr>
    <w:rPr>
      <w:kern w:val="0"/>
      <w:sz w:val="24"/>
    </w:rPr>
  </w:style>
  <w:style w:type="paragraph" w:styleId="7">
    <w:name w:val="toc 7"/>
    <w:basedOn w:val="1"/>
    <w:next w:val="1"/>
    <w:qFormat/>
    <w:uiPriority w:val="0"/>
    <w:pPr>
      <w:ind w:left="2520" w:leftChars="1200"/>
    </w:pPr>
  </w:style>
  <w:style w:type="paragraph" w:styleId="8">
    <w:name w:val="Normal Indent"/>
    <w:basedOn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annotation text"/>
    <w:basedOn w:val="1"/>
    <w:link w:val="35"/>
    <w:qFormat/>
    <w:uiPriority w:val="0"/>
    <w:pPr>
      <w:jc w:val="left"/>
    </w:pPr>
  </w:style>
  <w:style w:type="paragraph" w:styleId="11">
    <w:name w:val="Body Text 3"/>
    <w:basedOn w:val="1"/>
    <w:link w:val="46"/>
    <w:qFormat/>
    <w:uiPriority w:val="0"/>
    <w:pPr>
      <w:spacing w:line="500" w:lineRule="exact"/>
    </w:pPr>
    <w:rPr>
      <w:b/>
      <w:bCs/>
      <w:kern w:val="0"/>
      <w:sz w:val="24"/>
    </w:rPr>
  </w:style>
  <w:style w:type="paragraph" w:styleId="12">
    <w:name w:val="Body Text Indent"/>
    <w:basedOn w:val="1"/>
    <w:next w:val="13"/>
    <w:link w:val="47"/>
    <w:qFormat/>
    <w:uiPriority w:val="99"/>
    <w:pPr>
      <w:ind w:firstLine="830" w:firstLineChars="352"/>
    </w:pPr>
    <w:rPr>
      <w:rFonts w:ascii="仿宋_GB2312" w:eastAsia="仿宋_GB2312"/>
      <w:kern w:val="0"/>
      <w:sz w:val="32"/>
      <w:szCs w:val="20"/>
    </w:rPr>
  </w:style>
  <w:style w:type="paragraph" w:customStyle="1" w:styleId="13">
    <w:name w:val="标准正文 Char Char Char Char"/>
    <w:basedOn w:val="1"/>
    <w:next w:val="1"/>
    <w:qFormat/>
    <w:uiPriority w:val="0"/>
    <w:pPr>
      <w:spacing w:after="60"/>
      <w:ind w:firstLine="482"/>
    </w:pPr>
    <w:rPr>
      <w:kern w:val="0"/>
      <w:sz w:val="20"/>
      <w:szCs w:val="20"/>
    </w:rPr>
  </w:style>
  <w:style w:type="paragraph" w:styleId="14">
    <w:name w:val="Plain Text"/>
    <w:basedOn w:val="1"/>
    <w:link w:val="40"/>
    <w:qFormat/>
    <w:uiPriority w:val="0"/>
    <w:rPr>
      <w:rFonts w:ascii="宋体" w:hAnsi="Courier New"/>
      <w:kern w:val="0"/>
      <w:sz w:val="20"/>
      <w:szCs w:val="21"/>
    </w:rPr>
  </w:style>
  <w:style w:type="paragraph" w:styleId="15">
    <w:name w:val="Balloon Text"/>
    <w:basedOn w:val="1"/>
    <w:link w:val="34"/>
    <w:qFormat/>
    <w:uiPriority w:val="0"/>
    <w:rPr>
      <w:sz w:val="18"/>
      <w:szCs w:val="18"/>
    </w:rPr>
  </w:style>
  <w:style w:type="paragraph" w:styleId="16">
    <w:name w:val="footer"/>
    <w:basedOn w:val="1"/>
    <w:next w:val="1"/>
    <w:link w:val="48"/>
    <w:qFormat/>
    <w:uiPriority w:val="99"/>
    <w:pPr>
      <w:tabs>
        <w:tab w:val="center" w:pos="4153"/>
        <w:tab w:val="right" w:pos="8306"/>
      </w:tabs>
      <w:snapToGrid w:val="0"/>
      <w:jc w:val="left"/>
    </w:pPr>
    <w:rPr>
      <w:kern w:val="0"/>
      <w:sz w:val="18"/>
      <w:szCs w:val="18"/>
    </w:rPr>
  </w:style>
  <w:style w:type="paragraph" w:styleId="17">
    <w:name w:val="header"/>
    <w:basedOn w:val="1"/>
    <w:link w:val="49"/>
    <w:qFormat/>
    <w:uiPriority w:val="99"/>
    <w:pPr>
      <w:pBdr>
        <w:bottom w:val="single" w:color="auto" w:sz="6" w:space="1"/>
      </w:pBdr>
      <w:tabs>
        <w:tab w:val="center" w:pos="0"/>
        <w:tab w:val="left" w:pos="8306"/>
      </w:tabs>
      <w:snapToGrid w:val="0"/>
      <w:jc w:val="center"/>
    </w:pPr>
    <w:rPr>
      <w:sz w:val="18"/>
      <w:szCs w:val="18"/>
    </w:rPr>
  </w:style>
  <w:style w:type="paragraph" w:styleId="18">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19">
    <w:name w:val="List"/>
    <w:basedOn w:val="1"/>
    <w:qFormat/>
    <w:uiPriority w:val="0"/>
    <w:pPr>
      <w:ind w:left="200" w:hanging="200" w:hangingChars="200"/>
    </w:pPr>
    <w:rPr>
      <w:sz w:val="28"/>
    </w:rPr>
  </w:style>
  <w:style w:type="paragraph" w:styleId="20">
    <w:name w:val="toc 2"/>
    <w:basedOn w:val="1"/>
    <w:next w:val="1"/>
    <w:qFormat/>
    <w:uiPriority w:val="0"/>
    <w:pPr>
      <w:ind w:left="420" w:leftChars="200"/>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2">
    <w:name w:val="Normal (Web)"/>
    <w:basedOn w:val="1"/>
    <w:qFormat/>
    <w:uiPriority w:val="0"/>
    <w:pPr>
      <w:widowControl/>
      <w:spacing w:before="100" w:beforeAutospacing="1" w:after="100" w:afterAutospacing="1"/>
      <w:jc w:val="left"/>
    </w:pPr>
    <w:rPr>
      <w:rFonts w:ascii="宋体" w:hAnsi="宋体"/>
      <w:kern w:val="0"/>
      <w:sz w:val="24"/>
    </w:rPr>
  </w:style>
  <w:style w:type="paragraph" w:styleId="23">
    <w:name w:val="annotation subject"/>
    <w:basedOn w:val="10"/>
    <w:next w:val="10"/>
    <w:link w:val="36"/>
    <w:qFormat/>
    <w:uiPriority w:val="0"/>
    <w:rPr>
      <w:b/>
      <w:bCs/>
    </w:rPr>
  </w:style>
  <w:style w:type="paragraph" w:styleId="24">
    <w:name w:val="Body Text First Indent 2"/>
    <w:basedOn w:val="12"/>
    <w:link w:val="57"/>
    <w:qFormat/>
    <w:uiPriority w:val="99"/>
    <w:pPr>
      <w:ind w:firstLine="420" w:firstLineChars="200"/>
    </w:pPr>
  </w:style>
  <w:style w:type="character" w:styleId="27">
    <w:name w:val="page number"/>
    <w:qFormat/>
    <w:uiPriority w:val="0"/>
  </w:style>
  <w:style w:type="character" w:styleId="28">
    <w:name w:val="Hyperlink"/>
    <w:qFormat/>
    <w:uiPriority w:val="99"/>
    <w:rPr>
      <w:color w:val="0000FF"/>
      <w:u w:val="single"/>
    </w:rPr>
  </w:style>
  <w:style w:type="character" w:styleId="29">
    <w:name w:val="annotation reference"/>
    <w:qFormat/>
    <w:uiPriority w:val="0"/>
    <w:rPr>
      <w:sz w:val="21"/>
      <w:szCs w:val="21"/>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Table Paragraph"/>
    <w:basedOn w:val="1"/>
    <w:qFormat/>
    <w:uiPriority w:val="1"/>
    <w:pPr>
      <w:jc w:val="left"/>
    </w:pPr>
    <w:rPr>
      <w:rFonts w:ascii="Calibri" w:hAnsi="Calibri"/>
      <w:kern w:val="0"/>
      <w:sz w:val="22"/>
      <w:szCs w:val="22"/>
      <w:lang w:eastAsia="en-US"/>
    </w:rPr>
  </w:style>
  <w:style w:type="character" w:customStyle="1" w:styleId="32">
    <w:name w:val="正文文本 (26) + 间距 0 pt"/>
    <w:qFormat/>
    <w:uiPriority w:val="0"/>
    <w:rPr>
      <w:rFonts w:ascii="宋体" w:hAnsi="宋体" w:eastAsia="宋体" w:cs="宋体"/>
      <w:color w:val="000000"/>
      <w:spacing w:val="0"/>
      <w:w w:val="100"/>
      <w:sz w:val="22"/>
      <w:szCs w:val="22"/>
      <w:u w:val="none"/>
      <w:lang w:val="zh-CN" w:eastAsia="zh-CN" w:bidi="zh-CN"/>
    </w:rPr>
  </w:style>
  <w:style w:type="paragraph" w:customStyle="1" w:styleId="33">
    <w:name w:val="正文2"/>
    <w:basedOn w:val="1"/>
    <w:qFormat/>
    <w:uiPriority w:val="0"/>
    <w:pPr>
      <w:adjustRightInd w:val="0"/>
      <w:spacing w:before="156" w:line="360" w:lineRule="auto"/>
      <w:ind w:firstLine="510" w:firstLineChars="200"/>
    </w:pPr>
    <w:rPr>
      <w:sz w:val="24"/>
      <w:szCs w:val="20"/>
    </w:rPr>
  </w:style>
  <w:style w:type="character" w:customStyle="1" w:styleId="34">
    <w:name w:val="批注框文本 Char"/>
    <w:basedOn w:val="26"/>
    <w:link w:val="15"/>
    <w:qFormat/>
    <w:uiPriority w:val="0"/>
    <w:rPr>
      <w:rFonts w:ascii="Times New Roman" w:hAnsi="Times New Roman" w:eastAsia="宋体" w:cs="Times New Roman"/>
      <w:kern w:val="2"/>
      <w:sz w:val="18"/>
      <w:szCs w:val="18"/>
    </w:rPr>
  </w:style>
  <w:style w:type="character" w:customStyle="1" w:styleId="35">
    <w:name w:val="批注文字 Char"/>
    <w:basedOn w:val="26"/>
    <w:link w:val="10"/>
    <w:qFormat/>
    <w:uiPriority w:val="0"/>
    <w:rPr>
      <w:rFonts w:ascii="Times New Roman" w:hAnsi="Times New Roman" w:eastAsia="宋体" w:cs="Times New Roman"/>
      <w:kern w:val="2"/>
      <w:sz w:val="21"/>
      <w:szCs w:val="24"/>
    </w:rPr>
  </w:style>
  <w:style w:type="character" w:customStyle="1" w:styleId="36">
    <w:name w:val="批注主题 Char"/>
    <w:basedOn w:val="35"/>
    <w:link w:val="23"/>
    <w:qFormat/>
    <w:uiPriority w:val="0"/>
    <w:rPr>
      <w:rFonts w:ascii="Times New Roman" w:hAnsi="Times New Roman" w:eastAsia="宋体" w:cs="Times New Roman"/>
      <w:kern w:val="2"/>
      <w:sz w:val="21"/>
      <w:szCs w:val="24"/>
    </w:rPr>
  </w:style>
  <w:style w:type="character" w:customStyle="1" w:styleId="37">
    <w:name w:val="font41"/>
    <w:basedOn w:val="26"/>
    <w:qFormat/>
    <w:uiPriority w:val="0"/>
    <w:rPr>
      <w:rFonts w:hint="eastAsia" w:ascii="仿宋" w:hAnsi="仿宋" w:eastAsia="仿宋" w:cs="仿宋"/>
      <w:color w:val="000000"/>
      <w:sz w:val="20"/>
      <w:szCs w:val="20"/>
      <w:u w:val="none"/>
    </w:rPr>
  </w:style>
  <w:style w:type="character" w:customStyle="1" w:styleId="38">
    <w:name w:val="批注文字 Char2"/>
    <w:qFormat/>
    <w:uiPriority w:val="0"/>
    <w:rPr>
      <w:rFonts w:ascii="Times New Roman" w:hAnsi="Times New Roman"/>
      <w:kern w:val="2"/>
      <w:sz w:val="21"/>
      <w:szCs w:val="24"/>
    </w:rPr>
  </w:style>
  <w:style w:type="character" w:customStyle="1" w:styleId="39">
    <w:name w:val="标题 3 Char"/>
    <w:link w:val="5"/>
    <w:qFormat/>
    <w:uiPriority w:val="0"/>
    <w:rPr>
      <w:rFonts w:ascii="Times New Roman" w:hAnsi="Times New Roman" w:eastAsia="宋体" w:cs="Times New Roman"/>
      <w:b/>
      <w:bCs/>
      <w:sz w:val="32"/>
      <w:szCs w:val="32"/>
    </w:rPr>
  </w:style>
  <w:style w:type="character" w:customStyle="1" w:styleId="40">
    <w:name w:val="纯文本 Char"/>
    <w:link w:val="14"/>
    <w:qFormat/>
    <w:uiPriority w:val="0"/>
    <w:rPr>
      <w:rFonts w:ascii="宋体" w:hAnsi="Courier New" w:eastAsia="宋体" w:cs="Times New Roman"/>
      <w:szCs w:val="21"/>
    </w:rPr>
  </w:style>
  <w:style w:type="paragraph" w:styleId="41">
    <w:name w:val="List Paragraph"/>
    <w:basedOn w:val="1"/>
    <w:qFormat/>
    <w:uiPriority w:val="99"/>
    <w:pPr>
      <w:ind w:firstLine="420" w:firstLineChars="200"/>
    </w:pPr>
  </w:style>
  <w:style w:type="character" w:customStyle="1" w:styleId="42">
    <w:name w:val="正文文本 Char"/>
    <w:basedOn w:val="26"/>
    <w:link w:val="2"/>
    <w:qFormat/>
    <w:uiPriority w:val="99"/>
    <w:rPr>
      <w:rFonts w:ascii="Times New Roman" w:hAnsi="Times New Roman" w:eastAsia="宋体" w:cs="Times New Roman"/>
      <w:sz w:val="24"/>
      <w:szCs w:val="24"/>
    </w:rPr>
  </w:style>
  <w:style w:type="character" w:customStyle="1" w:styleId="43">
    <w:name w:val="标题 1 Char"/>
    <w:basedOn w:val="26"/>
    <w:link w:val="3"/>
    <w:qFormat/>
    <w:uiPriority w:val="0"/>
    <w:rPr>
      <w:rFonts w:ascii="Times New Roman" w:hAnsi="Times New Roman" w:eastAsia="宋体" w:cs="Times New Roman"/>
      <w:b/>
      <w:bCs/>
      <w:kern w:val="44"/>
      <w:sz w:val="44"/>
      <w:szCs w:val="44"/>
    </w:rPr>
  </w:style>
  <w:style w:type="character" w:customStyle="1" w:styleId="44">
    <w:name w:val="标题 2 Char"/>
    <w:basedOn w:val="26"/>
    <w:link w:val="4"/>
    <w:qFormat/>
    <w:uiPriority w:val="0"/>
    <w:rPr>
      <w:rFonts w:ascii="Arial" w:hAnsi="Arial" w:eastAsia="黑体" w:cs="Times New Roman"/>
      <w:b/>
      <w:bCs/>
      <w:sz w:val="32"/>
      <w:szCs w:val="32"/>
    </w:rPr>
  </w:style>
  <w:style w:type="character" w:customStyle="1" w:styleId="45">
    <w:name w:val="标题 5 Char"/>
    <w:basedOn w:val="26"/>
    <w:link w:val="6"/>
    <w:qFormat/>
    <w:uiPriority w:val="0"/>
    <w:rPr>
      <w:rFonts w:ascii="Times New Roman" w:hAnsi="Times New Roman" w:eastAsia="宋体" w:cs="Times New Roman"/>
      <w:b/>
      <w:kern w:val="2"/>
      <w:sz w:val="28"/>
      <w:szCs w:val="24"/>
    </w:rPr>
  </w:style>
  <w:style w:type="character" w:customStyle="1" w:styleId="46">
    <w:name w:val="正文文本 3 Char"/>
    <w:basedOn w:val="26"/>
    <w:link w:val="11"/>
    <w:qFormat/>
    <w:uiPriority w:val="0"/>
    <w:rPr>
      <w:rFonts w:ascii="Times New Roman" w:hAnsi="Times New Roman" w:eastAsia="宋体" w:cs="Times New Roman"/>
      <w:b/>
      <w:bCs/>
      <w:sz w:val="24"/>
      <w:szCs w:val="24"/>
    </w:rPr>
  </w:style>
  <w:style w:type="character" w:customStyle="1" w:styleId="47">
    <w:name w:val="正文文本缩进 Char"/>
    <w:basedOn w:val="26"/>
    <w:link w:val="12"/>
    <w:qFormat/>
    <w:uiPriority w:val="99"/>
    <w:rPr>
      <w:rFonts w:ascii="仿宋_GB2312" w:hAnsi="Times New Roman" w:eastAsia="仿宋_GB2312" w:cs="Times New Roman"/>
      <w:sz w:val="32"/>
    </w:rPr>
  </w:style>
  <w:style w:type="character" w:customStyle="1" w:styleId="48">
    <w:name w:val="页脚 Char"/>
    <w:basedOn w:val="26"/>
    <w:link w:val="16"/>
    <w:qFormat/>
    <w:uiPriority w:val="99"/>
    <w:rPr>
      <w:rFonts w:ascii="Times New Roman" w:hAnsi="Times New Roman" w:eastAsia="宋体" w:cs="Times New Roman"/>
      <w:sz w:val="18"/>
      <w:szCs w:val="18"/>
    </w:rPr>
  </w:style>
  <w:style w:type="character" w:customStyle="1" w:styleId="49">
    <w:name w:val="页眉 Char"/>
    <w:basedOn w:val="26"/>
    <w:link w:val="17"/>
    <w:qFormat/>
    <w:uiPriority w:val="99"/>
    <w:rPr>
      <w:rFonts w:ascii="Times New Roman" w:hAnsi="Times New Roman" w:eastAsia="宋体" w:cs="Times New Roman"/>
      <w:kern w:val="2"/>
      <w:sz w:val="18"/>
      <w:szCs w:val="18"/>
    </w:rPr>
  </w:style>
  <w:style w:type="character" w:customStyle="1" w:styleId="50">
    <w:name w:val="纯文本 Char1"/>
    <w:qFormat/>
    <w:uiPriority w:val="0"/>
    <w:rPr>
      <w:rFonts w:ascii="宋体" w:hAnsi="Courier New" w:eastAsia="宋体" w:cs="Courier New"/>
      <w:szCs w:val="21"/>
    </w:rPr>
  </w:style>
  <w:style w:type="character" w:customStyle="1" w:styleId="51">
    <w:name w:val="正文文本 Char2"/>
    <w:qFormat/>
    <w:uiPriority w:val="99"/>
    <w:rPr>
      <w:rFonts w:ascii="Times New Roman" w:hAnsi="Times New Roman" w:eastAsia="宋体" w:cs="Times New Roman"/>
      <w:sz w:val="24"/>
      <w:szCs w:val="24"/>
    </w:rPr>
  </w:style>
  <w:style w:type="character" w:customStyle="1" w:styleId="52">
    <w:name w:val="纯文本 Char2"/>
    <w:qFormat/>
    <w:uiPriority w:val="0"/>
    <w:rPr>
      <w:rFonts w:ascii="宋体" w:hAnsi="Courier New" w:eastAsia="宋体" w:cs="Courier New"/>
      <w:szCs w:val="21"/>
    </w:rPr>
  </w:style>
  <w:style w:type="paragraph" w:customStyle="1" w:styleId="53">
    <w:name w:val="Normal (Web)_file_123"/>
    <w:basedOn w:val="1"/>
    <w:qFormat/>
    <w:uiPriority w:val="99"/>
    <w:pPr>
      <w:widowControl/>
      <w:spacing w:before="100" w:beforeAutospacing="1" w:after="100" w:afterAutospacing="1"/>
      <w:jc w:val="left"/>
    </w:pPr>
    <w:rPr>
      <w:rFonts w:ascii="宋体" w:hAnsi="宋体" w:cs="宋体"/>
      <w:kern w:val="0"/>
      <w:sz w:val="24"/>
    </w:rPr>
  </w:style>
  <w:style w:type="paragraph" w:customStyle="1" w:styleId="54">
    <w:name w:val="修订1"/>
    <w:qFormat/>
    <w:uiPriority w:val="99"/>
    <w:rPr>
      <w:rFonts w:ascii="Times New Roman" w:hAnsi="Times New Roman" w:eastAsia="宋体" w:cs="Times New Roman"/>
      <w:kern w:val="2"/>
      <w:sz w:val="21"/>
      <w:szCs w:val="24"/>
      <w:lang w:val="en-US" w:eastAsia="zh-CN" w:bidi="ar-SA"/>
    </w:rPr>
  </w:style>
  <w:style w:type="character" w:customStyle="1" w:styleId="55">
    <w:name w:val="15"/>
    <w:qFormat/>
    <w:uiPriority w:val="0"/>
    <w:rPr>
      <w:rFonts w:hint="default" w:ascii="Times New Roman" w:hAnsi="Times New Roman" w:cs="Times New Roman"/>
      <w:color w:val="0000FF"/>
      <w:u w:val="single"/>
    </w:rPr>
  </w:style>
  <w:style w:type="paragraph" w:customStyle="1" w:styleId="56">
    <w:name w:val="null3"/>
    <w:qFormat/>
    <w:uiPriority w:val="0"/>
    <w:rPr>
      <w:rFonts w:hint="eastAsia" w:ascii="Calibri" w:hAnsi="Calibri" w:eastAsia="宋体" w:cs="Times New Roman"/>
      <w:lang w:val="en-US" w:eastAsia="zh-CN" w:bidi="ar-SA"/>
    </w:rPr>
  </w:style>
  <w:style w:type="character" w:customStyle="1" w:styleId="57">
    <w:name w:val="正文首行缩进 2 Char"/>
    <w:basedOn w:val="47"/>
    <w:link w:val="24"/>
    <w:qFormat/>
    <w:uiPriority w:val="99"/>
    <w:rPr>
      <w:rFonts w:ascii="仿宋_GB2312" w:hAnsi="Times New Roman" w:eastAsia="仿宋_GB2312" w:cs="Times New Roman"/>
      <w:sz w:val="32"/>
    </w:rPr>
  </w:style>
  <w:style w:type="paragraph" w:customStyle="1" w:styleId="58">
    <w:name w:val="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123</Pages>
  <Words>23710</Words>
  <Characters>26153</Characters>
  <Paragraphs>3295</Paragraphs>
  <TotalTime>1</TotalTime>
  <ScaleCrop>false</ScaleCrop>
  <LinksUpToDate>false</LinksUpToDate>
  <CharactersWithSpaces>26508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2023-10-10T01:18:00Z</dcterms:created>
  <dc:creator>轻舞1426163351</dc:creator>
  <cp:lastModifiedBy>Administrator</cp:lastModifiedBy>
  <dcterms:modified xsi:type="dcterms:W3CDTF">2026-08-13T07:52:58Z</dcterms:modified>
  <cp:revision>2089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A3BEB7A544A042EA805D5329B0303F1C_13</vt:lpwstr>
  </property>
  <property fmtid="{D5CDD505-2E9C-101B-9397-08002B2CF9AE}" pid="4" name="KSOTemplateDocerSaveRecord">
    <vt:lpwstr>eyJoZGlkIjoiMDVhNGNlZjU1M2FlYmQ4MjVmOWJjZWFiZjM1OTI3ZTciLCJ1c2VySWQiOiIzMzEwMzI4MjYifQ==</vt:lpwstr>
  </property>
</Properties>
</file>