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7062A">
      <w:pPr>
        <w:keepNext w:val="0"/>
        <w:keepLines w:val="0"/>
        <w:pageBreakBefore w:val="0"/>
        <w:widowControl w:val="0"/>
        <w:kinsoku/>
        <w:wordWrap/>
        <w:overflowPunct/>
        <w:topLinePunct w:val="0"/>
        <w:autoSpaceDE/>
        <w:autoSpaceDN/>
        <w:bidi w:val="0"/>
        <w:adjustRightInd/>
        <w:snapToGrid/>
        <w:spacing w:before="312" w:beforeLines="100" w:after="156" w:afterLines="50" w:line="360" w:lineRule="auto"/>
        <w:jc w:val="center"/>
        <w:textAlignment w:val="auto"/>
        <w:rPr>
          <w:rFonts w:hint="eastAsia" w:ascii="方正小标宋简体" w:hAnsi="宋体" w:eastAsia="方正小标宋简体"/>
          <w:color w:val="000000" w:themeColor="text1"/>
          <w:sz w:val="52"/>
          <w:szCs w:val="52"/>
          <w:lang w:eastAsia="zh-CN"/>
          <w14:textFill>
            <w14:solidFill>
              <w14:schemeClr w14:val="tx1"/>
            </w14:solidFill>
          </w14:textFill>
        </w:rPr>
      </w:pPr>
      <w:r>
        <w:rPr>
          <w:rFonts w:hint="eastAsia" w:ascii="宋体" w:hAnsi="宋体" w:eastAsia="宋体"/>
          <w:b/>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-1000760</wp:posOffset>
            </wp:positionH>
            <wp:positionV relativeFrom="paragraph">
              <wp:posOffset>-887730</wp:posOffset>
            </wp:positionV>
            <wp:extent cx="7555230" cy="9719945"/>
            <wp:effectExtent l="0" t="0" r="7620" b="14605"/>
            <wp:wrapNone/>
            <wp:docPr id="4" name="图片 4" descr="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文件封面"/>
                    <pic:cNvPicPr>
                      <a:picLocks noChangeAspect="1"/>
                    </pic:cNvPicPr>
                  </pic:nvPicPr>
                  <pic:blipFill>
                    <a:blip r:embed="rId7"/>
                    <a:stretch>
                      <a:fillRect/>
                    </a:stretch>
                  </pic:blipFill>
                  <pic:spPr>
                    <a:xfrm>
                      <a:off x="0" y="0"/>
                      <a:ext cx="7555230" cy="9719945"/>
                    </a:xfrm>
                    <a:prstGeom prst="rect">
                      <a:avLst/>
                    </a:prstGeom>
                  </pic:spPr>
                </pic:pic>
              </a:graphicData>
            </a:graphic>
          </wp:anchor>
        </w:drawing>
      </w:r>
    </w:p>
    <w:p w14:paraId="15543F65">
      <w:pPr>
        <w:spacing w:line="360" w:lineRule="auto"/>
        <w:jc w:val="center"/>
        <w:rPr>
          <w:rFonts w:hint="eastAsia" w:ascii="宋体" w:hAnsi="宋体" w:eastAsia="宋体" w:cs="宋体"/>
          <w:b/>
          <w:bCs/>
          <w:color w:val="000000" w:themeColor="text1"/>
          <w:sz w:val="52"/>
          <w:szCs w:val="52"/>
          <w:lang w:eastAsia="zh-CN"/>
          <w14:textFill>
            <w14:solidFill>
              <w14:schemeClr w14:val="tx1"/>
            </w14:solidFill>
          </w14:textFill>
        </w:rPr>
      </w:pPr>
      <w:r>
        <w:rPr>
          <w:rFonts w:hint="eastAsia" w:ascii="宋体" w:hAnsi="宋体" w:eastAsia="宋体" w:cs="宋体"/>
          <w:b/>
          <w:bCs/>
          <w:color w:val="000000" w:themeColor="text1"/>
          <w:sz w:val="52"/>
          <w:szCs w:val="52"/>
          <w:lang w:eastAsia="zh-CN"/>
          <w14:textFill>
            <w14:solidFill>
              <w14:schemeClr w14:val="tx1"/>
            </w14:solidFill>
          </w14:textFill>
        </w:rPr>
        <w:t>广西城建咨询设计有限公司</w:t>
      </w:r>
    </w:p>
    <w:p w14:paraId="5C10C544">
      <w:pPr>
        <w:spacing w:line="360" w:lineRule="auto"/>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pPr>
    </w:p>
    <w:p w14:paraId="0A6CB369">
      <w:pPr>
        <w:spacing w:line="360" w:lineRule="auto"/>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pPr>
    </w:p>
    <w:p w14:paraId="072B7BF2">
      <w:pPr>
        <w:snapToGrid w:val="0"/>
        <w:spacing w:before="156" w:beforeLines="50" w:line="360" w:lineRule="auto"/>
        <w:jc w:val="center"/>
        <w:rPr>
          <w:rFonts w:hint="eastAsia" w:ascii="华文新魏" w:hAnsi="宋体" w:eastAsia="华文新魏"/>
          <w:color w:val="000000" w:themeColor="text1"/>
          <w:sz w:val="120"/>
          <w:szCs w:val="120"/>
          <w14:textFill>
            <w14:solidFill>
              <w14:schemeClr w14:val="tx1"/>
            </w14:solidFill>
          </w14:textFill>
        </w:rPr>
      </w:pPr>
      <w:r>
        <w:rPr>
          <w:rFonts w:hint="eastAsia" w:ascii="华文新魏" w:hAnsi="宋体" w:eastAsia="华文新魏"/>
          <w:color w:val="000000" w:themeColor="text1"/>
          <w:sz w:val="120"/>
          <w:szCs w:val="120"/>
          <w14:textFill>
            <w14:solidFill>
              <w14:schemeClr w14:val="tx1"/>
            </w14:solidFill>
          </w14:textFill>
        </w:rPr>
        <w:t>竞争性谈判文件</w:t>
      </w:r>
    </w:p>
    <w:p w14:paraId="2A3E9A41">
      <w:pPr>
        <w:snapToGrid w:val="0"/>
        <w:spacing w:before="156" w:beforeLines="50" w:line="360" w:lineRule="auto"/>
        <w:jc w:val="center"/>
        <w:rPr>
          <w:rFonts w:hint="eastAsia" w:ascii="仿宋_GB2312" w:hAnsi="宋体" w:eastAsia="仿宋_GB2312"/>
          <w:b/>
          <w:color w:val="000000" w:themeColor="text1"/>
          <w:sz w:val="30"/>
          <w:szCs w:val="72"/>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（全流程电子化采购）</w:t>
      </w:r>
    </w:p>
    <w:p w14:paraId="3EB070F3">
      <w:pPr>
        <w:snapToGrid w:val="0"/>
        <w:spacing w:line="360" w:lineRule="auto"/>
        <w:rPr>
          <w:rFonts w:hint="eastAsia" w:ascii="仿宋_GB2312" w:hAnsi="宋体" w:eastAsia="仿宋_GB2312"/>
          <w:color w:val="000000" w:themeColor="text1"/>
          <w:sz w:val="30"/>
          <w:szCs w:val="72"/>
          <w14:textFill>
            <w14:solidFill>
              <w14:schemeClr w14:val="tx1"/>
            </w14:solidFill>
          </w14:textFill>
        </w:rPr>
      </w:pPr>
    </w:p>
    <w:p w14:paraId="11EA031B">
      <w:pPr>
        <w:pStyle w:val="12"/>
        <w:snapToGrid w:val="0"/>
        <w:spacing w:line="360" w:lineRule="auto"/>
        <w:ind w:firstLine="1193" w:firstLineChars="396"/>
        <w:rPr>
          <w:rFonts w:hint="eastAsia" w:asciiTheme="minorEastAsia" w:hAnsiTheme="minorEastAsia" w:eastAsiaTheme="minorEastAsia" w:cstheme="minorEastAsia"/>
          <w:b/>
          <w:bCs/>
          <w:color w:val="000000" w:themeColor="text1"/>
          <w:sz w:val="30"/>
          <w:szCs w:val="30"/>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项目</w:t>
      </w: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名称</w:t>
      </w:r>
      <w:r>
        <w:rPr>
          <w:rFonts w:hint="eastAsia" w:asciiTheme="minorEastAsia" w:hAnsiTheme="minorEastAsia" w:eastAsiaTheme="minorEastAsia" w:cstheme="minorEastAsia"/>
          <w:b/>
          <w:bCs/>
          <w:color w:val="000000" w:themeColor="text1"/>
          <w:sz w:val="30"/>
          <w:szCs w:val="30"/>
          <w14:textFill>
            <w14:solidFill>
              <w14:schemeClr w14:val="tx1"/>
            </w14:solidFill>
          </w14:textFill>
        </w:rPr>
        <w:t>：</w:t>
      </w:r>
      <w:r>
        <w:rPr>
          <w:rFonts w:hint="eastAsia" w:asciiTheme="minorEastAsia" w:hAnsiTheme="minorEastAsia" w:eastAsiaTheme="minorEastAsia" w:cstheme="minorEastAsia"/>
          <w:b/>
          <w:bCs/>
          <w:color w:val="000000" w:themeColor="text1"/>
          <w:sz w:val="30"/>
          <w:szCs w:val="30"/>
          <w:lang w:eastAsia="zh-CN"/>
          <w14:textFill>
            <w14:solidFill>
              <w14:schemeClr w14:val="tx1"/>
            </w14:solidFill>
          </w14:textFill>
        </w:rPr>
        <w:t>博白县人民法院综合安防设备采购（</w:t>
      </w:r>
      <w:r>
        <w:rPr>
          <w:rFonts w:hint="eastAsia" w:asciiTheme="minorEastAsia" w:hAnsiTheme="minorEastAsia" w:eastAsiaTheme="minorEastAsia" w:cstheme="minorEastAsia"/>
          <w:b/>
          <w:bCs/>
          <w:color w:val="000000" w:themeColor="text1"/>
          <w:sz w:val="30"/>
          <w:szCs w:val="30"/>
          <w:lang w:val="en-US" w:eastAsia="zh-CN"/>
          <w14:textFill>
            <w14:solidFill>
              <w14:schemeClr w14:val="tx1"/>
            </w14:solidFill>
          </w14:textFill>
        </w:rPr>
        <w:t>重）</w:t>
      </w:r>
    </w:p>
    <w:p w14:paraId="5985DAB4">
      <w:pPr>
        <w:snapToGrid w:val="0"/>
        <w:spacing w:line="360" w:lineRule="auto"/>
        <w:ind w:firstLine="1145" w:firstLineChars="400"/>
        <w:rPr>
          <w:rFonts w:hint="eastAsia" w:asciiTheme="minorEastAsia" w:hAnsiTheme="minorEastAsia" w:eastAsiaTheme="minorEastAsia" w:cstheme="minorEastAsia"/>
          <w:color w:val="000000" w:themeColor="text1"/>
          <w:sz w:val="30"/>
          <w:szCs w:val="72"/>
          <w14:textFill>
            <w14:solidFill>
              <w14:schemeClr w14:val="tx1"/>
            </w14:solidFill>
          </w14:textFill>
        </w:rPr>
      </w:pP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项目</w:t>
      </w:r>
      <w:r>
        <w:rPr>
          <w:rFonts w:hint="eastAsia" w:asciiTheme="minorEastAsia" w:hAnsiTheme="minorEastAsia" w:eastAsiaTheme="minorEastAsia" w:cstheme="minorEastAsia"/>
          <w:b/>
          <w:bCs/>
          <w:color w:val="000000" w:themeColor="text1"/>
          <w:sz w:val="30"/>
          <w:szCs w:val="30"/>
          <w14:textFill>
            <w14:solidFill>
              <w14:schemeClr w14:val="tx1"/>
            </w14:solidFill>
          </w14:textFill>
        </w:rPr>
        <w:t>编号</w:t>
      </w: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：YLZC2026-J1-990240-GXCJ</w:t>
      </w:r>
    </w:p>
    <w:p w14:paraId="7F24188F">
      <w:pPr>
        <w:pStyle w:val="12"/>
        <w:snapToGrid w:val="0"/>
        <w:spacing w:line="360" w:lineRule="auto"/>
        <w:ind w:firstLine="1125" w:firstLineChars="393"/>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pP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采 购 人：</w:t>
      </w:r>
      <w:r>
        <w:rPr>
          <w:rFonts w:hint="eastAsia" w:asciiTheme="minorEastAsia" w:hAnsiTheme="minorEastAsia" w:eastAsiaTheme="minorEastAsia" w:cstheme="minorEastAsia"/>
          <w:b/>
          <w:bCs/>
          <w:color w:val="000000" w:themeColor="text1"/>
          <w:w w:val="95"/>
          <w:sz w:val="30"/>
          <w:szCs w:val="30"/>
          <w:lang w:eastAsia="zh-CN"/>
          <w14:textFill>
            <w14:solidFill>
              <w14:schemeClr w14:val="tx1"/>
            </w14:solidFill>
          </w14:textFill>
        </w:rPr>
        <w:t>博白县人民法院</w:t>
      </w: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 xml:space="preserve"> </w:t>
      </w:r>
    </w:p>
    <w:p w14:paraId="26CF18BE">
      <w:pPr>
        <w:pStyle w:val="12"/>
        <w:snapToGrid w:val="0"/>
        <w:spacing w:line="360" w:lineRule="auto"/>
        <w:ind w:firstLine="1125" w:firstLineChars="393"/>
        <w:rPr>
          <w:rFonts w:hint="eastAsia" w:asciiTheme="minorEastAsia" w:hAnsiTheme="minorEastAsia" w:eastAsiaTheme="minorEastAsia" w:cstheme="minorEastAsia"/>
          <w:b/>
          <w:bCs/>
          <w:color w:val="000000" w:themeColor="text1"/>
          <w:w w:val="95"/>
          <w:sz w:val="30"/>
          <w:szCs w:val="30"/>
          <w:lang w:eastAsia="zh-CN"/>
          <w14:textFill>
            <w14:solidFill>
              <w14:schemeClr w14:val="tx1"/>
            </w14:solidFill>
          </w14:textFill>
        </w:rPr>
      </w:pP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采购代理机构：</w:t>
      </w:r>
      <w:r>
        <w:rPr>
          <w:rFonts w:hint="eastAsia" w:asciiTheme="minorEastAsia" w:hAnsiTheme="minorEastAsia" w:eastAsiaTheme="minorEastAsia" w:cstheme="minorEastAsia"/>
          <w:b/>
          <w:bCs/>
          <w:color w:val="000000" w:themeColor="text1"/>
          <w:w w:val="95"/>
          <w:sz w:val="30"/>
          <w:szCs w:val="30"/>
          <w:lang w:eastAsia="zh-CN"/>
          <w14:textFill>
            <w14:solidFill>
              <w14:schemeClr w14:val="tx1"/>
            </w14:solidFill>
          </w14:textFill>
        </w:rPr>
        <w:t>广西城建咨询设计有限公司</w:t>
      </w:r>
    </w:p>
    <w:p w14:paraId="71F4EEFD">
      <w:pPr>
        <w:pStyle w:val="12"/>
        <w:snapToGrid w:val="0"/>
        <w:spacing w:line="360" w:lineRule="auto"/>
        <w:ind w:firstLine="1125" w:firstLineChars="393"/>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pPr>
    </w:p>
    <w:p w14:paraId="5C814211">
      <w:pPr>
        <w:pStyle w:val="12"/>
        <w:snapToGrid w:val="0"/>
        <w:spacing w:line="360" w:lineRule="auto"/>
        <w:ind w:firstLine="1125" w:firstLineChars="393"/>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pPr>
    </w:p>
    <w:p w14:paraId="65D05E37">
      <w:pPr>
        <w:pStyle w:val="12"/>
        <w:snapToGrid w:val="0"/>
        <w:spacing w:line="360" w:lineRule="auto"/>
        <w:jc w:val="center"/>
        <w:rPr>
          <w:rFonts w:hint="eastAsia" w:asciiTheme="minorEastAsia" w:hAnsiTheme="minorEastAsia" w:eastAsiaTheme="minorEastAsia" w:cstheme="minorEastAsia"/>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2026年</w:t>
      </w:r>
      <w:r>
        <w:rPr>
          <w:rFonts w:hint="eastAsia" w:asciiTheme="minorEastAsia" w:hAnsiTheme="minorEastAsia" w:eastAsiaTheme="minorEastAsia" w:cstheme="minorEastAsia"/>
          <w:b/>
          <w:bCs/>
          <w:color w:val="000000" w:themeColor="text1"/>
          <w:w w:val="95"/>
          <w:sz w:val="30"/>
          <w:szCs w:val="30"/>
          <w:lang w:val="en-US" w:eastAsia="zh-CN"/>
          <w14:textFill>
            <w14:solidFill>
              <w14:schemeClr w14:val="tx1"/>
            </w14:solidFill>
          </w14:textFill>
        </w:rPr>
        <w:t>9</w:t>
      </w:r>
      <w:r>
        <w:rPr>
          <w:rFonts w:hint="eastAsia" w:asciiTheme="minorEastAsia" w:hAnsiTheme="minorEastAsia" w:eastAsiaTheme="minorEastAsia" w:cstheme="minorEastAsia"/>
          <w:b/>
          <w:bCs/>
          <w:color w:val="000000" w:themeColor="text1"/>
          <w:w w:val="95"/>
          <w:sz w:val="30"/>
          <w:szCs w:val="30"/>
          <w14:textFill>
            <w14:solidFill>
              <w14:schemeClr w14:val="tx1"/>
            </w14:solidFill>
          </w14:textFill>
        </w:rPr>
        <w:t>月</w:t>
      </w:r>
    </w:p>
    <w:p w14:paraId="05BB4E3C">
      <w:pPr>
        <w:tabs>
          <w:tab w:val="left" w:pos="1080"/>
        </w:tabs>
        <w:spacing w:line="360" w:lineRule="exact"/>
        <w:ind w:firstLine="480"/>
        <w:rPr>
          <w:rFonts w:hint="eastAsia" w:ascii="宋体" w:hAnsi="宋体" w:cs="宋体"/>
          <w:bCs/>
          <w:color w:val="000000" w:themeColor="text1"/>
          <w14:textFill>
            <w14:solidFill>
              <w14:schemeClr w14:val="tx1"/>
            </w14:solidFill>
          </w14:textFill>
        </w:rPr>
      </w:pPr>
    </w:p>
    <w:p w14:paraId="7DB4F6A3">
      <w:pPr>
        <w:spacing w:line="360" w:lineRule="auto"/>
        <w:jc w:val="center"/>
        <w:rPr>
          <w:rFonts w:hint="eastAsia" w:ascii="宋体" w:hAnsi="宋体"/>
          <w:b/>
          <w:color w:val="000000" w:themeColor="text1"/>
          <w:sz w:val="44"/>
          <w:szCs w:val="44"/>
          <w14:textFill>
            <w14:solidFill>
              <w14:schemeClr w14:val="tx1"/>
            </w14:solidFill>
          </w14:textFill>
        </w:rPr>
      </w:pPr>
      <w:r>
        <w:rPr>
          <w:rFonts w:ascii="宋体" w:hAnsi="宋体"/>
          <w:b/>
          <w:color w:val="000000" w:themeColor="text1"/>
          <w:sz w:val="44"/>
          <w:szCs w:val="44"/>
          <w14:textFill>
            <w14:solidFill>
              <w14:schemeClr w14:val="tx1"/>
            </w14:solidFill>
          </w14:textFill>
        </w:rPr>
        <w:br w:type="page"/>
      </w:r>
    </w:p>
    <w:p w14:paraId="2266B6D0">
      <w:pPr>
        <w:spacing w:line="360" w:lineRule="auto"/>
        <w:jc w:val="cente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59801D1B">
      <w:pPr>
        <w:spacing w:line="400" w:lineRule="exact"/>
        <w:jc w:val="center"/>
        <w:rPr>
          <w:rFonts w:hint="eastAsia" w:ascii="宋体" w:hAnsi="宋体"/>
          <w:b/>
          <w:color w:val="000000" w:themeColor="text1"/>
          <w:sz w:val="44"/>
          <w:szCs w:val="44"/>
          <w14:textFill>
            <w14:solidFill>
              <w14:schemeClr w14:val="tx1"/>
            </w14:solidFill>
          </w14:textFill>
        </w:rPr>
      </w:pPr>
    </w:p>
    <w:p w14:paraId="22E982F5">
      <w:pPr>
        <w:pStyle w:val="17"/>
        <w:tabs>
          <w:tab w:val="right" w:leader="dot" w:pos="8869"/>
        </w:tabs>
        <w:snapToGrid w:val="0"/>
        <w:spacing w:line="500" w:lineRule="atLeast"/>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 </w:instrText>
      </w:r>
      <w:r>
        <w:rPr>
          <w:rFonts w:hint="eastAsia"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instrText xml:space="preserve"> </w:instrText>
      </w:r>
      <w:r>
        <w:rPr>
          <w:rFonts w:ascii="宋体" w:hAnsi="宋体"/>
          <w:b/>
          <w:color w:val="000000" w:themeColor="text1"/>
          <w:sz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"_Toc74322008"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第一章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竞争性谈判公告</w:t>
      </w:r>
      <w:r>
        <w:rPr>
          <w:rFonts w:ascii="宋体" w:hAnsi="宋体"/>
          <w:b/>
          <w:color w:val="000000" w:themeColor="text1"/>
          <w:sz w:val="24"/>
          <w14:textFill>
            <w14:solidFill>
              <w14:schemeClr w14:val="tx1"/>
            </w14:solidFill>
          </w14:textFill>
        </w:rPr>
        <w:tab/>
      </w: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 PAGEREF _Toc74322008 \h </w:instrText>
      </w:r>
      <w:r>
        <w:rPr>
          <w:rFonts w:ascii="宋体" w:hAnsi="宋体"/>
          <w:b/>
          <w:color w:val="000000" w:themeColor="text1"/>
          <w:sz w:val="24"/>
          <w14:textFill>
            <w14:solidFill>
              <w14:schemeClr w14:val="tx1"/>
            </w14:solidFill>
          </w14:textFill>
        </w:rPr>
        <w:fldChar w:fldCharType="separate"/>
      </w:r>
      <w:r>
        <w:rPr>
          <w:rFonts w:ascii="宋体" w:hAnsi="宋体"/>
          <w:b/>
          <w:color w:val="000000" w:themeColor="text1"/>
          <w:sz w:val="24"/>
          <w14:textFill>
            <w14:solidFill>
              <w14:schemeClr w14:val="tx1"/>
            </w14:solidFill>
          </w14:textFill>
        </w:rPr>
        <w:t>2</w:t>
      </w:r>
      <w:r>
        <w:rPr>
          <w:rFonts w:ascii="宋体" w:hAnsi="宋体"/>
          <w:b/>
          <w:color w:val="000000" w:themeColor="text1"/>
          <w:sz w:val="24"/>
          <w14:textFill>
            <w14:solidFill>
              <w14:schemeClr w14:val="tx1"/>
            </w14:solidFill>
          </w14:textFill>
        </w:rPr>
        <w:fldChar w:fldCharType="end"/>
      </w:r>
      <w:r>
        <w:rPr>
          <w:rFonts w:ascii="宋体" w:hAnsi="宋体"/>
          <w:b/>
          <w:color w:val="000000" w:themeColor="text1"/>
          <w:sz w:val="24"/>
          <w14:textFill>
            <w14:solidFill>
              <w14:schemeClr w14:val="tx1"/>
            </w14:solidFill>
          </w14:textFill>
        </w:rPr>
        <w:fldChar w:fldCharType="end"/>
      </w:r>
    </w:p>
    <w:p w14:paraId="7351A4ED">
      <w:pPr>
        <w:pStyle w:val="17"/>
        <w:tabs>
          <w:tab w:val="right" w:leader="dot" w:pos="8869"/>
        </w:tabs>
        <w:snapToGrid w:val="0"/>
        <w:spacing w:line="500" w:lineRule="atLeast"/>
        <w:rPr>
          <w:rFonts w:hint="eastAsia" w:ascii="宋体" w:hAnsi="宋体" w:eastAsia="宋体"/>
          <w:b/>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"_Toc74322009"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第二章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供应商须知</w:t>
      </w:r>
      <w:r>
        <w:rPr>
          <w:rFonts w:ascii="宋体" w:hAns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1E311395">
      <w:pPr>
        <w:pStyle w:val="17"/>
        <w:tabs>
          <w:tab w:val="right" w:leader="dot" w:pos="8869"/>
        </w:tabs>
        <w:snapToGrid w:val="0"/>
        <w:spacing w:line="500" w:lineRule="atLeast"/>
        <w:rPr>
          <w:rFonts w:hint="eastAsia" w:ascii="宋体" w:hAnsi="宋体" w:eastAsia="宋体"/>
          <w:b/>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"_Toc74322010"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第三章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采购</w:t>
      </w:r>
      <w:bookmarkStart w:id="0" w:name="_Hlt224718763"/>
      <w:bookmarkStart w:id="1" w:name="_Hlt224718764"/>
      <w:r>
        <w:rPr>
          <w:rStyle w:val="30"/>
          <w:rFonts w:hint="eastAsia" w:ascii="宋体" w:hAnsi="宋体"/>
          <w:b/>
          <w:color w:val="000000" w:themeColor="text1"/>
          <w:sz w:val="24"/>
          <w14:textFill>
            <w14:solidFill>
              <w14:schemeClr w14:val="tx1"/>
            </w14:solidFill>
          </w14:textFill>
        </w:rPr>
        <w:t>需</w:t>
      </w:r>
      <w:bookmarkEnd w:id="0"/>
      <w:bookmarkEnd w:id="1"/>
      <w:r>
        <w:rPr>
          <w:rStyle w:val="30"/>
          <w:rFonts w:hint="eastAsia" w:ascii="宋体" w:hAnsi="宋体"/>
          <w:b/>
          <w:color w:val="000000" w:themeColor="text1"/>
          <w:sz w:val="24"/>
          <w14:textFill>
            <w14:solidFill>
              <w14:schemeClr w14:val="tx1"/>
            </w14:solidFill>
          </w14:textFill>
        </w:rPr>
        <w:t>求</w:t>
      </w:r>
      <w:bookmarkStart w:id="2" w:name="_Hlt82166985"/>
      <w:r>
        <w:rPr>
          <w:rFonts w:ascii="宋体" w:hAnsi="宋体"/>
          <w:b/>
          <w:color w:val="000000" w:themeColor="text1"/>
          <w:sz w:val="24"/>
          <w14:textFill>
            <w14:solidFill>
              <w14:schemeClr w14:val="tx1"/>
            </w14:solidFill>
          </w14:textFill>
        </w:rPr>
        <w:tab/>
      </w:r>
      <w:bookmarkEnd w:id="2"/>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1</w:t>
      </w:r>
    </w:p>
    <w:p w14:paraId="5BC8FBCA">
      <w:pPr>
        <w:pStyle w:val="17"/>
        <w:tabs>
          <w:tab w:val="right" w:leader="dot" w:pos="8869"/>
        </w:tabs>
        <w:snapToGrid w:val="0"/>
        <w:spacing w:line="500" w:lineRule="atLeast"/>
        <w:rPr>
          <w:rFonts w:hint="eastAsia" w:ascii="宋体" w:hAnsi="宋体" w:eastAsia="宋体"/>
          <w:b/>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"_Toc74322011"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第四章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评审程序和评定成交的标准</w:t>
      </w:r>
      <w:r>
        <w:rPr>
          <w:rFonts w:ascii="宋体" w:hAns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7</w:t>
      </w:r>
    </w:p>
    <w:p w14:paraId="48706B38">
      <w:pPr>
        <w:pStyle w:val="17"/>
        <w:tabs>
          <w:tab w:val="right" w:leader="dot" w:pos="8869"/>
        </w:tabs>
        <w:snapToGrid w:val="0"/>
        <w:spacing w:line="500" w:lineRule="atLeast"/>
        <w:rPr>
          <w:rFonts w:hint="eastAsia" w:ascii="宋体" w:hAnsi="宋体" w:eastAsia="宋体"/>
          <w:b/>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"_Toc74322012"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第五章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响应文件格式</w:t>
      </w:r>
      <w:r>
        <w:rPr>
          <w:rFonts w:ascii="宋体" w:hAns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6</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5</w:t>
      </w:r>
    </w:p>
    <w:p w14:paraId="1BCE2055">
      <w:pPr>
        <w:pStyle w:val="17"/>
        <w:tabs>
          <w:tab w:val="right" w:leader="dot" w:pos="8869"/>
        </w:tabs>
        <w:snapToGrid w:val="0"/>
        <w:spacing w:line="500" w:lineRule="atLeast"/>
        <w:rPr>
          <w:rFonts w:hint="eastAsia" w:ascii="宋体" w:hAnsi="宋体" w:eastAsia="宋体"/>
          <w:b/>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"_Toc74322013" </w:instrText>
      </w:r>
      <w:r>
        <w:rPr>
          <w:color w:val="000000" w:themeColor="text1"/>
          <w14:textFill>
            <w14:solidFill>
              <w14:schemeClr w14:val="tx1"/>
            </w14:solidFill>
          </w14:textFill>
        </w:rPr>
        <w:fldChar w:fldCharType="separate"/>
      </w:r>
      <w:r>
        <w:rPr>
          <w:rStyle w:val="30"/>
          <w:rFonts w:hint="eastAsia" w:ascii="宋体" w:hAnsi="宋体"/>
          <w:b/>
          <w:color w:val="000000" w:themeColor="text1"/>
          <w:sz w:val="24"/>
          <w14:textFill>
            <w14:solidFill>
              <w14:schemeClr w14:val="tx1"/>
            </w14:solidFill>
          </w14:textFill>
        </w:rPr>
        <w:t>第六章</w:t>
      </w:r>
      <w:r>
        <w:rPr>
          <w:rStyle w:val="30"/>
          <w:rFonts w:ascii="宋体" w:hAnsi="宋体"/>
          <w:b/>
          <w:color w:val="000000" w:themeColor="text1"/>
          <w:sz w:val="24"/>
          <w14:textFill>
            <w14:solidFill>
              <w14:schemeClr w14:val="tx1"/>
            </w14:solidFill>
          </w14:textFill>
        </w:rPr>
        <w:t xml:space="preserve"> </w:t>
      </w:r>
      <w:r>
        <w:rPr>
          <w:rStyle w:val="30"/>
          <w:rFonts w:hint="eastAsia" w:ascii="宋体" w:hAnsi="宋体"/>
          <w:b/>
          <w:color w:val="000000" w:themeColor="text1"/>
          <w:sz w:val="24"/>
          <w14:textFill>
            <w14:solidFill>
              <w14:schemeClr w14:val="tx1"/>
            </w14:solidFill>
          </w14:textFill>
        </w:rPr>
        <w:t>合同文本</w:t>
      </w:r>
      <w:r>
        <w:rPr>
          <w:rFonts w:ascii="宋体" w:hAns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9</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3</w:t>
      </w:r>
    </w:p>
    <w:p w14:paraId="4DBB2050">
      <w:pPr>
        <w:pStyle w:val="18"/>
        <w:tabs>
          <w:tab w:val="right" w:leader="dot" w:pos="8931"/>
          <w:tab w:val="clear" w:pos="8296"/>
        </w:tabs>
        <w:snapToGrid w:val="0"/>
        <w:spacing w:line="500" w:lineRule="atLeast"/>
        <w:ind w:left="0" w:leftChars="0"/>
        <w:rPr>
          <w:rFonts w:hint="eastAsia"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p>
    <w:p w14:paraId="1ED38930">
      <w:pPr>
        <w:spacing w:line="400" w:lineRule="exact"/>
        <w:jc w:val="left"/>
        <w:rPr>
          <w:rFonts w:hint="eastAsia" w:ascii="宋体" w:hAnsi="宋体"/>
          <w:b/>
          <w:color w:val="000000" w:themeColor="text1"/>
          <w:sz w:val="32"/>
          <w:szCs w:val="32"/>
          <w14:textFill>
            <w14:solidFill>
              <w14:schemeClr w14:val="tx1"/>
            </w14:solidFill>
          </w14:textFill>
        </w:rPr>
      </w:pPr>
    </w:p>
    <w:p w14:paraId="3442AE09">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宋体" w:hAnsi="宋体" w:eastAsia="宋体"/>
          <w:b/>
          <w:color w:val="000000" w:themeColor="text1"/>
          <w:sz w:val="32"/>
          <w:szCs w:val="32"/>
          <w:lang w:eastAsia="zh-CN"/>
          <w14:textFill>
            <w14:solidFill>
              <w14:schemeClr w14:val="tx1"/>
            </w14:solidFill>
          </w14:textFill>
        </w:rPr>
      </w:pPr>
    </w:p>
    <w:p w14:paraId="7D1B6090">
      <w:pPr>
        <w:spacing w:line="400" w:lineRule="exact"/>
        <w:jc w:val="center"/>
        <w:rPr>
          <w:rFonts w:hint="eastAsia" w:ascii="宋体" w:hAnsi="宋体"/>
          <w:b/>
          <w:color w:val="000000" w:themeColor="text1"/>
          <w:sz w:val="32"/>
          <w:szCs w:val="32"/>
          <w14:textFill>
            <w14:solidFill>
              <w14:schemeClr w14:val="tx1"/>
            </w14:solidFill>
          </w14:textFill>
        </w:rPr>
      </w:pPr>
    </w:p>
    <w:p w14:paraId="1E547797">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宋体" w:hAnsi="宋体"/>
          <w:b/>
          <w:color w:val="000000" w:themeColor="text1"/>
          <w:sz w:val="32"/>
          <w:szCs w:val="32"/>
          <w14:textFill>
            <w14:solidFill>
              <w14:schemeClr w14:val="tx1"/>
            </w14:solidFill>
          </w14:textFill>
        </w:rPr>
      </w:pPr>
    </w:p>
    <w:p w14:paraId="297C9853">
      <w:pPr>
        <w:spacing w:line="400" w:lineRule="exact"/>
        <w:jc w:val="center"/>
        <w:rPr>
          <w:rFonts w:hint="eastAsia" w:ascii="宋体" w:hAnsi="宋体"/>
          <w:b/>
          <w:color w:val="000000" w:themeColor="text1"/>
          <w:sz w:val="32"/>
          <w:szCs w:val="32"/>
          <w14:textFill>
            <w14:solidFill>
              <w14:schemeClr w14:val="tx1"/>
            </w14:solidFill>
          </w14:textFill>
        </w:rPr>
      </w:pPr>
    </w:p>
    <w:p w14:paraId="2BEC7208">
      <w:pPr>
        <w:spacing w:line="400" w:lineRule="exact"/>
        <w:rPr>
          <w:rFonts w:hint="eastAsia" w:ascii="宋体" w:hAnsi="宋体"/>
          <w:b/>
          <w:color w:val="000000" w:themeColor="text1"/>
          <w:sz w:val="32"/>
          <w:szCs w:val="32"/>
          <w14:textFill>
            <w14:solidFill>
              <w14:schemeClr w14:val="tx1"/>
            </w14:solidFill>
          </w14:textFill>
        </w:rPr>
        <w:sectPr>
          <w:headerReference r:id="rId3" w:type="default"/>
          <w:footerReference r:id="rId4" w:type="default"/>
          <w:pgSz w:w="11906" w:h="16838"/>
          <w:pgMar w:top="1440" w:right="1440" w:bottom="1440" w:left="1587" w:header="851" w:footer="992" w:gutter="0"/>
          <w:pgNumType w:start="0"/>
          <w:cols w:space="720" w:num="1"/>
          <w:titlePg/>
          <w:docGrid w:type="lines" w:linePitch="312" w:charSpace="0"/>
        </w:sectPr>
      </w:pPr>
    </w:p>
    <w:p w14:paraId="28DF7A7E">
      <w:pPr>
        <w:pStyle w:val="2"/>
        <w:spacing w:after="100" w:line="480" w:lineRule="auto"/>
        <w:jc w:val="center"/>
        <w:rPr>
          <w:color w:val="000000" w:themeColor="text1"/>
          <w14:textFill>
            <w14:solidFill>
              <w14:schemeClr w14:val="tx1"/>
            </w14:solidFill>
          </w14:textFill>
        </w:rPr>
      </w:pPr>
      <w:bookmarkStart w:id="3" w:name="_Toc74322008"/>
      <w:r>
        <w:rPr>
          <w:rFonts w:hint="eastAsia"/>
          <w:color w:val="000000" w:themeColor="text1"/>
          <w14:textFill>
            <w14:solidFill>
              <w14:schemeClr w14:val="tx1"/>
            </w14:solidFill>
          </w14:textFill>
        </w:rPr>
        <w:t>第一章 竞争性谈判公告</w:t>
      </w:r>
      <w:bookmarkEnd w:id="3"/>
    </w:p>
    <w:p w14:paraId="206B0898">
      <w:pPr>
        <w:spacing w:line="400" w:lineRule="exact"/>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竞争性谈判公告</w:t>
      </w:r>
    </w:p>
    <w:p w14:paraId="1D9F59BF">
      <w:pPr>
        <w:pStyle w:val="9"/>
        <w:rPr>
          <w:rFonts w:hint="eastAsia"/>
          <w:color w:val="000000" w:themeColor="text1"/>
          <w14:textFill>
            <w14:solidFill>
              <w14:schemeClr w14:val="tx1"/>
            </w14:solidFill>
          </w14:textFill>
        </w:rPr>
      </w:pPr>
    </w:p>
    <w:tbl>
      <w:tblPr>
        <w:tblStyle w:val="23"/>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8"/>
      </w:tblGrid>
      <w:tr w14:paraId="7566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8" w:type="dxa"/>
          </w:tcPr>
          <w:p w14:paraId="428E9111">
            <w:pPr>
              <w:spacing w:line="360" w:lineRule="auto"/>
              <w:rPr>
                <w:rFonts w:hint="eastAsia" w:ascii="宋体" w:hAnsi="宋体"/>
                <w:color w:val="000000" w:themeColor="text1"/>
                <w:szCs w:val="21"/>
                <w:vertAlign w:val="baseline"/>
                <w14:textFill>
                  <w14:solidFill>
                    <w14:schemeClr w14:val="tx1"/>
                  </w14:solidFill>
                </w14:textFill>
              </w:rPr>
            </w:pPr>
            <w:r>
              <w:rPr>
                <w:rFonts w:hint="eastAsia" w:ascii="宋体" w:hAnsi="宋体"/>
                <w:color w:val="000000" w:themeColor="text1"/>
                <w:szCs w:val="21"/>
                <w:vertAlign w:val="baseline"/>
                <w14:textFill>
                  <w14:solidFill>
                    <w14:schemeClr w14:val="tx1"/>
                  </w14:solidFill>
                </w14:textFill>
              </w:rPr>
              <w:t>项目概况</w:t>
            </w:r>
          </w:p>
          <w:p w14:paraId="45357A5F">
            <w:pPr>
              <w:spacing w:line="360" w:lineRule="auto"/>
              <w:rPr>
                <w:rFonts w:hint="eastAsia" w:ascii="宋体" w:hAnsi="宋体"/>
                <w:color w:val="000000" w:themeColor="text1"/>
                <w:szCs w:val="21"/>
                <w:vertAlign w:val="baseline"/>
                <w14:textFill>
                  <w14:solidFill>
                    <w14:schemeClr w14:val="tx1"/>
                  </w14:solidFill>
                </w14:textFill>
              </w:rPr>
            </w:pPr>
            <w:r>
              <w:rPr>
                <w:rFonts w:hint="eastAsia" w:ascii="宋体" w:hAnsi="宋体"/>
                <w:color w:val="000000" w:themeColor="text1"/>
                <w:szCs w:val="21"/>
                <w:u w:val="single"/>
                <w:vertAlign w:val="baseline"/>
                <w14:textFill>
                  <w14:solidFill>
                    <w14:schemeClr w14:val="tx1"/>
                  </w14:solidFill>
                </w14:textFill>
              </w:rPr>
              <w:t>博白县人民法院综合安防设备采购</w:t>
            </w:r>
            <w:r>
              <w:rPr>
                <w:rFonts w:hint="eastAsia" w:ascii="宋体" w:hAnsi="宋体"/>
                <w:color w:val="000000" w:themeColor="text1"/>
                <w:szCs w:val="21"/>
                <w:u w:val="single"/>
                <w:vertAlign w:val="baseline"/>
                <w:lang w:eastAsia="zh-CN"/>
                <w14:textFill>
                  <w14:solidFill>
                    <w14:schemeClr w14:val="tx1"/>
                  </w14:solidFill>
                </w14:textFill>
              </w:rPr>
              <w:t>（</w:t>
            </w:r>
            <w:r>
              <w:rPr>
                <w:rFonts w:hint="eastAsia" w:ascii="宋体" w:hAnsi="宋体"/>
                <w:color w:val="000000" w:themeColor="text1"/>
                <w:szCs w:val="21"/>
                <w:u w:val="single"/>
                <w:vertAlign w:val="baseline"/>
                <w:lang w:val="en-US" w:eastAsia="zh-CN"/>
                <w14:textFill>
                  <w14:solidFill>
                    <w14:schemeClr w14:val="tx1"/>
                  </w14:solidFill>
                </w14:textFill>
              </w:rPr>
              <w:t>重）</w:t>
            </w:r>
            <w:r>
              <w:rPr>
                <w:rFonts w:hint="eastAsia" w:ascii="宋体" w:hAnsi="宋体"/>
                <w:color w:val="000000" w:themeColor="text1"/>
                <w:szCs w:val="21"/>
                <w:vertAlign w:val="baseline"/>
                <w14:textFill>
                  <w14:solidFill>
                    <w14:schemeClr w14:val="tx1"/>
                  </w14:solidFill>
                </w14:textFill>
              </w:rPr>
              <w:t>的潜在供应商应在广西政府采购云平台（https://www.gcy.zfcg.gxzf.gov.cn/）获取（下载）竞争性谈判文件，并于2026年</w:t>
            </w:r>
            <w:r>
              <w:rPr>
                <w:rFonts w:hint="eastAsia" w:ascii="宋体" w:hAnsi="宋体"/>
                <w:color w:val="000000" w:themeColor="text1"/>
                <w:szCs w:val="21"/>
                <w:vertAlign w:val="baseline"/>
                <w:lang w:val="en-US" w:eastAsia="zh-CN"/>
                <w14:textFill>
                  <w14:solidFill>
                    <w14:schemeClr w14:val="tx1"/>
                  </w14:solidFill>
                </w14:textFill>
              </w:rPr>
              <w:t>9</w:t>
            </w:r>
            <w:r>
              <w:rPr>
                <w:rFonts w:hint="eastAsia" w:ascii="宋体" w:hAnsi="宋体"/>
                <w:color w:val="000000" w:themeColor="text1"/>
                <w:szCs w:val="21"/>
                <w:vertAlign w:val="baseline"/>
                <w14:textFill>
                  <w14:solidFill>
                    <w14:schemeClr w14:val="tx1"/>
                  </w14:solidFill>
                </w14:textFill>
              </w:rPr>
              <w:t>月</w:t>
            </w:r>
            <w:r>
              <w:rPr>
                <w:rFonts w:hint="eastAsia" w:ascii="宋体" w:hAnsi="宋体"/>
                <w:color w:val="000000" w:themeColor="text1"/>
                <w:szCs w:val="21"/>
                <w:vertAlign w:val="baseline"/>
                <w:lang w:val="en-US" w:eastAsia="zh-CN"/>
                <w14:textFill>
                  <w14:solidFill>
                    <w14:schemeClr w14:val="tx1"/>
                  </w14:solidFill>
                </w14:textFill>
              </w:rPr>
              <w:t>15</w:t>
            </w:r>
            <w:r>
              <w:rPr>
                <w:rFonts w:hint="eastAsia" w:ascii="宋体" w:hAnsi="宋体"/>
                <w:color w:val="000000" w:themeColor="text1"/>
                <w:szCs w:val="21"/>
                <w:vertAlign w:val="baseline"/>
                <w14:textFill>
                  <w14:solidFill>
                    <w14:schemeClr w14:val="tx1"/>
                  </w14:solidFill>
                </w14:textFill>
              </w:rPr>
              <w:t>日9时30分（北京时间）前提交（上传）响应文件。</w:t>
            </w:r>
          </w:p>
        </w:tc>
      </w:tr>
    </w:tbl>
    <w:p w14:paraId="33D00932">
      <w:pPr>
        <w:pStyle w:val="9"/>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t>一、项目基本情况                                            </w:t>
      </w:r>
    </w:p>
    <w:p w14:paraId="0753FBB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color w:val="000000" w:themeColor="text1"/>
          <w14:textFill>
            <w14:solidFill>
              <w14:schemeClr w14:val="tx1"/>
            </w14:solidFill>
          </w14:textFill>
        </w:rPr>
        <w:t>    项目编号</w:t>
      </w:r>
      <w:r>
        <w:rPr>
          <w:rFonts w:hint="eastAsia" w:asciiTheme="minorEastAsia" w:hAnsiTheme="minorEastAsia" w:eastAsiaTheme="minorEastAsia" w:cstheme="minorEastAsia"/>
          <w:color w:val="000000" w:themeColor="text1"/>
          <w14:textFill>
            <w14:solidFill>
              <w14:schemeClr w14:val="tx1"/>
            </w14:solidFill>
          </w14:textFill>
        </w:rPr>
        <w:t>：YLZC2026-J1-990240-GXCJ</w:t>
      </w:r>
    </w:p>
    <w:p w14:paraId="33120122">
      <w:pPr>
        <w:pStyle w:val="9"/>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u w:val="none"/>
          <w14:textFill>
            <w14:solidFill>
              <w14:schemeClr w14:val="tx1"/>
            </w14:solidFill>
          </w14:textFill>
        </w:rPr>
      </w:pPr>
      <w:r>
        <w:rPr>
          <w:rFonts w:hint="eastAsia"/>
          <w:color w:val="000000" w:themeColor="text1"/>
          <w14:textFill>
            <w14:solidFill>
              <w14:schemeClr w14:val="tx1"/>
            </w14:solidFill>
          </w14:textFill>
        </w:rPr>
        <w:t>    项目名称：博白县人民法院综合安防设备采购</w:t>
      </w:r>
      <w:r>
        <w:rPr>
          <w:rFonts w:hint="eastAsia" w:ascii="宋体" w:hAnsi="宋体"/>
          <w:color w:val="000000" w:themeColor="text1"/>
          <w:szCs w:val="21"/>
          <w:u w:val="none"/>
          <w:vertAlign w:val="baseline"/>
          <w:lang w:eastAsia="zh-CN"/>
          <w14:textFill>
            <w14:solidFill>
              <w14:schemeClr w14:val="tx1"/>
            </w14:solidFill>
          </w14:textFill>
        </w:rPr>
        <w:t>（</w:t>
      </w:r>
      <w:r>
        <w:rPr>
          <w:rFonts w:hint="eastAsia" w:ascii="宋体" w:hAnsi="宋体"/>
          <w:color w:val="000000" w:themeColor="text1"/>
          <w:szCs w:val="21"/>
          <w:u w:val="none"/>
          <w:vertAlign w:val="baseline"/>
          <w:lang w:val="en-US" w:eastAsia="zh-CN"/>
          <w14:textFill>
            <w14:solidFill>
              <w14:schemeClr w14:val="tx1"/>
            </w14:solidFill>
          </w14:textFill>
        </w:rPr>
        <w:t>重）</w:t>
      </w:r>
    </w:p>
    <w:p w14:paraId="0CA344F5">
      <w:pPr>
        <w:pStyle w:val="9"/>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采购方式：竞争性谈判 </w:t>
      </w:r>
    </w:p>
    <w:p w14:paraId="4FE50FA3">
      <w:pPr>
        <w:pStyle w:val="9"/>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预算总金额（元）：</w:t>
      </w:r>
      <w:r>
        <w:rPr>
          <w:rFonts w:hint="eastAsia" w:asciiTheme="minorEastAsia" w:hAnsiTheme="minorEastAsia" w:eastAsiaTheme="minorEastAsia" w:cstheme="minorEastAsia"/>
          <w:color w:val="000000" w:themeColor="text1"/>
          <w14:textFill>
            <w14:solidFill>
              <w14:schemeClr w14:val="tx1"/>
            </w14:solidFill>
          </w14:textFill>
        </w:rPr>
        <w:t>717080</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.00</w:t>
      </w:r>
      <w:r>
        <w:rPr>
          <w:rFonts w:hint="eastAsia" w:asciiTheme="minorEastAsia" w:hAnsiTheme="minorEastAsia" w:eastAsiaTheme="minorEastAsia" w:cstheme="minorEastAsia"/>
          <w:color w:val="000000" w:themeColor="text1"/>
          <w14:textFill>
            <w14:solidFill>
              <w14:schemeClr w14:val="tx1"/>
            </w14:solidFill>
          </w14:textFill>
        </w:rPr>
        <w:t> </w:t>
      </w:r>
    </w:p>
    <w:p w14:paraId="271FD48E">
      <w:pPr>
        <w:pStyle w:val="9"/>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采购需求：</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标项名称:博白县人民法院综合安防设备采购</w:t>
      </w:r>
      <w:r>
        <w:rPr>
          <w:rFonts w:hint="eastAsia" w:ascii="宋体" w:hAnsi="宋体"/>
          <w:color w:val="000000" w:themeColor="text1"/>
          <w:szCs w:val="21"/>
          <w:u w:val="none"/>
          <w:vertAlign w:val="baseline"/>
          <w:lang w:eastAsia="zh-CN"/>
          <w14:textFill>
            <w14:solidFill>
              <w14:schemeClr w14:val="tx1"/>
            </w14:solidFill>
          </w14:textFill>
        </w:rPr>
        <w:t>（</w:t>
      </w:r>
      <w:r>
        <w:rPr>
          <w:rFonts w:hint="eastAsia" w:ascii="宋体" w:hAnsi="宋体"/>
          <w:color w:val="000000" w:themeColor="text1"/>
          <w:szCs w:val="21"/>
          <w:u w:val="none"/>
          <w:vertAlign w:val="baseline"/>
          <w:lang w:val="en-US" w:eastAsia="zh-CN"/>
          <w14:textFill>
            <w14:solidFill>
              <w14:schemeClr w14:val="tx1"/>
            </w14:solidFill>
          </w14:textFill>
        </w:rPr>
        <w:t>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数量:1</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预算金额（元）</w:t>
      </w:r>
      <w:r>
        <w:rPr>
          <w:rFonts w:hint="eastAsia" w:asciiTheme="minorEastAsia" w:hAnsiTheme="minorEastAsia" w:eastAsiaTheme="minorEastAsia" w:cstheme="minorEastAsia"/>
          <w:color w:val="000000" w:themeColor="text1"/>
          <w14:textFill>
            <w14:solidFill>
              <w14:schemeClr w14:val="tx1"/>
            </w14:solidFill>
          </w14:textFill>
        </w:rPr>
        <w:t>:717080</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.00</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简要规格描述或项目基本概况介绍、用途：</w:t>
      </w:r>
    </w:p>
    <w:tbl>
      <w:tblPr>
        <w:tblStyle w:val="22"/>
        <w:tblW w:w="91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7"/>
        <w:gridCol w:w="1303"/>
        <w:gridCol w:w="900"/>
        <w:gridCol w:w="6527"/>
      </w:tblGrid>
      <w:tr w14:paraId="74381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7" w:type="dxa"/>
            <w:vAlign w:val="center"/>
          </w:tcPr>
          <w:p w14:paraId="7F998991">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303" w:type="dxa"/>
            <w:vAlign w:val="center"/>
          </w:tcPr>
          <w:p w14:paraId="65B3CF9C">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标的的名称</w:t>
            </w:r>
          </w:p>
        </w:tc>
        <w:tc>
          <w:tcPr>
            <w:tcW w:w="900" w:type="dxa"/>
            <w:vAlign w:val="center"/>
          </w:tcPr>
          <w:p w14:paraId="0766D440">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数量及单位</w:t>
            </w:r>
          </w:p>
        </w:tc>
        <w:tc>
          <w:tcPr>
            <w:tcW w:w="6527" w:type="dxa"/>
            <w:vAlign w:val="center"/>
          </w:tcPr>
          <w:p w14:paraId="771FD649">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w:t>
            </w:r>
          </w:p>
        </w:tc>
      </w:tr>
      <w:tr w14:paraId="3E44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320C7E48">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303" w:type="dxa"/>
            <w:vAlign w:val="center"/>
          </w:tcPr>
          <w:p w14:paraId="482703DB">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管理单元</w:t>
            </w:r>
          </w:p>
        </w:tc>
        <w:tc>
          <w:tcPr>
            <w:tcW w:w="900" w:type="dxa"/>
            <w:vAlign w:val="center"/>
          </w:tcPr>
          <w:p w14:paraId="60A55D10">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6527" w:type="dxa"/>
            <w:vAlign w:val="center"/>
          </w:tcPr>
          <w:p w14:paraId="499AAE3D">
            <w:pPr>
              <w:keepNext w:val="0"/>
              <w:keepLines w:val="0"/>
              <w:widowControl/>
              <w:suppressLineNumbers w:val="0"/>
              <w:jc w:val="left"/>
              <w:textAlignment w:val="center"/>
              <w:rPr>
                <w:rFonts w:hint="default" w:ascii="宋体" w:hAnsi="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CPU：配置2颗国产处理器，单处理器物理核心数≥8核，主频≥3.0 GHz。</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内存：配置64G DDR4，8根内存插槽。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硬盘：2块1.2T 10K SAS 硬盘（Raid1），可选支持12块3.5寸(兼容2.5寸)热插拔SATA/SAS硬盘，板载可选支持1个SATA M.2硬盘。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69DB6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2" w:hRule="atLeast"/>
          <w:jc w:val="center"/>
        </w:trPr>
        <w:tc>
          <w:tcPr>
            <w:tcW w:w="427" w:type="dxa"/>
            <w:vAlign w:val="center"/>
          </w:tcPr>
          <w:p w14:paraId="76BF26A4">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303" w:type="dxa"/>
            <w:vAlign w:val="center"/>
          </w:tcPr>
          <w:p w14:paraId="2F5BBA57">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校时单元</w:t>
            </w:r>
          </w:p>
        </w:tc>
        <w:tc>
          <w:tcPr>
            <w:tcW w:w="900" w:type="dxa"/>
            <w:vAlign w:val="center"/>
          </w:tcPr>
          <w:p w14:paraId="6A77FEE0">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6527" w:type="dxa"/>
            <w:vAlign w:val="center"/>
          </w:tcPr>
          <w:p w14:paraId="67258C6C">
            <w:pPr>
              <w:keepNext w:val="0"/>
              <w:keepLines w:val="0"/>
              <w:widowControl/>
              <w:suppressLineNumbers w:val="0"/>
              <w:jc w:val="left"/>
              <w:textAlignment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支持北斗、上级NTP校时。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支持多网域校时。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支持双机热备、级联方案。</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681E2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5" w:hRule="atLeast"/>
          <w:jc w:val="center"/>
        </w:trPr>
        <w:tc>
          <w:tcPr>
            <w:tcW w:w="427" w:type="dxa"/>
            <w:vAlign w:val="center"/>
          </w:tcPr>
          <w:p w14:paraId="21531952">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303" w:type="dxa"/>
            <w:vAlign w:val="center"/>
          </w:tcPr>
          <w:p w14:paraId="71E32BE9">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核心汇聚交换机</w:t>
            </w:r>
          </w:p>
        </w:tc>
        <w:tc>
          <w:tcPr>
            <w:tcW w:w="900" w:type="dxa"/>
            <w:vAlign w:val="center"/>
          </w:tcPr>
          <w:p w14:paraId="4CF7783D">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2台</w:t>
            </w:r>
          </w:p>
        </w:tc>
        <w:tc>
          <w:tcPr>
            <w:tcW w:w="6527" w:type="dxa"/>
            <w:vAlign w:val="center"/>
          </w:tcPr>
          <w:p w14:paraId="746001B2">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可用千兆电接口数量≥24，可用万兆光接口数量≥4。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支持模块化电源数量≥2（本次配置电源数量=1）。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支持风扇数量≥2。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38F29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1BD8991E">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303" w:type="dxa"/>
            <w:vAlign w:val="center"/>
          </w:tcPr>
          <w:p w14:paraId="0EA0926E">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视频监控设备</w:t>
            </w:r>
          </w:p>
        </w:tc>
        <w:tc>
          <w:tcPr>
            <w:tcW w:w="900" w:type="dxa"/>
            <w:vAlign w:val="center"/>
          </w:tcPr>
          <w:p w14:paraId="3792FDFC">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6527" w:type="dxa"/>
            <w:vAlign w:val="center"/>
          </w:tcPr>
          <w:p w14:paraId="23020354">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1.尺寸：100英寸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2.运行内存：4GB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3.CPU架构：四核A73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w:t>
            </w:r>
          </w:p>
        </w:tc>
      </w:tr>
      <w:tr w14:paraId="38C52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09925475">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p>
        </w:tc>
        <w:tc>
          <w:tcPr>
            <w:tcW w:w="1303" w:type="dxa"/>
            <w:vAlign w:val="center"/>
          </w:tcPr>
          <w:p w14:paraId="46F18E71">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综合安防管理平台（核心产品）</w:t>
            </w:r>
          </w:p>
        </w:tc>
        <w:tc>
          <w:tcPr>
            <w:tcW w:w="900" w:type="dxa"/>
            <w:vAlign w:val="center"/>
          </w:tcPr>
          <w:p w14:paraId="232F3CB1">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1套</w:t>
            </w:r>
          </w:p>
        </w:tc>
        <w:tc>
          <w:tcPr>
            <w:tcW w:w="6527" w:type="dxa"/>
            <w:vAlign w:val="center"/>
          </w:tcPr>
          <w:p w14:paraId="5C731D2B">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1.提供门户首页内容自定义能力，支持自定义快捷入口、自定义菜单内容、自定义页面元素设置；支持门户展示元素自定义，包括页面logo图标、修改网站标题、设置并添加网站外部链接；</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2.提供统一的认证、鉴权管理、应用管理、菜单管理、用户管理、角色管理、组织管理、资源管理等能力；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3.提供用户权限管理能力，包括菜单权限、组织权限、区域权限、资源权限、功能控制权限；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0E79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0805ED07">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p>
        </w:tc>
        <w:tc>
          <w:tcPr>
            <w:tcW w:w="1303" w:type="dxa"/>
            <w:vAlign w:val="center"/>
          </w:tcPr>
          <w:p w14:paraId="49B413C6">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系统集成</w:t>
            </w:r>
          </w:p>
        </w:tc>
        <w:tc>
          <w:tcPr>
            <w:tcW w:w="900" w:type="dxa"/>
            <w:vAlign w:val="center"/>
          </w:tcPr>
          <w:p w14:paraId="5DB3B3A1">
            <w:pPr>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1项</w:t>
            </w:r>
          </w:p>
        </w:tc>
        <w:tc>
          <w:tcPr>
            <w:tcW w:w="6527" w:type="dxa"/>
            <w:vAlign w:val="center"/>
          </w:tcPr>
          <w:p w14:paraId="6B0FE0F1">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集成服务费</w:t>
            </w:r>
          </w:p>
        </w:tc>
      </w:tr>
      <w:tr w14:paraId="01C89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FAA6E0D">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p>
        </w:tc>
        <w:tc>
          <w:tcPr>
            <w:tcW w:w="1303" w:type="dxa"/>
            <w:vAlign w:val="center"/>
          </w:tcPr>
          <w:p w14:paraId="5D85E6B6">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录像机</w:t>
            </w:r>
          </w:p>
        </w:tc>
        <w:tc>
          <w:tcPr>
            <w:tcW w:w="900" w:type="dxa"/>
            <w:vAlign w:val="center"/>
          </w:tcPr>
          <w:p w14:paraId="2CA58D66">
            <w:pPr>
              <w:spacing w:line="400" w:lineRule="exact"/>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5台</w:t>
            </w:r>
          </w:p>
        </w:tc>
        <w:tc>
          <w:tcPr>
            <w:tcW w:w="6527" w:type="dxa"/>
            <w:vAlign w:val="center"/>
          </w:tcPr>
          <w:p w14:paraId="61F6E6E3">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1.具有2个HDMI接口、2个VGA接口、2个RJ45 千兆网络接口；2个USB2.0接口、2个USB3.0接口、1个RS232接口、1个RS485接口（可接入RS485键盘）、1个eSata接口；具有1路音频输入接口、2路音频输出接口、16路报警输入接口、9路报警输出接口（其中第9路支持受控直流12V输出）、具有1路直流12V输出接口（12V 1A）、可内置9块SATA接口硬盘。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2.HDMI1和HDMI2支持最大单路8K（7680×4320）和1080P（1920×1080）异源输出。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支持文搜功能，可通过文字语义描述，快速检索目标对象或内容；支持对人体、车辆、非机动车、物品、动物、基础事件等类型的检索；并可基于文搜快速检索的结果，对目标进行图搜的二次精准检索定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55859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23601700">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8</w:t>
            </w:r>
          </w:p>
        </w:tc>
        <w:tc>
          <w:tcPr>
            <w:tcW w:w="1303" w:type="dxa"/>
            <w:vAlign w:val="center"/>
          </w:tcPr>
          <w:p w14:paraId="6F2FFDFE">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硬盘</w:t>
            </w:r>
          </w:p>
        </w:tc>
        <w:tc>
          <w:tcPr>
            <w:tcW w:w="900" w:type="dxa"/>
            <w:vAlign w:val="center"/>
          </w:tcPr>
          <w:p w14:paraId="5101512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30块</w:t>
            </w:r>
          </w:p>
        </w:tc>
        <w:tc>
          <w:tcPr>
            <w:tcW w:w="6527" w:type="dxa"/>
            <w:vAlign w:val="center"/>
          </w:tcPr>
          <w:p w14:paraId="2273272C">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1.6TB容量，3.5英寸，SATA3.0接口，5400RPM。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2.传输速率176.4 MiB/s，流畅存储视频有效防止丢帧。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3.高级格式（AF）512e扇区技术，保障硬盘扇区4K对齐。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30BB1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427" w:type="dxa"/>
            <w:vAlign w:val="center"/>
          </w:tcPr>
          <w:p w14:paraId="2870D64E">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p>
        </w:tc>
        <w:tc>
          <w:tcPr>
            <w:tcW w:w="1303" w:type="dxa"/>
            <w:vAlign w:val="center"/>
          </w:tcPr>
          <w:p w14:paraId="1F5FC08B">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汇聚交换机</w:t>
            </w:r>
          </w:p>
        </w:tc>
        <w:tc>
          <w:tcPr>
            <w:tcW w:w="900" w:type="dxa"/>
            <w:vAlign w:val="center"/>
          </w:tcPr>
          <w:p w14:paraId="13BAEF46">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5台</w:t>
            </w:r>
          </w:p>
        </w:tc>
        <w:tc>
          <w:tcPr>
            <w:tcW w:w="6527" w:type="dxa"/>
            <w:vAlign w:val="center"/>
          </w:tcPr>
          <w:p w14:paraId="2A59AE3B">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提供8个千兆电口。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交换容量：20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包转发率：14.88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06CE2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4DDC5F72">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p>
        </w:tc>
        <w:tc>
          <w:tcPr>
            <w:tcW w:w="1303" w:type="dxa"/>
            <w:vAlign w:val="center"/>
          </w:tcPr>
          <w:p w14:paraId="7D50F541">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900" w:type="dxa"/>
            <w:vAlign w:val="center"/>
          </w:tcPr>
          <w:p w14:paraId="004CCFF5">
            <w:pPr>
              <w:spacing w:line="400" w:lineRule="exact"/>
              <w:jc w:val="center"/>
              <w:rPr>
                <w:rFonts w:hint="default" w:ascii="宋体" w:hAnsi="宋体" w:cs="Arial"/>
                <w:color w:val="000000" w:themeColor="text1"/>
                <w:kern w:val="0"/>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p w14:paraId="5849B58D">
            <w:pPr>
              <w:spacing w:line="400" w:lineRule="exact"/>
              <w:rPr>
                <w:rFonts w:hint="eastAsia" w:ascii="宋体" w:hAnsi="宋体" w:cs="宋体"/>
                <w:color w:val="000000" w:themeColor="text1"/>
                <w:szCs w:val="21"/>
                <w:lang w:val="en-US" w:eastAsia="zh-CN"/>
                <w14:textFill>
                  <w14:solidFill>
                    <w14:schemeClr w14:val="tx1"/>
                  </w14:solidFill>
                </w14:textFill>
              </w:rPr>
            </w:pPr>
          </w:p>
        </w:tc>
        <w:tc>
          <w:tcPr>
            <w:tcW w:w="6527" w:type="dxa"/>
            <w:vAlign w:val="center"/>
          </w:tcPr>
          <w:p w14:paraId="57D6D635">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1个CVBS接口，2个RJ45千兆网络接口、2个USB2.0接口、2个USB3.0接口、1个RS232接口、1个RS485接口（可接入RS485键盘）、1个eSata接口；1+1冗余电源，1+1冗余风扇。具有1路音频输入接口、2路音频输出接口，16路报警输入接口、9路报警输出接口（其中第9路支持受控直流12V输出）；具有1路直流12V输出接口（12V 1A）；可内置16个SATA接口硬盘。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70AA8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A89546B">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11</w:t>
            </w:r>
          </w:p>
        </w:tc>
        <w:tc>
          <w:tcPr>
            <w:tcW w:w="1303" w:type="dxa"/>
            <w:vAlign w:val="center"/>
          </w:tcPr>
          <w:p w14:paraId="16688C13">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900" w:type="dxa"/>
            <w:vAlign w:val="center"/>
          </w:tcPr>
          <w:p w14:paraId="076AA3AB">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6527" w:type="dxa"/>
            <w:vAlign w:val="center"/>
          </w:tcPr>
          <w:p w14:paraId="1ADD0DA5">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1.具有2个HDMI接口、2个VGA接口、2个RJ45 千兆网络接口；2个USB2.0接口、2个USB3.0接口、1个RS232接口、1个RS485接口（可接入RS485键盘）、1个eSata接口；具有1路音频输入接口、2路音频输出接口、16路报警输入接口、9路报警输出接口（其中第9路支持受控直流12V输出）、具有1路直流12V输出接口（12V 1A）、可内置16块SATA接口硬盘。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181F9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5" w:hRule="atLeast"/>
          <w:jc w:val="center"/>
        </w:trPr>
        <w:tc>
          <w:tcPr>
            <w:tcW w:w="427" w:type="dxa"/>
            <w:vAlign w:val="center"/>
          </w:tcPr>
          <w:p w14:paraId="7A2D5018">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w:t>
            </w:r>
          </w:p>
        </w:tc>
        <w:tc>
          <w:tcPr>
            <w:tcW w:w="1303" w:type="dxa"/>
            <w:vAlign w:val="center"/>
          </w:tcPr>
          <w:p w14:paraId="6FA511D7">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900" w:type="dxa"/>
            <w:vAlign w:val="center"/>
          </w:tcPr>
          <w:p w14:paraId="01676F0E">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6527" w:type="dxa"/>
            <w:vAlign w:val="center"/>
          </w:tcPr>
          <w:p w14:paraId="18D706AE">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1.具有2个HDMI接口、1个VGA接口、2个RJ45 千兆网络接口；2个USB2.0接口、1个USB3.0接口、1个RS232接口、2个RS485接口（可接入RS485键盘）、1个eSata接口；具有1路音频输入接口、1路音频输出接口、16路报警输入接口、9路报警输出接口（其中第9路支持受控直流12V输出）、具有1路直流12V输出接口（12V 1A）、可内置5块SATA接口硬盘。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4D139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5" w:hRule="atLeast"/>
          <w:jc w:val="center"/>
        </w:trPr>
        <w:tc>
          <w:tcPr>
            <w:tcW w:w="427" w:type="dxa"/>
            <w:vAlign w:val="center"/>
          </w:tcPr>
          <w:p w14:paraId="5A8F6CC3">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13</w:t>
            </w:r>
          </w:p>
        </w:tc>
        <w:tc>
          <w:tcPr>
            <w:tcW w:w="1303" w:type="dxa"/>
            <w:vAlign w:val="center"/>
          </w:tcPr>
          <w:p w14:paraId="2171E88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硬盘</w:t>
            </w:r>
          </w:p>
        </w:tc>
        <w:tc>
          <w:tcPr>
            <w:tcW w:w="900" w:type="dxa"/>
            <w:vAlign w:val="center"/>
          </w:tcPr>
          <w:p w14:paraId="45317950">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34块</w:t>
            </w:r>
          </w:p>
        </w:tc>
        <w:tc>
          <w:tcPr>
            <w:tcW w:w="6527" w:type="dxa"/>
            <w:vAlign w:val="center"/>
          </w:tcPr>
          <w:p w14:paraId="501D54D3">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1.10TB容量，3.5英寸，SATA3.0接口，7200RPM。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2.AllFrame AI全帧技术，提升用户AI视频分析检索体验。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3.传输速率265 MB/s，流畅存储视频有效防止丢帧。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49F5C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23979E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1303" w:type="dxa"/>
            <w:vAlign w:val="center"/>
          </w:tcPr>
          <w:p w14:paraId="71A3DF34">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4MM筒式摄像头</w:t>
            </w:r>
          </w:p>
        </w:tc>
        <w:tc>
          <w:tcPr>
            <w:tcW w:w="900" w:type="dxa"/>
            <w:vAlign w:val="center"/>
          </w:tcPr>
          <w:p w14:paraId="658445C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109个</w:t>
            </w:r>
          </w:p>
        </w:tc>
        <w:tc>
          <w:tcPr>
            <w:tcW w:w="6527" w:type="dxa"/>
            <w:vAlign w:val="center"/>
          </w:tcPr>
          <w:p w14:paraId="522EFE3A">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1.支持输出图像分辨率不低于2560x1440；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7FF2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4B373763">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15</w:t>
            </w:r>
          </w:p>
        </w:tc>
        <w:tc>
          <w:tcPr>
            <w:tcW w:w="1303" w:type="dxa"/>
            <w:vAlign w:val="center"/>
          </w:tcPr>
          <w:p w14:paraId="004B411B">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4MM半球摄像头</w:t>
            </w:r>
          </w:p>
        </w:tc>
        <w:tc>
          <w:tcPr>
            <w:tcW w:w="900" w:type="dxa"/>
            <w:vAlign w:val="center"/>
          </w:tcPr>
          <w:p w14:paraId="4460A43E">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22个</w:t>
            </w:r>
          </w:p>
        </w:tc>
        <w:tc>
          <w:tcPr>
            <w:tcW w:w="6527" w:type="dxa"/>
            <w:vAlign w:val="center"/>
          </w:tcPr>
          <w:p w14:paraId="5BE83FEC">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1.支持输出分辨率不小于2560x1440；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43E57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17049D2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16</w:t>
            </w:r>
          </w:p>
        </w:tc>
        <w:tc>
          <w:tcPr>
            <w:tcW w:w="1303" w:type="dxa"/>
            <w:vAlign w:val="center"/>
          </w:tcPr>
          <w:p w14:paraId="597364AD">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2.8MM半球摄像头</w:t>
            </w:r>
          </w:p>
        </w:tc>
        <w:tc>
          <w:tcPr>
            <w:tcW w:w="900" w:type="dxa"/>
            <w:vAlign w:val="center"/>
          </w:tcPr>
          <w:p w14:paraId="627E5E8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75个</w:t>
            </w:r>
          </w:p>
        </w:tc>
        <w:tc>
          <w:tcPr>
            <w:tcW w:w="6527" w:type="dxa"/>
            <w:vAlign w:val="center"/>
          </w:tcPr>
          <w:p w14:paraId="38E8B1A0">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1.支持输出分辨率不小于2560x1440；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2A9B1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427" w:type="dxa"/>
            <w:vAlign w:val="center"/>
          </w:tcPr>
          <w:p w14:paraId="3720F960">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17</w:t>
            </w:r>
          </w:p>
        </w:tc>
        <w:tc>
          <w:tcPr>
            <w:tcW w:w="1303" w:type="dxa"/>
            <w:vAlign w:val="center"/>
          </w:tcPr>
          <w:p w14:paraId="52D7C439">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球型鹰眼摄像</w:t>
            </w:r>
          </w:p>
        </w:tc>
        <w:tc>
          <w:tcPr>
            <w:tcW w:w="900" w:type="dxa"/>
            <w:vAlign w:val="center"/>
          </w:tcPr>
          <w:p w14:paraId="2DE0712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4台</w:t>
            </w:r>
          </w:p>
        </w:tc>
        <w:tc>
          <w:tcPr>
            <w:tcW w:w="6527" w:type="dxa"/>
            <w:vAlign w:val="center"/>
          </w:tcPr>
          <w:p w14:paraId="3CC00EEE">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1.全景通道：分辨率不小于9040 × 2656，细节通道：分辨率不小于2688 × 1520。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2.全景通道内置6个镜头、靶面尺寸不小于1/1.8英寸的CMOS传感器，细节通道内置1个镜头，靶面尺寸不小于1/1.8英寸的CMOS传感器。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15CA2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427" w:type="dxa"/>
            <w:vAlign w:val="center"/>
          </w:tcPr>
          <w:p w14:paraId="2F562647">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18</w:t>
            </w:r>
          </w:p>
        </w:tc>
        <w:tc>
          <w:tcPr>
            <w:tcW w:w="1303" w:type="dxa"/>
            <w:vAlign w:val="center"/>
          </w:tcPr>
          <w:p w14:paraId="7A4E7319">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球型鹰眼支架</w:t>
            </w:r>
          </w:p>
        </w:tc>
        <w:tc>
          <w:tcPr>
            <w:tcW w:w="900" w:type="dxa"/>
            <w:vAlign w:val="center"/>
          </w:tcPr>
          <w:p w14:paraId="11B561F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4个</w:t>
            </w:r>
          </w:p>
        </w:tc>
        <w:tc>
          <w:tcPr>
            <w:tcW w:w="6527" w:type="dxa"/>
            <w:vAlign w:val="center"/>
          </w:tcPr>
          <w:p w14:paraId="41608680">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长壁装/铂晶灰/铝合金/</w:t>
            </w:r>
          </w:p>
        </w:tc>
      </w:tr>
      <w:tr w14:paraId="6B313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427" w:type="dxa"/>
            <w:vAlign w:val="center"/>
          </w:tcPr>
          <w:p w14:paraId="2C5027BC">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19</w:t>
            </w:r>
          </w:p>
        </w:tc>
        <w:tc>
          <w:tcPr>
            <w:tcW w:w="1303" w:type="dxa"/>
            <w:vAlign w:val="center"/>
          </w:tcPr>
          <w:p w14:paraId="3DBE138D">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支架</w:t>
            </w:r>
          </w:p>
        </w:tc>
        <w:tc>
          <w:tcPr>
            <w:tcW w:w="900" w:type="dxa"/>
            <w:vAlign w:val="center"/>
          </w:tcPr>
          <w:p w14:paraId="73B8EF78">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109个</w:t>
            </w:r>
          </w:p>
        </w:tc>
        <w:tc>
          <w:tcPr>
            <w:tcW w:w="6527" w:type="dxa"/>
            <w:vAlign w:val="center"/>
          </w:tcPr>
          <w:p w14:paraId="72E9E0EF">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铝合金万向室内外通用防水监控支架</w:t>
            </w:r>
          </w:p>
        </w:tc>
      </w:tr>
      <w:tr w14:paraId="300F8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161AE436">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w:t>
            </w:r>
          </w:p>
        </w:tc>
        <w:tc>
          <w:tcPr>
            <w:tcW w:w="1303" w:type="dxa"/>
            <w:vAlign w:val="center"/>
          </w:tcPr>
          <w:p w14:paraId="6AE5587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交换机</w:t>
            </w:r>
          </w:p>
        </w:tc>
        <w:tc>
          <w:tcPr>
            <w:tcW w:w="900" w:type="dxa"/>
            <w:vAlign w:val="center"/>
          </w:tcPr>
          <w:p w14:paraId="28456E70">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10台</w:t>
            </w:r>
          </w:p>
        </w:tc>
        <w:tc>
          <w:tcPr>
            <w:tcW w:w="6527" w:type="dxa"/>
            <w:vAlign w:val="center"/>
          </w:tcPr>
          <w:p w14:paraId="537AABF2">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提供16个千兆PoE电口，1个千兆电口，1个千兆光口。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交换容量 36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包转发率 26.78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79B77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324C3385">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21</w:t>
            </w:r>
          </w:p>
        </w:tc>
        <w:tc>
          <w:tcPr>
            <w:tcW w:w="1303" w:type="dxa"/>
            <w:vAlign w:val="center"/>
          </w:tcPr>
          <w:p w14:paraId="5EAFCC01">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交换机</w:t>
            </w:r>
          </w:p>
        </w:tc>
        <w:tc>
          <w:tcPr>
            <w:tcW w:w="900" w:type="dxa"/>
            <w:vAlign w:val="center"/>
          </w:tcPr>
          <w:p w14:paraId="2280A32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25台</w:t>
            </w:r>
          </w:p>
        </w:tc>
        <w:tc>
          <w:tcPr>
            <w:tcW w:w="6527" w:type="dxa"/>
            <w:vAlign w:val="center"/>
          </w:tcPr>
          <w:p w14:paraId="5D3C6E5C">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1.提供8个千兆PoE电口，1个千兆电口，1个千兆光口。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2.交换容量 20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包转发率 14.88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56749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4EFB3302">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22</w:t>
            </w:r>
          </w:p>
        </w:tc>
        <w:tc>
          <w:tcPr>
            <w:tcW w:w="1303" w:type="dxa"/>
            <w:vAlign w:val="center"/>
          </w:tcPr>
          <w:p w14:paraId="6DEA39A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千兆光纤收发器</w:t>
            </w:r>
          </w:p>
        </w:tc>
        <w:tc>
          <w:tcPr>
            <w:tcW w:w="900" w:type="dxa"/>
            <w:vAlign w:val="center"/>
          </w:tcPr>
          <w:p w14:paraId="7EC13D28">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4对</w:t>
            </w:r>
          </w:p>
        </w:tc>
        <w:tc>
          <w:tcPr>
            <w:tcW w:w="6527" w:type="dxa"/>
            <w:vAlign w:val="center"/>
          </w:tcPr>
          <w:p w14:paraId="2B669332">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端口：1千兆电口、1千兆光口。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工作温度：–30 °C - 70 °C。</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光纤类型：单模单纤双向。</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435DD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jc w:val="center"/>
        </w:trPr>
        <w:tc>
          <w:tcPr>
            <w:tcW w:w="427" w:type="dxa"/>
            <w:vAlign w:val="center"/>
          </w:tcPr>
          <w:p w14:paraId="1B640B62">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23</w:t>
            </w:r>
          </w:p>
        </w:tc>
        <w:tc>
          <w:tcPr>
            <w:tcW w:w="1303" w:type="dxa"/>
            <w:vAlign w:val="center"/>
          </w:tcPr>
          <w:p w14:paraId="577D078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系统单元</w:t>
            </w:r>
          </w:p>
        </w:tc>
        <w:tc>
          <w:tcPr>
            <w:tcW w:w="900" w:type="dxa"/>
            <w:vAlign w:val="center"/>
          </w:tcPr>
          <w:p w14:paraId="74401B7C">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3台</w:t>
            </w:r>
          </w:p>
        </w:tc>
        <w:tc>
          <w:tcPr>
            <w:tcW w:w="6527" w:type="dxa"/>
            <w:vAlign w:val="center"/>
          </w:tcPr>
          <w:p w14:paraId="50966F20">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操作系统：Linux 64位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功能：实时预览、云台控制、录像回放、电子地图、报警联动、权限管理</w:t>
            </w:r>
          </w:p>
        </w:tc>
      </w:tr>
      <w:tr w14:paraId="0B2D1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5E3A139B">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24</w:t>
            </w:r>
          </w:p>
        </w:tc>
        <w:tc>
          <w:tcPr>
            <w:tcW w:w="1303" w:type="dxa"/>
            <w:vAlign w:val="center"/>
          </w:tcPr>
          <w:p w14:paraId="3FCEE1A4">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监控监视器</w:t>
            </w:r>
          </w:p>
        </w:tc>
        <w:tc>
          <w:tcPr>
            <w:tcW w:w="900" w:type="dxa"/>
            <w:vAlign w:val="center"/>
          </w:tcPr>
          <w:p w14:paraId="052A9E90">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7台</w:t>
            </w:r>
          </w:p>
        </w:tc>
        <w:tc>
          <w:tcPr>
            <w:tcW w:w="6527" w:type="dxa"/>
            <w:vAlign w:val="center"/>
          </w:tcPr>
          <w:p w14:paraId="76A50949">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1.65寸行业4K塑胶监控显示器，支持3840 × 2160超高清显示，1.07B 真色彩，高清晰画质，高对比度。</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2.音视频输入接口：HDMI 1.4 × 1 , HDMI 2.0 × 1，VGA × 1 , Audio in × 1，音视频输出接口：SPEAK OUT × 2 (6Ω 11W)。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07B5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427" w:type="dxa"/>
            <w:vAlign w:val="center"/>
          </w:tcPr>
          <w:p w14:paraId="6602D967">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25</w:t>
            </w:r>
          </w:p>
        </w:tc>
        <w:tc>
          <w:tcPr>
            <w:tcW w:w="1303" w:type="dxa"/>
            <w:vAlign w:val="center"/>
          </w:tcPr>
          <w:p w14:paraId="7AC976A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壁挂支架</w:t>
            </w:r>
          </w:p>
        </w:tc>
        <w:tc>
          <w:tcPr>
            <w:tcW w:w="900" w:type="dxa"/>
            <w:vAlign w:val="center"/>
          </w:tcPr>
          <w:p w14:paraId="2832C729">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8个</w:t>
            </w:r>
          </w:p>
        </w:tc>
        <w:tc>
          <w:tcPr>
            <w:tcW w:w="6527" w:type="dxa"/>
            <w:vAlign w:val="center"/>
          </w:tcPr>
          <w:p w14:paraId="4A533A02">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定制，SPCC高强度钢（主体）。</w:t>
            </w:r>
          </w:p>
        </w:tc>
      </w:tr>
      <w:tr w14:paraId="700C1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27" w:type="dxa"/>
            <w:vAlign w:val="center"/>
          </w:tcPr>
          <w:p w14:paraId="1E383E3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26</w:t>
            </w:r>
          </w:p>
        </w:tc>
        <w:tc>
          <w:tcPr>
            <w:tcW w:w="1303" w:type="dxa"/>
            <w:vAlign w:val="center"/>
          </w:tcPr>
          <w:p w14:paraId="6F3ECAD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移动支架</w:t>
            </w:r>
          </w:p>
        </w:tc>
        <w:tc>
          <w:tcPr>
            <w:tcW w:w="900" w:type="dxa"/>
            <w:vAlign w:val="center"/>
          </w:tcPr>
          <w:p w14:paraId="20381919">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1个</w:t>
            </w:r>
          </w:p>
        </w:tc>
        <w:tc>
          <w:tcPr>
            <w:tcW w:w="6527" w:type="dxa"/>
            <w:vAlign w:val="center"/>
          </w:tcPr>
          <w:p w14:paraId="4C82F2CA">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厚</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厚固1350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加厚32-75英寸通用电视机可移动落地式带轮支架加下置物盘</w:t>
            </w:r>
          </w:p>
        </w:tc>
      </w:tr>
      <w:tr w14:paraId="02D71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031B6DA1">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27</w:t>
            </w:r>
          </w:p>
        </w:tc>
        <w:tc>
          <w:tcPr>
            <w:tcW w:w="1303" w:type="dxa"/>
            <w:vAlign w:val="center"/>
          </w:tcPr>
          <w:p w14:paraId="3F2D8FF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防水箱</w:t>
            </w:r>
          </w:p>
        </w:tc>
        <w:tc>
          <w:tcPr>
            <w:tcW w:w="900" w:type="dxa"/>
            <w:vAlign w:val="center"/>
          </w:tcPr>
          <w:p w14:paraId="2696F2D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34个</w:t>
            </w:r>
          </w:p>
        </w:tc>
        <w:tc>
          <w:tcPr>
            <w:tcW w:w="6527" w:type="dxa"/>
            <w:vAlign w:val="center"/>
          </w:tcPr>
          <w:p w14:paraId="2F634D20">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不锈钢户外监控设备箱</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1.高约400宽300深180。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材质:304不锈钢。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锁具:金属把手锁。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79F63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FA54FE1">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28</w:t>
            </w:r>
          </w:p>
        </w:tc>
        <w:tc>
          <w:tcPr>
            <w:tcW w:w="1303" w:type="dxa"/>
            <w:vAlign w:val="center"/>
          </w:tcPr>
          <w:p w14:paraId="474A7458">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监控专用网线</w:t>
            </w:r>
          </w:p>
        </w:tc>
        <w:tc>
          <w:tcPr>
            <w:tcW w:w="900" w:type="dxa"/>
            <w:vAlign w:val="center"/>
          </w:tcPr>
          <w:p w14:paraId="6A4FE31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16800米</w:t>
            </w:r>
          </w:p>
        </w:tc>
        <w:tc>
          <w:tcPr>
            <w:tcW w:w="6527" w:type="dxa"/>
            <w:vAlign w:val="center"/>
          </w:tcPr>
          <w:p w14:paraId="60A4FDFF">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超5类网线,Cat5e非屏蔽双绞线。</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标准：符合ISO/IEC 11801、TIA-568.2-D、GB/T 18015.5要求,所用材料符合RoHS要求，性能指标优于现行5e类线缆100MHz标准。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标准装箱长度:305m±1.5m。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具体详见竞争性谈判文件。</w:t>
            </w:r>
          </w:p>
        </w:tc>
      </w:tr>
      <w:tr w14:paraId="7260B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427" w:type="dxa"/>
            <w:vAlign w:val="center"/>
          </w:tcPr>
          <w:p w14:paraId="49B0D9B8">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29</w:t>
            </w:r>
          </w:p>
        </w:tc>
        <w:tc>
          <w:tcPr>
            <w:tcW w:w="1303" w:type="dxa"/>
            <w:vAlign w:val="center"/>
          </w:tcPr>
          <w:p w14:paraId="32E85290">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级联主网线</w:t>
            </w:r>
          </w:p>
        </w:tc>
        <w:tc>
          <w:tcPr>
            <w:tcW w:w="900" w:type="dxa"/>
            <w:vAlign w:val="center"/>
          </w:tcPr>
          <w:p w14:paraId="7B0CBCF9">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1400米</w:t>
            </w:r>
          </w:p>
        </w:tc>
        <w:tc>
          <w:tcPr>
            <w:tcW w:w="6527" w:type="dxa"/>
            <w:vAlign w:val="center"/>
          </w:tcPr>
          <w:p w14:paraId="435775FD">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HSYV-6 886E双屏蔽网线六类网线 300米/件，4*2*0.58无氧铜</w:t>
            </w:r>
          </w:p>
        </w:tc>
      </w:tr>
      <w:tr w14:paraId="45D7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jc w:val="center"/>
        </w:trPr>
        <w:tc>
          <w:tcPr>
            <w:tcW w:w="427" w:type="dxa"/>
            <w:vAlign w:val="center"/>
          </w:tcPr>
          <w:p w14:paraId="2B8CFBF8">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30</w:t>
            </w:r>
          </w:p>
        </w:tc>
        <w:tc>
          <w:tcPr>
            <w:tcW w:w="1303" w:type="dxa"/>
            <w:vAlign w:val="center"/>
          </w:tcPr>
          <w:p w14:paraId="20D01BA4">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RVV 2*0.75</w:t>
            </w:r>
          </w:p>
        </w:tc>
        <w:tc>
          <w:tcPr>
            <w:tcW w:w="900" w:type="dxa"/>
            <w:vAlign w:val="center"/>
          </w:tcPr>
          <w:p w14:paraId="2841DB2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900米</w:t>
            </w:r>
          </w:p>
        </w:tc>
        <w:tc>
          <w:tcPr>
            <w:tcW w:w="6527" w:type="dxa"/>
            <w:vAlign w:val="center"/>
          </w:tcPr>
          <w:p w14:paraId="6140C0B4">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RVV 2*0.75电源线（扁）  200米/卷</w:t>
            </w:r>
          </w:p>
        </w:tc>
      </w:tr>
      <w:tr w14:paraId="3915C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427" w:type="dxa"/>
            <w:vAlign w:val="center"/>
          </w:tcPr>
          <w:p w14:paraId="17C2C8E7">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31</w:t>
            </w:r>
          </w:p>
        </w:tc>
        <w:tc>
          <w:tcPr>
            <w:tcW w:w="1303" w:type="dxa"/>
            <w:vAlign w:val="center"/>
          </w:tcPr>
          <w:p w14:paraId="3279939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摄像头安装调试</w:t>
            </w:r>
          </w:p>
        </w:tc>
        <w:tc>
          <w:tcPr>
            <w:tcW w:w="900" w:type="dxa"/>
            <w:vAlign w:val="center"/>
          </w:tcPr>
          <w:p w14:paraId="4B261316">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210点</w:t>
            </w:r>
          </w:p>
        </w:tc>
        <w:tc>
          <w:tcPr>
            <w:tcW w:w="6527" w:type="dxa"/>
            <w:vAlign w:val="center"/>
          </w:tcPr>
          <w:p w14:paraId="57CF9587">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摄像头安装调试</w:t>
            </w:r>
            <w:r>
              <w:rPr>
                <w:rFonts w:hint="eastAsia" w:ascii="宋体" w:hAnsi="宋体" w:cs="宋体"/>
                <w:color w:val="000000" w:themeColor="text1"/>
                <w:szCs w:val="21"/>
                <w:lang w:eastAsia="zh-CN"/>
                <w14:textFill>
                  <w14:solidFill>
                    <w14:schemeClr w14:val="tx1"/>
                  </w14:solidFill>
                </w14:textFill>
              </w:rPr>
              <w:t>。</w:t>
            </w:r>
          </w:p>
        </w:tc>
      </w:tr>
      <w:tr w14:paraId="1902F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8" w:hRule="atLeast"/>
          <w:jc w:val="center"/>
        </w:trPr>
        <w:tc>
          <w:tcPr>
            <w:tcW w:w="427" w:type="dxa"/>
            <w:vAlign w:val="center"/>
          </w:tcPr>
          <w:p w14:paraId="0A5A39F2">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32</w:t>
            </w:r>
          </w:p>
        </w:tc>
        <w:tc>
          <w:tcPr>
            <w:tcW w:w="1303" w:type="dxa"/>
            <w:vAlign w:val="center"/>
          </w:tcPr>
          <w:p w14:paraId="1BD2557B">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线路敷设、网线、电源线</w:t>
            </w:r>
          </w:p>
        </w:tc>
        <w:tc>
          <w:tcPr>
            <w:tcW w:w="900" w:type="dxa"/>
            <w:vAlign w:val="center"/>
          </w:tcPr>
          <w:p w14:paraId="6297737F">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19100米</w:t>
            </w:r>
          </w:p>
        </w:tc>
        <w:tc>
          <w:tcPr>
            <w:tcW w:w="6527" w:type="dxa"/>
            <w:vAlign w:val="center"/>
          </w:tcPr>
          <w:p w14:paraId="20D69AE2">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线路敷设、网线、电源线</w:t>
            </w:r>
            <w:r>
              <w:rPr>
                <w:rFonts w:hint="eastAsia" w:ascii="宋体" w:hAnsi="宋体" w:cs="宋体"/>
                <w:color w:val="000000" w:themeColor="text1"/>
                <w:szCs w:val="21"/>
                <w:lang w:eastAsia="zh-CN"/>
                <w14:textFill>
                  <w14:solidFill>
                    <w14:schemeClr w14:val="tx1"/>
                  </w14:solidFill>
                </w14:textFill>
              </w:rPr>
              <w:t>。</w:t>
            </w:r>
          </w:p>
        </w:tc>
      </w:tr>
      <w:tr w14:paraId="07B0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jc w:val="center"/>
        </w:trPr>
        <w:tc>
          <w:tcPr>
            <w:tcW w:w="427" w:type="dxa"/>
            <w:vAlign w:val="center"/>
          </w:tcPr>
          <w:p w14:paraId="7635082E">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33</w:t>
            </w:r>
          </w:p>
        </w:tc>
        <w:tc>
          <w:tcPr>
            <w:tcW w:w="1303" w:type="dxa"/>
            <w:vAlign w:val="center"/>
          </w:tcPr>
          <w:p w14:paraId="70C49E3E">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辅材</w:t>
            </w:r>
          </w:p>
        </w:tc>
        <w:tc>
          <w:tcPr>
            <w:tcW w:w="900" w:type="dxa"/>
            <w:vAlign w:val="center"/>
          </w:tcPr>
          <w:p w14:paraId="154E4F6A">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210点</w:t>
            </w:r>
          </w:p>
        </w:tc>
        <w:tc>
          <w:tcPr>
            <w:tcW w:w="6527" w:type="dxa"/>
            <w:vAlign w:val="center"/>
          </w:tcPr>
          <w:p w14:paraId="16E5DC36">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线槽、线管、镙钉、绑带、排插、胶布等</w:t>
            </w:r>
            <w:r>
              <w:rPr>
                <w:rFonts w:hint="eastAsia" w:ascii="宋体" w:hAnsi="宋体" w:cs="宋体"/>
                <w:color w:val="000000" w:themeColor="text1"/>
                <w:szCs w:val="21"/>
                <w:lang w:eastAsia="zh-CN"/>
                <w14:textFill>
                  <w14:solidFill>
                    <w14:schemeClr w14:val="tx1"/>
                  </w14:solidFill>
                </w14:textFill>
              </w:rPr>
              <w:t>。</w:t>
            </w:r>
          </w:p>
        </w:tc>
      </w:tr>
    </w:tbl>
    <w:p w14:paraId="4A5DC148">
      <w:pPr>
        <w:pStyle w:val="9"/>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p>
    <w:p w14:paraId="05233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最高限价（元）：717080</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.00</w:t>
      </w:r>
    </w:p>
    <w:p w14:paraId="6B4DA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合同履约期限：自签订合同之日起 30 天内交货安装调试完毕并交付使用。</w:t>
      </w:r>
    </w:p>
    <w:p w14:paraId="63A477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本项目（否）接受联合体投标</w:t>
      </w:r>
    </w:p>
    <w:p w14:paraId="7A92B8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二、申请人的资格要求：</w:t>
      </w:r>
    </w:p>
    <w:p w14:paraId="1CA256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1.满足《中华人民共和国政府采购法》第二十二条规定；</w:t>
      </w:r>
    </w:p>
    <w:p w14:paraId="65B813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2.落实政府采购政策需满足的资格要求：□专门面向中小企业采购的项目（供应商应为中小微企业或监狱企业或残疾人福利性单位）☑非专门面向中小企业采购的项目 </w:t>
      </w:r>
    </w:p>
    <w:p w14:paraId="275DDC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3</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本项目的特定资格要求：无 </w:t>
      </w:r>
    </w:p>
    <w:p w14:paraId="505899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三、获取采购文件</w:t>
      </w:r>
    </w:p>
    <w:p w14:paraId="4D0D73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时间：2026年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月</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14:textFill>
            <w14:solidFill>
              <w14:schemeClr w14:val="tx1"/>
            </w14:solidFill>
          </w14:textFill>
        </w:rPr>
        <w:t>日至2026年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月</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14:textFill>
            <w14:solidFill>
              <w14:schemeClr w14:val="tx1"/>
            </w14:solidFill>
          </w14:textFill>
        </w:rPr>
        <w:t>日，每天上午08:00:00至12:00:00，下午15:00:00至18:00:00（北京时间，法定节假日除外）</w:t>
      </w:r>
    </w:p>
    <w:p w14:paraId="0105BE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地点（网址）：广西政府采购云平台（https://www.gcy.zfcg.gxzf.gov.cn/）  </w:t>
      </w:r>
    </w:p>
    <w:p w14:paraId="17C963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方式：供应商登录广西政府采购云平台https://www.gcy.zfcg.gxzf.gov.cn/在线申请获取采购文件（进入“项目采购”应用，在获取采购文件菜单中选择项目，申请获取采购文件）  </w:t>
      </w:r>
    </w:p>
    <w:p w14:paraId="78305A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售价（元）：0 </w:t>
      </w:r>
    </w:p>
    <w:p w14:paraId="7EC1A7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四、响应文件提交</w:t>
      </w:r>
    </w:p>
    <w:p w14:paraId="237880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截止时间：2026年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月</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14:textFill>
            <w14:solidFill>
              <w14:schemeClr w14:val="tx1"/>
            </w14:solidFill>
          </w14:textFill>
        </w:rPr>
        <w:t>日 09:30（北京时间）</w:t>
      </w:r>
    </w:p>
    <w:p w14:paraId="6B26B3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地点（网址）：广西政府采购云平台（https://www.gcy.zfcg.gxzf.gov.cn/） </w:t>
      </w:r>
    </w:p>
    <w:p w14:paraId="4A5B34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五、响应文件开启</w:t>
      </w:r>
      <w:r>
        <w:rPr>
          <w:rFonts w:hint="eastAsia" w:asciiTheme="minorEastAsia" w:hAnsiTheme="minorEastAsia" w:eastAsiaTheme="minorEastAsia" w:cstheme="minorEastAsia"/>
          <w:color w:val="000000" w:themeColor="text1"/>
          <w14:textFill>
            <w14:solidFill>
              <w14:schemeClr w14:val="tx1"/>
            </w14:solidFill>
          </w14:textFill>
        </w:rPr>
        <w:t> </w:t>
      </w:r>
    </w:p>
    <w:p w14:paraId="7F56CA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开启时间：2026年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月</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14:textFill>
            <w14:solidFill>
              <w14:schemeClr w14:val="tx1"/>
            </w14:solidFill>
          </w14:textFill>
        </w:rPr>
        <w:t>日 09:30（北京时间）</w:t>
      </w:r>
    </w:p>
    <w:p w14:paraId="758B7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地点：广西政府采购云平台（https://www.gcy.zfcg.gxzf.gov.cn/） </w:t>
      </w:r>
    </w:p>
    <w:p w14:paraId="5E6671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六、公告期限 </w:t>
      </w:r>
    </w:p>
    <w:p w14:paraId="756398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自本公告发布之日起3个工作日。</w:t>
      </w:r>
    </w:p>
    <w:p w14:paraId="73CB46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七、其他补充事宜 </w:t>
      </w:r>
    </w:p>
    <w:p w14:paraId="315BF79D">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1.竞争性谈判保证金：柒仟元整（¥7000.00）。</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谈判保证金的交纳方式：银行转账、支票、汇票、本票、网上银行或者金融机构、担保机构出具的保函等非现金形式。</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如选择以银行转账、电汇形式，交纳至以下账户：</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开户名称：广西城建咨询设计有限公司</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开户银行：建行南宁民族大道东支行</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银行账号：4500 1604 6530 5070 3663</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2.网上查询地址</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中国政府采购网（http://www.ccgp.gov.cn）、广西壮族自治区政府采购网（http://zfcg.gxzf.gov.cn）、广西玉林市人民政府门户网站（http://www.yulin.gov.cn/）、全国公共资源交易平台（广西•玉林）（http://ggzy.jgswj.gxzf.gov.cn/ylggzy/）</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3.本项目需要落实的政府采购政策</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（1）政府采购促进中小企业发展。</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（2）政府采购支持采用本国产品的政策。</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（3）强制采购节能产品；优先采购节能产品、环境标志产品。</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（4）政府采购促进残疾人就业政策。</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（5）政府采购支持监狱企业发展。</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4.供应商竞标注意事项</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（4）供应商需要在具备有摄像头及语音功能且互联网网络状况良好的电脑登录广西政府采购云平台远程开标大厅参与本次谈判，否则后果自负。</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（5）监督部门：玉林市财政局 联系电话：0775-2697961</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（6）评标会场地址：玉林市公共资源交易中心  </w:t>
      </w:r>
    </w:p>
    <w:p w14:paraId="484113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八、凡对本次招标提出询问，请按以下方式联系</w:t>
      </w:r>
    </w:p>
    <w:p w14:paraId="469C8D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1.采购人信息 </w:t>
      </w:r>
    </w:p>
    <w:p w14:paraId="310D6E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名  称：博白县人民法院 </w:t>
      </w:r>
    </w:p>
    <w:p w14:paraId="648F3F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地 </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址：博白县绿珠大道西139号 </w:t>
      </w:r>
    </w:p>
    <w:p w14:paraId="548A6D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项目联系人：刘珂良 </w:t>
      </w:r>
    </w:p>
    <w:p w14:paraId="502427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项目联系方式：0775-8220255 </w:t>
      </w:r>
    </w:p>
    <w:p w14:paraId="227D93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2.采购代理机构信息</w:t>
      </w:r>
    </w:p>
    <w:p w14:paraId="402952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名  称：广西城建咨询设计有限公司 </w:t>
      </w:r>
    </w:p>
    <w:p w14:paraId="0915B7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地  址：玉林市玉州区万良路388号三楼</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玉林分公司</w:t>
      </w:r>
      <w:r>
        <w:rPr>
          <w:rFonts w:hint="eastAsia" w:asciiTheme="minorEastAsia" w:hAnsiTheme="minorEastAsia" w:eastAsiaTheme="minorEastAsia" w:cstheme="minorEastAsia"/>
          <w:color w:val="000000" w:themeColor="text1"/>
          <w14:textFill>
            <w14:solidFill>
              <w14:schemeClr w14:val="tx1"/>
            </w14:solidFill>
          </w14:textFill>
        </w:rPr>
        <w:t> </w:t>
      </w:r>
    </w:p>
    <w:p w14:paraId="2E2A26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项目联系人（询问）：温琴、陆逢珍 </w:t>
      </w:r>
    </w:p>
    <w:p w14:paraId="4CC9FF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项目联系方式（询问）：0775-2688077 </w:t>
      </w:r>
    </w:p>
    <w:p w14:paraId="2EF37910">
      <w:pPr>
        <w:spacing w:line="400" w:lineRule="exact"/>
        <w:jc w:val="center"/>
        <w:rPr>
          <w:color w:val="000000" w:themeColor="text1"/>
          <w14:textFill>
            <w14:solidFill>
              <w14:schemeClr w14:val="tx1"/>
            </w14:solidFill>
          </w14:textFill>
        </w:rPr>
      </w:pPr>
      <w:r>
        <w:rPr>
          <w:rFonts w:ascii="宋体" w:hAnsi="宋体"/>
          <w:b/>
          <w:bCs/>
          <w:color w:val="000000" w:themeColor="text1"/>
          <w:sz w:val="32"/>
          <w:szCs w:val="32"/>
          <w14:textFill>
            <w14:solidFill>
              <w14:schemeClr w14:val="tx1"/>
            </w14:solidFill>
          </w14:textFill>
        </w:rPr>
        <w:br w:type="page"/>
      </w:r>
      <w:bookmarkStart w:id="4" w:name="_Toc74322009"/>
    </w:p>
    <w:p w14:paraId="4D781ABA">
      <w:pPr>
        <w:pStyle w:val="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第二章 供应商须知</w:t>
      </w:r>
      <w:bookmarkEnd w:id="4"/>
    </w:p>
    <w:p w14:paraId="13A63497">
      <w:pPr>
        <w:spacing w:line="40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供应商须知前附表</w:t>
      </w:r>
    </w:p>
    <w:p w14:paraId="6A3C4CEF">
      <w:pPr>
        <w:spacing w:line="400" w:lineRule="exact"/>
        <w:jc w:val="center"/>
        <w:rPr>
          <w:rFonts w:hint="eastAsia" w:ascii="宋体" w:hAnsi="宋体"/>
          <w:b/>
          <w:color w:val="000000" w:themeColor="text1"/>
          <w:sz w:val="32"/>
          <w:szCs w:val="32"/>
          <w14:textFill>
            <w14:solidFill>
              <w14:schemeClr w14:val="tx1"/>
            </w14:solidFill>
          </w14:textFill>
        </w:rPr>
      </w:pPr>
    </w:p>
    <w:tbl>
      <w:tblPr>
        <w:tblStyle w:val="2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A65E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266062FD">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7912" w:type="dxa"/>
          </w:tcPr>
          <w:p w14:paraId="5AC2488B">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r>
      <w:tr w14:paraId="6C7B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0FD990">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912" w:type="dxa"/>
            <w:vAlign w:val="center"/>
          </w:tcPr>
          <w:p w14:paraId="151A66F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1.供应商的资格条件：详见竞争性谈判公告</w:t>
            </w:r>
          </w:p>
          <w:p w14:paraId="30ED030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14:paraId="0F99C93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9C9C449">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9959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6FB163">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p>
        </w:tc>
        <w:tc>
          <w:tcPr>
            <w:tcW w:w="7912" w:type="dxa"/>
            <w:vAlign w:val="center"/>
          </w:tcPr>
          <w:p w14:paraId="59F510E2">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 详见竞争性谈判公告</w:t>
            </w:r>
          </w:p>
        </w:tc>
      </w:tr>
      <w:tr w14:paraId="5CF82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B3BFB50">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.2</w:t>
            </w:r>
          </w:p>
        </w:tc>
        <w:tc>
          <w:tcPr>
            <w:tcW w:w="7912" w:type="dxa"/>
            <w:vAlign w:val="center"/>
          </w:tcPr>
          <w:p w14:paraId="772511F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如接受联合体竞标，联合体竞标要求如下：</w:t>
            </w:r>
          </w:p>
          <w:p w14:paraId="642F0BC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两个以上供应商可以组成一个竞标联合体，以一个供应商的身份共同参加竞标。联合体竞标的，须提供《联合体竞标协议书》（格式后附）。</w:t>
            </w:r>
          </w:p>
          <w:p w14:paraId="7BE352B7">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5AE921A0">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3CBBEDBD">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以联合体形式参加政府采购活动的，联合体各方不得再单独参加或者与其他供应商另外组成联合体参加同一合同项下的政府采购活动。</w:t>
            </w:r>
          </w:p>
          <w:p w14:paraId="109C33B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联合体中有同类资质的供应商按照联合体分工承担相同工作的，应当按照资质等级较低的供应商确定资质等级。</w:t>
            </w:r>
          </w:p>
          <w:p w14:paraId="5379CFD2">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联合体竞标业绩、履约能力按照联合体各方中较高的一方认定并计算。</w:t>
            </w:r>
          </w:p>
          <w:p w14:paraId="0326964A">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供应商为联合体的，可以由联合体中的一方或者多方共同交纳保证金，其交纳的保证金对联合体各方均具有约束力。</w:t>
            </w:r>
          </w:p>
          <w:p w14:paraId="7A60570B">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联合体各方均应按照谈判文件的规定分别提交资格证明文件。</w:t>
            </w:r>
          </w:p>
        </w:tc>
      </w:tr>
      <w:tr w14:paraId="2D055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76672C2">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w:t>
            </w:r>
          </w:p>
        </w:tc>
        <w:tc>
          <w:tcPr>
            <w:tcW w:w="7912" w:type="dxa"/>
            <w:vAlign w:val="center"/>
          </w:tcPr>
          <w:p w14:paraId="704D454E">
            <w:pPr>
              <w:pStyle w:val="7"/>
              <w:spacing w:line="360" w:lineRule="auto"/>
              <w:rPr>
                <w:color w:val="000000" w:themeColor="text1"/>
                <w14:textFill>
                  <w14:solidFill>
                    <w14:schemeClr w14:val="tx1"/>
                  </w14:solidFill>
                </w14:textFill>
              </w:rPr>
            </w:pPr>
            <w:r>
              <w:rPr>
                <w:rFonts w:hint="eastAsia" w:ascii="MS Mincho" w:hAnsi="MS Mincho" w:eastAsia="MS Mincho" w:cs="MS Mincho"/>
                <w:color w:val="000000" w:themeColor="text1"/>
                <w:highlight w:val="none"/>
                <w14:textFill>
                  <w14:solidFill>
                    <w14:schemeClr w14:val="tx1"/>
                  </w14:solidFill>
                </w14:textFill>
              </w:rPr>
              <w:t>☑</w:t>
            </w:r>
            <w:r>
              <w:rPr>
                <w:rFonts w:hint="eastAsia"/>
                <w:color w:val="000000" w:themeColor="text1"/>
                <w14:textFill>
                  <w14:solidFill>
                    <w14:schemeClr w14:val="tx1"/>
                  </w14:solidFill>
                </w14:textFill>
              </w:rPr>
              <w:t>不允许分包</w:t>
            </w:r>
          </w:p>
          <w:p w14:paraId="5F68B074">
            <w:pPr>
              <w:pStyle w:val="7"/>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□允许分包</w:t>
            </w:r>
          </w:p>
          <w:p w14:paraId="4E463A5E">
            <w:pPr>
              <w:pStyle w:val="7"/>
              <w:spacing w:line="360" w:lineRule="auto"/>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分包内容：</w:t>
            </w:r>
            <w:r>
              <w:rPr>
                <w:rFonts w:hint="eastAsia"/>
                <w:color w:val="000000" w:themeColor="text1"/>
                <w:u w:val="single"/>
                <w14:textFill>
                  <w14:solidFill>
                    <w14:schemeClr w14:val="tx1"/>
                  </w14:solidFill>
                </w14:textFill>
              </w:rPr>
              <w:t xml:space="preserve">                                     。</w:t>
            </w:r>
          </w:p>
          <w:p w14:paraId="7739F506">
            <w:pPr>
              <w:pStyle w:val="7"/>
              <w:spacing w:line="360" w:lineRule="auto"/>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分包金额或者比例：</w:t>
            </w:r>
            <w:r>
              <w:rPr>
                <w:rFonts w:hint="eastAsia"/>
                <w:color w:val="000000" w:themeColor="text1"/>
                <w:u w:val="single"/>
                <w14:textFill>
                  <w14:solidFill>
                    <w14:schemeClr w14:val="tx1"/>
                  </w14:solidFill>
                </w14:textFill>
              </w:rPr>
              <w:t xml:space="preserve">                                     。</w:t>
            </w:r>
          </w:p>
          <w:p w14:paraId="0579CEF6">
            <w:pPr>
              <w:pStyle w:val="7"/>
              <w:spacing w:line="360" w:lineRule="auto"/>
              <w:rPr>
                <w:color w:val="000000" w:themeColor="text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分包供应商必须具备的资质：</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p>
        </w:tc>
      </w:tr>
      <w:tr w14:paraId="1A9DD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0D49A5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7.1</w:t>
            </w:r>
          </w:p>
        </w:tc>
        <w:tc>
          <w:tcPr>
            <w:tcW w:w="7912" w:type="dxa"/>
            <w:vAlign w:val="center"/>
          </w:tcPr>
          <w:p w14:paraId="2E25086D">
            <w:pPr>
              <w:shd w:val="clear" w:color="auto" w:fill="auto"/>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提供相同品牌产品（非单一产品采购项目的，指核心产品）的不同供应商最后报价相同时，按照下列方式确定一个供应商获得成交人推荐资格：</w:t>
            </w:r>
          </w:p>
          <w:p w14:paraId="24010260">
            <w:pPr>
              <w:shd w:val="clear" w:color="auto" w:fill="auto"/>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p w14:paraId="67EB63AD">
            <w:pPr>
              <w:pStyle w:val="7"/>
              <w:spacing w:line="360" w:lineRule="auto"/>
              <w:rPr>
                <w:rFonts w:hint="eastAsia" w:ascii="宋体" w:hAnsi="宋体"/>
                <w:color w:val="000000" w:themeColor="text1"/>
                <w:szCs w:val="21"/>
                <w14:textFill>
                  <w14:solidFill>
                    <w14:schemeClr w14:val="tx1"/>
                  </w14:solidFill>
                </w14:textFill>
              </w:rPr>
            </w:pPr>
            <w:r>
              <w:rPr>
                <w:rFonts w:hint="eastAsia" w:ascii="MS Mincho" w:hAnsi="MS Mincho" w:eastAsia="MS Mincho" w:cs="MS Mincho"/>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提供相同品牌产品的不同供应商参加同一合同项下竞标的，以其中通过资格审查、符合性审查、谈判且最后报价最低的参加报价评审；最后报价相同的，由采购人自主选择确定一个供应商获得成交人推荐资格，其他响应文件按无效处理。</w:t>
            </w:r>
          </w:p>
        </w:tc>
      </w:tr>
      <w:tr w14:paraId="62EF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375F1AB">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p>
        </w:tc>
        <w:tc>
          <w:tcPr>
            <w:tcW w:w="7912" w:type="dxa"/>
            <w:vAlign w:val="center"/>
          </w:tcPr>
          <w:p w14:paraId="4EC503E3">
            <w:pPr>
              <w:snapToGrid w:val="0"/>
              <w:spacing w:line="360" w:lineRule="auto"/>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w:t>
            </w:r>
          </w:p>
          <w:p w14:paraId="77330257">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0CB3952C">
            <w:pPr>
              <w:spacing w:line="360" w:lineRule="auto"/>
              <w:contextualSpacing/>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2.供应商依法缴纳税收的相关材料（提交</w:t>
            </w:r>
            <w:r>
              <w:rPr>
                <w:rFonts w:hint="eastAsia" w:ascii="宋体" w:hAnsi="宋体" w:cs="宋体"/>
                <w:color w:val="000000" w:themeColor="text1"/>
                <w:szCs w:val="21"/>
                <w:lang w:val="en-US"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文件截止时间前半年内任意连续三个月的依法缴纳税收的凭据复印件；依法免税或零申报的，必须提供相应文件证明其依法免税或零申报。从成立之日起到响应文件提交截止时间止不足要求月数的，只需提供从成立之日起的依法缴纳税收相应证明文件）；</w:t>
            </w:r>
            <w:r>
              <w:rPr>
                <w:rFonts w:hint="eastAsia" w:ascii="宋体" w:hAnsi="宋体" w:cs="宋体"/>
                <w:b/>
                <w:bCs/>
                <w:color w:val="000000" w:themeColor="text1"/>
                <w:szCs w:val="21"/>
                <w14:textFill>
                  <w14:solidFill>
                    <w14:schemeClr w14:val="tx1"/>
                  </w14:solidFill>
                </w14:textFill>
              </w:rPr>
              <w:t>（必须提供，否则响应文件按无效响应处理）</w:t>
            </w:r>
          </w:p>
          <w:p w14:paraId="0AFFB61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供应商依法缴纳社会保障资金的相关材料[提交</w:t>
            </w:r>
            <w:r>
              <w:rPr>
                <w:rFonts w:hint="eastAsia" w:ascii="宋体" w:hAnsi="宋体" w:cs="宋体"/>
                <w:color w:val="000000" w:themeColor="text1"/>
                <w:szCs w:val="21"/>
                <w:highlight w:val="none"/>
                <w:lang w:val="en-US"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文件截止时间前半年内任意连续三个月的依法缴纳社会保障资金的缴费凭证（专用收据或者社会保险缴纳清单）复印件；</w:t>
            </w:r>
            <w:r>
              <w:rPr>
                <w:rFonts w:hint="eastAsia"/>
                <w:color w:val="000000" w:themeColor="text1"/>
                <w:highlight w:val="none"/>
                <w14:textFill>
                  <w14:solidFill>
                    <w14:schemeClr w14:val="tx1"/>
                  </w14:solidFill>
                </w14:textFill>
              </w:rPr>
              <w:t>依法不需要缴纳社会保障资金的，必须提供相应文件证明不需要缴纳社会保障资金。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到响应文件提交截止时间止不足要求月数的只需提供从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color w:val="000000" w:themeColor="text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74327435">
            <w:pPr>
              <w:spacing w:line="360" w:lineRule="auto"/>
              <w:contextualSpacing/>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4.</w:t>
            </w:r>
            <w:r>
              <w:rPr>
                <w:rFonts w:hint="eastAsia"/>
                <w:color w:val="000000" w:themeColor="text1"/>
                <w:sz w:val="21"/>
                <w:szCs w:val="21"/>
                <w:lang w:eastAsia="zh-CN" w:bidi="ar"/>
                <w14:textFill>
                  <w14:solidFill>
                    <w14:schemeClr w14:val="tx1"/>
                  </w14:solidFill>
                </w14:textFill>
              </w:rPr>
              <w:t>供应商</w:t>
            </w:r>
            <w:r>
              <w:rPr>
                <w:rFonts w:hint="eastAsia"/>
                <w:color w:val="000000" w:themeColor="text1"/>
                <w:spacing w:val="6"/>
                <w:sz w:val="21"/>
                <w:szCs w:val="21"/>
                <w:lang w:eastAsia="zh-CN"/>
                <w14:textFill>
                  <w14:solidFill>
                    <w14:schemeClr w14:val="tx1"/>
                  </w14:solidFill>
                </w14:textFill>
              </w:rPr>
              <w:t>财务状况报告[</w:t>
            </w:r>
            <w:r>
              <w:rPr>
                <w:rFonts w:hint="eastAsia"/>
                <w:color w:val="000000" w:themeColor="text1"/>
                <w:spacing w:val="6"/>
                <w:sz w:val="21"/>
                <w:szCs w:val="21"/>
                <w:u w:val="none"/>
                <w:lang w:eastAsia="zh-CN"/>
                <w14:textFill>
                  <w14:solidFill>
                    <w14:schemeClr w14:val="tx1"/>
                  </w14:solidFill>
                </w14:textFill>
              </w:rPr>
              <w:t>202</w:t>
            </w:r>
            <w:r>
              <w:rPr>
                <w:rFonts w:hint="eastAsia"/>
                <w:color w:val="000000" w:themeColor="text1"/>
                <w:spacing w:val="6"/>
                <w:sz w:val="21"/>
                <w:szCs w:val="21"/>
                <w:u w:val="none"/>
                <w:lang w:val="en-US" w:eastAsia="zh-CN"/>
                <w14:textFill>
                  <w14:solidFill>
                    <w14:schemeClr w14:val="tx1"/>
                  </w14:solidFill>
                </w14:textFill>
              </w:rPr>
              <w:t>5</w:t>
            </w:r>
            <w:r>
              <w:rPr>
                <w:rFonts w:hint="eastAsia"/>
                <w:color w:val="000000" w:themeColor="text1"/>
                <w:spacing w:val="6"/>
                <w:sz w:val="21"/>
                <w:szCs w:val="21"/>
                <w:u w:val="none"/>
                <w:lang w:eastAsia="zh-CN"/>
                <w14:textFill>
                  <w14:solidFill>
                    <w14:schemeClr w14:val="tx1"/>
                  </w14:solidFill>
                </w14:textFill>
              </w:rPr>
              <w:t>年度的</w:t>
            </w:r>
            <w:r>
              <w:rPr>
                <w:rFonts w:hint="eastAsia"/>
                <w:color w:val="000000" w:themeColor="text1"/>
                <w:spacing w:val="6"/>
                <w:sz w:val="21"/>
                <w:szCs w:val="21"/>
                <w:lang w:eastAsia="zh-CN"/>
                <w14:textFill>
                  <w14:solidFill>
                    <w14:schemeClr w14:val="tx1"/>
                  </w14:solidFill>
                </w14:textFill>
              </w:rPr>
              <w:t>财务报表复印件或者银行出具的资信证明，或者中国</w:t>
            </w:r>
            <w:r>
              <w:rPr>
                <w:rFonts w:hint="eastAsia"/>
                <w:color w:val="000000" w:themeColor="text1"/>
                <w:spacing w:val="8"/>
                <w:sz w:val="21"/>
                <w:szCs w:val="21"/>
                <w:lang w:eastAsia="zh-CN"/>
                <w14:textFill>
                  <w14:solidFill>
                    <w14:schemeClr w14:val="tx1"/>
                  </w14:solidFill>
                </w14:textFill>
              </w:rPr>
              <w:t>人民银行征信中心出具的信用报告（企业投标的提供企业信用报告，</w:t>
            </w:r>
            <w:r>
              <w:rPr>
                <w:rFonts w:hint="eastAsia"/>
                <w:color w:val="000000" w:themeColor="text1"/>
                <w:spacing w:val="-32"/>
                <w:sz w:val="21"/>
                <w:szCs w:val="21"/>
                <w:lang w:eastAsia="zh-CN"/>
                <w14:textFill>
                  <w14:solidFill>
                    <w14:schemeClr w14:val="tx1"/>
                  </w14:solidFill>
                </w14:textFill>
              </w:rPr>
              <w:t xml:space="preserve"> </w:t>
            </w:r>
            <w:r>
              <w:rPr>
                <w:rFonts w:hint="eastAsia"/>
                <w:color w:val="000000" w:themeColor="text1"/>
                <w:spacing w:val="8"/>
                <w:sz w:val="21"/>
                <w:szCs w:val="21"/>
                <w:lang w:eastAsia="zh-CN"/>
                <w14:textFill>
                  <w14:solidFill>
                    <w14:schemeClr w14:val="tx1"/>
                  </w14:solidFill>
                </w14:textFill>
              </w:rPr>
              <w:t>自然人投标的提供个人</w:t>
            </w:r>
            <w:r>
              <w:rPr>
                <w:rFonts w:hint="eastAsia"/>
                <w:color w:val="000000" w:themeColor="text1"/>
                <w:spacing w:val="10"/>
                <w:sz w:val="21"/>
                <w:szCs w:val="21"/>
                <w:lang w:eastAsia="zh-CN"/>
                <w14:textFill>
                  <w14:solidFill>
                    <w14:schemeClr w14:val="tx1"/>
                  </w14:solidFill>
                </w14:textFill>
              </w:rPr>
              <w:t>信用报告，</w:t>
            </w:r>
            <w:r>
              <w:rPr>
                <w:rFonts w:hint="eastAsia"/>
                <w:color w:val="000000" w:themeColor="text1"/>
                <w:sz w:val="21"/>
                <w:szCs w:val="21"/>
                <w:lang w:eastAsia="zh-CN" w:bidi="ar"/>
                <w14:textFill>
                  <w14:solidFill>
                    <w14:schemeClr w14:val="tx1"/>
                  </w14:solidFill>
                </w14:textFill>
              </w:rPr>
              <w:t>供应商</w:t>
            </w:r>
            <w:r>
              <w:rPr>
                <w:rFonts w:hint="eastAsia"/>
                <w:color w:val="000000" w:themeColor="text1"/>
                <w:spacing w:val="10"/>
                <w:sz w:val="21"/>
                <w:szCs w:val="21"/>
                <w:lang w:eastAsia="zh-CN"/>
                <w14:textFill>
                  <w14:solidFill>
                    <w14:schemeClr w14:val="tx1"/>
                  </w14:solidFill>
                </w14:textFill>
              </w:rPr>
              <w:t>属于成立时间在规定年度之后的法人或其他组</w:t>
            </w:r>
            <w:r>
              <w:rPr>
                <w:rFonts w:hint="eastAsia"/>
                <w:color w:val="000000" w:themeColor="text1"/>
                <w:spacing w:val="9"/>
                <w:sz w:val="21"/>
                <w:szCs w:val="21"/>
                <w:lang w:eastAsia="zh-CN"/>
                <w14:textFill>
                  <w14:solidFill>
                    <w14:schemeClr w14:val="tx1"/>
                  </w14:solidFill>
                </w14:textFill>
              </w:rPr>
              <w:t>织，需提供成立之日起至</w:t>
            </w:r>
            <w:r>
              <w:rPr>
                <w:rFonts w:hint="eastAsia"/>
                <w:color w:val="000000" w:themeColor="text1"/>
                <w:spacing w:val="9"/>
                <w:sz w:val="21"/>
                <w:szCs w:val="21"/>
                <w:lang w:val="en-US" w:eastAsia="zh-CN"/>
                <w14:textFill>
                  <w14:solidFill>
                    <w14:schemeClr w14:val="tx1"/>
                  </w14:solidFill>
                </w14:textFill>
              </w:rPr>
              <w:t>竞</w:t>
            </w:r>
            <w:r>
              <w:rPr>
                <w:rFonts w:hint="eastAsia"/>
                <w:color w:val="000000" w:themeColor="text1"/>
                <w:spacing w:val="10"/>
                <w:sz w:val="21"/>
                <w:szCs w:val="21"/>
                <w:lang w:eastAsia="zh-CN"/>
                <w14:textFill>
                  <w14:solidFill>
                    <w14:schemeClr w14:val="tx1"/>
                  </w14:solidFill>
                </w14:textFill>
              </w:rPr>
              <w:t>标截止时间前的月报表或银行出具的资信证明或者中国人民银行</w:t>
            </w:r>
            <w:r>
              <w:rPr>
                <w:rFonts w:hint="eastAsia"/>
                <w:color w:val="000000" w:themeColor="text1"/>
                <w:spacing w:val="9"/>
                <w:sz w:val="21"/>
                <w:szCs w:val="21"/>
                <w:lang w:eastAsia="zh-CN"/>
                <w14:textFill>
                  <w14:solidFill>
                    <w14:schemeClr w14:val="tx1"/>
                  </w14:solidFill>
                </w14:textFill>
              </w:rPr>
              <w:t>征信中心出具的企业信用报</w:t>
            </w:r>
            <w:r>
              <w:rPr>
                <w:rFonts w:hint="eastAsia"/>
                <w:color w:val="000000" w:themeColor="text1"/>
                <w:spacing w:val="8"/>
                <w:sz w:val="21"/>
                <w:szCs w:val="21"/>
                <w:lang w:eastAsia="zh-CN"/>
                <w14:textFill>
                  <w14:solidFill>
                    <w14:schemeClr w14:val="tx1"/>
                  </w14:solidFill>
                </w14:textFill>
              </w:rPr>
              <w:t>告；资信证明应在有效期内，未注明有效期的，银行出具时间至投标截止时间不超过一年]</w:t>
            </w: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（必须提供，否则响应文件按无效响应处理）</w:t>
            </w:r>
          </w:p>
          <w:p w14:paraId="13B63775">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5.供应商直接控股股东信息表（格式后附）；（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507A39D4">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6.供应商直接管理关系信息表（格式后附）；（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7C0947F0">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E79AAF3">
            <w:pPr>
              <w:snapToGrid w:val="0"/>
              <w:spacing w:line="360" w:lineRule="auto"/>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竞标保证金提交凭证；（</w:t>
            </w:r>
            <w:r>
              <w:rPr>
                <w:rFonts w:hint="eastAsia"/>
                <w:b/>
                <w:bCs/>
                <w:color w:val="000000" w:themeColor="text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0B19BECC">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.联合体竞标协议书（格式后附）；（</w:t>
            </w:r>
            <w:r>
              <w:rPr>
                <w:rFonts w:hint="eastAsia" w:ascii="宋体" w:hAnsi="宋体" w:cs="宋体"/>
                <w:b/>
                <w:color w:val="000000" w:themeColor="text1"/>
                <w:szCs w:val="21"/>
                <w14:textFill>
                  <w14:solidFill>
                    <w14:schemeClr w14:val="tx1"/>
                  </w14:solidFill>
                </w14:textFill>
              </w:rPr>
              <w:t>联合体竞标时必须提供，否则响应文件按无效处理</w:t>
            </w:r>
            <w:r>
              <w:rPr>
                <w:rFonts w:hint="eastAsia" w:ascii="宋体" w:hAnsi="宋体" w:cs="宋体"/>
                <w:color w:val="000000" w:themeColor="text1"/>
                <w:szCs w:val="21"/>
                <w14:textFill>
                  <w14:solidFill>
                    <w14:schemeClr w14:val="tx1"/>
                  </w14:solidFill>
                </w14:textFill>
              </w:rPr>
              <w:t>）</w:t>
            </w:r>
          </w:p>
          <w:p w14:paraId="75B94E48">
            <w:pPr>
              <w:snapToGrid w:val="0"/>
              <w:spacing w:line="360" w:lineRule="auto"/>
              <w:jc w:val="left"/>
              <w:rPr>
                <w:rFonts w:hint="eastAsia" w:ascii="宋体" w:hAnsi="宋体"/>
                <w:i/>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.除谈判文件规定必须提供以外，供应商认为需要提供的其他证明材料；</w:t>
            </w:r>
          </w:p>
          <w:p w14:paraId="60FD0682">
            <w:pPr>
              <w:snapToGrid w:val="0"/>
              <w:spacing w:line="360" w:lineRule="auto"/>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p>
          <w:p w14:paraId="65EF87DC">
            <w:pPr>
              <w:numPr>
                <w:ilvl w:val="0"/>
                <w:numId w:val="0"/>
              </w:numPr>
              <w:snapToGrid w:val="0"/>
              <w:spacing w:line="360" w:lineRule="auto"/>
              <w:ind w:firstLine="413" w:firstLineChars="196"/>
              <w:jc w:val="left"/>
              <w:rPr>
                <w:rFonts w:hint="eastAsia" w:ascii="宋体" w:hAnsi="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以上标明“必须提供”的材料属于复印件的，必须加盖供应商</w:t>
            </w:r>
            <w:r>
              <w:rPr>
                <w:rFonts w:hint="eastAsia"/>
                <w:b/>
                <w:color w:val="000000" w:themeColor="text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p w14:paraId="0DA79117">
            <w:pPr>
              <w:numPr>
                <w:ilvl w:val="0"/>
                <w:numId w:val="0"/>
              </w:numPr>
              <w:snapToGrid w:val="0"/>
              <w:spacing w:line="360" w:lineRule="auto"/>
              <w:ind w:firstLine="413" w:firstLineChars="196"/>
              <w:jc w:val="left"/>
              <w:rPr>
                <w:rFonts w:hint="eastAsia" w:ascii="宋体" w:hAnsi="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分公司参加竞标的，应当取得总公司授权或出具总公司的有关文件（或制度等）能够证明总公司授权其独立开展业务的证明。</w:t>
            </w:r>
          </w:p>
          <w:p w14:paraId="313BEC92">
            <w:pPr>
              <w:snapToGrid w:val="0"/>
              <w:spacing w:line="360" w:lineRule="auto"/>
              <w:ind w:firstLine="422"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val="en-US" w:eastAsia="zh-CN"/>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.联合体竞标时，第1-6项资格证明文件联合体各方均必须分别提供，</w:t>
            </w:r>
            <w:r>
              <w:rPr>
                <w:rFonts w:hint="eastAsia"/>
                <w:b/>
                <w:color w:val="000000" w:themeColor="text1"/>
                <w14:textFill>
                  <w14:solidFill>
                    <w14:schemeClr w14:val="tx1"/>
                  </w14:solidFill>
                </w14:textFill>
              </w:rPr>
              <w:t>并由</w:t>
            </w:r>
            <w:r>
              <w:rPr>
                <w:rFonts w:hint="eastAsia" w:ascii="宋体" w:hAnsi="宋体" w:cs="宋体"/>
                <w:b/>
                <w:color w:val="000000" w:themeColor="text1"/>
                <w:szCs w:val="21"/>
                <w14:textFill>
                  <w14:solidFill>
                    <w14:schemeClr w14:val="tx1"/>
                  </w14:solidFill>
                </w14:textFill>
              </w:rPr>
              <w:t>联合体</w:t>
            </w:r>
            <w:r>
              <w:rPr>
                <w:rFonts w:hint="eastAsia"/>
                <w:b/>
                <w:color w:val="000000" w:themeColor="text1"/>
                <w14:textFill>
                  <w14:solidFill>
                    <w14:schemeClr w14:val="tx1"/>
                  </w14:solidFill>
                </w14:textFill>
              </w:rPr>
              <w:t>牵头人加盖电子签章</w:t>
            </w:r>
            <w:r>
              <w:rPr>
                <w:rFonts w:hint="eastAsia" w:ascii="宋体" w:hAnsi="宋体" w:cs="宋体"/>
                <w:b/>
                <w:color w:val="000000" w:themeColor="text1"/>
                <w:szCs w:val="21"/>
                <w14:textFill>
                  <w14:solidFill>
                    <w14:schemeClr w14:val="tx1"/>
                  </w14:solidFill>
                </w14:textFill>
              </w:rPr>
              <w:t>，</w:t>
            </w:r>
            <w:r>
              <w:rPr>
                <w:rFonts w:hint="eastAsia"/>
                <w:b/>
                <w:color w:val="000000" w:themeColor="text1"/>
                <w14:textFill>
                  <w14:solidFill>
                    <w14:schemeClr w14:val="tx1"/>
                  </w14:solidFill>
                </w14:textFill>
              </w:rPr>
              <w:t>规定签字</w:t>
            </w:r>
            <w:r>
              <w:rPr>
                <w:rFonts w:hint="eastAsia" w:ascii="宋体" w:hAnsi="宋体" w:cs="宋体"/>
                <w:b/>
                <w:color w:val="000000" w:themeColor="text1"/>
                <w:szCs w:val="21"/>
                <w14:textFill>
                  <w14:solidFill>
                    <w14:schemeClr w14:val="tx1"/>
                  </w14:solidFill>
                </w14:textFill>
              </w:rPr>
              <w:t>处签字</w:t>
            </w:r>
            <w:r>
              <w:rPr>
                <w:rFonts w:hint="eastAsia" w:ascii="宋体" w:hAnsi="宋体"/>
                <w:b/>
                <w:bCs/>
                <w:color w:val="000000" w:themeColor="text1"/>
                <w:szCs w:val="21"/>
                <w14:textFill>
                  <w14:solidFill>
                    <w14:schemeClr w14:val="tx1"/>
                  </w14:solidFill>
                </w14:textFill>
              </w:rPr>
              <w:t>（或者电子签名）</w:t>
            </w:r>
            <w:r>
              <w:rPr>
                <w:rFonts w:hint="eastAsia" w:ascii="宋体" w:hAnsi="宋体" w:cs="宋体"/>
                <w:b/>
                <w:color w:val="000000" w:themeColor="text1"/>
                <w:szCs w:val="21"/>
                <w14:textFill>
                  <w14:solidFill>
                    <w14:schemeClr w14:val="tx1"/>
                  </w14:solidFill>
                </w14:textFill>
              </w:rPr>
              <w:t>，否则响应文件按无效处理。</w:t>
            </w:r>
          </w:p>
        </w:tc>
      </w:tr>
      <w:tr w14:paraId="0CECC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571FE9">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12.1.2</w:t>
            </w:r>
          </w:p>
        </w:tc>
        <w:tc>
          <w:tcPr>
            <w:tcW w:w="7912" w:type="dxa"/>
            <w:vAlign w:val="center"/>
          </w:tcPr>
          <w:p w14:paraId="616FFE31">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报价文件</w:t>
            </w:r>
          </w:p>
          <w:p w14:paraId="207781C2">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1.竞标报价表（格式后附）；（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3B9AECB">
            <w:pPr>
              <w:spacing w:line="360" w:lineRule="auto"/>
              <w:rPr>
                <w:rFonts w:hint="eastAsia" w:ascii="宋体" w:hAnsi="宋体" w:cs="Courier New"/>
                <w:bCs/>
                <w:color w:val="000000" w:themeColor="text1"/>
                <w14:textFill>
                  <w14:solidFill>
                    <w14:schemeClr w14:val="tx1"/>
                  </w14:solidFill>
                </w14:textFill>
              </w:rPr>
            </w:pPr>
            <w:bookmarkStart w:id="5" w:name="OLE_LINK8"/>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w:t>
            </w:r>
            <w:bookmarkStart w:id="6" w:name="OLE_LINK6"/>
            <w:bookmarkStart w:id="7" w:name="OLE_LINK7"/>
            <w:r>
              <w:rPr>
                <w:rFonts w:ascii="宋体" w:hAnsi="宋体" w:cs="宋体"/>
                <w:color w:val="000000" w:themeColor="text1"/>
                <w:szCs w:val="21"/>
                <w14:textFill>
                  <w14:solidFill>
                    <w14:schemeClr w14:val="tx1"/>
                  </w14:solidFill>
                </w14:textFill>
              </w:rPr>
              <w:t>供应商享受</w:t>
            </w:r>
            <w:r>
              <w:rPr>
                <w:rFonts w:hint="eastAsia" w:ascii="宋体" w:hAnsi="宋体" w:cs="Courier New"/>
                <w:bCs/>
                <w:color w:val="000000" w:themeColor="text1"/>
                <w14:textFill>
                  <w14:solidFill>
                    <w14:schemeClr w14:val="tx1"/>
                  </w14:solidFill>
                </w14:textFill>
              </w:rPr>
              <w:t>中小企业</w:t>
            </w:r>
            <w:bookmarkStart w:id="8" w:name="OLE_LINK5"/>
            <w:r>
              <w:rPr>
                <w:rFonts w:hint="eastAsia" w:ascii="宋体" w:hAnsi="宋体" w:cs="Courier New"/>
                <w:bCs/>
                <w:color w:val="000000" w:themeColor="text1"/>
                <w14:textFill>
                  <w14:solidFill>
                    <w14:schemeClr w14:val="tx1"/>
                  </w14:solidFill>
                </w14:textFill>
              </w:rPr>
              <w:t>扶持政策</w:t>
            </w:r>
            <w:bookmarkEnd w:id="8"/>
            <w:r>
              <w:rPr>
                <w:rFonts w:hint="eastAsia" w:ascii="宋体" w:hAnsi="宋体" w:cs="Courier New"/>
                <w:bCs/>
                <w:color w:val="000000" w:themeColor="text1"/>
                <w14:textFill>
                  <w14:solidFill>
                    <w14:schemeClr w14:val="tx1"/>
                  </w14:solidFill>
                </w14:textFill>
              </w:rPr>
              <w:t>的材料（</w:t>
            </w:r>
            <w:r>
              <w:rPr>
                <w:rFonts w:hint="eastAsia" w:ascii="宋体" w:hAnsi="宋体"/>
                <w:color w:val="000000" w:themeColor="text1"/>
                <w:szCs w:val="21"/>
                <w14:textFill>
                  <w14:solidFill>
                    <w14:schemeClr w14:val="tx1"/>
                  </w14:solidFill>
                </w14:textFill>
              </w:rPr>
              <w:t>供应商根据自身响应情况</w:t>
            </w:r>
            <w:r>
              <w:rPr>
                <w:rFonts w:hint="eastAsia" w:ascii="宋体" w:hAnsi="宋体"/>
                <w:color w:val="000000" w:themeColor="text1"/>
                <w14:textFill>
                  <w14:solidFill>
                    <w14:schemeClr w14:val="tx1"/>
                  </w14:solidFill>
                </w14:textFill>
              </w:rPr>
              <w:t>，提供以下</w:t>
            </w:r>
            <w:r>
              <w:rPr>
                <w:rFonts w:ascii="宋体" w:hAnsi="宋体"/>
                <w:color w:val="000000" w:themeColor="text1"/>
                <w14:textFill>
                  <w14:solidFill>
                    <w14:schemeClr w14:val="tx1"/>
                  </w14:solidFill>
                </w14:textFill>
              </w:rPr>
              <w:t>任意一项材料以证明自身可享受中小企业</w:t>
            </w:r>
            <w:r>
              <w:rPr>
                <w:rFonts w:hint="eastAsia" w:ascii="宋体" w:hAnsi="宋体" w:cs="Courier New"/>
                <w:bCs/>
                <w:color w:val="000000" w:themeColor="text1"/>
                <w14:textFill>
                  <w14:solidFill>
                    <w14:schemeClr w14:val="tx1"/>
                  </w14:solidFill>
                </w14:textFill>
              </w:rPr>
              <w:t>扶持政策）：</w:t>
            </w:r>
          </w:p>
          <w:p w14:paraId="257367E2">
            <w:pPr>
              <w:spacing w:line="360" w:lineRule="auto"/>
              <w:rPr>
                <w:rFonts w:hint="eastAsia" w:ascii="宋体" w:hAnsi="宋体" w:cs="宋体"/>
                <w:color w:val="000000" w:themeColor="text1"/>
                <w:szCs w:val="21"/>
                <w14:textFill>
                  <w14:solidFill>
                    <w14:schemeClr w14:val="tx1"/>
                  </w14:solidFill>
                </w14:textFill>
              </w:rPr>
            </w:pPr>
            <w:r>
              <w:rPr>
                <w:rFonts w:ascii="宋体" w:hAnsi="宋体" w:cs="Courier New"/>
                <w:bCs/>
                <w:color w:val="000000" w:themeColor="text1"/>
                <w14:textFill>
                  <w14:solidFill>
                    <w14:schemeClr w14:val="tx1"/>
                  </w14:solidFill>
                </w14:textFill>
              </w:rPr>
              <w:t>（</w:t>
            </w:r>
            <w:r>
              <w:rPr>
                <w:rFonts w:hint="eastAsia" w:ascii="宋体" w:hAnsi="宋体" w:cs="Courier New"/>
                <w:bCs/>
                <w:color w:val="000000" w:themeColor="text1"/>
                <w14:textFill>
                  <w14:solidFill>
                    <w14:schemeClr w14:val="tx1"/>
                  </w14:solidFill>
                </w14:textFill>
              </w:rPr>
              <w:t>1</w:t>
            </w:r>
            <w:r>
              <w:rPr>
                <w:rFonts w:ascii="宋体" w:hAnsi="宋体" w:cs="Courier New"/>
                <w:bCs/>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中小企业声明函</w:t>
            </w:r>
            <w:r>
              <w:rPr>
                <w:rFonts w:hint="eastAsia" w:ascii="宋体" w:hAnsi="宋体"/>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（格式后附）；</w:t>
            </w:r>
          </w:p>
          <w:p w14:paraId="5764FD2D">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（2）《残疾人福利性单位声明函》</w:t>
            </w:r>
            <w:r>
              <w:rPr>
                <w:rFonts w:hint="eastAsia" w:ascii="宋体" w:hAnsi="宋体" w:cs="宋体"/>
                <w:color w:val="000000" w:themeColor="text1"/>
                <w:szCs w:val="21"/>
                <w14:textFill>
                  <w14:solidFill>
                    <w14:schemeClr w14:val="tx1"/>
                  </w14:solidFill>
                </w14:textFill>
              </w:rPr>
              <w:t>（格式后附）</w:t>
            </w:r>
          </w:p>
          <w:p w14:paraId="58518A67">
            <w:pPr>
              <w:spacing w:line="360" w:lineRule="auto"/>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olor w:val="000000" w:themeColor="text1"/>
                <w14:textFill>
                  <w14:solidFill>
                    <w14:schemeClr w14:val="tx1"/>
                  </w14:solidFill>
                </w14:textFill>
              </w:rPr>
              <w:t>省级以上监狱管理局、戒毒管理局</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含新疆生产建设兵团</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出具的属于监狱企业的证明文件；</w:t>
            </w:r>
            <w:r>
              <w:rPr>
                <w:rFonts w:hint="eastAsia" w:ascii="宋体" w:hAnsi="宋体" w:cs="宋体"/>
                <w:color w:val="000000" w:themeColor="text1"/>
                <w:szCs w:val="21"/>
                <w14:textFill>
                  <w14:solidFill>
                    <w14:schemeClr w14:val="tx1"/>
                  </w14:solidFill>
                </w14:textFill>
              </w:rPr>
              <w:t xml:space="preserve"> </w:t>
            </w:r>
          </w:p>
          <w:bookmarkEnd w:id="6"/>
          <w:p w14:paraId="4B377034">
            <w:pPr>
              <w:spacing w:line="360" w:lineRule="auto"/>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《关于符合本国产品标准的声明函》或者财政部会同有关部门规定的有关证明文件；（供应商根据自身响应情况出具）</w:t>
            </w:r>
            <w:bookmarkEnd w:id="7"/>
          </w:p>
          <w:p w14:paraId="28D84C1D">
            <w:pPr>
              <w:spacing w:line="360" w:lineRule="auto"/>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.供应商认为需要提供的其他有关资料。</w:t>
            </w:r>
            <w:bookmarkEnd w:id="5"/>
          </w:p>
        </w:tc>
      </w:tr>
      <w:tr w14:paraId="7C0B8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320914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w:t>
            </w:r>
          </w:p>
        </w:tc>
        <w:tc>
          <w:tcPr>
            <w:tcW w:w="7912" w:type="dxa"/>
            <w:vAlign w:val="center"/>
          </w:tcPr>
          <w:p w14:paraId="4371F3E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商务技术文件</w:t>
            </w:r>
          </w:p>
          <w:p w14:paraId="05A7F903">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1.无串通竞标行为的承诺函（格式后附）；（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8088BC2">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AE656A3">
            <w:pPr>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p>
          <w:p w14:paraId="547E72A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.商务要求偏离表（格式后附）；（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2012439">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.售后服务承诺（格式自拟）；（</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50D750F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.货物配置清单（均不含报价）（格式后附）；（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F4AA8D0">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.技术要求偏离表（格式后附）；（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5E8E8B59">
            <w:pPr>
              <w:spacing w:line="360" w:lineRule="auto"/>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.对应采购需求的技术要求、商务要求提供的其他文件资料（格式自拟）；</w:t>
            </w:r>
          </w:p>
          <w:p w14:paraId="1D84BA0A">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.供应商认为需要提供的其他有关资料。</w:t>
            </w:r>
          </w:p>
          <w:p w14:paraId="07E1C9E8">
            <w:pPr>
              <w:snapToGrid w:val="0"/>
              <w:spacing w:line="360" w:lineRule="auto"/>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注：以上标明“必须提供”材料复印件的，必须加盖供应商</w:t>
            </w:r>
            <w:r>
              <w:rPr>
                <w:rFonts w:hint="eastAsia" w:ascii="宋体" w:hAnsi="宋体"/>
                <w:b/>
                <w:bCs/>
                <w:color w:val="000000" w:themeColor="text1"/>
                <w:szCs w:val="2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tc>
      </w:tr>
      <w:tr w14:paraId="5FAD3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1C74DC">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w:t>
            </w:r>
          </w:p>
        </w:tc>
        <w:tc>
          <w:tcPr>
            <w:tcW w:w="7912" w:type="dxa"/>
            <w:vAlign w:val="center"/>
          </w:tcPr>
          <w:p w14:paraId="78BC0232">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竞标报价是履行合同的最终价格。</w:t>
            </w:r>
          </w:p>
        </w:tc>
      </w:tr>
      <w:tr w14:paraId="7FD50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FF23D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r>
              <w:rPr>
                <w:rFonts w:ascii="宋体" w:hAnsi="宋体" w:cs="宋体"/>
                <w:color w:val="000000" w:themeColor="text1"/>
                <w:szCs w:val="21"/>
                <w14:textFill>
                  <w14:solidFill>
                    <w14:schemeClr w14:val="tx1"/>
                  </w14:solidFill>
                </w14:textFill>
              </w:rPr>
              <w:t>2</w:t>
            </w:r>
          </w:p>
        </w:tc>
        <w:tc>
          <w:tcPr>
            <w:tcW w:w="7912" w:type="dxa"/>
            <w:vAlign w:val="center"/>
          </w:tcPr>
          <w:p w14:paraId="610E6211">
            <w:pPr>
              <w:pStyle w:val="6"/>
              <w:widowControl w:val="0"/>
              <w:tabs>
                <w:tab w:val="clear" w:pos="454"/>
              </w:tabs>
              <w:snapToGrid w:val="0"/>
              <w:spacing w:afterLines="0" w:line="360" w:lineRule="auto"/>
              <w:ind w:left="283" w:hanging="283" w:hangingChars="135"/>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kern w:val="2"/>
                <w:sz w:val="21"/>
                <w:szCs w:val="21"/>
                <w14:textFill>
                  <w14:solidFill>
                    <w14:schemeClr w14:val="tx1"/>
                  </w14:solidFill>
                </w14:textFill>
              </w:rPr>
              <w:t>竞标有效期：自首次响应文件提交截止之日起</w:t>
            </w:r>
            <w:r>
              <w:rPr>
                <w:rFonts w:ascii="宋体" w:hAnsi="宋体" w:cs="宋体"/>
                <w:color w:val="000000" w:themeColor="text1"/>
                <w:kern w:val="2"/>
                <w:sz w:val="21"/>
                <w:szCs w:val="21"/>
                <w:u w:val="single"/>
                <w14:textFill>
                  <w14:solidFill>
                    <w14:schemeClr w14:val="tx1"/>
                  </w14:solidFill>
                </w14:textFill>
              </w:rPr>
              <w:t xml:space="preserve"> </w:t>
            </w:r>
            <w:r>
              <w:rPr>
                <w:rFonts w:hint="eastAsia" w:ascii="宋体" w:hAnsi="宋体" w:cs="宋体"/>
                <w:color w:val="000000" w:themeColor="text1"/>
                <w:kern w:val="2"/>
                <w:sz w:val="21"/>
                <w:szCs w:val="21"/>
                <w:u w:val="single"/>
                <w14:textFill>
                  <w14:solidFill>
                    <w14:schemeClr w14:val="tx1"/>
                  </w14:solidFill>
                </w14:textFill>
              </w:rPr>
              <w:t>90</w:t>
            </w:r>
            <w:r>
              <w:rPr>
                <w:rFonts w:ascii="宋体" w:hAnsi="宋体" w:cs="宋体"/>
                <w:color w:val="000000" w:themeColor="text1"/>
                <w:kern w:val="2"/>
                <w:sz w:val="21"/>
                <w:szCs w:val="21"/>
                <w:u w:val="single"/>
                <w14:textFill>
                  <w14:solidFill>
                    <w14:schemeClr w14:val="tx1"/>
                  </w14:solidFill>
                </w14:textFill>
              </w:rPr>
              <w:t xml:space="preserve"> </w:t>
            </w:r>
            <w:r>
              <w:rPr>
                <w:rFonts w:hint="eastAsia" w:ascii="宋体" w:hAnsi="宋体" w:cs="宋体"/>
                <w:color w:val="000000" w:themeColor="text1"/>
                <w:kern w:val="2"/>
                <w:sz w:val="21"/>
                <w:szCs w:val="21"/>
                <w14:textFill>
                  <w14:solidFill>
                    <w14:schemeClr w14:val="tx1"/>
                  </w14:solidFill>
                </w14:textFill>
              </w:rPr>
              <w:t>日。</w:t>
            </w:r>
          </w:p>
        </w:tc>
      </w:tr>
      <w:tr w14:paraId="1E332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BB31101">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w:t>
            </w:r>
          </w:p>
        </w:tc>
        <w:tc>
          <w:tcPr>
            <w:tcW w:w="7912" w:type="dxa"/>
            <w:vAlign w:val="center"/>
          </w:tcPr>
          <w:p w14:paraId="0FA011EF">
            <w:pPr>
              <w:autoSpaceDE w:val="0"/>
              <w:autoSpaceDN w:val="0"/>
              <w:snapToGrid w:val="0"/>
              <w:spacing w:line="360" w:lineRule="auto"/>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□本项目不收取竞标保证金。</w:t>
            </w:r>
          </w:p>
          <w:p w14:paraId="0ADCA4A4">
            <w:pPr>
              <w:snapToGrid w:val="0"/>
              <w:spacing w:line="360" w:lineRule="auto"/>
              <w:rPr>
                <w:rFonts w:hint="eastAsia" w:ascii="宋体" w:hAnsi="宋体"/>
                <w:color w:val="000000" w:themeColor="text1"/>
                <w:szCs w:val="21"/>
                <w14:textFill>
                  <w14:solidFill>
                    <w14:schemeClr w14:val="tx1"/>
                  </w14:solidFill>
                </w14:textFill>
              </w:rPr>
            </w:pPr>
            <w:r>
              <w:rPr>
                <w:rFonts w:hint="eastAsia" w:ascii="MS Mincho" w:hAnsi="MS Mincho" w:eastAsia="MS Mincho" w:cs="MS Mincho"/>
                <w:color w:val="000000" w:themeColor="text1"/>
                <w:highlight w:val="none"/>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本项目收取竞标保证金，具体规定如下：</w:t>
            </w:r>
          </w:p>
          <w:p w14:paraId="4DA4DE80">
            <w:pPr>
              <w:snapToGrid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人民币</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lang w:val="en-US" w:eastAsia="zh-CN"/>
                <w14:textFill>
                  <w14:solidFill>
                    <w14:schemeClr w14:val="tx1"/>
                  </w14:solidFill>
                </w14:textFill>
              </w:rPr>
              <w:t>7</w:t>
            </w:r>
            <w:r>
              <w:rPr>
                <w:rFonts w:hint="eastAsia" w:ascii="宋体" w:hAnsi="宋体" w:cs="宋体"/>
                <w:color w:val="000000" w:themeColor="text1"/>
                <w:kern w:val="0"/>
                <w:szCs w:val="21"/>
                <w:u w:val="single"/>
                <w14:textFill>
                  <w14:solidFill>
                    <w14:schemeClr w14:val="tx1"/>
                  </w14:solidFill>
                </w14:textFill>
              </w:rPr>
              <w:t>000.00</w:t>
            </w:r>
            <w:r>
              <w:rPr>
                <w:rFonts w:hint="eastAsia" w:ascii="宋体" w:hAnsi="宋体" w:cs="宋体"/>
                <w:color w:val="000000" w:themeColor="text1"/>
                <w:kern w:val="0"/>
                <w:szCs w:val="21"/>
                <w14:textFill>
                  <w14:solidFill>
                    <w14:schemeClr w14:val="tx1"/>
                  </w14:solidFill>
                </w14:textFill>
              </w:rPr>
              <w:t>元。</w:t>
            </w:r>
          </w:p>
          <w:p w14:paraId="48F8B3CF">
            <w:pPr>
              <w:snapToGrid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竞标保证金的交纳方式：银行转账、支票、汇票、本票或者银行、保险机构出具的保函，禁止采用现钞方式。采用银行转账方式的，在响应文件提交截止时间前交至指定账户并且到账（开户名称：</w:t>
            </w:r>
            <w:r>
              <w:rPr>
                <w:rFonts w:hint="eastAsia" w:ascii="宋体" w:hAnsi="宋体" w:cs="宋体"/>
                <w:color w:val="000000" w:themeColor="text1"/>
                <w:kern w:val="0"/>
                <w:szCs w:val="21"/>
                <w:u w:val="single"/>
                <w:lang w:eastAsia="zh-CN"/>
                <w14:textFill>
                  <w14:solidFill>
                    <w14:schemeClr w14:val="tx1"/>
                  </w14:solidFill>
                </w14:textFill>
              </w:rPr>
              <w:t>广西城建咨询设计有限公司</w:t>
            </w:r>
            <w:r>
              <w:rPr>
                <w:rFonts w:hint="eastAsia" w:ascii="宋体" w:hAnsi="宋体" w:cs="宋体"/>
                <w:color w:val="000000" w:themeColor="text1"/>
                <w:kern w:val="0"/>
                <w:szCs w:val="21"/>
                <w14:textFill>
                  <w14:solidFill>
                    <w14:schemeClr w14:val="tx1"/>
                  </w14:solidFill>
                </w14:textFill>
              </w:rPr>
              <w:t>，银行账号：</w:t>
            </w:r>
            <w:bookmarkStart w:id="9" w:name="OLE_LINK19"/>
            <w:bookmarkStart w:id="10" w:name="OLE_LINK18"/>
            <w:r>
              <w:rPr>
                <w:rFonts w:hint="eastAsia" w:ascii="宋体" w:hAnsi="宋体" w:cs="宋体"/>
                <w:color w:val="000000" w:themeColor="text1"/>
                <w:kern w:val="0"/>
                <w:szCs w:val="21"/>
                <w:u w:val="single"/>
                <w14:textFill>
                  <w14:solidFill>
                    <w14:schemeClr w14:val="tx1"/>
                  </w14:solidFill>
                </w14:textFill>
              </w:rPr>
              <w:t>4500 1604 6530 5070 3663</w:t>
            </w:r>
            <w:bookmarkEnd w:id="9"/>
            <w:bookmarkEnd w:id="10"/>
            <w:r>
              <w:rPr>
                <w:rFonts w:hint="eastAsia" w:ascii="宋体" w:hAnsi="宋体" w:cs="宋体"/>
                <w:color w:val="000000" w:themeColor="text1"/>
                <w:kern w:val="0"/>
                <w:szCs w:val="21"/>
                <w14:textFill>
                  <w14:solidFill>
                    <w14:schemeClr w14:val="tx1"/>
                  </w14:solidFill>
                </w14:textFill>
              </w:rPr>
              <w:t>，开户银行：</w:t>
            </w:r>
            <w:bookmarkStart w:id="11" w:name="OLE_LINK17"/>
            <w:bookmarkStart w:id="12" w:name="OLE_LINK16"/>
            <w:r>
              <w:rPr>
                <w:rFonts w:hint="eastAsia" w:ascii="宋体" w:hAnsi="宋体" w:cs="宋体"/>
                <w:color w:val="000000" w:themeColor="text1"/>
                <w:kern w:val="0"/>
                <w:szCs w:val="21"/>
                <w:highlight w:val="none"/>
                <w:u w:val="single"/>
                <w14:textFill>
                  <w14:solidFill>
                    <w14:schemeClr w14:val="tx1"/>
                  </w14:solidFill>
                </w14:textFill>
              </w:rPr>
              <w:t>建行南宁民族大道东支行</w:t>
            </w:r>
            <w:bookmarkEnd w:id="11"/>
            <w:bookmarkEnd w:id="12"/>
            <w:r>
              <w:rPr>
                <w:rFonts w:hint="eastAsia" w:ascii="宋体" w:hAnsi="宋体" w:cs="宋体"/>
                <w:color w:val="000000" w:themeColor="text1"/>
                <w:kern w:val="0"/>
                <w:szCs w:val="21"/>
                <w14:textFill>
                  <w14:solidFill>
                    <w14:schemeClr w14:val="tx1"/>
                  </w14:solidFill>
                </w14:textFill>
              </w:rPr>
              <w:t>）；采用支票、汇票、本票或者保函等方式的，在响应文件提交截止时间前，供应商必须提交单独密封的支票、汇票、本票或者保函原件。否则视为无效竞标保证金。</w:t>
            </w:r>
          </w:p>
          <w:p w14:paraId="0816E7D7">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相关要求：</w:t>
            </w:r>
          </w:p>
          <w:p w14:paraId="71C8DC33">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1.竞标保证金采用银行转账交纳方式的，在响应文件提交截止时间前交至指定账户并且到账，供应商应将银行转账底单的复印件作为竞标保证金提交凭证，放置于资格证明文件中，</w:t>
            </w:r>
            <w:r>
              <w:rPr>
                <w:rFonts w:hint="eastAsia" w:ascii="宋体" w:hAnsi="宋体" w:cs="宋体"/>
                <w:b/>
                <w:color w:val="000000" w:themeColor="text1"/>
                <w:szCs w:val="21"/>
                <w14:textFill>
                  <w14:solidFill>
                    <w14:schemeClr w14:val="tx1"/>
                  </w14:solidFill>
                </w14:textFill>
              </w:rPr>
              <w:t>否则响应文件按无效响应处理</w:t>
            </w:r>
            <w:r>
              <w:rPr>
                <w:rFonts w:hint="eastAsia" w:ascii="宋体" w:hAnsi="宋体" w:cs="宋体"/>
                <w:color w:val="000000" w:themeColor="text1"/>
                <w:szCs w:val="21"/>
                <w14:textFill>
                  <w14:solidFill>
                    <w14:schemeClr w14:val="tx1"/>
                  </w14:solidFill>
                </w14:textFill>
              </w:rPr>
              <w:t>。</w:t>
            </w:r>
          </w:p>
          <w:p w14:paraId="41B47A1A">
            <w:pPr>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保证金采用支票、汇票、本票或者金融、担保机构出具的保函交纳方式的，供应商应将支票、汇票、本票或者金融、担保机构出具的保函的复印件作为</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保证金提交凭证，放置于</w:t>
            </w:r>
            <w:r>
              <w:rPr>
                <w:rFonts w:hint="eastAsia" w:ascii="宋体" w:hAnsi="宋体" w:cs="宋体"/>
                <w:color w:val="000000" w:themeColor="text1"/>
                <w:szCs w:val="21"/>
                <w:highlight w:val="none"/>
                <w:lang w:val="en-US"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中，</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olor w:val="000000" w:themeColor="text1"/>
                <w:szCs w:val="21"/>
                <w:highlight w:val="none"/>
                <w14:textFill>
                  <w14:solidFill>
                    <w14:schemeClr w14:val="tx1"/>
                  </w14:solidFill>
                </w14:textFill>
              </w:rPr>
              <w:t>。供应商必须在响应文件提交截止时间前将支票、汇票、本票或者金融、担保机构出具的保函原件（电子保函除外）提交给采购代理机构，由采购代理机构向供应商出具回执，并妥善保管</w:t>
            </w:r>
            <w:r>
              <w:rPr>
                <w:rFonts w:hint="eastAsia" w:ascii="宋体" w:hAnsi="宋体"/>
                <w:color w:val="000000" w:themeColor="text1"/>
                <w:szCs w:val="21"/>
                <w14:textFill>
                  <w14:solidFill>
                    <w14:schemeClr w14:val="tx1"/>
                  </w14:solidFill>
                </w14:textFill>
              </w:rPr>
              <w:t>。</w:t>
            </w:r>
          </w:p>
          <w:p w14:paraId="43BD0EBD">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3.供应商为联合体的，可以由联合体中的一方或者多方共同交纳竞标保证金，其交纳的保证金对联合体各方均具有约束力。</w:t>
            </w:r>
          </w:p>
          <w:p w14:paraId="46EB3397">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备注： </w:t>
            </w:r>
          </w:p>
          <w:p w14:paraId="4826F3E8">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1.竞标保证金在响应文件提交截止时间后提交的，或者不按规定交纳方式交纳的，或者未足额交纳的（包含保函额度不足的），视为无效竞标保证金。</w:t>
            </w:r>
          </w:p>
          <w:p w14:paraId="1967F322">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2.供应商采用现钞方式或者从个人账户（自然人竞标除外）转出的竞标保证金，视为无效竞标保证金。</w:t>
            </w:r>
          </w:p>
          <w:p w14:paraId="43E72FC0">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3.支票、汇票或者本票出现无效或者背书情形的，视为无效竞标保证金。</w:t>
            </w:r>
          </w:p>
          <w:p w14:paraId="171FAEC5">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4.保函有效期低于竞标有效期的，视为无效竞标保证金。</w:t>
            </w:r>
          </w:p>
          <w:p w14:paraId="35808320">
            <w:pPr>
              <w:snapToGrid w:val="0"/>
              <w:spacing w:line="360" w:lineRule="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5.竞标保证金采用银行、保险机构出具的保函为有条件保函的，视为无效竞标保证金。</w:t>
            </w:r>
          </w:p>
        </w:tc>
      </w:tr>
      <w:tr w14:paraId="5A1DD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B92B636">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7912" w:type="dxa"/>
            <w:vAlign w:val="center"/>
          </w:tcPr>
          <w:p w14:paraId="3664F528">
            <w:pPr>
              <w:autoSpaceDE w:val="0"/>
              <w:autoSpaceDN w:val="0"/>
              <w:adjustRightInd w:val="0"/>
              <w:spacing w:line="360" w:lineRule="auto"/>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1A962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656E11D">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20.1</w:t>
            </w:r>
          </w:p>
        </w:tc>
        <w:tc>
          <w:tcPr>
            <w:tcW w:w="7912" w:type="dxa"/>
            <w:vAlign w:val="center"/>
          </w:tcPr>
          <w:p w14:paraId="0E06F9B8">
            <w:pPr>
              <w:snapToGrid w:val="0"/>
              <w:spacing w:line="360" w:lineRule="auto"/>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响应文件提交起止时间：详见竞争性谈判公告。</w:t>
            </w:r>
          </w:p>
          <w:p w14:paraId="3CA6B5B3">
            <w:pPr>
              <w:spacing w:line="360" w:lineRule="auto"/>
              <w:contextualSpacing/>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响应文件提交截止时间：详见竞争性谈判公告。</w:t>
            </w:r>
          </w:p>
          <w:p w14:paraId="62957429">
            <w:pPr>
              <w:spacing w:line="360" w:lineRule="auto"/>
              <w:contextualSpacing/>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响应文件提交地点：详见竞争性谈判公告。</w:t>
            </w:r>
          </w:p>
        </w:tc>
      </w:tr>
      <w:tr w14:paraId="630DF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0174F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w:t>
            </w:r>
          </w:p>
        </w:tc>
        <w:tc>
          <w:tcPr>
            <w:tcW w:w="7912" w:type="dxa"/>
            <w:vAlign w:val="center"/>
          </w:tcPr>
          <w:p w14:paraId="0BF221F9">
            <w:pPr>
              <w:snapToGrid w:val="0"/>
              <w:spacing w:line="360" w:lineRule="auto"/>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谈判小组的人数：</w:t>
            </w:r>
            <w:r>
              <w:rPr>
                <w:rFonts w:hint="eastAsia" w:ascii="宋体" w:hAnsi="宋体" w:cs="宋体"/>
                <w:color w:val="000000" w:themeColor="text1"/>
                <w:szCs w:val="21"/>
                <w:u w:val="single"/>
                <w14:textFill>
                  <w14:solidFill>
                    <w14:schemeClr w14:val="tx1"/>
                  </w14:solidFill>
                </w14:textFill>
              </w:rPr>
              <w:t xml:space="preserve"> 3 </w:t>
            </w:r>
            <w:r>
              <w:rPr>
                <w:rFonts w:hint="eastAsia" w:ascii="宋体" w:hAnsi="宋体" w:cs="宋体"/>
                <w:color w:val="000000" w:themeColor="text1"/>
                <w:szCs w:val="21"/>
                <w14:textFill>
                  <w14:solidFill>
                    <w14:schemeClr w14:val="tx1"/>
                  </w14:solidFill>
                </w14:textFill>
              </w:rPr>
              <w:t>人。</w:t>
            </w:r>
          </w:p>
        </w:tc>
      </w:tr>
      <w:tr w14:paraId="15619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992" w:type="dxa"/>
            <w:vAlign w:val="center"/>
          </w:tcPr>
          <w:p w14:paraId="2AD3A7AC">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5</w:t>
            </w:r>
          </w:p>
        </w:tc>
        <w:tc>
          <w:tcPr>
            <w:tcW w:w="7912" w:type="dxa"/>
            <w:vAlign w:val="center"/>
          </w:tcPr>
          <w:p w14:paraId="14D42FE7">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首次响应文件开启时间详见“竞争性谈判公告”</w:t>
            </w:r>
          </w:p>
          <w:p w14:paraId="2B3E7029">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 xml:space="preserve"> </w:t>
            </w:r>
            <w:r>
              <w:rPr>
                <w:rFonts w:hint="eastAsia" w:hAnsi="宋体"/>
                <w:color w:val="000000" w:themeColor="text1"/>
                <w:u w:val="single"/>
                <w:lang w:val="en-US" w:eastAsia="zh-CN"/>
                <w14:textFill>
                  <w14:solidFill>
                    <w14:schemeClr w14:val="tx1"/>
                  </w14:solidFill>
                </w14:textFill>
              </w:rPr>
              <w:t>30</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分钟</w:t>
            </w:r>
          </w:p>
        </w:tc>
      </w:tr>
      <w:tr w14:paraId="36AFB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5B79E202">
            <w:pPr>
              <w:spacing w:line="360" w:lineRule="auto"/>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p>
        </w:tc>
        <w:tc>
          <w:tcPr>
            <w:tcW w:w="7912" w:type="dxa"/>
            <w:vAlign w:val="center"/>
          </w:tcPr>
          <w:p w14:paraId="6DE04968">
            <w:pPr>
              <w:spacing w:line="360" w:lineRule="auto"/>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评审价相同时，按照最后报价由低到高顺序依次推荐；最后报价相同时，按节能、环保产品累计金额由高到低顺序依次推荐；节能、环保产品累计金额也相同时，按以下原则确定成交候选人的顺序：</w:t>
            </w:r>
          </w:p>
          <w:p w14:paraId="506CFD16">
            <w:pPr>
              <w:spacing w:line="360" w:lineRule="auto"/>
              <w:contextualSpacing/>
              <w:rPr>
                <w:rFonts w:hint="eastAsia" w:ascii="宋体" w:hAnsi="宋体" w:cs="宋体"/>
                <w:iCs/>
                <w:color w:val="000000" w:themeColor="text1"/>
                <w:szCs w:val="21"/>
                <w14:textFill>
                  <w14:solidFill>
                    <w14:schemeClr w14:val="tx1"/>
                  </w14:solidFill>
                </w14:textFill>
              </w:rPr>
            </w:pPr>
            <w:r>
              <w:rPr>
                <w:rFonts w:hint="eastAsia" w:ascii="MS Mincho" w:hAnsi="MS Mincho" w:eastAsia="MS Mincho" w:cs="MS Mincho"/>
                <w:color w:val="000000" w:themeColor="text1"/>
                <w:highlight w:val="none"/>
                <w14:textFill>
                  <w14:solidFill>
                    <w14:schemeClr w14:val="tx1"/>
                  </w14:solidFill>
                </w14:textFill>
              </w:rPr>
              <w:t>☑带“▲”的实质性要求正偏离项数多的优先、均无正偏离或者正偏离项数一致时负偏离项数少的优先、保修期（即质保期）长优先、交货期短优先、售后服务方案优的优先、故障响应时间短优先的顺序推荐</w:t>
            </w:r>
            <w:r>
              <w:rPr>
                <w:rFonts w:hint="eastAsia" w:ascii="宋体" w:hAnsi="宋体" w:cs="宋体"/>
                <w:iCs/>
                <w:color w:val="000000" w:themeColor="text1"/>
                <w:szCs w:val="21"/>
                <w14:textFill>
                  <w14:solidFill>
                    <w14:schemeClr w14:val="tx1"/>
                  </w14:solidFill>
                </w14:textFill>
              </w:rPr>
              <w:t>。</w:t>
            </w:r>
          </w:p>
          <w:p w14:paraId="00361AD3">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iCs/>
                <w:color w:val="000000" w:themeColor="text1"/>
                <w:szCs w:val="21"/>
                <w14:textFill>
                  <w14:solidFill>
                    <w14:schemeClr w14:val="tx1"/>
                  </w14:solidFill>
                </w14:textFill>
              </w:rPr>
              <w:t>□由谈判小组推荐代表随机抽取。</w:t>
            </w:r>
          </w:p>
        </w:tc>
      </w:tr>
      <w:tr w14:paraId="60CB5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F26A19F">
            <w:pPr>
              <w:spacing w:line="360" w:lineRule="auto"/>
              <w:jc w:val="center"/>
              <w:rPr>
                <w:rFonts w:hint="eastAsia" w:ascii="宋体" w:hAnsi="宋体" w:cs="宋体"/>
                <w:color w:val="000000" w:themeColor="text1"/>
                <w:szCs w:val="21"/>
                <w14:textFill>
                  <w14:solidFill>
                    <w14:schemeClr w14:val="tx1"/>
                  </w14:solidFill>
                </w14:textFill>
              </w:rPr>
            </w:pPr>
          </w:p>
        </w:tc>
        <w:tc>
          <w:tcPr>
            <w:tcW w:w="7912" w:type="dxa"/>
            <w:vAlign w:val="center"/>
          </w:tcPr>
          <w:p w14:paraId="58131C97">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hint="eastAsia" w:ascii="宋体" w:hAnsi="宋体" w:cs="宋体"/>
                <w:color w:val="000000" w:themeColor="text1"/>
                <w:szCs w:val="21"/>
                <w:u w:val="single"/>
                <w14:textFill>
                  <w14:solidFill>
                    <w14:schemeClr w14:val="tx1"/>
                  </w14:solidFill>
                </w14:textFill>
              </w:rPr>
              <w:t xml:space="preserve"> 0 </w:t>
            </w:r>
            <w:r>
              <w:rPr>
                <w:rFonts w:hint="eastAsia" w:ascii="宋体" w:hAnsi="宋体" w:cs="宋体"/>
                <w:color w:val="000000" w:themeColor="text1"/>
                <w:szCs w:val="21"/>
                <w14:textFill>
                  <w14:solidFill>
                    <w14:schemeClr w14:val="tx1"/>
                  </w14:solidFill>
                </w14:textFill>
              </w:rPr>
              <w:t>项。</w:t>
            </w:r>
          </w:p>
          <w:p w14:paraId="703C9FCC">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hint="eastAsia" w:ascii="宋体" w:hAnsi="宋体" w:cs="宋体"/>
                <w:color w:val="000000" w:themeColor="text1"/>
                <w:szCs w:val="21"/>
                <w:u w:val="single"/>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项。</w:t>
            </w:r>
          </w:p>
        </w:tc>
      </w:tr>
      <w:tr w14:paraId="02E97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04CAD6">
            <w:pPr>
              <w:spacing w:line="360" w:lineRule="auto"/>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76E67A29">
            <w:pPr>
              <w:autoSpaceDE w:val="0"/>
              <w:autoSpaceDN w:val="0"/>
              <w:snapToGrid w:val="0"/>
              <w:spacing w:line="360" w:lineRule="auto"/>
              <w:textAlignment w:val="bottom"/>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本项目不收取履约保证金</w:t>
            </w:r>
            <w:r>
              <w:rPr>
                <w:rFonts w:hint="eastAsia" w:ascii="宋体" w:hAnsi="宋体" w:cs="宋体"/>
                <w:color w:val="000000" w:themeColor="text1"/>
                <w:szCs w:val="21"/>
                <w:lang w:eastAsia="zh-CN"/>
                <w14:textFill>
                  <w14:solidFill>
                    <w14:schemeClr w14:val="tx1"/>
                  </w14:solidFill>
                </w14:textFill>
              </w:rPr>
              <w:t>。</w:t>
            </w:r>
          </w:p>
        </w:tc>
      </w:tr>
      <w:tr w14:paraId="58DBA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C7549F">
            <w:pPr>
              <w:spacing w:line="360" w:lineRule="auto"/>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.1</w:t>
            </w:r>
          </w:p>
        </w:tc>
        <w:tc>
          <w:tcPr>
            <w:tcW w:w="7912" w:type="dxa"/>
            <w:vAlign w:val="center"/>
          </w:tcPr>
          <w:p w14:paraId="0A0643D0">
            <w:pPr>
              <w:autoSpaceDE w:val="0"/>
              <w:autoSpaceDN w:val="0"/>
              <w:snapToGrid w:val="0"/>
              <w:spacing w:line="360" w:lineRule="auto"/>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签订合同携带的证明材料： </w:t>
            </w:r>
          </w:p>
          <w:p w14:paraId="2D644A32">
            <w:pPr>
              <w:autoSpaceDE w:val="0"/>
              <w:autoSpaceDN w:val="0"/>
              <w:snapToGrid w:val="0"/>
              <w:spacing w:line="360" w:lineRule="auto"/>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7B7F2C83">
            <w:pPr>
              <w:snapToGrid w:val="0"/>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等其他证明材料。</w:t>
            </w:r>
          </w:p>
        </w:tc>
      </w:tr>
      <w:tr w14:paraId="681C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CC8607C">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1.2</w:t>
            </w:r>
          </w:p>
        </w:tc>
        <w:tc>
          <w:tcPr>
            <w:tcW w:w="7912" w:type="dxa"/>
            <w:vAlign w:val="center"/>
          </w:tcPr>
          <w:p w14:paraId="2E2A80DD">
            <w:pPr>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接收质疑函方式：以书面形式。</w:t>
            </w:r>
          </w:p>
          <w:p w14:paraId="2F9E7607">
            <w:pPr>
              <w:pStyle w:val="12"/>
              <w:snapToGrid w:val="0"/>
              <w:spacing w:line="360" w:lineRule="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质疑联系部门及联系方式：</w:t>
            </w:r>
            <w:r>
              <w:rPr>
                <w:rFonts w:hint="eastAsia" w:ascii="宋体" w:hAnsi="宋体" w:eastAsia="宋体" w:cs="宋体"/>
                <w:color w:val="000000" w:themeColor="text1"/>
                <w:kern w:val="2"/>
                <w:sz w:val="21"/>
                <w:szCs w:val="21"/>
                <w:lang w:eastAsia="zh-CN"/>
                <w14:textFill>
                  <w14:solidFill>
                    <w14:schemeClr w14:val="tx1"/>
                  </w14:solidFill>
                </w14:textFill>
              </w:rPr>
              <w:t>广西城建咨询设计有限公司</w:t>
            </w:r>
            <w:r>
              <w:rPr>
                <w:rFonts w:hint="eastAsia" w:ascii="宋体" w:hAnsi="宋体" w:eastAsia="宋体" w:cs="宋体"/>
                <w:color w:val="000000" w:themeColor="text1"/>
                <w:kern w:val="2"/>
                <w:sz w:val="21"/>
                <w:szCs w:val="21"/>
                <w:lang w:val="en-US" w:eastAsia="zh-CN"/>
                <w14:textFill>
                  <w14:solidFill>
                    <w14:schemeClr w14:val="tx1"/>
                  </w14:solidFill>
                </w14:textFill>
              </w:rPr>
              <w:t>玉林分公司</w:t>
            </w:r>
            <w:r>
              <w:rPr>
                <w:rFonts w:hint="eastAsia" w:ascii="宋体" w:hAnsi="宋体" w:eastAsia="宋体" w:cs="宋体"/>
                <w:color w:val="000000" w:themeColor="text1"/>
                <w:kern w:val="2"/>
                <w:sz w:val="21"/>
                <w:szCs w:val="21"/>
                <w14:textFill>
                  <w14:solidFill>
                    <w14:schemeClr w14:val="tx1"/>
                  </w14:solidFill>
                </w14:textFill>
              </w:rPr>
              <w:t>，联系电话：</w:t>
            </w:r>
            <w:r>
              <w:rPr>
                <w:rFonts w:hint="eastAsia" w:ascii="宋体" w:hAnsi="宋体" w:eastAsia="宋体" w:cs="宋体"/>
                <w:color w:val="000000" w:themeColor="text1"/>
                <w:kern w:val="2"/>
                <w:sz w:val="21"/>
                <w:szCs w:val="21"/>
                <w:lang w:val="en-US" w:eastAsia="zh-CN"/>
                <w14:textFill>
                  <w14:solidFill>
                    <w14:schemeClr w14:val="tx1"/>
                  </w14:solidFill>
                </w14:textFill>
              </w:rPr>
              <w:t>0775-2688077</w:t>
            </w:r>
            <w:r>
              <w:rPr>
                <w:rFonts w:hint="eastAsia" w:ascii="宋体" w:hAnsi="宋体" w:eastAsia="宋体" w:cs="宋体"/>
                <w:color w:val="000000" w:themeColor="text1"/>
                <w:kern w:val="2"/>
                <w:sz w:val="21"/>
                <w:szCs w:val="21"/>
                <w14:textFill>
                  <w14:solidFill>
                    <w14:schemeClr w14:val="tx1"/>
                  </w14:solidFill>
                </w14:textFill>
              </w:rPr>
              <w:t>，通讯地址：</w:t>
            </w:r>
            <w:r>
              <w:rPr>
                <w:rFonts w:hint="eastAsia" w:ascii="宋体" w:hAnsi="宋体" w:eastAsia="宋体" w:cs="宋体"/>
                <w:color w:val="000000" w:themeColor="text1"/>
                <w:sz w:val="21"/>
                <w:szCs w:val="21"/>
                <w14:textFill>
                  <w14:solidFill>
                    <w14:schemeClr w14:val="tx1"/>
                  </w14:solidFill>
                </w14:textFill>
              </w:rPr>
              <w:t>玉林市万良路388号三楼</w:t>
            </w:r>
          </w:p>
          <w:p w14:paraId="6D22B8EA">
            <w:pPr>
              <w:pStyle w:val="12"/>
              <w:snapToGrid w:val="0"/>
              <w:spacing w:line="360" w:lineRule="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现场提交质疑办理业务时间：每天</w:t>
            </w:r>
            <w:r>
              <w:rPr>
                <w:rFonts w:hint="eastAsia" w:ascii="宋体" w:hAnsi="宋体" w:eastAsia="宋体" w:cs="宋体"/>
                <w:color w:val="000000" w:themeColor="text1"/>
                <w:kern w:val="2"/>
                <w:sz w:val="21"/>
                <w:szCs w:val="21"/>
                <w:lang w:val="en-US" w:eastAsia="zh-CN"/>
                <w14:textFill>
                  <w14:solidFill>
                    <w14:schemeClr w14:val="tx1"/>
                  </w14:solidFill>
                </w14:textFill>
              </w:rPr>
              <w:t>9</w:t>
            </w:r>
            <w:r>
              <w:rPr>
                <w:rFonts w:hint="eastAsia" w:ascii="宋体" w:hAnsi="宋体" w:eastAsia="宋体" w:cs="宋体"/>
                <w:color w:val="000000" w:themeColor="text1"/>
                <w:kern w:val="2"/>
                <w:sz w:val="21"/>
                <w:szCs w:val="21"/>
                <w14:textFill>
                  <w14:solidFill>
                    <w14:schemeClr w14:val="tx1"/>
                  </w14:solidFill>
                </w14:textFill>
              </w:rPr>
              <w:t>时00分到12时00分，15时00分到18时 00分，业务时间以外、双休日和法定节假日不办理业务。</w:t>
            </w:r>
          </w:p>
        </w:tc>
      </w:tr>
      <w:tr w14:paraId="5C3FF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25CEA0">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p>
        </w:tc>
        <w:tc>
          <w:tcPr>
            <w:tcW w:w="7912" w:type="dxa"/>
            <w:vAlign w:val="center"/>
          </w:tcPr>
          <w:p w14:paraId="1D74925D">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1.采购代理费支付方式：</w:t>
            </w:r>
          </w:p>
          <w:p w14:paraId="1C1FC324">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本项目代理服务费由成交供应商一次性向采购代理机构支付。</w:t>
            </w:r>
          </w:p>
          <w:p w14:paraId="098E0F41">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□采购人支付。</w:t>
            </w:r>
          </w:p>
          <w:p w14:paraId="29EBD58E">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2.采购代理费收取标准：</w:t>
            </w:r>
          </w:p>
          <w:p w14:paraId="5A339E3A">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szCs w:val="21"/>
              </w:rPr>
              <w:t>以成交金额为计费额</w:t>
            </w:r>
            <w:r>
              <w:rPr>
                <w:rFonts w:hint="eastAsia" w:ascii="宋体" w:hAnsi="宋体" w:cs="宋体"/>
                <w:szCs w:val="21"/>
                <w:lang w:eastAsia="zh-CN"/>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参考国家发展计划委员会文件关于印发《招标代理服务收费管理暂行办法》的通知（计价格〔2002〕1980号）和《国家发展改革委关于降低部分建设项目收费标准规范收费行为等有关问题的通知》（发改价格〔2011〕534号）“货物招标”收费标准的100%收取采购代理服务费。</w:t>
            </w:r>
          </w:p>
          <w:p w14:paraId="051AE0B7">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 采购代理费收取银行账户</w:t>
            </w:r>
          </w:p>
          <w:p w14:paraId="732B9109">
            <w:pPr>
              <w:pStyle w:val="12"/>
              <w:snapToGrid w:val="0"/>
              <w:spacing w:line="36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开户名称：</w:t>
            </w:r>
            <w:r>
              <w:rPr>
                <w:rFonts w:hint="eastAsia" w:ascii="宋体" w:hAnsi="宋体" w:eastAsia="宋体" w:cs="宋体"/>
                <w:color w:val="000000" w:themeColor="text1"/>
                <w:sz w:val="21"/>
                <w:szCs w:val="21"/>
                <w:lang w:eastAsia="zh-CN"/>
                <w14:textFill>
                  <w14:solidFill>
                    <w14:schemeClr w14:val="tx1"/>
                  </w14:solidFill>
                </w14:textFill>
              </w:rPr>
              <w:t>广西城建咨询设计有限公司</w:t>
            </w:r>
          </w:p>
          <w:p w14:paraId="1435847A">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银行账号：</w:t>
            </w:r>
            <w:r>
              <w:rPr>
                <w:rFonts w:hint="eastAsia" w:ascii="宋体" w:hAnsi="宋体" w:eastAsia="宋体" w:cs="宋体"/>
                <w:color w:val="000000" w:themeColor="text1"/>
                <w:sz w:val="21"/>
                <w:szCs w:val="21"/>
                <w:highlight w:val="none"/>
                <w:u w:val="none"/>
                <w14:textFill>
                  <w14:solidFill>
                    <w14:schemeClr w14:val="tx1"/>
                  </w14:solidFill>
                </w14:textFill>
              </w:rPr>
              <w:t>4505 0160 4783 0000 0080</w:t>
            </w:r>
          </w:p>
          <w:p w14:paraId="207E1B11">
            <w:pPr>
              <w:pStyle w:val="12"/>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开户银行：建设银行南宁锦春支行</w:t>
            </w:r>
          </w:p>
        </w:tc>
      </w:tr>
      <w:tr w14:paraId="49873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CB8DF9">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3.1</w:t>
            </w:r>
          </w:p>
        </w:tc>
        <w:tc>
          <w:tcPr>
            <w:tcW w:w="7912" w:type="dxa"/>
            <w:vAlign w:val="center"/>
          </w:tcPr>
          <w:p w14:paraId="25124900">
            <w:pPr>
              <w:pStyle w:val="12"/>
              <w:snapToGrid w:val="0"/>
              <w:spacing w:line="360" w:lineRule="auto"/>
              <w:rPr>
                <w:rFonts w:hint="eastAsia"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解释：</w:t>
            </w:r>
            <w:r>
              <w:rPr>
                <w:rFonts w:hAnsi="宋体" w:cs="宋体"/>
                <w:color w:val="000000" w:themeColor="text1"/>
                <w:sz w:val="21"/>
                <w14:textFill>
                  <w14:solidFill>
                    <w14:schemeClr w14:val="tx1"/>
                  </w14:solidFill>
                </w14:textFill>
              </w:rPr>
              <w:t>构成本</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的各个组成文件应互为解释，互为说明；除</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中有特别规定外，仅适用于</w:t>
            </w:r>
            <w:r>
              <w:rPr>
                <w:rFonts w:hint="eastAsia" w:hAnsi="宋体" w:cs="宋体"/>
                <w:color w:val="000000" w:themeColor="text1"/>
                <w:sz w:val="21"/>
                <w14:textFill>
                  <w14:solidFill>
                    <w14:schemeClr w14:val="tx1"/>
                  </w14:solidFill>
                </w14:textFill>
              </w:rPr>
              <w:t>竞标</w:t>
            </w:r>
            <w:r>
              <w:rPr>
                <w:rFonts w:hAnsi="宋体" w:cs="宋体"/>
                <w:color w:val="000000" w:themeColor="text1"/>
                <w:sz w:val="21"/>
                <w14:textFill>
                  <w14:solidFill>
                    <w14:schemeClr w14:val="tx1"/>
                  </w14:solidFill>
                </w14:textFill>
              </w:rPr>
              <w:t>阶段的规定，按</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竞争性谈判</w:t>
            </w:r>
            <w:r>
              <w:rPr>
                <w:rFonts w:hAnsi="宋体" w:cs="宋体"/>
                <w:color w:val="000000" w:themeColor="text1"/>
                <w:sz w:val="21"/>
                <w14:textFill>
                  <w14:solidFill>
                    <w14:schemeClr w14:val="tx1"/>
                  </w14:solidFill>
                </w14:textFill>
              </w:rPr>
              <w:t>公告、</w:t>
            </w:r>
            <w:r>
              <w:rPr>
                <w:rFonts w:hint="eastAsia" w:hAnsi="宋体" w:cs="宋体"/>
                <w:color w:val="000000" w:themeColor="text1"/>
                <w:sz w:val="21"/>
                <w14:textFill>
                  <w14:solidFill>
                    <w14:schemeClr w14:val="tx1"/>
                  </w14:solidFill>
                </w14:textFill>
              </w:rPr>
              <w:t>供应商</w:t>
            </w:r>
            <w:r>
              <w:rPr>
                <w:rFonts w:hAnsi="宋体" w:cs="宋体"/>
                <w:color w:val="000000" w:themeColor="text1"/>
                <w:sz w:val="21"/>
                <w14:textFill>
                  <w14:solidFill>
                    <w14:schemeClr w14:val="tx1"/>
                  </w14:solidFill>
                </w14:textFill>
              </w:rPr>
              <w:t>须知</w:t>
            </w:r>
            <w:r>
              <w:rPr>
                <w:rFonts w:hint="eastAsia" w:hAnsi="宋体" w:cs="宋体"/>
                <w:color w:val="000000" w:themeColor="text1"/>
                <w:sz w:val="21"/>
                <w14:textFill>
                  <w14:solidFill>
                    <w14:schemeClr w14:val="tx1"/>
                  </w14:solidFill>
                </w14:textFill>
              </w:rPr>
              <w:t>、采购需求</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评审程序和评定成交的标准</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响应</w:t>
            </w:r>
            <w:r>
              <w:rPr>
                <w:rFonts w:hAnsi="宋体" w:cs="宋体"/>
                <w:color w:val="000000" w:themeColor="text1"/>
                <w:sz w:val="21"/>
                <w14:textFill>
                  <w14:solidFill>
                    <w14:schemeClr w14:val="tx1"/>
                  </w14:solidFill>
                </w14:textFill>
              </w:rPr>
              <w:t>文件格式</w:t>
            </w:r>
            <w:r>
              <w:rPr>
                <w:rFonts w:hint="eastAsia" w:hAnsi="宋体" w:cs="宋体"/>
                <w:color w:val="000000" w:themeColor="text1"/>
                <w:sz w:val="21"/>
                <w14:textFill>
                  <w14:solidFill>
                    <w14:schemeClr w14:val="tx1"/>
                  </w14:solidFill>
                </w14:textFill>
              </w:rPr>
              <w:t>、合同文本</w:t>
            </w:r>
            <w:r>
              <w:rPr>
                <w:rFonts w:hAnsi="宋体" w:cs="宋体"/>
                <w:color w:val="000000" w:themeColor="text1"/>
                <w:sz w:val="21"/>
                <w14:textFill>
                  <w14:solidFill>
                    <w14:schemeClr w14:val="tx1"/>
                  </w14:solidFill>
                </w14:textFill>
              </w:rPr>
              <w:t>的先后顺序解释；同一组成文件中就同一事项的规定或约定不一致的，以编排顺序在后者为准；同一组成文件不同版本之间有不一致的，以形成时间在后者为准；</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与同步更新的</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不一致时以</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为准。按本款前述规定仍不能形成结论的，由</w:t>
            </w:r>
            <w:r>
              <w:rPr>
                <w:rFonts w:hint="eastAsia" w:hAnsi="宋体" w:cs="宋体"/>
                <w:color w:val="000000" w:themeColor="text1"/>
                <w:sz w:val="21"/>
                <w14:textFill>
                  <w14:solidFill>
                    <w14:schemeClr w14:val="tx1"/>
                  </w14:solidFill>
                </w14:textFill>
              </w:rPr>
              <w:t>采购</w:t>
            </w:r>
            <w:r>
              <w:rPr>
                <w:rFonts w:hAnsi="宋体" w:cs="宋体"/>
                <w:color w:val="000000" w:themeColor="text1"/>
                <w:sz w:val="21"/>
                <w14:textFill>
                  <w14:solidFill>
                    <w14:schemeClr w14:val="tx1"/>
                  </w14:solidFill>
                </w14:textFill>
              </w:rPr>
              <w:t>人</w:t>
            </w:r>
            <w:r>
              <w:rPr>
                <w:rFonts w:hint="eastAsia" w:hAnsi="宋体" w:cs="宋体"/>
                <w:color w:val="000000" w:themeColor="text1"/>
                <w:sz w:val="21"/>
                <w14:textFill>
                  <w14:solidFill>
                    <w14:schemeClr w14:val="tx1"/>
                  </w14:solidFill>
                </w14:textFill>
              </w:rPr>
              <w:t>或者采购代理机构</w:t>
            </w:r>
            <w:r>
              <w:rPr>
                <w:rFonts w:hAnsi="宋体" w:cs="宋体"/>
                <w:color w:val="000000" w:themeColor="text1"/>
                <w:sz w:val="21"/>
                <w14:textFill>
                  <w14:solidFill>
                    <w14:schemeClr w14:val="tx1"/>
                  </w14:solidFill>
                </w14:textFill>
              </w:rPr>
              <w:t>负责解释。</w:t>
            </w:r>
          </w:p>
        </w:tc>
      </w:tr>
      <w:tr w14:paraId="14704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BC6FEC">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3.2</w:t>
            </w:r>
          </w:p>
        </w:tc>
        <w:tc>
          <w:tcPr>
            <w:tcW w:w="7912" w:type="dxa"/>
            <w:vAlign w:val="center"/>
          </w:tcPr>
          <w:p w14:paraId="4F1E94EA">
            <w:pPr>
              <w:pStyle w:val="12"/>
              <w:snapToGrid w:val="0"/>
              <w:spacing w:line="360" w:lineRule="auto"/>
              <w:rPr>
                <w:rFonts w:hint="eastAsia"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6343A93A">
            <w:pPr>
              <w:pStyle w:val="12"/>
              <w:snapToGrid w:val="0"/>
              <w:spacing w:line="360" w:lineRule="auto"/>
              <w:rPr>
                <w:rFonts w:hint="eastAsia"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2.本谈判文件所称的“</w:t>
            </w:r>
            <w:r>
              <w:rPr>
                <w:rFonts w:hint="eastAsia" w:hAnsi="宋体"/>
                <w:color w:val="000000" w:themeColor="text1"/>
                <w:sz w:val="21"/>
                <w14:textFill>
                  <w14:solidFill>
                    <w14:schemeClr w14:val="tx1"/>
                  </w14:solidFill>
                </w14:textFill>
              </w:rPr>
              <w:t>电子签章”“</w:t>
            </w:r>
            <w:r>
              <w:rPr>
                <w:rFonts w:hint="eastAsia" w:hAnsi="宋体" w:cs="宋体"/>
                <w:bCs/>
                <w:color w:val="000000" w:themeColor="text1"/>
                <w:sz w:val="21"/>
                <w14:textFill>
                  <w14:solidFill>
                    <w14:schemeClr w14:val="tx1"/>
                  </w14:solidFill>
                </w14:textFill>
              </w:rPr>
              <w:t>电子签名”</w:t>
            </w:r>
            <w:r>
              <w:rPr>
                <w:rFonts w:hint="eastAsia" w:hAnsi="宋体"/>
                <w:color w:val="000000" w:themeColor="text1"/>
                <w:sz w:val="21"/>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35BFF634">
            <w:pPr>
              <w:pStyle w:val="12"/>
              <w:snapToGrid w:val="0"/>
              <w:spacing w:line="360" w:lineRule="auto"/>
              <w:rPr>
                <w:rFonts w:hint="eastAsia" w:hAnsi="宋体" w:cs="宋体"/>
                <w:bCs/>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3.供应商为其他组织或者自然人时，本谈判文件规定的法定代表人指负责人或者自然人。本谈判文件所称负责人是指参加竞标的其他组织</w:t>
            </w:r>
            <w:r>
              <w:rPr>
                <w:rFonts w:hint="eastAsia" w:hAnsi="宋体" w:cs="宋体"/>
                <w:bCs/>
                <w:color w:val="000000" w:themeColor="text1"/>
                <w:sz w:val="21"/>
                <w14:textFill>
                  <w14:solidFill>
                    <w14:schemeClr w14:val="tx1"/>
                  </w14:solidFill>
                </w14:textFill>
              </w:rPr>
              <w:t>营业执照或者执业许可证等证照上</w:t>
            </w:r>
            <w:r>
              <w:rPr>
                <w:rFonts w:hint="eastAsia" w:hAnsi="宋体" w:cs="宋体"/>
                <w:color w:val="000000" w:themeColor="text1"/>
                <w:sz w:val="21"/>
                <w14:textFill>
                  <w14:solidFill>
                    <w14:schemeClr w14:val="tx1"/>
                  </w14:solidFill>
                </w14:textFill>
              </w:rPr>
              <w:t>的负责人，本谈判文件所称自然人指参与竞标的自然人本人，</w:t>
            </w:r>
            <w:r>
              <w:rPr>
                <w:rFonts w:hint="eastAsia" w:hAnsi="宋体" w:cs="宋体"/>
                <w:bCs/>
                <w:color w:val="000000" w:themeColor="text1"/>
                <w:sz w:val="21"/>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20550475">
            <w:pPr>
              <w:pStyle w:val="12"/>
              <w:snapToGrid w:val="0"/>
              <w:spacing w:line="360" w:lineRule="auto"/>
              <w:rPr>
                <w:rFonts w:hint="eastAsia"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4.本谈判文件中描述供应商的“签字”是指供应商的法定代表人或者委托代理人亲自在文件规定签署处亲笔写上个人的名字的行为，私章、签字章、印鉴、影印等其他形式均不能代替亲笔签字。</w:t>
            </w:r>
          </w:p>
          <w:p w14:paraId="7898AEA1">
            <w:pPr>
              <w:pStyle w:val="12"/>
              <w:snapToGrid w:val="0"/>
              <w:spacing w:line="360" w:lineRule="auto"/>
              <w:rPr>
                <w:rFonts w:hint="eastAsia"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5.</w:t>
            </w:r>
            <w:r>
              <w:rPr>
                <w:rFonts w:hint="eastAsia" w:hAnsi="宋体" w:cs="宋体"/>
                <w:color w:val="000000" w:themeColor="text1"/>
                <w:sz w:val="21"/>
                <w14:textFill>
                  <w14:solidFill>
                    <w14:schemeClr w14:val="tx1"/>
                  </w14:solidFill>
                </w14:textFill>
              </w:rPr>
              <w:t>本谈判文件所称的“以上”“以下”“以内”“届满”，包括本数；所称的“不满”“超过”“以外”，不包括本数。</w:t>
            </w:r>
          </w:p>
        </w:tc>
      </w:tr>
    </w:tbl>
    <w:p w14:paraId="31F495EB">
      <w:pPr>
        <w:spacing w:line="400" w:lineRule="exact"/>
        <w:jc w:val="center"/>
        <w:rPr>
          <w:rFonts w:hint="eastAsia"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0F281FDB">
      <w:pPr>
        <w:spacing w:line="400" w:lineRule="exact"/>
        <w:jc w:val="center"/>
        <w:rPr>
          <w:rFonts w:hint="eastAsia" w:ascii="宋体" w:hAnsi="宋体"/>
          <w:b/>
          <w:color w:val="000000" w:themeColor="text1"/>
          <w:sz w:val="32"/>
          <w:szCs w:val="32"/>
          <w14:textFill>
            <w14:solidFill>
              <w14:schemeClr w14:val="tx1"/>
            </w14:solidFill>
          </w14:textFill>
        </w:rPr>
      </w:pPr>
    </w:p>
    <w:p w14:paraId="115AD2FA">
      <w:pPr>
        <w:spacing w:line="40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645C800F">
      <w:pPr>
        <w:spacing w:line="400" w:lineRule="exact"/>
        <w:rPr>
          <w:rFonts w:hint="eastAsia" w:ascii="宋体" w:hAnsi="宋体"/>
          <w:color w:val="000000" w:themeColor="text1"/>
          <w:szCs w:val="21"/>
          <w14:textFill>
            <w14:solidFill>
              <w14:schemeClr w14:val="tx1"/>
            </w14:solidFill>
          </w14:textFill>
        </w:rPr>
      </w:pPr>
    </w:p>
    <w:p w14:paraId="4BA9A4FA">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 适用范围</w:t>
      </w:r>
    </w:p>
    <w:p w14:paraId="462AE96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774810E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hint="eastAsia" w:ascii="宋体" w:hAnsi="宋体" w:cs="宋体"/>
          <w:color w:val="000000" w:themeColor="text1"/>
          <w:spacing w:val="-6"/>
          <w:szCs w:val="21"/>
          <w14:textFill>
            <w14:solidFill>
              <w14:schemeClr w14:val="tx1"/>
            </w14:solidFill>
          </w14:textFill>
        </w:rPr>
        <w:t>本竞争性谈判文件（以下简称谈判文件）适用于本项目的所有采购程序和环节（法律、法规另有规定的，从其规定）。</w:t>
      </w:r>
    </w:p>
    <w:p w14:paraId="22BDE9AE">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 定义</w:t>
      </w:r>
    </w:p>
    <w:p w14:paraId="6ABA77A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2.1“采购人”是指依法进行采购的国家机关、事业单位、团体组织。</w:t>
      </w:r>
    </w:p>
    <w:p w14:paraId="0E8DFBEC">
      <w:pPr>
        <w:spacing w:line="360" w:lineRule="auto"/>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2.2“采购代理机构”</w:t>
      </w:r>
      <w:r>
        <w:rPr>
          <w:rFonts w:hint="eastAsia" w:ascii="宋体" w:hAnsi="宋体"/>
          <w:b/>
          <w:color w:val="000000" w:themeColor="text1"/>
          <w:szCs w:val="21"/>
          <w14:textFill>
            <w14:solidFill>
              <w14:schemeClr w14:val="tx1"/>
            </w14:solidFill>
          </w14:textFill>
        </w:rPr>
        <w:t>是指政府采购集中采购机构和集中采购机构以外的采购代理机构。</w:t>
      </w:r>
    </w:p>
    <w:p w14:paraId="7806389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2.3“供应商”是指向采购人提供货物、工程或者服务的法人、其他组织或者自然人。</w:t>
      </w:r>
    </w:p>
    <w:p w14:paraId="21B4F67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2.4“货物”是指各种形态和种类的物品，包括原材料、燃料、设备、产品等。</w:t>
      </w:r>
    </w:p>
    <w:p w14:paraId="3660A46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2.5“竞标”是指按照本项目竞争性谈判公告规定的方式供应商获取谈判文件、提交响应文件并希望获得成交资格的行为。</w:t>
      </w:r>
    </w:p>
    <w:p w14:paraId="3490B7F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2.6“售后服务” 是指包含但不限于供应商须承担的备品备件、包装、运输、装卸、保险、货到就位以及安装、调试、培训、保修和其他类似的义务。</w:t>
      </w:r>
    </w:p>
    <w:p w14:paraId="2EEEA52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2.7“书面形式”是指合同书、信件和数据电文（包括电报、电传、传真、电子数据交换和电子邮件）等可以有形地表现所载内容的形式。</w:t>
      </w:r>
    </w:p>
    <w:p w14:paraId="1442668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2.8“响应文件”</w:t>
      </w:r>
      <w:r>
        <w:rPr>
          <w:rFonts w:hint="eastAsia" w:ascii="宋体" w:hAnsi="宋体" w:cs="宋体"/>
          <w:color w:val="000000" w:themeColor="text1"/>
          <w:spacing w:val="-6"/>
          <w:szCs w:val="21"/>
          <w14:textFill>
            <w14:solidFill>
              <w14:schemeClr w14:val="tx1"/>
            </w14:solidFill>
          </w14:textFill>
        </w:rPr>
        <w:t>是指：供应商根据本谈判文件要求，编制包含资格证明、报价、商务技术等所有内容的文件。</w:t>
      </w:r>
    </w:p>
    <w:p w14:paraId="52649DC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 “实质性要求”是指采购需求中带“▲”的条款或者不能负偏离的条款或者已经指明不满足响应文件按无效处理的条款。</w:t>
      </w:r>
    </w:p>
    <w:p w14:paraId="790535A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2.10“正偏离”，是指响应文件对谈判文件“采购需求”中有关条款作出优于条款要求并有利于采购人的响应情形；</w:t>
      </w:r>
    </w:p>
    <w:p w14:paraId="57E9270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2.11“负偏离”，是指响应文件对谈判文件“采购需求”中有关条款作出的响应不满足条款要求，导致采购人要求不能得到满足的情形。</w:t>
      </w:r>
    </w:p>
    <w:p w14:paraId="268A46A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2.12“允许负偏离的条款”是指采购需求中的不属于“实质性要求”的条款。</w:t>
      </w:r>
    </w:p>
    <w:p w14:paraId="21C44C3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2.13“首次报价”是指供应商提交的首次响应文件中的竞标报价。</w:t>
      </w:r>
    </w:p>
    <w:p w14:paraId="02AD40B0">
      <w:pPr>
        <w:spacing w:line="360" w:lineRule="auto"/>
        <w:ind w:firstLine="482" w:firstLineChars="200"/>
        <w:contextualSpacing/>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 供应商的资格条件</w:t>
      </w:r>
    </w:p>
    <w:p w14:paraId="4B975DD4">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08F76936">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 竞标费用</w:t>
      </w:r>
    </w:p>
    <w:p w14:paraId="168BE2E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竞标费用：供应商应承担参与本次采购活动有关的所有费用，包括但不限于获取谈判文件、勘查现场、编制和提交响应文件、参加谈判与应答、签订合同等，不论竞标结果如何，均应自行承担。</w:t>
      </w:r>
    </w:p>
    <w:p w14:paraId="0F8CB128">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5.联合体竞标</w:t>
      </w:r>
    </w:p>
    <w:p w14:paraId="2374FAF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5.1本项目是否接受联合体竞标，详见“供应商须知前附表”。</w:t>
      </w:r>
    </w:p>
    <w:p w14:paraId="59CC886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r>
        <w:rPr>
          <w:rFonts w:hint="eastAsia" w:ascii="宋体" w:hAnsi="宋体"/>
          <w:bCs/>
          <w:color w:val="000000" w:themeColor="text1"/>
          <w:szCs w:val="2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1698E95A">
      <w:pPr>
        <w:spacing w:line="360" w:lineRule="auto"/>
        <w:ind w:firstLine="420" w:firstLineChars="200"/>
        <w:rPr>
          <w:rFonts w:hint="eastAsia" w:ascii="宋体" w:hAnsi="宋体"/>
          <w:bCs/>
          <w:color w:val="000000" w:themeColor="text1"/>
          <w:szCs w:val="21"/>
          <w14:textFill>
            <w14:solidFill>
              <w14:schemeClr w14:val="tx1"/>
            </w14:solidFill>
          </w14:textFill>
        </w:rPr>
      </w:pPr>
      <w:bookmarkStart w:id="13" w:name="_Hlk66782192"/>
      <w:r>
        <w:rPr>
          <w:rFonts w:hint="eastAsia" w:ascii="宋体" w:hAnsi="宋体"/>
          <w:bCs/>
          <w:color w:val="000000" w:themeColor="text1"/>
          <w:szCs w:val="21"/>
          <w14:textFill>
            <w14:solidFill>
              <w14:schemeClr w14:val="tx1"/>
            </w14:solidFill>
          </w14:textFill>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3"/>
    </w:p>
    <w:p w14:paraId="033CDBB2">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 xml:space="preserve">6.转包与分包             </w:t>
      </w:r>
    </w:p>
    <w:p w14:paraId="50C4DF67">
      <w:pPr>
        <w:pStyle w:val="4"/>
        <w:keepNext w:val="0"/>
        <w:keepLines w:val="0"/>
        <w:spacing w:before="0" w:after="0" w:line="360" w:lineRule="auto"/>
        <w:ind w:left="420" w:leftChars="200"/>
        <w:rPr>
          <w:rFonts w:hint="eastAsia" w:ascii="宋体" w:hAnsi="宋体"/>
          <w:b w:val="0"/>
          <w:color w:val="000000" w:themeColor="text1"/>
          <w:sz w:val="21"/>
          <w:szCs w:val="21"/>
          <w14:textFill>
            <w14:solidFill>
              <w14:schemeClr w14:val="tx1"/>
            </w14:solidFill>
          </w14:textFill>
        </w:rPr>
      </w:pPr>
      <w:bookmarkStart w:id="14" w:name="_Toc254970532"/>
      <w:bookmarkStart w:id="15" w:name="_Toc254970673"/>
      <w:r>
        <w:rPr>
          <w:rFonts w:hint="eastAsia" w:ascii="宋体" w:hAnsi="宋体"/>
          <w:b w:val="0"/>
          <w:color w:val="000000" w:themeColor="text1"/>
          <w:sz w:val="21"/>
          <w:szCs w:val="21"/>
          <w14:textFill>
            <w14:solidFill>
              <w14:schemeClr w14:val="tx1"/>
            </w14:solidFill>
          </w14:textFill>
        </w:rPr>
        <w:t>6.1本项目不允许转包。</w:t>
      </w:r>
    </w:p>
    <w:p w14:paraId="2BBB64EA">
      <w:pPr>
        <w:pStyle w:val="4"/>
        <w:keepNext w:val="0"/>
        <w:keepLines w:val="0"/>
        <w:spacing w:before="0" w:after="0" w:line="360" w:lineRule="auto"/>
        <w:ind w:firstLine="315" w:firstLineChars="150"/>
        <w:rPr>
          <w:rFonts w:hint="eastAsia"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F1B1E1A">
      <w:pPr>
        <w:pStyle w:val="4"/>
        <w:keepNext w:val="0"/>
        <w:keepLines w:val="0"/>
        <w:spacing w:before="0" w:after="0" w:line="360" w:lineRule="auto"/>
        <w:ind w:firstLine="315" w:firstLineChars="150"/>
        <w:rPr>
          <w:rFonts w:hint="eastAsia"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5E5EB505">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7.特别说明</w:t>
      </w:r>
      <w:bookmarkEnd w:id="14"/>
      <w:bookmarkEnd w:id="15"/>
    </w:p>
    <w:p w14:paraId="72535808">
      <w:pPr>
        <w:spacing w:line="360" w:lineRule="auto"/>
        <w:ind w:firstLine="420" w:firstLineChars="200"/>
        <w:rPr>
          <w:rFonts w:hint="eastAsia" w:ascii="宋体" w:hAnsi="宋体" w:cs="宋体"/>
          <w:color w:val="000000" w:themeColor="text1"/>
          <w:szCs w:val="21"/>
          <w14:textFill>
            <w14:solidFill>
              <w14:schemeClr w14:val="tx1"/>
            </w14:solidFill>
          </w14:textFill>
        </w:rPr>
      </w:pPr>
      <w:bookmarkStart w:id="16" w:name="_8.1提供相同品牌产品且通过资格审查、符合性审查的不同投标人参加同一合"/>
      <w:bookmarkEnd w:id="16"/>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HYPERLINK  \l "_8.1"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7.1</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0265153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非单一产品采购项目，多家供应商提供的核心产品品牌相同的，按前款规定处理。</w:t>
      </w:r>
    </w:p>
    <w:p w14:paraId="7AEC48A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w:t>
      </w:r>
      <w:r>
        <w:rPr>
          <w:rFonts w:hint="eastAsia" w:ascii="宋体" w:hAnsi="宋体"/>
          <w:color w:val="000000" w:themeColor="text1"/>
          <w:szCs w:val="21"/>
          <w14:textFill>
            <w14:solidFill>
              <w14:schemeClr w14:val="tx1"/>
            </w14:solidFill>
          </w14:textFill>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14:textFill>
            <w14:solidFill>
              <w14:schemeClr w14:val="tx1"/>
            </w14:solidFill>
          </w14:textFill>
        </w:rPr>
        <w:t>。</w:t>
      </w:r>
    </w:p>
    <w:p w14:paraId="55AD29A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7.3供应商应仔细阅读谈判文件的所有内容，按照谈判文件的要求提交响应文件，并对所提供的全部资料的真实性承担法律责任。</w:t>
      </w:r>
    </w:p>
    <w:p w14:paraId="6F23F8E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5210C52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7.5在政府采购活动中，采购人员及相关人员与供应商有下列利害关系之一的，应当回避：</w:t>
      </w:r>
    </w:p>
    <w:p w14:paraId="68695AF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（1）参加采购活动前3年内与供应商存在劳动关系；</w:t>
      </w:r>
    </w:p>
    <w:p w14:paraId="2CD2923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（2）参加采购活动前3年内担任供应商的董事、监事；</w:t>
      </w:r>
    </w:p>
    <w:p w14:paraId="2540FAF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（3）参加采购活动前3年内是供应商的控股股东或者实际控制人；</w:t>
      </w:r>
    </w:p>
    <w:p w14:paraId="48E8902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（4）与供应商的法定代表人或者负责人有夫妻、直系血亲、三代以内旁系血亲或者近姻亲关系；</w:t>
      </w:r>
    </w:p>
    <w:p w14:paraId="1CEFDBE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（5）与供应商有其他可能影响政府采购活动公平、公正进行的关系。</w:t>
      </w:r>
    </w:p>
    <w:p w14:paraId="38D3E05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351747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7.6有下列情形之一的视为供应商相互串通竞标，响应文件将被视为无效：</w:t>
      </w:r>
    </w:p>
    <w:p w14:paraId="56EEE348">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（1）不同供应商的响应文件由同一单位或者个人编制；或不同供应商报名的IP地址一致的；</w:t>
      </w:r>
    </w:p>
    <w:p w14:paraId="2592355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（2）不同供应商委托同一单位或者个人办理竞标事宜；</w:t>
      </w:r>
    </w:p>
    <w:p w14:paraId="75164CC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（3）不同的供应商的响应文件载明的项目管理员为同一个人；</w:t>
      </w:r>
    </w:p>
    <w:p w14:paraId="738C9B9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（4）不同供应商的响应文件异常一致或者报价呈规律性差异；</w:t>
      </w:r>
    </w:p>
    <w:p w14:paraId="743A420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（5）不同供应商的响应文件相互混装；</w:t>
      </w:r>
    </w:p>
    <w:p w14:paraId="7A03F3B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（6）不同供应商的竞标保证金从同一单位或者个人账户转出。</w:t>
      </w:r>
    </w:p>
    <w:p w14:paraId="04A97FF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7.7供应商有下列情形之一的，属于恶意串通行为</w:t>
      </w:r>
      <w:bookmarkStart w:id="17" w:name="_Hlk54682620"/>
      <w:r>
        <w:rPr>
          <w:rFonts w:hint="eastAsia" w:ascii="宋体" w:hAnsi="宋体" w:cs="宋体"/>
          <w:color w:val="000000" w:themeColor="text1"/>
          <w:szCs w:val="21"/>
          <w14:textFill>
            <w14:solidFill>
              <w14:schemeClr w14:val="tx1"/>
            </w14:solidFill>
          </w14:textFill>
        </w:rPr>
        <w:t>，将报同级监督管理部门</w:t>
      </w:r>
      <w:bookmarkEnd w:id="17"/>
      <w:r>
        <w:rPr>
          <w:rFonts w:hint="eastAsia" w:ascii="宋体" w:hAnsi="宋体" w:cs="宋体"/>
          <w:color w:val="000000" w:themeColor="text1"/>
          <w:szCs w:val="21"/>
          <w14:textFill>
            <w14:solidFill>
              <w14:schemeClr w14:val="tx1"/>
            </w14:solidFill>
          </w14:textFill>
        </w:rPr>
        <w:t>：</w:t>
      </w:r>
    </w:p>
    <w:p w14:paraId="759FAB8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09854B9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（2）供应商按照采购人或者采购代理机构的授意撤换、修改响应文件；</w:t>
      </w:r>
    </w:p>
    <w:p w14:paraId="59B1B40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（3）供应商之间协商报价、技术方案等响应文件或者响应文件的实质性内容；</w:t>
      </w:r>
    </w:p>
    <w:p w14:paraId="11533D2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（4）属于同一集团、协会、商会等组织成员的供应商按照该组织要求协同参加政府采购活动；</w:t>
      </w:r>
    </w:p>
    <w:p w14:paraId="415E53F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5AC71CA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（6）供应商之间商定部分供应商放弃参加政府采购活动或者放弃成交；</w:t>
      </w:r>
    </w:p>
    <w:p w14:paraId="23A396F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55E3B9E7">
      <w:pPr>
        <w:pStyle w:val="5"/>
        <w:spacing w:line="360" w:lineRule="auto"/>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7.8</w:t>
      </w:r>
      <w:r>
        <w:rPr>
          <w:rFonts w:hint="eastAsia" w:ascii="宋体" w:hAnsi="宋体"/>
          <w:color w:val="000000" w:themeColor="text1"/>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C5FBEE4">
      <w:pPr>
        <w:pStyle w:val="5"/>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产品在中国境内生产的组件成本占比应当达到规定比例，计算公式为：</w:t>
      </w:r>
    </w:p>
    <w:p w14:paraId="202B00DB">
      <w:pPr>
        <w:widowControl/>
        <w:shd w:val="clear" w:color="auto" w:fill="FFFFFF"/>
        <w:spacing w:before="30" w:after="30" w:line="360" w:lineRule="auto"/>
        <w:jc w:val="center"/>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drawing>
          <wp:inline distT="0" distB="0" distL="114300" distR="114300">
            <wp:extent cx="4827905" cy="762635"/>
            <wp:effectExtent l="0" t="0" r="10795" b="18415"/>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pic:cNvPicPr>
                  </pic:nvPicPr>
                  <pic:blipFill>
                    <a:blip r:embed="rId8" r:link="rId9"/>
                    <a:stretch>
                      <a:fillRect/>
                    </a:stretch>
                  </pic:blipFill>
                  <pic:spPr>
                    <a:xfrm>
                      <a:off x="0" y="0"/>
                      <a:ext cx="4827905" cy="762635"/>
                    </a:xfrm>
                    <a:prstGeom prst="rect">
                      <a:avLst/>
                    </a:prstGeom>
                    <a:noFill/>
                    <a:ln>
                      <a:noFill/>
                    </a:ln>
                  </pic:spPr>
                </pic:pic>
              </a:graphicData>
            </a:graphic>
          </wp:inline>
        </w:drawing>
      </w:r>
    </w:p>
    <w:p w14:paraId="2CCC84BC">
      <w:pPr>
        <w:pStyle w:val="5"/>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D0CFC76">
      <w:pPr>
        <w:pStyle w:val="5"/>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63DFE61">
      <w:pPr>
        <w:pStyle w:val="5"/>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549BF8">
      <w:pPr>
        <w:spacing w:line="360" w:lineRule="auto"/>
        <w:ind w:left="1" w:firstLine="417" w:firstLineChars="199"/>
        <w:jc w:val="center"/>
        <w:rPr>
          <w:rFonts w:hint="eastAsia" w:ascii="宋体" w:hAnsi="宋体"/>
          <w:color w:val="000000" w:themeColor="text1"/>
          <w14:textFill>
            <w14:solidFill>
              <w14:schemeClr w14:val="tx1"/>
            </w14:solidFill>
          </w14:textFill>
        </w:rPr>
      </w:pPr>
      <w:bookmarkStart w:id="18" w:name="_Toc254970675"/>
      <w:bookmarkStart w:id="19" w:name="_Toc254970534"/>
    </w:p>
    <w:p w14:paraId="5FF02C91">
      <w:pPr>
        <w:spacing w:line="360" w:lineRule="auto"/>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二、谈判文件</w:t>
      </w:r>
      <w:bookmarkEnd w:id="18"/>
      <w:bookmarkEnd w:id="19"/>
    </w:p>
    <w:p w14:paraId="1BEAAEB7">
      <w:pPr>
        <w:spacing w:line="360" w:lineRule="auto"/>
        <w:jc w:val="center"/>
        <w:rPr>
          <w:rFonts w:hint="eastAsia" w:ascii="宋体" w:hAnsi="宋体"/>
          <w:color w:val="000000" w:themeColor="text1"/>
          <w:szCs w:val="21"/>
          <w14:textFill>
            <w14:solidFill>
              <w14:schemeClr w14:val="tx1"/>
            </w14:solidFill>
          </w14:textFill>
        </w:rPr>
      </w:pPr>
    </w:p>
    <w:p w14:paraId="153D6C83">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8.谈判文件的构成</w:t>
      </w:r>
    </w:p>
    <w:p w14:paraId="7078A2BF">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（1）竞争性谈判公告；</w:t>
      </w:r>
    </w:p>
    <w:p w14:paraId="5F086C53">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（2）供应商须知； </w:t>
      </w:r>
    </w:p>
    <w:p w14:paraId="61309E91">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（3）采购需求；</w:t>
      </w:r>
    </w:p>
    <w:p w14:paraId="21400887">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（4）响应文件格式</w:t>
      </w:r>
    </w:p>
    <w:p w14:paraId="3093F371">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（5）合同文本；</w:t>
      </w:r>
    </w:p>
    <w:p w14:paraId="36EF0C12">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（6）评审程序和评定成交的标准；</w:t>
      </w:r>
    </w:p>
    <w:p w14:paraId="0BAED619">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9.供应商的询问</w:t>
      </w:r>
    </w:p>
    <w:p w14:paraId="4D58427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供应商应认真阅读谈判文件的采购需求，如供应商对谈判文件有疑问的，如要求采购人作出澄清或者修改的，供应商尽可能在</w:t>
      </w:r>
      <w:r>
        <w:rPr>
          <w:rFonts w:ascii="宋体" w:hAnsi="宋体"/>
          <w:color w:val="000000" w:themeColor="text1"/>
          <w:szCs w:val="21"/>
          <w14:textFill>
            <w14:solidFill>
              <w14:schemeClr w14:val="tx1"/>
            </w14:solidFill>
          </w14:textFill>
        </w:rPr>
        <w:t>提交首次响应文件截止之日前</w:t>
      </w:r>
      <w:r>
        <w:rPr>
          <w:rFonts w:hint="eastAsia" w:ascii="宋体" w:hAnsi="宋体"/>
          <w:color w:val="000000" w:themeColor="text1"/>
          <w:szCs w:val="21"/>
          <w14:textFill>
            <w14:solidFill>
              <w14:schemeClr w14:val="tx1"/>
            </w14:solidFill>
          </w14:textFill>
        </w:rPr>
        <w:t>，以书面形式向</w:t>
      </w:r>
      <w:r>
        <w:rPr>
          <w:rFonts w:ascii="宋体" w:hAnsi="宋体"/>
          <w:color w:val="000000" w:themeColor="text1"/>
          <w:szCs w:val="21"/>
          <w14:textFill>
            <w14:solidFill>
              <w14:schemeClr w14:val="tx1"/>
            </w14:solidFill>
          </w14:textFill>
        </w:rPr>
        <w:t>采购人、采购代理机构</w:t>
      </w:r>
      <w:r>
        <w:rPr>
          <w:rFonts w:hint="eastAsia" w:ascii="宋体" w:hAnsi="宋体"/>
          <w:color w:val="000000" w:themeColor="text1"/>
          <w:szCs w:val="21"/>
          <w14:textFill>
            <w14:solidFill>
              <w14:schemeClr w14:val="tx1"/>
            </w14:solidFill>
          </w14:textFill>
        </w:rPr>
        <w:t>提出。</w:t>
      </w:r>
    </w:p>
    <w:p w14:paraId="4DFAB0B6">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10.谈判文件的澄清和修改</w:t>
      </w:r>
    </w:p>
    <w:p w14:paraId="255A1C06">
      <w:pPr>
        <w:spacing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0CF1C6DC">
      <w:pPr>
        <w:spacing w:line="360" w:lineRule="auto"/>
        <w:rPr>
          <w:rFonts w:hint="eastAsia" w:ascii="宋体" w:hAnsi="宋体"/>
          <w:color w:val="000000" w:themeColor="text1"/>
          <w:szCs w:val="21"/>
          <w14:textFill>
            <w14:solidFill>
              <w14:schemeClr w14:val="tx1"/>
            </w14:solidFill>
          </w14:textFill>
        </w:rPr>
      </w:pPr>
    </w:p>
    <w:p w14:paraId="32668DA3">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三、响应文件的编制</w:t>
      </w:r>
    </w:p>
    <w:p w14:paraId="23546408">
      <w:pPr>
        <w:spacing w:line="360" w:lineRule="auto"/>
        <w:rPr>
          <w:rFonts w:hint="eastAsia" w:ascii="宋体" w:hAnsi="宋体"/>
          <w:color w:val="000000" w:themeColor="text1"/>
          <w:szCs w:val="21"/>
          <w14:textFill>
            <w14:solidFill>
              <w14:schemeClr w14:val="tx1"/>
            </w14:solidFill>
          </w14:textFill>
        </w:rPr>
      </w:pPr>
    </w:p>
    <w:p w14:paraId="778E5B1F">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11.响应文件的编制原则</w:t>
      </w:r>
    </w:p>
    <w:p w14:paraId="2B4ABAC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6CEB801D">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12.响应文件的组成</w:t>
      </w:r>
    </w:p>
    <w:p w14:paraId="219EB7F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610574FF">
      <w:pPr>
        <w:spacing w:line="360" w:lineRule="auto"/>
        <w:ind w:left="840" w:leftChars="200" w:hanging="420" w:hanging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资格证明文件：详见“供应商须知前附表”</w:t>
      </w:r>
    </w:p>
    <w:p w14:paraId="29663FCB">
      <w:pPr>
        <w:spacing w:line="360" w:lineRule="auto"/>
        <w:ind w:left="840" w:leftChars="200" w:hanging="420" w:hanging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2报价文件：详见“供应商须知前附表”</w:t>
      </w:r>
    </w:p>
    <w:p w14:paraId="52AA0A77">
      <w:pPr>
        <w:spacing w:line="360" w:lineRule="auto"/>
        <w:ind w:left="840" w:leftChars="200" w:hanging="420" w:hanging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12.1.3商务技术文件：详见“供应商须知前附表”</w:t>
      </w:r>
    </w:p>
    <w:p w14:paraId="60604827">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13.计量单位</w:t>
      </w:r>
    </w:p>
    <w:p w14:paraId="68BCE09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31014505">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14.竞标的风险</w:t>
      </w:r>
    </w:p>
    <w:p w14:paraId="18C198D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供应商没有按照谈判文件要求提供全部资料，或者供应商没有对谈判文件在各方面作出实质性响应可能导致其响应文件按无效处理，是供应商应当考虑的风险。</w:t>
      </w:r>
    </w:p>
    <w:p w14:paraId="56109F7B">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15.竞标报价</w:t>
      </w:r>
    </w:p>
    <w:p w14:paraId="56C320C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15.1竞标报价应按谈判文件中“竞标报价表”格式填写。</w:t>
      </w:r>
    </w:p>
    <w:p w14:paraId="16CE40A0">
      <w:pPr>
        <w:tabs>
          <w:tab w:val="left" w:pos="2492"/>
        </w:tabs>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15.2竞标报价的内容详见“供应商须知前附表”。</w:t>
      </w:r>
    </w:p>
    <w:p w14:paraId="0192000A">
      <w:pPr>
        <w:spacing w:line="360" w:lineRule="auto"/>
        <w:ind w:left="426" w:leftChars="203"/>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15.3竞标报价要求</w:t>
      </w:r>
    </w:p>
    <w:p w14:paraId="59181EC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5.3.1</w:t>
      </w:r>
      <w:r>
        <w:rPr>
          <w:rFonts w:hint="eastAsia" w:ascii="宋体" w:hAnsi="宋体" w:cs="宋体"/>
          <w:color w:val="000000" w:themeColor="text1"/>
          <w:szCs w:val="21"/>
          <w14:textFill>
            <w14:solidFill>
              <w14:schemeClr w14:val="tx1"/>
            </w14:solidFill>
          </w14:textFill>
        </w:rPr>
        <w:t>供应商的竞标报价应符合以下要求，否则响应文件按无效响应处理：</w:t>
      </w:r>
    </w:p>
    <w:p w14:paraId="0D628DE5">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（1）供应商必须就“采购需求”中所竞标的每个分标的全部内容分别作完整唯一总价报价，</w:t>
      </w:r>
    </w:p>
    <w:p w14:paraId="18EA4CF5">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6F97006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0EF798D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4BAEF16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竞标报价（包含首次报价、最后报价）超过分项采购预算金额或者最高限价的，其响应文件将按无效处理。</w:t>
      </w:r>
    </w:p>
    <w:p w14:paraId="116EF374">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16.竞标有效期</w:t>
      </w:r>
    </w:p>
    <w:p w14:paraId="687E5B1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527A6DA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16.2 竞标有效期应由供应商按“供应商须知前附表”规定的期限作出响应。</w:t>
      </w:r>
      <w:r>
        <w:rPr>
          <w:rFonts w:hint="eastAsia" w:ascii="宋体" w:hAnsi="宋体"/>
          <w:color w:val="000000" w:themeColor="text1"/>
          <w:szCs w:val="21"/>
          <w14:textFill>
            <w14:solidFill>
              <w14:schemeClr w14:val="tx1"/>
            </w14:solidFill>
          </w14:textFill>
        </w:rPr>
        <w:t>承诺的竞标有效期低于采购文件规定期限的，供应商的响应文件作无效处理。</w:t>
      </w:r>
    </w:p>
    <w:p w14:paraId="3DCDA51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16.3供应商的响应文件在竞标有效期内均保持有效。</w:t>
      </w:r>
    </w:p>
    <w:p w14:paraId="154436A2">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17.竞标保证金</w:t>
      </w:r>
    </w:p>
    <w:p w14:paraId="74F0AA4F">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17.1供应商须按“供应商须知前附表”的规定提交竞标保证金。</w:t>
      </w:r>
    </w:p>
    <w:p w14:paraId="4FC28126">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17.2竞标保证金的退还</w:t>
      </w:r>
    </w:p>
    <w:p w14:paraId="73E170B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w:t>
      </w:r>
      <w:r>
        <w:rPr>
          <w:rFonts w:hint="eastAsia" w:ascii="宋体" w:hAnsi="宋体" w:cs="宋体"/>
          <w:color w:val="000000" w:themeColor="text1"/>
          <w:spacing w:val="-6"/>
          <w:szCs w:val="21"/>
          <w14:textFill>
            <w14:solidFill>
              <w14:schemeClr w14:val="tx1"/>
            </w14:solidFill>
          </w14:textFill>
        </w:rPr>
        <w:t>成交供应商的竞标保证金自成交通知书发出之日起5个工作日内退还</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 xml:space="preserve">成交供应商的竞标保证金自签订合同之日起5个工作日内退还。 </w:t>
      </w:r>
    </w:p>
    <w:p w14:paraId="2AAEC5A6">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17.3竞标保证金不计息。</w:t>
      </w:r>
    </w:p>
    <w:p w14:paraId="0DE133C5">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17.4供应商有下列情形之一的，竞标保证金将不予退还： </w:t>
      </w:r>
    </w:p>
    <w:p w14:paraId="138BC477">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（1）供应商在提交响应文件截止时间后撤回响应文件的；</w:t>
      </w:r>
    </w:p>
    <w:p w14:paraId="73FCD009">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（2）未按规定提交履约保证金的；</w:t>
      </w:r>
    </w:p>
    <w:p w14:paraId="44C5DC0F">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（3）供应商在响应文件中提供虚假材料的；</w:t>
      </w:r>
    </w:p>
    <w:p w14:paraId="75980FC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（4）除因不可抗力或者谈判文件认可的情形以外，成交供应商不与采购人签订合同的；</w:t>
      </w:r>
    </w:p>
    <w:p w14:paraId="65A22772">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（5）供应商与采购人、其他供应商或者采购代理机构恶意串通的；</w:t>
      </w:r>
    </w:p>
    <w:p w14:paraId="18D03ED2">
      <w:pPr>
        <w:spacing w:line="360" w:lineRule="auto"/>
        <w:ind w:left="420" w:left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（6）法律法规规定的其他情形。</w:t>
      </w:r>
    </w:p>
    <w:p w14:paraId="0806C22E">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18. 响应文件编制的要求</w:t>
      </w:r>
    </w:p>
    <w:p w14:paraId="0654018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5FCC69D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400470D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18.3响应文件须由供应商在规定位置签字、盖章（具体以供应商须知前附表或响应文件格式规定为准），否则按无效响应处理。</w:t>
      </w:r>
    </w:p>
    <w:p w14:paraId="0569898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3CCDB3F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A7E0637">
      <w:pPr>
        <w:spacing w:line="360" w:lineRule="auto"/>
        <w:ind w:firstLine="482" w:firstLineChars="200"/>
        <w:rPr>
          <w:rFonts w:hint="eastAsia" w:ascii="黑体" w:hAnsi="黑体" w:eastAsia="黑体"/>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19.电子</w:t>
      </w:r>
      <w:r>
        <w:rPr>
          <w:rFonts w:hint="eastAsia" w:ascii="黑体" w:hAnsi="黑体" w:eastAsia="黑体"/>
          <w:b/>
          <w:color w:val="000000" w:themeColor="text1"/>
          <w:sz w:val="24"/>
          <w14:textFill>
            <w14:solidFill>
              <w14:schemeClr w14:val="tx1"/>
            </w14:solidFill>
          </w14:textFill>
        </w:rPr>
        <w:t>备份响应文件</w:t>
      </w:r>
    </w:p>
    <w:p w14:paraId="0FC12CA6">
      <w:pPr>
        <w:spacing w:line="360" w:lineRule="auto"/>
        <w:ind w:firstLine="420" w:firstLineChars="200"/>
        <w:rPr>
          <w:rFonts w:hint="eastAsia" w:ascii="黑体" w:hAnsi="黑体" w:eastAsia="黑体"/>
          <w:color w:val="000000" w:themeColor="text1"/>
          <w:sz w:val="24"/>
          <w14:textFill>
            <w14:solidFill>
              <w14:schemeClr w14:val="tx1"/>
            </w14:solidFill>
          </w14:textFill>
        </w:rPr>
      </w:pPr>
      <w:r>
        <w:rPr>
          <w:rFonts w:hint="eastAsia"/>
          <w:color w:val="000000" w:themeColor="text1"/>
          <w14:textFill>
            <w14:solidFill>
              <w14:schemeClr w14:val="tx1"/>
            </w14:solidFill>
          </w14:textFill>
        </w:rPr>
        <w:t>电子备份响应文件是指通过在线编制生成且后缀名为“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”的文件，是否接受电子备份响应文件详见</w:t>
      </w:r>
      <w:r>
        <w:rPr>
          <w:rFonts w:hint="eastAsia" w:hAnsi="宋体"/>
          <w:bCs/>
          <w:color w:val="000000" w:themeColor="text1"/>
          <w:szCs w:val="21"/>
          <w14:textFill>
            <w14:solidFill>
              <w14:schemeClr w14:val="tx1"/>
            </w14:solidFill>
          </w14:textFill>
        </w:rPr>
        <w:t>“供应商须知前附表”。</w:t>
      </w:r>
    </w:p>
    <w:p w14:paraId="00DA866B">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20.响应文件的提交</w:t>
      </w:r>
    </w:p>
    <w:p w14:paraId="5A636D7E">
      <w:pPr>
        <w:spacing w:line="360" w:lineRule="auto"/>
        <w:ind w:firstLine="420" w:firstLineChars="200"/>
        <w:rPr>
          <w:rFonts w:hint="eastAsia" w:hAnsi="宋体"/>
          <w:b/>
          <w:color w:val="000000" w:themeColor="text1"/>
          <w14:textFill>
            <w14:solidFill>
              <w14:schemeClr w14:val="tx1"/>
            </w14:solidFill>
          </w14:textFill>
        </w:rPr>
      </w:pPr>
      <w:r>
        <w:rPr>
          <w:rFonts w:hint="eastAsia" w:hAnsi="宋体"/>
          <w:bCs/>
          <w:color w:val="000000" w:themeColor="text1"/>
          <w:szCs w:val="21"/>
          <w14:textFill>
            <w14:solidFill>
              <w14:schemeClr w14:val="tx1"/>
            </w14:solidFill>
          </w14:textFill>
        </w:rPr>
        <w:t>20.1供应商必须按“供应商须知前附表”规定的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w:t>
      </w:r>
      <w:r>
        <w:rPr>
          <w:rFonts w:hAnsi="宋体"/>
          <w:bCs/>
          <w:color w:val="000000" w:themeColor="text1"/>
          <w:szCs w:val="21"/>
          <w14:textFill>
            <w14:solidFill>
              <w14:schemeClr w14:val="tx1"/>
            </w14:solidFill>
          </w14:textFill>
        </w:rPr>
        <w:t>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时间前</w:t>
      </w:r>
      <w:r>
        <w:rPr>
          <w:rFonts w:hint="eastAsia" w:hAnsi="宋体"/>
          <w:bCs/>
          <w:color w:val="000000" w:themeColor="text1"/>
          <w:szCs w:val="21"/>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广西政府采购云平台</w:t>
      </w:r>
      <w:r>
        <w:rPr>
          <w:rFonts w:hint="eastAsia" w:hAnsi="宋体"/>
          <w:bCs/>
          <w:color w:val="000000" w:themeColor="text1"/>
          <w:szCs w:val="21"/>
          <w14:textFill>
            <w14:solidFill>
              <w14:schemeClr w14:val="tx1"/>
            </w14:solidFill>
          </w14:textFill>
        </w:rPr>
        <w:t xml:space="preserve">。 </w:t>
      </w:r>
      <w:r>
        <w:rPr>
          <w:rFonts w:hint="eastAsia" w:hAnsi="宋体"/>
          <w:b/>
          <w:color w:val="000000" w:themeColor="text1"/>
          <w14:textFill>
            <w14:solidFill>
              <w14:schemeClr w14:val="tx1"/>
            </w14:solidFill>
          </w14:textFill>
        </w:rPr>
        <w:t xml:space="preserve"> </w:t>
      </w:r>
    </w:p>
    <w:p w14:paraId="336C6493">
      <w:pPr>
        <w:spacing w:line="360" w:lineRule="auto"/>
        <w:ind w:firstLine="422" w:firstLineChars="200"/>
        <w:rPr>
          <w:rFonts w:hint="eastAsia"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20.</w:t>
      </w:r>
      <w:r>
        <w:rPr>
          <w:rFonts w:ascii="宋体" w:hAnsi="宋体"/>
          <w:b/>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未在规定时间内提交或者未按照谈判文件要求加密的电子响应文件，广西政府采购云平台将拒收。</w:t>
      </w:r>
    </w:p>
    <w:p w14:paraId="605B2C9F">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21.首次响应文件的补充、修改与撤回</w:t>
      </w:r>
    </w:p>
    <w:p w14:paraId="24CBCC12">
      <w:pPr>
        <w:snapToGrid w:val="0"/>
        <w:spacing w:line="360" w:lineRule="auto"/>
        <w:ind w:firstLine="420"/>
        <w:jc w:val="left"/>
        <w:rPr>
          <w:rFonts w:hint="eastAsia" w:ascii="宋体" w:hAnsi="宋体"/>
          <w:color w:val="000000" w:themeColor="text1"/>
          <w:szCs w:val="21"/>
          <w14:textFill>
            <w14:solidFill>
              <w14:schemeClr w14:val="tx1"/>
            </w14:solidFill>
          </w14:textFill>
        </w:rPr>
      </w:pPr>
      <w:bookmarkStart w:id="20" w:name="_Toc254970684"/>
      <w:bookmarkStart w:id="21" w:name="_Toc254970543"/>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1.1</w:t>
      </w:r>
      <w:r>
        <w:rPr>
          <w:rFonts w:hint="eastAsia" w:ascii="宋体" w:hAnsi="宋体"/>
          <w:bCs/>
          <w:color w:val="000000" w:themeColor="text1"/>
          <w:szCs w:val="21"/>
          <w14:textFill>
            <w14:solidFill>
              <w14:schemeClr w14:val="tx1"/>
            </w14:solidFill>
          </w14:textFill>
        </w:rPr>
        <w:t>供应商应当在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前完成电子响应文件的提交（上传），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可以补充、修改或者撤回响应文件。补充或者修改响应文件的，应当先行撤回原响应文件，补充、修改后重新提交（上传），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未完成提交（上传）的，视为撤回响应文件。</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以后提交（上传）的响应文件，广西政府采购云平台将予以拒收。</w:t>
      </w:r>
      <w:r>
        <w:rPr>
          <w:rFonts w:hint="eastAsia" w:ascii="宋体" w:hAnsi="宋体" w:cs="宋体"/>
          <w:color w:val="000000" w:themeColor="text1"/>
          <w:szCs w:val="21"/>
          <w14:textFill>
            <w14:solidFill>
              <w14:schemeClr w14:val="tx1"/>
            </w14:solidFill>
          </w14:textFill>
        </w:rPr>
        <w:t>（补充、修改或者撤回方式可</w:t>
      </w:r>
      <w:r>
        <w:rPr>
          <w:rFonts w:hint="eastAsia" w:ascii="宋体" w:hAnsi="宋体"/>
          <w:color w:val="000000" w:themeColor="text1"/>
          <w:szCs w:val="21"/>
          <w14:textFill>
            <w14:solidFill>
              <w14:schemeClr w14:val="tx1"/>
            </w14:solidFill>
          </w14:textFill>
        </w:rPr>
        <w:t>登录</w:t>
      </w:r>
      <w:r>
        <w:rPr>
          <w:rFonts w:hint="eastAsia" w:ascii="宋体" w:hAnsi="宋体" w:cs="宋体"/>
          <w:color w:val="000000" w:themeColor="text1"/>
          <w:kern w:val="0"/>
          <w:szCs w:val="2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进入“服务中心”中查看</w:t>
      </w:r>
      <w:r>
        <w:rPr>
          <w:rFonts w:hint="eastAsia" w:ascii="宋体" w:hAnsi="宋体" w:cs="宋体"/>
          <w:color w:val="000000" w:themeColor="text1"/>
          <w:szCs w:val="21"/>
          <w14:textFill>
            <w14:solidFill>
              <w14:schemeClr w14:val="tx1"/>
            </w14:solidFill>
          </w14:textFill>
        </w:rPr>
        <w:t xml:space="preserve"> “电子投标文件制作与投送教程”）</w:t>
      </w:r>
    </w:p>
    <w:bookmarkEnd w:id="20"/>
    <w:bookmarkEnd w:id="21"/>
    <w:p w14:paraId="39608F21">
      <w:pPr>
        <w:pStyle w:val="66"/>
        <w:spacing w:before="0"/>
        <w:ind w:firstLine="420"/>
        <w:rPr>
          <w:rFonts w:hint="eastAsia" w:ascii="宋体" w:hAns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1</w:t>
      </w:r>
      <w:r>
        <w:rPr>
          <w:rFonts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2在提交响应文件截止时间前，除供应商补充、修改或者撤回响应文件外，任何单位和个人不得解密或提取响应文件。</w:t>
      </w:r>
    </w:p>
    <w:p w14:paraId="485FAE7E">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22.响应文件的退回</w:t>
      </w:r>
    </w:p>
    <w:p w14:paraId="19B5F8E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7519B929">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23.截止时间后的撤回</w:t>
      </w:r>
    </w:p>
    <w:p w14:paraId="76E149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供应商在响应文件提交截止时间后向采购人、采购代理机构书面申请撤回响应文件的，将根据本须知正文第17.4条的规定不予退还其竞标保证金。</w:t>
      </w:r>
    </w:p>
    <w:p w14:paraId="3BCEFF7C">
      <w:pPr>
        <w:spacing w:line="360" w:lineRule="auto"/>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四、评审及谈判</w:t>
      </w:r>
    </w:p>
    <w:p w14:paraId="0F2C157C">
      <w:pPr>
        <w:spacing w:line="360" w:lineRule="auto"/>
        <w:ind w:left="420" w:firstLine="420"/>
        <w:rPr>
          <w:rFonts w:hint="eastAsia" w:ascii="宋体" w:hAnsi="宋体"/>
          <w:color w:val="000000" w:themeColor="text1"/>
          <w:szCs w:val="21"/>
          <w14:textFill>
            <w14:solidFill>
              <w14:schemeClr w14:val="tx1"/>
            </w14:solidFill>
          </w14:textFill>
        </w:rPr>
      </w:pPr>
    </w:p>
    <w:p w14:paraId="2940FCEE">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24.谈判小组成立</w:t>
      </w:r>
    </w:p>
    <w:p w14:paraId="3D3409D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06AF6C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2899FBB">
      <w:pPr>
        <w:spacing w:line="360" w:lineRule="auto"/>
        <w:ind w:firstLine="420" w:firstLineChars="200"/>
        <w:rPr>
          <w:rFonts w:hint="eastAsia" w:hAnsi="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基于广西政府采购云平台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24C1C3A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24.4参加过采购项目前期咨询论证的专家，不得参加该采购项目的评审活动。</w:t>
      </w:r>
    </w:p>
    <w:p w14:paraId="387C3EFA">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 xml:space="preserve"> 首次响应文件的开启和解密</w:t>
      </w:r>
    </w:p>
    <w:p w14:paraId="1188DE15">
      <w:pPr>
        <w:spacing w:line="360" w:lineRule="auto"/>
        <w:ind w:firstLine="420"/>
        <w:rPr>
          <w:rFonts w:hint="eastAsia" w:ascii="黑体" w:hAnsi="黑体" w:eastAsia="黑体" w:cs="宋体"/>
          <w:b/>
          <w:bCs/>
          <w:color w:val="000000" w:themeColor="text1"/>
          <w:sz w:val="24"/>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000000" w:themeColor="text1"/>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w:t>
      </w:r>
      <w:r>
        <w:rPr>
          <w:b/>
          <w:color w:val="000000" w:themeColor="text1"/>
          <w14:textFill>
            <w14:solidFill>
              <w14:schemeClr w14:val="tx1"/>
            </w14:solidFill>
          </w14:textFill>
        </w:rPr>
        <w:t>规定的时间内解密</w:t>
      </w:r>
      <w:r>
        <w:rPr>
          <w:rFonts w:hint="eastAsia"/>
          <w:b/>
          <w:color w:val="000000" w:themeColor="text1"/>
          <w14:textFill>
            <w14:solidFill>
              <w14:schemeClr w14:val="tx1"/>
            </w14:solidFill>
          </w14:textFill>
        </w:rPr>
        <w:t>响应文件</w:t>
      </w:r>
      <w:r>
        <w:rPr>
          <w:b/>
          <w:color w:val="000000" w:themeColor="text1"/>
          <w14:textFill>
            <w14:solidFill>
              <w14:schemeClr w14:val="tx1"/>
            </w14:solidFill>
          </w14:textFill>
        </w:rPr>
        <w:t>或</w:t>
      </w:r>
      <w:r>
        <w:rPr>
          <w:rFonts w:hint="eastAsia"/>
          <w:b/>
          <w:color w:val="000000" w:themeColor="text1"/>
          <w14:textFill>
            <w14:solidFill>
              <w14:schemeClr w14:val="tx1"/>
            </w14:solidFill>
          </w14:textFill>
        </w:rPr>
        <w:t>者</w:t>
      </w:r>
      <w:r>
        <w:rPr>
          <w:b/>
          <w:color w:val="000000" w:themeColor="text1"/>
          <w14:textFill>
            <w14:solidFill>
              <w14:schemeClr w14:val="tx1"/>
            </w14:solidFill>
          </w14:textFill>
        </w:rPr>
        <w:t>解密失败的</w:t>
      </w:r>
      <w:r>
        <w:rPr>
          <w:rFonts w:hint="eastAsia"/>
          <w:b/>
          <w:color w:val="000000" w:themeColor="text1"/>
          <w14:textFill>
            <w14:solidFill>
              <w14:schemeClr w14:val="tx1"/>
            </w14:solidFill>
          </w14:textFill>
        </w:rPr>
        <w:t>，供应商</w:t>
      </w:r>
      <w:r>
        <w:rPr>
          <w:rFonts w:hint="eastAsia" w:ascii="宋体" w:hAnsi="宋体"/>
          <w:b/>
          <w:color w:val="000000" w:themeColor="text1"/>
          <w:szCs w:val="21"/>
          <w14:textFill>
            <w14:solidFill>
              <w14:schemeClr w14:val="tx1"/>
            </w14:solidFill>
          </w14:textFill>
        </w:rPr>
        <w:t>的响应文件作无效处理</w:t>
      </w:r>
      <w:r>
        <w:rPr>
          <w:b/>
          <w:color w:val="000000" w:themeColor="text1"/>
          <w14:textFill>
            <w14:solidFill>
              <w14:schemeClr w14:val="tx1"/>
            </w14:solidFill>
          </w14:textFill>
        </w:rPr>
        <w:t>。</w:t>
      </w:r>
    </w:p>
    <w:p w14:paraId="4ABC7643">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 评审程序和评定成交的标准</w:t>
      </w:r>
    </w:p>
    <w:p w14:paraId="3B11CFB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000000" w:themeColor="text1"/>
          <w:szCs w:val="21"/>
          <w14:textFill>
            <w14:solidFill>
              <w14:schemeClr w14:val="tx1"/>
            </w14:solidFill>
          </w14:textFill>
        </w:rPr>
        <w:t>“供应商须知前附表”。</w:t>
      </w:r>
    </w:p>
    <w:p w14:paraId="355B78F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 xml:space="preserve">6.2 </w:t>
      </w:r>
      <w:r>
        <w:rPr>
          <w:rFonts w:hint="eastAsia" w:ascii="宋体" w:hAnsi="宋体"/>
          <w:color w:val="000000" w:themeColor="text1"/>
          <w:szCs w:val="21"/>
          <w14:textFill>
            <w14:solidFill>
              <w14:schemeClr w14:val="tx1"/>
            </w14:solidFill>
          </w14:textFill>
        </w:rPr>
        <w:t>商务/技术要求允许负偏离的条款数详见“供应商须知前附表”。</w:t>
      </w:r>
    </w:p>
    <w:p w14:paraId="113CD73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618AB33">
      <w:pPr>
        <w:spacing w:line="360" w:lineRule="auto"/>
        <w:ind w:firstLine="420" w:firstLineChars="200"/>
        <w:rPr>
          <w:rFonts w:hint="eastAsia"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B6C9E0A">
      <w:pPr>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（1）电子交易平台发生故障而无法登录访问的； </w:t>
      </w:r>
    </w:p>
    <w:p w14:paraId="70F7CFA7">
      <w:pPr>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（2）电子交易平台应用或数据库出现错误，不能进行正常操作的；</w:t>
      </w:r>
    </w:p>
    <w:p w14:paraId="6DE63AB1">
      <w:pPr>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（3）电子交易平台发现严重安全漏洞，有潜在泄密危险的；</w:t>
      </w:r>
    </w:p>
    <w:p w14:paraId="34669069">
      <w:pPr>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（4）病毒发作导致不能进行正常操作的； </w:t>
      </w:r>
    </w:p>
    <w:p w14:paraId="5DBEEC93">
      <w:pPr>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（5）其他无法保证电子交易的公平、公正和安全的情况。</w:t>
      </w:r>
    </w:p>
    <w:p w14:paraId="0086BAD8">
      <w:pPr>
        <w:spacing w:line="360" w:lineRule="auto"/>
        <w:ind w:firstLine="420" w:firstLineChars="200"/>
        <w:rPr>
          <w:rFonts w:hint="eastAsia"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26.</w:t>
      </w:r>
      <w:r>
        <w:rPr>
          <w:rFonts w:ascii="宋体"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BBA921C">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4F842B5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 xml:space="preserve"> 采购</w:t>
      </w:r>
      <w:r>
        <w:rPr>
          <w:rFonts w:hint="eastAsia" w:ascii="宋体" w:hAnsi="宋体" w:cs="宋体"/>
          <w:color w:val="000000" w:themeColor="text1"/>
          <w:szCs w:val="21"/>
          <w14:textFill>
            <w14:solidFill>
              <w14:schemeClr w14:val="tx1"/>
            </w14:solidFill>
          </w14:textFill>
        </w:rPr>
        <w:t>代理</w:t>
      </w:r>
      <w:r>
        <w:rPr>
          <w:rFonts w:hint="eastAsia" w:ascii="宋体" w:hAnsi="宋体" w:cs="宋体"/>
          <w:color w:val="000000" w:themeColor="text1"/>
          <w:kern w:val="0"/>
          <w:szCs w:val="21"/>
          <w14:textFill>
            <w14:solidFill>
              <w14:schemeClr w14:val="tx1"/>
            </w14:solidFill>
          </w14:textFill>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1C80895F">
      <w:pPr>
        <w:spacing w:line="360" w:lineRule="auto"/>
        <w:ind w:firstLine="420" w:firstLineChars="200"/>
        <w:contextualSpacing/>
        <w:rPr>
          <w:rFonts w:hint="eastAsia" w:ascii="宋体" w:hAnsi="宋体" w:cs="Courier New"/>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27</w:t>
      </w:r>
      <w:r>
        <w:rPr>
          <w:rFonts w:hint="eastAsia" w:ascii="宋体" w:hAnsi="宋体" w:cs="宋体"/>
          <w:color w:val="000000" w:themeColor="text1"/>
          <w:kern w:val="0"/>
          <w:szCs w:val="21"/>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000000" w:themeColor="text1"/>
          <w:szCs w:val="21"/>
          <w14:textFill>
            <w14:solidFill>
              <w14:schemeClr w14:val="tx1"/>
            </w14:solidFill>
          </w14:textFill>
        </w:rPr>
        <w:t xml:space="preserve">成交供应商享受《政府采购促进中小企业发展管理办法》（财库〔2020〕46号）规定的中小企业扶持政策的，采购人、采购代理机构应当随成交结果公开成交供应商的《中小企业声明函》。 </w:t>
      </w:r>
      <w:r>
        <w:rPr>
          <w:rFonts w:ascii="宋体" w:hAnsi="宋体" w:cs="Courier New"/>
          <w:color w:val="000000" w:themeColor="text1"/>
          <w:szCs w:val="21"/>
          <w14:textFill>
            <w14:solidFill>
              <w14:schemeClr w14:val="tx1"/>
            </w14:solidFill>
          </w14:textFill>
        </w:rPr>
        <w:t xml:space="preserve"> </w:t>
      </w:r>
    </w:p>
    <w:p w14:paraId="0A22BB49">
      <w:pPr>
        <w:spacing w:line="360" w:lineRule="auto"/>
        <w:ind w:firstLine="420" w:firstLineChars="200"/>
        <w:contextualSpacing/>
        <w:rPr>
          <w:rFonts w:hint="eastAsia" w:ascii="宋体" w:hAns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w:t>
      </w:r>
      <w:r>
        <w:rPr>
          <w:rFonts w:hint="eastAsia" w:ascii="宋体" w:hAnsi="宋体" w:cs="Courier New"/>
          <w:color w:val="000000" w:themeColor="text1"/>
          <w:szCs w:val="21"/>
          <w14:textFill>
            <w14:solidFill>
              <w14:schemeClr w14:val="tx1"/>
            </w14:solidFill>
          </w14:textFill>
        </w:rPr>
        <w:t>.3 采购人、采购代理机构应当随成交结果公开成交供应商的《关于符合本国产品标准的声明函》或有关证明文件。</w:t>
      </w:r>
    </w:p>
    <w:p w14:paraId="717794B7">
      <w:pPr>
        <w:pStyle w:val="7"/>
        <w:spacing w:line="360" w:lineRule="auto"/>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27.</w:t>
      </w:r>
      <w:r>
        <w:rPr>
          <w:rFonts w:ascii="宋体" w:hAnsi="宋体" w:cs="Courier New"/>
          <w:color w:val="000000" w:themeColor="text1"/>
          <w:szCs w:val="21"/>
          <w14:textFill>
            <w14:solidFill>
              <w14:schemeClr w14:val="tx1"/>
            </w14:solidFill>
          </w14:textFill>
        </w:rPr>
        <w:t>4</w:t>
      </w:r>
      <w:r>
        <w:rPr>
          <w:rFonts w:hint="eastAsia" w:ascii="宋体" w:hAnsi="宋体"/>
          <w:bCs/>
          <w:color w:val="000000" w:themeColor="text1"/>
          <w:szCs w:val="21"/>
          <w14:textFill>
            <w14:solidFill>
              <w14:schemeClr w14:val="tx1"/>
            </w14:solidFill>
          </w14:textFill>
        </w:rPr>
        <w:t>出现下列情形之一的，采购人或者采购代理机构应当终止竞争性谈判采购活动，发布项目终止公告并说明原因，重新开展采购活动：</w:t>
      </w:r>
    </w:p>
    <w:p w14:paraId="13912F56">
      <w:pPr>
        <w:pStyle w:val="7"/>
        <w:spacing w:line="360" w:lineRule="auto"/>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（1）因情况变化，不再符合规定的竞争性谈判采购方式适用情形的；</w:t>
      </w:r>
    </w:p>
    <w:p w14:paraId="43D1BDA6">
      <w:pPr>
        <w:pStyle w:val="7"/>
        <w:spacing w:line="360" w:lineRule="auto"/>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（2）出现影响采购公正的违法、违规行为的；</w:t>
      </w:r>
    </w:p>
    <w:p w14:paraId="6065671D">
      <w:pPr>
        <w:pStyle w:val="7"/>
        <w:spacing w:line="360" w:lineRule="auto"/>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（3）在采购过程中符合竞争要求的供应商或者报价未超过采购预算的供应商不足3家的，但“第四章 评审程序和评定成交的标准”第3.7条规定的情形除外。</w:t>
      </w:r>
    </w:p>
    <w:p w14:paraId="2D31AD43">
      <w:pPr>
        <w:pStyle w:val="7"/>
        <w:spacing w:line="360" w:lineRule="auto"/>
        <w:ind w:firstLine="420" w:firstLineChars="20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w:t>
      </w:r>
      <w:r>
        <w:rPr>
          <w:rFonts w:ascii="宋体" w:hAnsi="宋体"/>
          <w:bCs/>
          <w:color w:val="000000" w:themeColor="text1"/>
          <w:szCs w:val="21"/>
          <w14:textFill>
            <w14:solidFill>
              <w14:schemeClr w14:val="tx1"/>
            </w14:solidFill>
          </w14:textFill>
        </w:rPr>
        <w:t>5</w:t>
      </w:r>
      <w:r>
        <w:rPr>
          <w:rFonts w:hint="eastAsia" w:ascii="宋体" w:hAnsi="宋体"/>
          <w:bCs/>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65D0A221">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0FE8AE13">
      <w:pPr>
        <w:pStyle w:val="7"/>
        <w:spacing w:line="360" w:lineRule="auto"/>
        <w:ind w:firstLine="420" w:firstLineChars="200"/>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.1履约保证金的金额、提交方式、退付的时间和条件详见 “供应商须知前附表”。成交供应商未按规定提交履约保证金的，视为拒绝</w:t>
      </w:r>
      <w:r>
        <w:rPr>
          <w:rFonts w:ascii="宋体" w:hAnsi="宋体" w:cs="宋体"/>
          <w:color w:val="000000" w:themeColor="text1"/>
          <w:szCs w:val="2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C6AB976">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.2在履约保证金退还日期前，若成交供应商的开户名称、开户银行、账号有变动的，请以书面形式通知履约保证金收取单位，否则由此产生的后果由成交供应商自负。</w:t>
      </w:r>
    </w:p>
    <w:p w14:paraId="5559C44D">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6FCC8F1E">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29.1签订电子采购合同：成交供应商领取电子成交通知书后，在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159B673D">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05D45406">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29.2签订合同时间：按成交通知书规定的时间与采购人签订合同。</w:t>
      </w:r>
    </w:p>
    <w:p w14:paraId="3DA81AE2">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51C2C7C">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E38FD3">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29.5采购人或成交供应商不得单方面向合同另一方提出任何谈判文件没有约定的条件或不合理的要求，作为签订合同的条件；也不得协商另行订立背离谈判文件和合同实质性内容的协议。</w:t>
      </w:r>
    </w:p>
    <w:p w14:paraId="39117861">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29.6如签订合同并生效后，供应商无故拒绝或延期，除按照合同条款处理外，将承担相应的法律责任。</w:t>
      </w:r>
    </w:p>
    <w:p w14:paraId="6E43FC33">
      <w:pPr>
        <w:spacing w:line="360" w:lineRule="auto"/>
        <w:ind w:firstLine="424" w:firstLineChars="20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12F1DFF">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479EA80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CA055E8">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31</w:t>
      </w:r>
      <w:r>
        <w:rPr>
          <w:rFonts w:hint="eastAsia" w:ascii="黑体" w:hAnsi="黑体" w:eastAsia="黑体" w:cs="宋体"/>
          <w:b/>
          <w:bCs/>
          <w:color w:val="000000" w:themeColor="text1"/>
          <w:sz w:val="24"/>
          <w14:textFill>
            <w14:solidFill>
              <w14:schemeClr w14:val="tx1"/>
            </w14:solidFill>
          </w14:textFill>
        </w:rPr>
        <w:t>. 询问、质疑和投诉</w:t>
      </w:r>
    </w:p>
    <w:p w14:paraId="1E0C5E74">
      <w:pPr>
        <w:pStyle w:val="5"/>
        <w:spacing w:after="120" w:line="360" w:lineRule="auto"/>
        <w:rPr>
          <w:rFonts w:hint="eastAsia" w:ascii="宋体" w:hAns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p>
    <w:p w14:paraId="5B905251">
      <w:pPr>
        <w:spacing w:line="360" w:lineRule="auto"/>
        <w:ind w:firstLine="420" w:firstLineChars="20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000000" w:themeColor="text1"/>
          <w:shd w:val="clear" w:color="auto" w:fill="FFFFFF"/>
          <w14:textFill>
            <w14:solidFill>
              <w14:schemeClr w14:val="tx1"/>
            </w14:solidFill>
          </w14:textFill>
        </w:rPr>
        <w:t>接收质疑函的方式、联系部门、联系电话和通讯地址等信息</w:t>
      </w:r>
      <w:r>
        <w:rPr>
          <w:rFonts w:hint="eastAsia" w:ascii="宋体" w:hAnsi="宋体" w:cs="宋体"/>
          <w:color w:val="000000" w:themeColor="text1"/>
          <w:szCs w:val="21"/>
          <w14:textFill>
            <w14:solidFill>
              <w14:schemeClr w14:val="tx1"/>
            </w14:solidFill>
          </w14:textFill>
        </w:rPr>
        <w:t>详见“供应商须知前附表”</w:t>
      </w:r>
      <w:r>
        <w:rPr>
          <w:rFonts w:hint="eastAsia" w:ascii="宋体" w:hAnsi="宋体" w:cs="宋体"/>
          <w:color w:val="000000" w:themeColor="text1"/>
          <w14:textFill>
            <w14:solidFill>
              <w14:schemeClr w14:val="tx1"/>
            </w14:solidFill>
          </w14:textFill>
        </w:rPr>
        <w:t>。具体质疑起算时间如下：</w:t>
      </w:r>
    </w:p>
    <w:p w14:paraId="4AB2E6E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（1）对可以质疑的谈判文件提出质疑的，为获取谈判文件之日；</w:t>
      </w:r>
    </w:p>
    <w:p w14:paraId="4C5056CD">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（2）对采购过程提出质疑的，为各采购程序环节结束之日；</w:t>
      </w:r>
    </w:p>
    <w:p w14:paraId="411EC320">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（3）对成交结果提出质疑的，为成交结果公告期限届满之日。</w:t>
      </w:r>
    </w:p>
    <w:p w14:paraId="5430757F">
      <w:pPr>
        <w:spacing w:line="360" w:lineRule="auto"/>
        <w:ind w:firstLine="420" w:firstLineChars="20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2185EEE">
      <w:pPr>
        <w:spacing w:line="360" w:lineRule="auto"/>
        <w:ind w:firstLine="420" w:firstLineChars="20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.4供应商提出质疑应当提交质疑函和必要的证明材料，针对同一采购程序环节的质疑必须在法定质疑期内一次性提出。质疑函应当包括下列内容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5BFEA979">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（1）供应商的姓名或者名称、地址、邮编、联系人及联系电话；</w:t>
      </w:r>
    </w:p>
    <w:p w14:paraId="53B87F11">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（2）质疑项目的名称、编号；</w:t>
      </w:r>
    </w:p>
    <w:p w14:paraId="67EF8F88">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（3）具体、明确的质疑事项和与质疑事项相关的请求；</w:t>
      </w:r>
    </w:p>
    <w:p w14:paraId="6C6244DF">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（4）事实依据；</w:t>
      </w:r>
    </w:p>
    <w:p w14:paraId="10F91181">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（5）必要的法律依据；</w:t>
      </w:r>
    </w:p>
    <w:p w14:paraId="3E214A5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（6）提出质疑的日期。</w:t>
      </w:r>
    </w:p>
    <w:p w14:paraId="1E2CF81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E357A9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24ABF713">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74326B0B">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4D41685A">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614D1923">
      <w:pPr>
        <w:spacing w:line="360" w:lineRule="auto"/>
        <w:ind w:firstLine="420" w:firstLineChars="200"/>
        <w:rPr>
          <w:rFonts w:hint="eastAsia" w:ascii="宋体" w:hAnsi="宋体" w:cs="宋体"/>
          <w:b/>
          <w:bCs/>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5CA48C0">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w:t>
      </w: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其他内容</w:t>
      </w:r>
    </w:p>
    <w:p w14:paraId="1C55E351">
      <w:pPr>
        <w:tabs>
          <w:tab w:val="left" w:pos="2835"/>
        </w:tabs>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.1代理服务费收取标准详见“供应商须知前附表”，供应商为联合体的，可以由联合体中的一方或者多方共同交纳代理服务费：</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BCE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25FE4DAE">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费率</w:t>
            </w:r>
          </w:p>
          <w:p w14:paraId="27F6C8FB">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1890493">
            <w:pPr>
              <w:spacing w:line="360" w:lineRule="auto"/>
              <w:ind w:firstLine="105" w:firstLineChar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40814881">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3AC7532E">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4271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B9135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100万元以下</w:t>
            </w:r>
          </w:p>
        </w:tc>
        <w:tc>
          <w:tcPr>
            <w:tcW w:w="1659" w:type="dxa"/>
          </w:tcPr>
          <w:p w14:paraId="0327D397">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1.5%                </w:t>
            </w:r>
          </w:p>
        </w:tc>
        <w:tc>
          <w:tcPr>
            <w:tcW w:w="1532" w:type="dxa"/>
          </w:tcPr>
          <w:p w14:paraId="29ECF94F">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w:t>
            </w:r>
          </w:p>
        </w:tc>
        <w:tc>
          <w:tcPr>
            <w:tcW w:w="1546" w:type="dxa"/>
          </w:tcPr>
          <w:p w14:paraId="0325210D">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1.0% </w:t>
            </w:r>
          </w:p>
        </w:tc>
      </w:tr>
      <w:tr w14:paraId="0FEF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99D8F1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100万～500万元</w:t>
            </w:r>
          </w:p>
        </w:tc>
        <w:tc>
          <w:tcPr>
            <w:tcW w:w="1659" w:type="dxa"/>
          </w:tcPr>
          <w:p w14:paraId="4C870E91">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1.1%                 </w:t>
            </w:r>
          </w:p>
        </w:tc>
        <w:tc>
          <w:tcPr>
            <w:tcW w:w="1532" w:type="dxa"/>
          </w:tcPr>
          <w:p w14:paraId="7446A6C4">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0.8%</w:t>
            </w:r>
          </w:p>
        </w:tc>
        <w:tc>
          <w:tcPr>
            <w:tcW w:w="1546" w:type="dxa"/>
          </w:tcPr>
          <w:p w14:paraId="5578A217">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0.7% </w:t>
            </w:r>
          </w:p>
        </w:tc>
      </w:tr>
      <w:tr w14:paraId="6F4B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6AA060A">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500万～1000万元</w:t>
            </w:r>
          </w:p>
        </w:tc>
        <w:tc>
          <w:tcPr>
            <w:tcW w:w="1659" w:type="dxa"/>
          </w:tcPr>
          <w:p w14:paraId="23B6900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0.8%                </w:t>
            </w:r>
          </w:p>
        </w:tc>
        <w:tc>
          <w:tcPr>
            <w:tcW w:w="1532" w:type="dxa"/>
          </w:tcPr>
          <w:p w14:paraId="2DBFAFE3">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0.45%</w:t>
            </w:r>
          </w:p>
        </w:tc>
        <w:tc>
          <w:tcPr>
            <w:tcW w:w="1546" w:type="dxa"/>
          </w:tcPr>
          <w:p w14:paraId="2DCB676A">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0.55%</w:t>
            </w:r>
          </w:p>
        </w:tc>
      </w:tr>
      <w:tr w14:paraId="02DF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01A7F8D">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1000万～5000万元</w:t>
            </w:r>
          </w:p>
        </w:tc>
        <w:tc>
          <w:tcPr>
            <w:tcW w:w="1659" w:type="dxa"/>
          </w:tcPr>
          <w:p w14:paraId="039C0770">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0.5%                </w:t>
            </w:r>
          </w:p>
        </w:tc>
        <w:tc>
          <w:tcPr>
            <w:tcW w:w="1532" w:type="dxa"/>
          </w:tcPr>
          <w:p w14:paraId="13D6048B">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0.25%</w:t>
            </w:r>
          </w:p>
        </w:tc>
        <w:tc>
          <w:tcPr>
            <w:tcW w:w="1546" w:type="dxa"/>
          </w:tcPr>
          <w:p w14:paraId="14790C76">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0.35% </w:t>
            </w:r>
          </w:p>
        </w:tc>
      </w:tr>
      <w:tr w14:paraId="5106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B233853">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5000万元～1亿元</w:t>
            </w:r>
          </w:p>
        </w:tc>
        <w:tc>
          <w:tcPr>
            <w:tcW w:w="1659" w:type="dxa"/>
          </w:tcPr>
          <w:p w14:paraId="71349C12">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0.25%                 </w:t>
            </w:r>
          </w:p>
        </w:tc>
        <w:tc>
          <w:tcPr>
            <w:tcW w:w="1532" w:type="dxa"/>
          </w:tcPr>
          <w:p w14:paraId="0A54602B">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0.1%</w:t>
            </w:r>
          </w:p>
        </w:tc>
        <w:tc>
          <w:tcPr>
            <w:tcW w:w="1546" w:type="dxa"/>
          </w:tcPr>
          <w:p w14:paraId="61FA0E63">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0.2%</w:t>
            </w:r>
          </w:p>
        </w:tc>
      </w:tr>
      <w:tr w14:paraId="116B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DA84CF3">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1亿～5亿元</w:t>
            </w:r>
          </w:p>
        </w:tc>
        <w:tc>
          <w:tcPr>
            <w:tcW w:w="1659" w:type="dxa"/>
          </w:tcPr>
          <w:p w14:paraId="0C9CB63C">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0.05%</w:t>
            </w:r>
          </w:p>
        </w:tc>
        <w:tc>
          <w:tcPr>
            <w:tcW w:w="1532" w:type="dxa"/>
          </w:tcPr>
          <w:p w14:paraId="7307D8D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0.05%</w:t>
            </w:r>
          </w:p>
        </w:tc>
        <w:tc>
          <w:tcPr>
            <w:tcW w:w="1546" w:type="dxa"/>
          </w:tcPr>
          <w:p w14:paraId="0F17718D">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0.05%</w:t>
            </w:r>
          </w:p>
        </w:tc>
      </w:tr>
      <w:tr w14:paraId="1277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422D1A9">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5亿～10亿元</w:t>
            </w:r>
          </w:p>
        </w:tc>
        <w:tc>
          <w:tcPr>
            <w:tcW w:w="1659" w:type="dxa"/>
          </w:tcPr>
          <w:p w14:paraId="76D233DB">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c>
          <w:tcPr>
            <w:tcW w:w="1532" w:type="dxa"/>
          </w:tcPr>
          <w:p w14:paraId="791C5550">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0.035%</w:t>
            </w:r>
          </w:p>
        </w:tc>
        <w:tc>
          <w:tcPr>
            <w:tcW w:w="1546" w:type="dxa"/>
          </w:tcPr>
          <w:p w14:paraId="4F01C889">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r>
      <w:tr w14:paraId="5A17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C5F2FD7">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10亿～50亿元</w:t>
            </w:r>
          </w:p>
        </w:tc>
        <w:tc>
          <w:tcPr>
            <w:tcW w:w="1659" w:type="dxa"/>
          </w:tcPr>
          <w:p w14:paraId="6ABB4204">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532" w:type="dxa"/>
          </w:tcPr>
          <w:p w14:paraId="2CE0777C">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546" w:type="dxa"/>
          </w:tcPr>
          <w:p w14:paraId="3A549655">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r>
      <w:tr w14:paraId="52EC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54D91A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50亿～100亿元</w:t>
            </w:r>
          </w:p>
        </w:tc>
        <w:tc>
          <w:tcPr>
            <w:tcW w:w="1659" w:type="dxa"/>
          </w:tcPr>
          <w:p w14:paraId="6BD9201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0.006%</w:t>
            </w:r>
          </w:p>
        </w:tc>
        <w:tc>
          <w:tcPr>
            <w:tcW w:w="1532" w:type="dxa"/>
          </w:tcPr>
          <w:p w14:paraId="03B1C2B8">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c>
          <w:tcPr>
            <w:tcW w:w="1546" w:type="dxa"/>
          </w:tcPr>
          <w:p w14:paraId="5587B9BA">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r>
      <w:tr w14:paraId="45CF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560B0E0">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100亿元以上</w:t>
            </w:r>
          </w:p>
        </w:tc>
        <w:tc>
          <w:tcPr>
            <w:tcW w:w="1659" w:type="dxa"/>
          </w:tcPr>
          <w:p w14:paraId="496E7B5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0.004%</w:t>
            </w:r>
          </w:p>
        </w:tc>
        <w:tc>
          <w:tcPr>
            <w:tcW w:w="1532" w:type="dxa"/>
          </w:tcPr>
          <w:p w14:paraId="2E7F472C">
            <w:pPr>
              <w:spacing w:line="360" w:lineRule="auto"/>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c>
          <w:tcPr>
            <w:tcW w:w="1546" w:type="dxa"/>
          </w:tcPr>
          <w:p w14:paraId="63DA3926">
            <w:pPr>
              <w:spacing w:line="360" w:lineRule="auto"/>
              <w:ind w:firstLine="105"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r>
    </w:tbl>
    <w:p w14:paraId="4008D0E6">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注： </w:t>
      </w:r>
    </w:p>
    <w:p w14:paraId="2D42E9CA">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按本表费率计算的收费为</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代理的收费基准价格</w:t>
      </w:r>
      <w:r>
        <w:rPr>
          <w:rFonts w:hint="eastAsia" w:ascii="宋体" w:hAnsi="宋体" w:cs="宋体"/>
          <w:color w:val="000000" w:themeColor="text1"/>
          <w14:textFill>
            <w14:solidFill>
              <w14:schemeClr w14:val="tx1"/>
            </w14:solidFill>
          </w14:textFill>
        </w:rPr>
        <w:t>；</w:t>
      </w:r>
    </w:p>
    <w:p w14:paraId="7B0FA2E0">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（2）采购</w:t>
      </w:r>
      <w:r>
        <w:rPr>
          <w:rFonts w:ascii="宋体" w:hAnsi="宋体" w:cs="宋体"/>
          <w:color w:val="000000" w:themeColor="text1"/>
          <w14:textFill>
            <w14:solidFill>
              <w14:schemeClr w14:val="tx1"/>
            </w14:solidFill>
          </w14:textFill>
        </w:rPr>
        <w:t>代理收费按差额定率累进法计算。</w:t>
      </w:r>
    </w:p>
    <w:p w14:paraId="21E869EE">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例如：某</w:t>
      </w:r>
      <w:r>
        <w:rPr>
          <w:rFonts w:hint="eastAsia" w:ascii="宋体" w:hAnsi="宋体" w:cs="宋体"/>
          <w:color w:val="000000" w:themeColor="text1"/>
          <w14:textFill>
            <w14:solidFill>
              <w14:schemeClr w14:val="tx1"/>
            </w14:solidFill>
          </w14:textFill>
        </w:rPr>
        <w:t>货物采购</w:t>
      </w:r>
      <w:r>
        <w:rPr>
          <w:rFonts w:ascii="宋体" w:hAnsi="宋体" w:cs="宋体"/>
          <w:color w:val="000000" w:themeColor="text1"/>
          <w14:textFill>
            <w14:solidFill>
              <w14:schemeClr w14:val="tx1"/>
            </w14:solidFill>
          </w14:textFill>
        </w:rPr>
        <w:t>代理业务</w:t>
      </w:r>
      <w:r>
        <w:rPr>
          <w:rFonts w:hint="eastAsia" w:ascii="宋体" w:hAnsi="宋体" w:cs="宋体"/>
          <w:color w:val="000000" w:themeColor="text1"/>
          <w14:textFill>
            <w14:solidFill>
              <w14:schemeClr w14:val="tx1"/>
            </w14:solidFill>
          </w14:textFill>
        </w:rPr>
        <w:t>成交</w:t>
      </w:r>
      <w:r>
        <w:rPr>
          <w:rFonts w:ascii="宋体" w:hAnsi="宋体" w:cs="宋体"/>
          <w:color w:val="000000" w:themeColor="text1"/>
          <w14:textFill>
            <w14:solidFill>
              <w14:schemeClr w14:val="tx1"/>
            </w14:solidFill>
          </w14:textFill>
        </w:rPr>
        <w:t>金额</w:t>
      </w:r>
      <w:r>
        <w:rPr>
          <w:rFonts w:hint="eastAsia" w:ascii="宋体" w:hAnsi="宋体" w:cs="宋体"/>
          <w:color w:val="000000" w:themeColor="text1"/>
          <w14:textFill>
            <w14:solidFill>
              <w14:schemeClr w14:val="tx1"/>
            </w14:solidFill>
          </w14:textFill>
        </w:rPr>
        <w:t>或者暂定价</w:t>
      </w:r>
      <w:r>
        <w:rPr>
          <w:rFonts w:ascii="宋体" w:hAnsi="宋体" w:cs="宋体"/>
          <w:color w:val="000000" w:themeColor="text1"/>
          <w14:textFill>
            <w14:solidFill>
              <w14:schemeClr w14:val="tx1"/>
            </w14:solidFill>
          </w14:textFill>
        </w:rPr>
        <w:t>为150万元，计算</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代理收费额如下：</w:t>
      </w:r>
    </w:p>
    <w:p w14:paraId="6C34A15B">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100 万元 ×</w:t>
      </w:r>
      <w:r>
        <w:rPr>
          <w:rFonts w:hint="eastAsia" w:ascii="宋体" w:hAnsi="宋体" w:cs="宋体"/>
          <w:color w:val="000000" w:themeColor="text1"/>
          <w14:textFill>
            <w14:solidFill>
              <w14:schemeClr w14:val="tx1"/>
            </w14:solidFill>
          </w14:textFill>
        </w:rPr>
        <w:t>1.5</w:t>
      </w:r>
      <w:r>
        <w:rPr>
          <w:rFonts w:ascii="宋体" w:hAnsi="宋体" w:cs="宋体"/>
          <w:color w:val="000000" w:themeColor="text1"/>
          <w14:textFill>
            <w14:solidFill>
              <w14:schemeClr w14:val="tx1"/>
            </w14:solidFill>
          </w14:textFill>
        </w:rPr>
        <w:t>%＝ 1.5 万元</w:t>
      </w:r>
    </w:p>
    <w:p w14:paraId="3A1F0E5B">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150 － 100 ）万元 ×1.1%＝ 0.55 万元</w:t>
      </w:r>
    </w:p>
    <w:p w14:paraId="54767AEB">
      <w:pPr>
        <w:spacing w:line="360" w:lineRule="auto"/>
        <w:ind w:firstLine="420" w:firstLineChars="200"/>
        <w:contextualSpacing/>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合计收费＝ 1.5 ＋ 0.55＝ 2.05 （万元）</w:t>
      </w:r>
    </w:p>
    <w:p w14:paraId="60567C9C">
      <w:pPr>
        <w:spacing w:line="360" w:lineRule="auto"/>
        <w:ind w:firstLine="482" w:firstLineChars="200"/>
        <w:contextualSpacing/>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 需要补充的其他内容</w:t>
      </w:r>
    </w:p>
    <w:p w14:paraId="70F75472">
      <w:pPr>
        <w:pStyle w:val="12"/>
        <w:spacing w:line="360" w:lineRule="auto"/>
        <w:ind w:firstLine="420" w:firstLineChars="200"/>
        <w:contextualSpacing/>
        <w:rPr>
          <w:rFonts w:hint="eastAsia" w:hAnsi="宋体"/>
          <w:color w:val="000000" w:themeColor="text1"/>
          <w:sz w:val="21"/>
          <w14:textFill>
            <w14:solidFill>
              <w14:schemeClr w14:val="tx1"/>
            </w14:solidFill>
          </w14:textFill>
        </w:rPr>
      </w:pPr>
      <w:r>
        <w:rPr>
          <w:rFonts w:hAnsi="宋体"/>
          <w:color w:val="000000" w:themeColor="text1"/>
          <w:sz w:val="21"/>
          <w14:textFill>
            <w14:solidFill>
              <w14:schemeClr w14:val="tx1"/>
            </w14:solidFill>
          </w14:textFill>
        </w:rPr>
        <w:t>33.1</w:t>
      </w:r>
      <w:r>
        <w:rPr>
          <w:rFonts w:hint="eastAsia" w:hAnsi="宋体" w:cs="宋体"/>
          <w:color w:val="000000" w:themeColor="text1"/>
          <w:sz w:val="21"/>
          <w14:textFill>
            <w14:solidFill>
              <w14:schemeClr w14:val="tx1"/>
            </w14:solidFill>
          </w14:textFill>
        </w:rPr>
        <w:t>本谈判文件解释规则详见</w:t>
      </w:r>
      <w:r>
        <w:rPr>
          <w:rFonts w:hint="eastAsia" w:hAnsi="宋体"/>
          <w:color w:val="000000" w:themeColor="text1"/>
          <w:sz w:val="21"/>
          <w14:textFill>
            <w14:solidFill>
              <w14:schemeClr w14:val="tx1"/>
            </w14:solidFill>
          </w14:textFill>
        </w:rPr>
        <w:t>“供应商须知前附表”。</w:t>
      </w:r>
    </w:p>
    <w:p w14:paraId="5B6F8935">
      <w:pPr>
        <w:spacing w:line="360" w:lineRule="auto"/>
        <w:ind w:firstLine="420" w:firstLineChars="200"/>
        <w:contextualSpacing/>
        <w:rPr>
          <w:rFonts w:hint="eastAsia" w:hAnsi="宋体"/>
          <w:color w:val="000000" w:themeColor="text1"/>
          <w14:textFill>
            <w14:solidFill>
              <w14:schemeClr w14:val="tx1"/>
            </w14:solidFill>
          </w14:textFill>
        </w:rPr>
      </w:pPr>
      <w:r>
        <w:rPr>
          <w:rFonts w:ascii="宋体" w:hAnsi="宋体" w:cs="宋体"/>
          <w:color w:val="000000" w:themeColor="text1"/>
          <w:kern w:val="0"/>
          <w:szCs w:val="21"/>
          <w14:textFill>
            <w14:solidFill>
              <w14:schemeClr w14:val="tx1"/>
            </w14:solidFill>
          </w14:textFill>
        </w:rPr>
        <w:t>33.2</w:t>
      </w:r>
      <w:r>
        <w:rPr>
          <w:rFonts w:hint="eastAsia" w:ascii="宋体" w:hAnsi="宋体" w:cs="宋体"/>
          <w:color w:val="000000" w:themeColor="text1"/>
          <w:kern w:val="0"/>
          <w:szCs w:val="21"/>
          <w14:textFill>
            <w14:solidFill>
              <w14:schemeClr w14:val="tx1"/>
            </w14:solidFill>
          </w14:textFill>
        </w:rPr>
        <w:t xml:space="preserve"> 其他事</w:t>
      </w:r>
      <w:r>
        <w:rPr>
          <w:rFonts w:hint="eastAsia" w:hAnsi="宋体"/>
          <w:color w:val="000000" w:themeColor="text1"/>
          <w14:textFill>
            <w14:solidFill>
              <w14:schemeClr w14:val="tx1"/>
            </w14:solidFill>
          </w14:textFill>
        </w:rPr>
        <w:t>项详见“供应商须知前附表”。</w:t>
      </w:r>
    </w:p>
    <w:p w14:paraId="60EF9064">
      <w:pPr>
        <w:pStyle w:val="12"/>
        <w:spacing w:line="360" w:lineRule="auto"/>
        <w:ind w:firstLine="400" w:firstLineChars="200"/>
        <w:contextualSpacing/>
        <w:rPr>
          <w:rFonts w:hint="eastAsia" w:hAnsi="宋体"/>
          <w:color w:val="000000" w:themeColor="text1"/>
          <w:sz w:val="21"/>
          <w14:textFill>
            <w14:solidFill>
              <w14:schemeClr w14:val="tx1"/>
            </w14:solidFill>
          </w14:textFill>
        </w:rPr>
      </w:pPr>
      <w:r>
        <w:rPr>
          <w:rFonts w:hint="eastAsia" w:hAnsi="宋体"/>
          <w:color w:val="000000" w:themeColor="text1"/>
          <w14:textFill>
            <w14:solidFill>
              <w14:schemeClr w14:val="tx1"/>
            </w14:solidFill>
          </w14:textFill>
        </w:rPr>
        <w:t>3</w:t>
      </w:r>
      <w:r>
        <w:rPr>
          <w:rFonts w:hAnsi="宋体"/>
          <w:color w:val="000000" w:themeColor="text1"/>
          <w14:textFill>
            <w14:solidFill>
              <w14:schemeClr w14:val="tx1"/>
            </w14:solidFill>
          </w14:textFill>
        </w:rPr>
        <w:t>3.3</w:t>
      </w:r>
      <w:bookmarkStart w:id="22" w:name="_Hlk65857140"/>
      <w:r>
        <w:rPr>
          <w:rFonts w:hint="eastAsia" w:hAnsi="宋体"/>
          <w:color w:val="000000" w:themeColor="text1"/>
          <w:sz w:val="21"/>
          <w14:textFill>
            <w14:solidFill>
              <w14:schemeClr w14:val="tx1"/>
            </w14:solidFill>
          </w14:textFill>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18339DF">
      <w:pPr>
        <w:pStyle w:val="12"/>
        <w:spacing w:line="360" w:lineRule="auto"/>
        <w:ind w:firstLine="420" w:firstLineChars="200"/>
        <w:contextualSpacing/>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2500F49">
      <w:pPr>
        <w:pStyle w:val="12"/>
        <w:spacing w:line="360" w:lineRule="auto"/>
        <w:ind w:firstLine="420" w:firstLineChars="200"/>
        <w:contextualSpacing/>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（2）在工程采购项目中，工程由中小企业承建，即工程施工单位为中小企业，不对其中涉及的货物的制造商和服务的承接商作出要求；</w:t>
      </w:r>
    </w:p>
    <w:p w14:paraId="54670CE1">
      <w:pPr>
        <w:pStyle w:val="12"/>
        <w:spacing w:line="360" w:lineRule="auto"/>
        <w:ind w:firstLine="420" w:firstLineChars="200"/>
        <w:contextualSpacing/>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065F7C6">
      <w:pPr>
        <w:pStyle w:val="12"/>
        <w:spacing w:line="360" w:lineRule="auto"/>
        <w:ind w:firstLine="420" w:firstLineChars="200"/>
        <w:contextualSpacing/>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32DF1DDA">
      <w:pPr>
        <w:spacing w:line="360" w:lineRule="auto"/>
        <w:ind w:firstLine="420" w:firstLineChars="200"/>
        <w:contextualSpacing/>
        <w:rPr>
          <w:rFonts w:hint="eastAsia" w:hAnsi="宋体"/>
          <w:b/>
          <w:color w:val="000000" w:themeColor="text1"/>
          <w:sz w:val="32"/>
          <w:szCs w:val="32"/>
          <w14:textFill>
            <w14:solidFill>
              <w14:schemeClr w14:val="tx1"/>
            </w14:solidFill>
          </w14:textFill>
        </w:rPr>
      </w:pPr>
      <w:r>
        <w:rPr>
          <w:rFonts w:hint="eastAsia" w:hAnsi="宋体"/>
          <w:color w:val="000000" w:themeColor="text1"/>
          <w14:textFill>
            <w14:solidFill>
              <w14:schemeClr w14:val="tx1"/>
            </w14:solidFill>
          </w14:textFill>
        </w:rPr>
        <w:t>依据本谈判文件规定享受扶持政策获得政府采购合同的，小微企业不得将合同分包给大中型企业，中型企业不得将合同分包给大型企业。</w:t>
      </w:r>
      <w:bookmarkEnd w:id="22"/>
    </w:p>
    <w:p w14:paraId="34891381">
      <w:pPr>
        <w:pStyle w:val="2"/>
        <w:jc w:val="center"/>
        <w:rPr>
          <w:color w:val="000000" w:themeColor="text1"/>
          <w14:textFill>
            <w14:solidFill>
              <w14:schemeClr w14:val="tx1"/>
            </w14:solidFill>
          </w14:textFill>
        </w:rPr>
      </w:pPr>
      <w:bookmarkStart w:id="23" w:name="_Toc74322010"/>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第三章 采购需求</w:t>
      </w:r>
      <w:bookmarkEnd w:id="23"/>
    </w:p>
    <w:p w14:paraId="09BE1781">
      <w:pPr>
        <w:spacing w:line="44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采购项目技术规格、参数及要求</w:t>
      </w:r>
    </w:p>
    <w:p w14:paraId="5C9868F5">
      <w:pPr>
        <w:spacing w:line="440" w:lineRule="exact"/>
        <w:jc w:val="left"/>
        <w:rPr>
          <w:rFonts w:hint="eastAsia" w:ascii="宋体" w:hAnsi="宋体" w:cs="宋体"/>
          <w:color w:val="000000" w:themeColor="text1"/>
          <w:szCs w:val="21"/>
          <w14:textFill>
            <w14:solidFill>
              <w14:schemeClr w14:val="tx1"/>
            </w14:solidFill>
          </w14:textFill>
        </w:rPr>
      </w:pPr>
    </w:p>
    <w:p w14:paraId="5DFF6894">
      <w:pPr>
        <w:spacing w:line="360" w:lineRule="auto"/>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2A5BCCF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 为落实政府采购政策需满足的要求</w:t>
      </w:r>
    </w:p>
    <w:p w14:paraId="1ED3A38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（1）本竞争性谈判采购文件所称中小企业必须符合《政府采购促进中小企业发展管理办法》（财库〔2020〕46号）的规定。</w:t>
      </w:r>
    </w:p>
    <w:p w14:paraId="3834826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517B6A88">
      <w:pPr>
        <w:spacing w:line="360" w:lineRule="auto"/>
        <w:ind w:firstLine="424" w:firstLineChars="202"/>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B2B754">
      <w:pPr>
        <w:spacing w:line="360" w:lineRule="auto"/>
        <w:ind w:firstLine="424" w:firstLineChars="202"/>
        <w:jc w:val="left"/>
        <w:rPr>
          <w:rFonts w:hint="eastAsia"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（4）根据《关于调整网络安全专用产品安全管理有关事项的公告》（</w:t>
      </w:r>
      <w:r>
        <w:rPr>
          <w:color w:val="000000" w:themeColor="text1"/>
          <w14:textFill>
            <w14:solidFill>
              <w14:schemeClr w14:val="tx1"/>
            </w14:solidFill>
          </w14:textFill>
        </w:rPr>
        <w:t>2023</w:t>
      </w:r>
      <w:r>
        <w:rPr>
          <w:rFonts w:hint="eastAsia"/>
          <w:color w:val="000000" w:themeColor="text1"/>
          <w14:textFill>
            <w14:solidFill>
              <w14:schemeClr w14:val="tx1"/>
            </w14:solidFill>
          </w14:textFill>
        </w:rPr>
        <w:t>年第</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t>
      </w:r>
      <w:r>
        <w:rPr>
          <w:color w:val="000000" w:themeColor="text1"/>
          <w14:textFill>
            <w14:solidFill>
              <w14:schemeClr w14:val="tx1"/>
            </w14:solidFill>
          </w14:textFill>
        </w:rPr>
        <w:t>http://www.cac.gov.cn/index.htm</w:t>
      </w:r>
      <w:r>
        <w:rPr>
          <w:rFonts w:hint="eastAsia"/>
          <w:color w:val="000000" w:themeColor="text1"/>
          <w14:textFill>
            <w14:solidFill>
              <w14:schemeClr w14:val="tx1"/>
            </w14:solidFill>
          </w14:textFill>
        </w:rPr>
        <w:t>）最新发布的《网络关键设备和网络安全专用产品安全认证和安全检测结果》截图证明材料，不在《网络关键设备和网络安全专用产品安全认证和安全检测结果》中或不在有效期内，响应文件按无效处理。如属于《网络关键设备和网络安全专用产品目录》中</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二、网络安全专用产品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内</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产品类别</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中所描述的产品，但不属于所列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产品描述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情形的，应提供相应的说明及证明材料。</w:t>
      </w:r>
    </w:p>
    <w:p w14:paraId="112FD5C7">
      <w:pPr>
        <w:spacing w:line="360" w:lineRule="auto"/>
        <w:ind w:firstLine="424" w:firstLineChars="202"/>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“实质性要求”是指采购需求中带“▲”的条款或者不能负偏离的条款或者已经指明不满足响应文件按无效处理的条款。</w:t>
      </w:r>
    </w:p>
    <w:p w14:paraId="7328F8F9">
      <w:pPr>
        <w:spacing w:line="360" w:lineRule="auto"/>
        <w:ind w:firstLine="424" w:firstLineChars="202"/>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.采购需求中出现的品牌、型号或者生产供应商仅起参考作用，不属于指定品牌、型号或者生产供应商的情形。供应商可参照或者选用其他相当的品牌、型号或者生产供应商替代。</w:t>
      </w:r>
    </w:p>
    <w:p w14:paraId="05E465D1">
      <w:pPr>
        <w:spacing w:line="360" w:lineRule="auto"/>
        <w:ind w:firstLine="424" w:firstLineChars="202"/>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 xml:space="preserve">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622B20F">
      <w:pPr>
        <w:spacing w:line="360" w:lineRule="auto"/>
        <w:ind w:firstLine="424" w:firstLineChars="202"/>
        <w:jc w:val="left"/>
        <w:rPr>
          <w:color w:val="000000" w:themeColor="text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供应商必须自行为其竞标产品侵犯他人的知识产权或者专利成果的行为承担相应法律责任。</w:t>
      </w:r>
    </w:p>
    <w:tbl>
      <w:tblPr>
        <w:tblStyle w:val="22"/>
        <w:tblW w:w="9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7"/>
        <w:gridCol w:w="1303"/>
        <w:gridCol w:w="783"/>
        <w:gridCol w:w="885"/>
        <w:gridCol w:w="6429"/>
      </w:tblGrid>
      <w:tr w14:paraId="11895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4" w:hRule="atLeast"/>
          <w:jc w:val="center"/>
        </w:trPr>
        <w:tc>
          <w:tcPr>
            <w:tcW w:w="427" w:type="dxa"/>
            <w:vAlign w:val="center"/>
          </w:tcPr>
          <w:p w14:paraId="1EF617DB">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bookmarkStart w:id="24" w:name="_Hlk229260258"/>
            <w:r>
              <w:rPr>
                <w:rFonts w:hint="eastAsia" w:ascii="宋体" w:hAnsi="宋体" w:cs="宋体"/>
                <w:color w:val="000000" w:themeColor="text1"/>
                <w:szCs w:val="21"/>
                <w14:textFill>
                  <w14:solidFill>
                    <w14:schemeClr w14:val="tx1"/>
                  </w14:solidFill>
                </w14:textFill>
              </w:rPr>
              <w:t>序号</w:t>
            </w:r>
          </w:p>
        </w:tc>
        <w:tc>
          <w:tcPr>
            <w:tcW w:w="1303" w:type="dxa"/>
            <w:vAlign w:val="center"/>
          </w:tcPr>
          <w:p w14:paraId="61FDDE62">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标的的名称</w:t>
            </w:r>
          </w:p>
        </w:tc>
        <w:tc>
          <w:tcPr>
            <w:tcW w:w="783" w:type="dxa"/>
            <w:vAlign w:val="center"/>
          </w:tcPr>
          <w:p w14:paraId="0E39FF59">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数量及单位</w:t>
            </w:r>
          </w:p>
        </w:tc>
        <w:tc>
          <w:tcPr>
            <w:tcW w:w="885" w:type="dxa"/>
            <w:vAlign w:val="center"/>
          </w:tcPr>
          <w:p w14:paraId="2CA8033E">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bCs/>
                <w:color w:val="000000" w:themeColor="text1"/>
                <w:szCs w:val="21"/>
                <w:u w:val="none"/>
                <w:lang w:val="en-US" w:eastAsia="zh-CN"/>
                <w14:textFill>
                  <w14:solidFill>
                    <w14:schemeClr w14:val="tx1"/>
                  </w14:solidFill>
                </w14:textFill>
              </w:rPr>
              <w:t>所属行业</w:t>
            </w:r>
          </w:p>
        </w:tc>
        <w:tc>
          <w:tcPr>
            <w:tcW w:w="6429" w:type="dxa"/>
            <w:vAlign w:val="center"/>
          </w:tcPr>
          <w:p w14:paraId="6205BF50">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w:t>
            </w:r>
          </w:p>
        </w:tc>
      </w:tr>
      <w:tr w14:paraId="6D956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5C3F3965">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bookmarkStart w:id="25" w:name="_Hlk230107509"/>
            <w:r>
              <w:rPr>
                <w:rFonts w:hint="eastAsia" w:ascii="宋体" w:hAnsi="宋体" w:cs="宋体"/>
                <w:color w:val="000000" w:themeColor="text1"/>
                <w:szCs w:val="21"/>
                <w14:textFill>
                  <w14:solidFill>
                    <w14:schemeClr w14:val="tx1"/>
                  </w14:solidFill>
                </w14:textFill>
              </w:rPr>
              <w:t>1</w:t>
            </w:r>
          </w:p>
        </w:tc>
        <w:tc>
          <w:tcPr>
            <w:tcW w:w="1303" w:type="dxa"/>
            <w:vAlign w:val="center"/>
          </w:tcPr>
          <w:p w14:paraId="0089B5BB">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管理单元</w:t>
            </w:r>
          </w:p>
        </w:tc>
        <w:tc>
          <w:tcPr>
            <w:tcW w:w="783" w:type="dxa"/>
            <w:vAlign w:val="center"/>
          </w:tcPr>
          <w:p w14:paraId="25E18289">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885" w:type="dxa"/>
            <w:vAlign w:val="center"/>
          </w:tcPr>
          <w:p w14:paraId="6D18D2F9">
            <w:pPr>
              <w:tabs>
                <w:tab w:val="left" w:pos="180"/>
                <w:tab w:val="left" w:pos="1620"/>
              </w:tabs>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300DB8E6">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CPU：配置2颗国产处理器，单处理器物理核心数≥8核，主频≥3.0 GHz。</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内存：配置64G DDR4，8根内存插槽。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硬盘：2块1.2T 10K SAS 硬盘（Raid1），可选支持12块3.5寸(兼容2.5寸)热插拔SATA/SAS硬盘，板载可选支持1个SATA M.2硬盘。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阵列卡：配置SAS_HBA卡（支持RAID 0/1/10）。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PCIE扩展：支持4个标准PCIE插槽。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网口：标配板载2个千兆电口，支持选配10GbE SFP+等多种网络接口。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其他接口：标配1个IPMI RJ-45管理接口；≥7个USB 3.0接口；≥2个VGA接口。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电源：配置550W（1+1）高效铂金CRPS冗余电源。</w:t>
            </w:r>
          </w:p>
        </w:tc>
      </w:tr>
      <w:bookmarkEnd w:id="25"/>
      <w:tr w14:paraId="49E28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16DF6883">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303" w:type="dxa"/>
            <w:vAlign w:val="center"/>
          </w:tcPr>
          <w:p w14:paraId="13B930B3">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校时单元</w:t>
            </w:r>
          </w:p>
        </w:tc>
        <w:tc>
          <w:tcPr>
            <w:tcW w:w="783" w:type="dxa"/>
            <w:vAlign w:val="center"/>
          </w:tcPr>
          <w:p w14:paraId="5D614B93">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885" w:type="dxa"/>
            <w:vAlign w:val="center"/>
          </w:tcPr>
          <w:p w14:paraId="51A559AA">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78333F18">
            <w:pPr>
              <w:keepNext w:val="0"/>
              <w:keepLines w:val="0"/>
              <w:widowControl/>
              <w:suppressLineNumbers w:val="0"/>
              <w:jc w:val="left"/>
              <w:textAlignment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支持北斗、上级NTP校时。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支持多网域校时。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支持双机热备、级联方案。</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同步精度：卫星同步精度微秒级。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存储：128M。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 守时精度：精度24小时≤100us。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 支持双机心跳监测互备功能。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 上电或重启后，系统自启校时服务。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 嵌入式ARM处理器。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 支持≥2个NTP授时端口。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 支持NTP告警记录和日志信息查询导出。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 授时容量：500次/每秒。</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 授时精度：≤1ms。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 授时频段：北斗: 1561.098±2.046MHz。</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 支持WEB管理对NTP时钟进行配置管理。</w:t>
            </w:r>
          </w:p>
        </w:tc>
      </w:tr>
      <w:tr w14:paraId="1AE1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135EF410">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303" w:type="dxa"/>
            <w:vAlign w:val="center"/>
          </w:tcPr>
          <w:p w14:paraId="3CC5C1B6">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核心汇聚交换机</w:t>
            </w:r>
          </w:p>
        </w:tc>
        <w:tc>
          <w:tcPr>
            <w:tcW w:w="783" w:type="dxa"/>
            <w:vAlign w:val="center"/>
          </w:tcPr>
          <w:p w14:paraId="20463587">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2台</w:t>
            </w:r>
          </w:p>
        </w:tc>
        <w:tc>
          <w:tcPr>
            <w:tcW w:w="885" w:type="dxa"/>
            <w:vAlign w:val="center"/>
          </w:tcPr>
          <w:p w14:paraId="1F067BF9">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72D1E50B">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可用千兆电接口数量≥24，可用万兆光接口数量≥4。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支持模块化电源数量≥2（本次配置电源数量=1）。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支持风扇数量≥2。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支持独立的console管理串口。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交换容量≥688 Gbps/6.88Tbps，包转发率≥171Mpps/297Mpps。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 IPv4/IPv6 静态路由，支持OSPFv3、BGP4+、IS-ISv6。</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支持零配置启动(TFTP方式)功能。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支持OSPF FRR 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支持NQA功能，NQA能够正常探测。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▲支持IRF本地负载分担、IRF单点管理功能。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支持CPU保护功能。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备支持BFD for IPv4路由功能、支持BFD for IPv6路由功能。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设备支持多个配置文件本地保存，支持配置回滚。</w:t>
            </w:r>
          </w:p>
        </w:tc>
      </w:tr>
      <w:tr w14:paraId="3C141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6473CC05">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303" w:type="dxa"/>
            <w:vAlign w:val="center"/>
          </w:tcPr>
          <w:p w14:paraId="4966CB9C">
            <w:pPr>
              <w:keepNext w:val="0"/>
              <w:keepLines w:val="0"/>
              <w:widowControl/>
              <w:suppressLineNumbers w:val="0"/>
              <w:jc w:val="left"/>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视频监控设备</w:t>
            </w:r>
          </w:p>
        </w:tc>
        <w:tc>
          <w:tcPr>
            <w:tcW w:w="783" w:type="dxa"/>
            <w:vAlign w:val="center"/>
          </w:tcPr>
          <w:p w14:paraId="528567BE">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885" w:type="dxa"/>
            <w:vAlign w:val="center"/>
          </w:tcPr>
          <w:p w14:paraId="7B6E1760">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27807F4F">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1.尺寸：100英寸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2.运行内存：4GB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3.CPU架构：四核A73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4.分辨率：超高清4K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5.屏幕比例：16:9                                                                     </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6.连接方式：无线/有线    </w:t>
            </w:r>
          </w:p>
        </w:tc>
      </w:tr>
      <w:tr w14:paraId="126A2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33A418A8">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p>
        </w:tc>
        <w:tc>
          <w:tcPr>
            <w:tcW w:w="1303" w:type="dxa"/>
            <w:vAlign w:val="center"/>
          </w:tcPr>
          <w:p w14:paraId="2B57E724">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综合安防管理平台（核心产品）</w:t>
            </w:r>
          </w:p>
        </w:tc>
        <w:tc>
          <w:tcPr>
            <w:tcW w:w="783" w:type="dxa"/>
            <w:vAlign w:val="center"/>
          </w:tcPr>
          <w:p w14:paraId="5D33C448">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1套</w:t>
            </w:r>
          </w:p>
        </w:tc>
        <w:tc>
          <w:tcPr>
            <w:tcW w:w="885" w:type="dxa"/>
            <w:vAlign w:val="center"/>
          </w:tcPr>
          <w:p w14:paraId="3E0D9BE0">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软件和信息技术服务业</w:t>
            </w:r>
          </w:p>
        </w:tc>
        <w:tc>
          <w:tcPr>
            <w:tcW w:w="6429" w:type="dxa"/>
            <w:vAlign w:val="center"/>
          </w:tcPr>
          <w:p w14:paraId="6658FF78">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1.提供门户首页内容自定义能力，支持自定义快捷入口、自定义菜单内容、自定义页面元素设置；支持门户展示元素自定义，包括页面logo图标、修改网站标题、设置并添加网站外部链接；</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2.提供统一的认证、鉴权管理、应用管理、菜单管理、用户管理、角色管理、组织管理、资源管理等能力；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3.提供用户权限管理能力，包括菜单权限、组织权限、区域权限、资源权限、功能控制权限；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4.提供组织、区域、设备、人员、卡片、车辆等资源统一管理；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5.提供用户安全管理，支持账户绑定用户mac地址及IP地址能力，提供账户安全设置，支持账户密码有效期设置，支持登录类型（Web端、PC客户端、移动端）和认证方式（密码、PKI）的配置；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6.提供NTP校时服务能力，支持对设备和服务器统一校时;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7、提供数据、服务等统一开放能力；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8.提供系统运行状态监测能力，包括运行服务监控、运行服务统计、运行数据报告和运行服务解析概览。</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9.提供安保管理员、安保值班员、后勤管理员、行政管理员、运维管理员五类用户角色门户工作台；</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10.提供工作台自定义能力，用户可以自由配置业务展示内容，制定专属的工作台显示内容；</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11.提供应用菜单导航、应用快捷入口、待办消息提醒等能力。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 提供系统报警事件接收、事件处理、事件联动、事件检索能力，提供场景化的事件联动应用，报警事件产生时，可以通过多种方式、多种联动场景提醒安保人员，联动方式包含视频弹窗、视频上墙、录像联动、云台联动、短信联动、邮箱联动、IO联动、抓图联动、门禁反控联动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 支持事件联动规则配置管理，包括规则增删改查，支持自定义联动规则模板。</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 支持事件规则计划模板，包括全天候模式、工作日模式、周末模式及自定义模式。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 支持多种报警事件配置联动，包括：视频事件、入侵报警事件、IO事件、门禁事件、停车场事件、可视对讲事件、行车监控事件、梯控事件、动环事件、紧急报警事件、人脸事件、卡口事件.消防事件、测温事件等事件联动动作配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 提供7种高级联动规则模版配置，支持配置满足在指定时间段存在多个触发事件类型而联动多个并发动作的场景。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 支持报警事件自定义时间存储。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 支持多种维度检索报警事件，包括：区域、位置、事件源、事件等级、时间、状态等维度。</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 支持事件详情查看，包括抓图、录像等。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 支持对报警事件进行标记、处理以及导出。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 提供各类资源图上展示及控制操作，在地图上可展示各类资源点的地理位置，通过接收资源点报警事件，实现报警信息可视化展示。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 支持地图配置能力，包含在线（高德）、离线GIS地图（高德、自定义）。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 支持资源上图配置能力，实现资源的地图可视化展示及控制操作，资源类型包含监控点、报警输出、报警输入、门禁点、出入口、停车场、传感器、手持视频终端、园区卡口资源、防区、报警输入、报警输出、报警主机IO输出、消防设备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24. 支持事件可视化监控能力，实时展示报警事件，支持历史报警事件查询。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25. 支持针对移动GPS设备的运行轨迹回放能力，如单兵设备。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26. 面向管理人员、员工提供移动APP端应用，包含应用搜索、消息、待办及各类业务应用。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 支持管理员和员工登录APP，根据管理员的角色权限展示对应的管理应用，员工端支持访客、食堂消费、考勤、场库导览、报修应用。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28. 支持事件、消息、代办内容的提醒和查看功能，使管理人员能够实时知晓和处理业务事件。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29.提供安防管理应用，包括：视频预览、录像回放、图片查询、巡更、图上监控、报警监测、电瓶车管理应用。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 提供综合管理应用，包括考勤、食堂消费、移动订餐、食堂配送、智慧广播、维修管理、人员信息采集应用。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 提供通行管理应用，包括访客、门禁控制、车辆管理、移动岗亭应用。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 提供人员进出、访客到访数据统计，提供设备在离线、告警信息的数据统计。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33. 实现视频预览、录像回放、视频上墙、视频事件监控服务能力，并且在网络带宽不足、有流量限制的网络环境下可以通过以图片替代视频的模式提供监控服务。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34. 支持视频实时预览能力，实现预览窗口布局切换、预览画面自适应及全屏切换。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 支持云台控制、实时抓图、紧急录像、即时回放、主子码流切换、声音开启\关闭、辅屏预览（1个辅屏）、对讲、广播、报警输出控制的能力。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 支持智能规则展示的能力（如：针对热成像设备温度信息实时展示）。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37. 支持资源视图管理能力，以视图形式管理监控点、视频预览轮巡等自定义资源组，其中视图类型包含公有视图和私有视图。</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38. 支持全景视频监控预览能力，支持全景摄像机的全景模式。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 支持录像计划管理能力，支持实时录像计划、录像回传计划。</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 支持录像回放能力，支持多画面同步回放和异步回放切换、超高倍速回放、分段回放、录像下载、录像剪辑、录像标签、录像锁定、录像抓图。</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41. 支持视频预览与图片实时监控模式切换能力，实现图片监控模式。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42. 支持图片查询回放能力，实现按监控点、时间段展示抓拍图片。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43. 支持图片自动播放能力，支持图片自动播放速度可设置。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44. 支持图片下载能力。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 支持电视墙场景管理能力，实现场景窗口配置、场景切换计划配置以及轮巡计划的管理。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46. 支持上墙控制能力，实现场景一键上墙、场景切换、电视墙切换、监控点上下墙、轮巡控制操作。</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47. 支持视频事件布撤防能力，可按计划模版进行布防，事件类型包括移动侦测、视频丢失、视频遮挡、报警输入、报警输出。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48. 设备网络管理应用，对接入平台的视频设备，门禁设备，梯控设备，可视对讲设备进行在线巡检，及时发现故障设备和掉线设备，使运维工作更加高效，便利。</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49. 支持监控摄像机、编码设备、存储设备、解码设备等物联设备在线状态、工作状态、硬盘状态、指标采集。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 支持监控点通道的在线状态、录制状态、录像完整性、录像保存天数指标检测。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51. 提供视频运维报表统计能力，包含区域综合排名统计、录像完整性统计、录像存储达标统计、在线状态统计、离线时长统计报表。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52. 支持巡检计划配置，可以按照类型和资源以及自定义的巡检周期进行巡检计划配置。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53. 提供门禁设备在线状态监测能力。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54. 提供门禁设备运维报表统计能力。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55. 提供门口机、室内机、管理机、围墙机设备在线状态监测能力。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56. 提供可视对讲设备运维报表统计能力。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57. 提供梯控主机、读卡器在线状态监测能力。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 提供梯控设备运维报表统计能力。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59. 提供岗亭缴费终端、出入口控制设备、出入口显示设备、读卡设备在线状态监测能力。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 提供停车场出入口设备运维报表统计能力。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 提供诱导管理器、车位相机、显示屏在线状态监测能力。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 提供寻车诱导设备运维报表统计能力。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 出入口车辆放行管理通过接入多种出入口道闸设备，利用车牌号码、卡片，实现车辆识别、出入管控等应用，主要提供出入口车道管理、车辆管理、车辆放行规则管理、出入口LED显示和语音播报管理、库内车辆管理、过车记录查询、车流量统计等应用，支持中心和岗亭监控出入口过车实况、道闸反控和语音对讲协助功能。</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 支持停车场出入口设备的管理，包含出入口抓拍机、道闸、显示屏等。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 支持对停车场的管理，配置停车库的名称、车位数、车道信息、车库管理人员电话。</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 支持对车道的管理，支持管理车道方向、识别模式（车牌识别、卡号识别）和启用时段。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 支持固定车、临时车、预约车、黑名单车辆的管理。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68. 支持黑名单车辆管控，黑名单车辆进出报警提醒。</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69. 支持预约车管理，按次预约和按时段预约。</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70. 支持嵌套停车场场景下的车辆进出管理和余位统计。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71. 支持出入口潮汐车道、摩托车车道、混行车道的车道模式。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72. 支持自动放行、手动放行和单进单出等多种放行模式；支持车位满时固定车辆、临时车辆自动放行。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73. 支持配置特殊车辆（警车、使馆车）、车牌类型、车牌前缀，自动放行。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 支持配置节假日车辆自动免费放行。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 支持按车辆群组配置放行规则，按放行时段（全天、按日、按周）配置入场和出场放行权限、车位满是否放行、是否余位统计群组车进行配置。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76. 支持一户多车。当车主只有一个车位两辆车时，只允许一辆车进入停车场。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 支持车辆满位排队进场，当停车场车位满时，有车辆出场后，排队车辆自动抬杆放行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 四、出入口显示和语音播报管理。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79. 支持根据车道类型自定义配置LED屏的显示内容，支持过车显示内容和空闲显示内容，显示内容可自定义配置文字颜色、文字对齐方式、显示方式和显示内容。</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 出入口显示屏的空闲显示内容包括：空余车位、当前时间、当前日期及自定义文字。</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81. 出入口显示屏的过车显示内容，可以根据车辆类型配置不同的内容，包括：车牌号码、车辆卡号、车辆类型、入场时间、到期提醒、空余车位、账户余额、车辆分类、一户多车满位及自定义文字。</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82. 出入口显示屏支持根据车道的启用和禁用状态显示对应的图标。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83. 支持根据车辆类型，自定义配置入场播报、出场播报和放行播报的语音播报内容。</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84. 语音播报的入场播报，包括：车牌号码、到期时间、一户多车满位、欢迎光临/车位已满、车辆分类及自定义文字。</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85. 语音播报的出场播报，包括：车牌号码、车辆卡号、入场时间、收费金额/到期提醒、出场时间、停车时长、余额提醒、车辆分类及自定义文字。</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86. 支持按停车时长进行库内车辆的查询。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87. 支持对库内车辆进行车牌校正。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88. 支持对场内异常车辆的记录进行清理。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89. 支持对场内无牌车定期自动清理。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 支持多种记录查询包括：过车记录、停车记录、场内车辆记录、预约记录、班次记录；查询结果支持列表和图片两种方式展示。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91. 支持车流量按日、月、年、自定义日期，统计停车场车辆进出的车流量总数、平均车流量、峰值车流量。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92. 支持查看停车场的总车位、剩余车位和预约车位信息。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93. 支持查看各车道的过车信息，包含过车时间、车牌号、放行状态。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94. 支持控制车道开闸、常开、关闸。</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 支持查看各车道设备的在线状态。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96. 支持对在出入口的车辆进行校正车牌、修改车辆类型和手动放行。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 支持查询过车记录、预约车辆、固定车辆信息。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98. 支持将车辆添加到黑名单。</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 支持违章车辆在出入口实现放行限制，并展示违章详情记录。</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 支持查看车道的过车记录，包含过车时间、车牌号码、车辆类型、停车库、入库口等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101. 支持远程控制车道，对车道进行开闸、关闸、常开和呼叫的操作。</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 支持远程查看各车道设备的在线状态。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103. 支持出入口票箱、可视对讲发起与中心对讲，中心对车辆进行校正车牌、手动放行的操作。</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104. 支持在中心查看一户多车车辆的车辆信息和在场状态，可通过强制离场操作将已在场内的一户多车车辆改为离场状态。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105.基于多模态大模型，实现海量视图数据的开放式语义检索，不再局限于传统的录像回放及固定属性查找。在搜索框内输入文字描述，例如“打电话”、 “骑电瓶车未戴头盔”等，即可搜索出相关目标。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106.针对锁定的目标支持快捷查看目标动向。</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107.预置热门搜索词条并记录历史搜索，支持用户点击进行快速搜索，让操作更简单，使用更便捷。</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108.支持针对文搜结果图片进行身份识别，判断为内部人员或陌生人。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109.支持APP移动端文搜。</w:t>
            </w:r>
          </w:p>
        </w:tc>
      </w:tr>
      <w:tr w14:paraId="38AAD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31C28316">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p>
        </w:tc>
        <w:tc>
          <w:tcPr>
            <w:tcW w:w="1303" w:type="dxa"/>
            <w:vAlign w:val="center"/>
          </w:tcPr>
          <w:p w14:paraId="57090B6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系统集成</w:t>
            </w:r>
          </w:p>
        </w:tc>
        <w:tc>
          <w:tcPr>
            <w:tcW w:w="783" w:type="dxa"/>
            <w:vAlign w:val="center"/>
          </w:tcPr>
          <w:p w14:paraId="2627F171">
            <w:pPr>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1项</w:t>
            </w:r>
          </w:p>
        </w:tc>
        <w:tc>
          <w:tcPr>
            <w:tcW w:w="885" w:type="dxa"/>
            <w:vAlign w:val="center"/>
          </w:tcPr>
          <w:p w14:paraId="0E4AC61C">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其他未列明行业</w:t>
            </w:r>
          </w:p>
        </w:tc>
        <w:tc>
          <w:tcPr>
            <w:tcW w:w="6429" w:type="dxa"/>
            <w:vAlign w:val="center"/>
          </w:tcPr>
          <w:p w14:paraId="0B9DBA1D">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集成服务费</w:t>
            </w:r>
          </w:p>
        </w:tc>
      </w:tr>
      <w:tr w14:paraId="7BAAF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427" w:type="dxa"/>
            <w:vAlign w:val="center"/>
          </w:tcPr>
          <w:p w14:paraId="5D770B76">
            <w:pPr>
              <w:tabs>
                <w:tab w:val="left" w:pos="180"/>
                <w:tab w:val="left" w:pos="1620"/>
              </w:tabs>
              <w:spacing w:line="400" w:lineRule="exact"/>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p>
        </w:tc>
        <w:tc>
          <w:tcPr>
            <w:tcW w:w="1303" w:type="dxa"/>
            <w:vAlign w:val="center"/>
          </w:tcPr>
          <w:p w14:paraId="786E73DA">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录像机</w:t>
            </w:r>
          </w:p>
        </w:tc>
        <w:tc>
          <w:tcPr>
            <w:tcW w:w="783" w:type="dxa"/>
            <w:vAlign w:val="center"/>
          </w:tcPr>
          <w:p w14:paraId="7AF1CDF7">
            <w:pPr>
              <w:spacing w:line="400" w:lineRule="exact"/>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5台</w:t>
            </w:r>
          </w:p>
        </w:tc>
        <w:tc>
          <w:tcPr>
            <w:tcW w:w="885" w:type="dxa"/>
            <w:vAlign w:val="center"/>
          </w:tcPr>
          <w:p w14:paraId="4043C63D">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78AD436">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1.具有2个HDMI接口、2个VGA接口、2个RJ45 千兆网络接口；2个USB2.0接口、2个USB3.0接口、1个RS232接口、1个RS485接口（可接入RS485键盘）、1个eSata接口；具有1路音频输入接口、2路音频输出接口、16路报警输入接口、9路报警输出接口（其中第9路支持受控直流12V输出）、具有1路直流12V输出接口（12V 1A）、可内置9块SATA接口硬盘。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2.HDMI1和HDMI2支持最大单路8K（7680×4320）和1080P（1920×1080）异源输出。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支持文搜功能，可通过文字语义描述，快速检索目标对象或内容；支持对人体、车辆、非机动车、物品、动物、基础事件等类型的检索；并可基于文搜快速检索的结果，对目标进行图搜的二次精准检索定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4.支持将搜索内容添加到历史记录，历史检索词条保持最近10条，通过直接点击该高频热词或历史记录可直接进行重复检索。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5.▲支持独立的文搜应用展示界面，默认支持全通道录像检索，且通道和时间范围可设；支持自定义选择时间范围，可快速选择1天、3天、7天。</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6.▲设备支持独立的智能文搜应用模块，应用内置文搜高频热词，如：人的上衣颜色、下装颜色、随身物品、性别；车的颜色、类型、品牌；其他的抽烟、打电话、玩手机等。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7.支持4路视频流人脸识别，支持16路图片流人脸识别；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8.支持录像目标检索功能，目标检索支持单帧模式调整目标画面，可通过鼠标滚轮调整录像画面帧序列；事件中心，切片回放、回放支持目标检索快速入口；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9.支持预览时对实时视频流进行手动打标签，通过标签检索可以检索到相关的录像片段。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10.支持预览的单窗口轮巡，设备支持在多画面的固定窗口上进行轮巡预览，其他预览窗口不轮巡；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11.设备支持对登入IP安全性检测，检测到上一次登录与本次登录的IP地址不在同一个网段时，会提示上一次登录信息（IP和时间）并有日志记录。</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12.支持自动跳转https功能，设备启用自动跳转https功能后不支持http协议访问，http访问入口连接会自动重定向到https入口。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13.支持接入带宽320Mbps，存储带宽320Mbps，转发带宽256Mbps。</w:t>
            </w:r>
          </w:p>
        </w:tc>
      </w:tr>
      <w:tr w14:paraId="778EA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245293AA">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8</w:t>
            </w:r>
          </w:p>
        </w:tc>
        <w:tc>
          <w:tcPr>
            <w:tcW w:w="1303" w:type="dxa"/>
            <w:vAlign w:val="center"/>
          </w:tcPr>
          <w:p w14:paraId="748D49CD">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硬盘</w:t>
            </w:r>
          </w:p>
        </w:tc>
        <w:tc>
          <w:tcPr>
            <w:tcW w:w="783" w:type="dxa"/>
            <w:vAlign w:val="center"/>
          </w:tcPr>
          <w:p w14:paraId="12DA48F1">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30块</w:t>
            </w:r>
          </w:p>
        </w:tc>
        <w:tc>
          <w:tcPr>
            <w:tcW w:w="885" w:type="dxa"/>
            <w:vAlign w:val="center"/>
          </w:tcPr>
          <w:p w14:paraId="128D34F6">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37B49F2E">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1.6TB容量，3.5英寸，SATA3.0接口，5400RPM。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2.传输速率176.4 MiB/s，流畅存储视频有效防止丢帧。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3.高级格式（AF）512e扇区技术，保障硬盘扇区4K对齐。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4.满足数据严苛的7*24小时运行可靠性、安全性的需求。</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5.满足支持本次采购摄像头设备存储90天。</w:t>
            </w:r>
          </w:p>
        </w:tc>
      </w:tr>
      <w:tr w14:paraId="4BD03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C3509E3">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p>
        </w:tc>
        <w:tc>
          <w:tcPr>
            <w:tcW w:w="1303" w:type="dxa"/>
            <w:vAlign w:val="center"/>
          </w:tcPr>
          <w:p w14:paraId="48B2DCD4">
            <w:pPr>
              <w:keepNext w:val="0"/>
              <w:keepLines w:val="0"/>
              <w:widowControl/>
              <w:suppressLineNumbers w:val="0"/>
              <w:jc w:val="center"/>
              <w:textAlignment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汇聚交换机</w:t>
            </w:r>
          </w:p>
        </w:tc>
        <w:tc>
          <w:tcPr>
            <w:tcW w:w="783" w:type="dxa"/>
            <w:vAlign w:val="center"/>
          </w:tcPr>
          <w:p w14:paraId="443FD510">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5台</w:t>
            </w:r>
          </w:p>
        </w:tc>
        <w:tc>
          <w:tcPr>
            <w:tcW w:w="885" w:type="dxa"/>
            <w:vAlign w:val="center"/>
          </w:tcPr>
          <w:p w14:paraId="7C68315D">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1E739D25">
            <w:pPr>
              <w:keepNext w:val="0"/>
              <w:keepLines w:val="0"/>
              <w:widowControl/>
              <w:suppressLineNumbers w:val="0"/>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提供8个千兆电口。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交换容量：20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包转发率：14.88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支持IEEE 802.3、IEEE 802.3u、IEEE 802.3x、IEEE 802.3ab标准。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支持管理平台管理。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支持手机APP管理。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支持安防网络拓扑管理、端口管理，支持远程升级。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支持VLAN。</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支持SNMPv1/v2c协议。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支持DHCP Snooping。</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支持静态链路聚合。</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支持远程升级。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坚固式高强度金属外壳。</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无风扇设计，高可靠性。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浪涌防护：网口6 KV。</w:t>
            </w:r>
          </w:p>
        </w:tc>
      </w:tr>
      <w:tr w14:paraId="2B2AD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641CF8F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p>
        </w:tc>
        <w:tc>
          <w:tcPr>
            <w:tcW w:w="1303" w:type="dxa"/>
            <w:vAlign w:val="center"/>
          </w:tcPr>
          <w:p w14:paraId="21AB7700">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783" w:type="dxa"/>
            <w:vAlign w:val="center"/>
          </w:tcPr>
          <w:p w14:paraId="2B79BF03">
            <w:pPr>
              <w:spacing w:line="400" w:lineRule="exact"/>
              <w:jc w:val="center"/>
              <w:rPr>
                <w:rFonts w:hint="default" w:ascii="宋体" w:hAnsi="宋体" w:cs="Arial"/>
                <w:color w:val="000000" w:themeColor="text1"/>
                <w:kern w:val="0"/>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p w14:paraId="3B422831">
            <w:pPr>
              <w:spacing w:line="400" w:lineRule="exact"/>
              <w:rPr>
                <w:rFonts w:hint="eastAsia" w:ascii="宋体" w:hAnsi="宋体" w:cs="宋体"/>
                <w:color w:val="000000" w:themeColor="text1"/>
                <w:szCs w:val="21"/>
                <w:lang w:val="en-US" w:eastAsia="zh-CN"/>
                <w14:textFill>
                  <w14:solidFill>
                    <w14:schemeClr w14:val="tx1"/>
                  </w14:solidFill>
                </w14:textFill>
              </w:rPr>
            </w:pPr>
          </w:p>
        </w:tc>
        <w:tc>
          <w:tcPr>
            <w:tcW w:w="885" w:type="dxa"/>
            <w:vAlign w:val="center"/>
          </w:tcPr>
          <w:p w14:paraId="56A9D109">
            <w:pPr>
              <w:spacing w:line="400" w:lineRule="exac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AB4037F">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1个CVBS接口，2个RJ45千兆网络接口、2个USB2.0接口、2个USB3.0接口、1个RS232接口、1个RS485接口（可接入RS485键盘）、1个eSata接口；1+1冗余电源，1+1冗余风扇。具有1路音频输入接口、2路音频输出接口，16路报警输入接口、9路报警输出接口（其中第9路支持受控直流12V输出）；具有1路直流12V输出接口（12V 1A）；可内置16个SATA接口硬盘。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2.▲HDMI1和HDMI2支持单路8K（7680×4320）和1080P（1920×1080）异源输出。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3.▲设备支持文搜功能，可通过文字语义描述，快速检索目标对象或内容；并可基于文搜快速检索的结果，对目标进行图搜的二次精准检索定位。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4.支持将搜索内容添加到历史记录，历史检索词条保持最近10条，通过直接点击该高频热词或历史记录可直接进行重复检索。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5.▲支持独立的文搜应用展示界面，默认支持全通道录像检索，且通道和时间范围可设；支持自定义选择时间范围，可快速选择1天、3天、7天。</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6.▲设备支持独立的智能文搜应用模块，应用内置文搜高频热词，如：人的上衣颜色、下装颜色、随身物品、性别；车的颜色、类型、品牌；其他的抽烟、打电话、玩手机等。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7.▲支持16路视频流人脸识别，支持48路图片流人脸识别。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8.支持录像目标检索功能，目标检索支持单帧模式调整目标画面，可通过鼠标滚轮调整录像画面帧序列；事件中心，切片回放、回放支持目标检索快速入口。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9.支持预览时对实时视频流进行手动打标签，通过标签检索可以检索到相关的录像片段。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10.支持预览的单窗口轮巡，设备支持在多画面的固定窗口上进行轮巡预览，其他预览窗口不轮巡。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11.设备支持对登入IP安全性检测，检测到上一次登录与本次登录的IP地址不在同一个网段时，会提示上一次登录信息（IP和时间）并有日志记录。</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12.支持最大接入带宽384Mbps，存储带宽384Mbps，转发带宽256Mbps。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13.样品电源由冗余电源芯片进行负载均衡控制，当一个电源出现故障时，另一个电源可以接管其工作；在更换故障电源后，可恢复到两个电源协同负载均衡工作。</w:t>
            </w:r>
          </w:p>
        </w:tc>
      </w:tr>
      <w:tr w14:paraId="10043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22B4D8EE">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11</w:t>
            </w:r>
          </w:p>
        </w:tc>
        <w:tc>
          <w:tcPr>
            <w:tcW w:w="1303" w:type="dxa"/>
            <w:vAlign w:val="center"/>
          </w:tcPr>
          <w:p w14:paraId="6F135908">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783" w:type="dxa"/>
            <w:vAlign w:val="center"/>
          </w:tcPr>
          <w:p w14:paraId="33FC70BE">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885" w:type="dxa"/>
            <w:vAlign w:val="center"/>
          </w:tcPr>
          <w:p w14:paraId="0363E174">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51484409">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1.具有2个HDMI接口、2个VGA接口、2个RJ45 千兆网络接口；2个USB2.0接口、2个USB3.0接口、1个RS232接口、1个RS485接口（可接入RS485键盘）、1个eSata接口；具有1路音频输入接口、2路音频输出接口、16路报警输入接口、9路报警输出接口（其中第9路支持受控直流12V输出）、具有1路直流12V输出接口（12V 1A）、可内置16块SATA接口硬盘。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2.▲HDMI1和HDMI2支持单路8K（7680×4320）和1080P（1920×1080）异源输出。</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支持文搜功能，可通过文字语义描述，快速检索目标对象或内容；支持对人体、车辆、非机动车、物品、动物、基础事件等类型的检索；并可基于文搜快速检索的结果，对目标进行图搜的二次精准检索定位。</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4.▲支持将搜索内容添加到历史记录，历史检索词条保持最近10条，通过直接点击该高频热词或历史记录可直接进行重复检索。</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5.▲支持独立的文搜应用展示界面，默认支持全通道录像检索，且通道和时间范围可设；支持自定义选择时间范围，可快速选择1天、3天、7天。</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6.▲设备支持独立的智能文搜应用模块，应用内置文搜高频热词，如：人的上衣颜色、下装颜色、随身物品、性别；车的颜色、类型、品牌；其他的抽烟、打电话、玩手机等。</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7.支持4路视频流人脸识别，支持16路图片流人脸识别。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8.支持录像目标检索功能，目标检索支持单帧模式调整目标画面，可通过鼠标滚轮调整录像画面帧序列；事件中心，切片回放、回放支持目标检索快速入口。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9.支持预览时对实时视频流进行手动打标签，通过标签检索可以检索到相关的录像片段。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10.▲设备支持对登入IP安全性检测，检测到上一次登录与本次登录的IP地址不在同一个网段时，会提示上一次登录信息（IP和时间）并有日志记录。</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11.支持切片回放，支持按月、日、小时维度进行切片展示，按月支持30个切片，按日支持24个切片，按时支持60个切片。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12.支持对切片回放片段进行目标检索、备份导出、开启/关闭智能POS信息等操作。</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13.支持接入带宽384Mbps，存储带宽384Mbps，转发带宽256Mbps。</w:t>
            </w:r>
          </w:p>
        </w:tc>
      </w:tr>
      <w:tr w14:paraId="2544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5" w:hRule="atLeast"/>
          <w:jc w:val="center"/>
        </w:trPr>
        <w:tc>
          <w:tcPr>
            <w:tcW w:w="427" w:type="dxa"/>
            <w:vAlign w:val="center"/>
          </w:tcPr>
          <w:p w14:paraId="513BA39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w:t>
            </w:r>
          </w:p>
        </w:tc>
        <w:tc>
          <w:tcPr>
            <w:tcW w:w="1303" w:type="dxa"/>
            <w:vAlign w:val="center"/>
          </w:tcPr>
          <w:p w14:paraId="37757A8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录像机</w:t>
            </w:r>
          </w:p>
        </w:tc>
        <w:tc>
          <w:tcPr>
            <w:tcW w:w="783" w:type="dxa"/>
            <w:vAlign w:val="center"/>
          </w:tcPr>
          <w:p w14:paraId="7584A9D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1台</w:t>
            </w:r>
          </w:p>
        </w:tc>
        <w:tc>
          <w:tcPr>
            <w:tcW w:w="885" w:type="dxa"/>
            <w:vAlign w:val="center"/>
          </w:tcPr>
          <w:p w14:paraId="29804813">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75C38F9B">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1.具有2个HDMI接口、1个VGA接口、2个RJ45 千兆网络接口；2个USB2.0接口、1个USB3.0接口、1个RS232接口、2个RS485接口（可接入RS485键盘）、1个eSata接口；具有1路音频输入接口、1路音频输出接口、16路报警输入接口、9路报警输出接口（其中第9路支持受控直流12V输出）、具有1路直流12V输出接口（12V 1A）、可内置5块SATA接口硬盘。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2.▲HDMI1和HDMI2支持单路8K（7680×4320）和1080P（1920×1080）异源输出。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支持文搜功能，可通过文字语义描述，快速检索目标对象或内容；支持对人体、车辆、非机动车、物品、动物、基础事件等类型的检索；并可基于文搜快速检索的结果，对目标进行图搜的二次精准检索定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4.支持将搜索内容添加到历史记录，历史检索词条保持最近10条，通过直接点击该高频热词或历史记录可直接进行重复检索。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5.支持独立的文搜应用展示界面，默认支持全通道录像检索，且通道和时间范围可设；支持自定义选择时间范围，可快速选择1天、3天、7天。</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6.▲设备支持独立的智能文搜应用模块，应用内置文搜高频热词，如：人的上衣颜色、下装颜色、随身物品、性别；车的颜色、类型、品牌；其他的抽烟、打电话、玩手机等。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7.支持4路视频流人脸识别，支持16路图片流人脸识别。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8.▲支持录像目标检索功能，目标检索支持单帧模式调整目标画面，可通过鼠标滚轮调整录像画面帧序列；事件中心，切片回放、回放支持目标检索快速入口。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9.支持预览时对实时视频流进行手动打标签，通过标签检索可以检索到相关的录像片段。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10.支持预览的单窗口轮巡，设备支持在多画面的固定窗口上进行轮巡预览，其他预览窗口不轮巡。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11.▲支持音频设备与视频设备独立管理，支持网络拾音器的接入、校时；最大16路音频设备管理。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12.支持前端IPC证书二次校验机制，未通过证书校验的IPC不允许添加到NVR。</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13.▲支持切片回放，支持按月、日、小时维度进行切片展示，按月支持30个切片，按日支持24个切片，按时支持60个切片。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14.支持接入带宽256Mbps，存储带宽256Mbps，转发带宽256Mbps。</w:t>
            </w:r>
          </w:p>
        </w:tc>
      </w:tr>
      <w:tr w14:paraId="315F1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7818DA36">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13</w:t>
            </w:r>
          </w:p>
        </w:tc>
        <w:tc>
          <w:tcPr>
            <w:tcW w:w="1303" w:type="dxa"/>
            <w:vAlign w:val="center"/>
          </w:tcPr>
          <w:p w14:paraId="3C8A211D">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硬盘</w:t>
            </w:r>
          </w:p>
        </w:tc>
        <w:tc>
          <w:tcPr>
            <w:tcW w:w="783" w:type="dxa"/>
            <w:vAlign w:val="center"/>
          </w:tcPr>
          <w:p w14:paraId="50F20EDB">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34块</w:t>
            </w:r>
          </w:p>
        </w:tc>
        <w:tc>
          <w:tcPr>
            <w:tcW w:w="885" w:type="dxa"/>
            <w:vAlign w:val="center"/>
          </w:tcPr>
          <w:p w14:paraId="05B19D79">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1BAA21CF">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1.10TB容量，3.5英寸，SATA3.0接口，7200RPM。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2.AllFrame AI全帧技术，提升用户AI视频分析检索体验。</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3.传输速率265 MB/s，流畅存储视频有效防止丢帧。</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4.高级格式（AF）512e扇区技术，保障硬盘扇区4K对齐。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5.满足数据严苛的7*24小时运行可靠性、安全性的需求。</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6.满足支持本次采购摄像头设备存储90天。</w:t>
            </w:r>
          </w:p>
        </w:tc>
      </w:tr>
      <w:tr w14:paraId="25DD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7" w:type="dxa"/>
            <w:vAlign w:val="center"/>
          </w:tcPr>
          <w:p w14:paraId="4DA71C43">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1303" w:type="dxa"/>
            <w:vAlign w:val="center"/>
          </w:tcPr>
          <w:p w14:paraId="6019B89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4MM筒式摄像头</w:t>
            </w:r>
          </w:p>
        </w:tc>
        <w:tc>
          <w:tcPr>
            <w:tcW w:w="783" w:type="dxa"/>
            <w:vAlign w:val="center"/>
          </w:tcPr>
          <w:p w14:paraId="08C4E98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109个</w:t>
            </w:r>
          </w:p>
        </w:tc>
        <w:tc>
          <w:tcPr>
            <w:tcW w:w="885" w:type="dxa"/>
            <w:vAlign w:val="center"/>
          </w:tcPr>
          <w:p w14:paraId="17BCBDC1">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2C54B35C">
            <w:pPr>
              <w:pStyle w:val="7"/>
              <w:keepNext w:val="0"/>
              <w:keepLines w:val="0"/>
              <w:pageBreakBefore w:val="0"/>
              <w:widowControl w:val="0"/>
              <w:kinsoku/>
              <w:wordWrap/>
              <w:overflowPunct/>
              <w:topLinePunct w:val="0"/>
              <w:autoSpaceDE/>
              <w:autoSpaceDN/>
              <w:bidi w:val="0"/>
              <w:adjustRightInd/>
              <w:snapToGrid/>
              <w:spacing w:line="264"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1.支持输出图像分辨率不低于2560x1440；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4.补光灯开启后，灯光应为椭圆形形状，且补光灯均匀无波纹状、圆环状、麻点状、条纹状和不规则亮斑；</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5.可通过IE浏览器或客户端开启白光补光；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6.在低照环境下，开启补光灯，设备可识别距离设备30m处人体轮廓；</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7.具有日夜场景自适应功能，在白天和夜晚环境下，设备均可输出彩色图像，在夜晚自动开启补光灯条件下，夜晚图像清晰度应不低于白天图像清晰度的95%；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8.具有AI-ISP图像质量提升功能，在低照度环境下，可自动调节预览场景视频画面中人脸、人体、车辆等目标及预览场景视频画面的区域曝光、亮度、色彩饱和度、对比度、锐度等；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9.可通过IE浏览器设置码流套餐为画质优先、均衡模式、存储优先及自定义4种类型；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10.内置靶面尺寸为1/1.8英寸的CMOS图像传感器；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11.光圈≥F1.0，支持DC12V供电；</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12.▲支持对H.264、H.265编码格式的视频进行AI编码。开启AI编码功能后，视频编码格式、分辨率、帧率保持不变；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13.▲支持大模型AI编码功能。可保持可视场景中目标（如人、车）的图像质量，并虚化背景以降低码率和存储空间；</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14.▲在同一监控场景下，AI编码功能开启并运行24h后，相比于不开启AI编码功能状态下的H.265编码，在目标清晰度无明显降低的条件下，码率节约不小于50％；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支持流量管理功能，可设置日平均码率和最大码率上限。功能开启后，可控制平均网传流量和统计日流量余额；无历史结余流量时，实时网传码率应不超过日平均码率，存在历史结余流量时，历史结余流量可按需动态分配给当前场景使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16.▲支持开启、关闭智能文搜功能，功能开启后，设备可上传目标场景图片及目标信息，目标信息包括出现的时间、目标类别（人、车、其他）、在视场中的位置。</w:t>
            </w:r>
          </w:p>
        </w:tc>
      </w:tr>
      <w:tr w14:paraId="349C4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2D06FCC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15</w:t>
            </w:r>
          </w:p>
        </w:tc>
        <w:tc>
          <w:tcPr>
            <w:tcW w:w="1303" w:type="dxa"/>
            <w:vAlign w:val="center"/>
          </w:tcPr>
          <w:p w14:paraId="0048DA14">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4MM半球摄像头</w:t>
            </w:r>
          </w:p>
        </w:tc>
        <w:tc>
          <w:tcPr>
            <w:tcW w:w="783" w:type="dxa"/>
            <w:vAlign w:val="center"/>
          </w:tcPr>
          <w:p w14:paraId="39B0F55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22个</w:t>
            </w:r>
          </w:p>
        </w:tc>
        <w:tc>
          <w:tcPr>
            <w:tcW w:w="885" w:type="dxa"/>
            <w:vAlign w:val="center"/>
          </w:tcPr>
          <w:p w14:paraId="5C5C7E0B">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2FE11F9B">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1.支持输出分辨率不小于2560x1440；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4.补光灯开启后，灯光应为椭圆形形状，且补光灯均匀无波纹状、圆环状、麻点状、条纹状和不规则亮斑；</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5.最低照度：彩色：0.0005 Lux，支持柔光灯补光，照射距离最远可达30 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6.具有日夜场景自适应功能，在白天和夜晚环境下，设备均可输出彩色图像，在夜晚自动开启补光灯条件下，夜晚图像清晰度应不低于白天图像清晰度的95%；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7.具有AI-ISP图像质量提升功能，在低照度环境下，可自动调节预览场景视频画面中人脸、人体、车辆等目标及预览场景视频画面的区域曝光、亮度、色彩饱和度、对比度、锐度等；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8.可通过IE浏览器设置码流套餐为画质优先、均衡模式、存储优先及自定义4种类型；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9.内置靶面尺寸为1/1.8英寸的CMOS图像传感器，光圈≥F1.0；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10.▲支持对H.264、H.265编码格式的视频进行AI编码。开启AI编码功能后，视频编码格式、分辨率、帧率保持不变；</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11.▲支持大模型AI编码功能。可保持可视场景中目标（如人、车）的图像质量，并虚化背景以降低码率和存储空间；</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12.▲在同一监控场景下，AI编码功能开启并运行24h后，相比于不开启AI编码功能状态下的H.265编码，在目标清晰度无明显降低的条件下，码率节约不小于50％；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支持流量管理功能，可设置日平均码率和最大码率上限。功能开启后，可控制平均网传流量和统计日流量余额；无历史结余流量时，实时网传码率应不超过日平均码率，存在历史结余流量时，历史结余流量可按需动态分配给当前场景使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14.▲支持开启、关闭智能文搜功能，功能开启后，设备可上传目标场景图片及目标信息，目标信息包括出现的时间、目标类别（人、车、其他）、在视场中的位置。</w:t>
            </w:r>
          </w:p>
        </w:tc>
      </w:tr>
      <w:tr w14:paraId="33DF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1133F9B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16</w:t>
            </w:r>
          </w:p>
        </w:tc>
        <w:tc>
          <w:tcPr>
            <w:tcW w:w="1303" w:type="dxa"/>
            <w:vAlign w:val="center"/>
          </w:tcPr>
          <w:p w14:paraId="55437A1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2.8MM半球摄像头</w:t>
            </w:r>
          </w:p>
        </w:tc>
        <w:tc>
          <w:tcPr>
            <w:tcW w:w="783" w:type="dxa"/>
            <w:vAlign w:val="center"/>
          </w:tcPr>
          <w:p w14:paraId="1B973CE2">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75个</w:t>
            </w:r>
          </w:p>
        </w:tc>
        <w:tc>
          <w:tcPr>
            <w:tcW w:w="885" w:type="dxa"/>
            <w:vAlign w:val="center"/>
          </w:tcPr>
          <w:p w14:paraId="5E19C43C">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64FFDC3D">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1.支持输出分辨率不小于2560x1440；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2.内置1颗CPU、GPU、NPU于一体的芯片；</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3.补光灯灯杯采用双层透镜结构，外表平面为柔光层，采用复眼式微透镜阵列，具有六边形阵列纹路;下层束光层为鳞甲TIR透镜，内壁具有鳞甲阵列纹路；</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4.补光灯开启后，灯光应为椭圆形形状，且补光灯均匀无波纹状、圆环状、麻点状、条纹状和不规则亮斑；</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5.最低照度：彩色：0.0005 Lux，支持柔光灯补光，照射距离最远可达30 m；</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6.具有日夜场景自适应功能，在白天和夜晚环境下，设备均可输出彩色图像，在夜晚自动开启补光灯条件下，夜晚图像清晰度应不低于白天图像清晰度的95%；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7.具有AI-ISP图像质量提升功能，在低照度环境下，可自动调节预览场景视频画面中人脸、人体、车辆等目标及预览场景视频画面的区域曝光、亮度、色彩饱和度、对比度、锐度等；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8.可通过IE浏览器设置码流套餐为画质优先、均衡模式、存储优先及自定义4种类型；</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9.内置靶面尺寸为1/1.8英寸的CMOS图像传感器，光圈≥F1.0；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10.支持对H.264、H.265编码格式的视频进行AI编码。开启AI编码功能后，视频编码格式、分辨率、帧率保持不变；</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11.支持大模型AI编码功能。可保持可视场景中目标（如人、车）的图像质量，并虚化背景以降低码率和存储空间；</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12.在同一监控场景下，AI编码功能开启并运行24h后，相比于不开启AI编码功能状态下的H.265编码，在目标清晰度无明显降低的条件下，码率节约不小于50％；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13.支持流量管理功能，可设置日平均码率和最大码率上限。功能开启后，可控制平均网传流量和统计日流量余额；无历史结余流量时，实时网传码率应不超过日平均码率，存在历史结余流量时，历史结余流量可按需动态分配给当前场景使用；</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14.支持开启、关闭智能文搜功能，功能开启后，设备可上传目标场景图片及目标信息，目标信息包括出现的时间、目标类别（人、车、其他）、在视场中的位置。</w:t>
            </w:r>
          </w:p>
        </w:tc>
      </w:tr>
      <w:tr w14:paraId="019B9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3592277A">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17</w:t>
            </w:r>
          </w:p>
        </w:tc>
        <w:tc>
          <w:tcPr>
            <w:tcW w:w="1303" w:type="dxa"/>
            <w:vAlign w:val="center"/>
          </w:tcPr>
          <w:p w14:paraId="2AEC128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球型鹰眼摄像</w:t>
            </w:r>
          </w:p>
        </w:tc>
        <w:tc>
          <w:tcPr>
            <w:tcW w:w="783" w:type="dxa"/>
            <w:vAlign w:val="center"/>
          </w:tcPr>
          <w:p w14:paraId="726CDCF4">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4台</w:t>
            </w:r>
          </w:p>
        </w:tc>
        <w:tc>
          <w:tcPr>
            <w:tcW w:w="885" w:type="dxa"/>
            <w:vAlign w:val="center"/>
          </w:tcPr>
          <w:p w14:paraId="1A44CE67">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E94607B">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cs="宋体"/>
                <w:b/>
                <w:bCs/>
                <w:color w:val="000000" w:themeColor="text1"/>
                <w:kern w:val="0"/>
                <w:sz w:val="22"/>
                <w:szCs w:val="22"/>
                <w:lang w:bidi="ar"/>
                <w14:textFill>
                  <w14:solidFill>
                    <w14:schemeClr w14:val="tx1"/>
                  </w14:solidFill>
                </w14:textFill>
              </w:rPr>
            </w:pPr>
            <w:r>
              <w:rPr>
                <w:rFonts w:hint="eastAsia" w:ascii="宋体" w:hAnsi="宋体" w:eastAsia="宋体" w:cs="宋体"/>
                <w:b/>
                <w:bCs/>
                <w:color w:val="000000" w:themeColor="text1"/>
                <w:kern w:val="0"/>
                <w:sz w:val="22"/>
                <w:szCs w:val="22"/>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全景通道：分辨率不小于9040 × 2656，细节通道：分辨率不小于2688 × 1520。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2.全景通道内置6个镜头、靶面尺寸不小于1/1.8英寸的CMOS传感器，细节通道内置1个镜头，靶面尺寸不小于1/1.8英寸的CMOS传感器。</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3.▲设备在全景拼接模式下，垂直视场角不小于110°，水平视场角不小于270°。可将6个全景视频图像进行拼接，实现不小于270°拼接画面显示，并抓拍拼接后的图片。</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p>
          <w:p w14:paraId="27E6EA3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4.细节通道内置镜头支持不小于40倍光学变倍，镜头最大焦距不小于240mm。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5.▲设备内置2个雨刷器，雨刷器1可清洁全景通道镜头表面玻璃，雨刷器2可清洁细节通道镜头表面玻璃。</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p>
          <w:p w14:paraId="0845273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6.设备细节通道水平手控最大速度不小于500°/s，垂直手控最大速度不小于350°/s。。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7.设备具备双安装接口，一个为快速旋转安装接口，一个为多孔稳定安装接口。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8.可自动或手动标定全景视频图像和细节视频图像，使通过客户端软件或IE浏览器在全景视频图像中点击或框选任意区域后，在细节视频图像旋转角度范围允许的条件下，可将该区域处于细节图像中央。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9.▲可通过客户端软件对全景摄像机进行一键自动标定，实现全景摄像机与细节摄像机之间检测区域的定位。</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10.设备全景通道支持人员密度检测功能，可开启、关闭人员密度检测功能，最多可设置8个多边形（3～10条边）人员密度检测区域。每个区域的名称、人员数量报警阈值等级（低、中、高等级）可自定义。</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11.设备全景通道车辆拥堵检测功能，开启车辆拥堵检测功能后，当设置区域内的车辆滞留时间超过设定值时，可通过IE浏览器给出报警提示。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12.▲设备水平安装在8m高度时，可通过全景通道监控设备正下方8m且水平距离0.5m处的行人目标。</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13.设备全景通道具有默认拼接、手动拼接、自动拼接3种拼接模式；自动拼接模式下设备可自动获取特征并进行拼接。</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14.▲设备具有AI-ISP图像质量提升功能，在低照度环境下，可自动调节预览场景视频画面中人脸、人体、车辆等目标及预览场景视频画面的区域曝光、亮度、色彩饱和度、对比度、锐度等。</w:t>
            </w:r>
            <w:r>
              <w:rPr>
                <w:rFonts w:hint="eastAsia" w:ascii="宋体" w:hAnsi="宋体" w:cs="宋体"/>
                <w:b/>
                <w:bCs/>
                <w:color w:val="000000" w:themeColor="text1"/>
                <w:kern w:val="0"/>
                <w:sz w:val="22"/>
                <w:szCs w:val="22"/>
                <w:lang w:bidi="ar"/>
                <w14:textFill>
                  <w14:solidFill>
                    <w14:schemeClr w14:val="tx1"/>
                  </w14:solidFill>
                </w14:textFill>
              </w:rPr>
              <w:t>（响应文件中须提供国家认可的第三方检测机构出具的有关该功能检测报告复印件并加盖供应商公章）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15.设备具有不少于1个RJ45网络接口、1个光纤接口、7路报警输入、2路报警输出、1路音频输入、1路音频输出。内置的北斗定位模块，具有定位功能，可自动获取设备所在位置经纬度信息，防护等级不低于IP67。</w:t>
            </w:r>
          </w:p>
        </w:tc>
      </w:tr>
      <w:tr w14:paraId="0DFD1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51FAF1D2">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18</w:t>
            </w:r>
          </w:p>
        </w:tc>
        <w:tc>
          <w:tcPr>
            <w:tcW w:w="1303" w:type="dxa"/>
            <w:vAlign w:val="center"/>
          </w:tcPr>
          <w:p w14:paraId="4232A77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球型鹰眼支架</w:t>
            </w:r>
          </w:p>
        </w:tc>
        <w:tc>
          <w:tcPr>
            <w:tcW w:w="783" w:type="dxa"/>
            <w:vAlign w:val="center"/>
          </w:tcPr>
          <w:p w14:paraId="27C9078B">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4个</w:t>
            </w:r>
          </w:p>
        </w:tc>
        <w:tc>
          <w:tcPr>
            <w:tcW w:w="885" w:type="dxa"/>
            <w:vAlign w:val="center"/>
          </w:tcPr>
          <w:p w14:paraId="5CD0C4B6">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1E0890FF">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长壁装/铂晶灰/铝合金/</w:t>
            </w:r>
          </w:p>
        </w:tc>
      </w:tr>
      <w:tr w14:paraId="37628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3813852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19</w:t>
            </w:r>
          </w:p>
        </w:tc>
        <w:tc>
          <w:tcPr>
            <w:tcW w:w="1303" w:type="dxa"/>
            <w:vAlign w:val="center"/>
          </w:tcPr>
          <w:p w14:paraId="65D2724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支架</w:t>
            </w:r>
          </w:p>
        </w:tc>
        <w:tc>
          <w:tcPr>
            <w:tcW w:w="783" w:type="dxa"/>
            <w:vAlign w:val="center"/>
          </w:tcPr>
          <w:p w14:paraId="4988EAD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109个</w:t>
            </w:r>
          </w:p>
        </w:tc>
        <w:tc>
          <w:tcPr>
            <w:tcW w:w="885" w:type="dxa"/>
            <w:vAlign w:val="center"/>
          </w:tcPr>
          <w:p w14:paraId="5E429AC3">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A0D169F">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铝合金万向室内外通用防水监控支架</w:t>
            </w:r>
          </w:p>
        </w:tc>
      </w:tr>
      <w:tr w14:paraId="3F742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0FF344A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w:t>
            </w:r>
          </w:p>
        </w:tc>
        <w:tc>
          <w:tcPr>
            <w:tcW w:w="1303" w:type="dxa"/>
            <w:vAlign w:val="center"/>
          </w:tcPr>
          <w:p w14:paraId="0C99E0D0">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交换机</w:t>
            </w:r>
          </w:p>
        </w:tc>
        <w:tc>
          <w:tcPr>
            <w:tcW w:w="783" w:type="dxa"/>
            <w:vAlign w:val="center"/>
          </w:tcPr>
          <w:p w14:paraId="4732DE1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10台</w:t>
            </w:r>
          </w:p>
        </w:tc>
        <w:tc>
          <w:tcPr>
            <w:tcW w:w="885" w:type="dxa"/>
            <w:vAlign w:val="center"/>
          </w:tcPr>
          <w:p w14:paraId="07D83FE6">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5E962B13">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提供16个千兆PoE电口，1个千兆电口，1个千兆光口。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交换容量 36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包转发率 26.78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支持IEEE 802.3at/af。</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端口供电功率：30 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 整机供电功率：230 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 支持6 KV防浪涌（PoE口）。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 支持PoE输出功率管理。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 千兆网络接入设计。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 线速转发、无阻塞设计。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 存储转发交换方式。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 坚固式高强度金属外壳。</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 工作温度：0 °C ~ 45 °C。</w:t>
            </w:r>
          </w:p>
        </w:tc>
      </w:tr>
      <w:tr w14:paraId="04930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3229EA9A">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21</w:t>
            </w:r>
          </w:p>
        </w:tc>
        <w:tc>
          <w:tcPr>
            <w:tcW w:w="1303" w:type="dxa"/>
            <w:vAlign w:val="center"/>
          </w:tcPr>
          <w:p w14:paraId="6933A65B">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交换机</w:t>
            </w:r>
          </w:p>
        </w:tc>
        <w:tc>
          <w:tcPr>
            <w:tcW w:w="783" w:type="dxa"/>
            <w:vAlign w:val="center"/>
          </w:tcPr>
          <w:p w14:paraId="33B45375">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25台</w:t>
            </w:r>
          </w:p>
        </w:tc>
        <w:tc>
          <w:tcPr>
            <w:tcW w:w="885" w:type="dxa"/>
            <w:vAlign w:val="center"/>
          </w:tcPr>
          <w:p w14:paraId="3E6D3BC7">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1E10A8ED">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1.提供8个千兆PoE电口，1个千兆电口，1个千兆光口。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2.交换容量 20 Gbps。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包转发率 14.88 Mpps。</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支持IEEE 802.3at/af。</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端口供电功率 30 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 整机供电功率 110 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 支持6 KV防浪涌（PoE口）。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 支持PoE输出功率管理。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 千兆网络接入设计。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 线速转发、无阻塞设计。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 存储转发交换方式。</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 坚固式高强度金属外壳。</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 无风扇设计，高可靠性。</w:t>
            </w:r>
          </w:p>
        </w:tc>
      </w:tr>
      <w:tr w14:paraId="0199C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27" w:type="dxa"/>
            <w:vAlign w:val="center"/>
          </w:tcPr>
          <w:p w14:paraId="147EEBFB">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22</w:t>
            </w:r>
          </w:p>
        </w:tc>
        <w:tc>
          <w:tcPr>
            <w:tcW w:w="1303" w:type="dxa"/>
            <w:vAlign w:val="center"/>
          </w:tcPr>
          <w:p w14:paraId="447518FD">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千兆光纤收发器</w:t>
            </w:r>
          </w:p>
        </w:tc>
        <w:tc>
          <w:tcPr>
            <w:tcW w:w="783" w:type="dxa"/>
            <w:vAlign w:val="center"/>
          </w:tcPr>
          <w:p w14:paraId="55EDAC82">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4对</w:t>
            </w:r>
          </w:p>
        </w:tc>
        <w:tc>
          <w:tcPr>
            <w:tcW w:w="885" w:type="dxa"/>
            <w:vAlign w:val="center"/>
          </w:tcPr>
          <w:p w14:paraId="2A34CCA8">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5C9E1392">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端口：1千兆电口、1千兆光口。</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工作温度：–30 °C - 70 °C。</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光纤类型：单模单纤双向。</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光纤接口：SC。</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传输距离：3 km。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 波长：Tx1310 nm/Rx1550 nm。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 发射功率：–9 dBm~–1 dBm。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 接收灵敏度：≤ –21 dBm。</w:t>
            </w:r>
          </w:p>
        </w:tc>
      </w:tr>
      <w:tr w14:paraId="0C177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jc w:val="center"/>
        </w:trPr>
        <w:tc>
          <w:tcPr>
            <w:tcW w:w="427" w:type="dxa"/>
            <w:vAlign w:val="center"/>
          </w:tcPr>
          <w:p w14:paraId="69FE3D1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23</w:t>
            </w:r>
          </w:p>
        </w:tc>
        <w:tc>
          <w:tcPr>
            <w:tcW w:w="1303" w:type="dxa"/>
            <w:vAlign w:val="center"/>
          </w:tcPr>
          <w:p w14:paraId="17AB5E61">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系统单元</w:t>
            </w:r>
          </w:p>
        </w:tc>
        <w:tc>
          <w:tcPr>
            <w:tcW w:w="783" w:type="dxa"/>
            <w:vAlign w:val="center"/>
          </w:tcPr>
          <w:p w14:paraId="5C0DA792">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3台</w:t>
            </w:r>
          </w:p>
        </w:tc>
        <w:tc>
          <w:tcPr>
            <w:tcW w:w="885" w:type="dxa"/>
            <w:vAlign w:val="center"/>
          </w:tcPr>
          <w:p w14:paraId="05D4712E">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软件和信息技术服务业</w:t>
            </w:r>
          </w:p>
        </w:tc>
        <w:tc>
          <w:tcPr>
            <w:tcW w:w="6429" w:type="dxa"/>
            <w:vAlign w:val="center"/>
          </w:tcPr>
          <w:p w14:paraId="612384C4">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操作系统：Linux 64位</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功能：实时预览、云台控制、录像回放、电子地图、报警联动、权限管理</w:t>
            </w:r>
          </w:p>
        </w:tc>
      </w:tr>
      <w:tr w14:paraId="18EDC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66121530">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24</w:t>
            </w:r>
          </w:p>
        </w:tc>
        <w:tc>
          <w:tcPr>
            <w:tcW w:w="1303" w:type="dxa"/>
            <w:vAlign w:val="center"/>
          </w:tcPr>
          <w:p w14:paraId="4B51A046">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监控监视器</w:t>
            </w:r>
          </w:p>
        </w:tc>
        <w:tc>
          <w:tcPr>
            <w:tcW w:w="783" w:type="dxa"/>
            <w:vAlign w:val="center"/>
          </w:tcPr>
          <w:p w14:paraId="3AB19D3A">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7台</w:t>
            </w:r>
          </w:p>
        </w:tc>
        <w:tc>
          <w:tcPr>
            <w:tcW w:w="885" w:type="dxa"/>
            <w:vAlign w:val="center"/>
          </w:tcPr>
          <w:p w14:paraId="6C87C187">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49EB4F2">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1.65寸行业4K塑胶监控显示器，支持3840 × 2160超高清显示，1.07B 真色彩，高清晰画质，高对比度。</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2.音视频输入接口：HDMI 1.4 × 1 , HDMI 2.0 × 1，VGA × 1 , Audio in × 1，音视频输出接口：SPEAK OUT × 2 (6Ω 11W)。</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3.▲显示单元支持软关机记忆功能，若屏幕在断电前处于待机状态，下一次上电后，仍然处于待机状态。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4.▲当有新信号输入时，自动转到相应信源；当前显示信源断开后，自动转到下一个有信号的信源。</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5.为保证长时间显示静止画面，显示单元内置图像、视频防灼技术，有效改善液晶屏显示静态图像时造成的残影现象。</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6.▲显示单元内置黑白精显模式，可将彩色信号转换成黑白灰度模式并提高图像细节辨认能力。</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可通过遥控器或自带控制软件，读取和调节显示菜单显示型号、单元位置码ID号、信号源类型、分辨率、系统运行时间、软件版本，光源温度等信息；支持拨码开关、遥控器、客户端控制软件多种方式修改屏幕ID号；显示单元具有智能工作计时引擎，可以对设备实际工作时间的计时。</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8.显示单元支持4 比 3、 16 比 9、点对点等比例显示。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9.显示单元具备99%sRGB、85%NTSC 广色域覆盖。</w:t>
            </w:r>
          </w:p>
        </w:tc>
      </w:tr>
      <w:tr w14:paraId="1E039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427" w:type="dxa"/>
            <w:vAlign w:val="center"/>
          </w:tcPr>
          <w:p w14:paraId="672A6ADC">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25</w:t>
            </w:r>
          </w:p>
        </w:tc>
        <w:tc>
          <w:tcPr>
            <w:tcW w:w="1303" w:type="dxa"/>
            <w:vAlign w:val="center"/>
          </w:tcPr>
          <w:p w14:paraId="0FD122A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壁挂支架</w:t>
            </w:r>
          </w:p>
        </w:tc>
        <w:tc>
          <w:tcPr>
            <w:tcW w:w="783" w:type="dxa"/>
            <w:vAlign w:val="center"/>
          </w:tcPr>
          <w:p w14:paraId="72328DD6">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8个</w:t>
            </w:r>
          </w:p>
        </w:tc>
        <w:tc>
          <w:tcPr>
            <w:tcW w:w="885" w:type="dxa"/>
            <w:vAlign w:val="center"/>
          </w:tcPr>
          <w:p w14:paraId="55951391">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5605A7BB">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定制，SPCC高强度钢（主体）。</w:t>
            </w:r>
          </w:p>
        </w:tc>
      </w:tr>
      <w:tr w14:paraId="6C504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27" w:type="dxa"/>
            <w:vAlign w:val="center"/>
          </w:tcPr>
          <w:p w14:paraId="1C55B7F3">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26</w:t>
            </w:r>
          </w:p>
        </w:tc>
        <w:tc>
          <w:tcPr>
            <w:tcW w:w="1303" w:type="dxa"/>
            <w:vAlign w:val="center"/>
          </w:tcPr>
          <w:p w14:paraId="34931A73">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移动支架</w:t>
            </w:r>
          </w:p>
        </w:tc>
        <w:tc>
          <w:tcPr>
            <w:tcW w:w="783" w:type="dxa"/>
            <w:vAlign w:val="center"/>
          </w:tcPr>
          <w:p w14:paraId="0FDB30D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1个</w:t>
            </w:r>
          </w:p>
        </w:tc>
        <w:tc>
          <w:tcPr>
            <w:tcW w:w="885" w:type="dxa"/>
            <w:vAlign w:val="center"/>
          </w:tcPr>
          <w:p w14:paraId="69195C91">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4FD3C6E1">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厚</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厚固1350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加厚32-75英寸通用电视机可移动落地式带轮支架加下置物盘</w:t>
            </w:r>
          </w:p>
        </w:tc>
      </w:tr>
      <w:tr w14:paraId="56408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7" w:type="dxa"/>
            <w:vAlign w:val="center"/>
          </w:tcPr>
          <w:p w14:paraId="28DD4FBC">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27</w:t>
            </w:r>
          </w:p>
        </w:tc>
        <w:tc>
          <w:tcPr>
            <w:tcW w:w="1303" w:type="dxa"/>
            <w:vAlign w:val="center"/>
          </w:tcPr>
          <w:p w14:paraId="255624E1">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防水箱</w:t>
            </w:r>
          </w:p>
        </w:tc>
        <w:tc>
          <w:tcPr>
            <w:tcW w:w="783" w:type="dxa"/>
            <w:vAlign w:val="center"/>
          </w:tcPr>
          <w:p w14:paraId="6FE18B4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34个</w:t>
            </w:r>
          </w:p>
        </w:tc>
        <w:tc>
          <w:tcPr>
            <w:tcW w:w="885" w:type="dxa"/>
            <w:vAlign w:val="center"/>
          </w:tcPr>
          <w:p w14:paraId="4943C443">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5CADBDBC">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不锈钢户外监控设备箱</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1.高约400宽300深180。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材质:304不锈钢。</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锁具:金属把手锁。</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饺链:三联饺链。</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底板:镀锌冷轧钢。</w:t>
            </w:r>
          </w:p>
        </w:tc>
      </w:tr>
      <w:tr w14:paraId="596B3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1" w:hRule="atLeast"/>
          <w:jc w:val="center"/>
        </w:trPr>
        <w:tc>
          <w:tcPr>
            <w:tcW w:w="427" w:type="dxa"/>
            <w:vAlign w:val="center"/>
          </w:tcPr>
          <w:p w14:paraId="725C21D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28</w:t>
            </w:r>
          </w:p>
        </w:tc>
        <w:tc>
          <w:tcPr>
            <w:tcW w:w="1303" w:type="dxa"/>
            <w:vAlign w:val="center"/>
          </w:tcPr>
          <w:p w14:paraId="74076853">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监控专用网线</w:t>
            </w:r>
          </w:p>
        </w:tc>
        <w:tc>
          <w:tcPr>
            <w:tcW w:w="783" w:type="dxa"/>
            <w:vAlign w:val="center"/>
          </w:tcPr>
          <w:p w14:paraId="7EAF705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16800米</w:t>
            </w:r>
          </w:p>
        </w:tc>
        <w:tc>
          <w:tcPr>
            <w:tcW w:w="885" w:type="dxa"/>
            <w:vAlign w:val="center"/>
          </w:tcPr>
          <w:p w14:paraId="4C090BF1">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4108E43">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 超5类网线,Cat5e非屏蔽双绞线。</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 标准：符合ISO/IEC 11801、TIA-568.2-D、GB/T 18015.5要求,所用材料符合RoHS要求，性能指标优于现行5e类线缆100MHz标准。</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 标准装箱长度:305m±1.5m。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 芯线规格:24AWG,无氧铜。</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 线缆结构：4对8芯双绞线,每芯均有颜色区分。</w:t>
            </w:r>
          </w:p>
        </w:tc>
      </w:tr>
      <w:tr w14:paraId="4C2C1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7" w:hRule="atLeast"/>
          <w:jc w:val="center"/>
        </w:trPr>
        <w:tc>
          <w:tcPr>
            <w:tcW w:w="427" w:type="dxa"/>
            <w:vAlign w:val="center"/>
          </w:tcPr>
          <w:p w14:paraId="1D0E631B">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29</w:t>
            </w:r>
          </w:p>
        </w:tc>
        <w:tc>
          <w:tcPr>
            <w:tcW w:w="1303" w:type="dxa"/>
            <w:vAlign w:val="center"/>
          </w:tcPr>
          <w:p w14:paraId="4AEE82F6">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级联主网线</w:t>
            </w:r>
          </w:p>
        </w:tc>
        <w:tc>
          <w:tcPr>
            <w:tcW w:w="783" w:type="dxa"/>
            <w:vAlign w:val="center"/>
          </w:tcPr>
          <w:p w14:paraId="4EB00BEE">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1400米</w:t>
            </w:r>
          </w:p>
        </w:tc>
        <w:tc>
          <w:tcPr>
            <w:tcW w:w="885" w:type="dxa"/>
            <w:vAlign w:val="center"/>
          </w:tcPr>
          <w:p w14:paraId="13913E87">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20E83237">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HSYV-6 886E双屏蔽网线六类网线 300米/件，4*2*0.58无氧铜</w:t>
            </w:r>
          </w:p>
        </w:tc>
      </w:tr>
      <w:tr w14:paraId="7961B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27" w:type="dxa"/>
            <w:vAlign w:val="center"/>
          </w:tcPr>
          <w:p w14:paraId="2DB0DDCF">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30</w:t>
            </w:r>
          </w:p>
        </w:tc>
        <w:tc>
          <w:tcPr>
            <w:tcW w:w="1303" w:type="dxa"/>
            <w:vAlign w:val="center"/>
          </w:tcPr>
          <w:p w14:paraId="4B7B28F0">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RVV 2*0.75</w:t>
            </w:r>
          </w:p>
        </w:tc>
        <w:tc>
          <w:tcPr>
            <w:tcW w:w="783" w:type="dxa"/>
            <w:vAlign w:val="center"/>
          </w:tcPr>
          <w:p w14:paraId="186703F3">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900米</w:t>
            </w:r>
          </w:p>
        </w:tc>
        <w:tc>
          <w:tcPr>
            <w:tcW w:w="885" w:type="dxa"/>
            <w:vAlign w:val="center"/>
          </w:tcPr>
          <w:p w14:paraId="5D5106F3">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2B3B236C">
            <w:pPr>
              <w:pStyle w:val="7"/>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RVV 2*0.75电源线（扁）  200米/卷</w:t>
            </w:r>
          </w:p>
        </w:tc>
      </w:tr>
      <w:tr w14:paraId="0856F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427" w:type="dxa"/>
            <w:vAlign w:val="center"/>
          </w:tcPr>
          <w:p w14:paraId="3E8B7FA5">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31</w:t>
            </w:r>
          </w:p>
        </w:tc>
        <w:tc>
          <w:tcPr>
            <w:tcW w:w="1303" w:type="dxa"/>
            <w:vAlign w:val="center"/>
          </w:tcPr>
          <w:p w14:paraId="62EE103F">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摄像头安装调试</w:t>
            </w:r>
          </w:p>
        </w:tc>
        <w:tc>
          <w:tcPr>
            <w:tcW w:w="783" w:type="dxa"/>
            <w:vAlign w:val="center"/>
          </w:tcPr>
          <w:p w14:paraId="589D2E4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210点</w:t>
            </w:r>
          </w:p>
        </w:tc>
        <w:tc>
          <w:tcPr>
            <w:tcW w:w="885" w:type="dxa"/>
            <w:vAlign w:val="center"/>
          </w:tcPr>
          <w:p w14:paraId="70268746">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3D3643DA">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摄像头安装调试</w:t>
            </w:r>
            <w:r>
              <w:rPr>
                <w:rFonts w:hint="eastAsia" w:ascii="宋体" w:hAnsi="宋体" w:cs="宋体"/>
                <w:color w:val="000000" w:themeColor="text1"/>
                <w:szCs w:val="21"/>
                <w:lang w:eastAsia="zh-CN"/>
                <w14:textFill>
                  <w14:solidFill>
                    <w14:schemeClr w14:val="tx1"/>
                  </w14:solidFill>
                </w14:textFill>
              </w:rPr>
              <w:t>。</w:t>
            </w:r>
          </w:p>
        </w:tc>
      </w:tr>
      <w:tr w14:paraId="51320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jc w:val="center"/>
        </w:trPr>
        <w:tc>
          <w:tcPr>
            <w:tcW w:w="427" w:type="dxa"/>
            <w:vAlign w:val="center"/>
          </w:tcPr>
          <w:p w14:paraId="53898384">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32</w:t>
            </w:r>
          </w:p>
        </w:tc>
        <w:tc>
          <w:tcPr>
            <w:tcW w:w="1303" w:type="dxa"/>
            <w:vAlign w:val="center"/>
          </w:tcPr>
          <w:p w14:paraId="65AA9E77">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线路敷设、网线、电源线</w:t>
            </w:r>
          </w:p>
        </w:tc>
        <w:tc>
          <w:tcPr>
            <w:tcW w:w="783" w:type="dxa"/>
            <w:vAlign w:val="center"/>
          </w:tcPr>
          <w:p w14:paraId="3B614790">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19100米</w:t>
            </w:r>
          </w:p>
        </w:tc>
        <w:tc>
          <w:tcPr>
            <w:tcW w:w="885" w:type="dxa"/>
            <w:vAlign w:val="center"/>
          </w:tcPr>
          <w:p w14:paraId="3AFE0591">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0309559D">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线路敷设、网线、电源线</w:t>
            </w:r>
            <w:r>
              <w:rPr>
                <w:rFonts w:hint="eastAsia" w:ascii="宋体" w:hAnsi="宋体" w:cs="宋体"/>
                <w:color w:val="000000" w:themeColor="text1"/>
                <w:szCs w:val="21"/>
                <w:lang w:eastAsia="zh-CN"/>
                <w14:textFill>
                  <w14:solidFill>
                    <w14:schemeClr w14:val="tx1"/>
                  </w14:solidFill>
                </w14:textFill>
              </w:rPr>
              <w:t>。</w:t>
            </w:r>
          </w:p>
        </w:tc>
      </w:tr>
      <w:tr w14:paraId="3BE68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427" w:type="dxa"/>
            <w:vAlign w:val="center"/>
          </w:tcPr>
          <w:p w14:paraId="1284564D">
            <w:pPr>
              <w:tabs>
                <w:tab w:val="left" w:pos="180"/>
                <w:tab w:val="left" w:pos="1620"/>
              </w:tabs>
              <w:spacing w:line="400" w:lineRule="exact"/>
              <w:jc w:val="center"/>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33</w:t>
            </w:r>
          </w:p>
        </w:tc>
        <w:tc>
          <w:tcPr>
            <w:tcW w:w="1303" w:type="dxa"/>
            <w:vAlign w:val="center"/>
          </w:tcPr>
          <w:p w14:paraId="45B57017">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辅材</w:t>
            </w:r>
          </w:p>
        </w:tc>
        <w:tc>
          <w:tcPr>
            <w:tcW w:w="783" w:type="dxa"/>
            <w:vAlign w:val="center"/>
          </w:tcPr>
          <w:p w14:paraId="05784097">
            <w:pPr>
              <w:spacing w:line="400" w:lineRule="exact"/>
              <w:jc w:val="center"/>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210点</w:t>
            </w:r>
          </w:p>
        </w:tc>
        <w:tc>
          <w:tcPr>
            <w:tcW w:w="885" w:type="dxa"/>
            <w:vAlign w:val="center"/>
          </w:tcPr>
          <w:p w14:paraId="6684BAD3">
            <w:pPr>
              <w:spacing w:line="400" w:lineRule="exact"/>
              <w:jc w:val="center"/>
              <w:rPr>
                <w:rFonts w:hint="eastAsia" w:ascii="宋体" w:hAnsi="宋体" w:cs="Arial"/>
                <w:color w:val="000000" w:themeColor="text1"/>
                <w:kern w:val="0"/>
                <w:szCs w:val="21"/>
                <w:lang w:val="en-US" w:eastAsia="zh-CN"/>
                <w14:textFill>
                  <w14:solidFill>
                    <w14:schemeClr w14:val="tx1"/>
                  </w14:solidFill>
                </w14:textFill>
              </w:rPr>
            </w:pPr>
            <w:r>
              <w:rPr>
                <w:rFonts w:hint="eastAsia" w:ascii="宋体" w:hAnsi="宋体" w:cs="Arial"/>
                <w:b w:val="0"/>
                <w:bCs/>
                <w:color w:val="000000" w:themeColor="text1"/>
                <w:szCs w:val="21"/>
                <w:u w:val="none"/>
                <w:lang w:val="en-US" w:eastAsia="zh-CN"/>
                <w14:textFill>
                  <w14:solidFill>
                    <w14:schemeClr w14:val="tx1"/>
                  </w14:solidFill>
                </w14:textFill>
              </w:rPr>
              <w:t>工业</w:t>
            </w:r>
          </w:p>
        </w:tc>
        <w:tc>
          <w:tcPr>
            <w:tcW w:w="6429" w:type="dxa"/>
            <w:vAlign w:val="center"/>
          </w:tcPr>
          <w:p w14:paraId="1BC77A50">
            <w:pPr>
              <w:pStyle w:val="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线槽、线管、镙钉、绑带、排插、胶布等</w:t>
            </w:r>
            <w:r>
              <w:rPr>
                <w:rFonts w:hint="eastAsia" w:ascii="宋体" w:hAnsi="宋体" w:cs="宋体"/>
                <w:color w:val="000000" w:themeColor="text1"/>
                <w:szCs w:val="21"/>
                <w:lang w:eastAsia="zh-CN"/>
                <w14:textFill>
                  <w14:solidFill>
                    <w14:schemeClr w14:val="tx1"/>
                  </w14:solidFill>
                </w14:textFill>
              </w:rPr>
              <w:t>。</w:t>
            </w:r>
          </w:p>
        </w:tc>
      </w:tr>
    </w:tbl>
    <w:p w14:paraId="205BD9AC">
      <w:pPr>
        <w:rPr>
          <w:color w:val="000000" w:themeColor="text1"/>
          <w14:textFill>
            <w14:solidFill>
              <w14:schemeClr w14:val="tx1"/>
            </w14:solidFill>
          </w14:textFill>
        </w:rPr>
      </w:pPr>
    </w:p>
    <w:tbl>
      <w:tblPr>
        <w:tblStyle w:val="22"/>
        <w:tblW w:w="99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4"/>
        <w:gridCol w:w="7708"/>
      </w:tblGrid>
      <w:tr w14:paraId="365CD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697B32E8">
            <w:pPr>
              <w:spacing w:line="400" w:lineRule="exact"/>
              <w:jc w:val="both"/>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一、商务要求</w:t>
            </w:r>
          </w:p>
        </w:tc>
      </w:tr>
      <w:tr w14:paraId="57DB5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2234" w:type="dxa"/>
            <w:tcBorders>
              <w:top w:val="single" w:color="auto" w:sz="4" w:space="0"/>
              <w:left w:val="single" w:color="auto" w:sz="4" w:space="0"/>
              <w:right w:val="single" w:color="auto" w:sz="4" w:space="0"/>
            </w:tcBorders>
            <w:vAlign w:val="center"/>
          </w:tcPr>
          <w:p w14:paraId="22A3C5D9">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合同签订时间</w:t>
            </w:r>
            <w:r>
              <w:rPr>
                <w:rFonts w:hint="eastAsia" w:ascii="宋体" w:hAnsi="宋体"/>
                <w:color w:val="000000" w:themeColor="text1"/>
                <w:szCs w:val="21"/>
                <w:highlight w:val="none"/>
                <w:lang w:val="en-US" w:eastAsia="zh-CN"/>
                <w14:textFill>
                  <w14:solidFill>
                    <w14:schemeClr w14:val="tx1"/>
                  </w14:solidFill>
                </w14:textFill>
              </w:rPr>
              <w:t>及要求</w:t>
            </w:r>
          </w:p>
        </w:tc>
        <w:tc>
          <w:tcPr>
            <w:tcW w:w="7708" w:type="dxa"/>
            <w:tcBorders>
              <w:top w:val="single" w:color="auto" w:sz="4" w:space="0"/>
              <w:left w:val="single" w:color="auto" w:sz="4" w:space="0"/>
              <w:bottom w:val="single" w:color="auto" w:sz="4" w:space="0"/>
              <w:right w:val="single" w:color="auto" w:sz="4" w:space="0"/>
            </w:tcBorders>
            <w:vAlign w:val="center"/>
          </w:tcPr>
          <w:p w14:paraId="47B7238B">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自成交通知书发出之日起</w:t>
            </w:r>
            <w:r>
              <w:rPr>
                <w:rFonts w:hint="eastAsia" w:ascii="宋体" w:hAnsi="宋体"/>
                <w:color w:val="000000" w:themeColor="text1"/>
                <w:szCs w:val="21"/>
                <w:highlight w:val="none"/>
                <w:lang w:val="en-US" w:eastAsia="zh-CN"/>
                <w14:textFill>
                  <w14:solidFill>
                    <w14:schemeClr w14:val="tx1"/>
                  </w14:solidFill>
                </w14:textFill>
              </w:rPr>
              <w:t>25</w:t>
            </w:r>
            <w:r>
              <w:rPr>
                <w:rFonts w:hint="eastAsia" w:ascii="宋体" w:hAnsi="宋体"/>
                <w:color w:val="000000" w:themeColor="text1"/>
                <w:szCs w:val="21"/>
                <w:highlight w:val="none"/>
                <w14:textFill>
                  <w14:solidFill>
                    <w14:schemeClr w14:val="tx1"/>
                  </w14:solidFill>
                </w14:textFill>
              </w:rPr>
              <w:t>日内与采购人完成合同签订。</w:t>
            </w:r>
          </w:p>
          <w:p w14:paraId="558137E5">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Times New Roman"/>
                <w:color w:val="000000" w:themeColor="text1"/>
                <w:szCs w:val="21"/>
                <w:highlight w:val="none"/>
                <w:lang w:val="en-US" w:eastAsia="zh-CN"/>
                <w14:textFill>
                  <w14:solidFill>
                    <w14:schemeClr w14:val="tx1"/>
                  </w14:solidFill>
                </w14:textFill>
              </w:rPr>
              <w:t>2.</w:t>
            </w:r>
            <w:r>
              <w:rPr>
                <w:rFonts w:hint="eastAsia" w:ascii="宋体" w:hAnsi="宋体" w:eastAsia="宋体" w:cs="Times New Roman"/>
                <w:color w:val="000000" w:themeColor="text1"/>
                <w:szCs w:val="21"/>
                <w:highlight w:val="none"/>
                <w:lang w:val="en-US" w:eastAsia="zh-CN"/>
                <w14:textFill>
                  <w14:solidFill>
                    <w14:schemeClr w14:val="tx1"/>
                  </w14:solidFill>
                </w14:textFill>
              </w:rPr>
              <w:t>签订合同前须提供“录像机、摄像机、综合安防管理平台”产品厂家的授权书、供货证明、承诺满足</w:t>
            </w:r>
            <w:r>
              <w:rPr>
                <w:rFonts w:hint="eastAsia" w:ascii="宋体" w:hAnsi="宋体" w:cs="Times New Roman"/>
                <w:color w:val="000000" w:themeColor="text1"/>
                <w:szCs w:val="21"/>
                <w:highlight w:val="none"/>
                <w:lang w:val="en-US" w:eastAsia="zh-CN"/>
                <w14:textFill>
                  <w14:solidFill>
                    <w14:schemeClr w14:val="tx1"/>
                  </w14:solidFill>
                </w14:textFill>
              </w:rPr>
              <w:t>采购</w:t>
            </w:r>
            <w:r>
              <w:rPr>
                <w:rFonts w:hint="eastAsia" w:ascii="宋体" w:hAnsi="宋体" w:eastAsia="宋体" w:cs="Times New Roman"/>
                <w:color w:val="000000" w:themeColor="text1"/>
                <w:szCs w:val="21"/>
                <w:highlight w:val="none"/>
                <w:lang w:val="en-US" w:eastAsia="zh-CN"/>
                <w14:textFill>
                  <w14:solidFill>
                    <w14:schemeClr w14:val="tx1"/>
                  </w14:solidFill>
                </w14:textFill>
              </w:rPr>
              <w:t>文件参数的证明材料，否则</w:t>
            </w:r>
            <w:r>
              <w:rPr>
                <w:rFonts w:hint="eastAsia" w:ascii="宋体" w:hAnsi="宋体" w:cs="Times New Roman"/>
                <w:color w:val="000000" w:themeColor="text1"/>
                <w:szCs w:val="21"/>
                <w:highlight w:val="none"/>
                <w:lang w:val="en-US" w:eastAsia="zh-CN"/>
                <w14:textFill>
                  <w14:solidFill>
                    <w14:schemeClr w14:val="tx1"/>
                  </w14:solidFill>
                </w14:textFill>
              </w:rPr>
              <w:t>取消供应商签订合同资格</w:t>
            </w:r>
            <w:r>
              <w:rPr>
                <w:rFonts w:hint="eastAsia" w:ascii="宋体" w:hAnsi="宋体" w:eastAsia="宋体" w:cs="Times New Roman"/>
                <w:color w:val="000000" w:themeColor="text1"/>
                <w:szCs w:val="21"/>
                <w:highlight w:val="none"/>
                <w:lang w:val="en-US" w:eastAsia="zh-CN"/>
                <w14:textFill>
                  <w14:solidFill>
                    <w14:schemeClr w14:val="tx1"/>
                  </w14:solidFill>
                </w14:textFill>
              </w:rPr>
              <w:t>。</w:t>
            </w:r>
          </w:p>
        </w:tc>
      </w:tr>
      <w:tr w14:paraId="6047D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15CE714C">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交付使用时间及地点</w:t>
            </w:r>
          </w:p>
        </w:tc>
        <w:tc>
          <w:tcPr>
            <w:tcW w:w="7708" w:type="dxa"/>
            <w:tcBorders>
              <w:top w:val="single" w:color="auto" w:sz="4" w:space="0"/>
              <w:left w:val="single" w:color="auto" w:sz="4" w:space="0"/>
              <w:bottom w:val="single" w:color="auto" w:sz="4" w:space="0"/>
              <w:right w:val="single" w:color="auto" w:sz="4" w:space="0"/>
            </w:tcBorders>
            <w:vAlign w:val="center"/>
          </w:tcPr>
          <w:p w14:paraId="03B3E402">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交付使用时间：</w:t>
            </w:r>
            <w:r>
              <w:rPr>
                <w:rFonts w:hint="eastAsia" w:ascii="宋体" w:hAnsi="宋体"/>
                <w:color w:val="000000" w:themeColor="text1"/>
                <w:szCs w:val="21"/>
                <w:lang w:val="en-US" w:eastAsia="zh-CN"/>
                <w14:textFill>
                  <w14:solidFill>
                    <w14:schemeClr w14:val="tx1"/>
                  </w14:solidFill>
                </w14:textFill>
              </w:rPr>
              <w:t>自签订合同之日起 30 天内交货安装调试完毕并交付使用。</w:t>
            </w:r>
          </w:p>
          <w:p w14:paraId="29EF0BBB">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交货地点：</w:t>
            </w:r>
            <w:r>
              <w:rPr>
                <w:rFonts w:hint="eastAsia" w:ascii="宋体" w:hAnsi="宋体"/>
                <w:color w:val="000000" w:themeColor="text1"/>
                <w:szCs w:val="21"/>
                <w:highlight w:val="none"/>
                <w:lang w:val="en-US" w:eastAsia="zh-CN"/>
                <w14:textFill>
                  <w14:solidFill>
                    <w14:schemeClr w14:val="tx1"/>
                  </w14:solidFill>
                </w14:textFill>
              </w:rPr>
              <w:t>采购人指定地点</w:t>
            </w:r>
            <w:r>
              <w:rPr>
                <w:rFonts w:hint="eastAsia" w:ascii="宋体" w:hAnsi="宋体"/>
                <w:color w:val="000000" w:themeColor="text1"/>
                <w:szCs w:val="21"/>
                <w:highlight w:val="none"/>
                <w14:textFill>
                  <w14:solidFill>
                    <w14:schemeClr w14:val="tx1"/>
                  </w14:solidFill>
                </w14:textFill>
              </w:rPr>
              <w:t>。</w:t>
            </w:r>
          </w:p>
          <w:p w14:paraId="3707EA36">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交货方式：现场交货</w:t>
            </w:r>
          </w:p>
        </w:tc>
      </w:tr>
      <w:tr w14:paraId="12028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3EAD9B70">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质保期（保修期）</w:t>
            </w:r>
          </w:p>
        </w:tc>
        <w:tc>
          <w:tcPr>
            <w:tcW w:w="7708" w:type="dxa"/>
            <w:tcBorders>
              <w:top w:val="single" w:color="auto" w:sz="4" w:space="0"/>
              <w:left w:val="single" w:color="auto" w:sz="4" w:space="0"/>
              <w:bottom w:val="single" w:color="auto" w:sz="4" w:space="0"/>
              <w:right w:val="single" w:color="auto" w:sz="4" w:space="0"/>
            </w:tcBorders>
            <w:vAlign w:val="center"/>
          </w:tcPr>
          <w:p w14:paraId="5239E492">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质量保证期至少 3 年（自交货安装并验收合格之日起计）。</w:t>
            </w:r>
            <w:r>
              <w:rPr>
                <w:rFonts w:hint="eastAsia" w:ascii="宋体" w:hAnsi="宋体" w:eastAsia="宋体" w:cs="Times New Roman"/>
                <w:color w:val="000000" w:themeColor="text1"/>
                <w:szCs w:val="21"/>
                <w:highlight w:val="none"/>
                <w:lang w:val="en-US" w:eastAsia="zh-CN"/>
                <w14:textFill>
                  <w14:solidFill>
                    <w14:schemeClr w14:val="tx1"/>
                  </w14:solidFill>
                </w14:textFill>
              </w:rPr>
              <w:t>质保期1年内只换不修。</w:t>
            </w:r>
          </w:p>
        </w:tc>
      </w:tr>
      <w:tr w14:paraId="1E674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05FC8D40">
            <w:pPr>
              <w:keepNext w:val="0"/>
              <w:keepLines w:val="0"/>
              <w:pageBreakBefore w:val="0"/>
              <w:widowControl w:val="0"/>
              <w:kinsoku/>
              <w:wordWrap/>
              <w:overflowPunct/>
              <w:topLinePunct w:val="0"/>
              <w:bidi w:val="0"/>
              <w:adjustRightInd/>
              <w:snapToGrid/>
              <w:spacing w:line="440" w:lineRule="exact"/>
              <w:jc w:val="center"/>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付款条件</w:t>
            </w:r>
          </w:p>
        </w:tc>
        <w:tc>
          <w:tcPr>
            <w:tcW w:w="7708" w:type="dxa"/>
            <w:tcBorders>
              <w:top w:val="single" w:color="auto" w:sz="4" w:space="0"/>
              <w:left w:val="single" w:color="auto" w:sz="4" w:space="0"/>
              <w:bottom w:val="single" w:color="auto" w:sz="4" w:space="0"/>
              <w:right w:val="single" w:color="auto" w:sz="4" w:space="0"/>
            </w:tcBorders>
            <w:vAlign w:val="center"/>
          </w:tcPr>
          <w:p w14:paraId="44C3963C">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ascii="宋体" w:hAnsi="宋体" w:eastAsia="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货物全部供货并送达采购人指定地点，采购人支付合同款的50%；所有货物安装调试完毕且通过验收后，采购人在收到成交供应商开具的全额合同款发票，10个工作日内向成交供应商支付合同款50%</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成交供应商必须开具货物类的增值税普通发票，不能开</w:t>
            </w:r>
            <w:r>
              <w:rPr>
                <w:rFonts w:hint="eastAsia" w:ascii="宋体" w:hAnsi="宋体" w:cs="宋体"/>
                <w:color w:val="000000" w:themeColor="text1"/>
                <w:szCs w:val="21"/>
                <w:highlight w:val="none"/>
                <w:lang w:val="en-US" w:eastAsia="zh-CN"/>
                <w14:textFill>
                  <w14:solidFill>
                    <w14:schemeClr w14:val="tx1"/>
                  </w14:solidFill>
                </w14:textFill>
              </w:rPr>
              <w:t>具</w:t>
            </w:r>
            <w:r>
              <w:rPr>
                <w:rFonts w:hint="eastAsia" w:ascii="宋体" w:hAnsi="宋体" w:cs="宋体"/>
                <w:color w:val="000000" w:themeColor="text1"/>
                <w:szCs w:val="21"/>
                <w:highlight w:val="none"/>
                <w:lang w:eastAsia="zh-CN"/>
                <w14:textFill>
                  <w14:solidFill>
                    <w14:schemeClr w14:val="tx1"/>
                  </w14:solidFill>
                </w14:textFill>
              </w:rPr>
              <w:t>服务、劳务类发票。</w:t>
            </w:r>
          </w:p>
        </w:tc>
      </w:tr>
      <w:tr w14:paraId="6A8EF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7B4D76E7">
            <w:pPr>
              <w:keepNext w:val="0"/>
              <w:keepLines w:val="0"/>
              <w:pageBreakBefore w:val="0"/>
              <w:widowControl w:val="0"/>
              <w:kinsoku/>
              <w:wordWrap/>
              <w:overflowPunct/>
              <w:topLinePunct w:val="0"/>
              <w:bidi w:val="0"/>
              <w:adjustRightInd/>
              <w:snapToGrid/>
              <w:spacing w:line="440" w:lineRule="exact"/>
              <w:jc w:val="center"/>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售后服务要求</w:t>
            </w:r>
          </w:p>
        </w:tc>
        <w:tc>
          <w:tcPr>
            <w:tcW w:w="7708" w:type="dxa"/>
            <w:tcBorders>
              <w:top w:val="single" w:color="auto" w:sz="4" w:space="0"/>
              <w:left w:val="single" w:color="auto" w:sz="4" w:space="0"/>
              <w:bottom w:val="single" w:color="auto" w:sz="4" w:space="0"/>
              <w:right w:val="single" w:color="auto" w:sz="4" w:space="0"/>
            </w:tcBorders>
            <w:vAlign w:val="center"/>
          </w:tcPr>
          <w:p w14:paraId="796DF073">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1、按国家有关规定实行产品“三包”；</w:t>
            </w:r>
          </w:p>
          <w:p w14:paraId="0BAAB1D7">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2、免费送货上门</w:t>
            </w:r>
            <w:r>
              <w:rPr>
                <w:rFonts w:hint="eastAsia" w:ascii="宋体" w:hAnsi="宋体"/>
                <w:color w:val="000000" w:themeColor="text1"/>
                <w:szCs w:val="21"/>
                <w:highlight w:val="none"/>
                <w:lang w:val="en-US" w:eastAsia="zh-CN"/>
                <w14:textFill>
                  <w14:solidFill>
                    <w14:schemeClr w14:val="tx1"/>
                  </w14:solidFill>
                </w14:textFill>
              </w:rPr>
              <w:t>安装</w:t>
            </w:r>
            <w:r>
              <w:rPr>
                <w:rFonts w:hint="eastAsia" w:ascii="宋体" w:hAnsi="宋体"/>
                <w:color w:val="000000" w:themeColor="text1"/>
                <w:szCs w:val="21"/>
                <w:highlight w:val="none"/>
                <w14:textFill>
                  <w14:solidFill>
                    <w14:schemeClr w14:val="tx1"/>
                  </w14:solidFill>
                </w14:textFill>
              </w:rPr>
              <w:t>。</w:t>
            </w:r>
          </w:p>
          <w:p w14:paraId="1B8321EE">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3、质保期内，接到故障维修通知后 30 分钟内响应，12 小时内到达现场，并在 36 小时内解决问题，以保证设备正常运行，并承担一切相关费用；超过 36 小时设备不能维修好的，每超过一天在原质保期的基础上，质保期延长 5 天。质保期外，接到故障维修通知后 2 小时内响应，24 小时内到达现场，并在 48 小时内解决问题，以保证设备正常运行；维修费用（配件、备品等）</w:t>
            </w:r>
            <w:r>
              <w:rPr>
                <w:rFonts w:hint="eastAsia" w:ascii="宋体" w:hAnsi="宋体"/>
                <w:color w:val="000000" w:themeColor="text1"/>
                <w:szCs w:val="21"/>
                <w:highlight w:val="none"/>
                <w:lang w:val="en-US" w:eastAsia="zh-CN"/>
                <w14:textFill>
                  <w14:solidFill>
                    <w14:schemeClr w14:val="tx1"/>
                  </w14:solidFill>
                </w14:textFill>
              </w:rPr>
              <w:t>只收取成本费</w:t>
            </w:r>
            <w:r>
              <w:rPr>
                <w:rFonts w:hint="eastAsia" w:ascii="宋体" w:hAnsi="宋体"/>
                <w:color w:val="000000" w:themeColor="text1"/>
                <w:szCs w:val="21"/>
                <w:highlight w:val="none"/>
                <w14:textFill>
                  <w14:solidFill>
                    <w14:schemeClr w14:val="tx1"/>
                  </w14:solidFill>
                </w14:textFill>
              </w:rPr>
              <w:t>。</w:t>
            </w:r>
          </w:p>
          <w:p w14:paraId="7F0B9BBA">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4、质保期后不定期回访，提供设备终身维护及应用软件免费升级；</w:t>
            </w:r>
          </w:p>
          <w:p w14:paraId="544CEBEC">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5、质保期内所有设备免费上门维修服务、免费更换零部件；</w:t>
            </w:r>
            <w:r>
              <w:rPr>
                <w:rFonts w:hint="eastAsia" w:ascii="宋体" w:hAnsi="宋体" w:eastAsia="宋体" w:cs="Times New Roman"/>
                <w:color w:val="000000" w:themeColor="text1"/>
                <w:szCs w:val="21"/>
                <w:highlight w:val="none"/>
                <w:lang w:val="en-US" w:eastAsia="zh-CN"/>
                <w14:textFill>
                  <w14:solidFill>
                    <w14:schemeClr w14:val="tx1"/>
                  </w14:solidFill>
                </w14:textFill>
              </w:rPr>
              <w:t>质保期1年内只换不修。</w:t>
            </w:r>
          </w:p>
          <w:p w14:paraId="559F3943">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其余按厂家承诺进行。</w:t>
            </w:r>
          </w:p>
        </w:tc>
      </w:tr>
      <w:tr w14:paraId="03266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4" w:hRule="atLeast"/>
          <w:jc w:val="center"/>
        </w:trPr>
        <w:tc>
          <w:tcPr>
            <w:tcW w:w="2234" w:type="dxa"/>
            <w:tcBorders>
              <w:top w:val="single" w:color="auto" w:sz="4" w:space="0"/>
              <w:left w:val="single" w:color="auto" w:sz="4" w:space="0"/>
              <w:bottom w:val="single" w:color="auto" w:sz="4" w:space="0"/>
              <w:right w:val="single" w:color="auto" w:sz="4" w:space="0"/>
            </w:tcBorders>
            <w:vAlign w:val="center"/>
          </w:tcPr>
          <w:p w14:paraId="08F3E5A6">
            <w:pPr>
              <w:keepNext w:val="0"/>
              <w:keepLines w:val="0"/>
              <w:pageBreakBefore w:val="0"/>
              <w:widowControl w:val="0"/>
              <w:kinsoku/>
              <w:wordWrap/>
              <w:overflowPunct/>
              <w:topLinePunct w:val="0"/>
              <w:bidi w:val="0"/>
              <w:adjustRightInd/>
              <w:snapToGrid/>
              <w:spacing w:line="440" w:lineRule="exact"/>
              <w:jc w:val="center"/>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竞标报价要求</w:t>
            </w:r>
          </w:p>
        </w:tc>
        <w:tc>
          <w:tcPr>
            <w:tcW w:w="7708" w:type="dxa"/>
            <w:tcBorders>
              <w:top w:val="single" w:color="auto" w:sz="4" w:space="0"/>
              <w:left w:val="single" w:color="auto" w:sz="4" w:space="0"/>
              <w:bottom w:val="single" w:color="auto" w:sz="4" w:space="0"/>
              <w:right w:val="single" w:color="auto" w:sz="4" w:space="0"/>
            </w:tcBorders>
            <w:vAlign w:val="center"/>
          </w:tcPr>
          <w:p w14:paraId="3A938FDB">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的竞标报价为人民币含税价，本项目实行总价包干且为采购人指定地点的现场交货价。竞标报价包含设备及服务所需的一切费用总和，包括但不限于货款（含主要设备、配件、辅材）、标准附件、备品备件、专用工具、包装、运输、装卸、保管、现场安装、联调、验收、产品检验检测、培训、售后服务、接口费、技术支持、人员服务、保险、招标代理服务费、税金等，以及合同明示所有责任、义务和一般风险等，采购人不再支付任何费用。</w:t>
            </w:r>
          </w:p>
          <w:p w14:paraId="3CFAA662">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2.本项目涉及的线材、管材、耗材、辅材等实行包干制，不足部分由成交供应商自行承担。</w:t>
            </w:r>
          </w:p>
          <w:p w14:paraId="7D423A2A">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3.包装和运输</w:t>
            </w:r>
          </w:p>
          <w:p w14:paraId="723C28C0">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（1）原厂原包装，包装完好、完整无破损、未开封。</w:t>
            </w:r>
          </w:p>
          <w:p w14:paraId="7325FD00">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（2）包装及运输方式应综合考虑运输距离、防潮、防震、防锈和防破损装卸等要求。</w:t>
            </w:r>
          </w:p>
          <w:p w14:paraId="0DDF2097">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（3）国家对包装及运输有相关强制性标准或要求的，供应商应当执行。</w:t>
            </w:r>
          </w:p>
          <w:p w14:paraId="794E2750">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（4）产品（含包装）运抵采购人指定交付地点前发生损坏的，相关损失由供应商自行承担。</w:t>
            </w:r>
          </w:p>
          <w:p w14:paraId="3019A896">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4.保险</w:t>
            </w:r>
          </w:p>
          <w:p w14:paraId="647C8FFE">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若供应商为本项目标的及标的涉及的相关材料、设备、人员、运输等购买保险的，相关费用由供应商自行承担。</w:t>
            </w:r>
          </w:p>
          <w:p w14:paraId="6E648D26">
            <w:pPr>
              <w:keepNext w:val="0"/>
              <w:keepLines w:val="0"/>
              <w:pageBreakBefore w:val="0"/>
              <w:widowControl w:val="0"/>
              <w:numPr>
                <w:ilvl w:val="0"/>
                <w:numId w:val="0"/>
              </w:numPr>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在产品验收时，如发现存在虚假响应，采购人将终止合同，并上报监督管理部门进行处罚。</w:t>
            </w:r>
          </w:p>
          <w:p w14:paraId="4FB29DE9">
            <w:pPr>
              <w:keepNext w:val="0"/>
              <w:keepLines w:val="0"/>
              <w:pageBreakBefore w:val="0"/>
              <w:widowControl w:val="0"/>
              <w:numPr>
                <w:ilvl w:val="0"/>
                <w:numId w:val="0"/>
              </w:numPr>
              <w:kinsoku/>
              <w:wordWrap/>
              <w:overflowPunct/>
              <w:topLinePunct w:val="0"/>
              <w:bidi w:val="0"/>
              <w:adjustRightInd/>
              <w:snapToGrid/>
              <w:spacing w:line="440" w:lineRule="exact"/>
              <w:textAlignment w:val="auto"/>
              <w:rPr>
                <w:rFonts w:hint="eastAsia" w:ascii="宋体" w:hAnsi="宋体"/>
                <w:color w:val="000000" w:themeColor="text1"/>
                <w:szCs w:val="21"/>
                <w:highlight w:val="none"/>
                <w14:textFill>
                  <w14:solidFill>
                    <w14:schemeClr w14:val="tx1"/>
                  </w14:solidFill>
                </w14:textFill>
              </w:rPr>
            </w:pPr>
          </w:p>
        </w:tc>
      </w:tr>
      <w:tr w14:paraId="30209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7252E1BA">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知识产权及其他</w:t>
            </w:r>
          </w:p>
        </w:tc>
        <w:tc>
          <w:tcPr>
            <w:tcW w:w="7708" w:type="dxa"/>
            <w:tcBorders>
              <w:top w:val="single" w:color="auto" w:sz="4" w:space="0"/>
              <w:left w:val="single" w:color="auto" w:sz="4" w:space="0"/>
              <w:bottom w:val="single" w:color="auto" w:sz="4" w:space="0"/>
              <w:right w:val="single" w:color="auto" w:sz="4" w:space="0"/>
            </w:tcBorders>
            <w:vAlign w:val="center"/>
          </w:tcPr>
          <w:p w14:paraId="452C3175">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成交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成交供应商负责解决由此引起的一切纠纷，采购人有权追究成交供应商的法律责任，其不利后果由成交供应商全部承担。</w:t>
            </w:r>
          </w:p>
          <w:p w14:paraId="45DFD94B">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2.成交供应商须同时遵守本项目“采购需求”要求及“合同”条款相关规定。</w:t>
            </w:r>
          </w:p>
        </w:tc>
      </w:tr>
      <w:tr w14:paraId="68494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1E7A6673">
            <w:pPr>
              <w:keepNext w:val="0"/>
              <w:keepLines w:val="0"/>
              <w:pageBreakBefore w:val="0"/>
              <w:widowControl w:val="0"/>
              <w:shd w:val="clear" w:color="auto" w:fill="auto"/>
              <w:kinsoku/>
              <w:wordWrap/>
              <w:overflowPunct/>
              <w:topLinePunct w:val="0"/>
              <w:bidi w:val="0"/>
              <w:adjustRightInd/>
              <w:snapToGrid/>
              <w:spacing w:line="44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验收要求</w:t>
            </w:r>
          </w:p>
        </w:tc>
        <w:tc>
          <w:tcPr>
            <w:tcW w:w="7708" w:type="dxa"/>
            <w:tcBorders>
              <w:top w:val="single" w:color="auto" w:sz="4" w:space="0"/>
              <w:left w:val="single" w:color="auto" w:sz="4" w:space="0"/>
              <w:bottom w:val="single" w:color="auto" w:sz="4" w:space="0"/>
              <w:right w:val="single" w:color="auto" w:sz="4" w:space="0"/>
            </w:tcBorders>
            <w:vAlign w:val="center"/>
          </w:tcPr>
          <w:p w14:paraId="6F22D7B9">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1.采购人可以根据采购项目具体情况自行组织验收，或者委托第三方机构或部门开展采购项目履约验收工作，除另有约定的，验收过程中所产生的费用均由成交供应商承担，供应商在竞标报价时应考虑相关费用。</w:t>
            </w:r>
          </w:p>
          <w:p w14:paraId="6DFF7F86">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2.在验收过程中发现成交供应商有违约问题，可暂缓资金结算，待违约问题解决后，方可办理资金结算事宜。</w:t>
            </w:r>
          </w:p>
          <w:p w14:paraId="5CC013E1">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3.验收依据</w:t>
            </w:r>
            <w:r>
              <w:rPr>
                <w:rFonts w:hint="eastAsia" w:hAnsi="宋体"/>
                <w:color w:val="000000" w:themeColor="text1"/>
                <w:sz w:val="21"/>
                <w:highlight w:val="none"/>
                <w:lang w:val="en-US" w:eastAsia="zh-CN"/>
                <w14:textFill>
                  <w14:solidFill>
                    <w14:schemeClr w14:val="tx1"/>
                  </w14:solidFill>
                </w14:textFill>
              </w:rPr>
              <w:t>及标准</w:t>
            </w:r>
            <w:r>
              <w:rPr>
                <w:rFonts w:hint="eastAsia" w:hAnsi="宋体"/>
                <w:color w:val="000000" w:themeColor="text1"/>
                <w:sz w:val="21"/>
                <w:highlight w:val="none"/>
                <w14:textFill>
                  <w14:solidFill>
                    <w14:schemeClr w14:val="tx1"/>
                  </w14:solidFill>
                </w14:textFill>
              </w:rPr>
              <w:t>：按合同（含采购人采购文件、成交供应商响应文件）要求及国家标准进行验收。</w:t>
            </w:r>
          </w:p>
          <w:p w14:paraId="6747F087">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5.验收要求</w:t>
            </w:r>
          </w:p>
          <w:p w14:paraId="70ECFA1E">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验收小组以合同（含采购人采购文件、成交供应商响应文件）为验收依据，对供货产品技术参数核对检验，如不符合技术参数要求的，成交供应商承担所有责任和费用。采购人保留进一步追究责任的权利。</w:t>
            </w:r>
          </w:p>
          <w:p w14:paraId="1296202F">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成交供应商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验收合格后双方在验收记录上签字确认。</w:t>
            </w:r>
          </w:p>
          <w:p w14:paraId="17EEFBFB">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（2）验收小组依据采购文件、成交供应商响应文件技术参数逐条进行验收，对于设备技术参数与采购文件、成交供应商响应文件技术参数响应不符的，作如下处理：</w:t>
            </w:r>
          </w:p>
          <w:p w14:paraId="0E889DCB">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①设备技术参数与采购文件、竞标参数比较有漏项的，在评审中未被发现的，以虚假应标论处；</w:t>
            </w:r>
          </w:p>
          <w:p w14:paraId="7FDD6D27">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②设备实际是负偏离的参数，在响应文件中标明是无偏离或正偏离，在评审中未被发现的，以虚假应标论处；</w:t>
            </w:r>
          </w:p>
          <w:p w14:paraId="107FC7AC">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③设备实际是无偏离参数，响应表中标明是正偏离，在评审中未被发现的，以虚假应标论处；</w:t>
            </w:r>
          </w:p>
          <w:p w14:paraId="1AD62DBA">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④设备实际是正偏离参数，验收时并没有达到响应表中标明的正偏离范围，以虚假应标论处。</w:t>
            </w:r>
          </w:p>
          <w:p w14:paraId="1F49436A">
            <w:pPr>
              <w:pStyle w:val="12"/>
              <w:keepNext w:val="0"/>
              <w:keepLines w:val="0"/>
              <w:pageBreakBefore w:val="0"/>
              <w:widowControl w:val="0"/>
              <w:shd w:val="clear" w:color="auto" w:fill="auto"/>
              <w:kinsoku/>
              <w:wordWrap/>
              <w:overflowPunct/>
              <w:topLinePunct w:val="0"/>
              <w:bidi w:val="0"/>
              <w:adjustRightInd/>
              <w:snapToGrid/>
              <w:spacing w:line="440" w:lineRule="exact"/>
              <w:ind w:firstLine="420" w:firstLineChars="200"/>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在设备验收环节发现技术参数指标达不到响应文件中技术参数响应的内容，属虚假应标行为，采购人将单方面终止合同拒收货物，有权追究成交供应商违约责任，赔偿采购人因采购时间延长造成的经济等方面损失，视情形将违约情况上报政府采购监督管理部门。</w:t>
            </w:r>
          </w:p>
          <w:p w14:paraId="6B2C67FB">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3</w:t>
            </w:r>
            <w:r>
              <w:rPr>
                <w:rFonts w:hint="eastAsia" w:hAnsi="宋体"/>
                <w:color w:val="000000" w:themeColor="text1"/>
                <w:sz w:val="21"/>
                <w:highlight w:val="none"/>
                <w14:textFill>
                  <w14:solidFill>
                    <w14:schemeClr w14:val="tx1"/>
                  </w14:solidFill>
                </w14:textFill>
              </w:rPr>
              <w:t>）如供货产品不合格或不符合技术参数要求的，由成交供应商按采购人（或者采购人委托的第三方机构或部门）要求整改，成交供应商不按要求整改或拒不整改的，采购人有权终止合同，给采购人造成的损失等费用由成交供应商承担。</w:t>
            </w:r>
          </w:p>
          <w:p w14:paraId="2FFC3874">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4</w:t>
            </w:r>
            <w:r>
              <w:rPr>
                <w:rFonts w:hint="eastAsia" w:hAnsi="宋体"/>
                <w:color w:val="000000" w:themeColor="text1"/>
                <w:sz w:val="21"/>
                <w:highlight w:val="none"/>
                <w14:textFill>
                  <w14:solidFill>
                    <w14:schemeClr w14:val="tx1"/>
                  </w14:solidFill>
                </w14:textFill>
              </w:rPr>
              <w:t>）如成交供应商提供虚假材料的，除按相关规定做违约处理外，采购人依据相关法律规定追究成交供应商的责任，由此带来的一切责任及损失由成交供应商自行承担。</w:t>
            </w:r>
          </w:p>
          <w:p w14:paraId="1A76D082">
            <w:pPr>
              <w:pStyle w:val="12"/>
              <w:keepNext w:val="0"/>
              <w:keepLines w:val="0"/>
              <w:pageBreakBefore w:val="0"/>
              <w:widowControl w:val="0"/>
              <w:shd w:val="clear" w:color="auto" w:fill="auto"/>
              <w:kinsoku/>
              <w:wordWrap/>
              <w:overflowPunct/>
              <w:topLinePunct w:val="0"/>
              <w:bidi w:val="0"/>
              <w:adjustRightInd/>
              <w:snapToGrid/>
              <w:spacing w:line="440" w:lineRule="exact"/>
              <w:textAlignment w:val="auto"/>
              <w:outlineLvl w:val="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5</w:t>
            </w:r>
            <w:r>
              <w:rPr>
                <w:rFonts w:hint="eastAsia" w:hAnsi="宋体"/>
                <w:color w:val="000000" w:themeColor="text1"/>
                <w:sz w:val="21"/>
                <w:highlight w:val="none"/>
                <w14:textFill>
                  <w14:solidFill>
                    <w14:schemeClr w14:val="tx1"/>
                  </w14:solidFill>
                </w14:textFill>
              </w:rPr>
              <w:t>）在项目验收过程中，如项目验收不合格，有关返工、再行验收产生相关成本费用，以及给采购人造成的损失等费用由成交供应商承担。连续两次项目验收不合格的，或弄虚作假的行为，采购单位将不予验收，采购人有权解除合同，并追究成交供应商的责任，由此带来的一切责任由成交供应商自行承担。</w:t>
            </w:r>
          </w:p>
          <w:p w14:paraId="732C3D03">
            <w:pPr>
              <w:keepNext w:val="0"/>
              <w:keepLines w:val="0"/>
              <w:pageBreakBefore w:val="0"/>
              <w:widowControl w:val="0"/>
              <w:shd w:val="clear" w:color="auto" w:fill="auto"/>
              <w:kinsoku/>
              <w:wordWrap/>
              <w:overflowPunct/>
              <w:topLinePunct w:val="0"/>
              <w:bidi w:val="0"/>
              <w:adjustRightInd/>
              <w:snapToGrid/>
              <w:spacing w:line="440" w:lineRule="exact"/>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lang w:val="en-US" w:eastAsia="zh-CN"/>
                <w14:textFill>
                  <w14:solidFill>
                    <w14:schemeClr w14:val="tx1"/>
                  </w14:solidFill>
                </w14:textFill>
              </w:rPr>
              <w:t>6</w:t>
            </w:r>
            <w:r>
              <w:rPr>
                <w:rFonts w:hint="eastAsia" w:hAnsi="宋体"/>
                <w:color w:val="000000" w:themeColor="text1"/>
                <w:highlight w:val="none"/>
                <w14:textFill>
                  <w14:solidFill>
                    <w14:schemeClr w14:val="tx1"/>
                  </w14:solidFill>
                </w14:textFill>
              </w:rPr>
              <w:t>）项目验收过程中，若采购人委托第三方检测机构介入的，费用由成交供应商另行承担。</w:t>
            </w:r>
          </w:p>
        </w:tc>
      </w:tr>
      <w:tr w14:paraId="79A6F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6EA2E137">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二、与实现项目目标相关的其他要求</w:t>
            </w:r>
          </w:p>
        </w:tc>
      </w:tr>
      <w:tr w14:paraId="25F36F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146C9DEE">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（一）供应商的履约能力要求</w:t>
            </w:r>
          </w:p>
        </w:tc>
      </w:tr>
      <w:tr w14:paraId="385B9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1" w:hRule="atLeast"/>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1FE80F72">
            <w:pPr>
              <w:keepNext w:val="0"/>
              <w:keepLines w:val="0"/>
              <w:pageBreakBefore w:val="0"/>
              <w:widowControl w:val="0"/>
              <w:numPr>
                <w:ilvl w:val="0"/>
                <w:numId w:val="0"/>
              </w:numPr>
              <w:kinsoku/>
              <w:wordWrap/>
              <w:overflowPunct/>
              <w:topLinePunct w:val="0"/>
              <w:bidi w:val="0"/>
              <w:adjustRightInd/>
              <w:snapToGrid/>
              <w:spacing w:line="440" w:lineRule="exact"/>
              <w:jc w:val="both"/>
              <w:textAlignment w:val="auto"/>
              <w:rPr>
                <w:rFonts w:hint="default" w:ascii="宋体" w:hAnsi="宋体" w:eastAsia="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14:textFill>
                  <w14:solidFill>
                    <w14:schemeClr w14:val="tx1"/>
                  </w14:solidFill>
                </w14:textFill>
              </w:rPr>
              <w:t>规范标准</w:t>
            </w:r>
            <w:r>
              <w:rPr>
                <w:rFonts w:hint="eastAsia" w:ascii="宋体" w:hAnsi="宋体" w:cs="Arial"/>
                <w:color w:val="000000" w:themeColor="text1"/>
                <w:szCs w:val="21"/>
                <w:lang w:eastAsia="zh-CN"/>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采购标的需执行的国家标准、行业标准、地方标准或者其他标准、规范。多项标准的，按最新标准或较高标准执行。</w:t>
            </w:r>
          </w:p>
        </w:tc>
      </w:tr>
      <w:tr w14:paraId="4BAC2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34" w:type="dxa"/>
            <w:tcBorders>
              <w:top w:val="single" w:color="auto" w:sz="4" w:space="0"/>
              <w:left w:val="single" w:color="auto" w:sz="4" w:space="0"/>
              <w:bottom w:val="single" w:color="auto" w:sz="4" w:space="0"/>
              <w:right w:val="single" w:color="auto" w:sz="4" w:space="0"/>
            </w:tcBorders>
            <w:vAlign w:val="center"/>
          </w:tcPr>
          <w:p w14:paraId="2C50C47D">
            <w:pPr>
              <w:keepNext w:val="0"/>
              <w:keepLines w:val="0"/>
              <w:pageBreakBefore w:val="0"/>
              <w:widowControl w:val="0"/>
              <w:kinsoku/>
              <w:wordWrap/>
              <w:overflowPunct/>
              <w:topLinePunct w:val="0"/>
              <w:bidi w:val="0"/>
              <w:adjustRightInd/>
              <w:snapToGrid/>
              <w:spacing w:line="440" w:lineRule="exact"/>
              <w:jc w:val="center"/>
              <w:textAlignment w:val="auto"/>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采购标的需满足的质量、安全、技术规格、物理特性等</w:t>
            </w:r>
          </w:p>
        </w:tc>
        <w:tc>
          <w:tcPr>
            <w:tcW w:w="7708" w:type="dxa"/>
            <w:tcBorders>
              <w:top w:val="single" w:color="auto" w:sz="4" w:space="0"/>
              <w:left w:val="single" w:color="auto" w:sz="4" w:space="0"/>
              <w:bottom w:val="single" w:color="auto" w:sz="4" w:space="0"/>
              <w:right w:val="single" w:color="auto" w:sz="4" w:space="0"/>
            </w:tcBorders>
            <w:vAlign w:val="center"/>
          </w:tcPr>
          <w:p w14:paraId="318EBB17">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见本表“项目需要及技术需求”。</w:t>
            </w:r>
          </w:p>
        </w:tc>
      </w:tr>
      <w:tr w14:paraId="4B99F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2648A2CA">
            <w:pPr>
              <w:keepNext w:val="0"/>
              <w:keepLines w:val="0"/>
              <w:pageBreakBefore w:val="0"/>
              <w:widowControl w:val="0"/>
              <w:tabs>
                <w:tab w:val="left" w:pos="180"/>
                <w:tab w:val="left" w:pos="1620"/>
              </w:tabs>
              <w:kinsoku/>
              <w:wordWrap/>
              <w:overflowPunct/>
              <w:topLinePunct w:val="0"/>
              <w:bidi w:val="0"/>
              <w:adjustRightInd/>
              <w:snapToGrid/>
              <w:spacing w:line="440" w:lineRule="exact"/>
              <w:textAlignment w:val="auto"/>
              <w:rPr>
                <w:rFonts w:hint="eastAsia" w:ascii="宋体" w:hAnsi="宋体" w:cs="宋体"/>
                <w:bCs/>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（二）验收标准</w:t>
            </w:r>
          </w:p>
        </w:tc>
      </w:tr>
      <w:tr w14:paraId="3B961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6C205B35">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1.采购人对成交供应商提交的货物依据采购文件上的技术规格要求和国家有关质量标准进行现场签收，外观、说明书符合采购文件技术要求的，给予签收，不合格的不予签收。</w:t>
            </w:r>
          </w:p>
          <w:p w14:paraId="3057DFF0">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成交供应商交货前应对产品作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3636D261">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.采购人组织验收，成交供应商必须到场配合，验收合格后双方签署</w:t>
            </w:r>
            <w:r>
              <w:rPr>
                <w:rFonts w:hint="eastAsia" w:ascii="宋体" w:hAnsi="宋体" w:cs="Arial"/>
                <w:bCs/>
                <w:color w:val="000000" w:themeColor="text1"/>
                <w:szCs w:val="21"/>
                <w14:textFill>
                  <w14:solidFill>
                    <w14:schemeClr w14:val="tx1"/>
                  </w14:solidFill>
                </w14:textFill>
              </w:rPr>
              <w:t>验收合格凭证。</w:t>
            </w:r>
            <w:r>
              <w:rPr>
                <w:rFonts w:hint="eastAsia" w:ascii="宋体" w:hAnsi="宋体" w:cs="Arial"/>
                <w:color w:val="000000" w:themeColor="text1"/>
                <w:szCs w:val="21"/>
                <w14:textFill>
                  <w14:solidFill>
                    <w14:schemeClr w14:val="tx1"/>
                  </w14:solidFill>
                </w14:textFill>
              </w:rPr>
              <w:t>对技术复杂的货物，</w:t>
            </w:r>
            <w:r>
              <w:rPr>
                <w:rFonts w:hint="eastAsia" w:ascii="宋体" w:hAnsi="宋体"/>
                <w:color w:val="000000" w:themeColor="text1"/>
                <w:szCs w:val="21"/>
                <w14:textFill>
                  <w14:solidFill>
                    <w14:schemeClr w14:val="tx1"/>
                  </w14:solidFill>
                </w14:textFill>
              </w:rPr>
              <w:t>采购人</w:t>
            </w:r>
            <w:r>
              <w:rPr>
                <w:rFonts w:hint="eastAsia" w:ascii="宋体" w:hAnsi="宋体" w:cs="Arial"/>
                <w:color w:val="000000" w:themeColor="text1"/>
                <w:szCs w:val="21"/>
                <w14:textFill>
                  <w14:solidFill>
                    <w14:schemeClr w14:val="tx1"/>
                  </w14:solidFill>
                </w14:textFill>
              </w:rPr>
              <w:t>可请国家认可的专业检测机构参与验收，费用由</w:t>
            </w:r>
            <w:r>
              <w:rPr>
                <w:rFonts w:hint="eastAsia" w:ascii="宋体" w:hAnsi="宋体"/>
                <w:color w:val="000000" w:themeColor="text1"/>
                <w:szCs w:val="21"/>
                <w14:textFill>
                  <w14:solidFill>
                    <w14:schemeClr w14:val="tx1"/>
                  </w14:solidFill>
                </w14:textFill>
              </w:rPr>
              <w:t>成交供应商</w:t>
            </w:r>
            <w:r>
              <w:rPr>
                <w:rFonts w:hint="eastAsia" w:ascii="宋体" w:hAnsi="宋体" w:cs="Arial"/>
                <w:color w:val="000000" w:themeColor="text1"/>
                <w:szCs w:val="21"/>
                <w14:textFill>
                  <w14:solidFill>
                    <w14:schemeClr w14:val="tx1"/>
                  </w14:solidFill>
                </w14:textFill>
              </w:rPr>
              <w:t>承担。</w:t>
            </w:r>
          </w:p>
          <w:p w14:paraId="7031A50F">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其他未尽事宜应严格参照《关于印发广西壮族自治区政府采购项目履约验收管理办法的通知》（桂财采〔2015〕22号）以及《财政部关于进一步加强政府采购需求和履约验收管理的指导意见》（财库〔2016〕205号）规定执行</w:t>
            </w:r>
            <w:r>
              <w:rPr>
                <w:rFonts w:hint="eastAsia" w:ascii="宋体" w:hAnsi="宋体"/>
                <w:color w:val="000000" w:themeColor="text1"/>
                <w:szCs w:val="21"/>
                <w14:textFill>
                  <w14:solidFill>
                    <w14:schemeClr w14:val="tx1"/>
                  </w14:solidFill>
                </w14:textFill>
              </w:rPr>
              <w:t>。</w:t>
            </w:r>
          </w:p>
        </w:tc>
      </w:tr>
      <w:tr w14:paraId="0CF69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081AF35B">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（三）进口产品说明</w:t>
            </w:r>
          </w:p>
        </w:tc>
      </w:tr>
      <w:tr w14:paraId="2E9A3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42" w:type="dxa"/>
            <w:gridSpan w:val="2"/>
            <w:tcBorders>
              <w:top w:val="single" w:color="auto" w:sz="4" w:space="0"/>
              <w:left w:val="single" w:color="auto" w:sz="4" w:space="0"/>
              <w:bottom w:val="single" w:color="auto" w:sz="4" w:space="0"/>
              <w:right w:val="single" w:color="auto" w:sz="4" w:space="0"/>
            </w:tcBorders>
            <w:vAlign w:val="center"/>
          </w:tcPr>
          <w:p w14:paraId="6B120D6F">
            <w:pPr>
              <w:keepNext w:val="0"/>
              <w:keepLines w:val="0"/>
              <w:pageBreakBefore w:val="0"/>
              <w:widowControl w:val="0"/>
              <w:kinsoku/>
              <w:wordWrap/>
              <w:overflowPunct/>
              <w:topLinePunct w:val="0"/>
              <w:bidi w:val="0"/>
              <w:adjustRightInd/>
              <w:snapToGrid/>
              <w:spacing w:line="44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本项目货物不接受进口产品（即通过中国海关报关验放进入中国境内且产自关境外的产品）参与竞标，</w:t>
            </w:r>
            <w:r>
              <w:rPr>
                <w:rFonts w:hint="eastAsia" w:ascii="宋体" w:hAnsi="宋体"/>
                <w:b/>
                <w:color w:val="000000" w:themeColor="text1"/>
                <w:szCs w:val="21"/>
                <w14:textFill>
                  <w14:solidFill>
                    <w14:schemeClr w14:val="tx1"/>
                  </w14:solidFill>
                </w14:textFill>
              </w:rPr>
              <w:t>如有进口产品参与竞标的，其响应文件按无效处理</w:t>
            </w:r>
            <w:r>
              <w:rPr>
                <w:rFonts w:hint="eastAsia" w:ascii="宋体" w:hAnsi="宋体"/>
                <w:color w:val="000000" w:themeColor="text1"/>
                <w:szCs w:val="21"/>
                <w14:textFill>
                  <w14:solidFill>
                    <w14:schemeClr w14:val="tx1"/>
                  </w14:solidFill>
                </w14:textFill>
              </w:rPr>
              <w:t>。</w:t>
            </w:r>
          </w:p>
        </w:tc>
      </w:tr>
      <w:bookmarkEnd w:id="24"/>
    </w:tbl>
    <w:p w14:paraId="7D44B301">
      <w:pPr>
        <w:tabs>
          <w:tab w:val="left" w:pos="180"/>
          <w:tab w:val="left" w:pos="1620"/>
        </w:tabs>
        <w:spacing w:line="400" w:lineRule="exact"/>
        <w:rPr>
          <w:rFonts w:hint="eastAsia" w:ascii="宋体" w:hAnsi="宋体" w:cs="宋体"/>
          <w:color w:val="000000" w:themeColor="text1"/>
          <w:szCs w:val="21"/>
          <w14:textFill>
            <w14:solidFill>
              <w14:schemeClr w14:val="tx1"/>
            </w14:solidFill>
          </w14:textFill>
        </w:rPr>
      </w:pPr>
    </w:p>
    <w:p w14:paraId="101CADA6">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5904F838">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01254235">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66650DA7">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2702BFDA">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54DFF72A">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3A7ACE90">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7A6CB6EB">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454F98A8">
      <w:pPr>
        <w:spacing w:line="428" w:lineRule="exact"/>
        <w:ind w:left="119"/>
        <w:rPr>
          <w:rFonts w:hint="eastAsia" w:ascii="黑体" w:hAnsi="黑体" w:eastAsia="黑体" w:cs="黑体"/>
          <w:color w:val="000000" w:themeColor="text1"/>
          <w:sz w:val="32"/>
          <w:szCs w:val="32"/>
          <w14:textFill>
            <w14:solidFill>
              <w14:schemeClr w14:val="tx1"/>
            </w14:solidFill>
          </w14:textFill>
        </w:rPr>
      </w:pPr>
    </w:p>
    <w:p w14:paraId="4A692797">
      <w:pPr>
        <w:spacing w:line="428" w:lineRule="exact"/>
        <w:rPr>
          <w:rFonts w:hint="eastAsia" w:ascii="黑体" w:hAnsi="黑体" w:eastAsia="黑体" w:cs="黑体"/>
          <w:color w:val="000000" w:themeColor="text1"/>
          <w:sz w:val="32"/>
          <w:szCs w:val="32"/>
          <w14:textFill>
            <w14:solidFill>
              <w14:schemeClr w14:val="tx1"/>
            </w14:solidFill>
          </w14:textFill>
        </w:rPr>
      </w:pPr>
    </w:p>
    <w:p w14:paraId="2AA0C9F7">
      <w:pPr>
        <w:spacing w:line="428" w:lineRule="exact"/>
        <w:ind w:left="119"/>
        <w:rPr>
          <w:rFonts w:hint="eastAsia" w:ascii="Arial Unicode MS" w:hAnsi="Arial Unicode MS" w:eastAsia="Arial Unicode MS" w:cs="Arial Unicode M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p>
    <w:p w14:paraId="7570C33F">
      <w:pPr>
        <w:spacing w:before="7"/>
        <w:rPr>
          <w:rFonts w:hint="eastAsia" w:ascii="Arial Unicode MS" w:hAnsi="Arial Unicode MS" w:eastAsia="Arial Unicode MS" w:cs="Arial Unicode MS"/>
          <w:color w:val="000000" w:themeColor="text1"/>
          <w:sz w:val="17"/>
          <w:szCs w:val="17"/>
          <w14:textFill>
            <w14:solidFill>
              <w14:schemeClr w14:val="tx1"/>
            </w14:solidFill>
          </w14:textFill>
        </w:rPr>
      </w:pPr>
    </w:p>
    <w:p w14:paraId="01FF42C6">
      <w:pPr>
        <w:spacing w:line="528" w:lineRule="exact"/>
        <w:ind w:left="1871"/>
        <w:rPr>
          <w:rFonts w:hint="eastAsia" w:ascii="Arial Unicode MS" w:hAnsi="Arial Unicode MS" w:eastAsia="Arial Unicode MS" w:cs="Arial Unicode M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5AF6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1" w:type="dxa"/>
            <w:tcBorders>
              <w:top w:val="single" w:color="000000" w:sz="4" w:space="0"/>
              <w:left w:val="single" w:color="000000" w:sz="4" w:space="0"/>
              <w:bottom w:val="single" w:color="000000" w:sz="4" w:space="0"/>
              <w:right w:val="single" w:color="000000" w:sz="4" w:space="0"/>
            </w:tcBorders>
            <w:vAlign w:val="center"/>
          </w:tcPr>
          <w:p w14:paraId="38B15536">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61EC3B4">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654674A7">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w w:val="99"/>
                <w14:textFill>
                  <w14:solidFill>
                    <w14:schemeClr w14:val="tx1"/>
                  </w14:solidFill>
                </w14:textFill>
              </w:rPr>
              <w:t>依据的标准</w:t>
            </w:r>
          </w:p>
        </w:tc>
      </w:tr>
      <w:tr w14:paraId="62FC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0590460">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209A5C6">
            <w:pPr>
              <w:jc w:val="center"/>
              <w:rPr>
                <w:rFonts w:hint="eastAsia"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w w:val="99"/>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7298109">
            <w:pPr>
              <w:pStyle w:val="59"/>
              <w:spacing w:before="93"/>
              <w:ind w:left="7" w:right="5"/>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A02010105</w:t>
            </w:r>
            <w:r>
              <w:rPr>
                <w:rFonts w:hint="eastAsia" w:ascii="宋体" w:hAnsi="宋体" w:cs="宋体"/>
                <w:color w:val="000000" w:themeColor="text1"/>
                <w:w w:val="99"/>
                <w:kern w:val="2"/>
                <w:sz w:val="21"/>
                <w:szCs w:val="21"/>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E480384">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BBBE992">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《微型计算机能效限定值及能效等级》（GB28380）</w:t>
            </w:r>
          </w:p>
        </w:tc>
      </w:tr>
      <w:tr w14:paraId="1DE3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3089D4">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243758">
            <w:pPr>
              <w:widowControl/>
              <w:jc w:val="left"/>
              <w:rPr>
                <w:rFonts w:hint="eastAsia"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6C270D">
            <w:pPr>
              <w:pStyle w:val="59"/>
              <w:spacing w:before="44"/>
              <w:ind w:left="7" w:right="5"/>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A02010108</w:t>
            </w:r>
            <w:r>
              <w:rPr>
                <w:rFonts w:hint="eastAsia" w:ascii="宋体" w:hAnsi="宋体" w:cs="宋体"/>
                <w:color w:val="000000" w:themeColor="text1"/>
                <w:w w:val="99"/>
                <w:kern w:val="2"/>
                <w:sz w:val="21"/>
                <w:szCs w:val="21"/>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422EFC6">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B552E6F">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《微型计算机能效限定值及能效等级》（GB28380）</w:t>
            </w:r>
          </w:p>
        </w:tc>
      </w:tr>
      <w:tr w14:paraId="243C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F3FC54">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23DCE3">
            <w:pPr>
              <w:widowControl/>
              <w:jc w:val="left"/>
              <w:rPr>
                <w:rFonts w:hint="eastAsia"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9DDB70C">
            <w:pPr>
              <w:pStyle w:val="59"/>
              <w:spacing w:before="64"/>
              <w:ind w:left="7" w:right="5"/>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w:t>
            </w:r>
            <w:r>
              <w:rPr>
                <w:rFonts w:hint="eastAsia" w:ascii="宋体" w:hAnsi="宋体" w:cs="仿宋_GB2312"/>
                <w:color w:val="000000" w:themeColor="text1"/>
                <w:kern w:val="2"/>
                <w:sz w:val="21"/>
                <w:szCs w:val="21"/>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9C4253E">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4D5AC37">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《微型计算机能效限定值及能效等级》（GB28380）</w:t>
            </w:r>
          </w:p>
        </w:tc>
      </w:tr>
      <w:tr w14:paraId="39BA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413A48C">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9C5C43">
            <w:pPr>
              <w:pStyle w:val="59"/>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A02020000</w:t>
            </w:r>
            <w:r>
              <w:rPr>
                <w:rFonts w:hint="eastAsia" w:ascii="宋体" w:hAnsi="宋体" w:cs="宋体"/>
                <w:color w:val="000000" w:themeColor="text1"/>
                <w:w w:val="99"/>
                <w:kern w:val="2"/>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98C422B">
            <w:pPr>
              <w:jc w:val="cente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pacing w:val="1"/>
                <w:w w:val="99"/>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4D33E9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57141D70">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0828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66F440">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B51816">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69DFDB">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FBDA28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39122529">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119B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19D38F">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D5CDAD">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400638">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3B57CC">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22A43BED">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767D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88991C">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66897C">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B52A5E">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0274D8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0ED758FE">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725E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392829">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C6810A">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5135CD">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89B2CB">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6F9CEDDC">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515D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84E43D">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34C4D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6F3270">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FEEA21E">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10CE31EB">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4659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2C5F79">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576F1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4C84F0">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694DA0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077C4B15">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10F2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85AF66">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A6D9F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0385A9">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2B6416">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73AB629A">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5264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103C02">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DAE5E6">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B2AC35">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8852647">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471A2E09">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3E42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892643">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8D85AD">
            <w:pPr>
              <w:widowControl/>
              <w:jc w:val="left"/>
              <w:rPr>
                <w:rFonts w:hint="eastAsia"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C4DED33">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5491B5F0">
            <w:pPr>
              <w:jc w:val="cente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74FD8E21">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《计算机显示器能效限定值及能效等级》（GB21520）</w:t>
            </w:r>
          </w:p>
        </w:tc>
      </w:tr>
      <w:tr w14:paraId="26EA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A6DD35">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8102EF">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5A6C02">
            <w:pPr>
              <w:widowControl/>
              <w:jc w:val="left"/>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EE52C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1DE9A1A3">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参照《复印机、打印机和传真机能效限定值及能效等级》（GB21521）中打印速度为15页/分的针式打印机相关要求</w:t>
            </w:r>
          </w:p>
        </w:tc>
      </w:tr>
      <w:tr w14:paraId="21FE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57355A7">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w w:val="99"/>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04A99B39">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9B48BFB">
            <w:pPr>
              <w:jc w:val="center"/>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E6B17D1">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0D7D7BAE">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《投影机能效限定值及能效等级》（GB32028）</w:t>
            </w:r>
          </w:p>
        </w:tc>
      </w:tr>
      <w:tr w14:paraId="12C2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968D8F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6579F6C">
            <w:pPr>
              <w:pStyle w:val="59"/>
              <w:spacing w:before="66"/>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A02020400</w:t>
            </w:r>
            <w:r>
              <w:rPr>
                <w:rFonts w:hint="eastAsia" w:ascii="宋体" w:hAnsi="宋体" w:cs="宋体"/>
                <w:color w:val="000000" w:themeColor="text1"/>
                <w:w w:val="99"/>
                <w:kern w:val="2"/>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A8BAE1A">
            <w:pPr>
              <w:jc w:val="center"/>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BA2FA4F">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06695A88">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《复印机、打印机和传真机能效限定值及能效等级》（GB21521）</w:t>
            </w:r>
          </w:p>
        </w:tc>
      </w:tr>
      <w:tr w14:paraId="3C2D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4210B9C">
            <w:pPr>
              <w:pStyle w:val="59"/>
              <w:spacing w:before="160"/>
              <w:ind w:right="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12C74C05">
            <w:pPr>
              <w:pStyle w:val="59"/>
              <w:spacing w:before="160"/>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A02051900</w:t>
            </w:r>
            <w:r>
              <w:rPr>
                <w:rFonts w:hint="eastAsia" w:ascii="宋体" w:hAnsi="宋体" w:cs="宋体"/>
                <w:color w:val="000000" w:themeColor="text1"/>
                <w:w w:val="99"/>
                <w:kern w:val="2"/>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2BC2852">
            <w:pPr>
              <w:pStyle w:val="59"/>
              <w:spacing w:before="160"/>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05</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076396BA">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129A153F">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《清水离心泵能效限定值及节能评价值》（GB19762）</w:t>
            </w:r>
          </w:p>
        </w:tc>
      </w:tr>
      <w:tr w14:paraId="4021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62F117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6BF0769">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A02052300</w:t>
            </w:r>
            <w:r>
              <w:rPr>
                <w:rFonts w:hint="eastAsia" w:ascii="宋体" w:hAnsi="宋体" w:cs="宋体"/>
                <w:color w:val="000000" w:themeColor="text1"/>
                <w:w w:val="99"/>
                <w:kern w:val="2"/>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98C0B8E">
            <w:pPr>
              <w:pStyle w:val="59"/>
              <w:spacing w:line="276" w:lineRule="auto"/>
              <w:ind w:right="5"/>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52</w:t>
            </w:r>
            <w:r>
              <w:rPr>
                <w:rFonts w:hint="eastAsia" w:ascii="宋体" w:hAnsi="宋体" w:cs="宋体"/>
                <w:color w:val="000000" w:themeColor="text1"/>
                <w:spacing w:val="1"/>
                <w:w w:val="99"/>
                <w:kern w:val="2"/>
                <w:sz w:val="21"/>
                <w:szCs w:val="21"/>
                <w14:textFill>
                  <w14:solidFill>
                    <w14:schemeClr w14:val="tx1"/>
                  </w14:solidFill>
                </w14:textFill>
              </w:rPr>
              <w:t>3</w:t>
            </w:r>
            <w:r>
              <w:rPr>
                <w:rFonts w:hint="eastAsia" w:ascii="宋体" w:hAnsi="宋体" w:cs="宋体"/>
                <w:color w:val="000000" w:themeColor="text1"/>
                <w:w w:val="99"/>
                <w:kern w:val="2"/>
                <w:sz w:val="21"/>
                <w:szCs w:val="21"/>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CA41A35">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tcPr>
          <w:p w14:paraId="4E8E3201">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《冷水机组能效限定值及能效等级》（GB19577），《低环境温度空气源热泵（冷水）机组能效限定值及能效等级》（GB37480）</w:t>
            </w:r>
          </w:p>
        </w:tc>
      </w:tr>
      <w:tr w14:paraId="68AE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D004E6">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58CF1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0C54AF">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F19761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1ED368BB">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《溴化锂吸收式冷水机组能效限</w:t>
            </w:r>
          </w:p>
          <w:p w14:paraId="2F659FC2">
            <w:pPr>
              <w:spacing w:before="131" w:line="276" w:lineRule="auto"/>
              <w:ind w:right="4"/>
              <w:rPr>
                <w:rFonts w:hint="eastAsia" w:ascii="宋体" w:hAnsi="宋体" w:cs="宋体"/>
                <w:color w:val="000000" w:themeColor="text1"/>
                <w:spacing w:val="10"/>
                <w:szCs w:val="21"/>
                <w14:textFill>
                  <w14:solidFill>
                    <w14:schemeClr w14:val="tx1"/>
                  </w14:solidFill>
                </w14:textFill>
              </w:rPr>
            </w:pPr>
            <w:r>
              <w:rPr>
                <w:rFonts w:hint="eastAsia" w:ascii="宋体" w:hAnsi="宋体" w:cs="宋体"/>
                <w:color w:val="000000" w:themeColor="text1"/>
                <w:spacing w:val="10"/>
                <w:szCs w:val="21"/>
                <w14:textFill>
                  <w14:solidFill>
                    <w14:schemeClr w14:val="tx1"/>
                  </w14:solidFill>
                </w14:textFill>
              </w:rPr>
              <w:t>定值及能效等级》（GB29540）</w:t>
            </w:r>
          </w:p>
        </w:tc>
      </w:tr>
      <w:tr w14:paraId="557F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CE330A">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88ACC5">
            <w:pPr>
              <w:widowControl/>
              <w:jc w:val="left"/>
              <w:rPr>
                <w:rFonts w:hint="eastAsia"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F58ECDD">
            <w:pPr>
              <w:pStyle w:val="59"/>
              <w:spacing w:line="276" w:lineRule="auto"/>
              <w:ind w:right="5"/>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7183B851">
            <w:pPr>
              <w:pStyle w:val="59"/>
              <w:spacing w:before="4" w:line="276" w:lineRule="auto"/>
              <w:ind w:left="7" w:right="7"/>
              <w:jc w:val="center"/>
              <w:rPr>
                <w:rFonts w:hint="eastAsia"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6542FA0D">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《多联式空调（热泵）机组能效限定值及能源效率等级》（GB21454）</w:t>
            </w:r>
          </w:p>
        </w:tc>
      </w:tr>
      <w:tr w14:paraId="3B75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900B53">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0F2D45">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4879CC">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27556C2">
            <w:pPr>
              <w:jc w:val="cente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7A8E2D89">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《单元式空气调节机能效限定值及能效等级》（GB19576）《风管送风式空调机组能效限定值及能效等级》（GB37479）</w:t>
            </w:r>
          </w:p>
        </w:tc>
      </w:tr>
      <w:tr w14:paraId="698C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F45CD9">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9AAFC7">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7560895">
            <w:pPr>
              <w:pStyle w:val="59"/>
              <w:spacing w:before="83"/>
              <w:ind w:left="7"/>
              <w:jc w:val="center"/>
              <w:rPr>
                <w:rFonts w:hint="eastAsia" w:ascii="宋体" w:hAnsi="宋体" w:cs="宋体"/>
                <w:color w:val="000000" w:themeColor="text1"/>
                <w:w w:val="99"/>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A942B2C">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tcPr>
          <w:p w14:paraId="61491851">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《单元式空气调节机能效限定值</w:t>
            </w:r>
          </w:p>
          <w:p w14:paraId="4C36B364">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及能效等级》（GB19576）</w:t>
            </w:r>
          </w:p>
        </w:tc>
      </w:tr>
      <w:tr w14:paraId="40E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77BBFF">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7410DC">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B79EFD">
            <w:pPr>
              <w:pStyle w:val="59"/>
              <w:spacing w:line="254" w:lineRule="exact"/>
              <w:ind w:left="7"/>
              <w:jc w:val="center"/>
              <w:rPr>
                <w:rFonts w:hint="eastAsia" w:ascii="宋体" w:hAnsi="宋体" w:cs="宋体"/>
                <w:color w:val="000000" w:themeColor="text1"/>
                <w:w w:val="99"/>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A02052399其他制冷</w:t>
            </w:r>
          </w:p>
          <w:p w14:paraId="7F5B2C4B">
            <w:pPr>
              <w:pStyle w:val="59"/>
              <w:spacing w:line="254" w:lineRule="exact"/>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7BF3806">
            <w:pPr>
              <w:widowControl/>
              <w:jc w:val="center"/>
              <w:rPr>
                <w:rFonts w:hint="eastAsia"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w w:val="99"/>
                <w:szCs w:val="21"/>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tcPr>
          <w:p w14:paraId="2DD524E8">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《机械通风冷却塔第1部分：中小型开式冷却塔》（GB/T7190.1）</w:t>
            </w:r>
          </w:p>
          <w:p w14:paraId="64F5B33E">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《机械通风冷却塔第2部分：大型开式冷却塔》（GB/T7190.2）</w:t>
            </w:r>
          </w:p>
        </w:tc>
      </w:tr>
      <w:tr w14:paraId="63C6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57F7E92">
            <w:pPr>
              <w:pStyle w:val="59"/>
              <w:ind w:right="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3727A13F">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A02060100</w:t>
            </w:r>
            <w:r>
              <w:rPr>
                <w:rFonts w:hint="eastAsia" w:ascii="宋体" w:hAnsi="宋体" w:cs="宋体"/>
                <w:color w:val="000000" w:themeColor="text1"/>
                <w:w w:val="99"/>
                <w:kern w:val="2"/>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661D19F">
            <w:pPr>
              <w:jc w:val="center"/>
              <w:rPr>
                <w:rFonts w:hint="eastAsia"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B36B2B">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B23497C">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《中小型三相异步电动机能效限定值及能效等级》（GB18613）</w:t>
            </w:r>
          </w:p>
        </w:tc>
      </w:tr>
      <w:tr w14:paraId="1D5B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CB62020">
            <w:pPr>
              <w:pStyle w:val="59"/>
              <w:ind w:right="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51FB5DBD">
            <w:pPr>
              <w:pStyle w:val="59"/>
              <w:spacing w:before="30"/>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A02060200</w:t>
            </w:r>
            <w:r>
              <w:rPr>
                <w:rFonts w:hint="eastAsia" w:ascii="宋体" w:hAnsi="宋体" w:cs="宋体"/>
                <w:color w:val="000000" w:themeColor="text1"/>
                <w:w w:val="99"/>
                <w:kern w:val="2"/>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33480E00">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E4DF6E1">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005109F">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《三相配电变压器能效限定值及能效等级》（GB 20052）</w:t>
            </w:r>
          </w:p>
        </w:tc>
      </w:tr>
      <w:tr w14:paraId="6C47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94D55DC">
            <w:pPr>
              <w:pStyle w:val="59"/>
              <w:ind w:right="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6E3B2EA">
            <w:pPr>
              <w:pStyle w:val="59"/>
              <w:spacing w:before="126"/>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8537440">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49FB2C2">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D99B1D0">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《管形荧光灯镇流器能效限定值及能效等级》（GB17896）</w:t>
            </w:r>
          </w:p>
        </w:tc>
      </w:tr>
      <w:tr w14:paraId="29E5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9C62D59">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w w:val="99"/>
                <w:kern w:val="2"/>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2C66D9A">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1675E3F">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559784A8">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0C8FED8">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《家用电冰箱耗电量限定值及能效等级》（GB12021.2）</w:t>
            </w:r>
          </w:p>
        </w:tc>
      </w:tr>
      <w:tr w14:paraId="1096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CD152B">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B1F4B4">
            <w:pPr>
              <w:widowControl/>
              <w:jc w:val="left"/>
              <w:rPr>
                <w:rFonts w:hint="eastAsia"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4056E50">
            <w:pPr>
              <w:pStyle w:val="59"/>
              <w:spacing w:before="17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A02061804</w:t>
            </w:r>
            <w:r>
              <w:rPr>
                <w:rFonts w:hint="eastAsia" w:ascii="宋体" w:hAnsi="宋体" w:cs="宋体"/>
                <w:color w:val="000000" w:themeColor="text1"/>
                <w:w w:val="99"/>
                <w:kern w:val="2"/>
                <w:sz w:val="21"/>
                <w:szCs w:val="21"/>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F65D37F">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406F8036">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《房间空气调节器能效限定值及能效等级》（GB21455-2019）</w:t>
            </w:r>
          </w:p>
        </w:tc>
      </w:tr>
      <w:tr w14:paraId="4A7D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DF45F4">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8B90C2">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3D4AB4">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A67A844">
            <w:pPr>
              <w:pStyle w:val="59"/>
              <w:spacing w:before="4" w:line="276" w:lineRule="auto"/>
              <w:ind w:left="7" w:right="7"/>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25AF207B">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《多联式空调（热泵）机组能效限定值及能源效率等级》（GB21454）</w:t>
            </w:r>
          </w:p>
        </w:tc>
      </w:tr>
      <w:tr w14:paraId="09E9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D8AAAC">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187608">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74D9D0">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1D4D049">
            <w:pPr>
              <w:pStyle w:val="59"/>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6C47648C">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1BCD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9CAC63">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8E3AB7">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76F55C6">
            <w:pPr>
              <w:pStyle w:val="59"/>
              <w:spacing w:before="162"/>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A02061810</w:t>
            </w:r>
            <w:r>
              <w:rPr>
                <w:rFonts w:hint="eastAsia" w:ascii="宋体" w:hAnsi="宋体" w:cs="宋体"/>
                <w:color w:val="000000" w:themeColor="text1"/>
                <w:w w:val="99"/>
                <w:kern w:val="2"/>
                <w:sz w:val="21"/>
                <w:szCs w:val="21"/>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53A57DC">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A495EF9">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《电动洗衣机能效水效限定值及等级》（GB12021.4）</w:t>
            </w:r>
          </w:p>
        </w:tc>
      </w:tr>
      <w:tr w14:paraId="63C7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A7CD19">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740E1A">
            <w:pPr>
              <w:widowControl/>
              <w:jc w:val="left"/>
              <w:rPr>
                <w:rFonts w:hint="eastAsia"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F4DC300">
            <w:pPr>
              <w:pStyle w:val="59"/>
              <w:spacing w:before="161"/>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A02061819</w:t>
            </w:r>
            <w:r>
              <w:rPr>
                <w:rFonts w:hint="eastAsia" w:ascii="宋体" w:hAnsi="宋体" w:cs="宋体"/>
                <w:color w:val="000000" w:themeColor="text1"/>
                <w:w w:val="99"/>
                <w:kern w:val="2"/>
                <w:sz w:val="21"/>
                <w:szCs w:val="21"/>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53EC2C0">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★电热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23C1FB05">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《储水式电热水器能效限定值及能效等级》（GB21519）</w:t>
            </w:r>
          </w:p>
        </w:tc>
      </w:tr>
      <w:tr w14:paraId="277E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8F5C0C">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CAE0D3">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1FB56E">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B7FF378">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燃气热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56AC351F">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《家用燃气快速热水器和燃气采暖热水炉能效限定值及能效等级》（GB20665）</w:t>
            </w:r>
          </w:p>
        </w:tc>
      </w:tr>
      <w:tr w14:paraId="0007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8D953C">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A2F2A5">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43613C">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6F6049A">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热泵热</w:t>
            </w:r>
            <w:r>
              <w:rPr>
                <w:rFonts w:hint="eastAsia" w:ascii="宋体" w:hAnsi="宋体" w:cs="宋体"/>
                <w:color w:val="000000" w:themeColor="text1"/>
                <w:spacing w:val="2"/>
                <w:w w:val="99"/>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471B5E90">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《热泵热水机（器）能效限定值及能效等级》（GB29541）</w:t>
            </w:r>
          </w:p>
        </w:tc>
      </w:tr>
      <w:tr w14:paraId="747B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A8EF64">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F4B3D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A2E392">
            <w:pPr>
              <w:widowControl/>
              <w:jc w:val="left"/>
              <w:rPr>
                <w:rFonts w:hint="eastAsia"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6010393">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太阳能</w:t>
            </w:r>
            <w:r>
              <w:rPr>
                <w:rFonts w:hint="eastAsia" w:ascii="宋体" w:hAnsi="宋体" w:cs="宋体"/>
                <w:color w:val="000000" w:themeColor="text1"/>
                <w:spacing w:val="2"/>
                <w:w w:val="99"/>
                <w:kern w:val="2"/>
                <w:sz w:val="21"/>
                <w:szCs w:val="21"/>
                <w14:textFill>
                  <w14:solidFill>
                    <w14:schemeClr w14:val="tx1"/>
                  </w14:solidFill>
                </w14:textFill>
              </w:rPr>
              <w:t>热</w:t>
            </w:r>
            <w:r>
              <w:rPr>
                <w:rFonts w:hint="eastAsia" w:ascii="宋体" w:hAnsi="宋体" w:cs="宋体"/>
                <w:color w:val="000000" w:themeColor="text1"/>
                <w:w w:val="99"/>
                <w:kern w:val="2"/>
                <w:sz w:val="21"/>
                <w:szCs w:val="21"/>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tcPr>
          <w:p w14:paraId="0FF2E656">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《家用太阳能热水系统能效限定值及能效等级》（GB26969）</w:t>
            </w:r>
          </w:p>
        </w:tc>
      </w:tr>
      <w:tr w14:paraId="2A18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5645FB0">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6B7A47F">
            <w:pPr>
              <w:pStyle w:val="59"/>
              <w:spacing w:before="15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06</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E2E99DE">
            <w:pPr>
              <w:pStyle w:val="59"/>
              <w:spacing w:before="133" w:line="276" w:lineRule="auto"/>
              <w:ind w:left="7" w:right="7"/>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4CD1AB8B">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2AEE1CB">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《普通照明用双端荧光灯能效限定值及能效等级》（GB19043）</w:t>
            </w:r>
          </w:p>
        </w:tc>
      </w:tr>
      <w:tr w14:paraId="205B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ED2F8D">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45F5A2">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CED37A5">
            <w:pPr>
              <w:pStyle w:val="59"/>
              <w:spacing w:before="92" w:line="276" w:lineRule="auto"/>
              <w:ind w:left="7" w:right="2"/>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LE</w:t>
            </w:r>
            <w:r>
              <w:rPr>
                <w:rFonts w:hint="eastAsia" w:ascii="宋体" w:hAnsi="宋体" w:cs="宋体"/>
                <w:color w:val="000000" w:themeColor="text1"/>
                <w:w w:val="99"/>
                <w:kern w:val="2"/>
                <w:sz w:val="21"/>
                <w:szCs w:val="21"/>
                <w14:textFill>
                  <w14:solidFill>
                    <w14:schemeClr w14:val="tx1"/>
                  </w14:solidFill>
                </w14:textFill>
              </w:rPr>
              <w:t>D</w:t>
            </w:r>
            <w:r>
              <w:rPr>
                <w:rFonts w:hint="eastAsia" w:ascii="宋体" w:hAnsi="宋体" w:cs="宋体"/>
                <w:color w:val="000000" w:themeColor="text1"/>
                <w:spacing w:val="12"/>
                <w:w w:val="99"/>
                <w:kern w:val="2"/>
                <w:sz w:val="21"/>
                <w:szCs w:val="21"/>
                <w14:textFill>
                  <w14:solidFill>
                    <w14:schemeClr w14:val="tx1"/>
                  </w14:solidFill>
                </w14:textFill>
              </w:rPr>
              <w:t>道</w:t>
            </w:r>
            <w:r>
              <w:rPr>
                <w:rFonts w:hint="eastAsia" w:ascii="宋体" w:hAnsi="宋体" w:cs="宋体"/>
                <w:color w:val="000000" w:themeColor="text1"/>
                <w:spacing w:val="9"/>
                <w:w w:val="99"/>
                <w:kern w:val="2"/>
                <w:sz w:val="21"/>
                <w:szCs w:val="21"/>
                <w14:textFill>
                  <w14:solidFill>
                    <w14:schemeClr w14:val="tx1"/>
                  </w14:solidFill>
                </w14:textFill>
              </w:rPr>
              <w:t>路</w:t>
            </w:r>
            <w:r>
              <w:rPr>
                <w:rFonts w:hint="eastAsia" w:ascii="宋体" w:hAnsi="宋体" w:cs="宋体"/>
                <w:color w:val="000000" w:themeColor="text1"/>
                <w:spacing w:val="13"/>
                <w:w w:val="99"/>
                <w:kern w:val="2"/>
                <w:sz w:val="21"/>
                <w:szCs w:val="21"/>
                <w14:textFill>
                  <w14:solidFill>
                    <w14:schemeClr w14:val="tx1"/>
                  </w14:solidFill>
                </w14:textFill>
              </w:rPr>
              <w:t>/</w:t>
            </w:r>
            <w:r>
              <w:rPr>
                <w:rFonts w:hint="eastAsia" w:ascii="宋体" w:hAnsi="宋体" w:cs="宋体"/>
                <w:color w:val="000000" w:themeColor="text1"/>
                <w:spacing w:val="12"/>
                <w:w w:val="99"/>
                <w:kern w:val="2"/>
                <w:sz w:val="21"/>
                <w:szCs w:val="21"/>
                <w14:textFill>
                  <w14:solidFill>
                    <w14:schemeClr w14:val="tx1"/>
                  </w14:solidFill>
                </w14:textFill>
              </w:rPr>
              <w:t>隧道照</w:t>
            </w:r>
            <w:r>
              <w:rPr>
                <w:rFonts w:hint="eastAsia" w:ascii="宋体" w:hAnsi="宋体" w:cs="宋体"/>
                <w:color w:val="000000" w:themeColor="text1"/>
                <w:w w:val="99"/>
                <w:kern w:val="2"/>
                <w:sz w:val="21"/>
                <w:szCs w:val="21"/>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737C8F14">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C89DFD0">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《道路和隧道照明用LED灯具能效限定值及能效等级》（GB37478）</w:t>
            </w:r>
          </w:p>
        </w:tc>
      </w:tr>
      <w:tr w14:paraId="07B5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374610">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87893C">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CA8B032">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LE</w:t>
            </w:r>
            <w:r>
              <w:rPr>
                <w:rFonts w:hint="eastAsia" w:ascii="宋体" w:hAnsi="宋体" w:cs="宋体"/>
                <w:color w:val="000000" w:themeColor="text1"/>
                <w:w w:val="99"/>
                <w:kern w:val="2"/>
                <w:sz w:val="21"/>
                <w:szCs w:val="21"/>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E7C4036">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FB82D7C">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《室内照明用LED产品能效限定值及能效等级》（GB30255）</w:t>
            </w:r>
          </w:p>
        </w:tc>
      </w:tr>
      <w:tr w14:paraId="7F3D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ADD69B">
            <w:pPr>
              <w:widowControl/>
              <w:jc w:val="left"/>
              <w:rPr>
                <w:rFonts w:hint="eastAsia"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0EE002">
            <w:pPr>
              <w:widowControl/>
              <w:jc w:val="left"/>
              <w:rPr>
                <w:rFonts w:hint="eastAsia"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1B4958D">
            <w:pPr>
              <w:pStyle w:val="59"/>
              <w:spacing w:line="276" w:lineRule="auto"/>
              <w:ind w:right="7"/>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w w:val="99"/>
                <w:kern w:val="2"/>
                <w:sz w:val="21"/>
                <w:szCs w:val="21"/>
                <w:lang w:eastAsia="zh-CN"/>
                <w14:textFill>
                  <w14:solidFill>
                    <w14:schemeClr w14:val="tx1"/>
                  </w14:solidFill>
                </w14:textFill>
              </w:rPr>
              <w:t>普</w:t>
            </w:r>
            <w:r>
              <w:rPr>
                <w:rFonts w:hint="eastAsia" w:ascii="宋体" w:hAnsi="宋体" w:cs="宋体"/>
                <w:color w:val="000000" w:themeColor="text1"/>
                <w:spacing w:val="24"/>
                <w:w w:val="99"/>
                <w:kern w:val="2"/>
                <w:sz w:val="21"/>
                <w:szCs w:val="21"/>
                <w:lang w:eastAsia="zh-CN"/>
                <w14:textFill>
                  <w14:solidFill>
                    <w14:schemeClr w14:val="tx1"/>
                  </w14:solidFill>
                </w14:textFill>
              </w:rPr>
              <w:t>通</w:t>
            </w:r>
            <w:r>
              <w:rPr>
                <w:rFonts w:hint="eastAsia" w:ascii="宋体" w:hAnsi="宋体" w:cs="宋体"/>
                <w:color w:val="000000" w:themeColor="text1"/>
                <w:w w:val="99"/>
                <w:kern w:val="2"/>
                <w:sz w:val="21"/>
                <w:szCs w:val="21"/>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lang w:eastAsia="zh-CN"/>
                <w14:textFill>
                  <w14:solidFill>
                    <w14:schemeClr w14:val="tx1"/>
                  </w14:solidFill>
                </w14:textFill>
              </w:rPr>
              <w:t>定</w:t>
            </w:r>
            <w:r>
              <w:rPr>
                <w:rFonts w:hint="eastAsia" w:ascii="宋体" w:hAnsi="宋体" w:cs="宋体"/>
                <w:color w:val="000000" w:themeColor="text1"/>
                <w:w w:val="99"/>
                <w:kern w:val="2"/>
                <w:sz w:val="21"/>
                <w:szCs w:val="21"/>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lang w:eastAsia="zh-CN"/>
                <w14:textFill>
                  <w14:solidFill>
                    <w14:schemeClr w14:val="tx1"/>
                  </w14:solidFill>
                </w14:textFill>
              </w:rPr>
              <w:t>LE</w:t>
            </w:r>
            <w:r>
              <w:rPr>
                <w:rFonts w:hint="eastAsia" w:ascii="宋体" w:hAnsi="宋体" w:cs="宋体"/>
                <w:color w:val="000000" w:themeColor="text1"/>
                <w:w w:val="99"/>
                <w:kern w:val="2"/>
                <w:sz w:val="21"/>
                <w:szCs w:val="21"/>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7DA208E">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61FDBBA">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《室内照明用LED产品能效限定值及能效等级》（GB30255）</w:t>
            </w:r>
          </w:p>
        </w:tc>
      </w:tr>
      <w:tr w14:paraId="2D39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6F1414">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426221E6">
            <w:pPr>
              <w:pStyle w:val="59"/>
              <w:spacing w:before="81"/>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49BB5E34">
            <w:pPr>
              <w:pStyle w:val="59"/>
              <w:spacing w:before="81" w:line="276" w:lineRule="auto"/>
              <w:ind w:left="7" w:right="5"/>
              <w:jc w:val="center"/>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
                <w:w w:val="99"/>
                <w:kern w:val="2"/>
                <w:sz w:val="21"/>
                <w:szCs w:val="21"/>
                <w:lang w:eastAsia="zh-CN"/>
                <w14:textFill>
                  <w14:solidFill>
                    <w14:schemeClr w14:val="tx1"/>
                  </w14:solidFill>
                </w14:textFill>
              </w:rPr>
              <w:t>A02</w:t>
            </w:r>
            <w:r>
              <w:rPr>
                <w:rFonts w:hint="eastAsia" w:ascii="宋体" w:hAnsi="宋体" w:cs="宋体"/>
                <w:color w:val="000000" w:themeColor="text1"/>
                <w:w w:val="99"/>
                <w:kern w:val="2"/>
                <w:sz w:val="21"/>
                <w:szCs w:val="21"/>
                <w:lang w:eastAsia="zh-CN"/>
                <w14:textFill>
                  <w14:solidFill>
                    <w14:schemeClr w14:val="tx1"/>
                  </w14:solidFill>
                </w14:textFill>
              </w:rPr>
              <w:t>09</w:t>
            </w:r>
            <w:r>
              <w:rPr>
                <w:rFonts w:hint="eastAsia" w:ascii="宋体" w:hAnsi="宋体" w:cs="宋体"/>
                <w:color w:val="000000" w:themeColor="text1"/>
                <w:spacing w:val="1"/>
                <w:w w:val="99"/>
                <w:kern w:val="2"/>
                <w:sz w:val="21"/>
                <w:szCs w:val="21"/>
                <w:lang w:eastAsia="zh-CN"/>
                <w14:textFill>
                  <w14:solidFill>
                    <w14:schemeClr w14:val="tx1"/>
                  </w14:solidFill>
                </w14:textFill>
              </w:rPr>
              <w:t>1</w:t>
            </w:r>
            <w:r>
              <w:rPr>
                <w:rFonts w:hint="eastAsia" w:ascii="宋体" w:hAnsi="宋体" w:cs="宋体"/>
                <w:color w:val="000000" w:themeColor="text1"/>
                <w:w w:val="99"/>
                <w:kern w:val="2"/>
                <w:sz w:val="21"/>
                <w:szCs w:val="21"/>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lang w:eastAsia="zh-CN"/>
                <w14:textFill>
                  <w14:solidFill>
                    <w14:schemeClr w14:val="tx1"/>
                  </w14:solidFill>
                </w14:textFill>
              </w:rPr>
              <w:t>电</w:t>
            </w:r>
            <w:r>
              <w:rPr>
                <w:rFonts w:hint="eastAsia" w:ascii="宋体" w:hAnsi="宋体" w:cs="宋体"/>
                <w:color w:val="000000" w:themeColor="text1"/>
                <w:w w:val="99"/>
                <w:kern w:val="2"/>
                <w:sz w:val="21"/>
                <w:szCs w:val="21"/>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419CF14">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D29F21A">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p>
        </w:tc>
      </w:tr>
      <w:tr w14:paraId="1A60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C7B7504">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744D9C4">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宋体"/>
                <w:color w:val="000000" w:themeColor="text1"/>
                <w:spacing w:val="1"/>
                <w:w w:val="99"/>
                <w:kern w:val="2"/>
                <w:sz w:val="21"/>
                <w:szCs w:val="21"/>
                <w14:textFill>
                  <w14:solidFill>
                    <w14:schemeClr w14:val="tx1"/>
                  </w14:solidFill>
                </w14:textFill>
              </w:rPr>
              <w:t>A020</w:t>
            </w:r>
            <w:r>
              <w:rPr>
                <w:rFonts w:hint="eastAsia" w:ascii="宋体" w:hAnsi="宋体" w:cs="宋体"/>
                <w:color w:val="000000" w:themeColor="text1"/>
                <w:w w:val="99"/>
                <w:kern w:val="2"/>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76320B3">
            <w:pPr>
              <w:pStyle w:val="59"/>
              <w:spacing w:line="276" w:lineRule="auto"/>
              <w:ind w:right="5"/>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spacing w:val="1"/>
                <w:w w:val="99"/>
                <w:kern w:val="2"/>
                <w:sz w:val="21"/>
                <w:szCs w:val="21"/>
                <w14:textFill>
                  <w14:solidFill>
                    <w14:schemeClr w14:val="tx1"/>
                  </w14:solidFill>
                </w14:textFill>
              </w:rPr>
              <w:t>A02</w:t>
            </w:r>
            <w:r>
              <w:rPr>
                <w:rFonts w:hint="eastAsia" w:ascii="宋体" w:hAnsi="宋体" w:cs="宋体"/>
                <w:color w:val="000000" w:themeColor="text1"/>
                <w:w w:val="99"/>
                <w:kern w:val="2"/>
                <w:sz w:val="21"/>
                <w:szCs w:val="21"/>
                <w14:textFill>
                  <w14:solidFill>
                    <w14:schemeClr w14:val="tx1"/>
                  </w14:solidFill>
                </w14:textFill>
              </w:rPr>
              <w:t>09</w:t>
            </w:r>
            <w:r>
              <w:rPr>
                <w:rFonts w:hint="eastAsia" w:ascii="宋体" w:hAnsi="宋体" w:cs="宋体"/>
                <w:color w:val="000000" w:themeColor="text1"/>
                <w:spacing w:val="1"/>
                <w:w w:val="99"/>
                <w:kern w:val="2"/>
                <w:sz w:val="21"/>
                <w:szCs w:val="21"/>
                <w14:textFill>
                  <w14:solidFill>
                    <w14:schemeClr w14:val="tx1"/>
                  </w14:solidFill>
                </w14:textFill>
              </w:rPr>
              <w:t>1</w:t>
            </w:r>
            <w:r>
              <w:rPr>
                <w:rFonts w:hint="eastAsia" w:ascii="宋体" w:hAnsi="宋体" w:cs="宋体"/>
                <w:color w:val="000000" w:themeColor="text1"/>
                <w:w w:val="99"/>
                <w:kern w:val="2"/>
                <w:sz w:val="21"/>
                <w:szCs w:val="21"/>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0EA4D77">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tcPr>
          <w:p w14:paraId="67AAB149">
            <w:pPr>
              <w:pStyle w:val="59"/>
              <w:spacing w:before="131" w:line="276" w:lineRule="auto"/>
              <w:ind w:left="7" w:right="4"/>
              <w:rPr>
                <w:rFonts w:hint="eastAsia" w:ascii="宋体" w:hAnsi="宋体" w:cs="宋体"/>
                <w:color w:val="000000" w:themeColor="text1"/>
                <w:spacing w:val="10"/>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以射频信号为主要信号输入的监视器以数字信号为主要信号输入的监视器应符合《计算机显示器能效限定值及能效等级》（GB21520）</w:t>
            </w:r>
          </w:p>
        </w:tc>
      </w:tr>
      <w:tr w14:paraId="7B83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306D4C">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spacing w:val="1"/>
                <w:w w:val="99"/>
                <w:kern w:val="2"/>
                <w:sz w:val="21"/>
                <w:szCs w:val="21"/>
                <w14:textFill>
                  <w14:solidFill>
                    <w14:schemeClr w14:val="tx1"/>
                  </w14:solidFill>
                </w14:textFill>
              </w:rPr>
              <w:t>1</w:t>
            </w:r>
            <w:r>
              <w:rPr>
                <w:rFonts w:hint="eastAsia" w:ascii="宋体" w:hAnsi="宋体"/>
                <w:color w:val="000000" w:themeColor="text1"/>
                <w:w w:val="99"/>
                <w:kern w:val="2"/>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0DDF0AD">
            <w:pPr>
              <w:pStyle w:val="59"/>
              <w:spacing w:before="76"/>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A02241000</w:t>
            </w:r>
            <w:r>
              <w:rPr>
                <w:rFonts w:hint="eastAsia" w:ascii="宋体" w:hAnsi="宋体" w:cs="宋体"/>
                <w:color w:val="000000" w:themeColor="text1"/>
                <w:w w:val="99"/>
                <w:kern w:val="2"/>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5D66DE42">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商用燃</w:t>
            </w:r>
            <w:r>
              <w:rPr>
                <w:rFonts w:hint="eastAsia" w:ascii="宋体" w:hAnsi="宋体" w:cs="宋体"/>
                <w:color w:val="000000" w:themeColor="text1"/>
                <w:spacing w:val="2"/>
                <w:w w:val="99"/>
                <w:kern w:val="2"/>
                <w:sz w:val="21"/>
                <w:szCs w:val="21"/>
                <w14:textFill>
                  <w14:solidFill>
                    <w14:schemeClr w14:val="tx1"/>
                  </w14:solidFill>
                </w14:textFill>
              </w:rPr>
              <w:t>气</w:t>
            </w:r>
            <w:r>
              <w:rPr>
                <w:rFonts w:hint="eastAsia" w:ascii="宋体" w:hAnsi="宋体" w:cs="宋体"/>
                <w:color w:val="000000" w:themeColor="text1"/>
                <w:w w:val="99"/>
                <w:kern w:val="2"/>
                <w:sz w:val="21"/>
                <w:szCs w:val="21"/>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4E6979C5">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F71602B">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kern w:val="2"/>
                <w:sz w:val="21"/>
                <w:szCs w:val="21"/>
                <w:lang w:eastAsia="zh-CN"/>
                <w14:textFill>
                  <w14:solidFill>
                    <w14:schemeClr w14:val="tx1"/>
                  </w14:solidFill>
                </w14:textFill>
              </w:rPr>
              <w:t>《商用燃气灶具能效限定值及能效等级》（GB30531）</w:t>
            </w:r>
          </w:p>
        </w:tc>
      </w:tr>
      <w:tr w14:paraId="6C16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3E78B5D">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4DA519E">
            <w:pPr>
              <w:pStyle w:val="59"/>
              <w:jc w:val="center"/>
              <w:rPr>
                <w:rFonts w:hint="eastAsia" w:ascii="宋体" w:hAnsi="宋体" w:cs="宋体"/>
                <w:color w:val="000000" w:themeColor="text1"/>
                <w:w w:val="99"/>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A05020105</w:t>
            </w:r>
            <w:r>
              <w:rPr>
                <w:rFonts w:hint="eastAsia" w:ascii="宋体" w:hAnsi="宋体" w:cs="宋体"/>
                <w:color w:val="000000" w:themeColor="text1"/>
                <w:w w:val="99"/>
                <w:kern w:val="2"/>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679E45B">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3A353F">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1D19A8F3">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kern w:val="2"/>
                <w:sz w:val="21"/>
                <w:szCs w:val="21"/>
                <w:lang w:eastAsia="zh-CN"/>
                <w14:textFill>
                  <w14:solidFill>
                    <w14:schemeClr w14:val="tx1"/>
                  </w14:solidFill>
                </w14:textFill>
              </w:rPr>
              <w:t>《坐便器水效限定值及水效等级》</w:t>
            </w:r>
          </w:p>
          <w:p w14:paraId="7C733DCD">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kern w:val="2"/>
                <w:sz w:val="21"/>
                <w:szCs w:val="21"/>
                <w:lang w:eastAsia="zh-CN"/>
                <w14:textFill>
                  <w14:solidFill>
                    <w14:schemeClr w14:val="tx1"/>
                  </w14:solidFill>
                </w14:textFill>
              </w:rPr>
              <w:t>（GB25502）</w:t>
            </w:r>
          </w:p>
        </w:tc>
      </w:tr>
      <w:tr w14:paraId="4F3A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667563">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B23168">
            <w:pPr>
              <w:widowControl/>
              <w:jc w:val="left"/>
              <w:rPr>
                <w:rFonts w:hint="eastAsia" w:ascii="宋体" w:hAnsi="宋体" w:cs="宋体"/>
                <w:color w:val="000000" w:themeColor="text1"/>
                <w:w w:val="99"/>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D1E1F78">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07AA43BF">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9F5A153">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kern w:val="2"/>
                <w:sz w:val="21"/>
                <w:szCs w:val="21"/>
                <w:lang w:eastAsia="zh-CN"/>
                <w14:textFill>
                  <w14:solidFill>
                    <w14:schemeClr w14:val="tx1"/>
                  </w14:solidFill>
                </w14:textFill>
              </w:rPr>
              <w:t>《蹲便器用水效率限定值及用水效率等级》（GB30717）</w:t>
            </w:r>
          </w:p>
        </w:tc>
      </w:tr>
      <w:tr w14:paraId="6F4D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A6ECDC">
            <w:pPr>
              <w:widowControl/>
              <w:jc w:val="left"/>
              <w:rPr>
                <w:rFonts w:hint="eastAsia"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D97DCC">
            <w:pPr>
              <w:widowControl/>
              <w:jc w:val="left"/>
              <w:rPr>
                <w:rFonts w:hint="eastAsia" w:ascii="宋体" w:hAnsi="宋体" w:cs="宋体"/>
                <w:color w:val="000000" w:themeColor="text1"/>
                <w:w w:val="99"/>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7BBFF0F">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w w:val="99"/>
                <w:kern w:val="2"/>
                <w:sz w:val="21"/>
                <w:szCs w:val="21"/>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234B757">
            <w:pPr>
              <w:jc w:val="center"/>
              <w:rPr>
                <w:rFonts w:hint="eastAsia"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B6A7D16">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kern w:val="2"/>
                <w:sz w:val="21"/>
                <w:szCs w:val="21"/>
                <w:lang w:eastAsia="zh-CN"/>
                <w14:textFill>
                  <w14:solidFill>
                    <w14:schemeClr w14:val="tx1"/>
                  </w14:solidFill>
                </w14:textFill>
              </w:rPr>
              <w:t>《小便器用水效率限定值及用水效率等级》（GB28377）</w:t>
            </w:r>
          </w:p>
        </w:tc>
      </w:tr>
      <w:tr w14:paraId="0F6E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3A00BBE">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7DEF26B3">
            <w:pPr>
              <w:pStyle w:val="59"/>
              <w:spacing w:before="153"/>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宋体"/>
                <w:color w:val="000000" w:themeColor="text1"/>
                <w:kern w:val="2"/>
                <w:sz w:val="21"/>
                <w:szCs w:val="21"/>
                <w14:textFill>
                  <w14:solidFill>
                    <w14:schemeClr w14:val="tx1"/>
                  </w14:solidFill>
                </w14:textFill>
              </w:rPr>
              <w:t>★</w:t>
            </w:r>
            <w:r>
              <w:rPr>
                <w:rFonts w:hint="eastAsia" w:ascii="宋体" w:hAnsi="宋体" w:cs="仿宋_GB2312"/>
                <w:color w:val="000000" w:themeColor="text1"/>
                <w:kern w:val="2"/>
                <w:sz w:val="21"/>
                <w:szCs w:val="21"/>
                <w14:textFill>
                  <w14:solidFill>
                    <w14:schemeClr w14:val="tx1"/>
                  </w14:solidFill>
                </w14:textFill>
              </w:rPr>
              <w:t>A05020106</w:t>
            </w:r>
            <w:r>
              <w:rPr>
                <w:rFonts w:hint="eastAsia" w:ascii="宋体" w:hAnsi="宋体" w:cs="宋体"/>
                <w:color w:val="000000" w:themeColor="text1"/>
                <w:kern w:val="2"/>
                <w:sz w:val="21"/>
                <w:szCs w:val="21"/>
                <w14:textFill>
                  <w14:solidFill>
                    <w14:schemeClr w14:val="tx1"/>
                  </w14:solidFill>
                </w14:textFill>
              </w:rPr>
              <w:t>水</w:t>
            </w:r>
            <w:r>
              <w:rPr>
                <w:rFonts w:hint="eastAsia" w:ascii="宋体" w:hAnsi="宋体" w:cs="宋体"/>
                <w:color w:val="000000" w:themeColor="text1"/>
                <w:w w:val="99"/>
                <w:kern w:val="2"/>
                <w:sz w:val="21"/>
                <w:szCs w:val="21"/>
                <w14:textFill>
                  <w14:solidFill>
                    <w14:schemeClr w14:val="tx1"/>
                  </w14:solidFill>
                </w14:textFill>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5AACA773">
            <w:pPr>
              <w:jc w:val="center"/>
              <w:rPr>
                <w:rFonts w:hint="eastAsia"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A0BB86">
            <w:pPr>
              <w:jc w:val="center"/>
              <w:rPr>
                <w:rFonts w:hint="eastAsia"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D46C7DE">
            <w:pPr>
              <w:pStyle w:val="59"/>
              <w:spacing w:before="153"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lang w:eastAsia="zh-CN"/>
                <w14:textFill>
                  <w14:solidFill>
                    <w14:schemeClr w14:val="tx1"/>
                  </w14:solidFill>
                </w14:textFill>
              </w:rPr>
              <w:t>率等级》（GB 25501）</w:t>
            </w:r>
          </w:p>
        </w:tc>
      </w:tr>
      <w:tr w14:paraId="41EA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5C120E7">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2D17EC9A">
            <w:pPr>
              <w:pStyle w:val="59"/>
              <w:spacing w:before="112"/>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A05020107</w:t>
            </w:r>
            <w:r>
              <w:rPr>
                <w:rFonts w:hint="eastAsia" w:ascii="宋体" w:hAnsi="宋体" w:cs="宋体"/>
                <w:color w:val="000000" w:themeColor="text1"/>
                <w:kern w:val="2"/>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09DC89A5">
            <w:pPr>
              <w:jc w:val="center"/>
              <w:rPr>
                <w:rFonts w:hint="eastAsia"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992D2B">
            <w:pPr>
              <w:jc w:val="center"/>
              <w:rPr>
                <w:rFonts w:hint="eastAsia"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B66CD98">
            <w:pPr>
              <w:pStyle w:val="59"/>
              <w:spacing w:before="112"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lang w:eastAsia="zh-CN"/>
                <w14:textFill>
                  <w14:solidFill>
                    <w14:schemeClr w14:val="tx1"/>
                  </w14:solidFill>
                </w14:textFill>
              </w:rPr>
              <w:t>用水效率等级》（GB28379）</w:t>
            </w:r>
          </w:p>
        </w:tc>
      </w:tr>
      <w:tr w14:paraId="4FB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FE1E17F">
            <w:pPr>
              <w:pStyle w:val="59"/>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olor w:val="000000" w:themeColor="text1"/>
                <w:kern w:val="2"/>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794A13A">
            <w:pPr>
              <w:pStyle w:val="59"/>
              <w:spacing w:before="131"/>
              <w:ind w:left="7"/>
              <w:jc w:val="center"/>
              <w:rPr>
                <w:rFonts w:hint="eastAsia" w:ascii="宋体" w:hAnsi="宋体" w:cs="宋体"/>
                <w:color w:val="000000" w:themeColor="text1"/>
                <w:kern w:val="2"/>
                <w:sz w:val="21"/>
                <w:szCs w:val="21"/>
                <w14:textFill>
                  <w14:solidFill>
                    <w14:schemeClr w14:val="tx1"/>
                  </w14:solidFill>
                </w14:textFill>
              </w:rPr>
            </w:pPr>
            <w:r>
              <w:rPr>
                <w:rFonts w:hint="eastAsia" w:ascii="宋体" w:hAnsi="宋体" w:cs="仿宋_GB2312"/>
                <w:color w:val="000000" w:themeColor="text1"/>
                <w:kern w:val="2"/>
                <w:sz w:val="21"/>
                <w:szCs w:val="21"/>
                <w14:textFill>
                  <w14:solidFill>
                    <w14:schemeClr w14:val="tx1"/>
                  </w14:solidFill>
                </w14:textFill>
              </w:rPr>
              <w:t>A05020110</w:t>
            </w:r>
            <w:r>
              <w:rPr>
                <w:rFonts w:hint="eastAsia" w:ascii="宋体" w:hAnsi="宋体" w:cs="宋体"/>
                <w:color w:val="000000" w:themeColor="text1"/>
                <w:kern w:val="2"/>
                <w:sz w:val="21"/>
                <w:szCs w:val="21"/>
                <w14:textFill>
                  <w14:solidFill>
                    <w14:schemeClr w14:val="tx1"/>
                  </w14:solidFill>
                </w14:textFill>
              </w:rPr>
              <w:t>淋浴</w:t>
            </w:r>
            <w:r>
              <w:rPr>
                <w:rFonts w:hint="eastAsia" w:ascii="宋体" w:hAnsi="宋体" w:cs="宋体"/>
                <w:color w:val="000000" w:themeColor="text1"/>
                <w:w w:val="99"/>
                <w:kern w:val="2"/>
                <w:sz w:val="21"/>
                <w:szCs w:val="21"/>
                <w14:textFill>
                  <w14:solidFill>
                    <w14:schemeClr w14:val="tx1"/>
                  </w14:solidFill>
                </w14:textFill>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BF9EA9E">
            <w:pPr>
              <w:jc w:val="center"/>
              <w:rPr>
                <w:rFonts w:hint="eastAsia"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DAA59E3">
            <w:pPr>
              <w:jc w:val="center"/>
              <w:rPr>
                <w:rFonts w:hint="eastAsia"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B470C91">
            <w:pPr>
              <w:pStyle w:val="59"/>
              <w:spacing w:before="131" w:line="276" w:lineRule="auto"/>
              <w:ind w:left="7" w:right="4"/>
              <w:rPr>
                <w:rFonts w:hint="eastAsia" w:ascii="宋体" w:hAnsi="宋体" w:cs="宋体"/>
                <w:color w:val="000000" w:themeColor="text1"/>
                <w:kern w:val="2"/>
                <w:sz w:val="21"/>
                <w:szCs w:val="21"/>
                <w:lang w:eastAsia="zh-CN"/>
                <w14:textFill>
                  <w14:solidFill>
                    <w14:schemeClr w14:val="tx1"/>
                  </w14:solidFill>
                </w14:textFill>
              </w:rPr>
            </w:pPr>
            <w:r>
              <w:rPr>
                <w:rFonts w:hint="eastAsia" w:ascii="宋体" w:hAnsi="宋体" w:cs="宋体"/>
                <w:color w:val="000000" w:themeColor="text1"/>
                <w:spacing w:val="10"/>
                <w:kern w:val="2"/>
                <w:sz w:val="21"/>
                <w:szCs w:val="21"/>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lang w:eastAsia="zh-CN"/>
                <w14:textFill>
                  <w14:solidFill>
                    <w14:schemeClr w14:val="tx1"/>
                  </w14:solidFill>
                </w14:textFill>
              </w:rPr>
              <w:t>效率等级》（GB28378）</w:t>
            </w:r>
          </w:p>
        </w:tc>
      </w:tr>
    </w:tbl>
    <w:p w14:paraId="2A9A91A5">
      <w:pPr>
        <w:pStyle w:val="9"/>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06D2334C">
      <w:pPr>
        <w:pStyle w:val="9"/>
        <w:spacing w:line="360" w:lineRule="auto"/>
        <w:ind w:firstLine="465"/>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4906A19B">
      <w:pPr>
        <w:pStyle w:val="9"/>
        <w:spacing w:line="360" w:lineRule="auto"/>
        <w:ind w:firstLine="465"/>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1E729D97">
      <w:pPr>
        <w:widowControl/>
        <w:jc w:val="left"/>
        <w:rPr>
          <w:rFonts w:hint="eastAsia" w:ascii="宋体" w:hAnsi="宋体" w:cs="宋体"/>
          <w:color w:val="000000" w:themeColor="text1"/>
          <w:sz w:val="20"/>
          <w:szCs w:val="20"/>
          <w14:textFill>
            <w14:solidFill>
              <w14:schemeClr w14:val="tx1"/>
            </w14:solidFill>
          </w14:textFill>
        </w:rPr>
      </w:pPr>
    </w:p>
    <w:p w14:paraId="2E145B03">
      <w:pPr>
        <w:widowControl/>
        <w:jc w:val="left"/>
        <w:rPr>
          <w:rFonts w:hint="eastAsia" w:ascii="宋体" w:hAnsi="宋体" w:cs="宋体"/>
          <w:color w:val="000000" w:themeColor="text1"/>
          <w:sz w:val="20"/>
          <w:szCs w:val="20"/>
          <w14:textFill>
            <w14:solidFill>
              <w14:schemeClr w14:val="tx1"/>
            </w14:solidFill>
          </w14:textFill>
        </w:rPr>
      </w:pPr>
    </w:p>
    <w:p w14:paraId="5DF43B8F">
      <w:pPr>
        <w:widowControl/>
        <w:jc w:val="left"/>
        <w:rPr>
          <w:rFonts w:hint="eastAsia" w:ascii="黑体" w:hAnsi="黑体" w:eastAsia="黑体" w:cs="黑体"/>
          <w:color w:val="000000" w:themeColor="text1"/>
          <w:sz w:val="32"/>
          <w:szCs w:val="32"/>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br w:type="page"/>
      </w:r>
      <w:r>
        <w:rPr>
          <w:rFonts w:hint="eastAsia" w:ascii="黑体" w:hAnsi="黑体" w:eastAsia="黑体" w:cs="黑体"/>
          <w:color w:val="000000" w:themeColor="text1"/>
          <w:sz w:val="32"/>
          <w:szCs w:val="32"/>
          <w14:textFill>
            <w14:solidFill>
              <w14:schemeClr w14:val="tx1"/>
            </w14:solidFill>
          </w14:textFill>
        </w:rPr>
        <w:t>附件2：</w:t>
      </w:r>
    </w:p>
    <w:p w14:paraId="7D9DC300">
      <w:pPr>
        <w:pStyle w:val="9"/>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中小企业划型标准规定</w:t>
      </w:r>
    </w:p>
    <w:tbl>
      <w:tblPr>
        <w:tblStyle w:val="22"/>
        <w:tblW w:w="5000" w:type="pct"/>
        <w:tblInd w:w="0" w:type="dxa"/>
        <w:tblLayout w:type="autofit"/>
        <w:tblCellMar>
          <w:top w:w="0" w:type="dxa"/>
          <w:left w:w="108" w:type="dxa"/>
          <w:bottom w:w="0" w:type="dxa"/>
          <w:right w:w="108" w:type="dxa"/>
        </w:tblCellMar>
      </w:tblPr>
      <w:tblGrid>
        <w:gridCol w:w="1667"/>
        <w:gridCol w:w="1416"/>
        <w:gridCol w:w="1275"/>
        <w:gridCol w:w="1640"/>
        <w:gridCol w:w="1537"/>
        <w:gridCol w:w="987"/>
      </w:tblGrid>
      <w:tr w14:paraId="29C47A48">
        <w:tblPrEx>
          <w:tblCellMar>
            <w:top w:w="0" w:type="dxa"/>
            <w:left w:w="108" w:type="dxa"/>
            <w:bottom w:w="0" w:type="dxa"/>
            <w:right w:w="108" w:type="dxa"/>
          </w:tblCellMar>
        </w:tblPrEx>
        <w:trPr>
          <w:trHeight w:val="284" w:hRule="atLeast"/>
        </w:trPr>
        <w:tc>
          <w:tcPr>
            <w:tcW w:w="978" w:type="pct"/>
            <w:tcBorders>
              <w:top w:val="single" w:color="auto" w:sz="4" w:space="0"/>
              <w:left w:val="single" w:color="auto" w:sz="4" w:space="0"/>
              <w:bottom w:val="single" w:color="auto" w:sz="4" w:space="0"/>
              <w:right w:val="single" w:color="auto" w:sz="4" w:space="0"/>
            </w:tcBorders>
            <w:noWrap w:val="0"/>
            <w:vAlign w:val="center"/>
          </w:tcPr>
          <w:p w14:paraId="4D8F8022">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831" w:type="pct"/>
            <w:tcBorders>
              <w:top w:val="single" w:color="auto" w:sz="4" w:space="0"/>
              <w:left w:val="nil"/>
              <w:bottom w:val="single" w:color="auto" w:sz="4" w:space="0"/>
              <w:right w:val="single" w:color="auto" w:sz="4" w:space="0"/>
            </w:tcBorders>
            <w:noWrap w:val="0"/>
            <w:vAlign w:val="center"/>
          </w:tcPr>
          <w:p w14:paraId="0B0B9C1F">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748" w:type="pct"/>
            <w:tcBorders>
              <w:top w:val="single" w:color="auto" w:sz="4" w:space="0"/>
              <w:left w:val="nil"/>
              <w:bottom w:val="single" w:color="auto" w:sz="4" w:space="0"/>
              <w:right w:val="single" w:color="auto" w:sz="4" w:space="0"/>
            </w:tcBorders>
            <w:noWrap w:val="0"/>
            <w:vAlign w:val="center"/>
          </w:tcPr>
          <w:p w14:paraId="3C980175">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962" w:type="pct"/>
            <w:tcBorders>
              <w:top w:val="single" w:color="auto" w:sz="4" w:space="0"/>
              <w:left w:val="nil"/>
              <w:bottom w:val="single" w:color="auto" w:sz="4" w:space="0"/>
              <w:right w:val="single" w:color="auto" w:sz="4" w:space="0"/>
            </w:tcBorders>
            <w:noWrap w:val="0"/>
            <w:vAlign w:val="center"/>
          </w:tcPr>
          <w:p w14:paraId="399374C5">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902" w:type="pct"/>
            <w:tcBorders>
              <w:top w:val="single" w:color="auto" w:sz="4" w:space="0"/>
              <w:left w:val="nil"/>
              <w:bottom w:val="single" w:color="auto" w:sz="4" w:space="0"/>
              <w:right w:val="single" w:color="auto" w:sz="4" w:space="0"/>
            </w:tcBorders>
            <w:noWrap w:val="0"/>
            <w:vAlign w:val="center"/>
          </w:tcPr>
          <w:p w14:paraId="223B0D56">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579" w:type="pct"/>
            <w:tcBorders>
              <w:top w:val="single" w:color="auto" w:sz="4" w:space="0"/>
              <w:left w:val="nil"/>
              <w:bottom w:val="single" w:color="auto" w:sz="4" w:space="0"/>
              <w:right w:val="single" w:color="auto" w:sz="4" w:space="0"/>
            </w:tcBorders>
            <w:noWrap w:val="0"/>
            <w:vAlign w:val="center"/>
          </w:tcPr>
          <w:p w14:paraId="309BDF34">
            <w:pPr>
              <w:widowControl/>
              <w:shd w:val="clear" w:color="auto" w:fill="auto"/>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5E418FAA">
        <w:tblPrEx>
          <w:tblCellMar>
            <w:top w:w="0" w:type="dxa"/>
            <w:left w:w="108" w:type="dxa"/>
            <w:bottom w:w="0" w:type="dxa"/>
            <w:right w:w="108" w:type="dxa"/>
          </w:tblCellMar>
        </w:tblPrEx>
        <w:trPr>
          <w:trHeight w:val="284" w:hRule="atLeast"/>
        </w:trPr>
        <w:tc>
          <w:tcPr>
            <w:tcW w:w="978" w:type="pct"/>
            <w:tcBorders>
              <w:top w:val="nil"/>
              <w:left w:val="single" w:color="auto" w:sz="4" w:space="0"/>
              <w:bottom w:val="single" w:color="auto" w:sz="4" w:space="0"/>
              <w:right w:val="single" w:color="auto" w:sz="4" w:space="0"/>
            </w:tcBorders>
            <w:noWrap w:val="0"/>
            <w:vAlign w:val="center"/>
          </w:tcPr>
          <w:p w14:paraId="3C1B8F84">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831" w:type="pct"/>
            <w:tcBorders>
              <w:top w:val="nil"/>
              <w:left w:val="nil"/>
              <w:bottom w:val="single" w:color="auto" w:sz="4" w:space="0"/>
              <w:right w:val="single" w:color="auto" w:sz="4" w:space="0"/>
            </w:tcBorders>
            <w:noWrap w:val="0"/>
            <w:vAlign w:val="center"/>
          </w:tcPr>
          <w:p w14:paraId="445F155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3696DBD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07896D3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902" w:type="pct"/>
            <w:tcBorders>
              <w:top w:val="nil"/>
              <w:left w:val="nil"/>
              <w:bottom w:val="single" w:color="auto" w:sz="4" w:space="0"/>
              <w:right w:val="single" w:color="auto" w:sz="4" w:space="0"/>
            </w:tcBorders>
            <w:noWrap w:val="0"/>
            <w:vAlign w:val="center"/>
          </w:tcPr>
          <w:p w14:paraId="661604E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579" w:type="pct"/>
            <w:tcBorders>
              <w:top w:val="nil"/>
              <w:left w:val="nil"/>
              <w:bottom w:val="single" w:color="auto" w:sz="4" w:space="0"/>
              <w:right w:val="single" w:color="auto" w:sz="4" w:space="0"/>
            </w:tcBorders>
            <w:noWrap w:val="0"/>
            <w:vAlign w:val="center"/>
          </w:tcPr>
          <w:p w14:paraId="76CA0B5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0694C172">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50E59833">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831" w:type="pct"/>
            <w:tcBorders>
              <w:top w:val="nil"/>
              <w:left w:val="nil"/>
              <w:bottom w:val="single" w:color="auto" w:sz="4" w:space="0"/>
              <w:right w:val="single" w:color="auto" w:sz="4" w:space="0"/>
            </w:tcBorders>
            <w:noWrap w:val="0"/>
            <w:vAlign w:val="center"/>
          </w:tcPr>
          <w:p w14:paraId="01A10F6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2CBA31C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12A97B9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902" w:type="pct"/>
            <w:tcBorders>
              <w:top w:val="nil"/>
              <w:left w:val="nil"/>
              <w:bottom w:val="single" w:color="auto" w:sz="4" w:space="0"/>
              <w:right w:val="single" w:color="auto" w:sz="4" w:space="0"/>
            </w:tcBorders>
            <w:noWrap w:val="0"/>
            <w:vAlign w:val="center"/>
          </w:tcPr>
          <w:p w14:paraId="46FF0F0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579" w:type="pct"/>
            <w:tcBorders>
              <w:top w:val="nil"/>
              <w:left w:val="nil"/>
              <w:bottom w:val="single" w:color="auto" w:sz="4" w:space="0"/>
              <w:right w:val="single" w:color="auto" w:sz="4" w:space="0"/>
            </w:tcBorders>
            <w:noWrap w:val="0"/>
            <w:vAlign w:val="center"/>
          </w:tcPr>
          <w:p w14:paraId="584D71A1">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B50E3AE">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6F4AEA82">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71EF4F7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0BC8F81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7EC1BDF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902" w:type="pct"/>
            <w:tcBorders>
              <w:top w:val="nil"/>
              <w:left w:val="nil"/>
              <w:bottom w:val="single" w:color="auto" w:sz="4" w:space="0"/>
              <w:right w:val="single" w:color="auto" w:sz="4" w:space="0"/>
            </w:tcBorders>
            <w:noWrap w:val="0"/>
            <w:vAlign w:val="center"/>
          </w:tcPr>
          <w:p w14:paraId="613A35F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579" w:type="pct"/>
            <w:tcBorders>
              <w:top w:val="nil"/>
              <w:left w:val="nil"/>
              <w:bottom w:val="single" w:color="auto" w:sz="4" w:space="0"/>
              <w:right w:val="single" w:color="auto" w:sz="4" w:space="0"/>
            </w:tcBorders>
            <w:noWrap w:val="0"/>
            <w:vAlign w:val="center"/>
          </w:tcPr>
          <w:p w14:paraId="09C0254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5E3FB604">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19743E49">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831" w:type="pct"/>
            <w:tcBorders>
              <w:top w:val="nil"/>
              <w:left w:val="nil"/>
              <w:bottom w:val="single" w:color="auto" w:sz="4" w:space="0"/>
              <w:right w:val="single" w:color="auto" w:sz="4" w:space="0"/>
            </w:tcBorders>
            <w:noWrap w:val="0"/>
            <w:vAlign w:val="center"/>
          </w:tcPr>
          <w:p w14:paraId="68A4DC6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0E0758F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7A5F509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902" w:type="pct"/>
            <w:tcBorders>
              <w:top w:val="nil"/>
              <w:left w:val="nil"/>
              <w:bottom w:val="single" w:color="auto" w:sz="4" w:space="0"/>
              <w:right w:val="single" w:color="auto" w:sz="4" w:space="0"/>
            </w:tcBorders>
            <w:noWrap w:val="0"/>
            <w:vAlign w:val="center"/>
          </w:tcPr>
          <w:p w14:paraId="1A13250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579" w:type="pct"/>
            <w:tcBorders>
              <w:top w:val="nil"/>
              <w:left w:val="nil"/>
              <w:bottom w:val="single" w:color="auto" w:sz="4" w:space="0"/>
              <w:right w:val="single" w:color="auto" w:sz="4" w:space="0"/>
            </w:tcBorders>
            <w:noWrap w:val="0"/>
            <w:vAlign w:val="center"/>
          </w:tcPr>
          <w:p w14:paraId="531DF44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2F1F283B">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0D29CB7D">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4F453301">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748" w:type="pct"/>
            <w:tcBorders>
              <w:top w:val="nil"/>
              <w:left w:val="nil"/>
              <w:bottom w:val="single" w:color="auto" w:sz="4" w:space="0"/>
              <w:right w:val="single" w:color="auto" w:sz="4" w:space="0"/>
            </w:tcBorders>
            <w:noWrap w:val="0"/>
            <w:vAlign w:val="center"/>
          </w:tcPr>
          <w:p w14:paraId="42164321">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2FEBA57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902" w:type="pct"/>
            <w:tcBorders>
              <w:top w:val="nil"/>
              <w:left w:val="nil"/>
              <w:bottom w:val="single" w:color="auto" w:sz="4" w:space="0"/>
              <w:right w:val="single" w:color="auto" w:sz="4" w:space="0"/>
            </w:tcBorders>
            <w:noWrap w:val="0"/>
            <w:vAlign w:val="center"/>
          </w:tcPr>
          <w:p w14:paraId="7D345A5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579" w:type="pct"/>
            <w:tcBorders>
              <w:top w:val="nil"/>
              <w:left w:val="nil"/>
              <w:bottom w:val="single" w:color="auto" w:sz="4" w:space="0"/>
              <w:right w:val="single" w:color="auto" w:sz="4" w:space="0"/>
            </w:tcBorders>
            <w:noWrap w:val="0"/>
            <w:vAlign w:val="center"/>
          </w:tcPr>
          <w:p w14:paraId="074C3C7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50D99378">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27E43CFF">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831" w:type="pct"/>
            <w:tcBorders>
              <w:top w:val="nil"/>
              <w:left w:val="nil"/>
              <w:bottom w:val="single" w:color="auto" w:sz="4" w:space="0"/>
              <w:right w:val="single" w:color="auto" w:sz="4" w:space="0"/>
            </w:tcBorders>
            <w:noWrap w:val="0"/>
            <w:vAlign w:val="center"/>
          </w:tcPr>
          <w:p w14:paraId="2533386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09A7BF5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02F0D06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902" w:type="pct"/>
            <w:tcBorders>
              <w:top w:val="nil"/>
              <w:left w:val="nil"/>
              <w:bottom w:val="single" w:color="auto" w:sz="4" w:space="0"/>
              <w:right w:val="single" w:color="auto" w:sz="4" w:space="0"/>
            </w:tcBorders>
            <w:noWrap w:val="0"/>
            <w:vAlign w:val="center"/>
          </w:tcPr>
          <w:p w14:paraId="7C99760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579" w:type="pct"/>
            <w:tcBorders>
              <w:top w:val="nil"/>
              <w:left w:val="nil"/>
              <w:bottom w:val="single" w:color="auto" w:sz="4" w:space="0"/>
              <w:right w:val="single" w:color="auto" w:sz="4" w:space="0"/>
            </w:tcBorders>
            <w:noWrap w:val="0"/>
            <w:vAlign w:val="center"/>
          </w:tcPr>
          <w:p w14:paraId="59ACEC3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51E164A4">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765A3C23">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4654B39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191185F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0D3F8C2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902" w:type="pct"/>
            <w:tcBorders>
              <w:top w:val="nil"/>
              <w:left w:val="nil"/>
              <w:bottom w:val="single" w:color="auto" w:sz="4" w:space="0"/>
              <w:right w:val="single" w:color="auto" w:sz="4" w:space="0"/>
            </w:tcBorders>
            <w:noWrap w:val="0"/>
            <w:vAlign w:val="center"/>
          </w:tcPr>
          <w:p w14:paraId="33D3573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579" w:type="pct"/>
            <w:tcBorders>
              <w:top w:val="nil"/>
              <w:left w:val="nil"/>
              <w:bottom w:val="single" w:color="auto" w:sz="4" w:space="0"/>
              <w:right w:val="single" w:color="auto" w:sz="4" w:space="0"/>
            </w:tcBorders>
            <w:noWrap w:val="0"/>
            <w:vAlign w:val="center"/>
          </w:tcPr>
          <w:p w14:paraId="053DB4E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2625F1B5">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16CB5C2D">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831" w:type="pct"/>
            <w:tcBorders>
              <w:top w:val="nil"/>
              <w:left w:val="nil"/>
              <w:bottom w:val="single" w:color="auto" w:sz="4" w:space="0"/>
              <w:right w:val="single" w:color="auto" w:sz="4" w:space="0"/>
            </w:tcBorders>
            <w:noWrap w:val="0"/>
            <w:vAlign w:val="center"/>
          </w:tcPr>
          <w:p w14:paraId="2428C42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12C4AEC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67FED4F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902" w:type="pct"/>
            <w:tcBorders>
              <w:top w:val="nil"/>
              <w:left w:val="nil"/>
              <w:bottom w:val="single" w:color="auto" w:sz="4" w:space="0"/>
              <w:right w:val="single" w:color="auto" w:sz="4" w:space="0"/>
            </w:tcBorders>
            <w:noWrap w:val="0"/>
            <w:vAlign w:val="center"/>
          </w:tcPr>
          <w:p w14:paraId="22D81E7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579" w:type="pct"/>
            <w:tcBorders>
              <w:top w:val="nil"/>
              <w:left w:val="nil"/>
              <w:bottom w:val="single" w:color="auto" w:sz="4" w:space="0"/>
              <w:right w:val="single" w:color="auto" w:sz="4" w:space="0"/>
            </w:tcBorders>
            <w:noWrap w:val="0"/>
            <w:vAlign w:val="center"/>
          </w:tcPr>
          <w:p w14:paraId="44B071B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5E3B82F">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5BB635E9">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205E6C5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7342E6C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1E72A1A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902" w:type="pct"/>
            <w:tcBorders>
              <w:top w:val="nil"/>
              <w:left w:val="nil"/>
              <w:bottom w:val="single" w:color="auto" w:sz="4" w:space="0"/>
              <w:right w:val="single" w:color="auto" w:sz="4" w:space="0"/>
            </w:tcBorders>
            <w:noWrap w:val="0"/>
            <w:vAlign w:val="center"/>
          </w:tcPr>
          <w:p w14:paraId="15B6B54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579" w:type="pct"/>
            <w:tcBorders>
              <w:top w:val="nil"/>
              <w:left w:val="nil"/>
              <w:bottom w:val="single" w:color="auto" w:sz="4" w:space="0"/>
              <w:right w:val="single" w:color="auto" w:sz="4" w:space="0"/>
            </w:tcBorders>
            <w:noWrap w:val="0"/>
            <w:vAlign w:val="center"/>
          </w:tcPr>
          <w:p w14:paraId="38758D3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0A506FE">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2D96F7E2">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831" w:type="pct"/>
            <w:tcBorders>
              <w:top w:val="nil"/>
              <w:left w:val="nil"/>
              <w:bottom w:val="single" w:color="auto" w:sz="4" w:space="0"/>
              <w:right w:val="single" w:color="auto" w:sz="4" w:space="0"/>
            </w:tcBorders>
            <w:noWrap w:val="0"/>
            <w:vAlign w:val="center"/>
          </w:tcPr>
          <w:p w14:paraId="4489409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185927A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1EBCEF5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902" w:type="pct"/>
            <w:tcBorders>
              <w:top w:val="nil"/>
              <w:left w:val="nil"/>
              <w:bottom w:val="single" w:color="auto" w:sz="4" w:space="0"/>
              <w:right w:val="single" w:color="auto" w:sz="4" w:space="0"/>
            </w:tcBorders>
            <w:noWrap w:val="0"/>
            <w:vAlign w:val="center"/>
          </w:tcPr>
          <w:p w14:paraId="2C79FA7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579" w:type="pct"/>
            <w:tcBorders>
              <w:top w:val="nil"/>
              <w:left w:val="nil"/>
              <w:bottom w:val="single" w:color="auto" w:sz="4" w:space="0"/>
              <w:right w:val="single" w:color="auto" w:sz="4" w:space="0"/>
            </w:tcBorders>
            <w:noWrap w:val="0"/>
            <w:vAlign w:val="center"/>
          </w:tcPr>
          <w:p w14:paraId="47FB7B0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DD15D3E">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1CDC47C">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3207E8C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3002E65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04E8762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902" w:type="pct"/>
            <w:tcBorders>
              <w:top w:val="nil"/>
              <w:left w:val="nil"/>
              <w:bottom w:val="single" w:color="auto" w:sz="4" w:space="0"/>
              <w:right w:val="single" w:color="auto" w:sz="4" w:space="0"/>
            </w:tcBorders>
            <w:noWrap w:val="0"/>
            <w:vAlign w:val="center"/>
          </w:tcPr>
          <w:p w14:paraId="1CD8EDF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579" w:type="pct"/>
            <w:tcBorders>
              <w:top w:val="nil"/>
              <w:left w:val="nil"/>
              <w:bottom w:val="single" w:color="auto" w:sz="4" w:space="0"/>
              <w:right w:val="single" w:color="auto" w:sz="4" w:space="0"/>
            </w:tcBorders>
            <w:noWrap w:val="0"/>
            <w:vAlign w:val="center"/>
          </w:tcPr>
          <w:p w14:paraId="1DF50BA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6A11B698">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3B89A0F3">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831" w:type="pct"/>
            <w:tcBorders>
              <w:top w:val="nil"/>
              <w:left w:val="nil"/>
              <w:bottom w:val="single" w:color="auto" w:sz="4" w:space="0"/>
              <w:right w:val="single" w:color="auto" w:sz="4" w:space="0"/>
            </w:tcBorders>
            <w:noWrap w:val="0"/>
            <w:vAlign w:val="center"/>
          </w:tcPr>
          <w:p w14:paraId="3244069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20188ED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1A7B761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902" w:type="pct"/>
            <w:tcBorders>
              <w:top w:val="nil"/>
              <w:left w:val="nil"/>
              <w:bottom w:val="single" w:color="auto" w:sz="4" w:space="0"/>
              <w:right w:val="single" w:color="auto" w:sz="4" w:space="0"/>
            </w:tcBorders>
            <w:noWrap w:val="0"/>
            <w:vAlign w:val="center"/>
          </w:tcPr>
          <w:p w14:paraId="5FF0283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579" w:type="pct"/>
            <w:tcBorders>
              <w:top w:val="nil"/>
              <w:left w:val="nil"/>
              <w:bottom w:val="single" w:color="auto" w:sz="4" w:space="0"/>
              <w:right w:val="single" w:color="auto" w:sz="4" w:space="0"/>
            </w:tcBorders>
            <w:noWrap w:val="0"/>
            <w:vAlign w:val="center"/>
          </w:tcPr>
          <w:p w14:paraId="3ADDAB2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3A4467A7">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6E3B7A2A">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472A959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729E352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0EB6424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902" w:type="pct"/>
            <w:tcBorders>
              <w:top w:val="nil"/>
              <w:left w:val="nil"/>
              <w:bottom w:val="single" w:color="auto" w:sz="4" w:space="0"/>
              <w:right w:val="single" w:color="auto" w:sz="4" w:space="0"/>
            </w:tcBorders>
            <w:noWrap w:val="0"/>
            <w:vAlign w:val="center"/>
          </w:tcPr>
          <w:p w14:paraId="4FF95CC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579" w:type="pct"/>
            <w:tcBorders>
              <w:top w:val="nil"/>
              <w:left w:val="nil"/>
              <w:bottom w:val="single" w:color="auto" w:sz="4" w:space="0"/>
              <w:right w:val="single" w:color="auto" w:sz="4" w:space="0"/>
            </w:tcBorders>
            <w:noWrap w:val="0"/>
            <w:vAlign w:val="center"/>
          </w:tcPr>
          <w:p w14:paraId="0CEE7F4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15C93A5">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4AFF00D6">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831" w:type="pct"/>
            <w:tcBorders>
              <w:top w:val="nil"/>
              <w:left w:val="nil"/>
              <w:bottom w:val="single" w:color="auto" w:sz="4" w:space="0"/>
              <w:right w:val="single" w:color="auto" w:sz="4" w:space="0"/>
            </w:tcBorders>
            <w:noWrap w:val="0"/>
            <w:vAlign w:val="center"/>
          </w:tcPr>
          <w:p w14:paraId="2B2B897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4F3C387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6CC81E4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902" w:type="pct"/>
            <w:tcBorders>
              <w:top w:val="nil"/>
              <w:left w:val="nil"/>
              <w:bottom w:val="single" w:color="auto" w:sz="4" w:space="0"/>
              <w:right w:val="single" w:color="auto" w:sz="4" w:space="0"/>
            </w:tcBorders>
            <w:noWrap w:val="0"/>
            <w:vAlign w:val="center"/>
          </w:tcPr>
          <w:p w14:paraId="5E9F62B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579" w:type="pct"/>
            <w:tcBorders>
              <w:top w:val="nil"/>
              <w:left w:val="nil"/>
              <w:bottom w:val="single" w:color="auto" w:sz="4" w:space="0"/>
              <w:right w:val="single" w:color="auto" w:sz="4" w:space="0"/>
            </w:tcBorders>
            <w:noWrap w:val="0"/>
            <w:vAlign w:val="center"/>
          </w:tcPr>
          <w:p w14:paraId="1C7CB33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7F0211A4">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2F29DAF5">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63692CC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6D9D02C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4FC10DE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902" w:type="pct"/>
            <w:tcBorders>
              <w:top w:val="nil"/>
              <w:left w:val="nil"/>
              <w:bottom w:val="single" w:color="auto" w:sz="4" w:space="0"/>
              <w:right w:val="single" w:color="auto" w:sz="4" w:space="0"/>
            </w:tcBorders>
            <w:noWrap w:val="0"/>
            <w:vAlign w:val="center"/>
          </w:tcPr>
          <w:p w14:paraId="1A0D199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579" w:type="pct"/>
            <w:tcBorders>
              <w:top w:val="nil"/>
              <w:left w:val="nil"/>
              <w:bottom w:val="single" w:color="auto" w:sz="4" w:space="0"/>
              <w:right w:val="single" w:color="auto" w:sz="4" w:space="0"/>
            </w:tcBorders>
            <w:noWrap w:val="0"/>
            <w:vAlign w:val="center"/>
          </w:tcPr>
          <w:p w14:paraId="60FF317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48BE05B">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0378C1BB">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831" w:type="pct"/>
            <w:tcBorders>
              <w:top w:val="nil"/>
              <w:left w:val="nil"/>
              <w:bottom w:val="single" w:color="auto" w:sz="4" w:space="0"/>
              <w:right w:val="single" w:color="auto" w:sz="4" w:space="0"/>
            </w:tcBorders>
            <w:noWrap w:val="0"/>
            <w:vAlign w:val="center"/>
          </w:tcPr>
          <w:p w14:paraId="614951A1">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44F9644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08BDA1C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02" w:type="pct"/>
            <w:tcBorders>
              <w:top w:val="nil"/>
              <w:left w:val="nil"/>
              <w:bottom w:val="single" w:color="auto" w:sz="4" w:space="0"/>
              <w:right w:val="single" w:color="auto" w:sz="4" w:space="0"/>
            </w:tcBorders>
            <w:noWrap w:val="0"/>
            <w:vAlign w:val="center"/>
          </w:tcPr>
          <w:p w14:paraId="5364DC1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6C77A3C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1EE5876">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5FD9C3BF">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0631F8FC">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5C541D1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27AE7ED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902" w:type="pct"/>
            <w:tcBorders>
              <w:top w:val="nil"/>
              <w:left w:val="nil"/>
              <w:bottom w:val="single" w:color="auto" w:sz="4" w:space="0"/>
              <w:right w:val="single" w:color="auto" w:sz="4" w:space="0"/>
            </w:tcBorders>
            <w:noWrap w:val="0"/>
            <w:vAlign w:val="center"/>
          </w:tcPr>
          <w:p w14:paraId="1A685F6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579" w:type="pct"/>
            <w:tcBorders>
              <w:top w:val="nil"/>
              <w:left w:val="nil"/>
              <w:bottom w:val="single" w:color="auto" w:sz="4" w:space="0"/>
              <w:right w:val="single" w:color="auto" w:sz="4" w:space="0"/>
            </w:tcBorders>
            <w:noWrap w:val="0"/>
            <w:vAlign w:val="center"/>
          </w:tcPr>
          <w:p w14:paraId="243765F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B436451">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75C0DC19">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831" w:type="pct"/>
            <w:tcBorders>
              <w:top w:val="nil"/>
              <w:left w:val="nil"/>
              <w:bottom w:val="single" w:color="auto" w:sz="4" w:space="0"/>
              <w:right w:val="single" w:color="auto" w:sz="4" w:space="0"/>
            </w:tcBorders>
            <w:noWrap w:val="0"/>
            <w:vAlign w:val="center"/>
          </w:tcPr>
          <w:p w14:paraId="54267AA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19BAFF3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3A9684B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02" w:type="pct"/>
            <w:tcBorders>
              <w:top w:val="nil"/>
              <w:left w:val="nil"/>
              <w:bottom w:val="single" w:color="auto" w:sz="4" w:space="0"/>
              <w:right w:val="single" w:color="auto" w:sz="4" w:space="0"/>
            </w:tcBorders>
            <w:noWrap w:val="0"/>
            <w:vAlign w:val="center"/>
          </w:tcPr>
          <w:p w14:paraId="0143079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1E04B56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1B43678">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079294C6">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35BB7D8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232E300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50368D9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902" w:type="pct"/>
            <w:tcBorders>
              <w:top w:val="nil"/>
              <w:left w:val="nil"/>
              <w:bottom w:val="single" w:color="auto" w:sz="4" w:space="0"/>
              <w:right w:val="single" w:color="auto" w:sz="4" w:space="0"/>
            </w:tcBorders>
            <w:noWrap w:val="0"/>
            <w:vAlign w:val="center"/>
          </w:tcPr>
          <w:p w14:paraId="0F81F20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579" w:type="pct"/>
            <w:tcBorders>
              <w:top w:val="nil"/>
              <w:left w:val="nil"/>
              <w:bottom w:val="single" w:color="auto" w:sz="4" w:space="0"/>
              <w:right w:val="single" w:color="auto" w:sz="4" w:space="0"/>
            </w:tcBorders>
            <w:noWrap w:val="0"/>
            <w:vAlign w:val="center"/>
          </w:tcPr>
          <w:p w14:paraId="5EE112E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115A5F0">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46E337F0">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831" w:type="pct"/>
            <w:tcBorders>
              <w:top w:val="nil"/>
              <w:left w:val="nil"/>
              <w:bottom w:val="single" w:color="auto" w:sz="4" w:space="0"/>
              <w:right w:val="single" w:color="auto" w:sz="4" w:space="0"/>
            </w:tcBorders>
            <w:noWrap w:val="0"/>
            <w:vAlign w:val="center"/>
          </w:tcPr>
          <w:p w14:paraId="65C95B3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775C9A0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4D6865E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902" w:type="pct"/>
            <w:tcBorders>
              <w:top w:val="nil"/>
              <w:left w:val="nil"/>
              <w:bottom w:val="single" w:color="auto" w:sz="4" w:space="0"/>
              <w:right w:val="single" w:color="auto" w:sz="4" w:space="0"/>
            </w:tcBorders>
            <w:noWrap w:val="0"/>
            <w:vAlign w:val="center"/>
          </w:tcPr>
          <w:p w14:paraId="006A9EB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08ECD131">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6E8C8BB">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216EBBA4">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6A87B2B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5998F7D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6770E3F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902" w:type="pct"/>
            <w:tcBorders>
              <w:top w:val="nil"/>
              <w:left w:val="nil"/>
              <w:bottom w:val="single" w:color="auto" w:sz="4" w:space="0"/>
              <w:right w:val="single" w:color="auto" w:sz="4" w:space="0"/>
            </w:tcBorders>
            <w:noWrap w:val="0"/>
            <w:vAlign w:val="center"/>
          </w:tcPr>
          <w:p w14:paraId="5B3A067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579" w:type="pct"/>
            <w:tcBorders>
              <w:top w:val="nil"/>
              <w:left w:val="nil"/>
              <w:bottom w:val="single" w:color="auto" w:sz="4" w:space="0"/>
              <w:right w:val="single" w:color="auto" w:sz="4" w:space="0"/>
            </w:tcBorders>
            <w:noWrap w:val="0"/>
            <w:vAlign w:val="center"/>
          </w:tcPr>
          <w:p w14:paraId="0926FFE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EB2E1A1">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47546462">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831" w:type="pct"/>
            <w:tcBorders>
              <w:top w:val="nil"/>
              <w:left w:val="nil"/>
              <w:bottom w:val="single" w:color="auto" w:sz="4" w:space="0"/>
              <w:right w:val="single" w:color="auto" w:sz="4" w:space="0"/>
            </w:tcBorders>
            <w:noWrap w:val="0"/>
            <w:vAlign w:val="center"/>
          </w:tcPr>
          <w:p w14:paraId="0CA0B78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1EADA79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6C7F9B9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02" w:type="pct"/>
            <w:tcBorders>
              <w:top w:val="nil"/>
              <w:left w:val="nil"/>
              <w:bottom w:val="single" w:color="auto" w:sz="4" w:space="0"/>
              <w:right w:val="single" w:color="auto" w:sz="4" w:space="0"/>
            </w:tcBorders>
            <w:noWrap w:val="0"/>
            <w:vAlign w:val="center"/>
          </w:tcPr>
          <w:p w14:paraId="7AA71EE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4C2EFB7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6FB91B5">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FB6CE74">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39EF8E1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1AA4EEC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7396FBC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902" w:type="pct"/>
            <w:tcBorders>
              <w:top w:val="nil"/>
              <w:left w:val="nil"/>
              <w:bottom w:val="single" w:color="auto" w:sz="4" w:space="0"/>
              <w:right w:val="single" w:color="auto" w:sz="4" w:space="0"/>
            </w:tcBorders>
            <w:noWrap w:val="0"/>
            <w:vAlign w:val="center"/>
          </w:tcPr>
          <w:p w14:paraId="03C3ABF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579" w:type="pct"/>
            <w:tcBorders>
              <w:top w:val="nil"/>
              <w:left w:val="nil"/>
              <w:bottom w:val="single" w:color="auto" w:sz="4" w:space="0"/>
              <w:right w:val="single" w:color="auto" w:sz="4" w:space="0"/>
            </w:tcBorders>
            <w:noWrap w:val="0"/>
            <w:vAlign w:val="center"/>
          </w:tcPr>
          <w:p w14:paraId="00C9F75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335D6A2C">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54111E96">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831" w:type="pct"/>
            <w:tcBorders>
              <w:top w:val="nil"/>
              <w:left w:val="nil"/>
              <w:bottom w:val="single" w:color="auto" w:sz="4" w:space="0"/>
              <w:right w:val="single" w:color="auto" w:sz="4" w:space="0"/>
            </w:tcBorders>
            <w:noWrap w:val="0"/>
            <w:vAlign w:val="center"/>
          </w:tcPr>
          <w:p w14:paraId="45C8C6F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5EEE49A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790BF46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902" w:type="pct"/>
            <w:tcBorders>
              <w:top w:val="nil"/>
              <w:left w:val="nil"/>
              <w:bottom w:val="single" w:color="auto" w:sz="4" w:space="0"/>
              <w:right w:val="single" w:color="auto" w:sz="4" w:space="0"/>
            </w:tcBorders>
            <w:noWrap w:val="0"/>
            <w:vAlign w:val="center"/>
          </w:tcPr>
          <w:p w14:paraId="482C458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579" w:type="pct"/>
            <w:tcBorders>
              <w:top w:val="nil"/>
              <w:left w:val="nil"/>
              <w:bottom w:val="single" w:color="auto" w:sz="4" w:space="0"/>
              <w:right w:val="single" w:color="auto" w:sz="4" w:space="0"/>
            </w:tcBorders>
            <w:noWrap w:val="0"/>
            <w:vAlign w:val="center"/>
          </w:tcPr>
          <w:p w14:paraId="2F30C80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ED4A974">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4EC2FF3F">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1B5B2BB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748" w:type="pct"/>
            <w:tcBorders>
              <w:top w:val="nil"/>
              <w:left w:val="nil"/>
              <w:bottom w:val="single" w:color="auto" w:sz="4" w:space="0"/>
              <w:right w:val="single" w:color="auto" w:sz="4" w:space="0"/>
            </w:tcBorders>
            <w:noWrap w:val="0"/>
            <w:vAlign w:val="center"/>
          </w:tcPr>
          <w:p w14:paraId="18A5003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5081B362">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902" w:type="pct"/>
            <w:tcBorders>
              <w:top w:val="nil"/>
              <w:left w:val="nil"/>
              <w:bottom w:val="single" w:color="auto" w:sz="4" w:space="0"/>
              <w:right w:val="single" w:color="auto" w:sz="4" w:space="0"/>
            </w:tcBorders>
            <w:noWrap w:val="0"/>
            <w:vAlign w:val="center"/>
          </w:tcPr>
          <w:p w14:paraId="112F038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579" w:type="pct"/>
            <w:tcBorders>
              <w:top w:val="nil"/>
              <w:left w:val="nil"/>
              <w:bottom w:val="single" w:color="auto" w:sz="4" w:space="0"/>
              <w:right w:val="single" w:color="auto" w:sz="4" w:space="0"/>
            </w:tcBorders>
            <w:noWrap w:val="0"/>
            <w:vAlign w:val="center"/>
          </w:tcPr>
          <w:p w14:paraId="3105690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7CD77144">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13E6F8E9">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831" w:type="pct"/>
            <w:tcBorders>
              <w:top w:val="nil"/>
              <w:left w:val="nil"/>
              <w:bottom w:val="single" w:color="auto" w:sz="4" w:space="0"/>
              <w:right w:val="single" w:color="auto" w:sz="4" w:space="0"/>
            </w:tcBorders>
            <w:noWrap w:val="0"/>
            <w:vAlign w:val="center"/>
          </w:tcPr>
          <w:p w14:paraId="133D1B0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2F823AE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4B08D27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902" w:type="pct"/>
            <w:tcBorders>
              <w:top w:val="nil"/>
              <w:left w:val="nil"/>
              <w:bottom w:val="single" w:color="auto" w:sz="4" w:space="0"/>
              <w:right w:val="single" w:color="auto" w:sz="4" w:space="0"/>
            </w:tcBorders>
            <w:noWrap w:val="0"/>
            <w:vAlign w:val="center"/>
          </w:tcPr>
          <w:p w14:paraId="59B1932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579" w:type="pct"/>
            <w:tcBorders>
              <w:top w:val="nil"/>
              <w:left w:val="nil"/>
              <w:bottom w:val="single" w:color="auto" w:sz="4" w:space="0"/>
              <w:right w:val="single" w:color="auto" w:sz="4" w:space="0"/>
            </w:tcBorders>
            <w:noWrap w:val="0"/>
            <w:vAlign w:val="center"/>
          </w:tcPr>
          <w:p w14:paraId="4CFFFE9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61468DD1">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46C80FAE">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225148C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748" w:type="pct"/>
            <w:tcBorders>
              <w:top w:val="nil"/>
              <w:left w:val="nil"/>
              <w:bottom w:val="single" w:color="auto" w:sz="4" w:space="0"/>
              <w:right w:val="single" w:color="auto" w:sz="4" w:space="0"/>
            </w:tcBorders>
            <w:noWrap w:val="0"/>
            <w:vAlign w:val="center"/>
          </w:tcPr>
          <w:p w14:paraId="7821684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44CE6378">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902" w:type="pct"/>
            <w:tcBorders>
              <w:top w:val="nil"/>
              <w:left w:val="nil"/>
              <w:bottom w:val="single" w:color="auto" w:sz="4" w:space="0"/>
              <w:right w:val="single" w:color="auto" w:sz="4" w:space="0"/>
            </w:tcBorders>
            <w:noWrap w:val="0"/>
            <w:vAlign w:val="center"/>
          </w:tcPr>
          <w:p w14:paraId="586675CB">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579" w:type="pct"/>
            <w:tcBorders>
              <w:top w:val="nil"/>
              <w:left w:val="nil"/>
              <w:bottom w:val="single" w:color="auto" w:sz="4" w:space="0"/>
              <w:right w:val="single" w:color="auto" w:sz="4" w:space="0"/>
            </w:tcBorders>
            <w:noWrap w:val="0"/>
            <w:vAlign w:val="center"/>
          </w:tcPr>
          <w:p w14:paraId="7DE0DF1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33FF06F2">
        <w:tblPrEx>
          <w:tblCellMar>
            <w:top w:w="0" w:type="dxa"/>
            <w:left w:w="108" w:type="dxa"/>
            <w:bottom w:w="0" w:type="dxa"/>
            <w:right w:w="108" w:type="dxa"/>
          </w:tblCellMar>
        </w:tblPrEx>
        <w:trPr>
          <w:trHeight w:val="284" w:hRule="atLeast"/>
        </w:trPr>
        <w:tc>
          <w:tcPr>
            <w:tcW w:w="978" w:type="pct"/>
            <w:vMerge w:val="restart"/>
            <w:tcBorders>
              <w:top w:val="nil"/>
              <w:left w:val="single" w:color="auto" w:sz="4" w:space="0"/>
              <w:bottom w:val="single" w:color="auto" w:sz="4" w:space="0"/>
              <w:right w:val="single" w:color="auto" w:sz="4" w:space="0"/>
            </w:tcBorders>
            <w:noWrap w:val="0"/>
            <w:vAlign w:val="center"/>
          </w:tcPr>
          <w:p w14:paraId="30D6D682">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831" w:type="pct"/>
            <w:tcBorders>
              <w:top w:val="nil"/>
              <w:left w:val="nil"/>
              <w:bottom w:val="single" w:color="auto" w:sz="4" w:space="0"/>
              <w:right w:val="single" w:color="auto" w:sz="4" w:space="0"/>
            </w:tcBorders>
            <w:noWrap w:val="0"/>
            <w:vAlign w:val="center"/>
          </w:tcPr>
          <w:p w14:paraId="32918B5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033DCED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37C0496F">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02" w:type="pct"/>
            <w:tcBorders>
              <w:top w:val="nil"/>
              <w:left w:val="nil"/>
              <w:bottom w:val="single" w:color="auto" w:sz="4" w:space="0"/>
              <w:right w:val="single" w:color="auto" w:sz="4" w:space="0"/>
            </w:tcBorders>
            <w:noWrap w:val="0"/>
            <w:vAlign w:val="center"/>
          </w:tcPr>
          <w:p w14:paraId="75A6CD3D">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2C59A52A">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21E3379A">
        <w:tblPrEx>
          <w:tblCellMar>
            <w:top w:w="0" w:type="dxa"/>
            <w:left w:w="108" w:type="dxa"/>
            <w:bottom w:w="0" w:type="dxa"/>
            <w:right w:w="108" w:type="dxa"/>
          </w:tblCellMar>
        </w:tblPrEx>
        <w:trPr>
          <w:trHeight w:val="284"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248825A6">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831" w:type="pct"/>
            <w:tcBorders>
              <w:top w:val="nil"/>
              <w:left w:val="nil"/>
              <w:bottom w:val="single" w:color="auto" w:sz="4" w:space="0"/>
              <w:right w:val="single" w:color="auto" w:sz="4" w:space="0"/>
            </w:tcBorders>
            <w:noWrap w:val="0"/>
            <w:vAlign w:val="center"/>
          </w:tcPr>
          <w:p w14:paraId="12AF8C43">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748" w:type="pct"/>
            <w:tcBorders>
              <w:top w:val="nil"/>
              <w:left w:val="nil"/>
              <w:bottom w:val="single" w:color="auto" w:sz="4" w:space="0"/>
              <w:right w:val="single" w:color="auto" w:sz="4" w:space="0"/>
            </w:tcBorders>
            <w:noWrap w:val="0"/>
            <w:vAlign w:val="center"/>
          </w:tcPr>
          <w:p w14:paraId="48178759">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962" w:type="pct"/>
            <w:tcBorders>
              <w:top w:val="nil"/>
              <w:left w:val="nil"/>
              <w:bottom w:val="single" w:color="auto" w:sz="4" w:space="0"/>
              <w:right w:val="single" w:color="auto" w:sz="4" w:space="0"/>
            </w:tcBorders>
            <w:noWrap w:val="0"/>
            <w:vAlign w:val="center"/>
          </w:tcPr>
          <w:p w14:paraId="3A628C5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902" w:type="pct"/>
            <w:tcBorders>
              <w:top w:val="nil"/>
              <w:left w:val="nil"/>
              <w:bottom w:val="single" w:color="auto" w:sz="4" w:space="0"/>
              <w:right w:val="single" w:color="auto" w:sz="4" w:space="0"/>
            </w:tcBorders>
            <w:noWrap w:val="0"/>
            <w:vAlign w:val="center"/>
          </w:tcPr>
          <w:p w14:paraId="14A3D65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579" w:type="pct"/>
            <w:tcBorders>
              <w:top w:val="nil"/>
              <w:left w:val="nil"/>
              <w:bottom w:val="single" w:color="auto" w:sz="4" w:space="0"/>
              <w:right w:val="single" w:color="auto" w:sz="4" w:space="0"/>
            </w:tcBorders>
            <w:noWrap w:val="0"/>
            <w:vAlign w:val="center"/>
          </w:tcPr>
          <w:p w14:paraId="54051734">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CD92F75">
        <w:tblPrEx>
          <w:tblCellMar>
            <w:top w:w="0" w:type="dxa"/>
            <w:left w:w="108" w:type="dxa"/>
            <w:bottom w:w="0" w:type="dxa"/>
            <w:right w:w="108" w:type="dxa"/>
          </w:tblCellMar>
        </w:tblPrEx>
        <w:trPr>
          <w:trHeight w:val="284" w:hRule="atLeast"/>
        </w:trPr>
        <w:tc>
          <w:tcPr>
            <w:tcW w:w="978" w:type="pct"/>
            <w:tcBorders>
              <w:top w:val="nil"/>
              <w:left w:val="single" w:color="auto" w:sz="4" w:space="0"/>
              <w:bottom w:val="single" w:color="auto" w:sz="4" w:space="0"/>
              <w:right w:val="single" w:color="auto" w:sz="4" w:space="0"/>
            </w:tcBorders>
            <w:noWrap w:val="0"/>
            <w:vAlign w:val="center"/>
          </w:tcPr>
          <w:p w14:paraId="4B97485A">
            <w:pPr>
              <w:widowControl/>
              <w:shd w:val="clear" w:color="auto" w:fill="auto"/>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831" w:type="pct"/>
            <w:tcBorders>
              <w:top w:val="nil"/>
              <w:left w:val="nil"/>
              <w:bottom w:val="single" w:color="auto" w:sz="4" w:space="0"/>
              <w:right w:val="single" w:color="auto" w:sz="4" w:space="0"/>
            </w:tcBorders>
            <w:noWrap w:val="0"/>
            <w:vAlign w:val="center"/>
          </w:tcPr>
          <w:p w14:paraId="30587795">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748" w:type="pct"/>
            <w:tcBorders>
              <w:top w:val="nil"/>
              <w:left w:val="nil"/>
              <w:bottom w:val="single" w:color="auto" w:sz="4" w:space="0"/>
              <w:right w:val="single" w:color="auto" w:sz="4" w:space="0"/>
            </w:tcBorders>
            <w:noWrap w:val="0"/>
            <w:vAlign w:val="center"/>
          </w:tcPr>
          <w:p w14:paraId="2260139E">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962" w:type="pct"/>
            <w:tcBorders>
              <w:top w:val="nil"/>
              <w:left w:val="nil"/>
              <w:bottom w:val="single" w:color="auto" w:sz="4" w:space="0"/>
              <w:right w:val="single" w:color="auto" w:sz="4" w:space="0"/>
            </w:tcBorders>
            <w:noWrap w:val="0"/>
            <w:vAlign w:val="center"/>
          </w:tcPr>
          <w:p w14:paraId="744582B0">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02" w:type="pct"/>
            <w:tcBorders>
              <w:top w:val="nil"/>
              <w:left w:val="nil"/>
              <w:bottom w:val="single" w:color="auto" w:sz="4" w:space="0"/>
              <w:right w:val="single" w:color="auto" w:sz="4" w:space="0"/>
            </w:tcBorders>
            <w:noWrap w:val="0"/>
            <w:vAlign w:val="center"/>
          </w:tcPr>
          <w:p w14:paraId="08D2A6E6">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579" w:type="pct"/>
            <w:tcBorders>
              <w:top w:val="nil"/>
              <w:left w:val="nil"/>
              <w:bottom w:val="single" w:color="auto" w:sz="4" w:space="0"/>
              <w:right w:val="single" w:color="auto" w:sz="4" w:space="0"/>
            </w:tcBorders>
            <w:noWrap w:val="0"/>
            <w:vAlign w:val="center"/>
          </w:tcPr>
          <w:p w14:paraId="4EC65727">
            <w:pPr>
              <w:widowControl/>
              <w:shd w:val="clear" w:color="auto" w:fill="auto"/>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34CA2D47">
      <w:pPr>
        <w:widowControl/>
        <w:jc w:val="left"/>
        <w:rPr>
          <w:rFonts w:hint="eastAsia" w:ascii="宋体" w:hAnsi="宋体" w:cs="宋体"/>
          <w:color w:val="000000" w:themeColor="text1"/>
          <w:sz w:val="20"/>
          <w:szCs w:val="20"/>
          <w14:textFill>
            <w14:solidFill>
              <w14:schemeClr w14:val="tx1"/>
            </w14:solidFill>
          </w14:textFill>
        </w:rPr>
      </w:pPr>
    </w:p>
    <w:p w14:paraId="7024D757">
      <w:pPr>
        <w:pStyle w:val="2"/>
        <w:jc w:val="center"/>
        <w:rPr>
          <w:color w:val="000000" w:themeColor="text1"/>
          <w14:textFill>
            <w14:solidFill>
              <w14:schemeClr w14:val="tx1"/>
            </w14:solidFill>
          </w14:textFill>
        </w:rPr>
      </w:pPr>
      <w:r>
        <w:rPr>
          <w:rFonts w:ascii="宋体" w:hAnsi="宋体" w:cs="宋体"/>
          <w:color w:val="000000" w:themeColor="text1"/>
          <w:sz w:val="20"/>
          <w:szCs w:val="20"/>
          <w14:textFill>
            <w14:solidFill>
              <w14:schemeClr w14:val="tx1"/>
            </w14:solidFill>
          </w14:textFill>
        </w:rPr>
        <w:br w:type="page"/>
      </w:r>
      <w:bookmarkStart w:id="26" w:name="_Toc74322011"/>
      <w:r>
        <w:rPr>
          <w:rFonts w:hint="eastAsia"/>
          <w:color w:val="000000" w:themeColor="text1"/>
          <w14:textFill>
            <w14:solidFill>
              <w14:schemeClr w14:val="tx1"/>
            </w14:solidFill>
          </w14:textFill>
        </w:rPr>
        <w:t xml:space="preserve">第四章  </w:t>
      </w:r>
      <w:bookmarkStart w:id="27" w:name="_Hlk68601507"/>
      <w:r>
        <w:rPr>
          <w:rFonts w:hint="eastAsia"/>
          <w:color w:val="000000" w:themeColor="text1"/>
          <w14:textFill>
            <w14:solidFill>
              <w14:schemeClr w14:val="tx1"/>
            </w14:solidFill>
          </w14:textFill>
        </w:rPr>
        <w:t>评审程序和评定成交的标准</w:t>
      </w:r>
      <w:bookmarkEnd w:id="26"/>
      <w:bookmarkEnd w:id="27"/>
    </w:p>
    <w:p w14:paraId="506608B6">
      <w:pPr>
        <w:spacing w:line="360" w:lineRule="auto"/>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w:t>
      </w:r>
    </w:p>
    <w:p w14:paraId="7568FB5E">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.确认谈判文件</w:t>
      </w:r>
    </w:p>
    <w:p w14:paraId="5780296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由谈判小组确认谈判文件。</w:t>
      </w:r>
    </w:p>
    <w:p w14:paraId="6AC12FC1">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.资格审查</w:t>
      </w:r>
    </w:p>
    <w:p w14:paraId="1051E91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.1响应文件开启后，谈判小组依法对供应商的资格证明文件进行审查。</w:t>
      </w:r>
    </w:p>
    <w:p w14:paraId="3166DE82">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谈判小组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5272F6F2">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（1）查询渠道：广西政府采购云平台“信用中国”网站(www.creditchina.gov.cn)、中国政府采购网(www.ccgp.gov.cn)。</w:t>
      </w:r>
    </w:p>
    <w:p w14:paraId="1F7873F6">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（2）信用查询截止时点：资格审查结束前。</w:t>
      </w:r>
    </w:p>
    <w:p w14:paraId="6B057A3C">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（3）查询记录和证据留存方式：在查询网站中直接查询，截图另存为电子文档作为评审资料保存。</w:t>
      </w:r>
    </w:p>
    <w:p w14:paraId="4C2F2FC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4948D95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.2资格审查标准为本谈判文件中载明对供应商资格要求的条件。本项目资格审查采用合格制，凡符合谈判文件规定的供应商资格要求的供应商均通过资格审查。</w:t>
      </w:r>
    </w:p>
    <w:p w14:paraId="0AC75FC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.3 供应商有下列情形之一的，资格审查不通过，其响应文件按无效处理：</w:t>
      </w:r>
    </w:p>
    <w:p w14:paraId="1DB17E4E">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）不具备谈判文件中规定的资格要求的；</w:t>
      </w:r>
    </w:p>
    <w:p w14:paraId="3D472E3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（2）未按谈判文件规定的方式获取本谈判文件的供应商；</w:t>
      </w:r>
    </w:p>
    <w:p w14:paraId="6EC57A9A">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）响应文件中的资格证明文件缺少任一项“供应商须知前附表”资格证明文件规定的“必须提供”的文件资料的；</w:t>
      </w:r>
    </w:p>
    <w:p w14:paraId="28FD58BD">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1A4208A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7251C44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.4通过资格审查的合格供应商不足3家（本章</w:t>
      </w:r>
      <w:r>
        <w:rPr>
          <w:rFonts w:ascii="宋体" w:hAnsi="宋体" w:cs="宋体"/>
          <w:color w:val="000000" w:themeColor="text1"/>
          <w:szCs w:val="21"/>
          <w14:textFill>
            <w14:solidFill>
              <w14:schemeClr w14:val="tx1"/>
            </w14:solidFill>
          </w14:textFill>
        </w:rPr>
        <w:t>3.7</w:t>
      </w:r>
      <w:r>
        <w:rPr>
          <w:rFonts w:hint="eastAsia" w:ascii="宋体" w:hAnsi="宋体" w:cs="宋体"/>
          <w:color w:val="000000" w:themeColor="text1"/>
          <w:szCs w:val="21"/>
          <w14:textFill>
            <w14:solidFill>
              <w14:schemeClr w14:val="tx1"/>
            </w14:solidFill>
          </w14:textFill>
        </w:rPr>
        <w:t>条规定除外）的，不得进入符合性审查环节，应当重新开展采购活动。</w:t>
      </w:r>
    </w:p>
    <w:p w14:paraId="45E3D60C">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.符合性审查</w:t>
      </w:r>
    </w:p>
    <w:p w14:paraId="509766B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谈判小组应当对符合资格的供应商的响应文件进行竞标报价、商务、技术等实质性要求符合性审查，以确定其是否满足谈判文件的实质性要求。</w:t>
      </w:r>
    </w:p>
    <w:p w14:paraId="5B4D85C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812F033">
      <w:pPr>
        <w:spacing w:line="360" w:lineRule="auto"/>
        <w:ind w:firstLine="420" w:firstLineChars="200"/>
        <w:rPr>
          <w:rFonts w:hint="eastAsia" w:ascii="宋体" w:hAns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1995AF7E">
      <w:pPr>
        <w:spacing w:line="360" w:lineRule="auto"/>
        <w:ind w:firstLine="420" w:firstLineChars="200"/>
        <w:rPr>
          <w:rFonts w:hint="eastAsia"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1E7A3BE2">
      <w:pPr>
        <w:spacing w:line="360" w:lineRule="auto"/>
        <w:ind w:firstLine="396"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首次响应文件报价出现前后不一致的，按照下列规定修正： </w:t>
      </w:r>
    </w:p>
    <w:p w14:paraId="52580F0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（1）响应文件中报价表内容与响应文件中相应内容不一致的，以报价表为准；</w:t>
      </w:r>
    </w:p>
    <w:p w14:paraId="1745C67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（2）大写金额和小写金额不一致的，以大写金额为准；</w:t>
      </w:r>
    </w:p>
    <w:p w14:paraId="6ADC19F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（3）单价金额小数点或者百分比有明显错位的，以报价表的总价为准，并修改单价；</w:t>
      </w:r>
    </w:p>
    <w:p w14:paraId="18DD55A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（4）总价金额与按单价汇总金额不一致的，以单价金额计算结果为准。</w:t>
      </w:r>
    </w:p>
    <w:p w14:paraId="7E2AB1D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46F47ED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2CB29E6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在评审时，如发现下列情形之一的，将被视为响应文件无效处理：</w:t>
      </w:r>
    </w:p>
    <w:p w14:paraId="5B7393E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（1）商务技术评审</w:t>
      </w:r>
    </w:p>
    <w:p w14:paraId="7BFE17D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1）响应文件未按谈判文件要求签署、盖章的；</w:t>
      </w:r>
    </w:p>
    <w:p w14:paraId="5DE5E79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2）委托代理人未能出具有效身份证或者出具的身份证与授权委托书中的信息不符的； </w:t>
      </w:r>
    </w:p>
    <w:p w14:paraId="1B36DFE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338484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）商务要求允许负偏离的条款数超过“供应商须知前附表”规定项数的；</w:t>
      </w:r>
    </w:p>
    <w:p w14:paraId="4138CD5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）未对竞标有效期作出响应或者响应文件承诺的竞标有效期不满足谈判文件要求；</w:t>
      </w:r>
    </w:p>
    <w:p w14:paraId="3B295EE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）响应文件的实质性内容未使用中文表述、使用计量单位不符合谈判文件要求的；</w:t>
      </w:r>
    </w:p>
    <w:p w14:paraId="3D2A08B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）响应文件中的文件资料因填写不齐全或者内容虚假或者出现其他情形而导致被谈判小组认定无效的；</w:t>
      </w:r>
    </w:p>
    <w:p w14:paraId="109D8E6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）响应文件含有采购人不能接受的附加条件的；</w:t>
      </w:r>
    </w:p>
    <w:p w14:paraId="076BEBA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）属于“供应商须知正文”第7.</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条的情形的；</w:t>
      </w:r>
    </w:p>
    <w:p w14:paraId="523CBD1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）技术评审允许负偏离的条款数超过“供应商须知前附表”规定项数的；</w:t>
      </w:r>
    </w:p>
    <w:p w14:paraId="7F2ED72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）虚假竞标，或者出现其他情形而导致被谈判小组认定无效的；</w:t>
      </w:r>
    </w:p>
    <w:p w14:paraId="4300A4B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w:t>
      </w:r>
      <w:bookmarkStart w:id="28" w:name="_Hlk71704147"/>
      <w:r>
        <w:rPr>
          <w:rFonts w:hint="eastAsia" w:ascii="宋体" w:hAnsi="宋体" w:cs="宋体"/>
          <w:color w:val="000000" w:themeColor="text1"/>
          <w:szCs w:val="21"/>
          <w14:textFill>
            <w14:solidFill>
              <w14:schemeClr w14:val="tx1"/>
            </w14:solidFill>
          </w14:textFill>
        </w:rPr>
        <w:t>谈判文件未载明允许提供备选（替代）竞标方案或明确不允许提供备选（替代）竞标方案时，供应商提供了备选（替代）竞标方案的；</w:t>
      </w:r>
      <w:bookmarkEnd w:id="28"/>
    </w:p>
    <w:p w14:paraId="0ABB1D0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）响应文件标注的项目名称或者项目编号与谈判文件标注的项目名称或者项目编号不一致的；</w:t>
      </w:r>
    </w:p>
    <w:p w14:paraId="47565423">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谈判文件明确不允许分包，响应文件拟分包的；</w:t>
      </w:r>
    </w:p>
    <w:p w14:paraId="55E6A97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）未响应谈判文件实质性要求；</w:t>
      </w:r>
    </w:p>
    <w:p w14:paraId="0CFF2F04">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）法律、法规和谈判文件规定的其他无效情形。</w:t>
      </w:r>
    </w:p>
    <w:p w14:paraId="34BB739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2）报</w:t>
      </w:r>
      <w:r>
        <w:rPr>
          <w:rFonts w:hint="eastAsia" w:ascii="宋体" w:hAnsi="宋体" w:cs="宋体"/>
          <w:color w:val="000000" w:themeColor="text1"/>
          <w:szCs w:val="21"/>
          <w14:textFill>
            <w14:solidFill>
              <w14:schemeClr w14:val="tx1"/>
            </w14:solidFill>
          </w14:textFill>
        </w:rPr>
        <w:t>价评审</w:t>
      </w:r>
    </w:p>
    <w:p w14:paraId="164D1D4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1）响应文件未提供“供应商须知前附表”报价文件中规定的“竞标报价表”的；</w:t>
      </w:r>
    </w:p>
    <w:p w14:paraId="2767F41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2）未采用人民币报价或者未按照谈判文件标明的币种报价的；</w:t>
      </w:r>
    </w:p>
    <w:p w14:paraId="5A0C205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60E0F86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4）竞标报价（包含首次报价、最后报价）超过所竞标分标规定的采购预算金额或者最</w:t>
      </w:r>
    </w:p>
    <w:p w14:paraId="028F9BF2">
      <w:pPr>
        <w:spacing w:line="360" w:lineRule="auto"/>
        <w:ind w:firstLine="420" w:firstLineChars="200"/>
        <w:rPr>
          <w:rFonts w:hint="eastAsia" w:ascii="宋体" w:hAnsi="宋体" w:cs="宋体"/>
          <w:color w:val="000000" w:themeColor="text1"/>
          <w:szCs w:val="21"/>
          <w14:textFill>
            <w14:solidFill>
              <w14:schemeClr w14:val="tx1"/>
            </w14:solidFill>
          </w14:textFill>
        </w:rPr>
      </w:pPr>
    </w:p>
    <w:p w14:paraId="1E42CCA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高限价的（如本项目公布了最高限价）；竞标报价（包含首次报价、最后报价）超过谈判文件分项采购预算金额或者最高限价的（如本项目公布了最高限价）；</w:t>
      </w:r>
    </w:p>
    <w:p w14:paraId="03B305D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05F36EF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响应文件响应的标的数量及单位与竞争性谈判采购文件要求实质性不一致的。</w:t>
      </w:r>
    </w:p>
    <w:p w14:paraId="66F477C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BA4182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7公开招标的货物、服务采购项目，招标过程中提交响应文件或者经评审实质性响应谈判文件要求的供应商只有两家时，采购人、采购代理机构按照《政府采购非招标采购方式管理办法》（财政部令第74号）第四条经本级财政部门批准后可以与该两家供应商进行竞争性谈判采购。</w:t>
      </w:r>
    </w:p>
    <w:p w14:paraId="713EC071">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.8除本章3.7条规定的情形外，通过符合性审查的合格供应商不足3家的，不得进入谈判环节，应当重新开展采购活动。</w:t>
      </w:r>
    </w:p>
    <w:p w14:paraId="0F69A511">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谈判程序</w:t>
      </w:r>
    </w:p>
    <w:p w14:paraId="62EE33F2">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谈判小组</w:t>
      </w:r>
      <w:r>
        <w:rPr>
          <w:rFonts w:hint="eastAsia" w:ascii="宋体" w:hAnsi="宋体" w:cs="宋体"/>
          <w:color w:val="000000" w:themeColor="text1"/>
          <w:szCs w:val="21"/>
          <w14:textFill>
            <w14:solidFill>
              <w14:schemeClr w14:val="tx1"/>
            </w14:solidFill>
          </w14:textFill>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674BC2A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60773E2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对谈判文件作出的实质性变动是谈判文件的有效组成部分，由谈判小组及时以电子澄清函形式同时通知所有参加谈判的供应商。</w:t>
      </w:r>
    </w:p>
    <w:p w14:paraId="59996FC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6E623C4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谈判中，谈判的任何一方不得透露与谈判有关的其他供应商的技术资料、价格和其他信息。</w:t>
      </w:r>
    </w:p>
    <w:p w14:paraId="49AF237E">
      <w:pPr>
        <w:widowControl/>
        <w:tabs>
          <w:tab w:val="left" w:pos="540"/>
        </w:tabs>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谈判小组应对谈判过程和重要谈判内容进行记录。</w:t>
      </w:r>
    </w:p>
    <w:p w14:paraId="5EF17F80">
      <w:pPr>
        <w:tabs>
          <w:tab w:val="left" w:pos="2835"/>
        </w:tabs>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7除本章第3.7条外，</w:t>
      </w:r>
      <w:r>
        <w:rPr>
          <w:rFonts w:hint="eastAsia" w:ascii="宋体" w:hAnsi="宋体"/>
          <w:color w:val="000000" w:themeColor="text1"/>
          <w:szCs w:val="21"/>
          <w14:textFill>
            <w14:solidFill>
              <w14:schemeClr w14:val="tx1"/>
            </w14:solidFill>
          </w14:textFill>
        </w:rPr>
        <w:t>对谈判过程提交的响应文件进行有效性、完整性和响应程度审查，通过审查的合格供应商不足3家的，采购人或者采购代理机构应当重新开展采购活动</w:t>
      </w:r>
      <w:r>
        <w:rPr>
          <w:rFonts w:hint="eastAsia" w:ascii="宋体" w:hAnsi="宋体" w:cs="宋体"/>
          <w:color w:val="000000" w:themeColor="text1"/>
          <w:szCs w:val="21"/>
          <w14:textFill>
            <w14:solidFill>
              <w14:schemeClr w14:val="tx1"/>
            </w14:solidFill>
          </w14:textFill>
        </w:rPr>
        <w:t>。</w:t>
      </w:r>
    </w:p>
    <w:p w14:paraId="71B52C76">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 xml:space="preserve"> 最后报价</w:t>
      </w:r>
    </w:p>
    <w:p w14:paraId="4E77985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5D1C039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16C39F3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r>
        <w:rPr>
          <w:rFonts w:hint="eastAsia" w:ascii="宋体" w:hAnsi="宋体" w:cs="宋体"/>
          <w:color w:val="000000" w:themeColor="text1"/>
          <w:szCs w:val="21"/>
          <w14:textFill>
            <w14:solidFill>
              <w14:schemeClr w14:val="tx1"/>
            </w14:solidFill>
          </w14:textFill>
        </w:rPr>
        <w:t>最后报价是供应商响应文件的有效组成部分。</w:t>
      </w:r>
    </w:p>
    <w:p w14:paraId="69BFBA2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5.4</w:t>
      </w:r>
      <w:r>
        <w:rPr>
          <w:rFonts w:hint="eastAsia" w:ascii="宋体" w:hAnsi="宋体" w:cs="宋体"/>
          <w:color w:val="000000" w:themeColor="text1"/>
          <w:szCs w:val="21"/>
          <w14:textFill>
            <w14:solidFill>
              <w14:schemeClr w14:val="tx1"/>
            </w14:solidFill>
          </w14:textFill>
        </w:rPr>
        <w:t>已经提交响应文件的供应商，在提交最后报价之前，可以根据谈判情况退出谈判，退出谈判的供应商的响应文件按无效响应处理。采购人、采购代理机构将退还退出谈判的供应商的保证金。</w:t>
      </w:r>
    </w:p>
    <w:p w14:paraId="7B55345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5.5</w:t>
      </w:r>
      <w:r>
        <w:rPr>
          <w:rFonts w:hint="eastAsia" w:ascii="宋体" w:hAnsi="宋体" w:cs="宋体"/>
          <w:color w:val="000000" w:themeColor="text1"/>
          <w:szCs w:val="21"/>
          <w14:textFill>
            <w14:solidFill>
              <w14:schemeClr w14:val="tx1"/>
            </w14:solidFill>
          </w14:textFill>
        </w:rPr>
        <w:t>供应商未在规定时间内提交最后报价的，视为退出谈判，其响应文件按无效处理。</w:t>
      </w:r>
    </w:p>
    <w:p w14:paraId="0EC60D6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最后报价统一开启后，谈判小组对最后报价进行有效性、完整性和响应程度的审查。</w:t>
      </w:r>
    </w:p>
    <w:p w14:paraId="5EFDF95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条的规定修正。 </w:t>
      </w:r>
    </w:p>
    <w:p w14:paraId="5054852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5584381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（1）供应商不确认的（全流程电子化评标采取在线确认）；</w:t>
      </w:r>
    </w:p>
    <w:p w14:paraId="4C69139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（2）经供应商确认修正后的竞标报价（包含首次报价、最后报价）超过所竞标分标规定的采购预算金额或者最高限价的（如本项目公布了最高限价）；</w:t>
      </w:r>
    </w:p>
    <w:p w14:paraId="7622438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（3）经供应商确认修正后的竞标报价（包含首次报价、最后报价）超过分项采购预算金额或者最高限价的（如本项目公布了最高限价）。</w:t>
      </w:r>
    </w:p>
    <w:p w14:paraId="1B85758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69FB5E1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，谈判小组应当告知有关供应商</w:t>
      </w:r>
      <w:r>
        <w:rPr>
          <w:rFonts w:hint="eastAsia" w:ascii="宋体" w:hAnsi="宋体" w:cs="宋体"/>
          <w:color w:val="000000" w:themeColor="text1"/>
          <w:szCs w:val="21"/>
          <w14:textFill>
            <w14:solidFill>
              <w14:schemeClr w14:val="tx1"/>
            </w14:solidFill>
          </w14:textFill>
        </w:rPr>
        <w:t>。</w:t>
      </w:r>
    </w:p>
    <w:p w14:paraId="6B55773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1最后报价结束后，谈判小组不得再与供应商进行任何形式的商谈。</w:t>
      </w:r>
    </w:p>
    <w:p w14:paraId="48CB512C">
      <w:pPr>
        <w:spacing w:line="360" w:lineRule="auto"/>
        <w:ind w:firstLine="472" w:firstLineChars="196"/>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 xml:space="preserve"> 最后报价及政府采购政策性扣除</w:t>
      </w:r>
    </w:p>
    <w:p w14:paraId="3AF5D6E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4416409">
      <w:pPr>
        <w:snapToGrid w:val="0"/>
        <w:spacing w:line="360" w:lineRule="auto"/>
        <w:ind w:firstLine="424" w:firstLineChars="202"/>
        <w:jc w:val="left"/>
        <w:rPr>
          <w:rFonts w:hint="eastAsia" w:ascii="宋体" w:hAnsi="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6.2</w:t>
      </w:r>
      <w:r>
        <w:rPr>
          <w:rFonts w:hint="eastAsia" w:ascii="宋体" w:hAnsi="宋体"/>
          <w:color w:val="000000" w:themeColor="text1"/>
          <w:szCs w:val="21"/>
          <w14:textFill>
            <w14:solidFill>
              <w14:schemeClr w14:val="tx1"/>
            </w14:solidFill>
          </w14:textFill>
        </w:rPr>
        <w:t>异常低价响应审查</w:t>
      </w:r>
    </w:p>
    <w:p w14:paraId="5BA76F21">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（1）谈判小组在评审中发现下列情形之一的，应当启动异常低价响应审查程序：</w:t>
      </w:r>
    </w:p>
    <w:p w14:paraId="415F383A">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①响应报价低于全部通过符合性审查供应商响应报价平均值</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的，即响应报价＜全部通过符合性审查供应商响应报价平均值×</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7CFCF0D8">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②响应报价低于通过符合性审查的次低报价供应商响应报价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的，即响应报价＜通过符合性审查的次低报价供应商响应报价×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14:paraId="0EB07E44">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③响应报价低于采购项目最高限价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65</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；④谈判小组基于专业判断，认为供应商报价过低，有可能影响产品质量或者不能诚信履约的其他情形。</w:t>
      </w:r>
    </w:p>
    <w:p w14:paraId="23E8AA7B">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FE0F7DE">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14:textFill>
            <w14:solidFill>
              <w14:schemeClr w14:val="tx1"/>
            </w14:solidFill>
          </w14:textFill>
        </w:rPr>
        <w:t>相关供应商不能提供书面说明、证明材料，或者提供的书面说明、证明材料不能证明其报价合理性的，谈判小组应当将其作为无效响应处理。</w:t>
      </w:r>
    </w:p>
    <w:p w14:paraId="6491C88D">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47C7BF4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异常低价响应审查的启动原因、审查意见和审查结果应当在评审报告中记录，并随供应商提供的相关书面说明及证明材料，以及谈判小组有关互联网浏览、查询历史一并归档。</w:t>
      </w:r>
    </w:p>
    <w:p w14:paraId="55031DBA">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hAnsi="宋体" w:cs="Courier New"/>
          <w:bCs/>
          <w:color w:val="000000" w:themeColor="text1"/>
          <w14:textFill>
            <w14:solidFill>
              <w14:schemeClr w14:val="tx1"/>
            </w14:solidFill>
          </w14:textFill>
        </w:rPr>
        <w:t>6</w:t>
      </w:r>
      <w:r>
        <w:rPr>
          <w:rFonts w:hAnsi="宋体" w:cs="Courier New"/>
          <w:bCs/>
          <w:color w:val="000000" w:themeColor="text1"/>
          <w14:textFill>
            <w14:solidFill>
              <w14:schemeClr w14:val="tx1"/>
            </w14:solidFill>
          </w14:textFill>
        </w:rPr>
        <w:t>.3</w:t>
      </w:r>
      <w:r>
        <w:rPr>
          <w:rFonts w:hint="eastAsia" w:hAnsi="宋体" w:cs="Courier New"/>
          <w:bCs/>
          <w:color w:val="000000" w:themeColor="text1"/>
          <w14:textFill>
            <w14:solidFill>
              <w14:schemeClr w14:val="tx1"/>
            </w14:solidFill>
          </w14:textFill>
        </w:rPr>
        <w:t>中小企业政策性扣除计算方法</w:t>
      </w:r>
    </w:p>
    <w:p w14:paraId="73985537">
      <w:pPr>
        <w:spacing w:line="360" w:lineRule="auto"/>
        <w:ind w:firstLine="369" w:firstLineChars="176"/>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根据《政府采购促进中小企业发展管理办法》（财库〔2020〕46号）</w:t>
      </w:r>
      <w:r>
        <w:rPr>
          <w:rFonts w:hint="eastAsia" w:ascii="宋体" w:hAnsi="宋体"/>
          <w:bCs/>
          <w:color w:val="000000" w:themeColor="text1"/>
          <w:szCs w:val="21"/>
          <w14:textFill>
            <w14:solidFill>
              <w14:schemeClr w14:val="tx1"/>
            </w14:solidFill>
          </w14:textFill>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宋体" w:hAnsi="宋体"/>
          <w:bCs/>
          <w:color w:val="000000" w:themeColor="text1"/>
          <w:szCs w:val="21"/>
          <w:u w:val="single"/>
          <w14:textFill>
            <w14:solidFill>
              <w14:schemeClr w14:val="tx1"/>
            </w14:solidFill>
          </w14:textFill>
        </w:rPr>
        <w:t xml:space="preserve"> 10%</w:t>
      </w:r>
      <w:r>
        <w:rPr>
          <w:rFonts w:hint="eastAsia" w:ascii="宋体" w:hAnsi="宋体"/>
          <w:bCs/>
          <w:color w:val="000000" w:themeColor="text1"/>
          <w:szCs w:val="21"/>
          <w14:textFill>
            <w14:solidFill>
              <w14:schemeClr w14:val="tx1"/>
            </w14:solidFill>
          </w14:textFill>
        </w:rPr>
        <w:t>的扣除，扣除后的价格为评审价，即中小企业政策性折扣=竞标报价×</w:t>
      </w:r>
      <w:r>
        <w:rPr>
          <w:rFonts w:hint="eastAsia" w:ascii="宋体" w:hAnsi="宋体"/>
          <w:bCs/>
          <w:color w:val="000000" w:themeColor="text1"/>
          <w:szCs w:val="21"/>
          <w:u w:val="single"/>
          <w14:textFill>
            <w14:solidFill>
              <w14:schemeClr w14:val="tx1"/>
            </w14:solidFill>
          </w14:textFill>
        </w:rPr>
        <w:t xml:space="preserve"> 10 </w:t>
      </w:r>
      <w:r>
        <w:rPr>
          <w:rFonts w:hint="eastAsia" w:ascii="宋体" w:hAnsi="宋体"/>
          <w:bCs/>
          <w:color w:val="000000" w:themeColor="text1"/>
          <w:szCs w:val="21"/>
          <w14:textFill>
            <w14:solidFill>
              <w14:schemeClr w14:val="tx1"/>
            </w14:solidFill>
          </w14:textFill>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000000" w:themeColor="text1"/>
          <w:szCs w:val="21"/>
          <w:u w:val="single"/>
          <w14:textFill>
            <w14:solidFill>
              <w14:schemeClr w14:val="tx1"/>
            </w14:solidFill>
          </w14:textFill>
        </w:rPr>
        <w:t xml:space="preserve"> 4%</w:t>
      </w:r>
      <w:r>
        <w:rPr>
          <w:rFonts w:hint="eastAsia" w:ascii="宋体" w:hAnsi="宋体"/>
          <w:bCs/>
          <w:color w:val="000000" w:themeColor="text1"/>
          <w:szCs w:val="21"/>
          <w14:textFill>
            <w14:solidFill>
              <w14:schemeClr w14:val="tx1"/>
            </w14:solidFill>
          </w14:textFill>
        </w:rPr>
        <w:t>的扣除，用扣除后的价格参加评审，扣除后的价格为评审价，即中小企业</w:t>
      </w:r>
      <w:r>
        <w:rPr>
          <w:rFonts w:hint="eastAsia" w:hAnsi="宋体" w:cs="Courier New"/>
          <w:bCs/>
          <w:color w:val="000000" w:themeColor="text1"/>
          <w14:textFill>
            <w14:solidFill>
              <w14:schemeClr w14:val="tx1"/>
            </w14:solidFill>
          </w14:textFill>
        </w:rPr>
        <w:t>政策性</w:t>
      </w:r>
      <w:r>
        <w:rPr>
          <w:rFonts w:hint="eastAsia" w:ascii="宋体" w:hAnsi="宋体"/>
          <w:bCs/>
          <w:color w:val="000000" w:themeColor="text1"/>
          <w:szCs w:val="21"/>
          <w14:textFill>
            <w14:solidFill>
              <w14:schemeClr w14:val="tx1"/>
            </w14:solidFill>
          </w14:textFill>
        </w:rPr>
        <w:t>折扣=竞标报价×</w:t>
      </w:r>
      <w:r>
        <w:rPr>
          <w:rFonts w:hint="eastAsia" w:ascii="宋体" w:hAnsi="宋体"/>
          <w:bCs/>
          <w:color w:val="000000" w:themeColor="text1"/>
          <w:szCs w:val="21"/>
          <w:u w:val="single"/>
          <w14:textFill>
            <w14:solidFill>
              <w14:schemeClr w14:val="tx1"/>
            </w14:solidFill>
          </w14:textFill>
        </w:rPr>
        <w:t xml:space="preserve"> 4 </w:t>
      </w:r>
      <w:r>
        <w:rPr>
          <w:rFonts w:hint="eastAsia" w:ascii="宋体" w:hAnsi="宋体"/>
          <w:bCs/>
          <w:color w:val="000000" w:themeColor="text1"/>
          <w:szCs w:val="21"/>
          <w14:textFill>
            <w14:solidFill>
              <w14:schemeClr w14:val="tx1"/>
            </w14:solidFill>
          </w14:textFill>
        </w:rPr>
        <w:t>%。除上述情况外，评审价=竞标报价。</w:t>
      </w:r>
    </w:p>
    <w:p w14:paraId="360A075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6.4</w:t>
      </w:r>
      <w:r>
        <w:rPr>
          <w:rFonts w:hint="eastAsia" w:ascii="宋体" w:hAnsi="宋体" w:cs="宋体"/>
          <w:color w:val="000000" w:themeColor="text1"/>
          <w:szCs w:val="21"/>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s="宋体"/>
          <w:color w:val="000000" w:themeColor="text1"/>
          <w:szCs w:val="21"/>
          <w14:textFill>
            <w14:solidFill>
              <w14:schemeClr w14:val="tx1"/>
            </w14:solidFill>
          </w14:textFill>
        </w:rPr>
        <w:t>不重复享受政策。</w:t>
      </w:r>
    </w:p>
    <w:p w14:paraId="39C908F3">
      <w:pPr>
        <w:spacing w:line="360" w:lineRule="auto"/>
        <w:ind w:firstLine="420" w:firstLineChars="20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6.5</w:t>
      </w:r>
      <w:r>
        <w:rPr>
          <w:rFonts w:hint="eastAsia" w:ascii="宋体" w:hAnsi="宋体" w:cs="宋体"/>
          <w:color w:val="000000" w:themeColor="text1"/>
          <w:szCs w:val="21"/>
          <w14:textFill>
            <w14:solidFill>
              <w14:schemeClr w14:val="tx1"/>
            </w14:solidFill>
          </w14:textFill>
        </w:rPr>
        <w:t>按照《关于促进残疾人就业政府采购政策的通知》（财库〔2017〕141号）的规定，残疾人福利性单位视同小型、微型企业，享受预留份额、评审中价格扣除等</w:t>
      </w:r>
      <w:r>
        <w:rPr>
          <w:rFonts w:hint="eastAsia" w:ascii="宋体" w:hAnsi="宋体" w:cs="宋体"/>
          <w:color w:val="000000" w:themeColor="text1"/>
          <w14:textFill>
            <w14:solidFill>
              <w14:schemeClr w14:val="tx1"/>
            </w14:solidFill>
          </w14:textFill>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069126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本国产品政策性扣除计算方法。</w:t>
      </w:r>
    </w:p>
    <w:p w14:paraId="09F458E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E04760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29" w:name="OLE_LINK3"/>
      <w:bookmarkStart w:id="30" w:name="OLE_LINK4"/>
      <w:r>
        <w:rPr>
          <w:rFonts w:hint="eastAsia" w:hAnsi="宋体"/>
          <w:color w:val="000000" w:themeColor="text1"/>
          <w14:textFill>
            <w14:solidFill>
              <w14:schemeClr w14:val="tx1"/>
            </w14:solidFill>
          </w14:textFill>
        </w:rPr>
        <w:t>未达到80%，不享受价格评审优惠。</w:t>
      </w:r>
      <w:bookmarkEnd w:id="29"/>
      <w:bookmarkEnd w:id="30"/>
    </w:p>
    <w:p w14:paraId="0C2FF2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如果所有参与竞争的供应商均可享受本国产品价格评审优惠，则统一不进行价格扣除。</w:t>
      </w:r>
    </w:p>
    <w:p w14:paraId="26773FA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供应商在其响应文件中提供《关于符合本国产品标准的声明函》或财政部会同有关部门规定的有关证明文件，出具符合要求的《声明函》或有关证明文件的，该产品视为本国产品。</w:t>
      </w:r>
    </w:p>
    <w:p w14:paraId="47D23FD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中小企业政策性折扣与本国产品政策性折扣进行叠加计算，用扣除后的价格参加评审。即评审价=竞标报价-</w:t>
      </w:r>
      <w:r>
        <w:rPr>
          <w:rFonts w:hint="eastAsia" w:hAnsi="宋体" w:cs="Courier New"/>
          <w:bCs/>
          <w:color w:val="000000" w:themeColor="text1"/>
          <w14:textFill>
            <w14:solidFill>
              <w14:schemeClr w14:val="tx1"/>
            </w14:solidFill>
          </w14:textFill>
        </w:rPr>
        <w:t>中小企业政策性</w:t>
      </w:r>
      <w:r>
        <w:rPr>
          <w:rFonts w:hint="eastAsia" w:ascii="宋体" w:hAnsi="宋体"/>
          <w:color w:val="000000" w:themeColor="text1"/>
          <w:szCs w:val="21"/>
          <w14:textFill>
            <w14:solidFill>
              <w14:schemeClr w14:val="tx1"/>
            </w14:solidFill>
          </w14:textFill>
        </w:rPr>
        <w:t>折扣-本国产品政策性折扣，除上述情况外，评审价=竞标报价。</w:t>
      </w:r>
    </w:p>
    <w:p w14:paraId="67E6ED58">
      <w:pPr>
        <w:spacing w:line="360" w:lineRule="auto"/>
        <w:ind w:firstLine="420" w:firstLineChars="200"/>
        <w:rPr>
          <w:rFonts w:hint="eastAsia" w:ascii="宋体" w:hAnsi="宋体" w:cs="宋体"/>
          <w:color w:val="000000" w:themeColor="text1"/>
          <w14:textFill>
            <w14:solidFill>
              <w14:schemeClr w14:val="tx1"/>
            </w14:solidFill>
          </w14:textFill>
        </w:rPr>
      </w:pPr>
    </w:p>
    <w:p w14:paraId="212C408E">
      <w:pPr>
        <w:spacing w:line="360" w:lineRule="auto"/>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二、评定成交的标准</w:t>
      </w:r>
    </w:p>
    <w:p w14:paraId="39B55D88">
      <w:pPr>
        <w:spacing w:line="360" w:lineRule="auto"/>
        <w:ind w:firstLine="482" w:firstLineChars="200"/>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 xml:space="preserve"> 成交候选人推荐</w:t>
      </w:r>
    </w:p>
    <w:p w14:paraId="7DD1EAFE">
      <w:pPr>
        <w:spacing w:line="360" w:lineRule="auto"/>
        <w:ind w:firstLine="420" w:firstLineChars="200"/>
        <w:contextualSpacing/>
        <w:rPr>
          <w:rFonts w:hint="eastAsia"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条规定的顺序推荐），并编写评审报告，评审报告</w:t>
      </w:r>
      <w:r>
        <w:rPr>
          <w:rFonts w:hint="eastAsia" w:hAnsi="宋体"/>
          <w:color w:val="000000" w:themeColor="text1"/>
          <w14:textFill>
            <w14:solidFill>
              <w14:schemeClr w14:val="tx1"/>
            </w14:solidFill>
          </w14:textFill>
        </w:rPr>
        <w:t>通过电子交易平台向采购人、采购代理机构提交。</w:t>
      </w:r>
    </w:p>
    <w:p w14:paraId="79310223">
      <w:pPr>
        <w:spacing w:line="360" w:lineRule="auto"/>
        <w:ind w:firstLine="420" w:firstLineChars="200"/>
        <w:rPr>
          <w:rFonts w:hint="eastAsia" w:ascii="宋体" w:hAnsi="宋体" w:cs="宋体"/>
          <w:color w:val="000000" w:themeColor="text1"/>
          <w14:textFill>
            <w14:solidFill>
              <w14:schemeClr w14:val="tx1"/>
            </w14:solidFill>
          </w14:textFill>
        </w:rPr>
      </w:pPr>
    </w:p>
    <w:p w14:paraId="682C0042">
      <w:pPr>
        <w:pStyle w:val="2"/>
        <w:jc w:val="center"/>
        <w:rPr>
          <w:color w:val="000000" w:themeColor="text1"/>
          <w14:textFill>
            <w14:solidFill>
              <w14:schemeClr w14:val="tx1"/>
            </w14:solidFill>
          </w14:textFill>
        </w:rPr>
      </w:pPr>
      <w:r>
        <w:rPr>
          <w:color w:val="000000" w:themeColor="text1"/>
          <w14:textFill>
            <w14:solidFill>
              <w14:schemeClr w14:val="tx1"/>
            </w14:solidFill>
          </w14:textFill>
        </w:rPr>
        <w:br w:type="page"/>
      </w:r>
    </w:p>
    <w:p w14:paraId="7B12D471">
      <w:pPr>
        <w:rPr>
          <w:color w:val="000000" w:themeColor="text1"/>
          <w14:textFill>
            <w14:solidFill>
              <w14:schemeClr w14:val="tx1"/>
            </w14:solidFill>
          </w14:textFill>
        </w:rPr>
      </w:pPr>
    </w:p>
    <w:p w14:paraId="1C6CE58B">
      <w:pPr>
        <w:rPr>
          <w:color w:val="000000" w:themeColor="text1"/>
          <w14:textFill>
            <w14:solidFill>
              <w14:schemeClr w14:val="tx1"/>
            </w14:solidFill>
          </w14:textFill>
        </w:rPr>
      </w:pPr>
    </w:p>
    <w:p w14:paraId="18AECDF4">
      <w:pPr>
        <w:rPr>
          <w:color w:val="000000" w:themeColor="text1"/>
          <w14:textFill>
            <w14:solidFill>
              <w14:schemeClr w14:val="tx1"/>
            </w14:solidFill>
          </w14:textFill>
        </w:rPr>
      </w:pPr>
    </w:p>
    <w:p w14:paraId="051FD5EC">
      <w:pPr>
        <w:rPr>
          <w:color w:val="000000" w:themeColor="text1"/>
          <w14:textFill>
            <w14:solidFill>
              <w14:schemeClr w14:val="tx1"/>
            </w14:solidFill>
          </w14:textFill>
        </w:rPr>
      </w:pPr>
    </w:p>
    <w:p w14:paraId="315E6EC4">
      <w:pPr>
        <w:rPr>
          <w:color w:val="000000" w:themeColor="text1"/>
          <w14:textFill>
            <w14:solidFill>
              <w14:schemeClr w14:val="tx1"/>
            </w14:solidFill>
          </w14:textFill>
        </w:rPr>
      </w:pPr>
    </w:p>
    <w:p w14:paraId="0ECC193E">
      <w:pPr>
        <w:rPr>
          <w:color w:val="000000" w:themeColor="text1"/>
          <w14:textFill>
            <w14:solidFill>
              <w14:schemeClr w14:val="tx1"/>
            </w14:solidFill>
          </w14:textFill>
        </w:rPr>
      </w:pPr>
    </w:p>
    <w:p w14:paraId="46F1104D">
      <w:pPr>
        <w:rPr>
          <w:color w:val="000000" w:themeColor="text1"/>
          <w14:textFill>
            <w14:solidFill>
              <w14:schemeClr w14:val="tx1"/>
            </w14:solidFill>
          </w14:textFill>
        </w:rPr>
      </w:pPr>
    </w:p>
    <w:p w14:paraId="290B3D54">
      <w:pPr>
        <w:rPr>
          <w:color w:val="000000" w:themeColor="text1"/>
          <w14:textFill>
            <w14:solidFill>
              <w14:schemeClr w14:val="tx1"/>
            </w14:solidFill>
          </w14:textFill>
        </w:rPr>
      </w:pPr>
    </w:p>
    <w:p w14:paraId="2F3C93D0">
      <w:pPr>
        <w:rPr>
          <w:color w:val="000000" w:themeColor="text1"/>
          <w14:textFill>
            <w14:solidFill>
              <w14:schemeClr w14:val="tx1"/>
            </w14:solidFill>
          </w14:textFill>
        </w:rPr>
      </w:pPr>
    </w:p>
    <w:p w14:paraId="41FF534D">
      <w:pPr>
        <w:rPr>
          <w:color w:val="000000" w:themeColor="text1"/>
          <w14:textFill>
            <w14:solidFill>
              <w14:schemeClr w14:val="tx1"/>
            </w14:solidFill>
          </w14:textFill>
        </w:rPr>
      </w:pPr>
    </w:p>
    <w:p w14:paraId="7B2B8869">
      <w:pPr>
        <w:rPr>
          <w:color w:val="000000" w:themeColor="text1"/>
          <w14:textFill>
            <w14:solidFill>
              <w14:schemeClr w14:val="tx1"/>
            </w14:solidFill>
          </w14:textFill>
        </w:rPr>
      </w:pPr>
    </w:p>
    <w:p w14:paraId="501D235F">
      <w:pPr>
        <w:rPr>
          <w:color w:val="000000" w:themeColor="text1"/>
          <w14:textFill>
            <w14:solidFill>
              <w14:schemeClr w14:val="tx1"/>
            </w14:solidFill>
          </w14:textFill>
        </w:rPr>
      </w:pPr>
    </w:p>
    <w:p w14:paraId="08E2DDD7">
      <w:pPr>
        <w:rPr>
          <w:color w:val="000000" w:themeColor="text1"/>
          <w14:textFill>
            <w14:solidFill>
              <w14:schemeClr w14:val="tx1"/>
            </w14:solidFill>
          </w14:textFill>
        </w:rPr>
      </w:pPr>
    </w:p>
    <w:p w14:paraId="02652AEB">
      <w:pPr>
        <w:pStyle w:val="2"/>
        <w:jc w:val="center"/>
        <w:rPr>
          <w:color w:val="000000" w:themeColor="text1"/>
          <w14:textFill>
            <w14:solidFill>
              <w14:schemeClr w14:val="tx1"/>
            </w14:solidFill>
          </w14:textFill>
        </w:rPr>
      </w:pPr>
      <w:bookmarkStart w:id="31" w:name="_Toc74322012"/>
      <w:r>
        <w:rPr>
          <w:rFonts w:hint="eastAsia"/>
          <w:color w:val="000000" w:themeColor="text1"/>
          <w14:textFill>
            <w14:solidFill>
              <w14:schemeClr w14:val="tx1"/>
            </w14:solidFill>
          </w14:textFill>
        </w:rPr>
        <w:t>第五章 响应文件格式</w:t>
      </w:r>
      <w:bookmarkEnd w:id="31"/>
    </w:p>
    <w:p w14:paraId="7E2C3A7B">
      <w:pPr>
        <w:spacing w:line="240" w:lineRule="atLeast"/>
        <w:rPr>
          <w:rFonts w:hint="eastAsia" w:ascii="宋体" w:hAnsi="宋体"/>
          <w:b/>
          <w:color w:val="000000" w:themeColor="text1"/>
          <w:sz w:val="32"/>
          <w:szCs w:val="32"/>
          <w14:textFill>
            <w14:solidFill>
              <w14:schemeClr w14:val="tx1"/>
            </w14:solidFill>
          </w14:textFill>
        </w:rPr>
      </w:pPr>
    </w:p>
    <w:p w14:paraId="01CC7AF9">
      <w:pPr>
        <w:spacing w:line="240" w:lineRule="atLeast"/>
        <w:rPr>
          <w:rFonts w:hint="eastAsia" w:ascii="宋体" w:hAnsi="宋体"/>
          <w:b/>
          <w:color w:val="000000" w:themeColor="text1"/>
          <w:sz w:val="32"/>
          <w:szCs w:val="32"/>
          <w14:textFill>
            <w14:solidFill>
              <w14:schemeClr w14:val="tx1"/>
            </w14:solidFill>
          </w14:textFill>
        </w:rPr>
      </w:pPr>
    </w:p>
    <w:p w14:paraId="1C96576F">
      <w:pPr>
        <w:spacing w:line="240" w:lineRule="atLeast"/>
        <w:rPr>
          <w:rFonts w:hint="eastAsia" w:ascii="宋体" w:hAnsi="宋体"/>
          <w:b/>
          <w:color w:val="000000" w:themeColor="text1"/>
          <w:sz w:val="32"/>
          <w:szCs w:val="32"/>
          <w14:textFill>
            <w14:solidFill>
              <w14:schemeClr w14:val="tx1"/>
            </w14:solidFill>
          </w14:textFill>
        </w:rPr>
      </w:pPr>
    </w:p>
    <w:p w14:paraId="4EA500E9">
      <w:pPr>
        <w:spacing w:line="240" w:lineRule="atLeast"/>
        <w:rPr>
          <w:rFonts w:hint="eastAsia" w:ascii="宋体" w:hAnsi="宋体"/>
          <w:b/>
          <w:color w:val="000000" w:themeColor="text1"/>
          <w:sz w:val="32"/>
          <w:szCs w:val="32"/>
          <w14:textFill>
            <w14:solidFill>
              <w14:schemeClr w14:val="tx1"/>
            </w14:solidFill>
          </w14:textFill>
        </w:rPr>
      </w:pPr>
    </w:p>
    <w:p w14:paraId="2B20D558">
      <w:pPr>
        <w:snapToGrid w:val="0"/>
        <w:spacing w:before="50" w:after="50"/>
        <w:outlineLvl w:val="1"/>
        <w:rPr>
          <w:rFonts w:hint="eastAsia" w:ascii="宋体" w:hAnsi="宋体"/>
          <w:b/>
          <w:bCs/>
          <w:color w:val="000000" w:themeColor="text1"/>
          <w:sz w:val="24"/>
          <w14:textFill>
            <w14:solidFill>
              <w14:schemeClr w14:val="tx1"/>
            </w14:solidFill>
          </w14:textFill>
        </w:rPr>
      </w:pPr>
    </w:p>
    <w:p w14:paraId="25A55D9F">
      <w:pPr>
        <w:snapToGrid w:val="0"/>
        <w:spacing w:before="50" w:after="50"/>
        <w:outlineLvl w:val="1"/>
        <w:rPr>
          <w:rFonts w:hint="eastAsia" w:ascii="宋体" w:hAnsi="宋体"/>
          <w:b/>
          <w:bCs/>
          <w:color w:val="000000" w:themeColor="text1"/>
          <w:sz w:val="24"/>
          <w14:textFill>
            <w14:solidFill>
              <w14:schemeClr w14:val="tx1"/>
            </w14:solidFill>
          </w14:textFill>
        </w:rPr>
      </w:pPr>
    </w:p>
    <w:p w14:paraId="54056FA2">
      <w:pPr>
        <w:snapToGrid w:val="0"/>
        <w:spacing w:before="50" w:after="50"/>
        <w:outlineLvl w:val="1"/>
        <w:rPr>
          <w:rFonts w:hint="eastAsia" w:ascii="宋体" w:hAnsi="宋体"/>
          <w:b/>
          <w:bCs/>
          <w:color w:val="000000" w:themeColor="text1"/>
          <w:sz w:val="24"/>
          <w14:textFill>
            <w14:solidFill>
              <w14:schemeClr w14:val="tx1"/>
            </w14:solidFill>
          </w14:textFill>
        </w:rPr>
      </w:pPr>
    </w:p>
    <w:p w14:paraId="6F986FA4">
      <w:pPr>
        <w:rPr>
          <w:b/>
          <w:color w:val="000000" w:themeColor="text1"/>
          <w:sz w:val="32"/>
          <w:szCs w:val="32"/>
          <w14:textFill>
            <w14:solidFill>
              <w14:schemeClr w14:val="tx1"/>
            </w14:solidFill>
          </w14:textFill>
        </w:rPr>
      </w:pPr>
      <w:r>
        <w:rPr>
          <w:rFonts w:ascii="宋体" w:hAnsi="宋体"/>
          <w:bCs/>
          <w:color w:val="000000" w:themeColor="text1"/>
          <w:sz w:val="24"/>
          <w14:textFill>
            <w14:solidFill>
              <w14:schemeClr w14:val="tx1"/>
            </w14:solidFill>
          </w14:textFill>
        </w:rPr>
        <w:br w:type="page"/>
      </w:r>
      <w:bookmarkStart w:id="32" w:name="_Toc71366060"/>
      <w:bookmarkStart w:id="33" w:name="_Toc71365382"/>
      <w:r>
        <w:rPr>
          <w:rFonts w:hint="eastAsia"/>
          <w:b/>
          <w:color w:val="000000" w:themeColor="text1"/>
          <w:sz w:val="32"/>
          <w:szCs w:val="32"/>
          <w14:textFill>
            <w14:solidFill>
              <w14:schemeClr w14:val="tx1"/>
            </w14:solidFill>
          </w14:textFill>
        </w:rPr>
        <w:t>一、资格证明文件格式</w:t>
      </w:r>
      <w:bookmarkEnd w:id="32"/>
      <w:bookmarkEnd w:id="33"/>
    </w:p>
    <w:p w14:paraId="45FFE5F5">
      <w:pPr>
        <w:snapToGrid w:val="0"/>
        <w:spacing w:before="156" w:beforeLines="50" w:after="50" w:line="360" w:lineRule="auto"/>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1.资格证明文件封面格式：</w:t>
      </w:r>
      <w:r>
        <w:rPr>
          <w:rFonts w:hint="eastAsia" w:ascii="宋体" w:hAnsi="宋体"/>
          <w:b/>
          <w:color w:val="000000" w:themeColor="text1"/>
          <w:sz w:val="24"/>
          <w14:textFill>
            <w14:solidFill>
              <w14:schemeClr w14:val="tx1"/>
            </w14:solidFill>
          </w14:textFill>
        </w:rPr>
        <w:t xml:space="preserve"> </w:t>
      </w:r>
    </w:p>
    <w:p w14:paraId="0525B9C1">
      <w:pPr>
        <w:snapToGrid w:val="0"/>
        <w:spacing w:before="156" w:beforeLines="50" w:after="50"/>
        <w:rPr>
          <w:rFonts w:hint="eastAsia"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1353DB1C">
      <w:pPr>
        <w:snapToGrid w:val="0"/>
        <w:spacing w:before="156" w:beforeLines="50" w:after="50"/>
        <w:jc w:val="center"/>
        <w:rPr>
          <w:rFonts w:hint="eastAsia"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13098B47">
      <w:pPr>
        <w:snapToGrid w:val="0"/>
        <w:spacing w:before="156" w:beforeLines="50" w:after="50"/>
        <w:rPr>
          <w:rFonts w:hint="eastAsia" w:ascii="宋体" w:hAnsi="宋体"/>
          <w:color w:val="000000" w:themeColor="text1"/>
          <w:sz w:val="24"/>
          <w:szCs w:val="20"/>
          <w14:textFill>
            <w14:solidFill>
              <w14:schemeClr w14:val="tx1"/>
            </w14:solidFill>
          </w14:textFill>
        </w:rPr>
      </w:pPr>
    </w:p>
    <w:p w14:paraId="7030EEEB">
      <w:pPr>
        <w:snapToGrid w:val="0"/>
        <w:spacing w:before="156" w:beforeLines="50" w:after="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  格  证  明  文  件</w:t>
      </w:r>
    </w:p>
    <w:p w14:paraId="204A9C31">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6956D027">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427C4587">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34843252">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4E8B4B4E">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50D4CF2B">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0F1C8AAD">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5500D175">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1B7061B4">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 xml:space="preserve"> </w:t>
      </w:r>
    </w:p>
    <w:p w14:paraId="4160F4F5">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FA2282E">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4AEC49FF">
      <w:pPr>
        <w:pStyle w:val="5"/>
        <w:snapToGrid w:val="0"/>
        <w:spacing w:before="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65DF9AF2">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p>
    <w:p w14:paraId="4E48118D">
      <w:pPr>
        <w:pStyle w:val="5"/>
        <w:snapToGrid w:val="0"/>
        <w:spacing w:before="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3DD62DAF">
      <w:pPr>
        <w:pStyle w:val="5"/>
        <w:snapToGrid w:val="0"/>
        <w:spacing w:before="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5CA355C9">
      <w:pPr>
        <w:pStyle w:val="5"/>
        <w:snapToGrid w:val="0"/>
        <w:spacing w:before="50" w:after="50"/>
        <w:ind w:firstLine="1280" w:firstLineChars="400"/>
        <w:rPr>
          <w:rFonts w:hint="eastAsia" w:ascii="宋体" w:hAnsi="宋体" w:cs="仿宋_GB2312"/>
          <w:bCs/>
          <w:color w:val="000000" w:themeColor="text1"/>
          <w:sz w:val="32"/>
          <w:szCs w:val="32"/>
          <w14:textFill>
            <w14:solidFill>
              <w14:schemeClr w14:val="tx1"/>
            </w14:solidFill>
          </w14:textFill>
        </w:rPr>
      </w:pPr>
    </w:p>
    <w:p w14:paraId="011ED73D">
      <w:pPr>
        <w:snapToGrid w:val="0"/>
        <w:spacing w:before="156" w:beforeLines="50" w:after="50"/>
        <w:jc w:val="center"/>
        <w:rPr>
          <w:rFonts w:hint="eastAsia"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1734031F">
      <w:pPr>
        <w:snapToGrid w:val="0"/>
        <w:spacing w:before="156" w:beforeLines="50" w:after="50" w:line="360" w:lineRule="auto"/>
        <w:ind w:left="142"/>
        <w:jc w:val="left"/>
        <w:rPr>
          <w:rFonts w:hint="eastAsia" w:ascii="宋体" w:hAnsi="宋体"/>
          <w:b/>
          <w:bCs/>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2.资格证明文件目录</w:t>
      </w:r>
    </w:p>
    <w:p w14:paraId="41688C70">
      <w:pPr>
        <w:snapToGrid w:val="0"/>
        <w:spacing w:before="156"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62E0714D">
      <w:pPr>
        <w:snapToGrid w:val="0"/>
        <w:spacing w:before="156" w:beforeLines="50" w:after="50" w:line="360" w:lineRule="auto"/>
        <w:rPr>
          <w:rFonts w:hint="eastAsia"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 xml:space="preserve"> </w:t>
      </w:r>
    </w:p>
    <w:p w14:paraId="57677994">
      <w:pPr>
        <w:spacing w:line="360" w:lineRule="auto"/>
        <w:rPr>
          <w:rFonts w:hint="eastAsia" w:ascii="宋体" w:hAnsi="宋体"/>
          <w:color w:val="000000" w:themeColor="text1"/>
          <w:szCs w:val="21"/>
          <w14:textFill>
            <w14:solidFill>
              <w14:schemeClr w14:val="tx1"/>
            </w14:solidFill>
          </w14:textFill>
        </w:rPr>
      </w:pPr>
    </w:p>
    <w:p w14:paraId="37AFFE1B">
      <w:pPr>
        <w:spacing w:line="360" w:lineRule="auto"/>
        <w:rPr>
          <w:rFonts w:hint="eastAsia" w:ascii="宋体" w:hAnsi="宋体"/>
          <w:color w:val="000000" w:themeColor="text1"/>
          <w:szCs w:val="21"/>
          <w14:textFill>
            <w14:solidFill>
              <w14:schemeClr w14:val="tx1"/>
            </w14:solidFill>
          </w14:textFill>
        </w:rPr>
      </w:pPr>
    </w:p>
    <w:p w14:paraId="75B41564">
      <w:pPr>
        <w:spacing w:line="360" w:lineRule="auto"/>
        <w:rPr>
          <w:rFonts w:hint="eastAsia" w:ascii="宋体" w:hAnsi="宋体"/>
          <w:color w:val="000000" w:themeColor="text1"/>
          <w:szCs w:val="21"/>
          <w14:textFill>
            <w14:solidFill>
              <w14:schemeClr w14:val="tx1"/>
            </w14:solidFill>
          </w14:textFill>
        </w:rPr>
      </w:pPr>
    </w:p>
    <w:p w14:paraId="18A59764">
      <w:pPr>
        <w:spacing w:line="360" w:lineRule="auto"/>
        <w:rPr>
          <w:rFonts w:hint="eastAsia" w:ascii="宋体" w:hAnsi="宋体"/>
          <w:color w:val="000000" w:themeColor="text1"/>
          <w:szCs w:val="21"/>
          <w14:textFill>
            <w14:solidFill>
              <w14:schemeClr w14:val="tx1"/>
            </w14:solidFill>
          </w14:textFill>
        </w:rPr>
      </w:pPr>
    </w:p>
    <w:p w14:paraId="23AD86C3">
      <w:pPr>
        <w:spacing w:line="300" w:lineRule="auto"/>
        <w:rPr>
          <w:rFonts w:hint="eastAsia" w:ascii="宋体" w:hAnsi="宋体"/>
          <w:color w:val="000000" w:themeColor="text1"/>
          <w:szCs w:val="21"/>
          <w14:textFill>
            <w14:solidFill>
              <w14:schemeClr w14:val="tx1"/>
            </w14:solidFill>
          </w14:textFill>
        </w:rPr>
      </w:pPr>
    </w:p>
    <w:p w14:paraId="5317997E">
      <w:pPr>
        <w:spacing w:line="300" w:lineRule="auto"/>
        <w:rPr>
          <w:rFonts w:hint="eastAsia" w:ascii="宋体" w:hAnsi="宋体"/>
          <w:color w:val="000000" w:themeColor="text1"/>
          <w:szCs w:val="21"/>
          <w14:textFill>
            <w14:solidFill>
              <w14:schemeClr w14:val="tx1"/>
            </w14:solidFill>
          </w14:textFill>
        </w:rPr>
      </w:pPr>
    </w:p>
    <w:p w14:paraId="4B684885">
      <w:pPr>
        <w:spacing w:line="300" w:lineRule="auto"/>
        <w:rPr>
          <w:rFonts w:hint="eastAsia" w:ascii="宋体" w:hAnsi="宋体"/>
          <w:color w:val="000000" w:themeColor="text1"/>
          <w:szCs w:val="21"/>
          <w14:textFill>
            <w14:solidFill>
              <w14:schemeClr w14:val="tx1"/>
            </w14:solidFill>
          </w14:textFill>
        </w:rPr>
      </w:pPr>
    </w:p>
    <w:p w14:paraId="7AB2F6AC">
      <w:pPr>
        <w:spacing w:line="300" w:lineRule="auto"/>
        <w:rPr>
          <w:rFonts w:hint="eastAsia" w:ascii="宋体" w:hAnsi="宋体"/>
          <w:color w:val="000000" w:themeColor="text1"/>
          <w:szCs w:val="21"/>
          <w14:textFill>
            <w14:solidFill>
              <w14:schemeClr w14:val="tx1"/>
            </w14:solidFill>
          </w14:textFill>
        </w:rPr>
      </w:pPr>
    </w:p>
    <w:p w14:paraId="3EAE14F4">
      <w:pPr>
        <w:spacing w:line="300" w:lineRule="auto"/>
        <w:rPr>
          <w:rFonts w:hint="eastAsia" w:ascii="宋体" w:hAnsi="宋体"/>
          <w:color w:val="000000" w:themeColor="text1"/>
          <w:szCs w:val="21"/>
          <w14:textFill>
            <w14:solidFill>
              <w14:schemeClr w14:val="tx1"/>
            </w14:solidFill>
          </w14:textFill>
        </w:rPr>
      </w:pPr>
    </w:p>
    <w:p w14:paraId="3766A0D8">
      <w:pPr>
        <w:spacing w:line="300" w:lineRule="auto"/>
        <w:rPr>
          <w:rFonts w:hint="eastAsia" w:ascii="宋体" w:hAnsi="宋体"/>
          <w:color w:val="000000" w:themeColor="text1"/>
          <w:szCs w:val="21"/>
          <w14:textFill>
            <w14:solidFill>
              <w14:schemeClr w14:val="tx1"/>
            </w14:solidFill>
          </w14:textFill>
        </w:rPr>
      </w:pPr>
    </w:p>
    <w:p w14:paraId="77354DE4">
      <w:pPr>
        <w:spacing w:line="300" w:lineRule="auto"/>
        <w:rPr>
          <w:rFonts w:hint="eastAsia" w:ascii="宋体" w:hAnsi="宋体"/>
          <w:color w:val="000000" w:themeColor="text1"/>
          <w:szCs w:val="21"/>
          <w14:textFill>
            <w14:solidFill>
              <w14:schemeClr w14:val="tx1"/>
            </w14:solidFill>
          </w14:textFill>
        </w:rPr>
      </w:pPr>
    </w:p>
    <w:p w14:paraId="52FA1259">
      <w:pPr>
        <w:spacing w:line="300" w:lineRule="auto"/>
        <w:rPr>
          <w:rFonts w:hint="eastAsia" w:ascii="宋体" w:hAnsi="宋体"/>
          <w:color w:val="000000" w:themeColor="text1"/>
          <w:szCs w:val="21"/>
          <w14:textFill>
            <w14:solidFill>
              <w14:schemeClr w14:val="tx1"/>
            </w14:solidFill>
          </w14:textFill>
        </w:rPr>
      </w:pPr>
    </w:p>
    <w:p w14:paraId="5E9EB72C">
      <w:pPr>
        <w:spacing w:line="300" w:lineRule="auto"/>
        <w:rPr>
          <w:rFonts w:hint="eastAsia" w:ascii="宋体" w:hAnsi="宋体"/>
          <w:color w:val="000000" w:themeColor="text1"/>
          <w:szCs w:val="21"/>
          <w14:textFill>
            <w14:solidFill>
              <w14:schemeClr w14:val="tx1"/>
            </w14:solidFill>
          </w14:textFill>
        </w:rPr>
      </w:pPr>
    </w:p>
    <w:p w14:paraId="09E600D5">
      <w:pPr>
        <w:spacing w:line="300" w:lineRule="auto"/>
        <w:rPr>
          <w:rFonts w:hint="eastAsia" w:ascii="宋体" w:hAnsi="宋体"/>
          <w:color w:val="000000" w:themeColor="text1"/>
          <w:szCs w:val="21"/>
          <w14:textFill>
            <w14:solidFill>
              <w14:schemeClr w14:val="tx1"/>
            </w14:solidFill>
          </w14:textFill>
        </w:rPr>
      </w:pPr>
    </w:p>
    <w:p w14:paraId="57BAA9CB">
      <w:pPr>
        <w:spacing w:line="300" w:lineRule="auto"/>
        <w:rPr>
          <w:rFonts w:hint="eastAsia" w:ascii="宋体" w:hAnsi="宋体"/>
          <w:color w:val="000000" w:themeColor="text1"/>
          <w:szCs w:val="21"/>
          <w14:textFill>
            <w14:solidFill>
              <w14:schemeClr w14:val="tx1"/>
            </w14:solidFill>
          </w14:textFill>
        </w:rPr>
      </w:pPr>
    </w:p>
    <w:p w14:paraId="2F10B65A">
      <w:pPr>
        <w:spacing w:line="320" w:lineRule="exact"/>
        <w:jc w:val="left"/>
        <w:rPr>
          <w:rFonts w:hint="eastAsia" w:ascii="宋体" w:hAnsi="宋体"/>
          <w:color w:val="000000" w:themeColor="text1"/>
          <w:szCs w:val="21"/>
          <w14:textFill>
            <w14:solidFill>
              <w14:schemeClr w14:val="tx1"/>
            </w14:solidFill>
          </w14:textFill>
        </w:rPr>
      </w:pPr>
    </w:p>
    <w:p w14:paraId="2F3059DC">
      <w:pPr>
        <w:snapToGrid w:val="0"/>
        <w:spacing w:before="156" w:beforeLines="50" w:after="50"/>
        <w:jc w:val="center"/>
        <w:rPr>
          <w:rFonts w:hint="eastAsia"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 xml:space="preserve"> 供应商直接控股股东信息表</w:t>
      </w:r>
    </w:p>
    <w:p w14:paraId="6CF42B7B">
      <w:pPr>
        <w:snapToGrid w:val="0"/>
        <w:spacing w:before="50" w:after="156" w:afterLines="50"/>
        <w:jc w:val="center"/>
        <w:rPr>
          <w:rFonts w:hint="eastAsia" w:ascii="宋体" w:hAnsi="宋体"/>
          <w:b/>
          <w:color w:val="000000" w:themeColor="text1"/>
          <w:sz w:val="32"/>
          <w:szCs w:val="32"/>
          <w14:textFill>
            <w14:solidFill>
              <w14:schemeClr w14:val="tx1"/>
            </w14:solidFill>
          </w14:textFill>
        </w:rPr>
      </w:pPr>
    </w:p>
    <w:tbl>
      <w:tblPr>
        <w:tblStyle w:val="22"/>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8C71C7B">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34F05D">
            <w:pPr>
              <w:widowControl/>
              <w:spacing w:line="360" w:lineRule="auto"/>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FF6022A">
            <w:pPr>
              <w:widowControl/>
              <w:spacing w:line="360" w:lineRule="auto"/>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BDF222">
            <w:pPr>
              <w:widowControl/>
              <w:spacing w:line="360" w:lineRule="auto"/>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出资比例</w:t>
            </w:r>
            <w:r>
              <w:rPr>
                <w:rFonts w:hint="eastAsia" w:ascii="宋体" w:hAnsi="宋体" w:cs="宋体"/>
                <w:b/>
                <w:bCs/>
                <w:color w:val="000000" w:themeColor="text1"/>
                <w:kern w:val="0"/>
                <w:sz w:val="24"/>
                <w14:textFill>
                  <w14:solidFill>
                    <w14:schemeClr w14:val="tx1"/>
                  </w14:solidFill>
                </w14:textFill>
              </w:rPr>
              <w:t>(%)</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FEB2FA">
            <w:pPr>
              <w:widowControl/>
              <w:spacing w:line="360" w:lineRule="auto"/>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251C9B">
            <w:pPr>
              <w:widowControl/>
              <w:spacing w:line="360" w:lineRule="auto"/>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备注</w:t>
            </w:r>
          </w:p>
        </w:tc>
      </w:tr>
      <w:tr w14:paraId="29D1912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9C810A">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0F14E7">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A1CB91">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0B57DD">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67920">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r>
      <w:tr w14:paraId="0491BAB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BB28F0">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1E64DE">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105EC8">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10F919">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30F0C7">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r>
      <w:tr w14:paraId="287062A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B4CFB3">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910255">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135DD5">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037DE2">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12835">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r>
      <w:tr w14:paraId="31EF15E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86767D">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7C8BFB">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2C552">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28A9E9">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0B48A8">
            <w:pPr>
              <w:widowControl/>
              <w:spacing w:line="360" w:lineRule="auto"/>
              <w:jc w:val="center"/>
              <w:rPr>
                <w:rFonts w:hint="eastAsia" w:ascii="宋体" w:hAnsi="宋体" w:cs="宋体"/>
                <w:color w:val="000000" w:themeColor="text1"/>
                <w:kern w:val="0"/>
                <w:sz w:val="28"/>
                <w:szCs w:val="28"/>
                <w14:textFill>
                  <w14:solidFill>
                    <w14:schemeClr w14:val="tx1"/>
                  </w14:solidFill>
                </w14:textFill>
              </w:rPr>
            </w:pPr>
          </w:p>
        </w:tc>
      </w:tr>
    </w:tbl>
    <w:p w14:paraId="3C28BDC0">
      <w:pPr>
        <w:spacing w:line="360" w:lineRule="auto"/>
        <w:contextualSpacing/>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02043F60">
      <w:pPr>
        <w:spacing w:line="360" w:lineRule="auto"/>
        <w:ind w:firstLine="480" w:firstLineChars="200"/>
        <w:contextualSpacing/>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000A6E">
      <w:pPr>
        <w:spacing w:line="360" w:lineRule="auto"/>
        <w:ind w:firstLine="480" w:firstLineChars="200"/>
        <w:contextualSpacing/>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349D25E2">
      <w:pPr>
        <w:spacing w:line="360" w:lineRule="auto"/>
        <w:ind w:firstLine="480" w:firstLineChars="200"/>
        <w:contextualSpacing/>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0BC32CB1">
      <w:pPr>
        <w:spacing w:line="360" w:lineRule="auto"/>
        <w:ind w:firstLine="420" w:firstLineChars="200"/>
        <w:contextualSpacing/>
        <w:jc w:val="left"/>
        <w:rPr>
          <w:rFonts w:hint="eastAsia" w:ascii="宋体" w:hAnsi="宋体" w:cs="宋体"/>
          <w:color w:val="000000" w:themeColor="text1"/>
          <w:szCs w:val="21"/>
          <w14:textFill>
            <w14:solidFill>
              <w14:schemeClr w14:val="tx1"/>
            </w14:solidFill>
          </w14:textFill>
        </w:rPr>
      </w:pPr>
    </w:p>
    <w:p w14:paraId="599630C1">
      <w:pPr>
        <w:spacing w:line="360" w:lineRule="auto"/>
        <w:ind w:firstLine="560" w:firstLineChars="200"/>
        <w:contextualSpacing/>
        <w:jc w:val="left"/>
        <w:rPr>
          <w:rFonts w:hint="eastAsia" w:ascii="宋体" w:hAnsi="宋体" w:cs="宋体"/>
          <w:color w:val="000000" w:themeColor="text1"/>
          <w:sz w:val="28"/>
          <w:szCs w:val="28"/>
          <w14:textFill>
            <w14:solidFill>
              <w14:schemeClr w14:val="tx1"/>
            </w14:solidFill>
          </w14:textFill>
        </w:rPr>
      </w:pPr>
    </w:p>
    <w:p w14:paraId="71D94DA0">
      <w:pPr>
        <w:spacing w:line="360" w:lineRule="auto"/>
        <w:ind w:right="480"/>
        <w:contextualSpacing/>
        <w:jc w:val="center"/>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p>
    <w:p w14:paraId="3883FA72">
      <w:pPr>
        <w:spacing w:line="360" w:lineRule="auto"/>
        <w:ind w:right="480" w:firstLine="3000" w:firstLineChars="1250"/>
        <w:contextualSpacing/>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供应商名称（电子签章）： </w:t>
      </w:r>
      <w:r>
        <w:rPr>
          <w:rFonts w:hint="eastAsia" w:ascii="宋体" w:hAnsi="宋体" w:cs="宋体"/>
          <w:color w:val="000000" w:themeColor="text1"/>
          <w:sz w:val="24"/>
          <w:u w:val="single"/>
          <w14:textFill>
            <w14:solidFill>
              <w14:schemeClr w14:val="tx1"/>
            </w14:solidFill>
          </w14:textFill>
        </w:rPr>
        <w:t xml:space="preserve">                              </w:t>
      </w:r>
    </w:p>
    <w:p w14:paraId="3A2BC30D">
      <w:pPr>
        <w:spacing w:line="360" w:lineRule="auto"/>
        <w:ind w:right="480" w:firstLine="5280" w:firstLineChars="2200"/>
        <w:contextualSpacing/>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3BE6A92F">
      <w:pPr>
        <w:snapToGrid w:val="0"/>
        <w:jc w:val="center"/>
        <w:rPr>
          <w:rFonts w:hint="eastAsia"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p>
    <w:p w14:paraId="1AF5334A">
      <w:pPr>
        <w:snapToGrid w:val="0"/>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4BBD4EBC">
      <w:pPr>
        <w:snapToGrid w:val="0"/>
        <w:jc w:val="center"/>
        <w:rPr>
          <w:rFonts w:hint="eastAsia" w:ascii="宋体" w:hAnsi="宋体"/>
          <w:b/>
          <w:color w:val="000000" w:themeColor="text1"/>
          <w:sz w:val="32"/>
          <w:szCs w:val="32"/>
          <w14:textFill>
            <w14:solidFill>
              <w14:schemeClr w14:val="tx1"/>
            </w14:solidFill>
          </w14:textFill>
        </w:rPr>
      </w:pPr>
    </w:p>
    <w:tbl>
      <w:tblPr>
        <w:tblStyle w:val="22"/>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5EF9152">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826C9F">
            <w:pPr>
              <w:widowControl/>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8DDFEE">
            <w:pPr>
              <w:widowControl/>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D4BB4D">
            <w:pPr>
              <w:widowControl/>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224CF8">
            <w:pPr>
              <w:widowControl/>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备注</w:t>
            </w:r>
          </w:p>
        </w:tc>
      </w:tr>
      <w:tr w14:paraId="5333928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A6DEB8">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BAE9D9">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A9FBBA">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2AFCDD">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r>
      <w:tr w14:paraId="56B49FD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88788A">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8534E1">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4A6133">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7FA39D">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r>
      <w:tr w14:paraId="498F09B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640757">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7A7C75">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0564E6">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FCC7F0">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r>
      <w:tr w14:paraId="61B8465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75A9C6">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FECC0D">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E6CE43">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83BB61">
            <w:pPr>
              <w:widowControl/>
              <w:wordWrap w:val="0"/>
              <w:spacing w:line="200" w:lineRule="atLeast"/>
              <w:jc w:val="center"/>
              <w:rPr>
                <w:rFonts w:hint="eastAsia" w:ascii="宋体" w:hAnsi="宋体" w:cs="宋体"/>
                <w:color w:val="000000" w:themeColor="text1"/>
                <w:kern w:val="0"/>
                <w:sz w:val="28"/>
                <w:szCs w:val="28"/>
                <w14:textFill>
                  <w14:solidFill>
                    <w14:schemeClr w14:val="tx1"/>
                  </w14:solidFill>
                </w14:textFill>
              </w:rPr>
            </w:pPr>
          </w:p>
        </w:tc>
      </w:tr>
    </w:tbl>
    <w:p w14:paraId="756E4F3D">
      <w:pPr>
        <w:spacing w:line="360" w:lineRule="auto"/>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3E2D1BF">
      <w:pPr>
        <w:spacing w:line="360" w:lineRule="auto"/>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4F954628">
      <w:pPr>
        <w:spacing w:line="360" w:lineRule="auto"/>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CB14818">
      <w:pPr>
        <w:spacing w:line="360" w:lineRule="auto"/>
        <w:ind w:firstLine="480" w:firstLineChars="200"/>
        <w:contextualSpacing/>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3.供应商不存在直接管理关系的，则在“直接管理关系单位名称”填“无”。</w:t>
      </w:r>
    </w:p>
    <w:p w14:paraId="28279936">
      <w:pPr>
        <w:spacing w:line="360" w:lineRule="auto"/>
        <w:contextualSpacing/>
        <w:jc w:val="left"/>
        <w:rPr>
          <w:rFonts w:hint="eastAsia" w:ascii="宋体" w:hAnsi="宋体"/>
          <w:color w:val="000000" w:themeColor="text1"/>
          <w:sz w:val="28"/>
          <w:szCs w:val="28"/>
          <w14:textFill>
            <w14:solidFill>
              <w14:schemeClr w14:val="tx1"/>
            </w14:solidFill>
          </w14:textFill>
        </w:rPr>
      </w:pPr>
    </w:p>
    <w:p w14:paraId="122D73F4">
      <w:pPr>
        <w:spacing w:line="360" w:lineRule="auto"/>
        <w:contextualSpacing/>
        <w:jc w:val="left"/>
        <w:rPr>
          <w:rFonts w:hint="eastAsia" w:ascii="宋体" w:hAnsi="宋体"/>
          <w:color w:val="000000" w:themeColor="text1"/>
          <w:sz w:val="28"/>
          <w:szCs w:val="28"/>
          <w14:textFill>
            <w14:solidFill>
              <w14:schemeClr w14:val="tx1"/>
            </w14:solidFill>
          </w14:textFill>
        </w:rPr>
      </w:pPr>
    </w:p>
    <w:p w14:paraId="74C6081E">
      <w:pPr>
        <w:spacing w:line="360" w:lineRule="auto"/>
        <w:ind w:right="480"/>
        <w:contextualSpacing/>
        <w:jc w:val="center"/>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法定代表人或者委托代理人（签字或者电子签名）：</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p>
    <w:p w14:paraId="6C3254BE">
      <w:pPr>
        <w:spacing w:line="360" w:lineRule="auto"/>
        <w:ind w:right="480" w:firstLine="3360" w:firstLineChars="1400"/>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供应商名称（电子签章）：</w:t>
      </w:r>
      <w:r>
        <w:rPr>
          <w:rFonts w:hint="eastAsia" w:ascii="宋体" w:hAnsi="宋体"/>
          <w:color w:val="000000" w:themeColor="text1"/>
          <w:sz w:val="24"/>
          <w:u w:val="single"/>
          <w14:textFill>
            <w14:solidFill>
              <w14:schemeClr w14:val="tx1"/>
            </w14:solidFill>
          </w14:textFill>
        </w:rPr>
        <w:t xml:space="preserve">                </w:t>
      </w:r>
    </w:p>
    <w:p w14:paraId="61E9E1F3">
      <w:pPr>
        <w:spacing w:line="360" w:lineRule="auto"/>
        <w:ind w:right="480" w:firstLine="240" w:firstLineChars="100"/>
        <w:contextualSpacing/>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648E1AE4">
      <w:pPr>
        <w:spacing w:line="500" w:lineRule="exact"/>
        <w:jc w:val="center"/>
        <w:rPr>
          <w:rFonts w:hint="eastAsia" w:ascii="方正小标宋简体" w:hAnsi="宋体" w:eastAsia="方正小标宋简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r>
        <w:rPr>
          <w:rFonts w:hint="eastAsia" w:ascii="方正小标宋简体" w:hAnsi="宋体" w:eastAsia="方正小标宋简体"/>
          <w:b/>
          <w:color w:val="000000" w:themeColor="text1"/>
          <w:sz w:val="32"/>
          <w:szCs w:val="32"/>
          <w14:textFill>
            <w14:solidFill>
              <w14:schemeClr w14:val="tx1"/>
            </w14:solidFill>
          </w14:textFill>
        </w:rPr>
        <w:t>竞标声明</w:t>
      </w:r>
    </w:p>
    <w:p w14:paraId="3AAA8115">
      <w:pPr>
        <w:spacing w:line="320" w:lineRule="exact"/>
        <w:jc w:val="center"/>
        <w:rPr>
          <w:rFonts w:hint="eastAsia" w:ascii="宋体" w:hAnsi="宋体"/>
          <w:color w:val="000000" w:themeColor="text1"/>
          <w:sz w:val="24"/>
          <w:szCs w:val="20"/>
          <w14:textFill>
            <w14:solidFill>
              <w14:schemeClr w14:val="tx1"/>
            </w14:solidFill>
          </w14:textFill>
        </w:rPr>
      </w:pPr>
    </w:p>
    <w:p w14:paraId="3A26DDD1">
      <w:pPr>
        <w:spacing w:line="360" w:lineRule="auto"/>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001876F1">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4597B120">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项目的竞标，为便于贵方公正、择优地确定成交供应商及其竞标产品和服务，我方就本次竞标有关事项郑重声明如下：</w:t>
      </w:r>
    </w:p>
    <w:p w14:paraId="6772ED98">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1.我方向贵方提交的所有响应文件、资料都是准确的和真实的。</w:t>
      </w:r>
    </w:p>
    <w:p w14:paraId="3F11C6F2">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280A0CE1">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3.在此，我方宣布同意如下：</w:t>
      </w:r>
    </w:p>
    <w:p w14:paraId="249CDAD9">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（1）将按谈判文件的约定履行合同责任和义务；</w:t>
      </w:r>
    </w:p>
    <w:p w14:paraId="308478C5">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（2）已详细审查全部谈判文件，包括补遗文件（如有）；</w:t>
      </w:r>
    </w:p>
    <w:p w14:paraId="6519F169">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（3）同意提供按照贵方可能要求的与谈判有关的一切数据或者资料；</w:t>
      </w:r>
    </w:p>
    <w:p w14:paraId="2F4F2CCD">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（4）响应谈判文件规定的竞标有效期。</w:t>
      </w:r>
    </w:p>
    <w:p w14:paraId="0B767E48">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4.我方承诺符合《中华人民共和国政府采购法》第二十二条规定：</w:t>
      </w:r>
    </w:p>
    <w:p w14:paraId="5BD74069">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（1）具有独立承担民事责任的能力；</w:t>
      </w:r>
    </w:p>
    <w:p w14:paraId="6BCED515">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（2）具有良好的商业信誉和健全的财务会计制度；</w:t>
      </w:r>
    </w:p>
    <w:p w14:paraId="78D177C4">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（3）具有履行合同所必需的设备和专业技术能力；</w:t>
      </w:r>
    </w:p>
    <w:p w14:paraId="16ECA533">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（4）有依法缴纳税收和社会保障资金的良好记录；</w:t>
      </w:r>
    </w:p>
    <w:p w14:paraId="0F8A46E9">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46CF00A8">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（6）法律、行政法规规定的其他条件。</w:t>
      </w:r>
    </w:p>
    <w:p w14:paraId="0E5906B9">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863AAF2">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2A1C12E">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427CF58D">
      <w:pPr>
        <w:spacing w:line="360" w:lineRule="auto"/>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4EE4F52B">
      <w:pPr>
        <w:pStyle w:val="12"/>
        <w:spacing w:line="360" w:lineRule="auto"/>
        <w:ind w:firstLine="480" w:firstLineChars="200"/>
        <w:contextualSpacing/>
        <w:rPr>
          <w:rFonts w:hint="eastAsia"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7.与本谈判有关的一切正式往来信函请寄：</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邮政编码：</w:t>
      </w:r>
      <w:r>
        <w:rPr>
          <w:rFonts w:hint="eastAsia" w:hAnsi="宋体" w:cs="宋体"/>
          <w:color w:val="000000" w:themeColor="text1"/>
          <w:sz w:val="24"/>
          <w:szCs w:val="24"/>
          <w:u w:val="single"/>
          <w14:textFill>
            <w14:solidFill>
              <w14:schemeClr w14:val="tx1"/>
            </w14:solidFill>
          </w14:textFill>
        </w:rPr>
        <w:t xml:space="preserve">    </w:t>
      </w:r>
    </w:p>
    <w:p w14:paraId="409E4F62">
      <w:pPr>
        <w:pStyle w:val="12"/>
        <w:spacing w:line="360" w:lineRule="auto"/>
        <w:ind w:firstLine="480" w:firstLineChars="200"/>
        <w:contextualSpacing/>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电话/传真：</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电子邮箱：</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p>
    <w:p w14:paraId="14583780">
      <w:pPr>
        <w:pStyle w:val="11"/>
        <w:tabs>
          <w:tab w:val="left" w:pos="939"/>
        </w:tabs>
        <w:spacing w:line="360" w:lineRule="auto"/>
        <w:ind w:left="141" w:leftChars="67"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账号/行号：</w:t>
      </w:r>
      <w:r>
        <w:rPr>
          <w:rFonts w:hint="eastAsia" w:ascii="宋体" w:hAnsi="宋体" w:cs="宋体"/>
          <w:color w:val="000000" w:themeColor="text1"/>
          <w:sz w:val="24"/>
          <w:u w:val="single"/>
          <w14:textFill>
            <w14:solidFill>
              <w14:schemeClr w14:val="tx1"/>
            </w14:solidFill>
          </w14:textFill>
        </w:rPr>
        <w:t xml:space="preserve">           </w:t>
      </w:r>
    </w:p>
    <w:p w14:paraId="1755D543">
      <w:pPr>
        <w:pStyle w:val="11"/>
        <w:tabs>
          <w:tab w:val="left" w:pos="939"/>
        </w:tabs>
        <w:spacing w:line="360" w:lineRule="auto"/>
        <w:ind w:left="141" w:leftChars="67"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8.以上事项如有虚假或者隐瞒，我方愿意承担一切后果，并不再寻求任何旨在减轻或者免除法律责任的辩解。</w:t>
      </w:r>
    </w:p>
    <w:p w14:paraId="52E321D0">
      <w:pPr>
        <w:pStyle w:val="11"/>
        <w:tabs>
          <w:tab w:val="left" w:pos="939"/>
        </w:tabs>
        <w:spacing w:line="360" w:lineRule="auto"/>
        <w:ind w:left="141" w:leftChars="67" w:firstLine="360" w:firstLineChars="1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6E95046C">
      <w:pPr>
        <w:spacing w:line="360" w:lineRule="auto"/>
        <w:contextualSpacing/>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注：如为联合体竞标，盖章处须加盖联合体牵头人电子签章并由联合体牵头人法定代表人分别签字或者盖章或者电子签名，否则响应文件按无效处理。</w:t>
      </w:r>
    </w:p>
    <w:p w14:paraId="65D79799">
      <w:pPr>
        <w:spacing w:line="360" w:lineRule="auto"/>
        <w:contextualSpacing/>
        <w:jc w:val="left"/>
        <w:rPr>
          <w:rFonts w:hint="eastAsia" w:ascii="宋体" w:hAnsi="宋体" w:cs="宋体"/>
          <w:color w:val="000000" w:themeColor="text1"/>
          <w:szCs w:val="21"/>
          <w14:textFill>
            <w14:solidFill>
              <w14:schemeClr w14:val="tx1"/>
            </w14:solidFill>
          </w14:textFill>
        </w:rPr>
      </w:pPr>
    </w:p>
    <w:p w14:paraId="1ADFA5DF">
      <w:pPr>
        <w:spacing w:line="360" w:lineRule="auto"/>
        <w:ind w:firstLine="1800" w:firstLineChars="750"/>
        <w:contextualSpacing/>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sz w:val="24"/>
          <w14:textFill>
            <w14:solidFill>
              <w14:schemeClr w14:val="tx1"/>
            </w14:solidFill>
          </w14:textFill>
        </w:rPr>
        <w:t>）：</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p>
    <w:p w14:paraId="10EB14F6">
      <w:pPr>
        <w:spacing w:line="360" w:lineRule="auto"/>
        <w:ind w:firstLine="4320" w:firstLineChars="1800"/>
        <w:contextualSpacing/>
        <w:rPr>
          <w:rFonts w:hint="eastAsia" w:ascii="宋体" w:hAnsi="宋体" w:cs="宋体"/>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供应商名称（电子签章）：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14:paraId="258FD6A5">
      <w:pPr>
        <w:spacing w:line="360" w:lineRule="auto"/>
        <w:ind w:right="482" w:firstLine="240" w:firstLineChars="100"/>
        <w:contextualSpacing/>
        <w:jc w:val="center"/>
        <w:rPr>
          <w:rFonts w:hint="eastAsia"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年    月    日 </w:t>
      </w:r>
    </w:p>
    <w:p w14:paraId="1A2A310A">
      <w:pPr>
        <w:pStyle w:val="5"/>
        <w:overflowPunct w:val="0"/>
        <w:spacing w:line="520" w:lineRule="exact"/>
        <w:ind w:firstLine="0"/>
        <w:jc w:val="center"/>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联合体竞标协议书</w:t>
      </w:r>
    </w:p>
    <w:p w14:paraId="5FA80FD8">
      <w:pPr>
        <w:pStyle w:val="5"/>
        <w:overflowPunct w:val="0"/>
        <w:spacing w:line="360" w:lineRule="auto"/>
        <w:ind w:firstLine="0"/>
        <w:contextualSpacing/>
        <w:rPr>
          <w:rFonts w:hint="eastAsia" w:ascii="宋体" w:hAnsi="宋体"/>
          <w:color w:val="000000" w:themeColor="text1"/>
          <w:sz w:val="24"/>
          <w:szCs w:val="24"/>
          <w14:textFill>
            <w14:solidFill>
              <w14:schemeClr w14:val="tx1"/>
            </w14:solidFill>
          </w14:textFill>
        </w:rPr>
      </w:pPr>
    </w:p>
    <w:p w14:paraId="4D74A8AF">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（所有成员单位名称）自愿组成</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（联合体名称）联合体，共同参加</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（项目名称）采购项目竞标。现就联合体竞标事宜订立如下协议。</w:t>
      </w:r>
    </w:p>
    <w:p w14:paraId="0F782BE7">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1.</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（某成员单位名称）为</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（联合体名称）牵头人。</w:t>
      </w:r>
    </w:p>
    <w:p w14:paraId="1038E6BB">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71F8550B">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3.联合体牵头人在本项目中签署和盖章的一切文件和处理的一切事宜，联合体各成员均予以承认。联合体各成员将严格按照谈判文件、响应文件和合同的要求全面履行义务，并向采购人承担连带责任。</w:t>
      </w:r>
    </w:p>
    <w:p w14:paraId="5EE38147">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4.联合体各成员单位内部的职责分工如下：</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14:textFill>
            <w14:solidFill>
              <w14:schemeClr w14:val="tx1"/>
            </w14:solidFill>
          </w14:textFill>
        </w:rPr>
        <w:t>。</w:t>
      </w:r>
    </w:p>
    <w:p w14:paraId="58E36B6A">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5.本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279CAD8E">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6.本协议书一式</w:t>
      </w:r>
      <w:r>
        <w:rPr>
          <w:rFonts w:hint="eastAsia" w:ascii="宋体" w:hAnsi="宋体" w:cs="仿宋_GB2312"/>
          <w:color w:val="000000" w:themeColor="text1"/>
          <w:sz w:val="24"/>
          <w:szCs w:val="24"/>
          <w:u w:val="single"/>
          <w14:textFill>
            <w14:solidFill>
              <w14:schemeClr w14:val="tx1"/>
            </w14:solidFill>
          </w14:textFill>
        </w:rPr>
        <w:t xml:space="preserve"> </w:t>
      </w:r>
      <w:r>
        <w:rPr>
          <w:rFonts w:hint="eastAsia" w:ascii="宋体" w:hAns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40BAF794">
      <w:pPr>
        <w:pStyle w:val="5"/>
        <w:overflowPunct w:val="0"/>
        <w:spacing w:line="360" w:lineRule="auto"/>
        <w:ind w:firstLine="480" w:firstLineChars="20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注：本协议书应附法定代表人身份证明书；有委托代理的，应附授权委托书（格式自拟）。</w:t>
      </w:r>
    </w:p>
    <w:p w14:paraId="5FB8BE2F">
      <w:pPr>
        <w:pStyle w:val="5"/>
        <w:overflowPunct w:val="0"/>
        <w:spacing w:line="360" w:lineRule="auto"/>
        <w:ind w:firstLineChars="175"/>
        <w:contextualSpacing/>
        <w:rPr>
          <w:rFonts w:hint="eastAsia" w:ascii="宋体" w:hAnsi="宋体" w:cs="仿宋_GB2312"/>
          <w:color w:val="000000" w:themeColor="text1"/>
          <w:sz w:val="24"/>
          <w:szCs w:val="24"/>
          <w14:textFill>
            <w14:solidFill>
              <w14:schemeClr w14:val="tx1"/>
            </w14:solidFill>
          </w14:textFill>
        </w:rPr>
      </w:pPr>
    </w:p>
    <w:p w14:paraId="4D64ED9C">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33FC6006">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73FCA4A9">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p>
    <w:p w14:paraId="3E45E978">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1B1A8706">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63BAB044">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p>
    <w:p w14:paraId="0C091EA9">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54E9F9D5">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2F224250">
      <w:pPr>
        <w:pStyle w:val="5"/>
        <w:overflowPunct w:val="0"/>
        <w:spacing w:line="360" w:lineRule="auto"/>
        <w:ind w:firstLine="0"/>
        <w:contextualSpacing/>
        <w:rPr>
          <w:rFonts w:hint="eastAsia" w:ascii="宋体" w:hAns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5056BA0C">
      <w:pPr>
        <w:spacing w:line="360" w:lineRule="auto"/>
        <w:contextualSpacing/>
        <w:rPr>
          <w:rFonts w:hint="eastAsia" w:ascii="宋体" w:hAnsi="宋体" w:cs="仿宋_GB2312"/>
          <w:color w:val="000000" w:themeColor="text1"/>
          <w:sz w:val="24"/>
          <w14:textFill>
            <w14:solidFill>
              <w14:schemeClr w14:val="tx1"/>
            </w14:solidFill>
          </w14:textFill>
        </w:rPr>
      </w:pPr>
    </w:p>
    <w:p w14:paraId="2A2C4709">
      <w:pPr>
        <w:spacing w:line="360" w:lineRule="auto"/>
        <w:contextualSpacing/>
        <w:jc w:val="righ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14:paraId="7FADF497">
      <w:pPr>
        <w:spacing w:line="360" w:lineRule="auto"/>
        <w:ind w:right="420"/>
        <w:contextualSpacing/>
        <w:jc w:val="left"/>
        <w:rPr>
          <w:rFonts w:hint="eastAsia" w:ascii="宋体" w:hAnsi="宋体"/>
          <w:b/>
          <w:color w:val="000000" w:themeColor="text1"/>
          <w:sz w:val="32"/>
          <w:szCs w:val="32"/>
          <w14:textFill>
            <w14:solidFill>
              <w14:schemeClr w14:val="tx1"/>
            </w14:solidFill>
          </w14:textFill>
        </w:rPr>
      </w:pPr>
      <w:r>
        <w:rPr>
          <w:rFonts w:ascii="宋体" w:hAnsi="宋体"/>
          <w:color w:val="000000" w:themeColor="text1"/>
          <w:szCs w:val="21"/>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 xml:space="preserve">报价文件格式 </w:t>
      </w:r>
    </w:p>
    <w:p w14:paraId="4F8D3A44">
      <w:pPr>
        <w:snapToGrid w:val="0"/>
        <w:spacing w:before="156" w:beforeLines="50" w:after="50" w:line="360" w:lineRule="auto"/>
        <w:jc w:val="left"/>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1.报价文件封面格式</w:t>
      </w:r>
    </w:p>
    <w:p w14:paraId="780134D1">
      <w:pPr>
        <w:snapToGrid w:val="0"/>
        <w:spacing w:before="156" w:beforeLines="50" w:after="50"/>
        <w:rPr>
          <w:rFonts w:hint="eastAsia"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61542844">
      <w:pPr>
        <w:snapToGrid w:val="0"/>
        <w:spacing w:before="156" w:beforeLines="50" w:after="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749999BB">
      <w:pPr>
        <w:snapToGrid w:val="0"/>
        <w:spacing w:before="156" w:beforeLines="50" w:after="50"/>
        <w:rPr>
          <w:rFonts w:hint="eastAsia" w:ascii="宋体" w:hAnsi="宋体"/>
          <w:color w:val="000000" w:themeColor="text1"/>
          <w:sz w:val="24"/>
          <w:szCs w:val="20"/>
          <w14:textFill>
            <w14:solidFill>
              <w14:schemeClr w14:val="tx1"/>
            </w14:solidFill>
          </w14:textFill>
        </w:rPr>
      </w:pPr>
    </w:p>
    <w:p w14:paraId="43ABA3C1">
      <w:pPr>
        <w:snapToGrid w:val="0"/>
        <w:spacing w:before="156" w:beforeLines="50" w:after="50"/>
        <w:rPr>
          <w:rFonts w:hint="eastAsia" w:ascii="宋体" w:hAnsi="宋体"/>
          <w:color w:val="000000" w:themeColor="text1"/>
          <w:sz w:val="24"/>
          <w:szCs w:val="20"/>
          <w14:textFill>
            <w14:solidFill>
              <w14:schemeClr w14:val="tx1"/>
            </w14:solidFill>
          </w14:textFill>
        </w:rPr>
      </w:pPr>
    </w:p>
    <w:p w14:paraId="2AB5F0AA">
      <w:pPr>
        <w:snapToGrid w:val="0"/>
        <w:spacing w:before="156" w:beforeLines="50" w:after="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  价  文  件</w:t>
      </w:r>
    </w:p>
    <w:p w14:paraId="20DE8386">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13687663">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29926B1D">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71240562">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0DEF763E">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3697E2E5">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7BE831C5">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15CA56D1">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0E715A55">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 xml:space="preserve"> </w:t>
      </w:r>
    </w:p>
    <w:p w14:paraId="2DA33084">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8891649">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6E28E2A8">
      <w:pPr>
        <w:pStyle w:val="5"/>
        <w:snapToGrid w:val="0"/>
        <w:spacing w:before="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318C35B4">
      <w:pPr>
        <w:pStyle w:val="5"/>
        <w:snapToGrid w:val="0"/>
        <w:spacing w:before="50" w:after="50"/>
        <w:ind w:firstLine="640" w:firstLineChars="200"/>
        <w:rPr>
          <w:rFonts w:hint="eastAsia" w:ascii="宋体" w:hAnsi="宋体" w:cs="仿宋_GB2312"/>
          <w:bCs/>
          <w:color w:val="000000" w:themeColor="text1"/>
          <w:sz w:val="32"/>
          <w:szCs w:val="32"/>
          <w14:textFill>
            <w14:solidFill>
              <w14:schemeClr w14:val="tx1"/>
            </w14:solidFill>
          </w14:textFill>
        </w:rPr>
      </w:pPr>
    </w:p>
    <w:p w14:paraId="6AF4F8CE">
      <w:pPr>
        <w:pStyle w:val="5"/>
        <w:snapToGrid w:val="0"/>
        <w:spacing w:before="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52F9DC70">
      <w:pPr>
        <w:pStyle w:val="5"/>
        <w:snapToGrid w:val="0"/>
        <w:spacing w:before="50" w:after="50"/>
        <w:ind w:firstLine="0"/>
        <w:rPr>
          <w:rFonts w:hint="eastAsia" w:ascii="宋体" w:hAnsi="宋体" w:cs="仿宋_GB2312"/>
          <w:bCs/>
          <w:color w:val="000000" w:themeColor="text1"/>
          <w:sz w:val="32"/>
          <w:szCs w:val="32"/>
          <w14:textFill>
            <w14:solidFill>
              <w14:schemeClr w14:val="tx1"/>
            </w14:solidFill>
          </w14:textFill>
        </w:rPr>
      </w:pPr>
    </w:p>
    <w:p w14:paraId="568A9A37">
      <w:pPr>
        <w:pStyle w:val="5"/>
        <w:snapToGrid w:val="0"/>
        <w:spacing w:before="50" w:after="50"/>
        <w:ind w:firstLine="1280" w:firstLineChars="400"/>
        <w:rPr>
          <w:rFonts w:hint="eastAsia" w:ascii="宋体" w:hAnsi="宋体" w:cs="仿宋_GB2312"/>
          <w:bCs/>
          <w:color w:val="000000" w:themeColor="text1"/>
          <w:sz w:val="32"/>
          <w:szCs w:val="32"/>
          <w14:textFill>
            <w14:solidFill>
              <w14:schemeClr w14:val="tx1"/>
            </w14:solidFill>
          </w14:textFill>
        </w:rPr>
      </w:pPr>
    </w:p>
    <w:p w14:paraId="1E4B0E8B">
      <w:pPr>
        <w:snapToGrid w:val="0"/>
        <w:spacing w:before="156" w:beforeLines="50" w:after="50"/>
        <w:jc w:val="center"/>
        <w:rPr>
          <w:rFonts w:hint="eastAsia"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4079A6D0">
      <w:pPr>
        <w:snapToGrid w:val="0"/>
        <w:spacing w:before="156" w:beforeLines="50" w:after="50" w:line="360" w:lineRule="auto"/>
        <w:ind w:left="142"/>
        <w:jc w:val="left"/>
        <w:rPr>
          <w:rFonts w:hint="eastAsia" w:ascii="宋体" w:hAnsi="宋体"/>
          <w:b/>
          <w:bCs/>
          <w:color w:val="000000" w:themeColor="text1"/>
          <w:sz w:val="24"/>
          <w14:textFill>
            <w14:solidFill>
              <w14:schemeClr w14:val="tx1"/>
            </w14:solidFill>
          </w14:textFill>
        </w:rPr>
      </w:pPr>
      <w:r>
        <w:rPr>
          <w:rFonts w:ascii="宋体" w:hAnsi="宋体"/>
          <w:color w:val="000000" w:themeColor="text1"/>
          <w:szCs w:val="21"/>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2.报价文件目录</w:t>
      </w:r>
    </w:p>
    <w:p w14:paraId="16015BDF">
      <w:pPr>
        <w:tabs>
          <w:tab w:val="left" w:pos="3479"/>
        </w:tabs>
        <w:spacing w:line="520" w:lineRule="exact"/>
        <w:jc w:val="lef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4D2E397A">
      <w:pPr>
        <w:tabs>
          <w:tab w:val="left" w:pos="3479"/>
        </w:tabs>
        <w:spacing w:line="520" w:lineRule="exact"/>
        <w:jc w:val="cente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hAnsi="宋体"/>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竞  标  报  价  表</w:t>
      </w:r>
    </w:p>
    <w:p w14:paraId="015FD165">
      <w:pPr>
        <w:spacing w:line="520" w:lineRule="exact"/>
        <w:jc w:val="cente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pPr>
    </w:p>
    <w:p w14:paraId="53F0BB86">
      <w:pPr>
        <w:snapToGrid w:val="0"/>
        <w:spacing w:before="50" w:after="50"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项目编号：</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分标（如有）：</w:t>
      </w:r>
      <w:r>
        <w:rPr>
          <w:rFonts w:hint="eastAsia" w:ascii="宋体" w:hAnsi="宋体" w:cs="仿宋_GB2312"/>
          <w:color w:val="000000" w:themeColor="text1"/>
          <w:sz w:val="24"/>
          <w:u w:val="single"/>
          <w14:textFill>
            <w14:solidFill>
              <w14:schemeClr w14:val="tx1"/>
            </w14:solidFill>
          </w14:textFill>
        </w:rPr>
        <w:t xml:space="preserve">            </w:t>
      </w:r>
    </w:p>
    <w:p w14:paraId="5556E77C">
      <w:pPr>
        <w:snapToGrid w:val="0"/>
        <w:spacing w:before="50" w:after="50"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w:t>
      </w:r>
    </w:p>
    <w:p w14:paraId="01FB6342">
      <w:pPr>
        <w:snapToGrid w:val="0"/>
        <w:spacing w:before="50" w:after="50" w:line="360" w:lineRule="auto"/>
        <w:ind w:firstLine="5520" w:firstLineChars="2300"/>
        <w:rPr>
          <w:rFonts w:hint="eastAsia" w:ascii="宋体" w:hAnsi="宋体" w:cs="仿宋_GB2312"/>
          <w:color w:val="000000" w:themeColor="text1"/>
          <w:sz w:val="24"/>
          <w14:textFill>
            <w14:solidFill>
              <w14:schemeClr w14:val="tx1"/>
            </w14:solidFill>
          </w14:textFill>
        </w:rPr>
      </w:pPr>
    </w:p>
    <w:tbl>
      <w:tblPr>
        <w:tblStyle w:val="22"/>
        <w:tblW w:w="105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838"/>
        <w:gridCol w:w="1667"/>
      </w:tblGrid>
      <w:tr w14:paraId="4A20D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241B7AF9">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项号</w:t>
            </w:r>
          </w:p>
        </w:tc>
        <w:tc>
          <w:tcPr>
            <w:tcW w:w="1065" w:type="dxa"/>
            <w:tcBorders>
              <w:top w:val="single" w:color="auto" w:sz="4" w:space="0"/>
              <w:left w:val="single" w:color="auto" w:sz="4" w:space="0"/>
              <w:bottom w:val="single" w:color="auto" w:sz="4" w:space="0"/>
              <w:right w:val="single" w:color="auto" w:sz="4" w:space="0"/>
            </w:tcBorders>
            <w:vAlign w:val="center"/>
          </w:tcPr>
          <w:p w14:paraId="4D496B70">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标的的名称</w:t>
            </w:r>
          </w:p>
        </w:tc>
        <w:tc>
          <w:tcPr>
            <w:tcW w:w="1005" w:type="dxa"/>
            <w:tcBorders>
              <w:top w:val="single" w:color="auto" w:sz="4" w:space="0"/>
              <w:left w:val="single" w:color="auto" w:sz="4" w:space="0"/>
              <w:bottom w:val="single" w:color="auto" w:sz="4" w:space="0"/>
              <w:right w:val="single" w:color="auto" w:sz="4" w:space="0"/>
            </w:tcBorders>
            <w:vAlign w:val="center"/>
          </w:tcPr>
          <w:p w14:paraId="14AB9563">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数量及单位</w:t>
            </w:r>
          </w:p>
          <w:p w14:paraId="158EA772">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①</w:t>
            </w:r>
          </w:p>
        </w:tc>
        <w:tc>
          <w:tcPr>
            <w:tcW w:w="870" w:type="dxa"/>
            <w:tcBorders>
              <w:top w:val="single" w:color="auto" w:sz="4" w:space="0"/>
              <w:left w:val="single" w:color="auto" w:sz="4" w:space="0"/>
              <w:bottom w:val="single" w:color="auto" w:sz="4" w:space="0"/>
              <w:right w:val="single" w:color="auto" w:sz="4" w:space="0"/>
            </w:tcBorders>
            <w:vAlign w:val="center"/>
          </w:tcPr>
          <w:p w14:paraId="1CBA87E6">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3AFC40F8">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规格</w:t>
            </w:r>
          </w:p>
          <w:p w14:paraId="7A554FB1">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35DF4531">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516E476F">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原产地</w:t>
            </w:r>
          </w:p>
        </w:tc>
        <w:tc>
          <w:tcPr>
            <w:tcW w:w="1095" w:type="dxa"/>
            <w:tcBorders>
              <w:top w:val="single" w:color="auto" w:sz="4" w:space="0"/>
              <w:left w:val="single" w:color="auto" w:sz="4" w:space="0"/>
              <w:bottom w:val="single" w:color="auto" w:sz="4" w:space="0"/>
              <w:right w:val="single" w:color="auto" w:sz="4" w:space="0"/>
            </w:tcBorders>
            <w:vAlign w:val="center"/>
          </w:tcPr>
          <w:p w14:paraId="0EB756FA">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参数性能、指标及配置</w:t>
            </w:r>
          </w:p>
        </w:tc>
        <w:tc>
          <w:tcPr>
            <w:tcW w:w="838" w:type="dxa"/>
            <w:tcBorders>
              <w:top w:val="single" w:color="auto" w:sz="4" w:space="0"/>
              <w:left w:val="single" w:color="auto" w:sz="4" w:space="0"/>
              <w:bottom w:val="single" w:color="auto" w:sz="4" w:space="0"/>
              <w:right w:val="single" w:color="auto" w:sz="4" w:space="0"/>
            </w:tcBorders>
            <w:vAlign w:val="center"/>
          </w:tcPr>
          <w:p w14:paraId="2A906CA5">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单价</w:t>
            </w:r>
          </w:p>
          <w:p w14:paraId="01A4B5C9">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②</w:t>
            </w:r>
          </w:p>
        </w:tc>
        <w:tc>
          <w:tcPr>
            <w:tcW w:w="1667" w:type="dxa"/>
            <w:tcBorders>
              <w:top w:val="single" w:color="auto" w:sz="4" w:space="0"/>
              <w:left w:val="single" w:color="auto" w:sz="4" w:space="0"/>
              <w:bottom w:val="single" w:color="auto" w:sz="4" w:space="0"/>
              <w:right w:val="single" w:color="auto" w:sz="4" w:space="0"/>
            </w:tcBorders>
            <w:vAlign w:val="center"/>
          </w:tcPr>
          <w:p w14:paraId="26DE8A35">
            <w:pPr>
              <w:spacing w:line="360" w:lineRule="auto"/>
              <w:jc w:val="center"/>
              <w:rPr>
                <w:rFonts w:hint="default" w:ascii="宋体" w:hAnsi="宋体" w:eastAsia="宋体" w:cs="仿宋_GB2312"/>
                <w:b/>
                <w:bCs/>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竞标报价</w:t>
            </w:r>
            <w:r>
              <w:rPr>
                <w:rFonts w:hint="eastAsia" w:ascii="宋体" w:hAnsi="宋体" w:cs="仿宋_GB2312"/>
                <w:b/>
                <w:bCs/>
                <w:color w:val="000000" w:themeColor="text1"/>
                <w:sz w:val="24"/>
                <w:lang w:eastAsia="zh-CN"/>
                <w14:textFill>
                  <w14:solidFill>
                    <w14:schemeClr w14:val="tx1"/>
                  </w14:solidFill>
                </w14:textFill>
              </w:rPr>
              <w:t>（</w:t>
            </w:r>
            <w:r>
              <w:rPr>
                <w:rFonts w:hint="eastAsia" w:ascii="宋体" w:hAnsi="宋体" w:cs="仿宋_GB2312"/>
                <w:b/>
                <w:bCs/>
                <w:color w:val="000000" w:themeColor="text1"/>
                <w:sz w:val="24"/>
                <w:lang w:val="en-US" w:eastAsia="zh-CN"/>
                <w14:textFill>
                  <w14:solidFill>
                    <w14:schemeClr w14:val="tx1"/>
                  </w14:solidFill>
                </w14:textFill>
              </w:rPr>
              <w:t>元）</w:t>
            </w:r>
          </w:p>
          <w:p w14:paraId="4268D0D9">
            <w:pPr>
              <w:spacing w:line="360" w:lineRule="auto"/>
              <w:jc w:val="center"/>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③=①×②</w:t>
            </w:r>
          </w:p>
        </w:tc>
      </w:tr>
      <w:tr w14:paraId="33511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6A30B81F">
            <w:pPr>
              <w:spacing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p>
        </w:tc>
        <w:tc>
          <w:tcPr>
            <w:tcW w:w="1065" w:type="dxa"/>
            <w:tcBorders>
              <w:top w:val="single" w:color="auto" w:sz="4" w:space="0"/>
              <w:left w:val="single" w:color="auto" w:sz="4" w:space="0"/>
              <w:bottom w:val="single" w:color="auto" w:sz="4" w:space="0"/>
              <w:right w:val="single" w:color="auto" w:sz="4" w:space="0"/>
            </w:tcBorders>
            <w:vAlign w:val="center"/>
          </w:tcPr>
          <w:p w14:paraId="6A146EC7">
            <w:pPr>
              <w:spacing w:line="360" w:lineRule="auto"/>
              <w:jc w:val="center"/>
              <w:rPr>
                <w:rFonts w:hint="eastAsia"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2CEAA940">
            <w:pPr>
              <w:spacing w:line="360" w:lineRule="auto"/>
              <w:jc w:val="center"/>
              <w:rPr>
                <w:rFonts w:hint="eastAsia"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416BD7BD">
            <w:pPr>
              <w:spacing w:line="360" w:lineRule="auto"/>
              <w:jc w:val="center"/>
              <w:rPr>
                <w:rFonts w:hint="eastAsia"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61403F2E">
            <w:pPr>
              <w:spacing w:line="360" w:lineRule="auto"/>
              <w:jc w:val="center"/>
              <w:rPr>
                <w:rFonts w:hint="eastAsia"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78C4B986">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2E0E4683">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74B3DABD">
            <w:pPr>
              <w:spacing w:line="360" w:lineRule="auto"/>
              <w:jc w:val="center"/>
              <w:rPr>
                <w:rFonts w:hint="eastAsia" w:ascii="宋体" w:hAnsi="宋体" w:cs="仿宋_GB2312"/>
                <w:color w:val="000000" w:themeColor="text1"/>
                <w:sz w:val="24"/>
                <w14:textFill>
                  <w14:solidFill>
                    <w14:schemeClr w14:val="tx1"/>
                  </w14:solidFill>
                </w14:textFill>
              </w:rPr>
            </w:pPr>
          </w:p>
        </w:tc>
        <w:tc>
          <w:tcPr>
            <w:tcW w:w="838" w:type="dxa"/>
            <w:tcBorders>
              <w:top w:val="single" w:color="auto" w:sz="4" w:space="0"/>
              <w:left w:val="single" w:color="auto" w:sz="4" w:space="0"/>
              <w:bottom w:val="single" w:color="auto" w:sz="4" w:space="0"/>
              <w:right w:val="single" w:color="auto" w:sz="4" w:space="0"/>
            </w:tcBorders>
            <w:vAlign w:val="center"/>
          </w:tcPr>
          <w:p w14:paraId="32DB8BFB">
            <w:pPr>
              <w:spacing w:line="360" w:lineRule="auto"/>
              <w:jc w:val="center"/>
              <w:rPr>
                <w:rFonts w:hint="eastAsia" w:ascii="宋体" w:hAnsi="宋体" w:cs="仿宋_GB2312"/>
                <w:color w:val="000000" w:themeColor="text1"/>
                <w:sz w:val="24"/>
                <w14:textFill>
                  <w14:solidFill>
                    <w14:schemeClr w14:val="tx1"/>
                  </w14:solidFill>
                </w14:textFill>
              </w:rPr>
            </w:pPr>
          </w:p>
        </w:tc>
        <w:tc>
          <w:tcPr>
            <w:tcW w:w="1667" w:type="dxa"/>
            <w:tcBorders>
              <w:top w:val="single" w:color="auto" w:sz="4" w:space="0"/>
              <w:left w:val="single" w:color="auto" w:sz="4" w:space="0"/>
              <w:bottom w:val="single" w:color="auto" w:sz="4" w:space="0"/>
              <w:right w:val="single" w:color="auto" w:sz="4" w:space="0"/>
            </w:tcBorders>
            <w:vAlign w:val="center"/>
          </w:tcPr>
          <w:p w14:paraId="2B95F7D3">
            <w:pPr>
              <w:spacing w:line="360" w:lineRule="auto"/>
              <w:jc w:val="center"/>
              <w:rPr>
                <w:rFonts w:hint="eastAsia" w:ascii="宋体" w:hAnsi="宋体" w:cs="仿宋_GB2312"/>
                <w:color w:val="000000" w:themeColor="text1"/>
                <w:sz w:val="24"/>
                <w14:textFill>
                  <w14:solidFill>
                    <w14:schemeClr w14:val="tx1"/>
                  </w14:solidFill>
                </w14:textFill>
              </w:rPr>
            </w:pPr>
          </w:p>
        </w:tc>
      </w:tr>
      <w:tr w14:paraId="4F5E2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484912F6">
            <w:pPr>
              <w:spacing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w:t>
            </w:r>
          </w:p>
        </w:tc>
        <w:tc>
          <w:tcPr>
            <w:tcW w:w="1065" w:type="dxa"/>
            <w:tcBorders>
              <w:top w:val="single" w:color="auto" w:sz="4" w:space="0"/>
              <w:left w:val="single" w:color="auto" w:sz="4" w:space="0"/>
              <w:bottom w:val="single" w:color="auto" w:sz="4" w:space="0"/>
              <w:right w:val="single" w:color="auto" w:sz="4" w:space="0"/>
            </w:tcBorders>
            <w:vAlign w:val="center"/>
          </w:tcPr>
          <w:p w14:paraId="36693E96">
            <w:pPr>
              <w:spacing w:line="360" w:lineRule="auto"/>
              <w:jc w:val="center"/>
              <w:rPr>
                <w:rFonts w:hint="eastAsia"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7E92C473">
            <w:pPr>
              <w:spacing w:line="360" w:lineRule="auto"/>
              <w:jc w:val="center"/>
              <w:rPr>
                <w:rFonts w:hint="eastAsia"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5F876650">
            <w:pPr>
              <w:spacing w:line="360" w:lineRule="auto"/>
              <w:jc w:val="center"/>
              <w:rPr>
                <w:rFonts w:hint="eastAsia"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686CF2B0">
            <w:pPr>
              <w:spacing w:line="360" w:lineRule="auto"/>
              <w:jc w:val="center"/>
              <w:rPr>
                <w:rFonts w:hint="eastAsia"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36A72BCB">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4647ED20">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5060D16C">
            <w:pPr>
              <w:spacing w:line="360" w:lineRule="auto"/>
              <w:jc w:val="center"/>
              <w:rPr>
                <w:rFonts w:hint="eastAsia" w:ascii="宋体" w:hAnsi="宋体" w:cs="仿宋_GB2312"/>
                <w:color w:val="000000" w:themeColor="text1"/>
                <w:sz w:val="24"/>
                <w14:textFill>
                  <w14:solidFill>
                    <w14:schemeClr w14:val="tx1"/>
                  </w14:solidFill>
                </w14:textFill>
              </w:rPr>
            </w:pPr>
          </w:p>
        </w:tc>
        <w:tc>
          <w:tcPr>
            <w:tcW w:w="838" w:type="dxa"/>
            <w:tcBorders>
              <w:top w:val="single" w:color="auto" w:sz="4" w:space="0"/>
              <w:left w:val="single" w:color="auto" w:sz="4" w:space="0"/>
              <w:bottom w:val="single" w:color="auto" w:sz="4" w:space="0"/>
              <w:right w:val="single" w:color="auto" w:sz="4" w:space="0"/>
            </w:tcBorders>
            <w:vAlign w:val="center"/>
          </w:tcPr>
          <w:p w14:paraId="2D4EEC2F">
            <w:pPr>
              <w:spacing w:line="360" w:lineRule="auto"/>
              <w:jc w:val="center"/>
              <w:rPr>
                <w:rFonts w:hint="eastAsia" w:ascii="宋体" w:hAnsi="宋体" w:cs="仿宋_GB2312"/>
                <w:color w:val="000000" w:themeColor="text1"/>
                <w:sz w:val="24"/>
                <w14:textFill>
                  <w14:solidFill>
                    <w14:schemeClr w14:val="tx1"/>
                  </w14:solidFill>
                </w14:textFill>
              </w:rPr>
            </w:pPr>
          </w:p>
        </w:tc>
        <w:tc>
          <w:tcPr>
            <w:tcW w:w="1667" w:type="dxa"/>
            <w:tcBorders>
              <w:top w:val="single" w:color="auto" w:sz="4" w:space="0"/>
              <w:left w:val="single" w:color="auto" w:sz="4" w:space="0"/>
              <w:bottom w:val="single" w:color="auto" w:sz="4" w:space="0"/>
              <w:right w:val="single" w:color="auto" w:sz="4" w:space="0"/>
            </w:tcBorders>
            <w:vAlign w:val="center"/>
          </w:tcPr>
          <w:p w14:paraId="47C799A5">
            <w:pPr>
              <w:spacing w:line="360" w:lineRule="auto"/>
              <w:jc w:val="center"/>
              <w:rPr>
                <w:rFonts w:hint="eastAsia" w:ascii="宋体" w:hAnsi="宋体" w:cs="仿宋_GB2312"/>
                <w:color w:val="000000" w:themeColor="text1"/>
                <w:sz w:val="24"/>
                <w14:textFill>
                  <w14:solidFill>
                    <w14:schemeClr w14:val="tx1"/>
                  </w14:solidFill>
                </w14:textFill>
              </w:rPr>
            </w:pPr>
          </w:p>
        </w:tc>
      </w:tr>
      <w:tr w14:paraId="686CC7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6B468734">
            <w:pPr>
              <w:spacing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w:t>
            </w:r>
          </w:p>
        </w:tc>
        <w:tc>
          <w:tcPr>
            <w:tcW w:w="1065" w:type="dxa"/>
            <w:tcBorders>
              <w:top w:val="single" w:color="auto" w:sz="4" w:space="0"/>
              <w:left w:val="single" w:color="auto" w:sz="4" w:space="0"/>
              <w:bottom w:val="single" w:color="auto" w:sz="4" w:space="0"/>
              <w:right w:val="single" w:color="auto" w:sz="4" w:space="0"/>
            </w:tcBorders>
            <w:vAlign w:val="center"/>
          </w:tcPr>
          <w:p w14:paraId="0BBDCC81">
            <w:pPr>
              <w:spacing w:line="360" w:lineRule="auto"/>
              <w:jc w:val="center"/>
              <w:rPr>
                <w:rFonts w:hint="eastAsia"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0B5B3906">
            <w:pPr>
              <w:spacing w:line="360" w:lineRule="auto"/>
              <w:jc w:val="center"/>
              <w:rPr>
                <w:rFonts w:hint="eastAsia"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45A74B95">
            <w:pPr>
              <w:spacing w:line="360" w:lineRule="auto"/>
              <w:jc w:val="center"/>
              <w:rPr>
                <w:rFonts w:hint="eastAsia"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3E0B7A02">
            <w:pPr>
              <w:spacing w:line="360" w:lineRule="auto"/>
              <w:jc w:val="center"/>
              <w:rPr>
                <w:rFonts w:hint="eastAsia"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59546143">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15242C92">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27CE9FBA">
            <w:pPr>
              <w:spacing w:line="360" w:lineRule="auto"/>
              <w:jc w:val="center"/>
              <w:rPr>
                <w:rFonts w:hint="eastAsia" w:ascii="宋体" w:hAnsi="宋体" w:cs="仿宋_GB2312"/>
                <w:color w:val="000000" w:themeColor="text1"/>
                <w:sz w:val="24"/>
                <w14:textFill>
                  <w14:solidFill>
                    <w14:schemeClr w14:val="tx1"/>
                  </w14:solidFill>
                </w14:textFill>
              </w:rPr>
            </w:pPr>
          </w:p>
        </w:tc>
        <w:tc>
          <w:tcPr>
            <w:tcW w:w="838" w:type="dxa"/>
            <w:tcBorders>
              <w:top w:val="single" w:color="auto" w:sz="4" w:space="0"/>
              <w:left w:val="single" w:color="auto" w:sz="4" w:space="0"/>
              <w:bottom w:val="single" w:color="auto" w:sz="4" w:space="0"/>
              <w:right w:val="single" w:color="auto" w:sz="4" w:space="0"/>
            </w:tcBorders>
            <w:vAlign w:val="center"/>
          </w:tcPr>
          <w:p w14:paraId="3CD26F5F">
            <w:pPr>
              <w:spacing w:line="360" w:lineRule="auto"/>
              <w:jc w:val="center"/>
              <w:rPr>
                <w:rFonts w:hint="eastAsia" w:ascii="宋体" w:hAnsi="宋体" w:cs="仿宋_GB2312"/>
                <w:color w:val="000000" w:themeColor="text1"/>
                <w:sz w:val="24"/>
                <w14:textFill>
                  <w14:solidFill>
                    <w14:schemeClr w14:val="tx1"/>
                  </w14:solidFill>
                </w14:textFill>
              </w:rPr>
            </w:pPr>
          </w:p>
        </w:tc>
        <w:tc>
          <w:tcPr>
            <w:tcW w:w="1667" w:type="dxa"/>
            <w:tcBorders>
              <w:top w:val="single" w:color="auto" w:sz="4" w:space="0"/>
              <w:left w:val="single" w:color="auto" w:sz="4" w:space="0"/>
              <w:bottom w:val="single" w:color="auto" w:sz="4" w:space="0"/>
              <w:right w:val="single" w:color="auto" w:sz="4" w:space="0"/>
            </w:tcBorders>
            <w:vAlign w:val="center"/>
          </w:tcPr>
          <w:p w14:paraId="70077051">
            <w:pPr>
              <w:spacing w:line="360" w:lineRule="auto"/>
              <w:jc w:val="center"/>
              <w:rPr>
                <w:rFonts w:hint="eastAsia" w:ascii="宋体" w:hAnsi="宋体" w:cs="仿宋_GB2312"/>
                <w:color w:val="000000" w:themeColor="text1"/>
                <w:sz w:val="24"/>
                <w14:textFill>
                  <w14:solidFill>
                    <w14:schemeClr w14:val="tx1"/>
                  </w14:solidFill>
                </w14:textFill>
              </w:rPr>
            </w:pPr>
          </w:p>
        </w:tc>
      </w:tr>
      <w:tr w14:paraId="447747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30282E72">
            <w:pPr>
              <w:spacing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w:t>
            </w:r>
          </w:p>
        </w:tc>
        <w:tc>
          <w:tcPr>
            <w:tcW w:w="1065" w:type="dxa"/>
            <w:tcBorders>
              <w:top w:val="single" w:color="auto" w:sz="4" w:space="0"/>
              <w:left w:val="single" w:color="auto" w:sz="4" w:space="0"/>
              <w:bottom w:val="single" w:color="auto" w:sz="4" w:space="0"/>
              <w:right w:val="single" w:color="auto" w:sz="4" w:space="0"/>
            </w:tcBorders>
            <w:vAlign w:val="center"/>
          </w:tcPr>
          <w:p w14:paraId="108A9D17">
            <w:pPr>
              <w:spacing w:line="360" w:lineRule="auto"/>
              <w:jc w:val="center"/>
              <w:rPr>
                <w:rFonts w:hint="eastAsia"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30B92E62">
            <w:pPr>
              <w:spacing w:line="360" w:lineRule="auto"/>
              <w:jc w:val="center"/>
              <w:rPr>
                <w:rFonts w:hint="eastAsia"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4B3533D4">
            <w:pPr>
              <w:spacing w:line="360" w:lineRule="auto"/>
              <w:jc w:val="center"/>
              <w:rPr>
                <w:rFonts w:hint="eastAsia"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531217C4">
            <w:pPr>
              <w:spacing w:line="360" w:lineRule="auto"/>
              <w:jc w:val="center"/>
              <w:rPr>
                <w:rFonts w:hint="eastAsia"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7826AC8A">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7EB63160">
            <w:pPr>
              <w:spacing w:line="360" w:lineRule="auto"/>
              <w:jc w:val="center"/>
              <w:rPr>
                <w:rFonts w:hint="eastAsia"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2E912AD5">
            <w:pPr>
              <w:spacing w:line="360" w:lineRule="auto"/>
              <w:jc w:val="center"/>
              <w:rPr>
                <w:rFonts w:hint="eastAsia" w:ascii="宋体" w:hAnsi="宋体" w:cs="仿宋_GB2312"/>
                <w:color w:val="000000" w:themeColor="text1"/>
                <w:sz w:val="24"/>
                <w14:textFill>
                  <w14:solidFill>
                    <w14:schemeClr w14:val="tx1"/>
                  </w14:solidFill>
                </w14:textFill>
              </w:rPr>
            </w:pPr>
          </w:p>
        </w:tc>
        <w:tc>
          <w:tcPr>
            <w:tcW w:w="838" w:type="dxa"/>
            <w:tcBorders>
              <w:top w:val="single" w:color="auto" w:sz="4" w:space="0"/>
              <w:left w:val="single" w:color="auto" w:sz="4" w:space="0"/>
              <w:bottom w:val="single" w:color="auto" w:sz="4" w:space="0"/>
              <w:right w:val="single" w:color="auto" w:sz="4" w:space="0"/>
            </w:tcBorders>
            <w:vAlign w:val="center"/>
          </w:tcPr>
          <w:p w14:paraId="12250A11">
            <w:pPr>
              <w:spacing w:line="360" w:lineRule="auto"/>
              <w:jc w:val="center"/>
              <w:rPr>
                <w:rFonts w:hint="eastAsia" w:ascii="宋体" w:hAnsi="宋体" w:cs="仿宋_GB2312"/>
                <w:color w:val="000000" w:themeColor="text1"/>
                <w:sz w:val="24"/>
                <w14:textFill>
                  <w14:solidFill>
                    <w14:schemeClr w14:val="tx1"/>
                  </w14:solidFill>
                </w14:textFill>
              </w:rPr>
            </w:pPr>
          </w:p>
        </w:tc>
        <w:tc>
          <w:tcPr>
            <w:tcW w:w="1667" w:type="dxa"/>
            <w:tcBorders>
              <w:top w:val="single" w:color="auto" w:sz="4" w:space="0"/>
              <w:left w:val="single" w:color="auto" w:sz="4" w:space="0"/>
              <w:bottom w:val="single" w:color="auto" w:sz="4" w:space="0"/>
              <w:right w:val="single" w:color="auto" w:sz="4" w:space="0"/>
            </w:tcBorders>
            <w:vAlign w:val="center"/>
          </w:tcPr>
          <w:p w14:paraId="31FFFC1A">
            <w:pPr>
              <w:spacing w:line="360" w:lineRule="auto"/>
              <w:jc w:val="center"/>
              <w:rPr>
                <w:rFonts w:hint="eastAsia" w:ascii="宋体" w:hAnsi="宋体" w:cs="仿宋_GB2312"/>
                <w:color w:val="000000" w:themeColor="text1"/>
                <w:sz w:val="24"/>
                <w14:textFill>
                  <w14:solidFill>
                    <w14:schemeClr w14:val="tx1"/>
                  </w14:solidFill>
                </w14:textFill>
              </w:rPr>
            </w:pPr>
          </w:p>
        </w:tc>
      </w:tr>
      <w:tr w14:paraId="1556B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10507" w:type="dxa"/>
            <w:gridSpan w:val="10"/>
            <w:tcBorders>
              <w:top w:val="single" w:color="auto" w:sz="4" w:space="0"/>
              <w:left w:val="single" w:color="auto" w:sz="4" w:space="0"/>
              <w:bottom w:val="single" w:color="auto" w:sz="4" w:space="0"/>
              <w:right w:val="single" w:color="auto" w:sz="4" w:space="0"/>
            </w:tcBorders>
          </w:tcPr>
          <w:p w14:paraId="2F060766">
            <w:pPr>
              <w:snapToGrid w:val="0"/>
              <w:spacing w:before="50" w:after="50"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合计金额大写：人民币</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w:t>
            </w:r>
          </w:p>
        </w:tc>
      </w:tr>
    </w:tbl>
    <w:p w14:paraId="7C87B813">
      <w:pPr>
        <w:spacing w:line="360" w:lineRule="auto"/>
        <w:contextualSpacing/>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注： </w:t>
      </w:r>
    </w:p>
    <w:p w14:paraId="7DADAAF5">
      <w:pPr>
        <w:spacing w:line="360" w:lineRule="auto"/>
        <w:ind w:firstLine="480" w:firstLineChars="200"/>
        <w:contextualSpacing/>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r>
        <w:rPr>
          <w:rFonts w:ascii="宋体" w:hAnsi="宋体" w:cs="仿宋_GB2312"/>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以上竞标报价表中“货物名称、数量及单位、品牌、规格型号、制造商、原产地、参数性能、指标及配置”必须如实填写完整，品牌、规格型号没有则填无，填写有缺漏</w:t>
      </w:r>
      <w:r>
        <w:rPr>
          <w:rFonts w:hint="eastAsia" w:ascii="宋体" w:hAnsi="宋体"/>
          <w:bCs/>
          <w:color w:val="000000" w:themeColor="text1"/>
          <w:sz w:val="24"/>
          <w14:textFill>
            <w14:solidFill>
              <w14:schemeClr w14:val="tx1"/>
            </w14:solidFill>
          </w14:textFill>
        </w:rPr>
        <w:t>的，</w:t>
      </w:r>
      <w:r>
        <w:rPr>
          <w:rFonts w:hint="eastAsia" w:ascii="宋体" w:hAnsi="宋体" w:cs="仿宋_GB2312"/>
          <w:b/>
          <w:color w:val="000000" w:themeColor="text1"/>
          <w:sz w:val="24"/>
          <w14:textFill>
            <w14:solidFill>
              <w14:schemeClr w14:val="tx1"/>
            </w14:solidFill>
          </w14:textFill>
        </w:rPr>
        <w:t>其响应文件按无效处理</w:t>
      </w:r>
      <w:r>
        <w:rPr>
          <w:rFonts w:hint="eastAsia" w:ascii="宋体" w:hAnsi="宋体"/>
          <w:b/>
          <w:color w:val="000000" w:themeColor="text1"/>
          <w:sz w:val="24"/>
          <w14:textFill>
            <w14:solidFill>
              <w14:schemeClr w14:val="tx1"/>
            </w14:solidFill>
          </w14:textFill>
        </w:rPr>
        <w:t>。</w:t>
      </w:r>
    </w:p>
    <w:p w14:paraId="0A84752A">
      <w:pPr>
        <w:spacing w:line="360" w:lineRule="auto"/>
        <w:ind w:firstLine="480" w:firstLineChars="200"/>
        <w:contextualSpacing/>
        <w:jc w:val="left"/>
        <w:rPr>
          <w:rFonts w:hint="eastAsia"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168F7EFD">
      <w:pPr>
        <w:spacing w:line="360" w:lineRule="auto"/>
        <w:ind w:firstLine="480" w:firstLineChars="200"/>
        <w:contextualSpacing/>
        <w:jc w:val="left"/>
        <w:rPr>
          <w:rFonts w:hint="eastAsia" w:ascii="宋体" w:hAns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3</w:t>
      </w:r>
      <w:r>
        <w:rPr>
          <w:rFonts w:hint="eastAsia" w:ascii="宋体" w:hAnsi="宋体" w:cs="仿宋_GB2312"/>
          <w:bCs/>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1A076244">
      <w:pPr>
        <w:spacing w:line="360" w:lineRule="auto"/>
        <w:ind w:right="-817" w:rightChars="-389" w:firstLine="2640" w:firstLineChars="1100"/>
        <w:contextualSpacing/>
        <w:rPr>
          <w:rFonts w:hint="eastAsia" w:ascii="宋体" w:hAnsi="宋体" w:cs="仿宋_GB2312"/>
          <w:color w:val="000000" w:themeColor="text1"/>
          <w:sz w:val="24"/>
          <w14:textFill>
            <w14:solidFill>
              <w14:schemeClr w14:val="tx1"/>
            </w14:solidFill>
          </w14:textFill>
        </w:rPr>
      </w:pPr>
    </w:p>
    <w:p w14:paraId="28518094">
      <w:pPr>
        <w:spacing w:line="360" w:lineRule="auto"/>
        <w:ind w:right="-817" w:rightChars="-389" w:firstLine="2640" w:firstLineChars="1100"/>
        <w:contextualSpacing/>
        <w:rPr>
          <w:rFonts w:hint="eastAsia" w:ascii="宋体" w:hAnsi="宋体" w:cs="仿宋_GB2312"/>
          <w:color w:val="000000" w:themeColor="text1"/>
          <w:sz w:val="24"/>
          <w14:textFill>
            <w14:solidFill>
              <w14:schemeClr w14:val="tx1"/>
            </w14:solidFill>
          </w14:textFill>
        </w:rPr>
      </w:pPr>
    </w:p>
    <w:p w14:paraId="59BE783E">
      <w:pPr>
        <w:spacing w:line="360" w:lineRule="auto"/>
        <w:ind w:right="-817" w:rightChars="-389" w:firstLine="2640" w:firstLineChars="11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法定代表人或者委托代理人（签字或者电子签名）：                    </w:t>
      </w:r>
    </w:p>
    <w:p w14:paraId="7B17D17D">
      <w:pPr>
        <w:spacing w:line="360" w:lineRule="auto"/>
        <w:ind w:right="-817" w:rightChars="-389" w:firstLine="2640" w:firstLineChars="11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供应商名称（电子签章）：      </w:t>
      </w:r>
    </w:p>
    <w:p w14:paraId="5BCCA8FC">
      <w:pPr>
        <w:spacing w:line="360" w:lineRule="auto"/>
        <w:ind w:right="-817" w:rightChars="-389"/>
        <w:contextualSpacing/>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日期：   年   月   日</w:t>
      </w:r>
    </w:p>
    <w:p w14:paraId="557BC00F">
      <w:pPr>
        <w:spacing w:line="360" w:lineRule="auto"/>
        <w:ind w:right="420"/>
        <w:contextualSpacing/>
        <w:jc w:val="left"/>
        <w:rPr>
          <w:rFonts w:hint="eastAsia" w:ascii="宋体" w:hAnsi="宋体"/>
          <w:b/>
          <w:color w:val="000000" w:themeColor="text1"/>
          <w:sz w:val="32"/>
          <w:szCs w:val="32"/>
          <w14:textFill>
            <w14:solidFill>
              <w14:schemeClr w14:val="tx1"/>
            </w14:solidFill>
          </w14:textFill>
        </w:rPr>
      </w:pPr>
      <w:r>
        <w:rPr>
          <w:rFonts w:ascii="宋体" w:hAnsi="宋体"/>
          <w:color w:val="000000" w:themeColor="text1"/>
          <w:szCs w:val="21"/>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 xml:space="preserve">商务技术文件格式 </w:t>
      </w:r>
    </w:p>
    <w:p w14:paraId="0783EA9A">
      <w:pPr>
        <w:snapToGrid w:val="0"/>
        <w:spacing w:before="156" w:beforeLines="50" w:after="50" w:line="360" w:lineRule="auto"/>
        <w:jc w:val="left"/>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1.商务技术文件封面格式</w:t>
      </w:r>
    </w:p>
    <w:p w14:paraId="6ACBBFAE">
      <w:pPr>
        <w:snapToGrid w:val="0"/>
        <w:spacing w:before="156" w:beforeLines="50" w:after="50"/>
        <w:rPr>
          <w:rFonts w:hint="eastAsia"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258556B8">
      <w:pPr>
        <w:snapToGrid w:val="0"/>
        <w:spacing w:before="156" w:beforeLines="50" w:after="5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075CA8E3">
      <w:pPr>
        <w:snapToGrid w:val="0"/>
        <w:spacing w:before="156" w:beforeLines="50" w:after="50"/>
        <w:rPr>
          <w:rFonts w:hint="eastAsia" w:ascii="宋体" w:hAnsi="宋体"/>
          <w:color w:val="000000" w:themeColor="text1"/>
          <w:sz w:val="24"/>
          <w:szCs w:val="20"/>
          <w14:textFill>
            <w14:solidFill>
              <w14:schemeClr w14:val="tx1"/>
            </w14:solidFill>
          </w14:textFill>
        </w:rPr>
      </w:pPr>
    </w:p>
    <w:p w14:paraId="08C7D05B">
      <w:pPr>
        <w:snapToGrid w:val="0"/>
        <w:spacing w:before="156" w:beforeLines="50" w:after="50"/>
        <w:rPr>
          <w:rFonts w:hint="eastAsia" w:ascii="宋体" w:hAnsi="宋体"/>
          <w:color w:val="000000" w:themeColor="text1"/>
          <w:sz w:val="24"/>
          <w:szCs w:val="20"/>
          <w14:textFill>
            <w14:solidFill>
              <w14:schemeClr w14:val="tx1"/>
            </w14:solidFill>
          </w14:textFill>
        </w:rPr>
      </w:pPr>
    </w:p>
    <w:p w14:paraId="7490D5E6">
      <w:pPr>
        <w:snapToGrid w:val="0"/>
        <w:spacing w:before="156" w:beforeLines="50" w:after="5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  务  技  术  文  件</w:t>
      </w:r>
    </w:p>
    <w:p w14:paraId="736AC426">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61F3DFB6">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63DA3756">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4589BF80">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5084627F">
      <w:pPr>
        <w:snapToGrid w:val="0"/>
        <w:spacing w:before="156" w:beforeLines="50" w:after="50"/>
        <w:rPr>
          <w:rFonts w:hint="eastAsia" w:ascii="宋体" w:hAnsi="宋体"/>
          <w:bCs/>
          <w:color w:val="000000" w:themeColor="text1"/>
          <w:sz w:val="24"/>
          <w:szCs w:val="20"/>
          <w14:textFill>
            <w14:solidFill>
              <w14:schemeClr w14:val="tx1"/>
            </w14:solidFill>
          </w14:textFill>
        </w:rPr>
      </w:pPr>
    </w:p>
    <w:p w14:paraId="01C3898B">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45804016">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64275460">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53DCC330">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 xml:space="preserve"> </w:t>
      </w:r>
    </w:p>
    <w:p w14:paraId="5738D9E2">
      <w:pPr>
        <w:snapToGrid w:val="0"/>
        <w:spacing w:before="156" w:beforeLines="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B0B9DF3">
      <w:pPr>
        <w:snapToGrid w:val="0"/>
        <w:spacing w:before="156" w:beforeLines="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47B74DDE">
      <w:pPr>
        <w:pStyle w:val="5"/>
        <w:snapToGrid w:val="0"/>
        <w:spacing w:before="50" w:after="50"/>
        <w:ind w:firstLine="640" w:firstLineChars="200"/>
        <w:rPr>
          <w:rFonts w:hint="eastAsia"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E330847">
      <w:pPr>
        <w:pStyle w:val="5"/>
        <w:snapToGrid w:val="0"/>
        <w:spacing w:before="50" w:after="50"/>
        <w:ind w:firstLine="640" w:firstLineChars="200"/>
        <w:rPr>
          <w:rFonts w:hint="eastAsia" w:ascii="宋体" w:hAnsi="宋体" w:cs="仿宋_GB2312"/>
          <w:bCs/>
          <w:color w:val="000000" w:themeColor="text1"/>
          <w:sz w:val="32"/>
          <w:szCs w:val="32"/>
          <w14:textFill>
            <w14:solidFill>
              <w14:schemeClr w14:val="tx1"/>
            </w14:solidFill>
          </w14:textFill>
        </w:rPr>
      </w:pPr>
    </w:p>
    <w:p w14:paraId="66D16255">
      <w:pPr>
        <w:pStyle w:val="5"/>
        <w:snapToGrid w:val="0"/>
        <w:spacing w:before="50" w:after="50"/>
        <w:ind w:firstLine="720" w:firstLineChars="225"/>
        <w:rPr>
          <w:rFonts w:hint="eastAsia" w:ascii="宋体" w:hAnsi="宋体" w:cs="仿宋_GB2312"/>
          <w:bCs/>
          <w:color w:val="000000" w:themeColor="text1"/>
          <w:sz w:val="32"/>
          <w:szCs w:val="32"/>
          <w14:textFill>
            <w14:solidFill>
              <w14:schemeClr w14:val="tx1"/>
            </w14:solidFill>
          </w14:textFill>
        </w:rPr>
      </w:pPr>
    </w:p>
    <w:p w14:paraId="09B64F38">
      <w:pPr>
        <w:pStyle w:val="5"/>
        <w:snapToGrid w:val="0"/>
        <w:spacing w:before="50" w:after="50"/>
        <w:ind w:firstLine="1280" w:firstLineChars="400"/>
        <w:rPr>
          <w:rFonts w:hint="eastAsia" w:ascii="宋体" w:hAnsi="宋体" w:cs="仿宋_GB2312"/>
          <w:bCs/>
          <w:color w:val="000000" w:themeColor="text1"/>
          <w:sz w:val="32"/>
          <w:szCs w:val="32"/>
          <w14:textFill>
            <w14:solidFill>
              <w14:schemeClr w14:val="tx1"/>
            </w14:solidFill>
          </w14:textFill>
        </w:rPr>
      </w:pPr>
    </w:p>
    <w:p w14:paraId="3209BFE2">
      <w:pPr>
        <w:snapToGrid w:val="0"/>
        <w:spacing w:before="156" w:beforeLines="50" w:after="50"/>
        <w:jc w:val="center"/>
        <w:rPr>
          <w:rFonts w:hint="eastAsia"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3B12FED8">
      <w:pPr>
        <w:snapToGrid w:val="0"/>
        <w:spacing w:before="156" w:beforeLines="50" w:after="50" w:line="360" w:lineRule="auto"/>
        <w:ind w:left="142"/>
        <w:jc w:val="left"/>
        <w:rPr>
          <w:rFonts w:hint="eastAsia" w:ascii="宋体" w:hAnsi="宋体"/>
          <w:b/>
          <w:bCs/>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2.商务技术文件目录</w:t>
      </w:r>
    </w:p>
    <w:p w14:paraId="62C771B8">
      <w:pPr>
        <w:snapToGrid w:val="0"/>
        <w:spacing w:before="156" w:beforeLines="50" w:after="50" w:line="360" w:lineRule="auto"/>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根据谈判文件规定及供应商提供的材料自行编写目录（部分格式后附）。</w:t>
      </w:r>
    </w:p>
    <w:p w14:paraId="1862841A">
      <w:pPr>
        <w:spacing w:line="400" w:lineRule="exact"/>
        <w:rPr>
          <w:rFonts w:hint="eastAsia" w:ascii="仿宋_GB2312" w:hAnsi="仿宋_GB2312" w:eastAsia="仿宋_GB2312" w:cs="仿宋_GB2312"/>
          <w:color w:val="000000" w:themeColor="text1"/>
          <w:sz w:val="32"/>
          <w:szCs w:val="32"/>
          <w14:textFill>
            <w14:solidFill>
              <w14:schemeClr w14:val="tx1"/>
            </w14:solidFill>
          </w14:textFill>
        </w:rPr>
      </w:pPr>
    </w:p>
    <w:p w14:paraId="16728E46">
      <w:pPr>
        <w:spacing w:line="52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43C8C914">
      <w:pPr>
        <w:spacing w:line="360" w:lineRule="auto"/>
        <w:ind w:firstLine="640" w:firstLineChars="200"/>
        <w:contextualSpacing/>
        <w:rPr>
          <w:rFonts w:hint="eastAsia" w:ascii="仿宋_GB2312" w:hAnsi="仿宋_GB2312" w:eastAsia="仿宋_GB2312" w:cs="仿宋_GB2312"/>
          <w:color w:val="000000" w:themeColor="text1"/>
          <w:sz w:val="32"/>
          <w:szCs w:val="32"/>
          <w14:textFill>
            <w14:solidFill>
              <w14:schemeClr w14:val="tx1"/>
            </w14:solidFill>
          </w14:textFill>
        </w:rPr>
      </w:pPr>
    </w:p>
    <w:p w14:paraId="08D6E035">
      <w:pPr>
        <w:spacing w:line="360" w:lineRule="auto"/>
        <w:ind w:firstLine="482" w:firstLineChars="200"/>
        <w:contextualSpacing/>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3663FFDC">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1.不同供应商的响应文件由同一单位或者个人编制；</w:t>
      </w:r>
      <w:r>
        <w:rPr>
          <w:rFonts w:hint="eastAsia" w:ascii="宋体" w:hAnsi="宋体"/>
          <w:color w:val="000000" w:themeColor="text1"/>
          <w:sz w:val="24"/>
          <w14:textFill>
            <w14:solidFill>
              <w14:schemeClr w14:val="tx1"/>
            </w14:solidFill>
          </w14:textFill>
        </w:rPr>
        <w:t>或不同供应商报名的IP地址一致的；</w:t>
      </w:r>
    </w:p>
    <w:p w14:paraId="355B7403">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2.不同供应商委托同一单位或者个人办理竞标事宜；</w:t>
      </w:r>
    </w:p>
    <w:p w14:paraId="107E6FCF">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3.不同的供应商的响应文件载明的项目管理员为同一个人；</w:t>
      </w:r>
    </w:p>
    <w:p w14:paraId="5D940E12">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13ECB962">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5.不同供应商的响应文件相互混装；</w:t>
      </w:r>
    </w:p>
    <w:p w14:paraId="7B90AD34">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6.不同供应商的竞标保证金从同一单位或者个人账户转出。</w:t>
      </w:r>
    </w:p>
    <w:p w14:paraId="7851A477">
      <w:pPr>
        <w:spacing w:line="360" w:lineRule="auto"/>
        <w:ind w:firstLine="482" w:firstLineChars="200"/>
        <w:contextualSpacing/>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6F1F5DBE">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1.供应商直接或者间接从采购人或者采购代理机构处获得其他供应商的相关信息并修改其响应文件；</w:t>
      </w:r>
    </w:p>
    <w:p w14:paraId="215C2D3F">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2.供应商按照采购人或者采购代理机构的授意撤换、修改响应文件；</w:t>
      </w:r>
    </w:p>
    <w:p w14:paraId="6840A107">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126E6CE7">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4.属于同一集团、协会、商会等组织成员的供应商按照该组织要求协同参加政府采购活动；</w:t>
      </w:r>
    </w:p>
    <w:p w14:paraId="315487DA">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5.供应商之间事先约定一致抬高或者压低竞标报价，或者在竞争性谈判项目中事先约定轮流以高价位或者低价位成交，或者事先约定由某一特定供应商成交，然后再参加竞标；</w:t>
      </w:r>
    </w:p>
    <w:p w14:paraId="12EC76F0">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6.供应商之间商定部分供应商放弃参加政府采购活动或者放弃成交；</w:t>
      </w:r>
    </w:p>
    <w:p w14:paraId="149B8645">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2D7AB792">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p>
    <w:p w14:paraId="57E11FD9">
      <w:pPr>
        <w:spacing w:line="360" w:lineRule="auto"/>
        <w:ind w:firstLine="482" w:firstLineChars="200"/>
        <w:contextualSpacing/>
        <w:rPr>
          <w:rFonts w:hint="eastAsia"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728FB06E">
      <w:pPr>
        <w:spacing w:line="360" w:lineRule="auto"/>
        <w:contextualSpacing/>
        <w:rPr>
          <w:rFonts w:hint="eastAsia" w:ascii="宋体" w:hAnsi="宋体" w:cs="仿宋_GB2312"/>
          <w:color w:val="000000" w:themeColor="text1"/>
          <w:sz w:val="24"/>
          <w14:textFill>
            <w14:solidFill>
              <w14:schemeClr w14:val="tx1"/>
            </w14:solidFill>
          </w14:textFill>
        </w:rPr>
      </w:pPr>
    </w:p>
    <w:p w14:paraId="0D705BAF">
      <w:pPr>
        <w:spacing w:line="360" w:lineRule="auto"/>
        <w:ind w:firstLine="3600" w:firstLineChars="15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供应商名称（电子签章）：</w:t>
      </w:r>
    </w:p>
    <w:p w14:paraId="2A79F575">
      <w:pPr>
        <w:spacing w:line="360" w:lineRule="auto"/>
        <w:ind w:firstLine="480" w:firstLineChars="200"/>
        <w:contextualSpacing/>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23CA5BC7">
      <w:pPr>
        <w:spacing w:line="360" w:lineRule="auto"/>
        <w:ind w:firstLine="640" w:firstLineChars="200"/>
        <w:contextualSpacing/>
        <w:jc w:val="center"/>
        <w:rPr>
          <w:rFonts w:hint="eastAsia" w:ascii="宋体" w:hAnsi="宋体" w:cs="仿宋_GB2312"/>
          <w:color w:val="000000" w:themeColor="text1"/>
          <w:sz w:val="32"/>
          <w:szCs w:val="32"/>
          <w14:textFill>
            <w14:solidFill>
              <w14:schemeClr w14:val="tx1"/>
            </w14:solidFill>
          </w14:textFill>
        </w:rPr>
      </w:pPr>
    </w:p>
    <w:p w14:paraId="252FA5B4">
      <w:pPr>
        <w:spacing w:before="312" w:beforeLines="100" w:after="156" w:afterLines="50" w:line="520" w:lineRule="exact"/>
        <w:ind w:left="5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2FF4BE03">
      <w:pPr>
        <w:spacing w:line="360" w:lineRule="auto"/>
        <w:ind w:left="540"/>
        <w:contextualSpacing/>
        <w:rPr>
          <w:rFonts w:hint="eastAsia" w:ascii="仿宋_GB2312" w:hAnsi="仿宋_GB2312" w:eastAsia="仿宋_GB2312" w:cs="仿宋_GB2312"/>
          <w:color w:val="000000" w:themeColor="text1"/>
          <w:sz w:val="32"/>
          <w:szCs w:val="32"/>
          <w14:textFill>
            <w14:solidFill>
              <w14:schemeClr w14:val="tx1"/>
            </w14:solidFill>
          </w14:textFill>
        </w:rPr>
      </w:pPr>
    </w:p>
    <w:p w14:paraId="5B2A47D7">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r>
        <w:rPr>
          <w:rFonts w:hint="eastAsia" w:ascii="宋体" w:hAnsi="宋体" w:cs="仿宋_GB2312"/>
          <w:color w:val="000000" w:themeColor="text1"/>
          <w:sz w:val="24"/>
          <w:u w:val="single"/>
          <w14:textFill>
            <w14:solidFill>
              <w14:schemeClr w14:val="tx1"/>
            </w14:solidFill>
          </w14:textFill>
        </w:rPr>
        <w:t xml:space="preserve">                                                        </w:t>
      </w:r>
    </w:p>
    <w:p w14:paraId="0012D947">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    址：</w:t>
      </w:r>
      <w:r>
        <w:rPr>
          <w:rFonts w:hint="eastAsia" w:ascii="宋体" w:hAnsi="宋体" w:cs="仿宋_GB2312"/>
          <w:color w:val="000000" w:themeColor="text1"/>
          <w:sz w:val="24"/>
          <w:u w:val="single"/>
          <w14:textFill>
            <w14:solidFill>
              <w14:schemeClr w14:val="tx1"/>
            </w14:solidFill>
          </w14:textFill>
        </w:rPr>
        <w:t xml:space="preserve">                                                        </w:t>
      </w:r>
    </w:p>
    <w:p w14:paraId="6E2627EC">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    名：</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性      别：</w:t>
      </w:r>
      <w:r>
        <w:rPr>
          <w:rFonts w:hint="eastAsia" w:ascii="宋体" w:hAnsi="宋体" w:cs="仿宋_GB2312"/>
          <w:color w:val="000000" w:themeColor="text1"/>
          <w:sz w:val="24"/>
          <w:u w:val="single"/>
          <w14:textFill>
            <w14:solidFill>
              <w14:schemeClr w14:val="tx1"/>
            </w14:solidFill>
          </w14:textFill>
        </w:rPr>
        <w:t xml:space="preserve">                </w:t>
      </w:r>
    </w:p>
    <w:p w14:paraId="48D66C3E">
      <w:pPr>
        <w:spacing w:line="360" w:lineRule="auto"/>
        <w:ind w:left="540"/>
        <w:contextualSpacing/>
        <w:rPr>
          <w:rFonts w:hint="eastAsia"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    龄：</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职      务：</w:t>
      </w:r>
      <w:r>
        <w:rPr>
          <w:rFonts w:hint="eastAsia" w:ascii="宋体" w:hAnsi="宋体" w:cs="仿宋_GB2312"/>
          <w:color w:val="000000" w:themeColor="text1"/>
          <w:sz w:val="24"/>
          <w:u w:val="single"/>
          <w14:textFill>
            <w14:solidFill>
              <w14:schemeClr w14:val="tx1"/>
            </w14:solidFill>
          </w14:textFill>
        </w:rPr>
        <w:t xml:space="preserve">                </w:t>
      </w:r>
    </w:p>
    <w:p w14:paraId="6503502D">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r>
        <w:rPr>
          <w:rFonts w:hint="eastAsia" w:ascii="宋体" w:hAnsi="宋体" w:cs="仿宋_GB2312"/>
          <w:color w:val="000000" w:themeColor="text1"/>
          <w:sz w:val="24"/>
          <w:u w:val="single"/>
          <w14:textFill>
            <w14:solidFill>
              <w14:schemeClr w14:val="tx1"/>
            </w14:solidFill>
          </w14:textFill>
        </w:rPr>
        <w:t xml:space="preserve">                                        </w:t>
      </w:r>
    </w:p>
    <w:p w14:paraId="4B27BD64">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 </w:t>
      </w:r>
      <w:r>
        <w:rPr>
          <w:rFonts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u w:val="single"/>
          <w14:textFill>
            <w14:solidFill>
              <w14:schemeClr w14:val="tx1"/>
            </w14:solidFill>
          </w14:textFill>
        </w:rPr>
        <w:t xml:space="preserve">（供应商名称） </w:t>
      </w:r>
      <w:r>
        <w:rPr>
          <w:rFonts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的法定代表人。</w:t>
      </w:r>
    </w:p>
    <w:p w14:paraId="4E998682">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72CA199E">
      <w:pPr>
        <w:spacing w:line="360" w:lineRule="auto"/>
        <w:ind w:left="540"/>
        <w:contextualSpacing/>
        <w:rPr>
          <w:rFonts w:hint="eastAsia" w:ascii="宋体" w:hAnsi="宋体" w:cs="仿宋_GB2312"/>
          <w:color w:val="000000" w:themeColor="text1"/>
          <w:sz w:val="24"/>
          <w14:textFill>
            <w14:solidFill>
              <w14:schemeClr w14:val="tx1"/>
            </w14:solidFill>
          </w14:textFill>
        </w:rPr>
      </w:pPr>
    </w:p>
    <w:p w14:paraId="4E45ADEC">
      <w:pPr>
        <w:spacing w:line="360" w:lineRule="auto"/>
        <w:ind w:left="540"/>
        <w:contextualSpacing/>
        <w:rPr>
          <w:rFonts w:hint="eastAsia" w:ascii="宋体" w:hAnsi="宋体" w:cs="仿宋_GB2312"/>
          <w:color w:val="000000" w:themeColor="text1"/>
          <w:sz w:val="24"/>
          <w14:textFill>
            <w14:solidFill>
              <w14:schemeClr w14:val="tx1"/>
            </w14:solidFill>
          </w14:textFill>
        </w:rPr>
      </w:pPr>
    </w:p>
    <w:p w14:paraId="622E0362">
      <w:pPr>
        <w:spacing w:line="360" w:lineRule="auto"/>
        <w:ind w:left="540"/>
        <w:contextualSpacing/>
        <w:rPr>
          <w:rFonts w:hint="eastAsia" w:ascii="宋体" w:hAnsi="宋体" w:cs="仿宋_GB2312"/>
          <w:color w:val="000000" w:themeColor="text1"/>
          <w:sz w:val="24"/>
          <w14:textFill>
            <w14:solidFill>
              <w14:schemeClr w14:val="tx1"/>
            </w14:solidFill>
          </w14:textFill>
        </w:rPr>
      </w:pPr>
    </w:p>
    <w:p w14:paraId="1A44BFD7">
      <w:pPr>
        <w:spacing w:line="360" w:lineRule="auto"/>
        <w:ind w:left="54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5A804A89">
      <w:pPr>
        <w:spacing w:line="360" w:lineRule="auto"/>
        <w:ind w:left="540"/>
        <w:contextualSpacing/>
        <w:rPr>
          <w:rFonts w:hint="eastAsia" w:ascii="宋体" w:hAnsi="宋体" w:cs="仿宋_GB2312"/>
          <w:color w:val="000000" w:themeColor="text1"/>
          <w:sz w:val="24"/>
          <w14:textFill>
            <w14:solidFill>
              <w14:schemeClr w14:val="tx1"/>
            </w14:solidFill>
          </w14:textFill>
        </w:rPr>
      </w:pPr>
    </w:p>
    <w:p w14:paraId="06B842CA">
      <w:pPr>
        <w:spacing w:line="360" w:lineRule="auto"/>
        <w:ind w:left="540"/>
        <w:contextualSpacing/>
        <w:jc w:val="righ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供应商名称（电子签章）：</w:t>
      </w:r>
      <w:r>
        <w:rPr>
          <w:rFonts w:hint="eastAsia" w:ascii="宋体" w:hAnsi="宋体" w:cs="仿宋_GB2312"/>
          <w:color w:val="000000" w:themeColor="text1"/>
          <w:sz w:val="24"/>
          <w:u w:val="single"/>
          <w14:textFill>
            <w14:solidFill>
              <w14:schemeClr w14:val="tx1"/>
            </w14:solidFill>
          </w14:textFill>
        </w:rPr>
        <w:t xml:space="preserve">               </w:t>
      </w:r>
    </w:p>
    <w:p w14:paraId="65E6EAC4">
      <w:pPr>
        <w:spacing w:line="360" w:lineRule="auto"/>
        <w:ind w:firstLine="4080" w:firstLineChars="17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年</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月</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日</w:t>
      </w:r>
    </w:p>
    <w:p w14:paraId="66C9418F">
      <w:pPr>
        <w:spacing w:line="360" w:lineRule="auto"/>
        <w:contextualSpacing/>
        <w:jc w:val="center"/>
        <w:rPr>
          <w:rFonts w:hint="eastAsia" w:ascii="宋体" w:hAnsi="宋体" w:cs="仿宋_GB2312"/>
          <w:b/>
          <w:color w:val="000000" w:themeColor="text1"/>
          <w:sz w:val="24"/>
          <w14:textFill>
            <w14:solidFill>
              <w14:schemeClr w14:val="tx1"/>
            </w14:solidFill>
          </w14:textFill>
        </w:rPr>
      </w:pPr>
    </w:p>
    <w:p w14:paraId="51E4FB6A">
      <w:pPr>
        <w:spacing w:line="360" w:lineRule="auto"/>
        <w:contextualSpacing/>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注：自然人竞标的无需提供，联合体竞标的只需牵头人出具。</w:t>
      </w:r>
    </w:p>
    <w:p w14:paraId="588E03FF">
      <w:pPr>
        <w:adjustRightInd w:val="0"/>
        <w:snapToGrid w:val="0"/>
        <w:spacing w:line="300" w:lineRule="auto"/>
        <w:jc w:val="left"/>
        <w:rPr>
          <w:rFonts w:hint="eastAsia" w:ascii="宋体" w:hAnsi="宋体"/>
          <w:b/>
          <w:color w:val="000000" w:themeColor="text1"/>
          <w:szCs w:val="21"/>
          <w14:textFill>
            <w14:solidFill>
              <w14:schemeClr w14:val="tx1"/>
            </w14:solidFill>
          </w14:textFill>
        </w:rPr>
      </w:pPr>
    </w:p>
    <w:p w14:paraId="5B3C3C74">
      <w:pPr>
        <w:spacing w:line="5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30E820C8">
      <w:pPr>
        <w:spacing w:line="5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（非联合体竞标格式）</w:t>
      </w:r>
    </w:p>
    <w:p w14:paraId="543E6F0C">
      <w:pPr>
        <w:spacing w:line="5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（如有委托时）</w:t>
      </w:r>
    </w:p>
    <w:p w14:paraId="7A3709C1">
      <w:pPr>
        <w:spacing w:line="360" w:lineRule="auto"/>
        <w:contextualSpacing/>
        <w:rPr>
          <w:rFonts w:hint="eastAsia" w:ascii="仿宋_GB2312" w:hAnsi="仿宋_GB2312" w:eastAsia="仿宋_GB2312" w:cs="仿宋_GB2312"/>
          <w:color w:val="000000" w:themeColor="text1"/>
          <w:sz w:val="32"/>
          <w:szCs w:val="32"/>
          <w14:textFill>
            <w14:solidFill>
              <w14:schemeClr w14:val="tx1"/>
            </w14:solidFill>
          </w14:textFill>
        </w:rPr>
      </w:pPr>
    </w:p>
    <w:p w14:paraId="2C7E2E9F">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7FCF46D3">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  （供应商名称）  </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□法定代表人/□负责人/□自然人本人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以我方的名义参加</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项目的竞标活动，并代表我方全权办理针对上述项目的所有采购程序和环节的具体事务和签署相关文件。</w:t>
      </w:r>
    </w:p>
    <w:p w14:paraId="4DDD0E47">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34799CED">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3885EF7D">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05415B84">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76086E8">
      <w:pPr>
        <w:spacing w:line="360" w:lineRule="auto"/>
        <w:contextualSpacing/>
        <w:rPr>
          <w:rFonts w:hint="eastAsia" w:ascii="宋体" w:hAnsi="宋体" w:cs="仿宋_GB2312"/>
          <w:color w:val="000000" w:themeColor="text1"/>
          <w:sz w:val="24"/>
          <w14:textFill>
            <w14:solidFill>
              <w14:schemeClr w14:val="tx1"/>
            </w14:solidFill>
          </w14:textFill>
        </w:rPr>
      </w:pPr>
    </w:p>
    <w:p w14:paraId="0D2455B7">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 xml:space="preserve">）：     法定代表人（签字或者盖章或者电子签名）：                    </w:t>
      </w:r>
    </w:p>
    <w:p w14:paraId="45F90261">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委托代理人身份证号码：                              </w:t>
      </w:r>
    </w:p>
    <w:p w14:paraId="7CDD2637">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w:t>
      </w:r>
    </w:p>
    <w:p w14:paraId="4B100A29">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供应商名称（电子签章）：                      </w:t>
      </w:r>
    </w:p>
    <w:p w14:paraId="41629C3D">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7F10A5BA">
      <w:pPr>
        <w:spacing w:line="360" w:lineRule="auto"/>
        <w:contextualSpacing/>
        <w:rPr>
          <w:rFonts w:hint="eastAsia" w:ascii="宋体" w:hAnsi="宋体" w:cs="仿宋_GB2312"/>
          <w:color w:val="000000" w:themeColor="text1"/>
          <w:sz w:val="24"/>
          <w14:textFill>
            <w14:solidFill>
              <w14:schemeClr w14:val="tx1"/>
            </w14:solidFill>
          </w14:textFill>
        </w:rPr>
      </w:pPr>
    </w:p>
    <w:p w14:paraId="3CB2BB0B">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 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否则其响应文件按无效响应处理。</w:t>
      </w:r>
    </w:p>
    <w:p w14:paraId="2FBE732F">
      <w:pPr>
        <w:spacing w:line="360" w:lineRule="auto"/>
        <w:ind w:firstLine="480" w:firstLineChars="200"/>
        <w:contextualSpacing/>
        <w:jc w:val="left"/>
        <w:rPr>
          <w:rFonts w:hint="eastAsia"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法人、其他组织竞标时“我方”是指“我单位”，自然人竞标时“我方”是指“本人”。</w:t>
      </w:r>
    </w:p>
    <w:p w14:paraId="385591EA">
      <w:pPr>
        <w:spacing w:line="360" w:lineRule="auto"/>
        <w:ind w:firstLine="420" w:firstLineChars="200"/>
        <w:contextualSpacing/>
        <w:jc w:val="left"/>
        <w:rPr>
          <w:rFonts w:hint="eastAsia" w:ascii="仿宋_GB2312" w:hAnsi="仿宋_GB2312" w:eastAsia="仿宋_GB2312" w:cs="仿宋_GB2312"/>
          <w:color w:val="000000" w:themeColor="text1"/>
          <w:szCs w:val="21"/>
          <w14:textFill>
            <w14:solidFill>
              <w14:schemeClr w14:val="tx1"/>
            </w14:solidFill>
          </w14:textFill>
        </w:rPr>
      </w:pPr>
    </w:p>
    <w:p w14:paraId="45CB8E8E">
      <w:pPr>
        <w:spacing w:line="520" w:lineRule="exact"/>
        <w:contextualSpacing/>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2D28C18B">
      <w:pPr>
        <w:spacing w:line="520" w:lineRule="exact"/>
        <w:contextualSpacing/>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（联合体竞标格式）</w:t>
      </w:r>
    </w:p>
    <w:p w14:paraId="0F95B0D0">
      <w:pPr>
        <w:spacing w:line="520" w:lineRule="exact"/>
        <w:contextualSpacing/>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（如有委托时）</w:t>
      </w:r>
    </w:p>
    <w:p w14:paraId="7CACE1B1">
      <w:pPr>
        <w:spacing w:line="360" w:lineRule="auto"/>
        <w:contextualSpacing/>
        <w:rPr>
          <w:rFonts w:hint="eastAsia" w:ascii="仿宋_GB2312" w:hAnsi="仿宋_GB2312" w:eastAsia="仿宋_GB2312" w:cs="仿宋_GB2312"/>
          <w:color w:val="000000" w:themeColor="text1"/>
          <w:sz w:val="32"/>
          <w:szCs w:val="32"/>
          <w14:textFill>
            <w14:solidFill>
              <w14:schemeClr w14:val="tx1"/>
            </w14:solidFill>
          </w14:textFill>
        </w:rPr>
      </w:pPr>
    </w:p>
    <w:p w14:paraId="0F5B441B">
      <w:pPr>
        <w:spacing w:line="360" w:lineRule="auto"/>
        <w:ind w:firstLine="480" w:firstLineChars="200"/>
        <w:contextualSpacing/>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（牵头人名称）与</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（联合体其他成员名称）签订的《联合体竞标协议书》的内容，</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（牵头人名称）的法定代表人</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（姓名）现授权</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（姓名）为联合委托代理人，并代表我方全权办理针对上述项目的所有采购程序和环节的具体事务和签署相关文件。</w:t>
      </w:r>
    </w:p>
    <w:p w14:paraId="3B507C93">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19C7F928">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7AE40A2">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62F25D2B">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附：法定代表人身份证明书及委托代理人有效身份证正反面复印件</w:t>
      </w:r>
    </w:p>
    <w:p w14:paraId="06ED1E0E">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51A6B3FC">
      <w:pPr>
        <w:spacing w:line="360" w:lineRule="auto"/>
        <w:ind w:firstLine="3120" w:firstLineChars="13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0353AD88">
      <w:pPr>
        <w:spacing w:line="360" w:lineRule="auto"/>
        <w:ind w:firstLine="3840" w:firstLineChars="16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3C34EBDC">
      <w:pPr>
        <w:spacing w:line="360" w:lineRule="auto"/>
        <w:contextualSpacing/>
        <w:rPr>
          <w:rFonts w:hint="eastAsia" w:ascii="宋体" w:hAnsi="宋体" w:cs="仿宋_GB2312"/>
          <w:color w:val="000000" w:themeColor="text1"/>
          <w:sz w:val="24"/>
          <w14:textFill>
            <w14:solidFill>
              <w14:schemeClr w14:val="tx1"/>
            </w14:solidFill>
          </w14:textFill>
        </w:rPr>
      </w:pPr>
    </w:p>
    <w:p w14:paraId="55492C44">
      <w:pPr>
        <w:spacing w:line="360" w:lineRule="auto"/>
        <w:ind w:firstLine="3120" w:firstLineChars="13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73341945">
      <w:pPr>
        <w:spacing w:line="360" w:lineRule="auto"/>
        <w:ind w:firstLine="3840" w:firstLineChars="16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30BA73D6">
      <w:pPr>
        <w:spacing w:line="360" w:lineRule="auto"/>
        <w:contextualSpacing/>
        <w:rPr>
          <w:rFonts w:hint="eastAsia" w:ascii="宋体" w:hAnsi="宋体" w:cs="仿宋_GB2312"/>
          <w:color w:val="000000" w:themeColor="text1"/>
          <w:sz w:val="24"/>
          <w14:textFill>
            <w14:solidFill>
              <w14:schemeClr w14:val="tx1"/>
            </w14:solidFill>
          </w14:textFill>
        </w:rPr>
      </w:pPr>
    </w:p>
    <w:p w14:paraId="7BFAB7AC">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 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否则其响应文件按无效响应处理。</w:t>
      </w:r>
    </w:p>
    <w:p w14:paraId="5C654701">
      <w:pPr>
        <w:spacing w:line="500" w:lineRule="exact"/>
        <w:jc w:val="left"/>
        <w:rPr>
          <w:rFonts w:hint="eastAsia"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法人、其他组织竞标时“我方”是指“我单位”，自然人竞标时“我方”是指“本人”。</w:t>
      </w:r>
    </w:p>
    <w:p w14:paraId="3461E594">
      <w:pPr>
        <w:spacing w:line="500" w:lineRule="exact"/>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商务要求偏离表格式</w:t>
      </w:r>
    </w:p>
    <w:p w14:paraId="2AB12E0B">
      <w:pPr>
        <w:spacing w:line="500" w:lineRule="exact"/>
        <w:jc w:val="center"/>
        <w:rPr>
          <w:rFonts w:hint="eastAsia" w:ascii="宋体" w:hAnsi="宋体"/>
          <w:b/>
          <w:i/>
          <w:color w:val="000000" w:themeColor="text1"/>
          <w:sz w:val="32"/>
          <w:szCs w:val="32"/>
          <w14:textFill>
            <w14:solidFill>
              <w14:schemeClr w14:val="tx1"/>
            </w14:solidFill>
          </w14:textFill>
        </w:rPr>
      </w:pPr>
    </w:p>
    <w:p w14:paraId="6A401637">
      <w:pPr>
        <w:snapToGrid w:val="0"/>
        <w:spacing w:before="50"/>
        <w:jc w:val="left"/>
        <w:rPr>
          <w:rFonts w:hint="eastAsia" w:ascii="宋体" w:hAnsi="宋体"/>
          <w:color w:val="000000" w:themeColor="text1"/>
          <w:sz w:val="24"/>
          <w14:textFill>
            <w14:solidFill>
              <w14:schemeClr w14:val="tx1"/>
            </w14:solidFill>
          </w14:textFill>
        </w:rPr>
      </w:pPr>
    </w:p>
    <w:p w14:paraId="37A11AFE">
      <w:pPr>
        <w:pStyle w:val="12"/>
        <w:spacing w:line="360" w:lineRule="auto"/>
        <w:rPr>
          <w:rFonts w:hint="eastAsia" w:hAnsi="宋体" w:cs="仿宋_GB2312"/>
          <w:color w:val="000000" w:themeColor="text1"/>
          <w:sz w:val="24"/>
          <w:szCs w:val="24"/>
          <w:u w:val="single"/>
          <w14:textFill>
            <w14:solidFill>
              <w14:schemeClr w14:val="tx1"/>
            </w14:solidFill>
          </w14:textFill>
        </w:rPr>
      </w:pPr>
      <w:r>
        <w:rPr>
          <w:rFonts w:hint="eastAsia" w:hAnsi="宋体" w:cs="仿宋_GB2312"/>
          <w:color w:val="000000" w:themeColor="text1"/>
          <w:sz w:val="24"/>
          <w:szCs w:val="24"/>
          <w14:textFill>
            <w14:solidFill>
              <w14:schemeClr w14:val="tx1"/>
            </w14:solidFill>
          </w14:textFill>
        </w:rPr>
        <w:t>所竞分标：</w:t>
      </w:r>
      <w:r>
        <w:rPr>
          <w:rFonts w:hint="eastAsia" w:hAnsi="宋体" w:cs="仿宋_GB2312"/>
          <w:color w:val="000000" w:themeColor="text1"/>
          <w:sz w:val="24"/>
          <w:szCs w:val="24"/>
          <w:u w:val="single"/>
          <w14:textFill>
            <w14:solidFill>
              <w14:schemeClr w14:val="tx1"/>
            </w14:solidFill>
          </w14:textFill>
        </w:rPr>
        <w:t xml:space="preserve">              </w:t>
      </w:r>
    </w:p>
    <w:p w14:paraId="3A95420A">
      <w:pPr>
        <w:pStyle w:val="12"/>
        <w:spacing w:line="360" w:lineRule="auto"/>
        <w:rPr>
          <w:rFonts w:hint="eastAsia" w:hAnsi="宋体" w:cs="仿宋_GB2312"/>
          <w:color w:val="000000" w:themeColor="text1"/>
          <w:sz w:val="24"/>
          <w:szCs w:val="24"/>
          <w14:textFill>
            <w14:solidFill>
              <w14:schemeClr w14:val="tx1"/>
            </w14:solidFill>
          </w14:textFill>
        </w:rPr>
      </w:pPr>
    </w:p>
    <w:tbl>
      <w:tblPr>
        <w:tblStyle w:val="22"/>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56FA9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0B134337">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7D0656B0">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7738A99A">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53CF68F6">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偏离说明</w:t>
            </w:r>
          </w:p>
        </w:tc>
      </w:tr>
      <w:tr w14:paraId="1526D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661F4132">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5815076F">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39CB1939">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3F9368C3">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r w14:paraId="378F8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0F32B04A">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26A1CDEB">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28656B57">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55D3C092">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r w14:paraId="73B0E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17D40B1E">
            <w:pPr>
              <w:spacing w:line="400" w:lineRule="exact"/>
              <w:jc w:val="center"/>
              <w:rPr>
                <w:rFonts w:hint="eastAsia" w:ascii="宋体" w:hAnsi="宋体"/>
                <w:b/>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3CBB42C2">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76FCE38A">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5EB227E2">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r w14:paraId="386455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63CB4B8C">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091E3711">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67334EA8">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365D67D0">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r w14:paraId="58A3B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7C3C7EFF">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37E1018F">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4E05ADC7">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4AE89B89">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r w14:paraId="6C9A1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1B4ADBE1">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21E211E5">
            <w:pPr>
              <w:jc w:val="center"/>
              <w:rPr>
                <w:rFonts w:hint="eastAsia"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78D538C8">
            <w:pPr>
              <w:snapToGrid w:val="0"/>
              <w:spacing w:before="156" w:beforeLines="50" w:line="360" w:lineRule="auto"/>
              <w:ind w:left="43"/>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26F05282">
            <w:pPr>
              <w:snapToGrid w:val="0"/>
              <w:spacing w:before="156" w:beforeLines="50" w:line="360" w:lineRule="auto"/>
              <w:ind w:left="43"/>
              <w:jc w:val="center"/>
              <w:rPr>
                <w:rFonts w:hint="eastAsia" w:ascii="宋体" w:hAnsi="宋体" w:cs="仿宋_GB2312"/>
                <w:color w:val="000000" w:themeColor="text1"/>
                <w:sz w:val="24"/>
                <w14:textFill>
                  <w14:solidFill>
                    <w14:schemeClr w14:val="tx1"/>
                  </w14:solidFill>
                </w14:textFill>
              </w:rPr>
            </w:pPr>
          </w:p>
        </w:tc>
      </w:tr>
      <w:tr w14:paraId="57BED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E6A6F12">
            <w:pPr>
              <w:spacing w:line="400" w:lineRule="exact"/>
              <w:jc w:val="center"/>
              <w:rPr>
                <w:rFonts w:hint="eastAsia" w:ascii="宋体" w:hAnsi="宋体"/>
                <w:color w:val="000000" w:themeColor="text1"/>
                <w:szCs w:val="21"/>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0433FE41">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59ADA8B4">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762DD7DB">
            <w:pPr>
              <w:snapToGrid w:val="0"/>
              <w:spacing w:before="156" w:beforeLines="50" w:line="360" w:lineRule="auto"/>
              <w:jc w:val="center"/>
              <w:rPr>
                <w:rFonts w:hint="eastAsia" w:ascii="宋体" w:hAnsi="宋体" w:cs="仿宋_GB2312"/>
                <w:color w:val="000000" w:themeColor="text1"/>
                <w:sz w:val="24"/>
                <w14:textFill>
                  <w14:solidFill>
                    <w14:schemeClr w14:val="tx1"/>
                  </w14:solidFill>
                </w14:textFill>
              </w:rPr>
            </w:pPr>
          </w:p>
        </w:tc>
      </w:tr>
    </w:tbl>
    <w:p w14:paraId="5054A031">
      <w:pPr>
        <w:pStyle w:val="8"/>
        <w:spacing w:after="0" w:line="360" w:lineRule="auto"/>
        <w:contextualSpacing/>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注：</w:t>
      </w:r>
    </w:p>
    <w:p w14:paraId="5992627F">
      <w:pPr>
        <w:pStyle w:val="8"/>
        <w:spacing w:after="0" w:line="360" w:lineRule="auto"/>
        <w:contextualSpacing/>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 说明：应对照谈判文件“第三章 采购需求”中的商务要求逐条明确响应，并作出偏离说明。</w:t>
      </w:r>
    </w:p>
    <w:p w14:paraId="5FD99526">
      <w:pPr>
        <w:pStyle w:val="8"/>
        <w:spacing w:after="0" w:line="360" w:lineRule="auto"/>
        <w:contextualSpacing/>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2.供应商应根据自身的承诺，对照谈判文件要求在“偏离说明”中注明“正偏离”“负偏离”或者“无偏离”。既不属于“正偏离”也不属于“负偏离”即为“无偏离”。</w:t>
      </w:r>
    </w:p>
    <w:p w14:paraId="393BCC0A">
      <w:pPr>
        <w:spacing w:line="360" w:lineRule="auto"/>
        <w:contextualSpacing/>
        <w:jc w:val="left"/>
        <w:rPr>
          <w:rFonts w:hint="eastAsia" w:ascii="宋体" w:hAnsi="宋体" w:cs="仿宋_GB2312"/>
          <w:color w:val="000000" w:themeColor="text1"/>
          <w:sz w:val="24"/>
          <w:u w:val="single"/>
          <w14:textFill>
            <w14:solidFill>
              <w14:schemeClr w14:val="tx1"/>
            </w14:solidFill>
          </w14:textFill>
        </w:rPr>
      </w:pPr>
    </w:p>
    <w:p w14:paraId="460F716D">
      <w:pPr>
        <w:spacing w:line="360" w:lineRule="auto"/>
        <w:contextualSpacing/>
        <w:jc w:val="left"/>
        <w:rPr>
          <w:rFonts w:hint="eastAsia" w:ascii="宋体" w:hAnsi="宋体" w:cs="仿宋_GB2312"/>
          <w:color w:val="000000" w:themeColor="text1"/>
          <w:sz w:val="24"/>
          <w:u w:val="single"/>
          <w14:textFill>
            <w14:solidFill>
              <w14:schemeClr w14:val="tx1"/>
            </w14:solidFill>
          </w14:textFill>
        </w:rPr>
      </w:pPr>
    </w:p>
    <w:p w14:paraId="597F3B9C">
      <w:pPr>
        <w:spacing w:line="360" w:lineRule="auto"/>
        <w:ind w:right="-817" w:rightChars="-389"/>
        <w:contextualSpacing/>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11EC7C9">
      <w:pPr>
        <w:spacing w:line="360" w:lineRule="auto"/>
        <w:ind w:right="-817" w:rightChars="-389" w:firstLine="2880" w:firstLineChars="1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供应商名称（电子签章）：      </w:t>
      </w:r>
    </w:p>
    <w:p w14:paraId="14E32404">
      <w:pPr>
        <w:spacing w:line="360" w:lineRule="auto"/>
        <w:ind w:right="-817" w:rightChars="-389" w:firstLine="2880" w:firstLineChars="1200"/>
        <w:contextualSpacing/>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68E9778E">
      <w:pPr>
        <w:adjustRightInd w:val="0"/>
        <w:snapToGrid w:val="0"/>
        <w:spacing w:line="520" w:lineRule="exact"/>
        <w:jc w:val="center"/>
        <w:rPr>
          <w:rFonts w:hint="eastAsia" w:ascii="宋体" w:hAnsi="宋体"/>
          <w:b/>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货物配置清单</w:t>
      </w:r>
    </w:p>
    <w:p w14:paraId="5F9C8094">
      <w:pPr>
        <w:spacing w:line="300" w:lineRule="auto"/>
        <w:rPr>
          <w:rFonts w:hint="eastAsia" w:ascii="宋体" w:hAnsi="宋体"/>
          <w:color w:val="000000" w:themeColor="text1"/>
          <w:szCs w:val="21"/>
          <w14:textFill>
            <w14:solidFill>
              <w14:schemeClr w14:val="tx1"/>
            </w14:solidFill>
          </w14:textFill>
        </w:rPr>
      </w:pPr>
    </w:p>
    <w:p w14:paraId="11FD84D6">
      <w:pPr>
        <w:spacing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项目编号：</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w:t>
      </w:r>
    </w:p>
    <w:p w14:paraId="45DDBBC4">
      <w:pPr>
        <w:spacing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w:t>
      </w:r>
    </w:p>
    <w:p w14:paraId="6679269E">
      <w:pPr>
        <w:spacing w:line="360" w:lineRule="auto"/>
        <w:rPr>
          <w:rFonts w:hint="eastAsia"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所竞分标：</w:t>
      </w:r>
      <w:r>
        <w:rPr>
          <w:rFonts w:hint="eastAsia" w:ascii="宋体" w:hAnsi="宋体" w:cs="仿宋_GB2312"/>
          <w:color w:val="000000" w:themeColor="text1"/>
          <w:sz w:val="24"/>
          <w:u w:val="single"/>
          <w14:textFill>
            <w14:solidFill>
              <w14:schemeClr w14:val="tx1"/>
            </w14:solidFill>
          </w14:textFill>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04"/>
        <w:gridCol w:w="1186"/>
        <w:gridCol w:w="765"/>
        <w:gridCol w:w="852"/>
        <w:gridCol w:w="1701"/>
        <w:gridCol w:w="1186"/>
        <w:gridCol w:w="702"/>
        <w:gridCol w:w="1426"/>
      </w:tblGrid>
      <w:tr w14:paraId="200F8D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50CB6220">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696" w:type="pct"/>
            <w:tcBorders>
              <w:top w:val="single" w:color="auto" w:sz="4" w:space="0"/>
              <w:left w:val="single" w:color="auto" w:sz="4" w:space="0"/>
              <w:bottom w:val="single" w:color="auto" w:sz="4" w:space="0"/>
              <w:right w:val="single" w:color="auto" w:sz="4" w:space="0"/>
            </w:tcBorders>
            <w:vAlign w:val="center"/>
          </w:tcPr>
          <w:p w14:paraId="25804097">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货物名称</w:t>
            </w:r>
          </w:p>
        </w:tc>
        <w:tc>
          <w:tcPr>
            <w:tcW w:w="449" w:type="pct"/>
            <w:tcBorders>
              <w:top w:val="single" w:color="auto" w:sz="4" w:space="0"/>
              <w:left w:val="single" w:color="auto" w:sz="4" w:space="0"/>
              <w:bottom w:val="single" w:color="auto" w:sz="4" w:space="0"/>
              <w:right w:val="single" w:color="auto" w:sz="4" w:space="0"/>
            </w:tcBorders>
            <w:vAlign w:val="center"/>
          </w:tcPr>
          <w:p w14:paraId="443AA7F6">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194A70AC">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品牌</w:t>
            </w:r>
          </w:p>
        </w:tc>
        <w:tc>
          <w:tcPr>
            <w:tcW w:w="998" w:type="pct"/>
            <w:tcBorders>
              <w:top w:val="single" w:color="auto" w:sz="4" w:space="0"/>
              <w:left w:val="single" w:color="auto" w:sz="4" w:space="0"/>
              <w:bottom w:val="single" w:color="auto" w:sz="4" w:space="0"/>
              <w:right w:val="single" w:color="auto" w:sz="4" w:space="0"/>
            </w:tcBorders>
          </w:tcPr>
          <w:p w14:paraId="57D123F7">
            <w:pPr>
              <w:snapToGrid w:val="0"/>
              <w:spacing w:before="50" w:after="50"/>
              <w:jc w:val="center"/>
              <w:rPr>
                <w:rFonts w:hint="eastAsia" w:ascii="宋体" w:hAnsi="宋体"/>
                <w:color w:val="000000" w:themeColor="text1"/>
                <w:sz w:val="24"/>
                <w14:textFill>
                  <w14:solidFill>
                    <w14:schemeClr w14:val="tx1"/>
                  </w14:solidFill>
                </w14:textFill>
              </w:rPr>
            </w:pPr>
          </w:p>
          <w:p w14:paraId="0D5D9E63">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5B9205C5">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0BF42D30">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31763D04">
            <w:pPr>
              <w:snapToGrid w:val="0"/>
              <w:spacing w:before="50" w:after="50"/>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参数性能、指标及配置</w:t>
            </w:r>
          </w:p>
        </w:tc>
      </w:tr>
      <w:tr w14:paraId="156FA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0FA9F4EA">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06257EBE">
            <w:pPr>
              <w:snapToGrid w:val="0"/>
              <w:spacing w:before="50" w:after="50"/>
              <w:jc w:val="center"/>
              <w:rPr>
                <w:rFonts w:hint="eastAsia" w:ascii="宋体" w:hAnsi="宋体"/>
                <w:color w:val="000000" w:themeColor="text1"/>
                <w:sz w:val="24"/>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vAlign w:val="center"/>
          </w:tcPr>
          <w:p w14:paraId="677BE84F">
            <w:pPr>
              <w:snapToGrid w:val="0"/>
              <w:spacing w:before="50" w:after="50"/>
              <w:jc w:val="center"/>
              <w:rPr>
                <w:rFonts w:hint="eastAsia" w:ascii="宋体" w:hAnsi="宋体"/>
                <w:color w:val="000000" w:themeColor="text1"/>
                <w:sz w:val="24"/>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vAlign w:val="center"/>
          </w:tcPr>
          <w:p w14:paraId="178BFBC3">
            <w:pPr>
              <w:snapToGrid w:val="0"/>
              <w:spacing w:before="50" w:after="50"/>
              <w:jc w:val="center"/>
              <w:rPr>
                <w:rFonts w:hint="eastAsia" w:ascii="宋体" w:hAnsi="宋体"/>
                <w:color w:val="000000" w:themeColor="text1"/>
                <w:sz w:val="24"/>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tcPr>
          <w:p w14:paraId="7046323E">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50025C86">
            <w:pPr>
              <w:snapToGrid w:val="0"/>
              <w:spacing w:before="50" w:after="50"/>
              <w:jc w:val="center"/>
              <w:rPr>
                <w:rFonts w:hint="eastAsia" w:ascii="宋体" w:hAnsi="宋体"/>
                <w:color w:val="000000" w:themeColor="text1"/>
                <w:sz w:val="24"/>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05A45F05">
            <w:pPr>
              <w:snapToGrid w:val="0"/>
              <w:spacing w:before="50" w:after="50"/>
              <w:jc w:val="center"/>
              <w:rPr>
                <w:rFonts w:hint="eastAsia" w:ascii="宋体" w:hAnsi="宋体"/>
                <w:color w:val="000000" w:themeColor="text1"/>
                <w:sz w:val="24"/>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0DDDEA3B">
            <w:pPr>
              <w:snapToGrid w:val="0"/>
              <w:spacing w:before="50" w:after="50"/>
              <w:jc w:val="center"/>
              <w:rPr>
                <w:rFonts w:hint="eastAsia" w:ascii="宋体" w:hAnsi="宋体"/>
                <w:color w:val="000000" w:themeColor="text1"/>
                <w:sz w:val="24"/>
                <w14:textFill>
                  <w14:solidFill>
                    <w14:schemeClr w14:val="tx1"/>
                  </w14:solidFill>
                </w14:textFill>
              </w:rPr>
            </w:pPr>
          </w:p>
        </w:tc>
      </w:tr>
      <w:tr w14:paraId="332E8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769CB45C">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74C0326B">
            <w:pPr>
              <w:snapToGrid w:val="0"/>
              <w:spacing w:before="50" w:after="50"/>
              <w:jc w:val="center"/>
              <w:rPr>
                <w:rFonts w:hint="eastAsia" w:ascii="宋体" w:hAnsi="宋体"/>
                <w:color w:val="000000" w:themeColor="text1"/>
                <w:sz w:val="24"/>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vAlign w:val="center"/>
          </w:tcPr>
          <w:p w14:paraId="0C5B1C99">
            <w:pPr>
              <w:snapToGrid w:val="0"/>
              <w:spacing w:before="50" w:after="50"/>
              <w:jc w:val="center"/>
              <w:rPr>
                <w:rFonts w:hint="eastAsia" w:ascii="宋体" w:hAnsi="宋体"/>
                <w:color w:val="000000" w:themeColor="text1"/>
                <w:sz w:val="24"/>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vAlign w:val="center"/>
          </w:tcPr>
          <w:p w14:paraId="1E64D873">
            <w:pPr>
              <w:snapToGrid w:val="0"/>
              <w:spacing w:before="50" w:after="50"/>
              <w:jc w:val="center"/>
              <w:rPr>
                <w:rFonts w:hint="eastAsia" w:ascii="宋体" w:hAnsi="宋体"/>
                <w:color w:val="000000" w:themeColor="text1"/>
                <w:sz w:val="24"/>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tcPr>
          <w:p w14:paraId="1DD07677">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615D8008">
            <w:pPr>
              <w:snapToGrid w:val="0"/>
              <w:spacing w:before="50" w:after="50"/>
              <w:jc w:val="center"/>
              <w:rPr>
                <w:rFonts w:hint="eastAsia" w:ascii="宋体" w:hAnsi="宋体"/>
                <w:color w:val="000000" w:themeColor="text1"/>
                <w:sz w:val="24"/>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5B0593B6">
            <w:pPr>
              <w:snapToGrid w:val="0"/>
              <w:spacing w:before="50" w:after="50"/>
              <w:jc w:val="center"/>
              <w:rPr>
                <w:rFonts w:hint="eastAsia" w:ascii="宋体" w:hAnsi="宋体"/>
                <w:color w:val="000000" w:themeColor="text1"/>
                <w:sz w:val="24"/>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0000A109">
            <w:pPr>
              <w:snapToGrid w:val="0"/>
              <w:spacing w:before="50" w:after="50"/>
              <w:jc w:val="center"/>
              <w:rPr>
                <w:rFonts w:hint="eastAsia" w:ascii="宋体" w:hAnsi="宋体"/>
                <w:color w:val="000000" w:themeColor="text1"/>
                <w:sz w:val="24"/>
                <w14:textFill>
                  <w14:solidFill>
                    <w14:schemeClr w14:val="tx1"/>
                  </w14:solidFill>
                </w14:textFill>
              </w:rPr>
            </w:pPr>
          </w:p>
        </w:tc>
      </w:tr>
      <w:tr w14:paraId="26E4B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1B645631">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734B5ABB">
            <w:pPr>
              <w:snapToGrid w:val="0"/>
              <w:spacing w:before="50" w:after="50"/>
              <w:jc w:val="center"/>
              <w:rPr>
                <w:rFonts w:hint="eastAsia" w:ascii="宋体" w:hAnsi="宋体"/>
                <w:color w:val="000000" w:themeColor="text1"/>
                <w:sz w:val="24"/>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vAlign w:val="center"/>
          </w:tcPr>
          <w:p w14:paraId="2CE4BC55">
            <w:pPr>
              <w:snapToGrid w:val="0"/>
              <w:spacing w:before="50" w:after="50"/>
              <w:jc w:val="center"/>
              <w:rPr>
                <w:rFonts w:hint="eastAsia" w:ascii="宋体" w:hAnsi="宋体"/>
                <w:color w:val="000000" w:themeColor="text1"/>
                <w:sz w:val="24"/>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vAlign w:val="center"/>
          </w:tcPr>
          <w:p w14:paraId="5E19E138">
            <w:pPr>
              <w:snapToGrid w:val="0"/>
              <w:spacing w:before="50" w:after="50"/>
              <w:jc w:val="center"/>
              <w:rPr>
                <w:rFonts w:hint="eastAsia" w:ascii="宋体" w:hAnsi="宋体"/>
                <w:color w:val="000000" w:themeColor="text1"/>
                <w:sz w:val="24"/>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tcPr>
          <w:p w14:paraId="21E2011B">
            <w:pPr>
              <w:snapToGrid w:val="0"/>
              <w:spacing w:before="50" w:after="50"/>
              <w:jc w:val="center"/>
              <w:rPr>
                <w:rFonts w:hint="eastAsia" w:ascii="宋体" w:hAnsi="宋体"/>
                <w:color w:val="000000" w:themeColor="text1"/>
                <w:sz w:val="24"/>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76512187">
            <w:pPr>
              <w:snapToGrid w:val="0"/>
              <w:spacing w:before="50" w:after="50"/>
              <w:jc w:val="center"/>
              <w:rPr>
                <w:rFonts w:hint="eastAsia" w:ascii="宋体" w:hAnsi="宋体"/>
                <w:color w:val="000000" w:themeColor="text1"/>
                <w:sz w:val="24"/>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21802524">
            <w:pPr>
              <w:snapToGrid w:val="0"/>
              <w:spacing w:before="50" w:after="50"/>
              <w:jc w:val="center"/>
              <w:rPr>
                <w:rFonts w:hint="eastAsia" w:ascii="宋体" w:hAnsi="宋体"/>
                <w:color w:val="000000" w:themeColor="text1"/>
                <w:sz w:val="24"/>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4C1D9B89">
            <w:pPr>
              <w:snapToGrid w:val="0"/>
              <w:spacing w:before="50" w:after="50"/>
              <w:jc w:val="center"/>
              <w:rPr>
                <w:rFonts w:hint="eastAsia" w:ascii="宋体" w:hAnsi="宋体"/>
                <w:color w:val="000000" w:themeColor="text1"/>
                <w:sz w:val="24"/>
                <w14:textFill>
                  <w14:solidFill>
                    <w14:schemeClr w14:val="tx1"/>
                  </w14:solidFill>
                </w14:textFill>
              </w:rPr>
            </w:pPr>
          </w:p>
        </w:tc>
      </w:tr>
    </w:tbl>
    <w:p w14:paraId="3088A920">
      <w:pPr>
        <w:spacing w:line="360" w:lineRule="auto"/>
        <w:contextualSpacing/>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p w14:paraId="05CD0C0B">
      <w:pPr>
        <w:tabs>
          <w:tab w:val="left" w:pos="1065"/>
        </w:tabs>
        <w:adjustRightInd w:val="0"/>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货物名称、数量及单位、品牌必须与“竞标报价表”一致，</w:t>
      </w:r>
      <w:r>
        <w:rPr>
          <w:rFonts w:hint="eastAsia" w:ascii="宋体" w:hAnsi="宋体"/>
          <w:bCs/>
          <w:color w:val="000000" w:themeColor="text1"/>
          <w:sz w:val="24"/>
          <w14:textFill>
            <w14:solidFill>
              <w14:schemeClr w14:val="tx1"/>
            </w14:solidFill>
          </w14:textFill>
        </w:rPr>
        <w:t>否则响应文件按无效处理</w:t>
      </w:r>
      <w:r>
        <w:rPr>
          <w:rFonts w:hint="eastAsia" w:ascii="宋体" w:hAnsi="宋体"/>
          <w:b/>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ab/>
      </w:r>
    </w:p>
    <w:p w14:paraId="2653A630">
      <w:pPr>
        <w:adjustRightInd w:val="0"/>
        <w:spacing w:line="360" w:lineRule="auto"/>
        <w:contextualSpacing/>
        <w:jc w:val="left"/>
        <w:rPr>
          <w:rFonts w:hint="eastAsia" w:ascii="宋体" w:hAnsi="宋体" w:cs="仿宋_GB2312"/>
          <w:color w:val="000000" w:themeColor="text1"/>
          <w:sz w:val="24"/>
          <w14:textFill>
            <w14:solidFill>
              <w14:schemeClr w14:val="tx1"/>
            </w14:solidFill>
          </w14:textFill>
        </w:rPr>
      </w:pPr>
    </w:p>
    <w:p w14:paraId="721B4F02">
      <w:pPr>
        <w:adjustRightInd w:val="0"/>
        <w:spacing w:line="360" w:lineRule="auto"/>
        <w:contextualSpacing/>
        <w:jc w:val="left"/>
        <w:rPr>
          <w:rFonts w:hint="eastAsia" w:ascii="宋体" w:hAnsi="宋体" w:cs="仿宋_GB2312"/>
          <w:color w:val="000000" w:themeColor="text1"/>
          <w:sz w:val="24"/>
          <w14:textFill>
            <w14:solidFill>
              <w14:schemeClr w14:val="tx1"/>
            </w14:solidFill>
          </w14:textFill>
        </w:rPr>
      </w:pPr>
    </w:p>
    <w:p w14:paraId="1CB2FC2F">
      <w:pPr>
        <w:adjustRightInd w:val="0"/>
        <w:spacing w:line="360" w:lineRule="auto"/>
        <w:contextualSpacing/>
        <w:jc w:val="left"/>
        <w:rPr>
          <w:rFonts w:hint="eastAsia" w:ascii="宋体" w:hAnsi="宋体" w:cs="仿宋_GB2312"/>
          <w:color w:val="000000" w:themeColor="text1"/>
          <w:sz w:val="24"/>
          <w14:textFill>
            <w14:solidFill>
              <w14:schemeClr w14:val="tx1"/>
            </w14:solidFill>
          </w14:textFill>
        </w:rPr>
      </w:pPr>
    </w:p>
    <w:p w14:paraId="198165AD">
      <w:pPr>
        <w:spacing w:line="360" w:lineRule="auto"/>
        <w:ind w:right="-817" w:rightChars="-389"/>
        <w:contextualSpacing/>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4266615">
      <w:pPr>
        <w:spacing w:line="360" w:lineRule="auto"/>
        <w:ind w:right="-817" w:rightChars="-389" w:firstLine="2880" w:firstLineChars="1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供应商名称（电子签章）：      </w:t>
      </w:r>
    </w:p>
    <w:p w14:paraId="2026EB01">
      <w:pPr>
        <w:spacing w:line="360" w:lineRule="auto"/>
        <w:ind w:right="-817" w:rightChars="-389" w:firstLine="2880" w:firstLineChars="1200"/>
        <w:contextualSpacing/>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101241C2">
      <w:pPr>
        <w:adjustRightInd w:val="0"/>
        <w:snapToGrid w:val="0"/>
        <w:spacing w:line="300" w:lineRule="auto"/>
        <w:rPr>
          <w:rFonts w:hint="eastAsia" w:ascii="宋体" w:hAnsi="宋体"/>
          <w:color w:val="000000" w:themeColor="text1"/>
          <w:szCs w:val="21"/>
          <w:u w:val="single"/>
          <w14:textFill>
            <w14:solidFill>
              <w14:schemeClr w14:val="tx1"/>
            </w14:solidFill>
          </w14:textFill>
        </w:rPr>
      </w:pPr>
    </w:p>
    <w:p w14:paraId="27717264">
      <w:pPr>
        <w:adjustRightInd w:val="0"/>
        <w:snapToGrid w:val="0"/>
        <w:spacing w:line="300" w:lineRule="auto"/>
        <w:rPr>
          <w:rFonts w:hint="eastAsia" w:ascii="宋体" w:hAnsi="宋体"/>
          <w:color w:val="000000" w:themeColor="text1"/>
          <w:szCs w:val="21"/>
          <w:u w:val="single"/>
          <w14:textFill>
            <w14:solidFill>
              <w14:schemeClr w14:val="tx1"/>
            </w14:solidFill>
          </w14:textFill>
        </w:rPr>
      </w:pPr>
    </w:p>
    <w:p w14:paraId="463E21AC">
      <w:pPr>
        <w:adjustRightInd w:val="0"/>
        <w:snapToGrid w:val="0"/>
        <w:spacing w:line="300" w:lineRule="auto"/>
        <w:rPr>
          <w:rFonts w:hint="eastAsia" w:ascii="宋体" w:hAnsi="宋体"/>
          <w:color w:val="000000" w:themeColor="text1"/>
          <w:szCs w:val="21"/>
          <w:u w:val="single"/>
          <w14:textFill>
            <w14:solidFill>
              <w14:schemeClr w14:val="tx1"/>
            </w14:solidFill>
          </w14:textFill>
        </w:rPr>
      </w:pPr>
    </w:p>
    <w:p w14:paraId="589E97ED">
      <w:pPr>
        <w:adjustRightInd w:val="0"/>
        <w:snapToGrid w:val="0"/>
        <w:spacing w:line="300" w:lineRule="auto"/>
        <w:rPr>
          <w:rFonts w:hint="eastAsia" w:ascii="宋体" w:hAnsi="宋体"/>
          <w:color w:val="000000" w:themeColor="text1"/>
          <w:szCs w:val="21"/>
          <w:u w:val="single"/>
          <w14:textFill>
            <w14:solidFill>
              <w14:schemeClr w14:val="tx1"/>
            </w14:solidFill>
          </w14:textFill>
        </w:rPr>
      </w:pPr>
    </w:p>
    <w:p w14:paraId="57375422">
      <w:pPr>
        <w:adjustRightInd w:val="0"/>
        <w:snapToGrid w:val="0"/>
        <w:spacing w:line="300" w:lineRule="auto"/>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技术要求偏离表</w:t>
      </w:r>
    </w:p>
    <w:p w14:paraId="00A391EB">
      <w:pPr>
        <w:spacing w:line="520" w:lineRule="exact"/>
        <w:rPr>
          <w:rFonts w:hint="eastAsia" w:ascii="仿宋_GB2312" w:hAnsi="仿宋_GB2312" w:eastAsia="仿宋_GB2312" w:cs="仿宋_GB2312"/>
          <w:color w:val="000000" w:themeColor="text1"/>
          <w:sz w:val="32"/>
          <w:szCs w:val="32"/>
          <w14:textFill>
            <w14:solidFill>
              <w14:schemeClr w14:val="tx1"/>
            </w14:solidFill>
          </w14:textFill>
        </w:rPr>
      </w:pPr>
    </w:p>
    <w:p w14:paraId="1E2197A0">
      <w:pPr>
        <w:spacing w:line="360" w:lineRule="auto"/>
        <w:rPr>
          <w:rFonts w:hint="eastAsia"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采购项目编号：</w:t>
      </w:r>
      <w:r>
        <w:rPr>
          <w:rFonts w:hint="eastAsia" w:ascii="宋体" w:hAnsi="宋体" w:cs="仿宋_GB2312"/>
          <w:color w:val="000000" w:themeColor="text1"/>
          <w:sz w:val="24"/>
          <w:u w:val="single"/>
          <w14:textFill>
            <w14:solidFill>
              <w14:schemeClr w14:val="tx1"/>
            </w14:solidFill>
          </w14:textFill>
        </w:rPr>
        <w:t xml:space="preserve">                 </w:t>
      </w:r>
    </w:p>
    <w:p w14:paraId="09C291E6">
      <w:pPr>
        <w:spacing w:line="360" w:lineRule="auto"/>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采购项目名称：</w:t>
      </w:r>
      <w:r>
        <w:rPr>
          <w:rFonts w:hint="eastAsia" w:ascii="宋体" w:hAnsi="宋体" w:cs="仿宋_GB2312"/>
          <w:color w:val="000000" w:themeColor="text1"/>
          <w:sz w:val="24"/>
          <w:u w:val="single"/>
          <w14:textFill>
            <w14:solidFill>
              <w14:schemeClr w14:val="tx1"/>
            </w14:solidFill>
          </w14:textFill>
        </w:rPr>
        <w:t xml:space="preserve">                 </w:t>
      </w:r>
    </w:p>
    <w:p w14:paraId="0863C916">
      <w:pPr>
        <w:spacing w:line="360" w:lineRule="auto"/>
        <w:rPr>
          <w:rFonts w:hint="eastAsia"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分标号：</w:t>
      </w:r>
      <w:r>
        <w:rPr>
          <w:rFonts w:hint="eastAsia" w:ascii="宋体" w:hAnsi="宋体" w:cs="仿宋_GB2312"/>
          <w:color w:val="000000" w:themeColor="text1"/>
          <w:sz w:val="24"/>
          <w:u w:val="single"/>
          <w14:textFill>
            <w14:solidFill>
              <w14:schemeClr w14:val="tx1"/>
            </w14:solidFill>
          </w14:textFill>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7"/>
        <w:gridCol w:w="858"/>
        <w:gridCol w:w="2847"/>
        <w:gridCol w:w="2562"/>
        <w:gridCol w:w="1398"/>
      </w:tblGrid>
      <w:tr w14:paraId="103C0A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20" w:hRule="atLeast"/>
          <w:jc w:val="center"/>
        </w:trPr>
        <w:tc>
          <w:tcPr>
            <w:tcW w:w="503" w:type="pct"/>
            <w:vAlign w:val="center"/>
          </w:tcPr>
          <w:p w14:paraId="77260660">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序号</w:t>
            </w:r>
          </w:p>
        </w:tc>
        <w:tc>
          <w:tcPr>
            <w:tcW w:w="503" w:type="pct"/>
            <w:tcBorders>
              <w:right w:val="single" w:color="auto" w:sz="4" w:space="0"/>
            </w:tcBorders>
            <w:vAlign w:val="center"/>
          </w:tcPr>
          <w:p w14:paraId="08CF8DF9">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名称</w:t>
            </w:r>
          </w:p>
        </w:tc>
        <w:tc>
          <w:tcPr>
            <w:tcW w:w="1670" w:type="pct"/>
            <w:tcBorders>
              <w:left w:val="single" w:color="auto" w:sz="4" w:space="0"/>
            </w:tcBorders>
            <w:vAlign w:val="center"/>
          </w:tcPr>
          <w:p w14:paraId="1D863358">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谈判文件要求</w:t>
            </w:r>
          </w:p>
        </w:tc>
        <w:tc>
          <w:tcPr>
            <w:tcW w:w="1503" w:type="pct"/>
            <w:vAlign w:val="center"/>
          </w:tcPr>
          <w:p w14:paraId="406C7F0D">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竞标响应</w:t>
            </w:r>
          </w:p>
        </w:tc>
        <w:tc>
          <w:tcPr>
            <w:tcW w:w="820" w:type="pct"/>
            <w:vAlign w:val="center"/>
          </w:tcPr>
          <w:p w14:paraId="1D52E586">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偏离说明</w:t>
            </w:r>
          </w:p>
        </w:tc>
      </w:tr>
      <w:tr w14:paraId="6776C0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A648796">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1</w:t>
            </w:r>
          </w:p>
        </w:tc>
        <w:tc>
          <w:tcPr>
            <w:tcW w:w="503" w:type="pct"/>
            <w:tcBorders>
              <w:right w:val="single" w:color="auto" w:sz="4" w:space="0"/>
            </w:tcBorders>
            <w:vAlign w:val="center"/>
          </w:tcPr>
          <w:p w14:paraId="2DB26E3E">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313C17D1">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696A77DA">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vAlign w:val="center"/>
          </w:tcPr>
          <w:p w14:paraId="3484D89D">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r w14:paraId="2FF2AD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51C4A514">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2</w:t>
            </w:r>
          </w:p>
        </w:tc>
        <w:tc>
          <w:tcPr>
            <w:tcW w:w="503" w:type="pct"/>
            <w:tcBorders>
              <w:right w:val="single" w:color="auto" w:sz="4" w:space="0"/>
            </w:tcBorders>
            <w:vAlign w:val="center"/>
          </w:tcPr>
          <w:p w14:paraId="7FFDC648">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45ACA613">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0B6C12BA">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vAlign w:val="center"/>
          </w:tcPr>
          <w:p w14:paraId="4C172BA8">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r w14:paraId="58BCFB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0C02DFFA">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3</w:t>
            </w:r>
          </w:p>
        </w:tc>
        <w:tc>
          <w:tcPr>
            <w:tcW w:w="503" w:type="pct"/>
            <w:tcBorders>
              <w:right w:val="single" w:color="auto" w:sz="4" w:space="0"/>
            </w:tcBorders>
            <w:vAlign w:val="center"/>
          </w:tcPr>
          <w:p w14:paraId="6557445F">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5FE6E672">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38239FDF">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vAlign w:val="center"/>
          </w:tcPr>
          <w:p w14:paraId="49B8FC89">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r w14:paraId="104B19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505338C">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4</w:t>
            </w:r>
          </w:p>
        </w:tc>
        <w:tc>
          <w:tcPr>
            <w:tcW w:w="503" w:type="pct"/>
            <w:tcBorders>
              <w:right w:val="single" w:color="auto" w:sz="4" w:space="0"/>
            </w:tcBorders>
            <w:vAlign w:val="center"/>
          </w:tcPr>
          <w:p w14:paraId="1397643E">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31ED64F5">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7B46DAF3">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vAlign w:val="center"/>
          </w:tcPr>
          <w:p w14:paraId="684A9536">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r w14:paraId="6411F3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C0CD8CC">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5</w:t>
            </w:r>
          </w:p>
        </w:tc>
        <w:tc>
          <w:tcPr>
            <w:tcW w:w="503" w:type="pct"/>
            <w:tcBorders>
              <w:right w:val="single" w:color="auto" w:sz="4" w:space="0"/>
            </w:tcBorders>
            <w:vAlign w:val="center"/>
          </w:tcPr>
          <w:p w14:paraId="03E5D21F">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22BA91BB">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6A757BB0">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vAlign w:val="center"/>
          </w:tcPr>
          <w:p w14:paraId="3816F717">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r w14:paraId="256586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1FAE3D3D">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r>
              <w:rPr>
                <w:rFonts w:hint="eastAsia" w:ascii="宋体" w:hAnsi="宋体" w:eastAsia="宋体" w:cs="仿宋_GB2312"/>
                <w:color w:val="000000" w:themeColor="text1"/>
                <w:kern w:val="2"/>
                <w:sz w:val="24"/>
                <w:szCs w:val="24"/>
                <w14:textFill>
                  <w14:solidFill>
                    <w14:schemeClr w14:val="tx1"/>
                  </w14:solidFill>
                </w14:textFill>
              </w:rPr>
              <w:t>…</w:t>
            </w:r>
          </w:p>
        </w:tc>
        <w:tc>
          <w:tcPr>
            <w:tcW w:w="503" w:type="pct"/>
            <w:tcBorders>
              <w:right w:val="single" w:color="auto" w:sz="4" w:space="0"/>
            </w:tcBorders>
            <w:vAlign w:val="center"/>
          </w:tcPr>
          <w:p w14:paraId="7A701636">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670" w:type="pct"/>
            <w:tcBorders>
              <w:left w:val="single" w:color="auto" w:sz="4" w:space="0"/>
            </w:tcBorders>
            <w:vAlign w:val="center"/>
          </w:tcPr>
          <w:p w14:paraId="391119A4">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1503" w:type="pct"/>
            <w:vAlign w:val="center"/>
          </w:tcPr>
          <w:p w14:paraId="60118483">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c>
          <w:tcPr>
            <w:tcW w:w="820" w:type="pct"/>
            <w:tcBorders>
              <w:right w:val="single" w:color="auto" w:sz="4" w:space="0"/>
            </w:tcBorders>
            <w:vAlign w:val="center"/>
          </w:tcPr>
          <w:p w14:paraId="1B1590ED">
            <w:pPr>
              <w:pStyle w:val="10"/>
              <w:spacing w:line="360" w:lineRule="auto"/>
              <w:ind w:firstLine="0" w:firstLineChars="0"/>
              <w:jc w:val="center"/>
              <w:rPr>
                <w:rFonts w:hint="eastAsia" w:ascii="宋体" w:hAnsi="宋体" w:eastAsia="宋体" w:cs="仿宋_GB2312"/>
                <w:color w:val="000000" w:themeColor="text1"/>
                <w:kern w:val="2"/>
                <w:sz w:val="24"/>
                <w:szCs w:val="24"/>
                <w14:textFill>
                  <w14:solidFill>
                    <w14:schemeClr w14:val="tx1"/>
                  </w14:solidFill>
                </w14:textFill>
              </w:rPr>
            </w:pPr>
          </w:p>
        </w:tc>
      </w:tr>
    </w:tbl>
    <w:p w14:paraId="42F2255E">
      <w:pPr>
        <w:pStyle w:val="10"/>
        <w:spacing w:line="360" w:lineRule="auto"/>
        <w:ind w:firstLine="0" w:firstLineChars="0"/>
        <w:contextualSpacing/>
        <w:rPr>
          <w:rFonts w:hint="eastAsia"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注：</w:t>
      </w:r>
    </w:p>
    <w:p w14:paraId="5E906362">
      <w:pPr>
        <w:pStyle w:val="10"/>
        <w:spacing w:line="360" w:lineRule="auto"/>
        <w:ind w:firstLine="0" w:firstLineChars="0"/>
        <w:contextualSpacing/>
        <w:rPr>
          <w:rFonts w:hint="eastAsia"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1. 说明：应对照谈判文件“第三章 采购需求”中的技术要求逐条实质性响应，并作出偏离说明。</w:t>
      </w:r>
    </w:p>
    <w:p w14:paraId="64419771">
      <w:pPr>
        <w:pStyle w:val="10"/>
        <w:spacing w:line="360" w:lineRule="auto"/>
        <w:ind w:firstLine="0" w:firstLineChars="0"/>
        <w:contextualSpacing/>
        <w:rPr>
          <w:rFonts w:hint="eastAsia"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2.供应商应根据竞标设备的性能指标，对照谈判文件要求，在“偏离说明”中注明“正偏离”“负偏离”或者“无偏离”。既不属于“正偏离”也不属于“负偏离”即为“无偏离”。</w:t>
      </w:r>
    </w:p>
    <w:p w14:paraId="435BB905">
      <w:pPr>
        <w:pStyle w:val="10"/>
        <w:spacing w:line="360" w:lineRule="auto"/>
        <w:ind w:firstLine="0" w:firstLineChars="0"/>
        <w:contextualSpacing/>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3.供应商认为其竞标响应有正偏离的，请在技术要求偏离表中列明，且在响应文件中提供竞标产品的彩页或</w:t>
      </w:r>
      <w:r>
        <w:rPr>
          <w:rFonts w:ascii="宋体" w:hAnsi="宋体" w:eastAsia="宋体"/>
          <w:color w:val="000000" w:themeColor="text1"/>
          <w:sz w:val="24"/>
          <w:szCs w:val="24"/>
          <w14:textFill>
            <w14:solidFill>
              <w14:schemeClr w14:val="tx1"/>
            </w14:solidFill>
          </w14:textFill>
        </w:rPr>
        <w:t>国家认可有资质的第三方检测机构出具的检测报告复印件</w:t>
      </w:r>
      <w:r>
        <w:rPr>
          <w:rFonts w:hint="eastAsia" w:ascii="宋体" w:hAnsi="宋体" w:eastAsia="宋体"/>
          <w:color w:val="000000" w:themeColor="text1"/>
          <w:sz w:val="24"/>
          <w:szCs w:val="24"/>
          <w14:textFill>
            <w14:solidFill>
              <w14:schemeClr w14:val="tx1"/>
            </w14:solidFill>
          </w14:textFill>
        </w:rPr>
        <w:t>或产品生产厂家出具的技术参数说明证明作为佐证，以上佐证材料均需加盖生产厂家或代理商（附生产厂家授权资料）公章。</w:t>
      </w:r>
    </w:p>
    <w:p w14:paraId="30D5CF08">
      <w:pPr>
        <w:pStyle w:val="10"/>
        <w:spacing w:line="360" w:lineRule="auto"/>
        <w:ind w:firstLine="0" w:firstLineChars="0"/>
        <w:contextualSpacing/>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 xml:space="preserve"> 如技术要求偏离表中的竞标响应与佐证材料不一致的，以佐证材料为准。</w:t>
      </w:r>
    </w:p>
    <w:p w14:paraId="1574340F">
      <w:pPr>
        <w:pStyle w:val="10"/>
        <w:spacing w:line="360" w:lineRule="auto"/>
        <w:ind w:firstLine="0" w:firstLineChars="0"/>
        <w:contextualSpacing/>
        <w:rPr>
          <w:rFonts w:hint="eastAsia" w:ascii="宋体" w:hAnsi="宋体" w:eastAsia="宋体" w:cs="仿宋_GB2312"/>
          <w:color w:val="000000" w:themeColor="text1"/>
          <w:sz w:val="24"/>
          <w:szCs w:val="24"/>
          <w14:textFill>
            <w14:solidFill>
              <w14:schemeClr w14:val="tx1"/>
            </w14:solidFill>
          </w14:textFill>
        </w:rPr>
      </w:pPr>
    </w:p>
    <w:p w14:paraId="25FDE83C">
      <w:pPr>
        <w:spacing w:line="360" w:lineRule="auto"/>
        <w:ind w:right="-817" w:rightChars="-389"/>
        <w:contextualSpacing/>
        <w:rPr>
          <w:rFonts w:hint="eastAsia" w:ascii="宋体" w:hAnsi="宋体" w:cs="仿宋_GB2312"/>
          <w:color w:val="000000" w:themeColor="text1"/>
          <w:sz w:val="24"/>
          <w14:textFill>
            <w14:solidFill>
              <w14:schemeClr w14:val="tx1"/>
            </w14:solidFill>
          </w14:textFill>
        </w:rPr>
      </w:pPr>
    </w:p>
    <w:p w14:paraId="18C315E6">
      <w:pPr>
        <w:spacing w:line="360" w:lineRule="auto"/>
        <w:ind w:right="-817" w:rightChars="-389"/>
        <w:contextualSpacing/>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F2BD2B4">
      <w:pPr>
        <w:spacing w:line="360" w:lineRule="auto"/>
        <w:ind w:right="-817" w:rightChars="-389" w:firstLine="2880" w:firstLineChars="1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供应商名称（电子签章）：      </w:t>
      </w:r>
    </w:p>
    <w:p w14:paraId="1F3EF512">
      <w:pPr>
        <w:spacing w:line="360" w:lineRule="auto"/>
        <w:ind w:right="-817" w:rightChars="-389" w:firstLine="2880" w:firstLineChars="1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324B320C">
      <w:pPr>
        <w:snapToGrid w:val="0"/>
        <w:spacing w:before="50" w:after="50" w:line="360" w:lineRule="auto"/>
        <w:ind w:right="-817" w:rightChars="-389"/>
        <w:rPr>
          <w:rFonts w:hint="eastAsia" w:ascii="BatangChe" w:hAnsi="BatangChe" w:eastAsia="BatangChe" w:cs="BatangChe"/>
          <w:b w:val="0"/>
          <w:bCs w:val="0"/>
          <w:color w:val="000000" w:themeColor="text1"/>
          <w:sz w:val="32"/>
          <w:szCs w:val="32"/>
          <w:lang w:val="en-US" w:eastAsia="zh-CN"/>
          <w14:textFill>
            <w14:solidFill>
              <w14:schemeClr w14:val="tx1"/>
            </w14:solidFill>
          </w14:textFill>
        </w:rPr>
      </w:pPr>
      <w:r>
        <w:rPr>
          <w:rFonts w:ascii="宋体" w:hAnsi="宋体"/>
          <w:b/>
          <w:bCs/>
          <w:color w:val="000000" w:themeColor="text1"/>
          <w:sz w:val="24"/>
          <w14:textFill>
            <w14:solidFill>
              <w14:schemeClr w14:val="tx1"/>
            </w14:solidFill>
          </w14:textFill>
        </w:rPr>
        <w:br w:type="page"/>
      </w:r>
      <w:r>
        <w:rPr>
          <w:rFonts w:hint="eastAsia" w:ascii="宋体" w:hAnsi="宋体"/>
          <w:b/>
          <w:bCs/>
          <w:color w:val="000000" w:themeColor="text1"/>
          <w:sz w:val="24"/>
          <w14:textFill>
            <w14:solidFill>
              <w14:schemeClr w14:val="tx1"/>
            </w14:solidFill>
          </w14:textFill>
        </w:rPr>
        <w:t>其他文书、文件格式</w:t>
      </w:r>
      <w:bookmarkStart w:id="34" w:name="_Toc71365383"/>
      <w:bookmarkStart w:id="35" w:name="_Toc71366061"/>
    </w:p>
    <w:p w14:paraId="4BA83746">
      <w:pPr>
        <w:spacing w:line="520" w:lineRule="exact"/>
        <w:jc w:val="cente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最后报价表</w:t>
      </w:r>
    </w:p>
    <w:p w14:paraId="4DCE6FA2">
      <w:pPr>
        <w:spacing w:line="360" w:lineRule="auto"/>
        <w:ind w:firstLine="482" w:firstLineChars="200"/>
        <w:rPr>
          <w:rFonts w:hint="eastAsia" w:ascii="宋体" w:hAnsi="宋体"/>
          <w:b/>
          <w:bCs/>
          <w:color w:val="000000" w:themeColor="text1"/>
          <w:sz w:val="24"/>
          <w:szCs w:val="24"/>
          <w14:textFill>
            <w14:solidFill>
              <w14:schemeClr w14:val="tx1"/>
            </w14:solidFill>
          </w14:textFill>
        </w:rPr>
      </w:pPr>
    </w:p>
    <w:p w14:paraId="2DEED76B">
      <w:pPr>
        <w:spacing w:line="360" w:lineRule="auto"/>
        <w:ind w:firstLine="482" w:firstLineChars="200"/>
        <w:rPr>
          <w:rFonts w:hint="eastAsia" w:ascii="宋体" w:hAnsi="宋体" w:eastAsia="宋体"/>
          <w:b/>
          <w:bCs/>
          <w:color w:val="000000" w:themeColor="text1"/>
          <w:sz w:val="24"/>
          <w:szCs w:val="24"/>
          <w:u w:val="single"/>
          <w:lang w:eastAsia="zh-CN"/>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项目名称：</w:t>
      </w:r>
    </w:p>
    <w:p w14:paraId="6772A6CF">
      <w:pPr>
        <w:spacing w:line="360" w:lineRule="auto"/>
        <w:ind w:firstLine="482" w:firstLineChars="200"/>
        <w:rPr>
          <w:rFonts w:hint="eastAsia" w:ascii="宋体" w:hAnsi="宋体"/>
          <w:b/>
          <w:bCs/>
          <w:color w:val="000000" w:themeColor="text1"/>
          <w:sz w:val="24"/>
          <w:szCs w:val="24"/>
          <w:highlight w:val="none"/>
          <w:lang w:eastAsia="zh-CN"/>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项目编号：</w:t>
      </w:r>
    </w:p>
    <w:p w14:paraId="46E19D01">
      <w:pPr>
        <w:pStyle w:val="80"/>
        <w:rPr>
          <w:rFonts w:hint="eastAsia"/>
          <w:color w:val="000000" w:themeColor="text1"/>
          <w14:textFill>
            <w14:solidFill>
              <w14:schemeClr w14:val="tx1"/>
            </w14:solidFill>
          </w14:textFill>
        </w:rPr>
      </w:pPr>
    </w:p>
    <w:tbl>
      <w:tblPr>
        <w:tblStyle w:val="22"/>
        <w:tblW w:w="52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647"/>
        <w:gridCol w:w="2155"/>
        <w:gridCol w:w="1341"/>
        <w:gridCol w:w="1249"/>
        <w:gridCol w:w="915"/>
        <w:gridCol w:w="1183"/>
        <w:gridCol w:w="1700"/>
      </w:tblGrid>
      <w:tr w14:paraId="0798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727" w:hRule="atLeast"/>
        </w:trPr>
        <w:tc>
          <w:tcPr>
            <w:tcW w:w="352" w:type="pct"/>
            <w:shd w:val="clear" w:color="auto" w:fill="FFFFFF"/>
            <w:noWrap w:val="0"/>
            <w:tcMar>
              <w:top w:w="165" w:type="dxa"/>
              <w:left w:w="240" w:type="dxa"/>
              <w:bottom w:w="165" w:type="dxa"/>
              <w:right w:w="240" w:type="dxa"/>
            </w:tcMar>
            <w:vAlign w:val="center"/>
          </w:tcPr>
          <w:p w14:paraId="6598A35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ascii="微软雅黑" w:hAnsi="微软雅黑" w:eastAsia="微软雅黑" w:cs="微软雅黑"/>
                <w:b/>
                <w:bCs/>
                <w:i w:val="0"/>
                <w:iCs w:val="0"/>
                <w:caps w:val="0"/>
                <w:color w:val="000000" w:themeColor="text1"/>
                <w:spacing w:val="0"/>
                <w:sz w:val="21"/>
                <w:szCs w:val="21"/>
                <w14:textFill>
                  <w14:solidFill>
                    <w14:schemeClr w14:val="tx1"/>
                  </w14:solidFill>
                </w14:textFill>
              </w:rPr>
            </w:pPr>
            <w:r>
              <w:rPr>
                <w:rFonts w:hint="eastAsia" w:ascii="微软雅黑" w:hAnsi="微软雅黑" w:eastAsia="微软雅黑" w:cs="微软雅黑"/>
                <w:b/>
                <w:bCs/>
                <w:i w:val="0"/>
                <w:iCs w:val="0"/>
                <w:caps w:val="0"/>
                <w:color w:val="000000" w:themeColor="text1"/>
                <w:spacing w:val="0"/>
                <w:kern w:val="0"/>
                <w:sz w:val="21"/>
                <w:szCs w:val="21"/>
                <w:lang w:val="en-US" w:eastAsia="zh-CN" w:bidi="ar"/>
                <w14:textFill>
                  <w14:solidFill>
                    <w14:schemeClr w14:val="tx1"/>
                  </w14:solidFill>
                </w14:textFill>
              </w:rPr>
              <w:t>序号</w:t>
            </w:r>
          </w:p>
        </w:tc>
        <w:tc>
          <w:tcPr>
            <w:tcW w:w="1172" w:type="pct"/>
            <w:shd w:val="clear" w:color="auto" w:fill="FFFFFF"/>
            <w:noWrap w:val="0"/>
            <w:tcMar>
              <w:top w:w="165" w:type="dxa"/>
              <w:left w:w="240" w:type="dxa"/>
              <w:bottom w:w="165" w:type="dxa"/>
              <w:right w:w="240" w:type="dxa"/>
            </w:tcMar>
            <w:vAlign w:val="center"/>
          </w:tcPr>
          <w:p w14:paraId="3001F96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Theme="minorEastAsia" w:hAnsiTheme="minorEastAsia" w:eastAsiaTheme="minorEastAsia" w:cstheme="minorEastAsia"/>
                <w:b/>
                <w:bCs/>
                <w:i w:val="0"/>
                <w:iCs w:val="0"/>
                <w:caps w:val="0"/>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1"/>
                <w:szCs w:val="21"/>
                <w:lang w:val="en-US" w:eastAsia="zh-CN" w:bidi="ar"/>
                <w14:textFill>
                  <w14:solidFill>
                    <w14:schemeClr w14:val="tx1"/>
                  </w14:solidFill>
                </w14:textFill>
              </w:rPr>
              <w:t>标的名称</w:t>
            </w:r>
          </w:p>
        </w:tc>
        <w:tc>
          <w:tcPr>
            <w:tcW w:w="729" w:type="pct"/>
            <w:shd w:val="clear" w:color="auto" w:fill="FFFFFF"/>
            <w:noWrap w:val="0"/>
            <w:tcMar>
              <w:top w:w="165" w:type="dxa"/>
              <w:left w:w="240" w:type="dxa"/>
              <w:bottom w:w="165" w:type="dxa"/>
              <w:right w:w="240" w:type="dxa"/>
            </w:tcMar>
            <w:vAlign w:val="center"/>
          </w:tcPr>
          <w:p w14:paraId="3B0CD03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Theme="minorEastAsia" w:hAnsiTheme="minorEastAsia" w:eastAsiaTheme="minorEastAsia" w:cstheme="minorEastAsia"/>
                <w:b/>
                <w:bCs/>
                <w:i w:val="0"/>
                <w:iCs w:val="0"/>
                <w:caps w:val="0"/>
                <w:color w:val="000000" w:themeColor="text1"/>
                <w:spacing w:val="0"/>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1"/>
                <w:szCs w:val="21"/>
                <w:lang w:val="en-US" w:eastAsia="zh-CN" w:bidi="ar"/>
                <w14:textFill>
                  <w14:solidFill>
                    <w14:schemeClr w14:val="tx1"/>
                  </w14:solidFill>
                </w14:textFill>
              </w:rPr>
              <w:t>所属行业</w:t>
            </w:r>
          </w:p>
        </w:tc>
        <w:tc>
          <w:tcPr>
            <w:tcW w:w="679" w:type="pct"/>
            <w:shd w:val="clear" w:color="auto" w:fill="FFFFFF"/>
            <w:noWrap w:val="0"/>
            <w:tcMar>
              <w:top w:w="165" w:type="dxa"/>
              <w:left w:w="240" w:type="dxa"/>
              <w:bottom w:w="165" w:type="dxa"/>
              <w:right w:w="240" w:type="dxa"/>
            </w:tcMar>
            <w:vAlign w:val="center"/>
          </w:tcPr>
          <w:p w14:paraId="4E1E262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Theme="minorEastAsia" w:hAnsiTheme="minorEastAsia" w:eastAsiaTheme="minorEastAsia" w:cstheme="minorEastAsia"/>
                <w:b/>
                <w:bCs/>
                <w:i w:val="0"/>
                <w:iCs w:val="0"/>
                <w:caps w:val="0"/>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1"/>
                <w:szCs w:val="21"/>
                <w:lang w:val="en-US" w:eastAsia="zh-CN" w:bidi="ar"/>
                <w14:textFill>
                  <w14:solidFill>
                    <w14:schemeClr w14:val="tx1"/>
                  </w14:solidFill>
                </w14:textFill>
              </w:rPr>
              <w:t>数量及单位</w:t>
            </w:r>
            <w:r>
              <w:rPr>
                <w:rFonts w:hint="eastAsia" w:ascii="宋体" w:hAnsi="宋体" w:cs="仿宋_GB2312"/>
                <w:b/>
                <w:bCs/>
                <w:color w:val="000000" w:themeColor="text1"/>
                <w:sz w:val="24"/>
                <w14:textFill>
                  <w14:solidFill>
                    <w14:schemeClr w14:val="tx1"/>
                  </w14:solidFill>
                </w14:textFill>
              </w:rPr>
              <w:t>①</w:t>
            </w:r>
          </w:p>
        </w:tc>
        <w:tc>
          <w:tcPr>
            <w:tcW w:w="497" w:type="pct"/>
            <w:shd w:val="clear" w:color="auto" w:fill="FFFFFF"/>
            <w:noWrap w:val="0"/>
            <w:tcMar>
              <w:top w:w="165" w:type="dxa"/>
              <w:left w:w="240" w:type="dxa"/>
              <w:bottom w:w="165" w:type="dxa"/>
              <w:right w:w="240" w:type="dxa"/>
            </w:tcMar>
            <w:vAlign w:val="center"/>
          </w:tcPr>
          <w:p w14:paraId="47422AF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Theme="minorEastAsia" w:hAnsiTheme="minorEastAsia" w:eastAsiaTheme="minorEastAsia" w:cstheme="minorEastAsia"/>
                <w:b/>
                <w:bCs/>
                <w:i w:val="0"/>
                <w:iCs w:val="0"/>
                <w:caps w:val="0"/>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1"/>
                <w:szCs w:val="21"/>
                <w:lang w:val="en-US" w:eastAsia="zh-CN"/>
                <w14:textFill>
                  <w14:solidFill>
                    <w14:schemeClr w14:val="tx1"/>
                  </w14:solidFill>
                </w14:textFill>
              </w:rPr>
              <w:t>品牌</w:t>
            </w:r>
          </w:p>
        </w:tc>
        <w:tc>
          <w:tcPr>
            <w:tcW w:w="643" w:type="pct"/>
            <w:shd w:val="clear" w:color="auto" w:fill="FFFFFF"/>
            <w:noWrap w:val="0"/>
            <w:tcMar>
              <w:top w:w="165" w:type="dxa"/>
              <w:left w:w="240" w:type="dxa"/>
              <w:bottom w:w="165" w:type="dxa"/>
              <w:right w:w="240" w:type="dxa"/>
            </w:tcMar>
            <w:vAlign w:val="center"/>
          </w:tcPr>
          <w:p w14:paraId="4EC1208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Theme="minorEastAsia" w:hAnsiTheme="minorEastAsia" w:eastAsiaTheme="minorEastAsia" w:cstheme="minorEastAsia"/>
                <w:b/>
                <w:bCs/>
                <w:i w:val="0"/>
                <w:iCs w:val="0"/>
                <w:caps w:val="0"/>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1"/>
                <w:szCs w:val="21"/>
                <w:lang w:val="en-US" w:eastAsia="zh-CN" w:bidi="ar"/>
                <w14:textFill>
                  <w14:solidFill>
                    <w14:schemeClr w14:val="tx1"/>
                  </w14:solidFill>
                </w14:textFill>
              </w:rPr>
              <w:t>单价（元）</w:t>
            </w:r>
            <w:r>
              <w:rPr>
                <w:rFonts w:hint="eastAsia" w:ascii="宋体" w:hAnsi="宋体" w:cs="仿宋_GB2312"/>
                <w:b/>
                <w:bCs/>
                <w:color w:val="000000" w:themeColor="text1"/>
                <w:sz w:val="24"/>
                <w14:textFill>
                  <w14:solidFill>
                    <w14:schemeClr w14:val="tx1"/>
                  </w14:solidFill>
                </w14:textFill>
              </w:rPr>
              <w:t>②</w:t>
            </w:r>
          </w:p>
        </w:tc>
        <w:tc>
          <w:tcPr>
            <w:tcW w:w="924" w:type="pct"/>
            <w:shd w:val="clear" w:color="auto" w:fill="FFFFFF"/>
            <w:noWrap w:val="0"/>
            <w:tcMar>
              <w:top w:w="165" w:type="dxa"/>
              <w:left w:w="240" w:type="dxa"/>
              <w:bottom w:w="165" w:type="dxa"/>
              <w:right w:w="240" w:type="dxa"/>
            </w:tcMar>
            <w:vAlign w:val="center"/>
          </w:tcPr>
          <w:p w14:paraId="20CE5068">
            <w:pPr>
              <w:spacing w:line="360" w:lineRule="auto"/>
              <w:jc w:val="center"/>
              <w:rPr>
                <w:rFonts w:hint="default" w:ascii="宋体" w:hAnsi="宋体" w:eastAsia="宋体" w:cs="仿宋_GB2312"/>
                <w:b/>
                <w:bCs/>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竞标报价</w:t>
            </w:r>
            <w:r>
              <w:rPr>
                <w:rFonts w:hint="eastAsia" w:ascii="宋体" w:hAnsi="宋体" w:cs="仿宋_GB2312"/>
                <w:b/>
                <w:bCs/>
                <w:color w:val="000000" w:themeColor="text1"/>
                <w:sz w:val="24"/>
                <w:lang w:eastAsia="zh-CN"/>
                <w14:textFill>
                  <w14:solidFill>
                    <w14:schemeClr w14:val="tx1"/>
                  </w14:solidFill>
                </w14:textFill>
              </w:rPr>
              <w:t>（</w:t>
            </w:r>
            <w:r>
              <w:rPr>
                <w:rFonts w:hint="eastAsia" w:ascii="宋体" w:hAnsi="宋体" w:cs="仿宋_GB2312"/>
                <w:b/>
                <w:bCs/>
                <w:color w:val="000000" w:themeColor="text1"/>
                <w:sz w:val="24"/>
                <w:lang w:val="en-US" w:eastAsia="zh-CN"/>
                <w14:textFill>
                  <w14:solidFill>
                    <w14:schemeClr w14:val="tx1"/>
                  </w14:solidFill>
                </w14:textFill>
              </w:rPr>
              <w:t>元）</w:t>
            </w:r>
          </w:p>
          <w:p w14:paraId="45124AF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jc w:val="center"/>
              <w:rPr>
                <w:rFonts w:hint="eastAsia" w:asciiTheme="minorEastAsia" w:hAnsiTheme="minorEastAsia" w:eastAsiaTheme="minorEastAsia" w:cstheme="minorEastAsia"/>
                <w:b/>
                <w:bCs/>
                <w:i w:val="0"/>
                <w:iCs w:val="0"/>
                <w:caps w:val="0"/>
                <w:color w:val="000000" w:themeColor="text1"/>
                <w:spacing w:val="0"/>
                <w:sz w:val="21"/>
                <w:szCs w:val="21"/>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③=①×②</w:t>
            </w:r>
          </w:p>
        </w:tc>
      </w:tr>
      <w:tr w14:paraId="34B8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70" w:hRule="exact"/>
        </w:trPr>
        <w:tc>
          <w:tcPr>
            <w:tcW w:w="352" w:type="pct"/>
            <w:shd w:val="clear" w:color="auto" w:fill="FFFFFF"/>
            <w:noWrap w:val="0"/>
            <w:tcMar>
              <w:top w:w="165" w:type="dxa"/>
              <w:left w:w="240" w:type="dxa"/>
              <w:bottom w:w="165" w:type="dxa"/>
              <w:right w:w="240" w:type="dxa"/>
            </w:tcMar>
            <w:vAlign w:val="center"/>
          </w:tcPr>
          <w:p w14:paraId="70A97A4B">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172" w:type="pct"/>
            <w:shd w:val="clear" w:color="auto" w:fill="FFFFFF"/>
            <w:noWrap w:val="0"/>
            <w:tcMar>
              <w:top w:w="165" w:type="dxa"/>
              <w:left w:w="240" w:type="dxa"/>
              <w:bottom w:w="165" w:type="dxa"/>
              <w:right w:w="240" w:type="dxa"/>
            </w:tcMar>
            <w:vAlign w:val="center"/>
          </w:tcPr>
          <w:p w14:paraId="4AB25C2E">
            <w:pPr>
              <w:rPr>
                <w:rFonts w:hint="eastAsia"/>
                <w:color w:val="000000" w:themeColor="text1"/>
                <w14:textFill>
                  <w14:solidFill>
                    <w14:schemeClr w14:val="tx1"/>
                  </w14:solidFill>
                </w14:textFill>
              </w:rPr>
            </w:pPr>
          </w:p>
        </w:tc>
        <w:tc>
          <w:tcPr>
            <w:tcW w:w="729" w:type="pct"/>
            <w:shd w:val="clear" w:color="auto" w:fill="FFFFFF"/>
            <w:noWrap w:val="0"/>
            <w:tcMar>
              <w:top w:w="165" w:type="dxa"/>
              <w:left w:w="240" w:type="dxa"/>
              <w:bottom w:w="165" w:type="dxa"/>
              <w:right w:w="240" w:type="dxa"/>
            </w:tcMar>
            <w:vAlign w:val="center"/>
          </w:tcPr>
          <w:p w14:paraId="3243EF5D">
            <w:pPr>
              <w:rPr>
                <w:rFonts w:hint="eastAsia"/>
                <w:color w:val="000000" w:themeColor="text1"/>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40BCDDF6">
            <w:pPr>
              <w:rPr>
                <w:rFonts w:hint="eastAsia"/>
                <w:color w:val="000000" w:themeColor="text1"/>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5B026CD3">
            <w:pPr>
              <w:rPr>
                <w:rFonts w:hint="eastAsia"/>
                <w:color w:val="000000" w:themeColor="text1"/>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6A4EB4CD">
            <w:pPr>
              <w:rPr>
                <w:rFonts w:hint="eastAsia"/>
                <w:color w:val="000000" w:themeColor="text1"/>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7684F9D3">
            <w:pPr>
              <w:rPr>
                <w:rFonts w:hint="eastAsia"/>
                <w:color w:val="000000" w:themeColor="text1"/>
                <w14:textFill>
                  <w14:solidFill>
                    <w14:schemeClr w14:val="tx1"/>
                  </w14:solidFill>
                </w14:textFill>
              </w:rPr>
            </w:pPr>
          </w:p>
        </w:tc>
      </w:tr>
      <w:tr w14:paraId="7B98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70" w:hRule="exact"/>
        </w:trPr>
        <w:tc>
          <w:tcPr>
            <w:tcW w:w="352" w:type="pct"/>
            <w:shd w:val="clear" w:color="auto" w:fill="FFFFFF"/>
            <w:noWrap w:val="0"/>
            <w:tcMar>
              <w:top w:w="165" w:type="dxa"/>
              <w:left w:w="240" w:type="dxa"/>
              <w:bottom w:w="165" w:type="dxa"/>
              <w:right w:w="240" w:type="dxa"/>
            </w:tcMar>
            <w:vAlign w:val="center"/>
          </w:tcPr>
          <w:p w14:paraId="18D230A0">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1172" w:type="pct"/>
            <w:shd w:val="clear" w:color="auto" w:fill="FFFFFF"/>
            <w:noWrap w:val="0"/>
            <w:tcMar>
              <w:top w:w="165" w:type="dxa"/>
              <w:left w:w="240" w:type="dxa"/>
              <w:bottom w:w="165" w:type="dxa"/>
              <w:right w:w="240" w:type="dxa"/>
            </w:tcMar>
            <w:vAlign w:val="center"/>
          </w:tcPr>
          <w:p w14:paraId="1805844A">
            <w:pPr>
              <w:rPr>
                <w:rFonts w:hint="eastAsia"/>
                <w:color w:val="000000" w:themeColor="text1"/>
                <w14:textFill>
                  <w14:solidFill>
                    <w14:schemeClr w14:val="tx1"/>
                  </w14:solidFill>
                </w14:textFill>
              </w:rPr>
            </w:pPr>
          </w:p>
        </w:tc>
        <w:tc>
          <w:tcPr>
            <w:tcW w:w="729" w:type="pct"/>
            <w:shd w:val="clear" w:color="auto" w:fill="FFFFFF"/>
            <w:noWrap w:val="0"/>
            <w:tcMar>
              <w:top w:w="165" w:type="dxa"/>
              <w:left w:w="240" w:type="dxa"/>
              <w:bottom w:w="165" w:type="dxa"/>
              <w:right w:w="240" w:type="dxa"/>
            </w:tcMar>
            <w:vAlign w:val="center"/>
          </w:tcPr>
          <w:p w14:paraId="3B12C11F">
            <w:pPr>
              <w:rPr>
                <w:rFonts w:hint="eastAsia"/>
                <w:color w:val="000000" w:themeColor="text1"/>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0C597F94">
            <w:pPr>
              <w:rPr>
                <w:rFonts w:hint="eastAsia"/>
                <w:color w:val="000000" w:themeColor="text1"/>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2463934F">
            <w:pPr>
              <w:rPr>
                <w:rFonts w:hint="eastAsia"/>
                <w:color w:val="000000" w:themeColor="text1"/>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565645D9">
            <w:pPr>
              <w:rPr>
                <w:rFonts w:hint="eastAsia"/>
                <w:color w:val="000000" w:themeColor="text1"/>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6A92F3D1">
            <w:pPr>
              <w:rPr>
                <w:rFonts w:hint="eastAsia"/>
                <w:color w:val="000000" w:themeColor="text1"/>
                <w14:textFill>
                  <w14:solidFill>
                    <w14:schemeClr w14:val="tx1"/>
                  </w14:solidFill>
                </w14:textFill>
              </w:rPr>
            </w:pPr>
          </w:p>
        </w:tc>
      </w:tr>
      <w:tr w14:paraId="57C7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70" w:hRule="exact"/>
        </w:trPr>
        <w:tc>
          <w:tcPr>
            <w:tcW w:w="352" w:type="pct"/>
            <w:shd w:val="clear" w:color="auto" w:fill="FFFFFF"/>
            <w:noWrap w:val="0"/>
            <w:tcMar>
              <w:top w:w="165" w:type="dxa"/>
              <w:left w:w="240" w:type="dxa"/>
              <w:bottom w:w="165" w:type="dxa"/>
              <w:right w:w="240" w:type="dxa"/>
            </w:tcMar>
            <w:vAlign w:val="center"/>
          </w:tcPr>
          <w:p w14:paraId="309C870E">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172" w:type="pct"/>
            <w:shd w:val="clear" w:color="auto" w:fill="FFFFFF"/>
            <w:noWrap w:val="0"/>
            <w:tcMar>
              <w:top w:w="165" w:type="dxa"/>
              <w:left w:w="240" w:type="dxa"/>
              <w:bottom w:w="165" w:type="dxa"/>
              <w:right w:w="240" w:type="dxa"/>
            </w:tcMar>
            <w:vAlign w:val="center"/>
          </w:tcPr>
          <w:p w14:paraId="4C410E33">
            <w:pPr>
              <w:rPr>
                <w:rFonts w:hint="eastAsia"/>
                <w:color w:val="000000" w:themeColor="text1"/>
                <w14:textFill>
                  <w14:solidFill>
                    <w14:schemeClr w14:val="tx1"/>
                  </w14:solidFill>
                </w14:textFill>
              </w:rPr>
            </w:pPr>
          </w:p>
        </w:tc>
        <w:tc>
          <w:tcPr>
            <w:tcW w:w="729" w:type="pct"/>
            <w:shd w:val="clear" w:color="auto" w:fill="FFFFFF"/>
            <w:noWrap w:val="0"/>
            <w:tcMar>
              <w:top w:w="165" w:type="dxa"/>
              <w:left w:w="240" w:type="dxa"/>
              <w:bottom w:w="165" w:type="dxa"/>
              <w:right w:w="240" w:type="dxa"/>
            </w:tcMar>
            <w:vAlign w:val="center"/>
          </w:tcPr>
          <w:p w14:paraId="79F667FD">
            <w:pPr>
              <w:rPr>
                <w:rFonts w:hint="eastAsia"/>
                <w:color w:val="000000" w:themeColor="text1"/>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5B30AB10">
            <w:pPr>
              <w:rPr>
                <w:rFonts w:hint="eastAsia"/>
                <w:color w:val="000000" w:themeColor="text1"/>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18D40E1D">
            <w:pPr>
              <w:rPr>
                <w:rFonts w:hint="eastAsia"/>
                <w:color w:val="000000" w:themeColor="text1"/>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55B6C929">
            <w:pPr>
              <w:rPr>
                <w:rFonts w:hint="eastAsia"/>
                <w:color w:val="000000" w:themeColor="text1"/>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00A613E3">
            <w:pPr>
              <w:rPr>
                <w:rFonts w:hint="eastAsia"/>
                <w:color w:val="000000" w:themeColor="text1"/>
                <w14:textFill>
                  <w14:solidFill>
                    <w14:schemeClr w14:val="tx1"/>
                  </w14:solidFill>
                </w14:textFill>
              </w:rPr>
            </w:pPr>
          </w:p>
        </w:tc>
      </w:tr>
      <w:tr w14:paraId="7DB0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48" w:hRule="exact"/>
        </w:trPr>
        <w:tc>
          <w:tcPr>
            <w:tcW w:w="352" w:type="pct"/>
            <w:shd w:val="clear" w:color="auto" w:fill="FFFFFF"/>
            <w:noWrap w:val="0"/>
            <w:tcMar>
              <w:top w:w="165" w:type="dxa"/>
              <w:left w:w="240" w:type="dxa"/>
              <w:bottom w:w="165" w:type="dxa"/>
              <w:right w:w="240" w:type="dxa"/>
            </w:tcMar>
            <w:vAlign w:val="center"/>
          </w:tcPr>
          <w:p w14:paraId="62C7D07C">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1172" w:type="pct"/>
            <w:shd w:val="clear" w:color="auto" w:fill="FFFFFF"/>
            <w:noWrap w:val="0"/>
            <w:tcMar>
              <w:top w:w="165" w:type="dxa"/>
              <w:left w:w="240" w:type="dxa"/>
              <w:bottom w:w="165" w:type="dxa"/>
              <w:right w:w="240" w:type="dxa"/>
            </w:tcMar>
            <w:vAlign w:val="center"/>
          </w:tcPr>
          <w:p w14:paraId="08C3EB41">
            <w:pPr>
              <w:rPr>
                <w:rFonts w:hint="eastAsia"/>
                <w:color w:val="000000" w:themeColor="text1"/>
                <w14:textFill>
                  <w14:solidFill>
                    <w14:schemeClr w14:val="tx1"/>
                  </w14:solidFill>
                </w14:textFill>
              </w:rPr>
            </w:pPr>
          </w:p>
        </w:tc>
        <w:tc>
          <w:tcPr>
            <w:tcW w:w="729" w:type="pct"/>
            <w:shd w:val="clear" w:color="auto" w:fill="FFFFFF"/>
            <w:noWrap w:val="0"/>
            <w:tcMar>
              <w:top w:w="165" w:type="dxa"/>
              <w:left w:w="240" w:type="dxa"/>
              <w:bottom w:w="165" w:type="dxa"/>
              <w:right w:w="240" w:type="dxa"/>
            </w:tcMar>
            <w:vAlign w:val="center"/>
          </w:tcPr>
          <w:p w14:paraId="32F7E516">
            <w:pPr>
              <w:rPr>
                <w:rFonts w:hint="eastAsia"/>
                <w:color w:val="000000" w:themeColor="text1"/>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2F65992A">
            <w:pPr>
              <w:rPr>
                <w:rFonts w:hint="eastAsia"/>
                <w:color w:val="000000" w:themeColor="text1"/>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3055CFD8">
            <w:pPr>
              <w:rPr>
                <w:rFonts w:hint="eastAsia"/>
                <w:color w:val="000000" w:themeColor="text1"/>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24A22451">
            <w:pPr>
              <w:rPr>
                <w:rFonts w:hint="eastAsia"/>
                <w:color w:val="000000" w:themeColor="text1"/>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1C4E3411">
            <w:pPr>
              <w:rPr>
                <w:rFonts w:hint="eastAsia"/>
                <w:color w:val="000000" w:themeColor="text1"/>
                <w14:textFill>
                  <w14:solidFill>
                    <w14:schemeClr w14:val="tx1"/>
                  </w14:solidFill>
                </w14:textFill>
              </w:rPr>
            </w:pPr>
          </w:p>
        </w:tc>
      </w:tr>
      <w:tr w14:paraId="36B4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70" w:hRule="exact"/>
        </w:trPr>
        <w:tc>
          <w:tcPr>
            <w:tcW w:w="352" w:type="pct"/>
            <w:shd w:val="clear" w:color="auto" w:fill="FFFFFF"/>
            <w:noWrap w:val="0"/>
            <w:tcMar>
              <w:top w:w="165" w:type="dxa"/>
              <w:left w:w="240" w:type="dxa"/>
              <w:bottom w:w="165" w:type="dxa"/>
              <w:right w:w="240" w:type="dxa"/>
            </w:tcMar>
            <w:vAlign w:val="center"/>
          </w:tcPr>
          <w:p w14:paraId="3425E796">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1172" w:type="pct"/>
            <w:shd w:val="clear" w:color="auto" w:fill="FFFFFF"/>
            <w:noWrap w:val="0"/>
            <w:tcMar>
              <w:top w:w="165" w:type="dxa"/>
              <w:left w:w="240" w:type="dxa"/>
              <w:bottom w:w="165" w:type="dxa"/>
              <w:right w:w="240" w:type="dxa"/>
            </w:tcMar>
            <w:vAlign w:val="center"/>
          </w:tcPr>
          <w:p w14:paraId="40CBD93D">
            <w:pPr>
              <w:rPr>
                <w:rFonts w:hint="default" w:eastAsia="宋体"/>
                <w:color w:val="000000" w:themeColor="text1"/>
                <w:lang w:val="en-US" w:eastAsia="zh-CN"/>
                <w14:textFill>
                  <w14:solidFill>
                    <w14:schemeClr w14:val="tx1"/>
                  </w14:solidFill>
                </w14:textFill>
              </w:rPr>
            </w:pPr>
          </w:p>
        </w:tc>
        <w:tc>
          <w:tcPr>
            <w:tcW w:w="729" w:type="pct"/>
            <w:shd w:val="clear" w:color="auto" w:fill="FFFFFF"/>
            <w:noWrap w:val="0"/>
            <w:tcMar>
              <w:top w:w="165" w:type="dxa"/>
              <w:left w:w="240" w:type="dxa"/>
              <w:bottom w:w="165" w:type="dxa"/>
              <w:right w:w="240" w:type="dxa"/>
            </w:tcMar>
            <w:vAlign w:val="center"/>
          </w:tcPr>
          <w:p w14:paraId="168058F1">
            <w:pPr>
              <w:rPr>
                <w:rFonts w:hint="default" w:eastAsia="宋体"/>
                <w:color w:val="000000" w:themeColor="text1"/>
                <w:lang w:val="en-US" w:eastAsia="zh-CN"/>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28F27095">
            <w:pPr>
              <w:rPr>
                <w:rFonts w:hint="eastAsia"/>
                <w:color w:val="000000" w:themeColor="text1"/>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21F00047">
            <w:pPr>
              <w:rPr>
                <w:rFonts w:hint="eastAsia"/>
                <w:color w:val="000000" w:themeColor="text1"/>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74990E71">
            <w:pPr>
              <w:rPr>
                <w:rFonts w:hint="eastAsia"/>
                <w:color w:val="000000" w:themeColor="text1"/>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56611F24">
            <w:pPr>
              <w:rPr>
                <w:rFonts w:hint="eastAsia"/>
                <w:color w:val="000000" w:themeColor="text1"/>
                <w14:textFill>
                  <w14:solidFill>
                    <w14:schemeClr w14:val="tx1"/>
                  </w14:solidFill>
                </w14:textFill>
              </w:rPr>
            </w:pPr>
          </w:p>
        </w:tc>
      </w:tr>
      <w:tr w14:paraId="2372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670" w:hRule="exact"/>
        </w:trPr>
        <w:tc>
          <w:tcPr>
            <w:tcW w:w="352" w:type="pct"/>
            <w:shd w:val="clear" w:color="auto" w:fill="FFFFFF"/>
            <w:noWrap w:val="0"/>
            <w:tcMar>
              <w:top w:w="165" w:type="dxa"/>
              <w:left w:w="240" w:type="dxa"/>
              <w:bottom w:w="165" w:type="dxa"/>
              <w:right w:w="240" w:type="dxa"/>
            </w:tcMar>
            <w:vAlign w:val="center"/>
          </w:tcPr>
          <w:p w14:paraId="6217168E">
            <w:pPr>
              <w:rPr>
                <w:rFonts w:hint="eastAsia"/>
                <w:color w:val="000000" w:themeColor="text1"/>
                <w:lang w:val="en-US" w:eastAsia="zh-CN"/>
                <w14:textFill>
                  <w14:solidFill>
                    <w14:schemeClr w14:val="tx1"/>
                  </w14:solidFill>
                </w14:textFill>
              </w:rPr>
            </w:pPr>
          </w:p>
        </w:tc>
        <w:tc>
          <w:tcPr>
            <w:tcW w:w="1172" w:type="pct"/>
            <w:shd w:val="clear" w:color="auto" w:fill="FFFFFF"/>
            <w:noWrap w:val="0"/>
            <w:tcMar>
              <w:top w:w="165" w:type="dxa"/>
              <w:left w:w="240" w:type="dxa"/>
              <w:bottom w:w="165" w:type="dxa"/>
              <w:right w:w="240" w:type="dxa"/>
            </w:tcMar>
            <w:vAlign w:val="center"/>
          </w:tcPr>
          <w:p w14:paraId="41B54205">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729" w:type="pct"/>
            <w:shd w:val="clear" w:color="auto" w:fill="FFFFFF"/>
            <w:noWrap w:val="0"/>
            <w:tcMar>
              <w:top w:w="165" w:type="dxa"/>
              <w:left w:w="240" w:type="dxa"/>
              <w:bottom w:w="165" w:type="dxa"/>
              <w:right w:w="240" w:type="dxa"/>
            </w:tcMar>
            <w:vAlign w:val="center"/>
          </w:tcPr>
          <w:p w14:paraId="6630F47D">
            <w:pPr>
              <w:rPr>
                <w:rFonts w:hint="eastAsia"/>
                <w:color w:val="000000" w:themeColor="text1"/>
                <w:lang w:val="en-US" w:eastAsia="zh-CN"/>
                <w14:textFill>
                  <w14:solidFill>
                    <w14:schemeClr w14:val="tx1"/>
                  </w14:solidFill>
                </w14:textFill>
              </w:rPr>
            </w:pPr>
          </w:p>
        </w:tc>
        <w:tc>
          <w:tcPr>
            <w:tcW w:w="679" w:type="pct"/>
            <w:shd w:val="clear" w:color="auto" w:fill="FFFFFF"/>
            <w:noWrap w:val="0"/>
            <w:tcMar>
              <w:top w:w="165" w:type="dxa"/>
              <w:left w:w="240" w:type="dxa"/>
              <w:bottom w:w="165" w:type="dxa"/>
              <w:right w:w="240" w:type="dxa"/>
            </w:tcMar>
            <w:vAlign w:val="center"/>
          </w:tcPr>
          <w:p w14:paraId="2ADF5AD0">
            <w:pPr>
              <w:rPr>
                <w:rFonts w:hint="default" w:eastAsia="宋体"/>
                <w:color w:val="000000" w:themeColor="text1"/>
                <w:lang w:val="en-US" w:eastAsia="zh-CN"/>
                <w14:textFill>
                  <w14:solidFill>
                    <w14:schemeClr w14:val="tx1"/>
                  </w14:solidFill>
                </w14:textFill>
              </w:rPr>
            </w:pPr>
          </w:p>
        </w:tc>
        <w:tc>
          <w:tcPr>
            <w:tcW w:w="497" w:type="pct"/>
            <w:shd w:val="clear" w:color="auto" w:fill="FFFFFF"/>
            <w:noWrap w:val="0"/>
            <w:tcMar>
              <w:top w:w="165" w:type="dxa"/>
              <w:left w:w="240" w:type="dxa"/>
              <w:bottom w:w="165" w:type="dxa"/>
              <w:right w:w="240" w:type="dxa"/>
            </w:tcMar>
            <w:vAlign w:val="center"/>
          </w:tcPr>
          <w:p w14:paraId="6ED244CE">
            <w:pPr>
              <w:rPr>
                <w:rFonts w:hint="default" w:eastAsia="宋体"/>
                <w:color w:val="000000" w:themeColor="text1"/>
                <w:lang w:val="en-US" w:eastAsia="zh-CN"/>
                <w14:textFill>
                  <w14:solidFill>
                    <w14:schemeClr w14:val="tx1"/>
                  </w14:solidFill>
                </w14:textFill>
              </w:rPr>
            </w:pPr>
          </w:p>
        </w:tc>
        <w:tc>
          <w:tcPr>
            <w:tcW w:w="643" w:type="pct"/>
            <w:shd w:val="clear" w:color="auto" w:fill="FFFFFF"/>
            <w:noWrap w:val="0"/>
            <w:tcMar>
              <w:top w:w="165" w:type="dxa"/>
              <w:left w:w="240" w:type="dxa"/>
              <w:bottom w:w="165" w:type="dxa"/>
              <w:right w:w="240" w:type="dxa"/>
            </w:tcMar>
            <w:vAlign w:val="center"/>
          </w:tcPr>
          <w:p w14:paraId="18D9F8A4">
            <w:pPr>
              <w:rPr>
                <w:rFonts w:hint="default" w:eastAsia="宋体"/>
                <w:color w:val="000000" w:themeColor="text1"/>
                <w:lang w:val="en-US" w:eastAsia="zh-CN"/>
                <w14:textFill>
                  <w14:solidFill>
                    <w14:schemeClr w14:val="tx1"/>
                  </w14:solidFill>
                </w14:textFill>
              </w:rPr>
            </w:pPr>
          </w:p>
        </w:tc>
        <w:tc>
          <w:tcPr>
            <w:tcW w:w="924" w:type="pct"/>
            <w:shd w:val="clear" w:color="auto" w:fill="FFFFFF"/>
            <w:noWrap w:val="0"/>
            <w:tcMar>
              <w:top w:w="165" w:type="dxa"/>
              <w:left w:w="240" w:type="dxa"/>
              <w:bottom w:w="165" w:type="dxa"/>
              <w:right w:w="240" w:type="dxa"/>
            </w:tcMar>
            <w:vAlign w:val="center"/>
          </w:tcPr>
          <w:p w14:paraId="53F1B892">
            <w:pPr>
              <w:rPr>
                <w:rFonts w:hint="eastAsia"/>
                <w:color w:val="000000" w:themeColor="text1"/>
                <w14:textFill>
                  <w14:solidFill>
                    <w14:schemeClr w14:val="tx1"/>
                  </w14:solidFill>
                </w14:textFill>
              </w:rPr>
            </w:pPr>
          </w:p>
        </w:tc>
      </w:tr>
      <w:tr w14:paraId="6EED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864" w:hRule="atLeast"/>
        </w:trPr>
        <w:tc>
          <w:tcPr>
            <w:tcW w:w="5000" w:type="pct"/>
            <w:gridSpan w:val="7"/>
            <w:shd w:val="clear" w:color="auto" w:fill="FFFFFF"/>
            <w:noWrap w:val="0"/>
            <w:tcMar>
              <w:top w:w="165" w:type="dxa"/>
              <w:left w:w="240" w:type="dxa"/>
              <w:bottom w:w="165" w:type="dxa"/>
              <w:right w:w="240" w:type="dxa"/>
            </w:tcMar>
            <w:vAlign w:val="center"/>
          </w:tcPr>
          <w:p w14:paraId="06448740">
            <w:pPr>
              <w:keepNext w:val="0"/>
              <w:keepLines w:val="0"/>
              <w:widowControl/>
              <w:suppressLineNumbers w:val="0"/>
              <w:wordWrap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aps w:val="0"/>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lang w:val="en-US" w:eastAsia="zh-CN"/>
                <w14:textFill>
                  <w14:solidFill>
                    <w14:schemeClr w14:val="tx1"/>
                  </w14:solidFill>
                </w14:textFill>
              </w:rPr>
              <w:t>最后报价</w:t>
            </w:r>
            <w:r>
              <w:rPr>
                <w:rFonts w:hint="eastAsia" w:asciiTheme="minorEastAsia" w:hAnsiTheme="minorEastAsia" w:eastAsiaTheme="minorEastAsia" w:cstheme="minorEastAsia"/>
                <w:i w:val="0"/>
                <w:iCs w:val="0"/>
                <w:caps w:val="0"/>
                <w:color w:val="000000" w:themeColor="text1"/>
                <w:spacing w:val="0"/>
                <w:sz w:val="21"/>
                <w:szCs w:val="21"/>
                <w14:textFill>
                  <w14:solidFill>
                    <w14:schemeClr w14:val="tx1"/>
                  </w14:solidFill>
                </w14:textFill>
              </w:rPr>
              <w:t>（总报价金额）：</w:t>
            </w:r>
            <w:r>
              <w:rPr>
                <w:rFonts w:hint="eastAsia" w:asciiTheme="minorEastAsia" w:hAnsiTheme="minorEastAsia" w:eastAsiaTheme="minorEastAsia" w:cstheme="minorEastAsia"/>
                <w:i w:val="0"/>
                <w:iCs w:val="0"/>
                <w:caps w:val="0"/>
                <w:color w:val="000000" w:themeColor="text1"/>
                <w:spacing w:val="0"/>
                <w:sz w:val="21"/>
                <w:szCs w:val="21"/>
                <w:lang w:val="en-US" w:eastAsia="zh-CN"/>
                <w14:textFill>
                  <w14:solidFill>
                    <w14:schemeClr w14:val="tx1"/>
                  </w14:solidFill>
                </w14:textFill>
              </w:rPr>
              <w:t>人民币大写</w:t>
            </w:r>
            <w:r>
              <w:rPr>
                <w:rFonts w:hint="eastAsia" w:asciiTheme="minorEastAsia" w:hAnsiTheme="minorEastAsia" w:eastAsiaTheme="minorEastAsia" w:cstheme="minorEastAsia"/>
                <w:i w:val="0"/>
                <w:iCs w:val="0"/>
                <w:caps w:val="0"/>
                <w:color w:val="000000" w:themeColor="text1"/>
                <w:spacing w:val="0"/>
                <w:sz w:val="21"/>
                <w:szCs w:val="21"/>
                <w:u w:val="single"/>
                <w:lang w:val="en-US" w:eastAsia="zh-CN"/>
                <w14:textFill>
                  <w14:solidFill>
                    <w14:schemeClr w14:val="tx1"/>
                  </w14:solidFill>
                </w14:textFill>
              </w:rPr>
              <w:t xml:space="preserve">                       </w:t>
            </w:r>
            <w:r>
              <w:rPr>
                <w:rFonts w:hint="eastAsia" w:asciiTheme="minorEastAsia" w:hAnsiTheme="minorEastAsia" w:eastAsiaTheme="minorEastAsia" w:cstheme="minorEastAsia"/>
                <w:i w:val="0"/>
                <w:iCs w:val="0"/>
                <w:caps w:val="0"/>
                <w:color w:val="000000" w:themeColor="text1"/>
                <w:spacing w:val="0"/>
                <w:sz w:val="21"/>
                <w:szCs w:val="21"/>
                <w:lang w:val="en-US" w:eastAsia="zh-CN"/>
                <w14:textFill>
                  <w14:solidFill>
                    <w14:schemeClr w14:val="tx1"/>
                  </w14:solidFill>
                </w14:textFill>
              </w:rPr>
              <w:t>小写</w:t>
            </w:r>
            <w:r>
              <w:rPr>
                <w:rFonts w:hint="eastAsia" w:asciiTheme="minorEastAsia" w:hAnsiTheme="minorEastAsia" w:eastAsiaTheme="minorEastAsia" w:cstheme="minorEastAsia"/>
                <w:i w:val="0"/>
                <w:iCs w:val="0"/>
                <w:caps w:val="0"/>
                <w:color w:val="000000" w:themeColor="text1"/>
                <w:spacing w:val="0"/>
                <w:sz w:val="21"/>
                <w:szCs w:val="21"/>
                <w:u w:val="single"/>
                <w:lang w:val="en-US" w:eastAsia="zh-CN"/>
                <w14:textFill>
                  <w14:solidFill>
                    <w14:schemeClr w14:val="tx1"/>
                  </w14:solidFill>
                </w14:textFill>
              </w:rPr>
              <w:t xml:space="preserve">                   </w:t>
            </w:r>
          </w:p>
        </w:tc>
      </w:tr>
    </w:tbl>
    <w:p w14:paraId="3E7C6EC8">
      <w:pPr>
        <w:pStyle w:val="80"/>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56EF69A8">
      <w:pPr>
        <w:spacing w:line="360" w:lineRule="auto"/>
        <w:ind w:firstLine="2880" w:firstLineChars="1200"/>
        <w:rPr>
          <w:rFonts w:hint="eastAsia" w:ascii="宋体" w:hAnsi="宋体" w:cs="宋体"/>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盖公章</w:t>
      </w:r>
      <w:r>
        <w:rPr>
          <w:rFonts w:hint="eastAsia"/>
          <w:color w:val="000000" w:themeColor="text1"/>
          <w:sz w:val="24"/>
          <w14:textFill>
            <w14:solidFill>
              <w14:schemeClr w14:val="tx1"/>
            </w14:solidFill>
          </w14:textFill>
        </w:rPr>
        <w:t>）：</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14:paraId="5B0D180D">
      <w:pPr>
        <w:spacing w:line="360" w:lineRule="auto"/>
        <w:ind w:firstLine="4320" w:firstLineChars="1800"/>
        <w:rPr>
          <w:rFonts w:hint="eastAsia" w:ascii="宋体" w:hAnsi="宋体" w:cs="宋体"/>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14:paraId="6F1B3D92">
      <w:pPr>
        <w:snapToGrid w:val="0"/>
        <w:spacing w:before="156" w:beforeLines="50" w:after="50" w:line="360" w:lineRule="auto"/>
        <w:ind w:right="480" w:firstLine="240" w:firstLineChars="100"/>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年    月    日</w:t>
      </w:r>
    </w:p>
    <w:p w14:paraId="7B972A98">
      <w:pPr>
        <w:adjustRightInd w:val="0"/>
        <w:snapToGrid w:val="0"/>
        <w:spacing w:line="300" w:lineRule="auto"/>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中小企业声明函（货物）</w:t>
      </w:r>
      <w:bookmarkEnd w:id="34"/>
      <w:bookmarkEnd w:id="35"/>
    </w:p>
    <w:p w14:paraId="7149FE07">
      <w:pPr>
        <w:rPr>
          <w:color w:val="000000" w:themeColor="text1"/>
          <w14:textFill>
            <w14:solidFill>
              <w14:schemeClr w14:val="tx1"/>
            </w14:solidFill>
          </w14:textFill>
        </w:rPr>
      </w:pPr>
    </w:p>
    <w:p w14:paraId="3EA359A4">
      <w:pPr>
        <w:pStyle w:val="9"/>
        <w:spacing w:after="0" w:line="360" w:lineRule="auto"/>
        <w:ind w:left="-426" w:right="142" w:firstLine="640"/>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本公司（联合体）郑重声明，根据《政府采购促进中小企业发展管理办法》（</w:t>
      </w:r>
      <w:r>
        <w:rPr>
          <w:rFonts w:hint="eastAsia" w:ascii="宋体" w:hAnsi="宋体"/>
          <w:color w:val="000000" w:themeColor="text1"/>
          <w:sz w:val="24"/>
          <w14:textFill>
            <w14:solidFill>
              <w14:schemeClr w14:val="tx1"/>
            </w14:solidFill>
          </w14:textFill>
        </w:rPr>
        <w:t>财库〔2020〕46号</w:t>
      </w:r>
      <w:r>
        <w:rPr>
          <w:rFonts w:ascii="宋体" w:hAnsi="宋体"/>
          <w:color w:val="000000" w:themeColor="text1"/>
          <w:sz w:val="24"/>
          <w14:textFill>
            <w14:solidFill>
              <w14:schemeClr w14:val="tx1"/>
            </w14:solidFill>
          </w14:textFill>
        </w:rPr>
        <w:t>）的规定，本公司（联合体）参加</w:t>
      </w:r>
      <w:r>
        <w:rPr>
          <w:rFonts w:ascii="宋体" w:hAnsi="宋体"/>
          <w:color w:val="000000" w:themeColor="text1"/>
          <w:sz w:val="24"/>
          <w:u w:val="single"/>
          <w14:textFill>
            <w14:solidFill>
              <w14:schemeClr w14:val="tx1"/>
            </w14:solidFill>
          </w14:textFill>
        </w:rPr>
        <w:t>（单位名称）</w:t>
      </w:r>
      <w:r>
        <w:rPr>
          <w:rFonts w:ascii="宋体" w:hAnsi="宋体"/>
          <w:color w:val="000000" w:themeColor="text1"/>
          <w:sz w:val="24"/>
          <w14:textFill>
            <w14:solidFill>
              <w14:schemeClr w14:val="tx1"/>
            </w14:solidFill>
          </w14:textFill>
        </w:rPr>
        <w:t>的</w:t>
      </w:r>
      <w:r>
        <w:rPr>
          <w:rFonts w:ascii="宋体" w:hAnsi="宋体"/>
          <w:color w:val="000000" w:themeColor="text1"/>
          <w:sz w:val="24"/>
          <w:u w:val="single"/>
          <w14:textFill>
            <w14:solidFill>
              <w14:schemeClr w14:val="tx1"/>
            </w14:solidFill>
          </w14:textFill>
        </w:rPr>
        <w:t>（项目名称）</w:t>
      </w:r>
      <w:r>
        <w:rPr>
          <w:rFonts w:ascii="宋体" w:hAnsi="宋体"/>
          <w:color w:val="000000" w:themeColor="text1"/>
          <w:sz w:val="24"/>
          <w14:textFill>
            <w14:solidFill>
              <w14:schemeClr w14:val="tx1"/>
            </w14:solidFill>
          </w14:textFill>
        </w:rPr>
        <w:t>采购活动，提供的货物全部由符合政策要求的中小企业制造。相关企业（含联合体中的中小企业、签订分包意向协议的中小企业）的具体情况如下：</w:t>
      </w:r>
    </w:p>
    <w:p w14:paraId="1BB2AF3D">
      <w:pPr>
        <w:tabs>
          <w:tab w:val="left" w:pos="1384"/>
          <w:tab w:val="left" w:pos="4562"/>
          <w:tab w:val="left" w:pos="6803"/>
        </w:tabs>
        <w:spacing w:line="360" w:lineRule="auto"/>
        <w:ind w:left="-426" w:right="-58" w:firstLine="655"/>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30F975A7">
      <w:pPr>
        <w:tabs>
          <w:tab w:val="left" w:pos="1065"/>
          <w:tab w:val="left" w:pos="6477"/>
        </w:tabs>
        <w:spacing w:line="360" w:lineRule="auto"/>
        <w:ind w:left="-426" w:right="-58" w:firstLine="655"/>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6D234DE0">
      <w:pPr>
        <w:pStyle w:val="9"/>
        <w:spacing w:after="0" w:line="360" w:lineRule="auto"/>
        <w:ind w:left="142" w:right="142"/>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 </w:t>
      </w:r>
    </w:p>
    <w:p w14:paraId="7E6F6BC7">
      <w:pPr>
        <w:pStyle w:val="9"/>
        <w:spacing w:after="0" w:line="360" w:lineRule="auto"/>
        <w:ind w:left="-405" w:leftChars="-193" w:right="142" w:firstLine="453" w:firstLineChars="189"/>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1386B698">
      <w:pPr>
        <w:pStyle w:val="9"/>
        <w:spacing w:after="0" w:line="360" w:lineRule="auto"/>
        <w:ind w:left="-426" w:right="142" w:firstLine="567"/>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本企业对上述声明内容的真实性负责。如有虚假，将依法承担相应责任。</w:t>
      </w:r>
    </w:p>
    <w:p w14:paraId="32179E17">
      <w:pPr>
        <w:pStyle w:val="9"/>
        <w:spacing w:after="0" w:line="360" w:lineRule="auto"/>
        <w:ind w:left="3960" w:right="1808"/>
        <w:contextualSpacing/>
        <w:rPr>
          <w:rFonts w:hint="eastAsia" w:ascii="宋体" w:hAnsi="宋体"/>
          <w:color w:val="000000" w:themeColor="text1"/>
          <w:sz w:val="24"/>
          <w14:textFill>
            <w14:solidFill>
              <w14:schemeClr w14:val="tx1"/>
            </w14:solidFill>
          </w14:textFill>
        </w:rPr>
      </w:pPr>
    </w:p>
    <w:p w14:paraId="4F18AD06">
      <w:pPr>
        <w:pStyle w:val="9"/>
        <w:spacing w:after="0" w:line="360" w:lineRule="auto"/>
        <w:ind w:left="3960" w:right="1808"/>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企业名称（章）： </w:t>
      </w:r>
    </w:p>
    <w:p w14:paraId="00B2A2C3">
      <w:pPr>
        <w:pStyle w:val="9"/>
        <w:spacing w:after="0" w:line="360" w:lineRule="auto"/>
        <w:ind w:left="3960" w:right="1808"/>
        <w:contextualSpacing/>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日</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期：</w:t>
      </w:r>
    </w:p>
    <w:p w14:paraId="601AD5AD">
      <w:pPr>
        <w:pStyle w:val="9"/>
        <w:spacing w:after="0" w:line="360" w:lineRule="auto"/>
        <w:ind w:left="3960" w:right="1808"/>
        <w:contextualSpacing/>
        <w:rPr>
          <w:color w:val="000000" w:themeColor="text1"/>
          <w14:textFill>
            <w14:solidFill>
              <w14:schemeClr w14:val="tx1"/>
            </w14:solidFill>
          </w14:textFill>
        </w:rPr>
      </w:pPr>
    </w:p>
    <w:p w14:paraId="00842897">
      <w:pPr>
        <w:spacing w:line="360" w:lineRule="auto"/>
        <w:contextualSpacing/>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915E685">
      <w:pPr>
        <w:spacing w:line="360" w:lineRule="auto"/>
        <w:contextualSpacing/>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083968F8">
      <w:pPr>
        <w:spacing w:line="520" w:lineRule="exact"/>
        <w:rPr>
          <w:rFonts w:hint="eastAsia" w:ascii="仿宋_GB2312" w:hAnsi="仿宋_GB2312" w:eastAsia="仿宋_GB2312" w:cs="仿宋_GB2312"/>
          <w:color w:val="000000" w:themeColor="text1"/>
          <w:sz w:val="32"/>
          <w:szCs w:val="32"/>
          <w14:textFill>
            <w14:solidFill>
              <w14:schemeClr w14:val="tx1"/>
            </w14:solidFill>
          </w14:textFill>
        </w:rPr>
      </w:pPr>
    </w:p>
    <w:p w14:paraId="1D7C9935">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单位的</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500E590D">
      <w:pPr>
        <w:spacing w:line="360" w:lineRule="auto"/>
        <w:ind w:firstLine="480" w:firstLineChars="2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517B168C">
      <w:pPr>
        <w:spacing w:line="360" w:lineRule="auto"/>
        <w:contextualSpacing/>
        <w:rPr>
          <w:rFonts w:hint="eastAsia" w:ascii="宋体" w:hAnsi="宋体" w:cs="仿宋_GB2312"/>
          <w:color w:val="000000" w:themeColor="text1"/>
          <w:sz w:val="24"/>
          <w14:textFill>
            <w14:solidFill>
              <w14:schemeClr w14:val="tx1"/>
            </w14:solidFill>
          </w14:textFill>
        </w:rPr>
      </w:pPr>
    </w:p>
    <w:p w14:paraId="7A1CD5FE">
      <w:pPr>
        <w:spacing w:line="360" w:lineRule="auto"/>
        <w:contextualSpacing/>
        <w:rPr>
          <w:rFonts w:hint="eastAsia" w:ascii="宋体" w:hAnsi="宋体" w:cs="仿宋_GB2312"/>
          <w:color w:val="000000" w:themeColor="text1"/>
          <w:sz w:val="24"/>
          <w14:textFill>
            <w14:solidFill>
              <w14:schemeClr w14:val="tx1"/>
            </w14:solidFill>
          </w14:textFill>
        </w:rPr>
      </w:pPr>
    </w:p>
    <w:p w14:paraId="3F4A6902">
      <w:pPr>
        <w:spacing w:line="360" w:lineRule="auto"/>
        <w:contextualSpacing/>
        <w:rPr>
          <w:rFonts w:hint="eastAsia" w:ascii="宋体" w:hAnsi="宋体" w:cs="仿宋_GB2312"/>
          <w:color w:val="000000" w:themeColor="text1"/>
          <w:sz w:val="24"/>
          <w14:textFill>
            <w14:solidFill>
              <w14:schemeClr w14:val="tx1"/>
            </w14:solidFill>
          </w14:textFill>
        </w:rPr>
      </w:pPr>
    </w:p>
    <w:p w14:paraId="24AB55C2">
      <w:pPr>
        <w:spacing w:line="360" w:lineRule="auto"/>
        <w:ind w:firstLine="2400" w:firstLineChars="10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5C05B9C2">
      <w:pPr>
        <w:spacing w:line="360" w:lineRule="auto"/>
        <w:ind w:firstLine="3600" w:firstLineChars="1500"/>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  期：</w:t>
      </w:r>
    </w:p>
    <w:p w14:paraId="62B42FDA">
      <w:pPr>
        <w:spacing w:line="360" w:lineRule="auto"/>
        <w:contextualSpacing/>
        <w:rPr>
          <w:rFonts w:hint="eastAsia" w:ascii="宋体" w:hAnsi="宋体" w:cs="仿宋_GB2312"/>
          <w:color w:val="000000" w:themeColor="text1"/>
          <w:sz w:val="24"/>
          <w14:textFill>
            <w14:solidFill>
              <w14:schemeClr w14:val="tx1"/>
            </w14:solidFill>
          </w14:textFill>
        </w:rPr>
      </w:pPr>
    </w:p>
    <w:p w14:paraId="359C9902">
      <w:pPr>
        <w:spacing w:line="360" w:lineRule="auto"/>
        <w:contextualSpacing/>
        <w:rPr>
          <w:rFonts w:hint="eastAsia" w:ascii="宋体" w:hAnsi="宋体" w:cs="仿宋_GB2312"/>
          <w:color w:val="000000" w:themeColor="text1"/>
          <w:sz w:val="24"/>
          <w14:textFill>
            <w14:solidFill>
              <w14:schemeClr w14:val="tx1"/>
            </w14:solidFill>
          </w14:textFill>
        </w:rPr>
      </w:pPr>
    </w:p>
    <w:p w14:paraId="53A6C142">
      <w:pPr>
        <w:spacing w:line="360" w:lineRule="auto"/>
        <w:contextualSpacing/>
        <w:rPr>
          <w:rFonts w:hint="eastAsia" w:ascii="宋体" w:hAnsi="宋体" w:cs="仿宋_GB2312"/>
          <w:color w:val="000000" w:themeColor="text1"/>
          <w:sz w:val="24"/>
          <w14:textFill>
            <w14:solidFill>
              <w14:schemeClr w14:val="tx1"/>
            </w14:solidFill>
          </w14:textFill>
        </w:rPr>
      </w:pPr>
    </w:p>
    <w:p w14:paraId="3F50F185">
      <w:pPr>
        <w:spacing w:line="360" w:lineRule="auto"/>
        <w:contextualSpacing/>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1F4E4E6A">
      <w:pPr>
        <w:widowControl/>
        <w:shd w:val="clear" w:color="auto" w:fill="FFFFFF"/>
        <w:jc w:val="center"/>
        <w:rPr>
          <w:rFonts w:hint="eastAsia" w:ascii="宋体" w:hAnsi="宋体" w:cs="宋体"/>
          <w:color w:val="000000" w:themeColor="text1"/>
          <w:kern w:val="0"/>
          <w:sz w:val="36"/>
          <w:szCs w:val="36"/>
          <w14:textFill>
            <w14:solidFill>
              <w14:schemeClr w14:val="tx1"/>
            </w14:solidFill>
          </w14:textFill>
        </w:rPr>
      </w:pPr>
      <w:r>
        <w:rPr>
          <w:rFonts w:ascii="宋体" w:hAnsi="宋体" w:cs="仿宋_GB2312"/>
          <w:color w:val="000000" w:themeColor="text1"/>
          <w:sz w:val="24"/>
          <w14:textFill>
            <w14:solidFill>
              <w14:schemeClr w14:val="tx1"/>
            </w14:solidFill>
          </w14:textFill>
        </w:rPr>
        <w:br w:type="page"/>
      </w:r>
      <w:r>
        <w:rPr>
          <w:rFonts w:hint="eastAsia" w:ascii="宋体" w:hAnsi="宋体" w:cs="宋体"/>
          <w:b/>
          <w:bCs/>
          <w:color w:val="000000" w:themeColor="text1"/>
          <w:kern w:val="0"/>
          <w:sz w:val="36"/>
          <w:szCs w:val="36"/>
          <w14:textFill>
            <w14:solidFill>
              <w14:schemeClr w14:val="tx1"/>
            </w14:solidFill>
          </w14:textFill>
        </w:rPr>
        <w:t>关于符合本国产品标准的声明函</w:t>
      </w:r>
    </w:p>
    <w:p w14:paraId="1A22FCD8">
      <w:pPr>
        <w:widowControl/>
        <w:shd w:val="clear" w:color="auto" w:fill="FFFFFF"/>
        <w:spacing w:before="30" w:after="30"/>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14:paraId="4B4AB71F">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2"/>
        <w:jc w:val="left"/>
        <w:textAlignment w:val="auto"/>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0C5FF32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1.（产品名称1）</w:t>
      </w:r>
      <w:r>
        <w:rPr>
          <w:rFonts w:hint="eastAsia" w:asciiTheme="minorEastAsia" w:hAnsiTheme="minorEastAsia" w:eastAsiaTheme="minorEastAsia" w:cstheme="minorEastAsia"/>
          <w:i w:val="0"/>
          <w:iCs w:val="0"/>
          <w:color w:val="000000" w:themeColor="text1"/>
          <w:kern w:val="0"/>
          <w:sz w:val="24"/>
          <w:szCs w:val="24"/>
          <w:vertAlign w:val="superscript"/>
          <w14:textFill>
            <w14:solidFill>
              <w14:schemeClr w14:val="tx1"/>
            </w14:solidFill>
          </w14:textFill>
        </w:rPr>
        <w:t>1</w:t>
      </w: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，生产厂为（厂名）</w:t>
      </w:r>
      <w:r>
        <w:rPr>
          <w:rFonts w:hint="eastAsia" w:asciiTheme="minorEastAsia" w:hAnsiTheme="minorEastAsia" w:eastAsiaTheme="minorEastAsia" w:cstheme="minorEastAsia"/>
          <w:i w:val="0"/>
          <w:iCs w:val="0"/>
          <w:color w:val="000000" w:themeColor="text1"/>
          <w:kern w:val="0"/>
          <w:sz w:val="24"/>
          <w:szCs w:val="24"/>
          <w:vertAlign w:val="superscript"/>
          <w14:textFill>
            <w14:solidFill>
              <w14:schemeClr w14:val="tx1"/>
            </w14:solidFill>
          </w14:textFill>
        </w:rPr>
        <w:t>2</w:t>
      </w: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，厂址为（生产厂址）。（产品名称1）的中国境内生产的组件成本占比≥（规定比例）</w:t>
      </w:r>
      <w:r>
        <w:rPr>
          <w:rFonts w:hint="eastAsia" w:asciiTheme="minorEastAsia" w:hAnsiTheme="minorEastAsia" w:eastAsiaTheme="minorEastAsia" w:cstheme="minorEastAsia"/>
          <w:i w:val="0"/>
          <w:iCs w:val="0"/>
          <w:color w:val="000000" w:themeColor="text1"/>
          <w:kern w:val="0"/>
          <w:sz w:val="24"/>
          <w:szCs w:val="24"/>
          <w:vertAlign w:val="superscript"/>
          <w14:textFill>
            <w14:solidFill>
              <w14:schemeClr w14:val="tx1"/>
            </w14:solidFill>
          </w14:textFill>
        </w:rPr>
        <w:t>3</w:t>
      </w: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。（产品名称1）的（关键组件）</w:t>
      </w:r>
      <w:r>
        <w:rPr>
          <w:rFonts w:hint="eastAsia" w:asciiTheme="minorEastAsia" w:hAnsiTheme="minorEastAsia" w:eastAsiaTheme="minorEastAsia" w:cstheme="minorEastAsia"/>
          <w:i w:val="0"/>
          <w:iCs w:val="0"/>
          <w:color w:val="000000" w:themeColor="text1"/>
          <w:kern w:val="0"/>
          <w:sz w:val="24"/>
          <w:szCs w:val="24"/>
          <w:vertAlign w:val="superscript"/>
          <w14:textFill>
            <w14:solidFill>
              <w14:schemeClr w14:val="tx1"/>
            </w14:solidFill>
          </w14:textFill>
        </w:rPr>
        <w:t>4</w:t>
      </w: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在中国境内生产。（产品名称1）的（关键工序）</w:t>
      </w:r>
      <w:r>
        <w:rPr>
          <w:rFonts w:hint="eastAsia" w:asciiTheme="minorEastAsia" w:hAnsiTheme="minorEastAsia" w:eastAsiaTheme="minorEastAsia" w:cstheme="minorEastAsia"/>
          <w:i w:val="0"/>
          <w:iCs w:val="0"/>
          <w:color w:val="000000" w:themeColor="text1"/>
          <w:kern w:val="0"/>
          <w:sz w:val="24"/>
          <w:szCs w:val="24"/>
          <w:vertAlign w:val="superscript"/>
          <w14:textFill>
            <w14:solidFill>
              <w14:schemeClr w14:val="tx1"/>
            </w14:solidFill>
          </w14:textFill>
        </w:rPr>
        <w:t>5</w:t>
      </w: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在中国境内完成。</w:t>
      </w:r>
    </w:p>
    <w:p w14:paraId="57FF352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74A6A574">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2"/>
        <w:jc w:val="left"/>
        <w:textAlignment w:val="auto"/>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w:t>
      </w:r>
    </w:p>
    <w:p w14:paraId="38264B40">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2"/>
        <w:jc w:val="left"/>
        <w:textAlignment w:val="auto"/>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本公司（单位）对上述声明内容的真实性负责。如有虚假，愿承担相应法律责任。</w:t>
      </w:r>
    </w:p>
    <w:p w14:paraId="3021B6AF">
      <w:pPr>
        <w:widowControl/>
        <w:shd w:val="clear" w:color="auto" w:fill="FFFFFF"/>
        <w:spacing w:before="30" w:after="3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 </w:t>
      </w:r>
    </w:p>
    <w:p w14:paraId="186A28A6">
      <w:pPr>
        <w:widowControl/>
        <w:shd w:val="clear" w:color="auto" w:fill="FFFFFF"/>
        <w:spacing w:before="30" w:after="30"/>
        <w:jc w:val="righ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公司（单位）名称（盖章）：　        </w:t>
      </w:r>
    </w:p>
    <w:p w14:paraId="3BA63050">
      <w:pPr>
        <w:widowControl/>
        <w:shd w:val="clear" w:color="auto" w:fill="FFFFFF"/>
        <w:jc w:val="righ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日期：　     年　  月　  日         </w:t>
      </w:r>
    </w:p>
    <w:p w14:paraId="719835E4">
      <w:pPr>
        <w:widowControl/>
        <w:shd w:val="clear" w:color="auto" w:fill="FFFFFF"/>
        <w:spacing w:before="30" w:after="3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__________________</w:t>
      </w:r>
    </w:p>
    <w:p w14:paraId="77585AF2">
      <w:pPr>
        <w:widowControl/>
        <w:shd w:val="clear" w:color="auto" w:fill="FFFFFF"/>
        <w:ind w:firstLine="48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1.产品如有型号，请在“产品名称”栏一并填写。</w:t>
      </w:r>
    </w:p>
    <w:p w14:paraId="13A5DE24">
      <w:pPr>
        <w:widowControl/>
        <w:shd w:val="clear" w:color="auto" w:fill="FFFFFF"/>
        <w:ind w:firstLine="48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2.生产厂名与厂址应与生产厂营业执照载明的相关信息保持一致。</w:t>
      </w:r>
    </w:p>
    <w:p w14:paraId="5D47D807">
      <w:pPr>
        <w:widowControl/>
        <w:shd w:val="clear" w:color="auto" w:fill="FFFFFF"/>
        <w:ind w:firstLine="48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3.该产品的中国境内生产的组件成本占比相关要求实施前，“规定比例”栏可不填，下同。</w:t>
      </w:r>
    </w:p>
    <w:p w14:paraId="2837734A">
      <w:pPr>
        <w:widowControl/>
        <w:shd w:val="clear" w:color="auto" w:fill="FFFFFF"/>
        <w:ind w:firstLine="480"/>
        <w:jc w:val="left"/>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4.该产品的关键组件要求实施前，“关键组件”栏可不填，下同。</w:t>
      </w:r>
    </w:p>
    <w:p w14:paraId="724EA330">
      <w:pPr>
        <w:widowControl/>
        <w:shd w:val="clear" w:color="auto" w:fill="FFFFFF"/>
        <w:ind w:firstLine="480"/>
        <w:jc w:val="left"/>
        <w:rPr>
          <w:rFonts w:hint="eastAsia" w:asciiTheme="minorEastAsia" w:hAnsiTheme="minorEastAsia" w:eastAsia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4"/>
          <w:szCs w:val="24"/>
          <w14:textFill>
            <w14:solidFill>
              <w14:schemeClr w14:val="tx1"/>
            </w14:solidFill>
          </w14:textFill>
        </w:rPr>
        <w:t>5.该产品的关键工序要求实施前，“关键工序”栏可不填，下同。</w:t>
      </w:r>
    </w:p>
    <w:p w14:paraId="4DD76950">
      <w:pPr>
        <w:spacing w:line="360" w:lineRule="auto"/>
        <w:jc w:val="center"/>
        <w:rPr>
          <w:rFonts w:hint="eastAsia" w:ascii="宋体" w:hAnsi="宋体"/>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i w:val="0"/>
          <w:iCs w:val="0"/>
          <w:color w:val="000000" w:themeColor="text1"/>
          <w:sz w:val="2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5BF00C16">
      <w:pPr>
        <w:spacing w:line="360" w:lineRule="auto"/>
        <w:jc w:val="center"/>
        <w:rPr>
          <w:rFonts w:hint="eastAsia" w:ascii="宋体" w:hAnsi="宋体"/>
          <w:b/>
          <w:bCs/>
          <w:color w:val="000000" w:themeColor="text1"/>
          <w:sz w:val="32"/>
          <w:szCs w:val="32"/>
          <w14:textFill>
            <w14:solidFill>
              <w14:schemeClr w14:val="tx1"/>
            </w14:solidFill>
          </w14:textFill>
        </w:rPr>
      </w:pPr>
    </w:p>
    <w:p w14:paraId="230C82A8">
      <w:pPr>
        <w:pStyle w:val="12"/>
        <w:spacing w:line="360" w:lineRule="auto"/>
        <w:ind w:firstLine="482" w:firstLineChars="200"/>
        <w:contextualSpacing/>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31FD38A1">
      <w:pPr>
        <w:pStyle w:val="12"/>
        <w:spacing w:line="360" w:lineRule="auto"/>
        <w:ind w:firstLine="480" w:firstLineChars="200"/>
        <w:contextualSpacing/>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A724AE8">
      <w:pPr>
        <w:pStyle w:val="12"/>
        <w:spacing w:line="360" w:lineRule="auto"/>
        <w:ind w:firstLine="480" w:firstLineChars="200"/>
        <w:contextualSpacing/>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6DB09EFD">
      <w:pPr>
        <w:pStyle w:val="12"/>
        <w:spacing w:line="360" w:lineRule="auto"/>
        <w:ind w:firstLine="480" w:firstLineChars="200"/>
        <w:contextualSpacing/>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2BD041A7">
      <w:pPr>
        <w:pStyle w:val="12"/>
        <w:spacing w:line="360" w:lineRule="auto"/>
        <w:ind w:firstLine="480" w:firstLineChars="200"/>
        <w:contextualSpacing/>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p>
    <w:p w14:paraId="6F737350">
      <w:pPr>
        <w:pStyle w:val="12"/>
        <w:spacing w:line="360" w:lineRule="auto"/>
        <w:ind w:firstLine="480" w:firstLineChars="200"/>
        <w:contextualSpacing/>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3B1BC77D">
      <w:pPr>
        <w:pStyle w:val="12"/>
        <w:spacing w:line="360" w:lineRule="auto"/>
        <w:ind w:firstLine="480" w:firstLineChars="200"/>
        <w:contextualSpacing/>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3C0D0F7">
      <w:pPr>
        <w:pStyle w:val="12"/>
        <w:spacing w:line="360" w:lineRule="auto"/>
        <w:ind w:firstLine="482" w:firstLineChars="200"/>
        <w:contextualSpacing/>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071D634F">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0D777D6F">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3C13B37D">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5AD983AC">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659D3F57">
      <w:pPr>
        <w:pStyle w:val="12"/>
        <w:spacing w:line="360" w:lineRule="auto"/>
        <w:ind w:left="25" w:leftChars="12" w:firstLine="352" w:firstLineChars="14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   采购文件获取日期：</w:t>
      </w:r>
      <w:r>
        <w:rPr>
          <w:rFonts w:hint="eastAsia" w:hAnsi="宋体"/>
          <w:bCs/>
          <w:color w:val="000000" w:themeColor="text1"/>
          <w:sz w:val="24"/>
          <w:szCs w:val="24"/>
          <w:u w:val="single"/>
          <w14:textFill>
            <w14:solidFill>
              <w14:schemeClr w14:val="tx1"/>
            </w14:solidFill>
          </w14:textFill>
        </w:rPr>
        <w:t xml:space="preserve">                                   </w:t>
      </w:r>
    </w:p>
    <w:p w14:paraId="5C93CEFC">
      <w:pPr>
        <w:pStyle w:val="12"/>
        <w:spacing w:line="360" w:lineRule="auto"/>
        <w:ind w:left="25" w:leftChars="12" w:firstLine="352" w:firstLineChars="14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□采购过程   </w:t>
      </w:r>
    </w:p>
    <w:p w14:paraId="2D788658">
      <w:pPr>
        <w:pStyle w:val="12"/>
        <w:spacing w:line="360" w:lineRule="auto"/>
        <w:ind w:left="25" w:leftChars="12" w:firstLine="352" w:firstLineChars="147"/>
        <w:contextualSpacing/>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□成交结果   </w:t>
      </w:r>
    </w:p>
    <w:p w14:paraId="03C6ADEC">
      <w:pPr>
        <w:pStyle w:val="12"/>
        <w:spacing w:line="360" w:lineRule="auto"/>
        <w:ind w:left="25" w:leftChars="12" w:firstLine="472" w:firstLineChars="196"/>
        <w:contextualSpacing/>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780AE2F0">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质疑事项1：</w:t>
      </w:r>
      <w:r>
        <w:rPr>
          <w:rFonts w:hint="eastAsia" w:hAnsi="宋体"/>
          <w:bCs/>
          <w:color w:val="000000" w:themeColor="text1"/>
          <w:sz w:val="24"/>
          <w:szCs w:val="24"/>
          <w:u w:val="single"/>
          <w14:textFill>
            <w14:solidFill>
              <w14:schemeClr w14:val="tx1"/>
            </w14:solidFill>
          </w14:textFill>
        </w:rPr>
        <w:t xml:space="preserve">                                                                    </w:t>
      </w:r>
    </w:p>
    <w:p w14:paraId="54B117D5">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r>
        <w:rPr>
          <w:rFonts w:hint="eastAsia" w:hAnsi="宋体"/>
          <w:bCs/>
          <w:color w:val="000000" w:themeColor="text1"/>
          <w:sz w:val="24"/>
          <w:szCs w:val="24"/>
          <w:u w:val="single"/>
          <w14:textFill>
            <w14:solidFill>
              <w14:schemeClr w14:val="tx1"/>
            </w14:solidFill>
          </w14:textFill>
        </w:rPr>
        <w:t xml:space="preserve">                                                                      </w:t>
      </w:r>
    </w:p>
    <w:p w14:paraId="28EC2FF4">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r>
        <w:rPr>
          <w:rFonts w:hint="eastAsia" w:hAnsi="宋体"/>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07F87ADC">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质疑事项2</w:t>
      </w:r>
    </w:p>
    <w:p w14:paraId="628E0DE1">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t>
      </w:r>
    </w:p>
    <w:p w14:paraId="7EB76745">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2991CB47">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28625DBE">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60B31963">
      <w:pPr>
        <w:pStyle w:val="12"/>
        <w:spacing w:line="360" w:lineRule="auto"/>
        <w:ind w:left="25" w:leftChars="12" w:firstLine="472" w:firstLineChars="197"/>
        <w:contextualSpacing/>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51E1E339">
      <w:pPr>
        <w:pStyle w:val="12"/>
        <w:spacing w:line="360" w:lineRule="auto"/>
        <w:contextualSpacing/>
        <w:rPr>
          <w:rFonts w:hint="eastAsia" w:hAnsi="宋体"/>
          <w:b/>
          <w:color w:val="000000" w:themeColor="text1"/>
          <w:sz w:val="24"/>
          <w:szCs w:val="24"/>
          <w14:textFill>
            <w14:solidFill>
              <w14:schemeClr w14:val="tx1"/>
            </w14:solidFill>
          </w14:textFill>
        </w:rPr>
      </w:pPr>
    </w:p>
    <w:p w14:paraId="61D6F000">
      <w:pPr>
        <w:pStyle w:val="12"/>
        <w:spacing w:line="360" w:lineRule="auto"/>
        <w:contextualSpacing/>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DC2183B">
      <w:pPr>
        <w:pStyle w:val="12"/>
        <w:spacing w:line="360" w:lineRule="auto"/>
        <w:ind w:left="25" w:leftChars="12" w:firstLine="354" w:firstLineChars="147"/>
        <w:contextualSpacing/>
        <w:rPr>
          <w:rFonts w:hint="eastAsia"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6A2835F2">
      <w:pPr>
        <w:pStyle w:val="12"/>
        <w:spacing w:line="360" w:lineRule="auto"/>
        <w:ind w:left="25" w:leftChars="12" w:firstLine="354" w:firstLineChars="147"/>
        <w:contextualSpacing/>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AA6CB1">
      <w:pPr>
        <w:pStyle w:val="12"/>
        <w:spacing w:line="360" w:lineRule="auto"/>
        <w:ind w:left="25" w:leftChars="12" w:firstLine="354" w:firstLineChars="147"/>
        <w:contextualSpacing/>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3.质疑函的质疑事项应具体、明确，并有必要的事实依据和法律依据。</w:t>
      </w:r>
    </w:p>
    <w:p w14:paraId="5C188BBB">
      <w:pPr>
        <w:pStyle w:val="12"/>
        <w:spacing w:line="360" w:lineRule="auto"/>
        <w:ind w:left="25" w:leftChars="12" w:firstLine="354" w:firstLineChars="147"/>
        <w:contextualSpacing/>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4.质疑函的质疑请求应与质疑事项相关。</w:t>
      </w:r>
    </w:p>
    <w:p w14:paraId="34B55F13">
      <w:pPr>
        <w:pStyle w:val="12"/>
        <w:spacing w:line="360" w:lineRule="auto"/>
        <w:ind w:left="25" w:leftChars="12" w:firstLine="354" w:firstLineChars="147"/>
        <w:contextualSpacing/>
        <w:rPr>
          <w:rFonts w:hint="eastAsia" w:hAnsi="宋体"/>
          <w:b/>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5.质疑供应商为法人或者其他组织的，质疑函应由法定代表人、主要负责人，或者其授权代表签字或者盖章，并加盖公章。</w:t>
      </w:r>
    </w:p>
    <w:p w14:paraId="2D0D2316">
      <w:pPr>
        <w:pStyle w:val="12"/>
        <w:snapToGrid w:val="0"/>
        <w:rPr>
          <w:b/>
          <w:color w:val="000000" w:themeColor="text1"/>
          <w:sz w:val="24"/>
          <w:szCs w:val="24"/>
          <w14:textFill>
            <w14:solidFill>
              <w14:schemeClr w14:val="tx1"/>
            </w14:solidFill>
          </w14:textFill>
        </w:rPr>
      </w:pPr>
    </w:p>
    <w:p w14:paraId="6C07CBE5">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02260648">
      <w:pPr>
        <w:spacing w:line="360" w:lineRule="auto"/>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07CBB5D3">
      <w:pPr>
        <w:pStyle w:val="12"/>
        <w:snapToGrid w:val="0"/>
        <w:spacing w:line="360" w:lineRule="auto"/>
        <w:ind w:firstLine="482" w:firstLineChars="200"/>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2D0B25F0">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1FBB4132">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6DC0DDA9">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法定代表人/主要负责人：</w:t>
      </w:r>
      <w:r>
        <w:rPr>
          <w:rFonts w:hint="eastAsia" w:hAnsi="宋体"/>
          <w:bCs/>
          <w:color w:val="000000" w:themeColor="text1"/>
          <w:sz w:val="24"/>
          <w:szCs w:val="24"/>
          <w:u w:val="single"/>
          <w14:textFill>
            <w14:solidFill>
              <w14:schemeClr w14:val="tx1"/>
            </w14:solidFill>
          </w14:textFill>
        </w:rPr>
        <w:t xml:space="preserve">                                                         </w:t>
      </w:r>
    </w:p>
    <w:p w14:paraId="1B049153">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1947CED5">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72D68543">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2AC34AE9">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11D91F5">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被投诉人1：</w:t>
      </w:r>
    </w:p>
    <w:p w14:paraId="06751828">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r>
        <w:rPr>
          <w:rFonts w:hint="eastAsia" w:hAnsi="宋体"/>
          <w:bCs/>
          <w:color w:val="000000" w:themeColor="text1"/>
          <w:sz w:val="24"/>
          <w:szCs w:val="24"/>
          <w:u w:val="single"/>
          <w14:textFill>
            <w14:solidFill>
              <w14:schemeClr w14:val="tx1"/>
            </w14:solidFill>
          </w14:textFill>
        </w:rPr>
        <w:t xml:space="preserve">                                                            </w:t>
      </w:r>
    </w:p>
    <w:p w14:paraId="552C7A31">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6588477">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2CDE9AD4">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被投诉人2：</w:t>
      </w:r>
    </w:p>
    <w:p w14:paraId="72E6896F">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11336009">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r>
        <w:rPr>
          <w:rFonts w:hint="eastAsia" w:hAnsi="宋体"/>
          <w:bCs/>
          <w:color w:val="000000" w:themeColor="text1"/>
          <w:sz w:val="24"/>
          <w:szCs w:val="24"/>
          <w:u w:val="single"/>
          <w14:textFill>
            <w14:solidFill>
              <w14:schemeClr w14:val="tx1"/>
            </w14:solidFill>
          </w14:textFill>
        </w:rPr>
        <w:t xml:space="preserve">                                                                       </w:t>
      </w:r>
    </w:p>
    <w:p w14:paraId="7AF804B8">
      <w:pPr>
        <w:pStyle w:val="12"/>
        <w:snapToGrid w:val="0"/>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17DA03AD">
      <w:pPr>
        <w:pStyle w:val="12"/>
        <w:snapToGrid w:val="0"/>
        <w:spacing w:line="360" w:lineRule="auto"/>
        <w:ind w:firstLine="480" w:firstLineChars="200"/>
        <w:rPr>
          <w:rFonts w:hint="eastAsia"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1CBCF01">
      <w:pPr>
        <w:pStyle w:val="12"/>
        <w:snapToGrid w:val="0"/>
        <w:spacing w:line="360" w:lineRule="auto"/>
        <w:ind w:firstLine="482" w:firstLineChars="200"/>
        <w:rPr>
          <w:rFonts w:hint="eastAsia"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22D113F6">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49F7797E">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35FCA84C">
      <w:pPr>
        <w:pStyle w:val="12"/>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38D13710">
      <w:pPr>
        <w:pStyle w:val="12"/>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r>
        <w:rPr>
          <w:rFonts w:hint="eastAsia" w:hAnsi="宋体"/>
          <w:bCs/>
          <w:color w:val="000000" w:themeColor="text1"/>
          <w:sz w:val="24"/>
          <w:szCs w:val="24"/>
          <w:u w:val="single"/>
          <w14:textFill>
            <w14:solidFill>
              <w14:schemeClr w14:val="tx1"/>
            </w14:solidFill>
          </w14:textFill>
        </w:rPr>
        <w:t xml:space="preserve">                                                                      </w:t>
      </w:r>
    </w:p>
    <w:p w14:paraId="4D3A3747">
      <w:pPr>
        <w:pStyle w:val="12"/>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4D679029">
      <w:pPr>
        <w:pStyle w:val="12"/>
        <w:spacing w:line="360" w:lineRule="auto"/>
        <w:ind w:left="25" w:leftChars="12" w:firstLine="472" w:firstLineChars="197"/>
        <w:rPr>
          <w:rFonts w:hint="eastAsia"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191247EB">
      <w:pPr>
        <w:pStyle w:val="12"/>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6D5DBFBC">
      <w:pPr>
        <w:pStyle w:val="12"/>
        <w:spacing w:line="360" w:lineRule="auto"/>
        <w:ind w:left="23" w:leftChars="11" w:firstLine="540" w:firstLineChars="225"/>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日，向</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提出质疑，质疑事项为：</w:t>
      </w:r>
    </w:p>
    <w:p w14:paraId="4091866F">
      <w:pPr>
        <w:pStyle w:val="12"/>
        <w:spacing w:line="360" w:lineRule="auto"/>
        <w:ind w:left="23" w:leftChars="11" w:firstLine="540" w:firstLineChars="225"/>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9DF22F9">
      <w:pPr>
        <w:pStyle w:val="12"/>
        <w:spacing w:line="360" w:lineRule="auto"/>
        <w:ind w:left="23" w:leftChars="11" w:firstLine="540" w:firstLineChars="225"/>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704D6B58">
      <w:pPr>
        <w:pStyle w:val="12"/>
        <w:spacing w:line="360" w:lineRule="auto"/>
        <w:ind w:left="23" w:leftChars="11" w:firstLine="540" w:firstLineChars="225"/>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r>
        <w:rPr>
          <w:rFonts w:hint="eastAsia" w:hAnsi="宋体"/>
          <w:bCs/>
          <w:color w:val="000000" w:themeColor="text1"/>
          <w:sz w:val="24"/>
          <w:szCs w:val="24"/>
          <w14:textFill>
            <w14:solidFill>
              <w14:schemeClr w14:val="tx1"/>
            </w14:solidFill>
          </w14:textFill>
        </w:rPr>
        <w:t xml:space="preserve">就质疑事项作出了答复/没有在法定期限内作出答复。                                                                                             </w:t>
      </w:r>
    </w:p>
    <w:p w14:paraId="651BF458">
      <w:pPr>
        <w:pStyle w:val="12"/>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7C79CB07">
      <w:pPr>
        <w:pStyle w:val="12"/>
        <w:spacing w:line="360" w:lineRule="auto"/>
        <w:ind w:left="25" w:leftChars="12" w:firstLine="472" w:firstLineChars="197"/>
        <w:rPr>
          <w:rFonts w:hint="eastAsia"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投诉事项1：</w:t>
      </w:r>
      <w:r>
        <w:rPr>
          <w:rFonts w:hint="eastAsia" w:hAnsi="宋体"/>
          <w:bCs/>
          <w:color w:val="000000" w:themeColor="text1"/>
          <w:sz w:val="24"/>
          <w:szCs w:val="24"/>
          <w:u w:val="single"/>
          <w14:textFill>
            <w14:solidFill>
              <w14:schemeClr w14:val="tx1"/>
            </w14:solidFill>
          </w14:textFill>
        </w:rPr>
        <w:t xml:space="preserve">                                                                           </w:t>
      </w:r>
    </w:p>
    <w:p w14:paraId="676EBD6F">
      <w:pPr>
        <w:pStyle w:val="12"/>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1E6628C3">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 xml:space="preserve">                                                                                        </w:t>
      </w:r>
    </w:p>
    <w:p w14:paraId="503687B9">
      <w:pPr>
        <w:pStyle w:val="12"/>
        <w:spacing w:line="360" w:lineRule="auto"/>
        <w:ind w:firstLine="480" w:firstLineChars="200"/>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5701979A">
      <w:pPr>
        <w:pStyle w:val="12"/>
        <w:spacing w:line="360" w:lineRule="auto"/>
        <w:ind w:left="25" w:leftChars="12" w:firstLine="352" w:firstLineChars="147"/>
        <w:rPr>
          <w:rFonts w:hint="eastAsia"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7321CF27">
      <w:pPr>
        <w:pStyle w:val="12"/>
        <w:spacing w:line="360" w:lineRule="auto"/>
        <w:ind w:left="25" w:leftChars="12" w:firstLine="472" w:firstLineChars="197"/>
        <w:rPr>
          <w:rFonts w:hint="eastAsia"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投诉事项2  </w:t>
      </w:r>
      <w:r>
        <w:rPr>
          <w:rFonts w:hint="eastAsia" w:hAnsi="宋体"/>
          <w:bCs/>
          <w:color w:val="000000" w:themeColor="text1"/>
          <w:sz w:val="24"/>
          <w:szCs w:val="24"/>
          <w14:textFill>
            <w14:solidFill>
              <w14:schemeClr w14:val="tx1"/>
            </w14:solidFill>
          </w14:textFill>
        </w:rPr>
        <w:t xml:space="preserve">   </w:t>
      </w:r>
    </w:p>
    <w:p w14:paraId="7314EDB2">
      <w:pPr>
        <w:pStyle w:val="12"/>
        <w:spacing w:line="360" w:lineRule="auto"/>
        <w:ind w:left="25" w:leftChars="12" w:firstLine="472" w:firstLineChars="197"/>
        <w:rPr>
          <w:rFonts w:hint="eastAsia"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04EFC07A">
      <w:pPr>
        <w:pStyle w:val="12"/>
        <w:spacing w:line="360" w:lineRule="auto"/>
        <w:ind w:left="25" w:leftChars="12" w:firstLine="472" w:firstLineChars="196"/>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7CB7B0B4">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2E02E5EC">
      <w:pPr>
        <w:pStyle w:val="12"/>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403B6461">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4186A851">
      <w:pPr>
        <w:pStyle w:val="12"/>
        <w:spacing w:line="360" w:lineRule="auto"/>
        <w:ind w:left="25" w:leftChars="12" w:firstLine="352" w:firstLineChars="147"/>
        <w:rPr>
          <w:rFonts w:hint="eastAsia" w:hAnsi="宋体"/>
          <w:color w:val="000000" w:themeColor="text1"/>
          <w:sz w:val="24"/>
          <w:szCs w:val="24"/>
          <w14:textFill>
            <w14:solidFill>
              <w14:schemeClr w14:val="tx1"/>
            </w14:solidFill>
          </w14:textFill>
        </w:rPr>
      </w:pPr>
    </w:p>
    <w:p w14:paraId="5D80931D">
      <w:pPr>
        <w:pStyle w:val="12"/>
        <w:spacing w:line="360" w:lineRule="auto"/>
        <w:ind w:left="25" w:leftChars="12" w:firstLine="472" w:firstLineChars="197"/>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r>
        <w:rPr>
          <w:rFonts w:hint="eastAsia" w:hAnsi="宋体"/>
          <w:bCs/>
          <w:color w:val="000000" w:themeColor="text1"/>
          <w:sz w:val="24"/>
          <w:szCs w:val="24"/>
          <w14:textFill>
            <w14:solidFill>
              <w14:schemeClr w14:val="tx1"/>
            </w14:solidFill>
          </w14:textFill>
        </w:rPr>
        <w:t xml:space="preserve">                                                                              </w:t>
      </w:r>
    </w:p>
    <w:p w14:paraId="2898B70C">
      <w:pPr>
        <w:pStyle w:val="12"/>
        <w:snapToGrid w:val="0"/>
        <w:spacing w:line="360" w:lineRule="auto"/>
        <w:rPr>
          <w:rFonts w:hint="eastAsia" w:hAnsi="宋体"/>
          <w:b/>
          <w:color w:val="000000" w:themeColor="text1"/>
          <w:sz w:val="24"/>
          <w:szCs w:val="24"/>
          <w14:textFill>
            <w14:solidFill>
              <w14:schemeClr w14:val="tx1"/>
            </w14:solidFill>
          </w14:textFill>
        </w:rPr>
      </w:pPr>
    </w:p>
    <w:p w14:paraId="05B31656">
      <w:pPr>
        <w:pStyle w:val="12"/>
        <w:snapToGrid w:val="0"/>
        <w:spacing w:line="360" w:lineRule="auto"/>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426CA5F4">
      <w:pPr>
        <w:pStyle w:val="12"/>
        <w:spacing w:line="360" w:lineRule="auto"/>
        <w:ind w:left="25" w:leftChars="12" w:firstLine="354" w:firstLineChars="147"/>
        <w:rPr>
          <w:rFonts w:hint="eastAsia"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5D274AC5">
      <w:pPr>
        <w:pStyle w:val="12"/>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76C4C32">
      <w:pPr>
        <w:pStyle w:val="12"/>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3.投诉书应简要列明质疑事项，质疑函、质疑答复等作为附件材料提供。</w:t>
      </w:r>
    </w:p>
    <w:p w14:paraId="20B3F1D5">
      <w:pPr>
        <w:pStyle w:val="12"/>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4.投诉书的投诉事项应具体、明确，并有必要的事实依据和法律依据。</w:t>
      </w:r>
    </w:p>
    <w:p w14:paraId="32513FC9">
      <w:pPr>
        <w:pStyle w:val="12"/>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5.投诉书的投诉请求应与投诉事项相关。</w:t>
      </w:r>
    </w:p>
    <w:p w14:paraId="7208DFD4">
      <w:pPr>
        <w:pStyle w:val="12"/>
        <w:spacing w:line="360" w:lineRule="auto"/>
        <w:ind w:left="25" w:leftChars="12" w:firstLine="354" w:firstLineChars="147"/>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6.投诉人为法人或者其他组织的，投诉书应由法定代表人、主要负责人，或者其授权代表签字或者盖章，并加盖公章。</w:t>
      </w:r>
    </w:p>
    <w:p w14:paraId="597FB1BD">
      <w:pPr>
        <w:pStyle w:val="2"/>
        <w:jc w:val="center"/>
        <w:rPr>
          <w:color w:val="000000" w:themeColor="text1"/>
          <w14:textFill>
            <w14:solidFill>
              <w14:schemeClr w14:val="tx1"/>
            </w14:solidFill>
          </w14:textFill>
        </w:rPr>
      </w:pPr>
      <w:r>
        <w:rPr>
          <w:color w:val="000000" w:themeColor="text1"/>
          <w14:textFill>
            <w14:solidFill>
              <w14:schemeClr w14:val="tx1"/>
            </w14:solidFill>
          </w14:textFill>
        </w:rPr>
        <w:br w:type="page"/>
      </w:r>
      <w:bookmarkStart w:id="36" w:name="_Toc74322013"/>
      <w:r>
        <w:rPr>
          <w:rFonts w:hint="eastAsia"/>
          <w:color w:val="000000" w:themeColor="text1"/>
          <w14:textFill>
            <w14:solidFill>
              <w14:schemeClr w14:val="tx1"/>
            </w14:solidFill>
          </w14:textFill>
        </w:rPr>
        <w:t>第六章 合同文本</w:t>
      </w:r>
      <w:bookmarkEnd w:id="36"/>
    </w:p>
    <w:p w14:paraId="12D284E4">
      <w:pPr>
        <w:snapToGrid w:val="0"/>
        <w:spacing w:line="360" w:lineRule="auto"/>
        <w:jc w:val="center"/>
        <w:rPr>
          <w:rFonts w:hint="eastAsia" w:ascii="宋体" w:hAnsi="宋体"/>
          <w:b/>
          <w:bCs/>
          <w:color w:val="000000" w:themeColor="text1"/>
          <w:sz w:val="32"/>
          <w:szCs w:val="32"/>
          <w14:textFill>
            <w14:solidFill>
              <w14:schemeClr w14:val="tx1"/>
            </w14:solidFill>
          </w14:textFill>
        </w:rPr>
      </w:pPr>
    </w:p>
    <w:p w14:paraId="3140E184">
      <w:pPr>
        <w:snapToGrid w:val="0"/>
        <w:spacing w:line="360" w:lineRule="auto"/>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政府采购合同</w:t>
      </w:r>
    </w:p>
    <w:p w14:paraId="211851C2">
      <w:pPr>
        <w:snapToGrid w:val="0"/>
        <w:spacing w:line="360" w:lineRule="auto"/>
        <w:ind w:right="480" w:firstLine="5250" w:firstLineChars="2500"/>
        <w:rPr>
          <w:rFonts w:hint="eastAsia"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合同编号：</w:t>
      </w:r>
    </w:p>
    <w:p w14:paraId="3D0539EC">
      <w:pPr>
        <w:snapToGrid w:val="0"/>
        <w:spacing w:line="360" w:lineRule="auto"/>
        <w:rPr>
          <w:rFonts w:hint="eastAsia" w:ascii="宋体" w:hAnsi="宋体"/>
          <w:color w:val="000000" w:themeColor="text1"/>
          <w:szCs w:val="21"/>
          <w14:textFill>
            <w14:solidFill>
              <w14:schemeClr w14:val="tx1"/>
            </w14:solidFill>
          </w14:textFill>
        </w:rPr>
      </w:pPr>
    </w:p>
    <w:p w14:paraId="0C8BE04A">
      <w:pPr>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采购人（甲方）：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14:paraId="6D282A48">
      <w:pPr>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供应商（乙方）：</w:t>
      </w:r>
      <w:r>
        <w:rPr>
          <w:rFonts w:hint="eastAsia" w:ascii="宋体" w:hAnsi="宋体"/>
          <w:color w:val="000000" w:themeColor="text1"/>
          <w:szCs w:val="21"/>
          <w:u w:val="single"/>
          <w14:textFill>
            <w14:solidFill>
              <w14:schemeClr w14:val="tx1"/>
            </w14:solidFill>
          </w14:textFill>
        </w:rPr>
        <w:t xml:space="preserve">                          </w:t>
      </w:r>
    </w:p>
    <w:p w14:paraId="38EAFD39">
      <w:pPr>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pacing w:val="-20"/>
          <w:szCs w:val="21"/>
          <w14:textFill>
            <w14:solidFill>
              <w14:schemeClr w14:val="tx1"/>
            </w14:solidFill>
          </w14:textFill>
        </w:rPr>
        <w:t>采 购 计 划 号：</w:t>
      </w:r>
      <w:r>
        <w:rPr>
          <w:rFonts w:hint="eastAsia" w:ascii="宋体" w:hAnsi="宋体"/>
          <w:color w:val="000000" w:themeColor="text1"/>
          <w:szCs w:val="21"/>
          <w:u w:val="single"/>
          <w14:textFill>
            <w14:solidFill>
              <w14:schemeClr w14:val="tx1"/>
            </w14:solidFill>
          </w14:textFill>
        </w:rPr>
        <w:t xml:space="preserve">                         </w:t>
      </w:r>
    </w:p>
    <w:p w14:paraId="2A01514B">
      <w:pPr>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项目编号：</w:t>
      </w:r>
      <w:r>
        <w:rPr>
          <w:rFonts w:hint="eastAsia" w:ascii="宋体" w:hAnsi="宋体"/>
          <w:color w:val="000000" w:themeColor="text1"/>
          <w:szCs w:val="21"/>
          <w:u w:val="single"/>
          <w14:textFill>
            <w14:solidFill>
              <w14:schemeClr w14:val="tx1"/>
            </w14:solidFill>
          </w14:textFill>
        </w:rPr>
        <w:t xml:space="preserve">                       </w:t>
      </w:r>
    </w:p>
    <w:p w14:paraId="0F987F11">
      <w:pPr>
        <w:snapToGrid w:val="0"/>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合同</w:t>
      </w:r>
      <w:r>
        <w:rPr>
          <w:rFonts w:hint="eastAsia" w:ascii="宋体" w:hAnsi="宋体"/>
          <w:color w:val="000000" w:themeColor="text1"/>
          <w14:textFill>
            <w14:solidFill>
              <w14:schemeClr w14:val="tx1"/>
            </w14:solidFill>
          </w14:textFill>
        </w:rPr>
        <w:t>类型：</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合同</w:t>
      </w:r>
    </w:p>
    <w:p w14:paraId="684F7A5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本合同为中小企业预留合同：</w:t>
      </w:r>
      <w:r>
        <w:rPr>
          <w:rFonts w:hint="eastAsia" w:ascii="宋体" w:hAnsi="宋体" w:cs="宋体"/>
          <w:i/>
          <w:color w:val="000000" w:themeColor="text1"/>
          <w:szCs w:val="21"/>
          <w:u w:val="single"/>
          <w14:textFill>
            <w14:solidFill>
              <w14:schemeClr w14:val="tx1"/>
            </w14:solidFill>
          </w14:textFill>
        </w:rPr>
        <w:t>（是/否）</w:t>
      </w:r>
      <w:r>
        <w:rPr>
          <w:rFonts w:hint="eastAsia" w:ascii="宋体" w:hAnsi="宋体" w:cs="宋体"/>
          <w:color w:val="000000" w:themeColor="text1"/>
          <w:szCs w:val="21"/>
          <w14:textFill>
            <w14:solidFill>
              <w14:schemeClr w14:val="tx1"/>
            </w14:solidFill>
          </w14:textFill>
        </w:rPr>
        <w:t>。</w:t>
      </w:r>
    </w:p>
    <w:p w14:paraId="4C14C979">
      <w:pPr>
        <w:pStyle w:val="9"/>
        <w:spacing w:line="360" w:lineRule="auto"/>
        <w:rPr>
          <w:rFonts w:hint="eastAsia" w:ascii="宋体" w:hAnsi="宋体"/>
          <w:color w:val="000000" w:themeColor="text1"/>
          <w14:textFill>
            <w14:solidFill>
              <w14:schemeClr w14:val="tx1"/>
            </w14:solidFill>
          </w14:textFill>
        </w:rPr>
      </w:pPr>
    </w:p>
    <w:p w14:paraId="54820272">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根据《中华人民共和国政府采购法》《中华人民共和国民法典》等法律法规规定，按照采购文件规定条款和乙方竞标承诺，甲乙双方签订本合同。</w:t>
      </w:r>
    </w:p>
    <w:p w14:paraId="1AA4A0F0">
      <w:pPr>
        <w:spacing w:line="360" w:lineRule="auto"/>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第一条　合同标的</w:t>
      </w:r>
    </w:p>
    <w:tbl>
      <w:tblPr>
        <w:tblStyle w:val="22"/>
        <w:tblW w:w="915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86"/>
        <w:gridCol w:w="1190"/>
        <w:gridCol w:w="1166"/>
        <w:gridCol w:w="1089"/>
        <w:gridCol w:w="907"/>
        <w:gridCol w:w="668"/>
        <w:gridCol w:w="946"/>
        <w:gridCol w:w="1188"/>
      </w:tblGrid>
      <w:tr w14:paraId="3138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tcBorders>
              <w:top w:val="single" w:color="auto" w:sz="4" w:space="0"/>
              <w:left w:val="single" w:color="auto" w:sz="4" w:space="0"/>
              <w:bottom w:val="single" w:color="auto" w:sz="4" w:space="0"/>
              <w:right w:val="single" w:color="auto" w:sz="4" w:space="0"/>
            </w:tcBorders>
            <w:vAlign w:val="center"/>
          </w:tcPr>
          <w:p w14:paraId="38BEE2A4">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287" w:type="dxa"/>
            <w:tcBorders>
              <w:top w:val="single" w:color="auto" w:sz="4" w:space="0"/>
              <w:left w:val="single" w:color="auto" w:sz="4" w:space="0"/>
              <w:bottom w:val="single" w:color="auto" w:sz="4" w:space="0"/>
              <w:right w:val="single" w:color="auto" w:sz="4" w:space="0"/>
            </w:tcBorders>
            <w:vAlign w:val="center"/>
          </w:tcPr>
          <w:p w14:paraId="0E09840C">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标的的名称</w:t>
            </w:r>
          </w:p>
        </w:tc>
        <w:tc>
          <w:tcPr>
            <w:tcW w:w="1191" w:type="dxa"/>
            <w:tcBorders>
              <w:top w:val="single" w:color="auto" w:sz="4" w:space="0"/>
              <w:left w:val="single" w:color="auto" w:sz="4" w:space="0"/>
              <w:bottom w:val="single" w:color="auto" w:sz="4" w:space="0"/>
              <w:right w:val="single" w:color="auto" w:sz="4" w:space="0"/>
            </w:tcBorders>
            <w:vAlign w:val="center"/>
          </w:tcPr>
          <w:p w14:paraId="1E1B8B5D">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商标品牌</w:t>
            </w:r>
          </w:p>
        </w:tc>
        <w:tc>
          <w:tcPr>
            <w:tcW w:w="1167" w:type="dxa"/>
            <w:tcBorders>
              <w:top w:val="single" w:color="auto" w:sz="4" w:space="0"/>
              <w:left w:val="single" w:color="auto" w:sz="4" w:space="0"/>
              <w:bottom w:val="single" w:color="auto" w:sz="4" w:space="0"/>
              <w:right w:val="single" w:color="auto" w:sz="4" w:space="0"/>
            </w:tcBorders>
            <w:vAlign w:val="center"/>
          </w:tcPr>
          <w:p w14:paraId="21BE41CF">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规格型号</w:t>
            </w:r>
          </w:p>
        </w:tc>
        <w:tc>
          <w:tcPr>
            <w:tcW w:w="1090" w:type="dxa"/>
            <w:tcBorders>
              <w:top w:val="single" w:color="auto" w:sz="4" w:space="0"/>
              <w:left w:val="single" w:color="auto" w:sz="4" w:space="0"/>
              <w:bottom w:val="single" w:color="auto" w:sz="4" w:space="0"/>
              <w:right w:val="single" w:color="auto" w:sz="4" w:space="0"/>
            </w:tcBorders>
            <w:vAlign w:val="center"/>
          </w:tcPr>
          <w:p w14:paraId="1AEF5F91">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生产厂家</w:t>
            </w:r>
          </w:p>
        </w:tc>
        <w:tc>
          <w:tcPr>
            <w:tcW w:w="908" w:type="dxa"/>
            <w:tcBorders>
              <w:top w:val="single" w:color="auto" w:sz="4" w:space="0"/>
              <w:left w:val="single" w:color="auto" w:sz="4" w:space="0"/>
              <w:bottom w:val="single" w:color="auto" w:sz="4" w:space="0"/>
              <w:right w:val="single" w:color="auto" w:sz="4" w:space="0"/>
            </w:tcBorders>
            <w:vAlign w:val="center"/>
          </w:tcPr>
          <w:p w14:paraId="6C320E72">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  量</w:t>
            </w:r>
          </w:p>
        </w:tc>
        <w:tc>
          <w:tcPr>
            <w:tcW w:w="668" w:type="dxa"/>
            <w:tcBorders>
              <w:top w:val="single" w:color="auto" w:sz="4" w:space="0"/>
              <w:left w:val="single" w:color="auto" w:sz="4" w:space="0"/>
              <w:bottom w:val="single" w:color="auto" w:sz="4" w:space="0"/>
              <w:right w:val="single" w:color="auto" w:sz="4" w:space="0"/>
            </w:tcBorders>
            <w:vAlign w:val="center"/>
          </w:tcPr>
          <w:p w14:paraId="57612446">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947" w:type="dxa"/>
            <w:tcBorders>
              <w:top w:val="single" w:color="auto" w:sz="4" w:space="0"/>
              <w:left w:val="single" w:color="auto" w:sz="4" w:space="0"/>
              <w:bottom w:val="single" w:color="auto" w:sz="4" w:space="0"/>
              <w:right w:val="single" w:color="auto" w:sz="4" w:space="0"/>
            </w:tcBorders>
            <w:vAlign w:val="center"/>
          </w:tcPr>
          <w:p w14:paraId="44B96AD2">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  价</w:t>
            </w:r>
          </w:p>
          <w:p w14:paraId="1843C884">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c>
          <w:tcPr>
            <w:tcW w:w="1189" w:type="dxa"/>
            <w:tcBorders>
              <w:top w:val="single" w:color="auto" w:sz="4" w:space="0"/>
              <w:left w:val="single" w:color="auto" w:sz="4" w:space="0"/>
              <w:bottom w:val="single" w:color="auto" w:sz="4" w:space="0"/>
              <w:right w:val="single" w:color="auto" w:sz="4" w:space="0"/>
            </w:tcBorders>
            <w:vAlign w:val="center"/>
          </w:tcPr>
          <w:p w14:paraId="7B703BB4">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  额</w:t>
            </w:r>
          </w:p>
          <w:p w14:paraId="1BAF5ABC">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r>
      <w:tr w14:paraId="0D53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63511E2F">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7" w:type="dxa"/>
            <w:tcBorders>
              <w:top w:val="single" w:color="auto" w:sz="4" w:space="0"/>
              <w:left w:val="single" w:color="auto" w:sz="4" w:space="0"/>
              <w:bottom w:val="single" w:color="auto" w:sz="4" w:space="0"/>
              <w:right w:val="single" w:color="auto" w:sz="4" w:space="0"/>
            </w:tcBorders>
            <w:vAlign w:val="center"/>
          </w:tcPr>
          <w:p w14:paraId="39FFE4D7">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28FAD7EF">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vAlign w:val="center"/>
          </w:tcPr>
          <w:p w14:paraId="3A3ABEC5">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vAlign w:val="center"/>
          </w:tcPr>
          <w:p w14:paraId="7AB56853">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08" w:type="dxa"/>
            <w:tcBorders>
              <w:top w:val="single" w:color="auto" w:sz="4" w:space="0"/>
              <w:left w:val="single" w:color="auto" w:sz="4" w:space="0"/>
              <w:bottom w:val="single" w:color="auto" w:sz="4" w:space="0"/>
              <w:right w:val="single" w:color="auto" w:sz="4" w:space="0"/>
            </w:tcBorders>
            <w:vAlign w:val="center"/>
          </w:tcPr>
          <w:p w14:paraId="1C703369">
            <w:pPr>
              <w:snapToGrid w:val="0"/>
              <w:spacing w:line="360" w:lineRule="auto"/>
              <w:jc w:val="center"/>
              <w:rPr>
                <w:rFonts w:hint="eastAsia" w:ascii="宋体" w:hAnsi="宋体"/>
                <w:color w:val="000000" w:themeColor="text1"/>
                <w:szCs w:val="21"/>
                <w14:textFill>
                  <w14:solidFill>
                    <w14:schemeClr w14:val="tx1"/>
                  </w14:solidFill>
                </w14:textFill>
              </w:rPr>
            </w:pPr>
          </w:p>
        </w:tc>
        <w:tc>
          <w:tcPr>
            <w:tcW w:w="668" w:type="dxa"/>
            <w:tcBorders>
              <w:top w:val="single" w:color="auto" w:sz="4" w:space="0"/>
              <w:left w:val="single" w:color="auto" w:sz="4" w:space="0"/>
              <w:bottom w:val="single" w:color="auto" w:sz="4" w:space="0"/>
              <w:right w:val="single" w:color="auto" w:sz="4" w:space="0"/>
            </w:tcBorders>
            <w:vAlign w:val="center"/>
          </w:tcPr>
          <w:p w14:paraId="17711558">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47" w:type="dxa"/>
            <w:tcBorders>
              <w:top w:val="single" w:color="auto" w:sz="4" w:space="0"/>
              <w:left w:val="single" w:color="auto" w:sz="4" w:space="0"/>
              <w:bottom w:val="single" w:color="auto" w:sz="4" w:space="0"/>
              <w:right w:val="single" w:color="auto" w:sz="4" w:space="0"/>
            </w:tcBorders>
            <w:vAlign w:val="center"/>
          </w:tcPr>
          <w:p w14:paraId="684C8E68">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89" w:type="dxa"/>
            <w:tcBorders>
              <w:top w:val="single" w:color="auto" w:sz="4" w:space="0"/>
              <w:left w:val="single" w:color="auto" w:sz="4" w:space="0"/>
              <w:bottom w:val="single" w:color="auto" w:sz="4" w:space="0"/>
              <w:right w:val="single" w:color="auto" w:sz="4" w:space="0"/>
            </w:tcBorders>
            <w:vAlign w:val="center"/>
          </w:tcPr>
          <w:p w14:paraId="5C0029E2">
            <w:pPr>
              <w:snapToGrid w:val="0"/>
              <w:spacing w:line="360" w:lineRule="auto"/>
              <w:jc w:val="center"/>
              <w:rPr>
                <w:rFonts w:hint="eastAsia" w:ascii="宋体" w:hAnsi="宋体"/>
                <w:color w:val="000000" w:themeColor="text1"/>
                <w:szCs w:val="21"/>
                <w14:textFill>
                  <w14:solidFill>
                    <w14:schemeClr w14:val="tx1"/>
                  </w14:solidFill>
                </w14:textFill>
              </w:rPr>
            </w:pPr>
          </w:p>
        </w:tc>
      </w:tr>
      <w:tr w14:paraId="1F62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5FC08CCB">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87" w:type="dxa"/>
            <w:tcBorders>
              <w:top w:val="single" w:color="auto" w:sz="4" w:space="0"/>
              <w:left w:val="single" w:color="auto" w:sz="4" w:space="0"/>
              <w:bottom w:val="single" w:color="auto" w:sz="4" w:space="0"/>
              <w:right w:val="single" w:color="auto" w:sz="4" w:space="0"/>
            </w:tcBorders>
            <w:vAlign w:val="center"/>
          </w:tcPr>
          <w:p w14:paraId="78E631D7">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2130D1A">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vAlign w:val="center"/>
          </w:tcPr>
          <w:p w14:paraId="1FEA6C00">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vAlign w:val="center"/>
          </w:tcPr>
          <w:p w14:paraId="7F3DEF66">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08" w:type="dxa"/>
            <w:tcBorders>
              <w:top w:val="single" w:color="auto" w:sz="4" w:space="0"/>
              <w:left w:val="single" w:color="auto" w:sz="4" w:space="0"/>
              <w:bottom w:val="single" w:color="auto" w:sz="4" w:space="0"/>
              <w:right w:val="single" w:color="auto" w:sz="4" w:space="0"/>
            </w:tcBorders>
            <w:vAlign w:val="center"/>
          </w:tcPr>
          <w:p w14:paraId="06160D20">
            <w:pPr>
              <w:snapToGrid w:val="0"/>
              <w:spacing w:line="360" w:lineRule="auto"/>
              <w:jc w:val="center"/>
              <w:rPr>
                <w:rFonts w:hint="eastAsia" w:ascii="宋体" w:hAnsi="宋体"/>
                <w:color w:val="000000" w:themeColor="text1"/>
                <w:szCs w:val="21"/>
                <w14:textFill>
                  <w14:solidFill>
                    <w14:schemeClr w14:val="tx1"/>
                  </w14:solidFill>
                </w14:textFill>
              </w:rPr>
            </w:pPr>
          </w:p>
        </w:tc>
        <w:tc>
          <w:tcPr>
            <w:tcW w:w="668" w:type="dxa"/>
            <w:tcBorders>
              <w:top w:val="single" w:color="auto" w:sz="4" w:space="0"/>
              <w:left w:val="single" w:color="auto" w:sz="4" w:space="0"/>
              <w:bottom w:val="single" w:color="auto" w:sz="4" w:space="0"/>
              <w:right w:val="single" w:color="auto" w:sz="4" w:space="0"/>
            </w:tcBorders>
            <w:vAlign w:val="center"/>
          </w:tcPr>
          <w:p w14:paraId="17023BDA">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47" w:type="dxa"/>
            <w:tcBorders>
              <w:top w:val="single" w:color="auto" w:sz="4" w:space="0"/>
              <w:left w:val="single" w:color="auto" w:sz="4" w:space="0"/>
              <w:bottom w:val="single" w:color="auto" w:sz="4" w:space="0"/>
              <w:right w:val="single" w:color="auto" w:sz="4" w:space="0"/>
            </w:tcBorders>
            <w:vAlign w:val="center"/>
          </w:tcPr>
          <w:p w14:paraId="4BBEC8A7">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89" w:type="dxa"/>
            <w:tcBorders>
              <w:top w:val="single" w:color="auto" w:sz="4" w:space="0"/>
              <w:left w:val="single" w:color="auto" w:sz="4" w:space="0"/>
              <w:bottom w:val="single" w:color="auto" w:sz="4" w:space="0"/>
              <w:right w:val="single" w:color="auto" w:sz="4" w:space="0"/>
            </w:tcBorders>
            <w:vAlign w:val="center"/>
          </w:tcPr>
          <w:p w14:paraId="712479D2">
            <w:pPr>
              <w:snapToGrid w:val="0"/>
              <w:spacing w:line="360" w:lineRule="auto"/>
              <w:jc w:val="center"/>
              <w:rPr>
                <w:rFonts w:hint="eastAsia" w:ascii="宋体" w:hAnsi="宋体"/>
                <w:color w:val="000000" w:themeColor="text1"/>
                <w:szCs w:val="21"/>
                <w14:textFill>
                  <w14:solidFill>
                    <w14:schemeClr w14:val="tx1"/>
                  </w14:solidFill>
                </w14:textFill>
              </w:rPr>
            </w:pPr>
          </w:p>
        </w:tc>
      </w:tr>
      <w:tr w14:paraId="2BD4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1960A287">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87" w:type="dxa"/>
            <w:tcBorders>
              <w:top w:val="single" w:color="auto" w:sz="4" w:space="0"/>
              <w:left w:val="single" w:color="auto" w:sz="4" w:space="0"/>
              <w:bottom w:val="single" w:color="auto" w:sz="4" w:space="0"/>
              <w:right w:val="single" w:color="auto" w:sz="4" w:space="0"/>
            </w:tcBorders>
            <w:vAlign w:val="center"/>
          </w:tcPr>
          <w:p w14:paraId="2B47CE24">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7CBBFE49">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vAlign w:val="center"/>
          </w:tcPr>
          <w:p w14:paraId="53173419">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vAlign w:val="center"/>
          </w:tcPr>
          <w:p w14:paraId="3C368D68">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08" w:type="dxa"/>
            <w:tcBorders>
              <w:top w:val="single" w:color="auto" w:sz="4" w:space="0"/>
              <w:left w:val="single" w:color="auto" w:sz="4" w:space="0"/>
              <w:bottom w:val="single" w:color="auto" w:sz="4" w:space="0"/>
              <w:right w:val="single" w:color="auto" w:sz="4" w:space="0"/>
            </w:tcBorders>
            <w:vAlign w:val="center"/>
          </w:tcPr>
          <w:p w14:paraId="13DB9EF5">
            <w:pPr>
              <w:snapToGrid w:val="0"/>
              <w:spacing w:line="360" w:lineRule="auto"/>
              <w:jc w:val="center"/>
              <w:rPr>
                <w:rFonts w:hint="eastAsia" w:ascii="宋体" w:hAnsi="宋体"/>
                <w:color w:val="000000" w:themeColor="text1"/>
                <w:szCs w:val="21"/>
                <w14:textFill>
                  <w14:solidFill>
                    <w14:schemeClr w14:val="tx1"/>
                  </w14:solidFill>
                </w14:textFill>
              </w:rPr>
            </w:pPr>
          </w:p>
        </w:tc>
        <w:tc>
          <w:tcPr>
            <w:tcW w:w="668" w:type="dxa"/>
            <w:tcBorders>
              <w:top w:val="single" w:color="auto" w:sz="4" w:space="0"/>
              <w:left w:val="single" w:color="auto" w:sz="4" w:space="0"/>
              <w:bottom w:val="single" w:color="auto" w:sz="4" w:space="0"/>
              <w:right w:val="single" w:color="auto" w:sz="4" w:space="0"/>
            </w:tcBorders>
            <w:vAlign w:val="center"/>
          </w:tcPr>
          <w:p w14:paraId="6B6DDE1D">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47" w:type="dxa"/>
            <w:tcBorders>
              <w:top w:val="single" w:color="auto" w:sz="4" w:space="0"/>
              <w:left w:val="single" w:color="auto" w:sz="4" w:space="0"/>
              <w:bottom w:val="single" w:color="auto" w:sz="4" w:space="0"/>
              <w:right w:val="single" w:color="auto" w:sz="4" w:space="0"/>
            </w:tcBorders>
            <w:vAlign w:val="center"/>
          </w:tcPr>
          <w:p w14:paraId="70EEF8D1">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89" w:type="dxa"/>
            <w:tcBorders>
              <w:top w:val="single" w:color="auto" w:sz="4" w:space="0"/>
              <w:left w:val="single" w:color="auto" w:sz="4" w:space="0"/>
              <w:bottom w:val="single" w:color="auto" w:sz="4" w:space="0"/>
              <w:right w:val="single" w:color="auto" w:sz="4" w:space="0"/>
            </w:tcBorders>
            <w:vAlign w:val="center"/>
          </w:tcPr>
          <w:p w14:paraId="1ACC548D">
            <w:pPr>
              <w:snapToGrid w:val="0"/>
              <w:spacing w:line="360" w:lineRule="auto"/>
              <w:jc w:val="center"/>
              <w:rPr>
                <w:rFonts w:hint="eastAsia" w:ascii="宋体" w:hAnsi="宋体"/>
                <w:color w:val="000000" w:themeColor="text1"/>
                <w:szCs w:val="21"/>
                <w14:textFill>
                  <w14:solidFill>
                    <w14:schemeClr w14:val="tx1"/>
                  </w14:solidFill>
                </w14:textFill>
              </w:rPr>
            </w:pPr>
          </w:p>
        </w:tc>
      </w:tr>
      <w:tr w14:paraId="6326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0F18FD26">
            <w:pPr>
              <w:snapToGrid w:val="0"/>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87" w:type="dxa"/>
            <w:tcBorders>
              <w:top w:val="single" w:color="auto" w:sz="4" w:space="0"/>
              <w:left w:val="single" w:color="auto" w:sz="4" w:space="0"/>
              <w:bottom w:val="single" w:color="auto" w:sz="4" w:space="0"/>
              <w:right w:val="single" w:color="auto" w:sz="4" w:space="0"/>
            </w:tcBorders>
            <w:vAlign w:val="center"/>
          </w:tcPr>
          <w:p w14:paraId="4CB445BD">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AE44092">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vAlign w:val="center"/>
          </w:tcPr>
          <w:p w14:paraId="618E03DE">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vAlign w:val="center"/>
          </w:tcPr>
          <w:p w14:paraId="20374BE5">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08" w:type="dxa"/>
            <w:tcBorders>
              <w:top w:val="single" w:color="auto" w:sz="4" w:space="0"/>
              <w:left w:val="single" w:color="auto" w:sz="4" w:space="0"/>
              <w:bottom w:val="single" w:color="auto" w:sz="4" w:space="0"/>
              <w:right w:val="single" w:color="auto" w:sz="4" w:space="0"/>
            </w:tcBorders>
            <w:vAlign w:val="center"/>
          </w:tcPr>
          <w:p w14:paraId="0467476B">
            <w:pPr>
              <w:snapToGrid w:val="0"/>
              <w:spacing w:line="360" w:lineRule="auto"/>
              <w:jc w:val="center"/>
              <w:rPr>
                <w:rFonts w:hint="eastAsia" w:ascii="宋体" w:hAnsi="宋体"/>
                <w:color w:val="000000" w:themeColor="text1"/>
                <w:szCs w:val="21"/>
                <w14:textFill>
                  <w14:solidFill>
                    <w14:schemeClr w14:val="tx1"/>
                  </w14:solidFill>
                </w14:textFill>
              </w:rPr>
            </w:pPr>
          </w:p>
        </w:tc>
        <w:tc>
          <w:tcPr>
            <w:tcW w:w="668" w:type="dxa"/>
            <w:tcBorders>
              <w:top w:val="single" w:color="auto" w:sz="4" w:space="0"/>
              <w:left w:val="single" w:color="auto" w:sz="4" w:space="0"/>
              <w:bottom w:val="single" w:color="auto" w:sz="4" w:space="0"/>
              <w:right w:val="single" w:color="auto" w:sz="4" w:space="0"/>
            </w:tcBorders>
            <w:vAlign w:val="center"/>
          </w:tcPr>
          <w:p w14:paraId="092B8255">
            <w:pPr>
              <w:snapToGrid w:val="0"/>
              <w:spacing w:line="360" w:lineRule="auto"/>
              <w:jc w:val="center"/>
              <w:rPr>
                <w:rFonts w:hint="eastAsia" w:ascii="宋体" w:hAnsi="宋体"/>
                <w:color w:val="000000" w:themeColor="text1"/>
                <w:szCs w:val="21"/>
                <w14:textFill>
                  <w14:solidFill>
                    <w14:schemeClr w14:val="tx1"/>
                  </w14:solidFill>
                </w14:textFill>
              </w:rPr>
            </w:pPr>
          </w:p>
        </w:tc>
        <w:tc>
          <w:tcPr>
            <w:tcW w:w="947" w:type="dxa"/>
            <w:tcBorders>
              <w:top w:val="single" w:color="auto" w:sz="4" w:space="0"/>
              <w:left w:val="single" w:color="auto" w:sz="4" w:space="0"/>
              <w:bottom w:val="single" w:color="auto" w:sz="4" w:space="0"/>
              <w:right w:val="single" w:color="auto" w:sz="4" w:space="0"/>
            </w:tcBorders>
            <w:vAlign w:val="center"/>
          </w:tcPr>
          <w:p w14:paraId="65339BAB">
            <w:pPr>
              <w:snapToGrid w:val="0"/>
              <w:spacing w:line="360" w:lineRule="auto"/>
              <w:jc w:val="center"/>
              <w:rPr>
                <w:rFonts w:hint="eastAsia" w:ascii="宋体" w:hAnsi="宋体"/>
                <w:color w:val="000000" w:themeColor="text1"/>
                <w:szCs w:val="21"/>
                <w14:textFill>
                  <w14:solidFill>
                    <w14:schemeClr w14:val="tx1"/>
                  </w14:solidFill>
                </w14:textFill>
              </w:rPr>
            </w:pPr>
          </w:p>
        </w:tc>
        <w:tc>
          <w:tcPr>
            <w:tcW w:w="1189" w:type="dxa"/>
            <w:tcBorders>
              <w:top w:val="single" w:color="auto" w:sz="4" w:space="0"/>
              <w:left w:val="single" w:color="auto" w:sz="4" w:space="0"/>
              <w:bottom w:val="single" w:color="auto" w:sz="4" w:space="0"/>
              <w:right w:val="single" w:color="auto" w:sz="4" w:space="0"/>
            </w:tcBorders>
            <w:vAlign w:val="center"/>
          </w:tcPr>
          <w:p w14:paraId="07E7D015">
            <w:pPr>
              <w:snapToGrid w:val="0"/>
              <w:spacing w:line="360" w:lineRule="auto"/>
              <w:jc w:val="center"/>
              <w:rPr>
                <w:rFonts w:hint="eastAsia" w:ascii="宋体" w:hAnsi="宋体"/>
                <w:color w:val="000000" w:themeColor="text1"/>
                <w:szCs w:val="21"/>
                <w14:textFill>
                  <w14:solidFill>
                    <w14:schemeClr w14:val="tx1"/>
                  </w14:solidFill>
                </w14:textFill>
              </w:rPr>
            </w:pPr>
          </w:p>
        </w:tc>
      </w:tr>
      <w:tr w14:paraId="76C8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tcBorders>
              <w:top w:val="single" w:color="auto" w:sz="4" w:space="0"/>
              <w:left w:val="single" w:color="auto" w:sz="4" w:space="0"/>
              <w:bottom w:val="single" w:color="auto" w:sz="4" w:space="0"/>
              <w:right w:val="single" w:color="auto" w:sz="4" w:space="0"/>
            </w:tcBorders>
            <w:vAlign w:val="center"/>
          </w:tcPr>
          <w:p w14:paraId="53DA3FA2">
            <w:pPr>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合计金额（人民币）：</w:t>
            </w:r>
            <w:r>
              <w:rPr>
                <w:rFonts w:hint="eastAsia" w:ascii="宋体" w:hAnsi="宋体"/>
                <w:color w:val="000000" w:themeColor="text1"/>
                <w:szCs w:val="21"/>
                <w:u w:val="single"/>
                <w14:textFill>
                  <w14:solidFill>
                    <w14:schemeClr w14:val="tx1"/>
                  </w14:solidFill>
                </w14:textFill>
              </w:rPr>
              <w:t xml:space="preserve">（大写）                          （小写）                 </w:t>
            </w:r>
          </w:p>
        </w:tc>
      </w:tr>
    </w:tbl>
    <w:p w14:paraId="75DA4596">
      <w:pPr>
        <w:spacing w:line="360" w:lineRule="auto"/>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第二条　</w:t>
      </w:r>
      <w:r>
        <w:rPr>
          <w:rFonts w:hint="eastAsia" w:ascii="宋体" w:hAnsi="宋体"/>
          <w:b/>
          <w:color w:val="000000" w:themeColor="text1"/>
          <w:szCs w:val="21"/>
          <w14:textFill>
            <w14:solidFill>
              <w14:schemeClr w14:val="tx1"/>
            </w14:solidFill>
          </w14:textFill>
        </w:rPr>
        <w:t>标的质量</w:t>
      </w:r>
    </w:p>
    <w:p w14:paraId="51AC7D02">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乙方所提供的服务及服务内容必须与</w:t>
      </w:r>
      <w:r>
        <w:rPr>
          <w:rFonts w:hint="eastAsia" w:ascii="宋体" w:hAnsi="宋体"/>
          <w:color w:val="000000" w:themeColor="text1"/>
          <w:szCs w:val="21"/>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承诺相一致，</w:t>
      </w:r>
      <w:r>
        <w:rPr>
          <w:rFonts w:hint="eastAsia" w:ascii="宋体" w:hAnsi="宋体"/>
          <w:color w:val="000000" w:themeColor="text1"/>
          <w:szCs w:val="21"/>
          <w14:textFill>
            <w14:solidFill>
              <w14:schemeClr w14:val="tx1"/>
            </w14:solidFill>
          </w14:textFill>
        </w:rPr>
        <w:t>且满足项目实施要求，</w:t>
      </w:r>
      <w:r>
        <w:rPr>
          <w:rFonts w:hint="eastAsia" w:ascii="宋体" w:hAnsi="宋体" w:cs="宋体"/>
          <w:color w:val="000000" w:themeColor="text1"/>
          <w:szCs w:val="21"/>
          <w14:textFill>
            <w14:solidFill>
              <w14:schemeClr w14:val="tx1"/>
            </w14:solidFill>
          </w14:textFill>
        </w:rPr>
        <w:t>有国家强制性标准的，还必须符合国家强制性标准的规定，没有国家强制性标准但有其他强制性标准的，必须符合其他强制性标准的规定。</w:t>
      </w:r>
    </w:p>
    <w:p w14:paraId="614496C2">
      <w:pPr>
        <w:snapToGrid w:val="0"/>
        <w:spacing w:line="360" w:lineRule="auto"/>
        <w:ind w:firstLine="422" w:firstLineChars="200"/>
        <w:rPr>
          <w:rFonts w:hint="eastAsia" w:ascii="宋体" w:hAnsi="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第三条  履行时间、地点和方式</w:t>
      </w:r>
    </w:p>
    <w:p w14:paraId="1F5872EF">
      <w:pPr>
        <w:snapToGrid w:val="0"/>
        <w:spacing w:line="360" w:lineRule="auto"/>
        <w:ind w:firstLine="420" w:firstLineChars="200"/>
        <w:rPr>
          <w:rFonts w:hint="eastAsia" w:ascii="宋体" w:hAnsi="宋体"/>
          <w:i/>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1.履行时间：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i/>
          <w:color w:val="000000" w:themeColor="text1"/>
          <w:szCs w:val="21"/>
          <w14:textFill>
            <w14:solidFill>
              <w14:schemeClr w14:val="tx1"/>
            </w14:solidFill>
          </w14:textFill>
        </w:rPr>
        <w:t xml:space="preserve"> </w:t>
      </w:r>
    </w:p>
    <w:p w14:paraId="1F3E083A">
      <w:pPr>
        <w:snapToGrid w:val="0"/>
        <w:spacing w:line="360" w:lineRule="auto"/>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2.履行地点：</w:t>
      </w:r>
      <w:r>
        <w:rPr>
          <w:rFonts w:hint="eastAsia" w:ascii="宋体" w:hAnsi="宋体" w:cs="宋体"/>
          <w:color w:val="000000" w:themeColor="text1"/>
          <w:szCs w:val="21"/>
          <w:u w:val="single"/>
          <w:lang w:val="en-US" w:eastAsia="zh-CN"/>
          <w14:textFill>
            <w14:solidFill>
              <w14:schemeClr w14:val="tx1"/>
            </w14:solidFill>
          </w14:textFill>
        </w:rPr>
        <w:t xml:space="preserve">                    </w:t>
      </w:r>
    </w:p>
    <w:p w14:paraId="29CE64E6">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3.履行方式</w:t>
      </w:r>
    </w:p>
    <w:p w14:paraId="6E019E7F">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（1）履行方式：</w:t>
      </w:r>
      <w:r>
        <w:rPr>
          <w:rFonts w:hint="eastAsia" w:ascii="宋体" w:hAnsi="宋体" w:cs="宋体"/>
          <w:color w:val="000000" w:themeColor="text1"/>
          <w:szCs w:val="21"/>
          <w:u w:val="single"/>
          <w14:textFill>
            <w14:solidFill>
              <w14:schemeClr w14:val="tx1"/>
            </w14:solidFill>
          </w14:textFill>
        </w:rPr>
        <w:t xml:space="preserve"> 送货上门   </w:t>
      </w:r>
      <w:r>
        <w:rPr>
          <w:rFonts w:hint="eastAsia" w:ascii="宋体" w:hAnsi="宋体" w:cs="宋体"/>
          <w:color w:val="000000" w:themeColor="text1"/>
          <w:szCs w:val="21"/>
          <w14:textFill>
            <w14:solidFill>
              <w14:schemeClr w14:val="tx1"/>
            </w14:solidFill>
          </w14:textFill>
        </w:rPr>
        <w:t>；</w:t>
      </w:r>
    </w:p>
    <w:p w14:paraId="4F2A7143">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（2）乙方负责货物运输，货物的运输方式：不限，交货方式：乙方将货物送到甲方指定地点。</w:t>
      </w:r>
    </w:p>
    <w:p w14:paraId="2A47EC63">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第四条　</w:t>
      </w:r>
      <w:r>
        <w:rPr>
          <w:rFonts w:hint="eastAsia" w:ascii="宋体" w:hAnsi="宋体"/>
          <w:b/>
          <w:color w:val="000000" w:themeColor="text1"/>
          <w14:textFill>
            <w14:solidFill>
              <w14:schemeClr w14:val="tx1"/>
            </w14:solidFill>
          </w14:textFill>
        </w:rPr>
        <w:t>包装方式</w:t>
      </w:r>
    </w:p>
    <w:p w14:paraId="24444BA9">
      <w:pPr>
        <w:pStyle w:val="12"/>
        <w:snapToGrid w:val="0"/>
        <w:spacing w:line="360" w:lineRule="auto"/>
        <w:ind w:firstLine="420" w:firstLineChars="200"/>
        <w:rPr>
          <w:rFonts w:hint="eastAsia"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1.乙方提供的货物均应按响应文件承诺的要求包装材料、包装标准、包装方式进行包装。</w:t>
      </w:r>
    </w:p>
    <w:p w14:paraId="6B1766FC">
      <w:pPr>
        <w:pStyle w:val="12"/>
        <w:snapToGrid w:val="0"/>
        <w:spacing w:line="360" w:lineRule="auto"/>
        <w:ind w:firstLine="420" w:firstLineChars="200"/>
        <w:rPr>
          <w:rFonts w:hint="eastAsia"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2.乙方应在货物发运前对其进行满足运输距离、防水、防潮、防震、防锈和防破损装卸等要求包装，以保证货物安全运达甲方指定地点。</w:t>
      </w:r>
    </w:p>
    <w:p w14:paraId="7BD6D485">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kern w:val="2"/>
          <w:sz w:val="21"/>
          <w14:textFill>
            <w14:solidFill>
              <w14:schemeClr w14:val="tx1"/>
            </w14:solidFill>
          </w14:textFill>
        </w:rPr>
        <w:t>3.货物的使用说明书（货物属于进口产品的，供货时应同时附上中文使用说明书）、质量检验证明书、质量合格证、随配附件和工具以及清单一并附于货物包装内。</w:t>
      </w:r>
    </w:p>
    <w:p w14:paraId="7BA3DFA2">
      <w:pPr>
        <w:snapToGrid w:val="0"/>
        <w:spacing w:line="360" w:lineRule="auto"/>
        <w:ind w:firstLine="422" w:firstLineChars="200"/>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第五条　安装和培训</w:t>
      </w:r>
    </w:p>
    <w:p w14:paraId="58C74AA7">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1.安装时间：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；安装地点：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7087CBCC">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2.安装要求：</w:t>
      </w:r>
      <w:r>
        <w:rPr>
          <w:rFonts w:hint="eastAsia" w:ascii="宋体" w:hAnsi="宋体"/>
          <w:iCs/>
          <w:color w:val="000000" w:themeColor="text1"/>
          <w:szCs w:val="21"/>
          <w:u w:val="single"/>
          <w14:textFill>
            <w14:solidFill>
              <w14:schemeClr w14:val="tx1"/>
            </w14:solidFill>
          </w14:textFill>
        </w:rPr>
        <w:t>乙方应当按采购文件要求或甲方要求进行安装</w:t>
      </w:r>
      <w:r>
        <w:rPr>
          <w:rFonts w:hint="eastAsia" w:ascii="宋体" w:hAnsi="宋体"/>
          <w:iCs/>
          <w:color w:val="000000" w:themeColor="text1"/>
          <w:szCs w:val="21"/>
          <w14:textFill>
            <w14:solidFill>
              <w14:schemeClr w14:val="tx1"/>
            </w14:solidFill>
          </w14:textFill>
        </w:rPr>
        <w:t>。</w:t>
      </w:r>
    </w:p>
    <w:p w14:paraId="24A236DD">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3.甲方应提供必要安装条件（如场地、电源、水源等）。</w:t>
      </w:r>
    </w:p>
    <w:p w14:paraId="7E1F8988">
      <w:pPr>
        <w:snapToGrid w:val="0"/>
        <w:spacing w:line="360" w:lineRule="auto"/>
        <w:ind w:firstLine="420" w:firstLineChars="200"/>
        <w:rPr>
          <w:rFonts w:hint="eastAsia" w:ascii="宋体" w:hAnsi="宋体"/>
          <w:i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4.乙方应当按照响应文件的承诺对甲方有关人员进行培训。培训时间：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；培训地点：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1AEC3107">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第六条　合同价款及支付</w:t>
      </w:r>
    </w:p>
    <w:p w14:paraId="72218E84">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1.本合同以人民币付款。</w:t>
      </w:r>
    </w:p>
    <w:p w14:paraId="0C6547E8">
      <w:pPr>
        <w:pStyle w:val="12"/>
        <w:snapToGrid w:val="0"/>
        <w:spacing w:line="360" w:lineRule="auto"/>
        <w:ind w:firstLine="420" w:firstLineChars="200"/>
        <w:rPr>
          <w:rFonts w:hint="eastAsia" w:hAnsi="宋体"/>
          <w:color w:val="000000" w:themeColor="text1"/>
          <w14:textFill>
            <w14:solidFill>
              <w14:schemeClr w14:val="tx1"/>
            </w14:solidFill>
          </w14:textFill>
        </w:rPr>
      </w:pPr>
      <w:r>
        <w:rPr>
          <w:rFonts w:hint="eastAsia" w:hAnsi="宋体"/>
          <w:color w:val="000000" w:themeColor="text1"/>
          <w:sz w:val="21"/>
          <w14:textFill>
            <w14:solidFill>
              <w14:schemeClr w14:val="tx1"/>
            </w14:solidFill>
          </w14:textFill>
        </w:rPr>
        <w:t>2.合同价款（或者报酬）：</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w:t>
      </w:r>
    </w:p>
    <w:p w14:paraId="24843CC4">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3.合同价款包含货物、运费、装卸费、安装人工费、调试费、培训费、税金、售后服务费及其他所有可能发生的一切费用。</w:t>
      </w:r>
    </w:p>
    <w:p w14:paraId="001BE880">
      <w:pPr>
        <w:snapToGrid w:val="0"/>
        <w:spacing w:line="360" w:lineRule="auto"/>
        <w:ind w:firstLine="420" w:firstLineChars="200"/>
        <w:rPr>
          <w:rFonts w:hint="eastAsia" w:ascii="宋体" w:hAnsi="宋体"/>
          <w:bCs/>
          <w:color w:val="000000" w:themeColor="text1"/>
          <w:u w:val="single"/>
          <w14:textFill>
            <w14:solidFill>
              <w14:schemeClr w14:val="tx1"/>
            </w14:solidFill>
          </w14:textFill>
        </w:rPr>
      </w:pPr>
      <w:r>
        <w:rPr>
          <w:rFonts w:hint="eastAsia" w:ascii="宋体" w:hAnsi="宋体"/>
          <w:bCs/>
          <w:color w:val="000000" w:themeColor="text1"/>
          <w14:textFill>
            <w14:solidFill>
              <w14:schemeClr w14:val="tx1"/>
            </w14:solidFill>
          </w14:textFill>
        </w:rPr>
        <w:t>4.付款条件：</w:t>
      </w:r>
      <w:r>
        <w:rPr>
          <w:rFonts w:hint="eastAsia" w:ascii="宋体" w:hAnsi="宋体"/>
          <w:color w:val="000000" w:themeColor="text1"/>
          <w:u w:val="single"/>
          <w14:textFill>
            <w14:solidFill>
              <w14:schemeClr w14:val="tx1"/>
            </w14:solidFill>
          </w14:textFill>
        </w:rPr>
        <w:t>货物全部供货并送达甲方指定地点，甲方支付合同款的50%；所有货物安装调试完毕且通过验收后，甲方在收到乙方开具的全额合同款发票，10个工作日内向乙方支付合同款50%。</w:t>
      </w:r>
      <w:r>
        <w:rPr>
          <w:rFonts w:hint="eastAsia" w:ascii="宋体" w:hAnsi="宋体" w:cs="宋体"/>
          <w:color w:val="000000" w:themeColor="text1"/>
          <w:szCs w:val="21"/>
          <w:highlight w:val="none"/>
          <w:u w:val="single"/>
          <w:lang w:eastAsia="zh-CN"/>
          <w14:textFill>
            <w14:solidFill>
              <w14:schemeClr w14:val="tx1"/>
            </w14:solidFill>
          </w14:textFill>
        </w:rPr>
        <w:t>成交供应商必须开具货物类的增值税普通发票，不能开</w:t>
      </w:r>
      <w:r>
        <w:rPr>
          <w:rFonts w:hint="eastAsia" w:ascii="宋体" w:hAnsi="宋体" w:cs="宋体"/>
          <w:color w:val="000000" w:themeColor="text1"/>
          <w:szCs w:val="21"/>
          <w:highlight w:val="none"/>
          <w:u w:val="single"/>
          <w:lang w:val="en-US" w:eastAsia="zh-CN"/>
          <w14:textFill>
            <w14:solidFill>
              <w14:schemeClr w14:val="tx1"/>
            </w14:solidFill>
          </w14:textFill>
        </w:rPr>
        <w:t>具</w:t>
      </w:r>
      <w:r>
        <w:rPr>
          <w:rFonts w:hint="eastAsia" w:ascii="宋体" w:hAnsi="宋体" w:cs="宋体"/>
          <w:color w:val="000000" w:themeColor="text1"/>
          <w:szCs w:val="21"/>
          <w:highlight w:val="none"/>
          <w:u w:val="single"/>
          <w:lang w:eastAsia="zh-CN"/>
          <w14:textFill>
            <w14:solidFill>
              <w14:schemeClr w14:val="tx1"/>
            </w14:solidFill>
          </w14:textFill>
        </w:rPr>
        <w:t>服务、劳务类发票。</w:t>
      </w:r>
      <w:r>
        <w:rPr>
          <w:rFonts w:hint="eastAsia" w:ascii="宋体" w:hAnsi="宋体"/>
          <w:bCs/>
          <w:color w:val="000000" w:themeColor="text1"/>
          <w:u w:val="single"/>
          <w14:textFill>
            <w14:solidFill>
              <w14:schemeClr w14:val="tx1"/>
            </w14:solidFill>
          </w14:textFill>
        </w:rPr>
        <w:t xml:space="preserve"> </w:t>
      </w:r>
    </w:p>
    <w:p w14:paraId="49B319F1">
      <w:pPr>
        <w:snapToGrid w:val="0"/>
        <w:spacing w:line="360" w:lineRule="auto"/>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Cs/>
          <w:color w:val="000000" w:themeColor="text1"/>
          <w14:textFill>
            <w14:solidFill>
              <w14:schemeClr w14:val="tx1"/>
            </w14:solidFill>
          </w14:textFill>
        </w:rPr>
        <w:t>5.资金支付方式：银行转账。</w:t>
      </w:r>
    </w:p>
    <w:p w14:paraId="76F7092B">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第七条　验收、交付标准和方法</w:t>
      </w:r>
    </w:p>
    <w:p w14:paraId="7E279DF2">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1.验收标准和方法</w:t>
      </w:r>
    </w:p>
    <w:p w14:paraId="50E33956">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（1）甲方对乙方提交的货物依据采购文件上的技术规格要求和国家有关质量标准进行现场签收，外观、说明书符合采购文件技术要求的，给予签收，不合格的不予签收。</w:t>
      </w:r>
    </w:p>
    <w:p w14:paraId="381B6BCA">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0F02EC2B">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（3）验收程序及方法：</w:t>
      </w:r>
    </w:p>
    <w:p w14:paraId="7E2AE18B">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1）乙方完成服务实施和培训后，向甲方提交验收书面申请。</w:t>
      </w:r>
    </w:p>
    <w:p w14:paraId="4E1B8CFA">
      <w:pPr>
        <w:snapToGrid w:val="0"/>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2）甲方收到乙方验收申请之日起</w:t>
      </w:r>
      <w:r>
        <w:rPr>
          <w:rFonts w:hint="eastAsia" w:ascii="宋体" w:hAnsi="宋体"/>
          <w:color w:val="000000" w:themeColor="text1"/>
          <w:szCs w:val="21"/>
          <w:u w:val="single"/>
          <w14:textFill>
            <w14:solidFill>
              <w14:schemeClr w14:val="tx1"/>
            </w14:solidFill>
          </w14:textFill>
        </w:rPr>
        <w:t xml:space="preserve">5 </w:t>
      </w:r>
      <w:r>
        <w:rPr>
          <w:rFonts w:hint="eastAsia" w:ascii="宋体" w:hAnsi="宋体"/>
          <w:color w:val="000000" w:themeColor="text1"/>
          <w:szCs w:val="21"/>
          <w14:textFill>
            <w14:solidFill>
              <w14:schemeClr w14:val="tx1"/>
            </w14:solidFill>
          </w14:textFill>
        </w:rPr>
        <w:t>个工作日内组织开展履约验收。甲方委托第三方机构组织项目验收的，其验收时间以该项目验收方案确定的验收时间为准。</w:t>
      </w:r>
    </w:p>
    <w:p w14:paraId="11FC39DA">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3）负责本项目验收的单位按下列</w:t>
      </w:r>
      <w:r>
        <w:rPr>
          <w:rFonts w:hint="eastAsia" w:ascii="宋体" w:hAnsi="宋体"/>
          <w:color w:val="000000" w:themeColor="text1"/>
          <w:szCs w:val="21"/>
          <w:u w:val="single"/>
          <w14:textFill>
            <w14:solidFill>
              <w14:schemeClr w14:val="tx1"/>
            </w14:solidFill>
          </w14:textFill>
        </w:rPr>
        <w:t xml:space="preserve"> ①  </w:t>
      </w:r>
      <w:r>
        <w:rPr>
          <w:rFonts w:hint="eastAsia" w:ascii="宋体" w:hAnsi="宋体"/>
          <w:color w:val="000000" w:themeColor="text1"/>
          <w:szCs w:val="21"/>
          <w14:textFill>
            <w14:solidFill>
              <w14:schemeClr w14:val="tx1"/>
            </w14:solidFill>
          </w14:textFill>
        </w:rPr>
        <w:t>方式确定：</w:t>
      </w:r>
    </w:p>
    <w:p w14:paraId="14440A4F">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①甲方自行组织；</w:t>
      </w:r>
    </w:p>
    <w:p w14:paraId="114C2F53">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②甲方委托的第三方机构组织；</w:t>
      </w:r>
    </w:p>
    <w:p w14:paraId="32C04697">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4）本项目验收由验收小组按照采购合同约定对每一项技术和商务要求的履约情况进行确认。</w:t>
      </w:r>
    </w:p>
    <w:p w14:paraId="1560D49E">
      <w:pPr>
        <w:spacing w:line="42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3EC968FF">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6）验收书一式</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四</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份，甲乙双方各执</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二</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份。 </w:t>
      </w:r>
    </w:p>
    <w:p w14:paraId="4FCDCFEF">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7）验收结论不合格的，乙方应自收到验收书后</w:t>
      </w:r>
      <w:r>
        <w:rPr>
          <w:rFonts w:hint="eastAsia" w:ascii="宋体" w:hAnsi="宋体"/>
          <w:color w:val="000000" w:themeColor="text1"/>
          <w:szCs w:val="21"/>
          <w:u w:val="single"/>
          <w14:textFill>
            <w14:solidFill>
              <w14:schemeClr w14:val="tx1"/>
            </w14:solidFill>
          </w14:textFill>
        </w:rPr>
        <w:t xml:space="preserve"> 5 </w:t>
      </w:r>
      <w:r>
        <w:rPr>
          <w:rFonts w:hint="eastAsia" w:ascii="宋体" w:hAnsi="宋体"/>
          <w:color w:val="000000" w:themeColor="text1"/>
          <w:szCs w:val="21"/>
          <w14:textFill>
            <w14:solidFill>
              <w14:schemeClr w14:val="tx1"/>
            </w14:solidFill>
          </w14:textFill>
        </w:rPr>
        <w:t>日内及时予以解决。经乙方对验收结论不合格的货物进行整改后，仍然达不到要求的，经双方协商，可按以下办法处理：</w:t>
      </w:r>
    </w:p>
    <w:p w14:paraId="25AEE0BD">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①更换：由乙方承担所发生的全部费用。</w:t>
      </w:r>
    </w:p>
    <w:p w14:paraId="40F06F21">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②贬值处理：由甲乙双方合议定价。</w:t>
      </w:r>
    </w:p>
    <w:p w14:paraId="62E40EDE">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8）验收费用按下列</w:t>
      </w:r>
      <w:r>
        <w:rPr>
          <w:rFonts w:hint="eastAsia" w:ascii="宋体" w:hAnsi="宋体"/>
          <w:color w:val="000000" w:themeColor="text1"/>
          <w:szCs w:val="21"/>
          <w:u w:val="single"/>
          <w14:textFill>
            <w14:solidFill>
              <w14:schemeClr w14:val="tx1"/>
            </w14:solidFill>
          </w14:textFill>
        </w:rPr>
        <w:t xml:space="preserve"> ②  </w:t>
      </w:r>
      <w:r>
        <w:rPr>
          <w:rFonts w:hint="eastAsia" w:ascii="宋体" w:hAnsi="宋体"/>
          <w:color w:val="000000" w:themeColor="text1"/>
          <w:szCs w:val="21"/>
          <w14:textFill>
            <w14:solidFill>
              <w14:schemeClr w14:val="tx1"/>
            </w14:solidFill>
          </w14:textFill>
        </w:rPr>
        <w:t>方式确定：</w:t>
      </w:r>
    </w:p>
    <w:p w14:paraId="621B383B">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①甲方支付；</w:t>
      </w:r>
    </w:p>
    <w:p w14:paraId="49492A9E">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②乙方支付；</w:t>
      </w:r>
    </w:p>
    <w:p w14:paraId="16F4BA8E">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2.交付标准和方法</w:t>
      </w:r>
    </w:p>
    <w:p w14:paraId="45A5942E">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（1）除售后服务验收外，验收结论合格的，乙方应自收到验收书/报告后</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日内向甲方交付使用。</w:t>
      </w:r>
    </w:p>
    <w:p w14:paraId="7C328432">
      <w:pPr>
        <w:spacing w:line="4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（2）甲方在初步验收或者最终验收过程中如发现乙方提供的服务成果不满足响应文件及本合同规定的，暂停向乙方付款，直到乙方及时完善并提交相应的服务成果且经甲方验收合格后，方可办理付款。</w:t>
      </w:r>
    </w:p>
    <w:p w14:paraId="39066A0D">
      <w:pPr>
        <w:snapToGrid w:val="0"/>
        <w:spacing w:line="42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（3）伴随货物的，其所有权和风险自交付时起由乙方转移至甲方，货物交付给甲方之前所有风险均由乙方承担。</w:t>
      </w:r>
    </w:p>
    <w:p w14:paraId="461F402D">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第八条  售后服务</w:t>
      </w:r>
    </w:p>
    <w:p w14:paraId="37EDD4D1">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乙方应按照国家有关法律法规规定以及响应文件承诺，为甲方提供售后服务。</w:t>
      </w:r>
    </w:p>
    <w:p w14:paraId="3A0A20EE">
      <w:pPr>
        <w:snapToGrid w:val="0"/>
        <w:spacing w:line="360" w:lineRule="auto"/>
        <w:ind w:left="-61" w:leftChars="-29" w:firstLine="517" w:firstLineChars="245"/>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第九条　履约保证金</w:t>
      </w:r>
    </w:p>
    <w:p w14:paraId="3561886D">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p w14:paraId="0956C300">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第十条　违约责任</w:t>
      </w:r>
    </w:p>
    <w:p w14:paraId="6083987C">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1.合同一方不履行合同义务、履行合同义务不符合约定或者违反合同项下所作保证的， 应向对方承担继续履行、采取修理、更换、退货等补救措施或者赔偿损失等违约责任。</w:t>
      </w:r>
    </w:p>
    <w:p w14:paraId="337DC3CF">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2.乙方未能按时交付服务的，应向甲方支付迟延交付违约金。迟延交付违约金的计算方法如下：</w:t>
      </w:r>
    </w:p>
    <w:p w14:paraId="7ACDB237">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（1）从迟交的第一周到第四周，每周迟延交付违约金为合同价款（报酬）的</w:t>
      </w:r>
      <w:r>
        <w:rPr>
          <w:rFonts w:hint="eastAsia" w:hAnsi="宋体"/>
          <w:color w:val="000000" w:themeColor="text1"/>
          <w:sz w:val="21"/>
          <w:u w:val="single"/>
          <w14:textFill>
            <w14:solidFill>
              <w14:schemeClr w14:val="tx1"/>
            </w14:solidFill>
          </w14:textFill>
        </w:rPr>
        <w:t xml:space="preserve"> 0.5%</w:t>
      </w:r>
      <w:r>
        <w:rPr>
          <w:rFonts w:hint="eastAsia" w:hAnsi="宋体"/>
          <w:color w:val="000000" w:themeColor="text1"/>
          <w:sz w:val="21"/>
          <w14:textFill>
            <w14:solidFill>
              <w14:schemeClr w14:val="tx1"/>
            </w14:solidFill>
          </w14:textFill>
        </w:rPr>
        <w:t>；</w:t>
      </w:r>
    </w:p>
    <w:p w14:paraId="403AD5E7">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（2）从迟交的第五周到第八周，每周迟延交付违约金为合同价款（报酬）的</w:t>
      </w:r>
      <w:r>
        <w:rPr>
          <w:rFonts w:hint="eastAsia" w:hAnsi="宋体"/>
          <w:color w:val="000000" w:themeColor="text1"/>
          <w:sz w:val="21"/>
          <w:u w:val="single"/>
          <w14:textFill>
            <w14:solidFill>
              <w14:schemeClr w14:val="tx1"/>
            </w14:solidFill>
          </w14:textFill>
        </w:rPr>
        <w:t xml:space="preserve"> 1%</w:t>
      </w:r>
      <w:r>
        <w:rPr>
          <w:rFonts w:hint="eastAsia" w:hAnsi="宋体"/>
          <w:color w:val="000000" w:themeColor="text1"/>
          <w:sz w:val="21"/>
          <w14:textFill>
            <w14:solidFill>
              <w14:schemeClr w14:val="tx1"/>
            </w14:solidFill>
          </w14:textFill>
        </w:rPr>
        <w:t>；</w:t>
      </w:r>
    </w:p>
    <w:p w14:paraId="2C2CC461">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（3）从迟交第九周起，每周迟延交付违约金为合同价款（报酬）的</w:t>
      </w:r>
      <w:r>
        <w:rPr>
          <w:rFonts w:hint="eastAsia" w:hAnsi="宋体"/>
          <w:color w:val="000000" w:themeColor="text1"/>
          <w:sz w:val="21"/>
          <w:u w:val="single"/>
          <w14:textFill>
            <w14:solidFill>
              <w14:schemeClr w14:val="tx1"/>
            </w14:solidFill>
          </w14:textFill>
        </w:rPr>
        <w:t xml:space="preserve"> 1.5%</w:t>
      </w:r>
      <w:r>
        <w:rPr>
          <w:rFonts w:hint="eastAsia" w:hAnsi="宋体"/>
          <w:color w:val="000000" w:themeColor="text1"/>
          <w:sz w:val="21"/>
          <w14:textFill>
            <w14:solidFill>
              <w14:schemeClr w14:val="tx1"/>
            </w14:solidFill>
          </w14:textFill>
        </w:rPr>
        <w:t>。在计算迟延交付违约金时，迟交不足一周的按一周计算。迟延交付违约金的总额不得超过合同价款（报酬）的</w:t>
      </w:r>
      <w:r>
        <w:rPr>
          <w:rFonts w:hint="eastAsia" w:hAnsi="宋体"/>
          <w:color w:val="000000" w:themeColor="text1"/>
          <w:sz w:val="21"/>
          <w:u w:val="single"/>
          <w14:textFill>
            <w14:solidFill>
              <w14:schemeClr w14:val="tx1"/>
            </w14:solidFill>
          </w14:textFill>
        </w:rPr>
        <w:t xml:space="preserve"> 10%</w:t>
      </w:r>
      <w:r>
        <w:rPr>
          <w:rFonts w:hint="eastAsia" w:hAnsi="宋体"/>
          <w:color w:val="000000" w:themeColor="text1"/>
          <w:sz w:val="21"/>
          <w14:textFill>
            <w14:solidFill>
              <w14:schemeClr w14:val="tx1"/>
            </w14:solidFill>
          </w14:textFill>
        </w:rPr>
        <w:t>。迟延交付违约金的支付不能免除乙方继续交付相关合同服务的义务，但如迟延交付必然导致合同服务实施、调试、验收等工作推迟的，相关工作应相应顺延。</w:t>
      </w:r>
    </w:p>
    <w:p w14:paraId="4C767F53">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3.甲方未能按合同约定支付合同价款的，应向乙方支付延迟付款违约金。迟延付款违约金的计算方法如下：</w:t>
      </w:r>
    </w:p>
    <w:p w14:paraId="78FF74EE">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（1）从迟付的第一周到第四周，每周迟延付款违约金为迟延付款金额的</w:t>
      </w:r>
      <w:r>
        <w:rPr>
          <w:rFonts w:hint="eastAsia" w:hAnsi="宋体"/>
          <w:color w:val="000000" w:themeColor="text1"/>
          <w:sz w:val="21"/>
          <w:u w:val="single"/>
          <w14:textFill>
            <w14:solidFill>
              <w14:schemeClr w14:val="tx1"/>
            </w14:solidFill>
          </w14:textFill>
        </w:rPr>
        <w:t xml:space="preserve"> 0.5%</w:t>
      </w:r>
      <w:r>
        <w:rPr>
          <w:rFonts w:hint="eastAsia" w:hAnsi="宋体"/>
          <w:color w:val="000000" w:themeColor="text1"/>
          <w:sz w:val="21"/>
          <w14:textFill>
            <w14:solidFill>
              <w14:schemeClr w14:val="tx1"/>
            </w14:solidFill>
          </w14:textFill>
        </w:rPr>
        <w:t>；</w:t>
      </w:r>
    </w:p>
    <w:p w14:paraId="7B35D03C">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（2）从迟付的第五周到第八周，每周迟延付款违约金为迟延付款金额的</w:t>
      </w:r>
      <w:r>
        <w:rPr>
          <w:rFonts w:hint="eastAsia" w:hAnsi="宋体"/>
          <w:color w:val="000000" w:themeColor="text1"/>
          <w:sz w:val="21"/>
          <w:u w:val="single"/>
          <w14:textFill>
            <w14:solidFill>
              <w14:schemeClr w14:val="tx1"/>
            </w14:solidFill>
          </w14:textFill>
        </w:rPr>
        <w:t xml:space="preserve"> 1%</w:t>
      </w:r>
      <w:r>
        <w:rPr>
          <w:rFonts w:hint="eastAsia" w:hAnsi="宋体"/>
          <w:color w:val="000000" w:themeColor="text1"/>
          <w:sz w:val="21"/>
          <w14:textFill>
            <w14:solidFill>
              <w14:schemeClr w14:val="tx1"/>
            </w14:solidFill>
          </w14:textFill>
        </w:rPr>
        <w:t>；</w:t>
      </w:r>
    </w:p>
    <w:p w14:paraId="5A827EB6">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（3）从迟付第九周起，每周迟延付款违约金为迟延付款金额的</w:t>
      </w:r>
      <w:r>
        <w:rPr>
          <w:rFonts w:hint="eastAsia" w:hAnsi="宋体"/>
          <w:color w:val="000000" w:themeColor="text1"/>
          <w:sz w:val="21"/>
          <w:u w:val="single"/>
          <w14:textFill>
            <w14:solidFill>
              <w14:schemeClr w14:val="tx1"/>
            </w14:solidFill>
          </w14:textFill>
        </w:rPr>
        <w:t xml:space="preserve"> 1.5%</w:t>
      </w:r>
      <w:r>
        <w:rPr>
          <w:rFonts w:hint="eastAsia" w:hAnsi="宋体"/>
          <w:color w:val="000000" w:themeColor="text1"/>
          <w:sz w:val="21"/>
          <w14:textFill>
            <w14:solidFill>
              <w14:schemeClr w14:val="tx1"/>
            </w14:solidFill>
          </w14:textFill>
        </w:rPr>
        <w:t>。在计算迟延付款违约金时，迟付不足一周的按一周计算。迟延付款违约金的总额不得超过合同价格的</w:t>
      </w:r>
      <w:r>
        <w:rPr>
          <w:rFonts w:hint="eastAsia" w:hAnsi="宋体"/>
          <w:color w:val="000000" w:themeColor="text1"/>
          <w:sz w:val="21"/>
          <w:u w:val="single"/>
          <w14:textFill>
            <w14:solidFill>
              <w14:schemeClr w14:val="tx1"/>
            </w14:solidFill>
          </w14:textFill>
        </w:rPr>
        <w:t xml:space="preserve"> 10%</w:t>
      </w:r>
      <w:r>
        <w:rPr>
          <w:rFonts w:hint="eastAsia" w:hAnsi="宋体"/>
          <w:color w:val="000000" w:themeColor="text1"/>
          <w:sz w:val="21"/>
          <w14:textFill>
            <w14:solidFill>
              <w14:schemeClr w14:val="tx1"/>
            </w14:solidFill>
          </w14:textFill>
        </w:rPr>
        <w:t>。</w:t>
      </w:r>
    </w:p>
    <w:p w14:paraId="5B440221">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 xml:space="preserve">4.乙方未按本合同和响应文件承诺提供售后服务的，乙方应按本合同价款（报酬）的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sz w:val="21"/>
          <w14:textFill>
            <w14:solidFill>
              <w14:schemeClr w14:val="tx1"/>
            </w14:solidFill>
          </w14:textFill>
        </w:rPr>
        <w:t>%向甲方支付违约金。</w:t>
      </w:r>
    </w:p>
    <w:p w14:paraId="5B12890C">
      <w:pPr>
        <w:pStyle w:val="12"/>
        <w:snapToGrid w:val="0"/>
        <w:spacing w:line="420" w:lineRule="exact"/>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5.因某一方原因导致变更、中止或者终止政府采购合同的，该方应当对另一方受到的损失予以赔偿或者补偿。</w:t>
      </w:r>
    </w:p>
    <w:p w14:paraId="71208220">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6.其他违约责任按《中华人民共和国民法典》处理。</w:t>
      </w:r>
    </w:p>
    <w:p w14:paraId="072CEDA1">
      <w:pPr>
        <w:pStyle w:val="12"/>
        <w:snapToGrid w:val="0"/>
        <w:spacing w:line="360" w:lineRule="auto"/>
        <w:ind w:firstLine="413" w:firstLineChars="196"/>
        <w:rPr>
          <w:rFonts w:hint="eastAsia" w:hAnsi="宋体"/>
          <w:b/>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第十一条  不可抗力事件处理</w:t>
      </w:r>
    </w:p>
    <w:p w14:paraId="61A4F175">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1.在合同有效期内，任何一方因不可抗力事件导致不能履行合同，则合同履行期可延长，其延长期与不可抗力影响期相同。</w:t>
      </w:r>
    </w:p>
    <w:p w14:paraId="0FD009A5">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2.不可抗力事件发生后，应立即通知对方，并寄送有关权威机构出具的证明。</w:t>
      </w:r>
    </w:p>
    <w:p w14:paraId="3B0EC73F">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3.不可抗力事件延续一百二十天以上，双方应通过友好协商，确定是否继续履行合同。</w:t>
      </w:r>
    </w:p>
    <w:p w14:paraId="40FEA097">
      <w:pPr>
        <w:snapToGrid w:val="0"/>
        <w:spacing w:line="360" w:lineRule="auto"/>
        <w:ind w:firstLine="422" w:firstLineChars="200"/>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第十二条  合同争议解决</w:t>
      </w:r>
    </w:p>
    <w:p w14:paraId="03639F7E">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1.因服务质量问题发生争议的，应邀请国家认可的质量检测机构或专家组进行鉴定。服务符合标准的，鉴定费由甲方承担；服务不符合标准的，鉴定费由乙方承担。</w:t>
      </w:r>
    </w:p>
    <w:p w14:paraId="1FEA6810">
      <w:pPr>
        <w:autoSpaceDE w:val="0"/>
        <w:autoSpaceDN w:val="0"/>
        <w:adjustRightInd w:val="0"/>
        <w:spacing w:line="360" w:lineRule="auto"/>
        <w:ind w:left="100" w:right="42"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2.因履行本合同引起的或者与本合同有关的争议，甲乙双方应首先通过友好协商解决，如果协商不能解决，按下列</w:t>
      </w:r>
      <w:r>
        <w:rPr>
          <w:rFonts w:hint="eastAsia" w:ascii="宋体" w:hAnsi="宋体"/>
          <w:color w:val="000000" w:themeColor="text1"/>
          <w:szCs w:val="21"/>
          <w:u w:val="single"/>
          <w14:textFill>
            <w14:solidFill>
              <w14:schemeClr w14:val="tx1"/>
            </w14:solidFill>
          </w14:textFill>
        </w:rPr>
        <w:t xml:space="preserve"> （2） </w:t>
      </w:r>
      <w:r>
        <w:rPr>
          <w:rFonts w:hint="eastAsia" w:ascii="宋体" w:hAnsi="宋体"/>
          <w:color w:val="000000" w:themeColor="text1"/>
          <w:szCs w:val="21"/>
          <w14:textFill>
            <w14:solidFill>
              <w14:schemeClr w14:val="tx1"/>
            </w14:solidFill>
          </w14:textFill>
        </w:rPr>
        <w:t>方式解决：</w:t>
      </w:r>
    </w:p>
    <w:p w14:paraId="7EA6E5A1">
      <w:pPr>
        <w:autoSpaceDE w:val="0"/>
        <w:autoSpaceDN w:val="0"/>
        <w:adjustRightInd w:val="0"/>
        <w:spacing w:line="360" w:lineRule="auto"/>
        <w:ind w:right="40"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（1）向</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仲裁委员会申请仲裁；</w:t>
      </w:r>
    </w:p>
    <w:p w14:paraId="63C45E0D">
      <w:pPr>
        <w:autoSpaceDE w:val="0"/>
        <w:autoSpaceDN w:val="0"/>
        <w:adjustRightInd w:val="0"/>
        <w:spacing w:line="360" w:lineRule="auto"/>
        <w:ind w:right="40"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（2）向甲方所在地的人民法院提起诉讼。</w:t>
      </w:r>
    </w:p>
    <w:p w14:paraId="7F590FA1">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第十三条　合同的变更、中止或者终止</w:t>
      </w:r>
    </w:p>
    <w:p w14:paraId="16B99DCF">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除《中华人民共和国政府采购法》第五十条规定的情形外，本合同一经签订，甲乙双方不得擅自变更、中止或者终止合同。</w:t>
      </w:r>
    </w:p>
    <w:p w14:paraId="69E7CDA9">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2.采购合同继续履行将损害国家利益和社会公共利益的，双方当事人应当变更、中止或者终止合同。有过错的一方应当承担赔偿责任，双方都有过错的，各自承担相应的责任。</w:t>
      </w:r>
    </w:p>
    <w:p w14:paraId="7CC9C6D3">
      <w:pPr>
        <w:snapToGrid w:val="0"/>
        <w:spacing w:line="360" w:lineRule="auto"/>
        <w:ind w:firstLine="422"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第十四条　</w:t>
      </w:r>
      <w:r>
        <w:rPr>
          <w:rFonts w:hint="eastAsia" w:ascii="宋体" w:hAnsi="宋体" w:cs="微软雅黑"/>
          <w:b/>
          <w:color w:val="000000" w:themeColor="text1"/>
          <w:kern w:val="0"/>
          <w:szCs w:val="21"/>
          <w14:textFill>
            <w14:solidFill>
              <w14:schemeClr w14:val="tx1"/>
            </w14:solidFill>
          </w14:textFill>
        </w:rPr>
        <w:t>合</w:t>
      </w:r>
      <w:r>
        <w:rPr>
          <w:rFonts w:hint="eastAsia" w:ascii="宋体" w:hAnsi="宋体" w:cs="微软雅黑"/>
          <w:b/>
          <w:color w:val="000000" w:themeColor="text1"/>
          <w:spacing w:val="-2"/>
          <w:kern w:val="0"/>
          <w:szCs w:val="21"/>
          <w14:textFill>
            <w14:solidFill>
              <w14:schemeClr w14:val="tx1"/>
            </w14:solidFill>
          </w14:textFill>
        </w:rPr>
        <w:t>同</w:t>
      </w:r>
      <w:r>
        <w:rPr>
          <w:rFonts w:hint="eastAsia" w:ascii="宋体" w:hAnsi="宋体" w:cs="微软雅黑"/>
          <w:b/>
          <w:color w:val="000000" w:themeColor="text1"/>
          <w:kern w:val="0"/>
          <w:szCs w:val="21"/>
          <w14:textFill>
            <w14:solidFill>
              <w14:schemeClr w14:val="tx1"/>
            </w14:solidFill>
          </w14:textFill>
        </w:rPr>
        <w:t>文</w:t>
      </w:r>
      <w:r>
        <w:rPr>
          <w:rFonts w:hint="eastAsia" w:ascii="宋体" w:hAnsi="宋体" w:cs="微软雅黑"/>
          <w:b/>
          <w:color w:val="000000" w:themeColor="text1"/>
          <w:spacing w:val="-2"/>
          <w:kern w:val="0"/>
          <w:szCs w:val="21"/>
          <w14:textFill>
            <w14:solidFill>
              <w14:schemeClr w14:val="tx1"/>
            </w14:solidFill>
          </w14:textFill>
        </w:rPr>
        <w:t>件构成</w:t>
      </w:r>
    </w:p>
    <w:p w14:paraId="63DD8536">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1.政府采购合同</w:t>
      </w:r>
    </w:p>
    <w:p w14:paraId="444C4C7F">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2.成交通知书；</w:t>
      </w:r>
    </w:p>
    <w:p w14:paraId="3E1F82D9">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3.响应文件；</w:t>
      </w:r>
    </w:p>
    <w:p w14:paraId="59EB8916">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4.采购文件及更正公告（澄清或补充通知）；</w:t>
      </w:r>
    </w:p>
    <w:p w14:paraId="3BF6EB0E">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5.标准、规范及有关技术文件；</w:t>
      </w:r>
    </w:p>
    <w:p w14:paraId="0AA45EAB">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6.双方约定的其他合同文件。</w:t>
      </w:r>
    </w:p>
    <w:p w14:paraId="5ED06CC8">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上述合同文件互相补充和解释。如果合同文件之间存在矛盾或者不一致之处，以上述文件的排列顺序在先者为准。</w:t>
      </w:r>
    </w:p>
    <w:p w14:paraId="7CEA2A5D">
      <w:pPr>
        <w:snapToGrid w:val="0"/>
        <w:spacing w:line="360" w:lineRule="auto"/>
        <w:ind w:firstLine="422" w:firstLineChars="200"/>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w:t>
      </w:r>
      <w:r>
        <w:rPr>
          <w:rFonts w:hint="eastAsia" w:hAnsi="宋体"/>
          <w:b/>
          <w:color w:val="000000" w:themeColor="text1"/>
          <w14:textFill>
            <w14:solidFill>
              <w14:schemeClr w14:val="tx1"/>
            </w14:solidFill>
          </w14:textFill>
        </w:rPr>
        <w:t>十五</w:t>
      </w:r>
      <w:r>
        <w:rPr>
          <w:rFonts w:hint="eastAsia" w:ascii="宋体" w:hAnsi="宋体"/>
          <w:b/>
          <w:color w:val="000000" w:themeColor="text1"/>
          <w:szCs w:val="21"/>
          <w14:textFill>
            <w14:solidFill>
              <w14:schemeClr w14:val="tx1"/>
            </w14:solidFill>
          </w14:textFill>
        </w:rPr>
        <w:t>条　知识产权和保密要求</w:t>
      </w:r>
    </w:p>
    <w:p w14:paraId="3E683FB3">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1.甲方在履行合同过程中提供给乙方的全部图纸、文件和其他含有数据和信息的资料，其知识产权属于甲方。</w:t>
      </w:r>
    </w:p>
    <w:p w14:paraId="40609111">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2.除采购文件采购需求另有约定外，甲方不因签署和履行合同而享有乙方在履行合同过程中提供给甲方的图纸、文件、配套软件、电子辅助程序和其他含有数据和信息的资料的知识产权。</w:t>
      </w:r>
    </w:p>
    <w:p w14:paraId="53AA0740">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14:paraId="3CE5066E">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39347E2E">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2DD98AD8">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6.伴随货物的，乙方保证将要交付的货物的所有权完全属于乙方且无任何抵押、质押、查封等产权瑕疵。</w:t>
      </w:r>
    </w:p>
    <w:p w14:paraId="0DB05C09">
      <w:pPr>
        <w:pStyle w:val="12"/>
        <w:snapToGrid w:val="0"/>
        <w:spacing w:line="360" w:lineRule="auto"/>
        <w:ind w:firstLine="413" w:firstLineChars="196"/>
        <w:rPr>
          <w:rFonts w:hint="eastAsia" w:hAnsi="宋体"/>
          <w:b/>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第十六条  合同生效及其他</w:t>
      </w:r>
    </w:p>
    <w:p w14:paraId="41C77766">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1.合同经双方法定代表人或者委托代理人签字并加盖单位公章后生效（委托代理人签字的需后附授权委托书，格式自拟）。</w:t>
      </w:r>
    </w:p>
    <w:p w14:paraId="1C3C4B64">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2.合同执行中涉及采购资金和采购内容修改或者补充的，并签订书面补充协议报财政部门备案，方可作为主合同不可分割的一部分。</w:t>
      </w:r>
    </w:p>
    <w:p w14:paraId="5024EBCE">
      <w:pPr>
        <w:pStyle w:val="12"/>
        <w:snapToGrid w:val="0"/>
        <w:spacing w:line="360" w:lineRule="auto"/>
        <w:ind w:firstLine="420" w:firstLine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3.合同生效后，甲乙双方不得因姓名、名称的变更或者法定代表人、负责人、承办人的变动而不履行合同义务。</w:t>
      </w:r>
    </w:p>
    <w:p w14:paraId="33772BAF">
      <w:pPr>
        <w:pStyle w:val="12"/>
        <w:snapToGrid w:val="0"/>
        <w:spacing w:line="360" w:lineRule="auto"/>
        <w:ind w:left="420" w:leftChars="20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4.本合同未尽事宜，遵照《中华人民共和国民法典》有关条文执行。</w:t>
      </w:r>
    </w:p>
    <w:p w14:paraId="7DD396FC">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本合同一式五份，具有同等法律效力，甲方二份、乙方二份，采购代理机构一份。</w:t>
      </w:r>
    </w:p>
    <w:p w14:paraId="39544D83">
      <w:pPr>
        <w:spacing w:line="360" w:lineRule="auto"/>
        <w:ind w:firstLine="422" w:firstLineChars="200"/>
        <w:rPr>
          <w:rFonts w:hint="eastAsia" w:ascii="宋体" w:hAnsi="宋体" w:cs="宋体"/>
          <w:b/>
          <w:color w:val="000000" w:themeColor="text1"/>
          <w:szCs w:val="21"/>
          <w14:textFill>
            <w14:solidFill>
              <w14:schemeClr w14:val="tx1"/>
            </w14:solidFill>
          </w14:textFill>
        </w:rPr>
      </w:pPr>
    </w:p>
    <w:p w14:paraId="722E801D">
      <w:pPr>
        <w:tabs>
          <w:tab w:val="left" w:pos="4395"/>
        </w:tabs>
        <w:spacing w:line="360" w:lineRule="auto"/>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甲方（盖章）：</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乙方（盖章）：</w:t>
      </w:r>
    </w:p>
    <w:p w14:paraId="7CF5DD74">
      <w:pPr>
        <w:tabs>
          <w:tab w:val="left" w:pos="4395"/>
        </w:tabs>
        <w:spacing w:line="360" w:lineRule="auto"/>
        <w:rPr>
          <w:rFonts w:hint="eastAsia" w:ascii="宋体" w:hAnsi="宋体"/>
          <w:b/>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法定代表人或者委托代理人（签字）</w:t>
      </w:r>
      <w:r>
        <w:rPr>
          <w:rFonts w:hint="eastAsia" w:ascii="宋体" w:hAns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ab/>
      </w:r>
      <w:r>
        <w:rPr>
          <w:rFonts w:hint="eastAsia" w:ascii="宋体" w:hAnsi="宋体"/>
          <w:bCs/>
          <w:color w:val="000000" w:themeColor="text1"/>
          <w:szCs w:val="21"/>
          <w14:textFill>
            <w14:solidFill>
              <w14:schemeClr w14:val="tx1"/>
            </w14:solidFill>
          </w14:textFill>
        </w:rPr>
        <w:t>法定代表人或者委托代理人（签字）</w:t>
      </w:r>
      <w:r>
        <w:rPr>
          <w:rFonts w:hint="eastAsia" w:ascii="宋体" w:hAnsi="宋体"/>
          <w:b/>
          <w:color w:val="000000" w:themeColor="text1"/>
          <w:szCs w:val="21"/>
          <w14:textFill>
            <w14:solidFill>
              <w14:schemeClr w14:val="tx1"/>
            </w14:solidFill>
          </w14:textFill>
        </w:rPr>
        <w:t xml:space="preserve">： </w:t>
      </w:r>
    </w:p>
    <w:p w14:paraId="7F3DB455">
      <w:pPr>
        <w:tabs>
          <w:tab w:val="left" w:pos="4395"/>
        </w:tabs>
        <w:spacing w:line="360" w:lineRule="auto"/>
        <w:rPr>
          <w:rFonts w:hint="eastAsia" w:ascii="宋体" w:hAnsi="宋体"/>
          <w:color w:val="000000" w:themeColor="text1"/>
          <w:szCs w:val="21"/>
          <w14:textFill>
            <w14:solidFill>
              <w14:schemeClr w14:val="tx1"/>
            </w14:solidFill>
          </w14:textFill>
        </w:rPr>
      </w:pPr>
    </w:p>
    <w:p w14:paraId="7D3C1131">
      <w:pPr>
        <w:tabs>
          <w:tab w:val="left" w:pos="4395"/>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签订日期：　　　年　　月　　日</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签订日期：　　　年　　月　　日</w:t>
      </w:r>
    </w:p>
    <w:p w14:paraId="046C8FCC">
      <w:pPr>
        <w:tabs>
          <w:tab w:val="left" w:pos="4395"/>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开户名称：</w:t>
      </w:r>
    </w:p>
    <w:p w14:paraId="53D5367C">
      <w:pPr>
        <w:tabs>
          <w:tab w:val="left" w:pos="4395"/>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银行账号：</w:t>
      </w:r>
    </w:p>
    <w:p w14:paraId="359827C9">
      <w:pPr>
        <w:tabs>
          <w:tab w:val="left" w:pos="4395"/>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开 户 行：</w:t>
      </w:r>
    </w:p>
    <w:p w14:paraId="10F42FB2">
      <w:pPr>
        <w:tabs>
          <w:tab w:val="left" w:pos="4395"/>
        </w:tabs>
        <w:spacing w:line="360" w:lineRule="auto"/>
        <w:rPr>
          <w:rFonts w:hint="eastAsia" w:ascii="宋体" w:hAnsi="宋体"/>
          <w:color w:val="000000" w:themeColor="text1"/>
          <w:szCs w:val="21"/>
          <w14:textFill>
            <w14:solidFill>
              <w14:schemeClr w14:val="tx1"/>
            </w14:solidFill>
          </w14:textFill>
        </w:rPr>
      </w:pPr>
    </w:p>
    <w:sectPr>
      <w:footerReference r:id="rId5" w:type="firs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F3C7FB-F9D0-4588-A191-0324E3D9F6E9}"/>
  </w:font>
  <w:font w:name="黑体">
    <w:panose1 w:val="02010609060101010101"/>
    <w:charset w:val="86"/>
    <w:family w:val="auto"/>
    <w:pitch w:val="default"/>
    <w:sig w:usb0="800002BF" w:usb1="38CF7CFA" w:usb2="00000016" w:usb3="00000000" w:csb0="00040001" w:csb1="00000000"/>
    <w:embedRegular r:id="rId2" w:fontKey="{9D2040A7-F545-4146-8DF4-1231952E4C24}"/>
  </w:font>
  <w:font w:name="Courier New">
    <w:panose1 w:val="02070309020205020404"/>
    <w:charset w:val="01"/>
    <w:family w:val="modern"/>
    <w:pitch w:val="default"/>
    <w:sig w:usb0="E0002EFF" w:usb1="C0007843" w:usb2="00000009" w:usb3="00000000" w:csb0="400001FF" w:csb1="FFFF0000"/>
    <w:embedRegular r:id="rId3" w:fontKey="{95B0A7EA-1874-4011-84FA-1788120A4BE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575FE1A-BA72-45BB-83EE-59DBB6095AB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5CBE311D-3DDB-4DF8-9B29-CB98E3A143A4}"/>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6" w:fontKey="{A2216A11-3213-43BA-8FC8-AB0E12214B0F}"/>
  </w:font>
  <w:font w:name="华文新魏">
    <w:panose1 w:val="02010800040101010101"/>
    <w:charset w:val="86"/>
    <w:family w:val="auto"/>
    <w:pitch w:val="default"/>
    <w:sig w:usb0="00000001" w:usb1="080F0000" w:usb2="00000000" w:usb3="00000000" w:csb0="00040000" w:csb1="00000000"/>
    <w:embedRegular r:id="rId7" w:fontKey="{971790B2-518E-4379-A80F-F8D82B2E247E}"/>
  </w:font>
  <w:font w:name="MS Mincho">
    <w:panose1 w:val="02020609040205080304"/>
    <w:charset w:val="80"/>
    <w:family w:val="modern"/>
    <w:pitch w:val="default"/>
    <w:sig w:usb0="A00002BF" w:usb1="68C7FCFB" w:usb2="00000010" w:usb3="00000000" w:csb0="4002009F" w:csb1="DFD70000"/>
    <w:embedRegular r:id="rId8" w:fontKey="{02CF47BD-3572-4798-AC41-ACDCC26DB8B7}"/>
  </w:font>
  <w:font w:name="Arial Unicode MS">
    <w:panose1 w:val="020B0604020202020204"/>
    <w:charset w:val="86"/>
    <w:family w:val="swiss"/>
    <w:pitch w:val="default"/>
    <w:sig w:usb0="FFFFFFFF" w:usb1="E9FFFFFF" w:usb2="0000003F" w:usb3="00000000" w:csb0="603F01FF" w:csb1="FFFF0000"/>
    <w:embedRegular r:id="rId9" w:fontKey="{634A5335-A754-42C0-BD4D-CDF85AF48FAC}"/>
  </w:font>
  <w:font w:name="仿宋">
    <w:panose1 w:val="02010609060101010101"/>
    <w:charset w:val="86"/>
    <w:family w:val="modern"/>
    <w:pitch w:val="default"/>
    <w:sig w:usb0="800002BF" w:usb1="38CF7CFA" w:usb2="00000016" w:usb3="00000000" w:csb0="00040001" w:csb1="00000000"/>
    <w:embedRegular r:id="rId10" w:fontKey="{CE60A6C1-90DA-4809-B235-CB46BA40CC3C}"/>
  </w:font>
  <w:font w:name="BatangChe">
    <w:altName w:val="Malgun Gothic"/>
    <w:panose1 w:val="02030609000101010101"/>
    <w:charset w:val="81"/>
    <w:family w:val="auto"/>
    <w:pitch w:val="default"/>
    <w:sig w:usb0="00000000" w:usb1="00000000" w:usb2="00000030" w:usb3="00000000" w:csb0="4008009F" w:csb1="DFD70000"/>
    <w:embedRegular r:id="rId11" w:fontKey="{F8C75621-C13F-4C4F-8CD5-0D254947B5F3}"/>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embedRegular r:id="rId12" w:fontKey="{0A50C9A9-0DEC-4FBD-826E-97BEDDDA6D20}"/>
  </w:font>
  <w:font w:name="WPSEMBED12">
    <w:panose1 w:val="03000509000000000000"/>
    <w:charset w:val="86"/>
    <w:family w:val="auto"/>
    <w:pitch w:val="default"/>
    <w:sig w:usb0="00000001" w:usb1="080E0000" w:usb2="00000000" w:usb3="00000000" w:csb0="00040000" w:csb1="00000000"/>
  </w:font>
  <w:font w:name="WPSEMBED13">
    <w:panose1 w:val="02010800040101010101"/>
    <w:charset w:val="86"/>
    <w:family w:val="auto"/>
    <w:pitch w:val="default"/>
    <w:sig w:usb0="00000001" w:usb1="080F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WPSEMBED14">
    <w:panose1 w:val="02020609040205080304"/>
    <w:charset w:val="80"/>
    <w:family w:val="auto"/>
    <w:pitch w:val="default"/>
    <w:sig w:usb0="A00002BF" w:usb1="68C7FCFB" w:usb2="00000010" w:usb3="00000000" w:csb0="4002009F" w:csb1="DFD70000"/>
  </w:font>
  <w:font w:name="WPSEMBED15">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3CA8">
    <w:pPr>
      <w:pStyle w:val="15"/>
      <w:jc w:val="center"/>
    </w:pPr>
    <w:r>
      <w:fldChar w:fldCharType="begin"/>
    </w:r>
    <w:r>
      <w:instrText xml:space="preserve"> PAGE   \* MERGEFORMAT </w:instrText>
    </w:r>
    <w:r>
      <w:fldChar w:fldCharType="separate"/>
    </w:r>
    <w:r>
      <w:rPr>
        <w:lang w:val="zh-CN"/>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2D13D">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75237D">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Gu8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f+Gu8QBAACQAwAADgAAAAAAAAABACAAAAAeAQAAZHJzL2Uyb0RvYy54bWxQ&#10;SwUGAAAAAAYABgBZAQAAVAUAAAAA&#10;">
              <v:fill on="f" focussize="0,0"/>
              <v:stroke on="f"/>
              <v:imagedata o:title=""/>
              <o:lock v:ext="edit" aspectratio="f"/>
              <v:textbox inset="0mm,0mm,0mm,0mm" style="mso-fit-shape-to-text:t;">
                <w:txbxContent>
                  <w:p w14:paraId="2C75237D">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4F2A">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NEIHijKOa80GON8rpFUaAcWlBis=" w:salt="fC90tHimJwCeSHKDQreu/g=="/>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14"/>
    <w:rsid w:val="00000672"/>
    <w:rsid w:val="00001799"/>
    <w:rsid w:val="00002D29"/>
    <w:rsid w:val="000040C5"/>
    <w:rsid w:val="00004514"/>
    <w:rsid w:val="00004A8A"/>
    <w:rsid w:val="00005E55"/>
    <w:rsid w:val="00005FDF"/>
    <w:rsid w:val="00006586"/>
    <w:rsid w:val="00010D39"/>
    <w:rsid w:val="000112BB"/>
    <w:rsid w:val="0001149B"/>
    <w:rsid w:val="0001172C"/>
    <w:rsid w:val="00012854"/>
    <w:rsid w:val="00012EA6"/>
    <w:rsid w:val="000139DC"/>
    <w:rsid w:val="00013D8C"/>
    <w:rsid w:val="00013DFE"/>
    <w:rsid w:val="000141EA"/>
    <w:rsid w:val="00014385"/>
    <w:rsid w:val="00014B02"/>
    <w:rsid w:val="000166C4"/>
    <w:rsid w:val="00016960"/>
    <w:rsid w:val="00017396"/>
    <w:rsid w:val="000177DB"/>
    <w:rsid w:val="00020227"/>
    <w:rsid w:val="000203E4"/>
    <w:rsid w:val="00020455"/>
    <w:rsid w:val="00021706"/>
    <w:rsid w:val="00022731"/>
    <w:rsid w:val="00022792"/>
    <w:rsid w:val="0002392D"/>
    <w:rsid w:val="00024B43"/>
    <w:rsid w:val="00025382"/>
    <w:rsid w:val="00025636"/>
    <w:rsid w:val="00025E36"/>
    <w:rsid w:val="00026627"/>
    <w:rsid w:val="00026886"/>
    <w:rsid w:val="00030496"/>
    <w:rsid w:val="000329A1"/>
    <w:rsid w:val="000329E0"/>
    <w:rsid w:val="000333A0"/>
    <w:rsid w:val="000352E9"/>
    <w:rsid w:val="00036A07"/>
    <w:rsid w:val="00036E33"/>
    <w:rsid w:val="00037E2D"/>
    <w:rsid w:val="00040571"/>
    <w:rsid w:val="00040A27"/>
    <w:rsid w:val="0004156E"/>
    <w:rsid w:val="00041597"/>
    <w:rsid w:val="0004440C"/>
    <w:rsid w:val="00045880"/>
    <w:rsid w:val="000462CB"/>
    <w:rsid w:val="00046B5E"/>
    <w:rsid w:val="0004783A"/>
    <w:rsid w:val="0005002F"/>
    <w:rsid w:val="000509D9"/>
    <w:rsid w:val="000552A6"/>
    <w:rsid w:val="00055D41"/>
    <w:rsid w:val="00057CEC"/>
    <w:rsid w:val="00060DCE"/>
    <w:rsid w:val="000621EB"/>
    <w:rsid w:val="000623B4"/>
    <w:rsid w:val="000634A7"/>
    <w:rsid w:val="00063E85"/>
    <w:rsid w:val="00063F81"/>
    <w:rsid w:val="00064847"/>
    <w:rsid w:val="0006484B"/>
    <w:rsid w:val="00065BBC"/>
    <w:rsid w:val="000673E2"/>
    <w:rsid w:val="00067C0F"/>
    <w:rsid w:val="000711E4"/>
    <w:rsid w:val="00072AED"/>
    <w:rsid w:val="00073F47"/>
    <w:rsid w:val="00075B7E"/>
    <w:rsid w:val="00077C70"/>
    <w:rsid w:val="00080B57"/>
    <w:rsid w:val="000817D1"/>
    <w:rsid w:val="00081BA3"/>
    <w:rsid w:val="00081D2E"/>
    <w:rsid w:val="0008267B"/>
    <w:rsid w:val="00082B62"/>
    <w:rsid w:val="00082D02"/>
    <w:rsid w:val="00083B91"/>
    <w:rsid w:val="0008520B"/>
    <w:rsid w:val="000871B8"/>
    <w:rsid w:val="00087DB6"/>
    <w:rsid w:val="00090639"/>
    <w:rsid w:val="000913BE"/>
    <w:rsid w:val="000918F8"/>
    <w:rsid w:val="00092442"/>
    <w:rsid w:val="0009588E"/>
    <w:rsid w:val="000959EE"/>
    <w:rsid w:val="00095B2F"/>
    <w:rsid w:val="00095B51"/>
    <w:rsid w:val="00095B94"/>
    <w:rsid w:val="00097DA0"/>
    <w:rsid w:val="000A0D6B"/>
    <w:rsid w:val="000A0EEE"/>
    <w:rsid w:val="000A1389"/>
    <w:rsid w:val="000A166E"/>
    <w:rsid w:val="000A17D0"/>
    <w:rsid w:val="000A2B0E"/>
    <w:rsid w:val="000A398F"/>
    <w:rsid w:val="000A4AEE"/>
    <w:rsid w:val="000A509C"/>
    <w:rsid w:val="000A517F"/>
    <w:rsid w:val="000A6007"/>
    <w:rsid w:val="000A65A6"/>
    <w:rsid w:val="000A7275"/>
    <w:rsid w:val="000A7A12"/>
    <w:rsid w:val="000A7AD8"/>
    <w:rsid w:val="000A7CA5"/>
    <w:rsid w:val="000B039A"/>
    <w:rsid w:val="000B1801"/>
    <w:rsid w:val="000B19B3"/>
    <w:rsid w:val="000B1D0C"/>
    <w:rsid w:val="000B2D03"/>
    <w:rsid w:val="000B3815"/>
    <w:rsid w:val="000B3C7B"/>
    <w:rsid w:val="000B6C95"/>
    <w:rsid w:val="000C0C58"/>
    <w:rsid w:val="000C1679"/>
    <w:rsid w:val="000C2898"/>
    <w:rsid w:val="000C2F89"/>
    <w:rsid w:val="000C435F"/>
    <w:rsid w:val="000C4635"/>
    <w:rsid w:val="000C548E"/>
    <w:rsid w:val="000C6DE4"/>
    <w:rsid w:val="000D01EB"/>
    <w:rsid w:val="000D056E"/>
    <w:rsid w:val="000D0675"/>
    <w:rsid w:val="000D0A89"/>
    <w:rsid w:val="000D1389"/>
    <w:rsid w:val="000D1798"/>
    <w:rsid w:val="000D1A2A"/>
    <w:rsid w:val="000D2626"/>
    <w:rsid w:val="000D4A06"/>
    <w:rsid w:val="000D54D4"/>
    <w:rsid w:val="000D73DD"/>
    <w:rsid w:val="000D7D9B"/>
    <w:rsid w:val="000E18E2"/>
    <w:rsid w:val="000E28AB"/>
    <w:rsid w:val="000E2E3E"/>
    <w:rsid w:val="000E33C5"/>
    <w:rsid w:val="000E3583"/>
    <w:rsid w:val="000E3AF0"/>
    <w:rsid w:val="000E3D53"/>
    <w:rsid w:val="000E4E04"/>
    <w:rsid w:val="000E6EC9"/>
    <w:rsid w:val="000E70B4"/>
    <w:rsid w:val="000F3281"/>
    <w:rsid w:val="000F3733"/>
    <w:rsid w:val="000F4D88"/>
    <w:rsid w:val="000F5B1B"/>
    <w:rsid w:val="000F64AA"/>
    <w:rsid w:val="000F64EA"/>
    <w:rsid w:val="000F7AF4"/>
    <w:rsid w:val="000F7C33"/>
    <w:rsid w:val="000F7E7E"/>
    <w:rsid w:val="000F7F0C"/>
    <w:rsid w:val="00100246"/>
    <w:rsid w:val="001004D6"/>
    <w:rsid w:val="00100D90"/>
    <w:rsid w:val="00103918"/>
    <w:rsid w:val="00104324"/>
    <w:rsid w:val="00104889"/>
    <w:rsid w:val="00104897"/>
    <w:rsid w:val="00104AE2"/>
    <w:rsid w:val="00104EDE"/>
    <w:rsid w:val="00105372"/>
    <w:rsid w:val="00106BEE"/>
    <w:rsid w:val="00110D0D"/>
    <w:rsid w:val="00113134"/>
    <w:rsid w:val="00113AC0"/>
    <w:rsid w:val="00113E75"/>
    <w:rsid w:val="00114851"/>
    <w:rsid w:val="00115E11"/>
    <w:rsid w:val="00115F56"/>
    <w:rsid w:val="00117CBD"/>
    <w:rsid w:val="0012006A"/>
    <w:rsid w:val="00120990"/>
    <w:rsid w:val="001214B3"/>
    <w:rsid w:val="001215EE"/>
    <w:rsid w:val="001217B5"/>
    <w:rsid w:val="00121979"/>
    <w:rsid w:val="00122064"/>
    <w:rsid w:val="00125004"/>
    <w:rsid w:val="001263B8"/>
    <w:rsid w:val="00126763"/>
    <w:rsid w:val="00130217"/>
    <w:rsid w:val="00130783"/>
    <w:rsid w:val="001312CB"/>
    <w:rsid w:val="00131B75"/>
    <w:rsid w:val="00132B47"/>
    <w:rsid w:val="00132E64"/>
    <w:rsid w:val="001351CB"/>
    <w:rsid w:val="001359A2"/>
    <w:rsid w:val="00135E37"/>
    <w:rsid w:val="00136020"/>
    <w:rsid w:val="00136445"/>
    <w:rsid w:val="00140132"/>
    <w:rsid w:val="00141C9C"/>
    <w:rsid w:val="001434BE"/>
    <w:rsid w:val="0014479F"/>
    <w:rsid w:val="001452B4"/>
    <w:rsid w:val="0014550E"/>
    <w:rsid w:val="00146EC6"/>
    <w:rsid w:val="001478D2"/>
    <w:rsid w:val="00150CC9"/>
    <w:rsid w:val="00152A87"/>
    <w:rsid w:val="00154486"/>
    <w:rsid w:val="00154E1B"/>
    <w:rsid w:val="00156D0E"/>
    <w:rsid w:val="0016086E"/>
    <w:rsid w:val="00160D0C"/>
    <w:rsid w:val="00161172"/>
    <w:rsid w:val="0016139E"/>
    <w:rsid w:val="00161E65"/>
    <w:rsid w:val="00162597"/>
    <w:rsid w:val="001629AF"/>
    <w:rsid w:val="0016428A"/>
    <w:rsid w:val="001647C9"/>
    <w:rsid w:val="001661A3"/>
    <w:rsid w:val="0016782B"/>
    <w:rsid w:val="00173256"/>
    <w:rsid w:val="001733E1"/>
    <w:rsid w:val="00173F74"/>
    <w:rsid w:val="00175086"/>
    <w:rsid w:val="00175BA6"/>
    <w:rsid w:val="00176CA7"/>
    <w:rsid w:val="001778C5"/>
    <w:rsid w:val="00177E56"/>
    <w:rsid w:val="00177F0A"/>
    <w:rsid w:val="00180669"/>
    <w:rsid w:val="00182503"/>
    <w:rsid w:val="00182B6B"/>
    <w:rsid w:val="00183088"/>
    <w:rsid w:val="00185617"/>
    <w:rsid w:val="001863D3"/>
    <w:rsid w:val="0019171E"/>
    <w:rsid w:val="0019220F"/>
    <w:rsid w:val="001928B1"/>
    <w:rsid w:val="00194ED5"/>
    <w:rsid w:val="00195424"/>
    <w:rsid w:val="001955FF"/>
    <w:rsid w:val="00197EDD"/>
    <w:rsid w:val="001A02B3"/>
    <w:rsid w:val="001A04BB"/>
    <w:rsid w:val="001A08D0"/>
    <w:rsid w:val="001A14B1"/>
    <w:rsid w:val="001A1B39"/>
    <w:rsid w:val="001A2492"/>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A13"/>
    <w:rsid w:val="001B59FF"/>
    <w:rsid w:val="001B636D"/>
    <w:rsid w:val="001B65D7"/>
    <w:rsid w:val="001B6752"/>
    <w:rsid w:val="001B6768"/>
    <w:rsid w:val="001B6F1F"/>
    <w:rsid w:val="001B7ECC"/>
    <w:rsid w:val="001C1AED"/>
    <w:rsid w:val="001C25A7"/>
    <w:rsid w:val="001C318C"/>
    <w:rsid w:val="001C4287"/>
    <w:rsid w:val="001C4479"/>
    <w:rsid w:val="001C76B7"/>
    <w:rsid w:val="001C76FB"/>
    <w:rsid w:val="001D2764"/>
    <w:rsid w:val="001D3697"/>
    <w:rsid w:val="001D51DE"/>
    <w:rsid w:val="001D540E"/>
    <w:rsid w:val="001D58A1"/>
    <w:rsid w:val="001D5A8A"/>
    <w:rsid w:val="001D709B"/>
    <w:rsid w:val="001D735E"/>
    <w:rsid w:val="001D73C8"/>
    <w:rsid w:val="001D74D4"/>
    <w:rsid w:val="001D7E1F"/>
    <w:rsid w:val="001E0756"/>
    <w:rsid w:val="001E0A8D"/>
    <w:rsid w:val="001E0FFB"/>
    <w:rsid w:val="001E129E"/>
    <w:rsid w:val="001E2B9F"/>
    <w:rsid w:val="001E4A8D"/>
    <w:rsid w:val="001E5A94"/>
    <w:rsid w:val="001E7648"/>
    <w:rsid w:val="001F127B"/>
    <w:rsid w:val="001F2A2E"/>
    <w:rsid w:val="001F2E3D"/>
    <w:rsid w:val="001F3B72"/>
    <w:rsid w:val="001F3C63"/>
    <w:rsid w:val="001F4460"/>
    <w:rsid w:val="001F5DAF"/>
    <w:rsid w:val="001F637C"/>
    <w:rsid w:val="001F6B6C"/>
    <w:rsid w:val="001F711A"/>
    <w:rsid w:val="001F75B0"/>
    <w:rsid w:val="001F7686"/>
    <w:rsid w:val="00200CE5"/>
    <w:rsid w:val="002014DB"/>
    <w:rsid w:val="00201E12"/>
    <w:rsid w:val="002031E2"/>
    <w:rsid w:val="002033B5"/>
    <w:rsid w:val="0020382C"/>
    <w:rsid w:val="00203CB0"/>
    <w:rsid w:val="0020437A"/>
    <w:rsid w:val="00204B5F"/>
    <w:rsid w:val="0020532C"/>
    <w:rsid w:val="00205D23"/>
    <w:rsid w:val="0021064F"/>
    <w:rsid w:val="00210E52"/>
    <w:rsid w:val="002114C7"/>
    <w:rsid w:val="002118F3"/>
    <w:rsid w:val="00212756"/>
    <w:rsid w:val="0021302C"/>
    <w:rsid w:val="00213045"/>
    <w:rsid w:val="00213483"/>
    <w:rsid w:val="00213B1C"/>
    <w:rsid w:val="00214202"/>
    <w:rsid w:val="002146F3"/>
    <w:rsid w:val="002148E3"/>
    <w:rsid w:val="00215373"/>
    <w:rsid w:val="0021552D"/>
    <w:rsid w:val="002156AE"/>
    <w:rsid w:val="00217861"/>
    <w:rsid w:val="002204C9"/>
    <w:rsid w:val="0022054D"/>
    <w:rsid w:val="0022290A"/>
    <w:rsid w:val="00224535"/>
    <w:rsid w:val="00224DE1"/>
    <w:rsid w:val="00225664"/>
    <w:rsid w:val="002269DC"/>
    <w:rsid w:val="00227F2D"/>
    <w:rsid w:val="0023089D"/>
    <w:rsid w:val="00231851"/>
    <w:rsid w:val="002319FB"/>
    <w:rsid w:val="00231B89"/>
    <w:rsid w:val="0023504C"/>
    <w:rsid w:val="002355BE"/>
    <w:rsid w:val="00236DE9"/>
    <w:rsid w:val="00237D5A"/>
    <w:rsid w:val="00237EA9"/>
    <w:rsid w:val="00241300"/>
    <w:rsid w:val="00241D3C"/>
    <w:rsid w:val="0024274D"/>
    <w:rsid w:val="002439AB"/>
    <w:rsid w:val="002450D5"/>
    <w:rsid w:val="00245587"/>
    <w:rsid w:val="00245F2B"/>
    <w:rsid w:val="002464EB"/>
    <w:rsid w:val="00246F95"/>
    <w:rsid w:val="00247F3A"/>
    <w:rsid w:val="00250122"/>
    <w:rsid w:val="00250755"/>
    <w:rsid w:val="00250AE3"/>
    <w:rsid w:val="00251C4A"/>
    <w:rsid w:val="0025271C"/>
    <w:rsid w:val="00252A91"/>
    <w:rsid w:val="002533CD"/>
    <w:rsid w:val="002544C1"/>
    <w:rsid w:val="00254EAB"/>
    <w:rsid w:val="002557AF"/>
    <w:rsid w:val="002561FA"/>
    <w:rsid w:val="00256474"/>
    <w:rsid w:val="002566B1"/>
    <w:rsid w:val="002575E3"/>
    <w:rsid w:val="002603C1"/>
    <w:rsid w:val="002609A1"/>
    <w:rsid w:val="002612B1"/>
    <w:rsid w:val="00261E42"/>
    <w:rsid w:val="00266165"/>
    <w:rsid w:val="002709AF"/>
    <w:rsid w:val="0027125E"/>
    <w:rsid w:val="00271767"/>
    <w:rsid w:val="00272293"/>
    <w:rsid w:val="002723C8"/>
    <w:rsid w:val="00272676"/>
    <w:rsid w:val="00273CBE"/>
    <w:rsid w:val="00277441"/>
    <w:rsid w:val="002802D7"/>
    <w:rsid w:val="0028232C"/>
    <w:rsid w:val="002827F1"/>
    <w:rsid w:val="00282EC3"/>
    <w:rsid w:val="002835B0"/>
    <w:rsid w:val="0028407E"/>
    <w:rsid w:val="0028410F"/>
    <w:rsid w:val="00285EA7"/>
    <w:rsid w:val="00286603"/>
    <w:rsid w:val="00286A98"/>
    <w:rsid w:val="00286FB5"/>
    <w:rsid w:val="00287763"/>
    <w:rsid w:val="00290606"/>
    <w:rsid w:val="00290F9D"/>
    <w:rsid w:val="002918A7"/>
    <w:rsid w:val="00291B6B"/>
    <w:rsid w:val="00291D6D"/>
    <w:rsid w:val="00291FF1"/>
    <w:rsid w:val="002923F6"/>
    <w:rsid w:val="00293361"/>
    <w:rsid w:val="00293770"/>
    <w:rsid w:val="00294547"/>
    <w:rsid w:val="00295287"/>
    <w:rsid w:val="002952B1"/>
    <w:rsid w:val="00295D11"/>
    <w:rsid w:val="00295FA0"/>
    <w:rsid w:val="00297A7A"/>
    <w:rsid w:val="002A0C3A"/>
    <w:rsid w:val="002A1130"/>
    <w:rsid w:val="002A1493"/>
    <w:rsid w:val="002A14D3"/>
    <w:rsid w:val="002A1880"/>
    <w:rsid w:val="002A1D47"/>
    <w:rsid w:val="002A23B7"/>
    <w:rsid w:val="002A3A57"/>
    <w:rsid w:val="002A5F2D"/>
    <w:rsid w:val="002A6C53"/>
    <w:rsid w:val="002A6D22"/>
    <w:rsid w:val="002A6DEF"/>
    <w:rsid w:val="002A7411"/>
    <w:rsid w:val="002A7C24"/>
    <w:rsid w:val="002B013E"/>
    <w:rsid w:val="002B058D"/>
    <w:rsid w:val="002B0C16"/>
    <w:rsid w:val="002B11C9"/>
    <w:rsid w:val="002B169E"/>
    <w:rsid w:val="002B2621"/>
    <w:rsid w:val="002B2AC5"/>
    <w:rsid w:val="002B2D11"/>
    <w:rsid w:val="002B31A3"/>
    <w:rsid w:val="002B3528"/>
    <w:rsid w:val="002B3539"/>
    <w:rsid w:val="002B3B2B"/>
    <w:rsid w:val="002B6D17"/>
    <w:rsid w:val="002C0C1C"/>
    <w:rsid w:val="002C184E"/>
    <w:rsid w:val="002C29C1"/>
    <w:rsid w:val="002C54C2"/>
    <w:rsid w:val="002C58F6"/>
    <w:rsid w:val="002C5D34"/>
    <w:rsid w:val="002C5EA7"/>
    <w:rsid w:val="002C661A"/>
    <w:rsid w:val="002C730C"/>
    <w:rsid w:val="002D0AF5"/>
    <w:rsid w:val="002D1C54"/>
    <w:rsid w:val="002D2231"/>
    <w:rsid w:val="002D25FC"/>
    <w:rsid w:val="002D318B"/>
    <w:rsid w:val="002D3380"/>
    <w:rsid w:val="002D4925"/>
    <w:rsid w:val="002D4AC6"/>
    <w:rsid w:val="002D5C7B"/>
    <w:rsid w:val="002D6DFC"/>
    <w:rsid w:val="002D7648"/>
    <w:rsid w:val="002D789C"/>
    <w:rsid w:val="002D7909"/>
    <w:rsid w:val="002D7E56"/>
    <w:rsid w:val="002E109C"/>
    <w:rsid w:val="002E115E"/>
    <w:rsid w:val="002E193E"/>
    <w:rsid w:val="002E1D76"/>
    <w:rsid w:val="002E243C"/>
    <w:rsid w:val="002E26C4"/>
    <w:rsid w:val="002E4B37"/>
    <w:rsid w:val="002E4BF9"/>
    <w:rsid w:val="002E6F5B"/>
    <w:rsid w:val="002F0631"/>
    <w:rsid w:val="002F16DD"/>
    <w:rsid w:val="002F199D"/>
    <w:rsid w:val="002F23B2"/>
    <w:rsid w:val="002F2AC5"/>
    <w:rsid w:val="002F3DC0"/>
    <w:rsid w:val="002F4084"/>
    <w:rsid w:val="002F4672"/>
    <w:rsid w:val="002F4A08"/>
    <w:rsid w:val="002F4ADB"/>
    <w:rsid w:val="002F50E5"/>
    <w:rsid w:val="002F531E"/>
    <w:rsid w:val="002F5ACC"/>
    <w:rsid w:val="002F6C2C"/>
    <w:rsid w:val="002F704B"/>
    <w:rsid w:val="002F70A6"/>
    <w:rsid w:val="002F72C3"/>
    <w:rsid w:val="002F768C"/>
    <w:rsid w:val="002F7D1E"/>
    <w:rsid w:val="00300B95"/>
    <w:rsid w:val="00300F92"/>
    <w:rsid w:val="00301839"/>
    <w:rsid w:val="00302929"/>
    <w:rsid w:val="00302F0F"/>
    <w:rsid w:val="00303243"/>
    <w:rsid w:val="00303BCC"/>
    <w:rsid w:val="00303F2B"/>
    <w:rsid w:val="00303F8D"/>
    <w:rsid w:val="00304541"/>
    <w:rsid w:val="00304580"/>
    <w:rsid w:val="0030586A"/>
    <w:rsid w:val="003074C5"/>
    <w:rsid w:val="00307A3C"/>
    <w:rsid w:val="00307FA4"/>
    <w:rsid w:val="00310CC1"/>
    <w:rsid w:val="0031202C"/>
    <w:rsid w:val="00313026"/>
    <w:rsid w:val="0031421F"/>
    <w:rsid w:val="00314B31"/>
    <w:rsid w:val="00314B36"/>
    <w:rsid w:val="00315158"/>
    <w:rsid w:val="00315346"/>
    <w:rsid w:val="00315A65"/>
    <w:rsid w:val="00316CEC"/>
    <w:rsid w:val="00317BA7"/>
    <w:rsid w:val="00320BE2"/>
    <w:rsid w:val="00321886"/>
    <w:rsid w:val="00321902"/>
    <w:rsid w:val="00322F03"/>
    <w:rsid w:val="00323694"/>
    <w:rsid w:val="00324D63"/>
    <w:rsid w:val="003255AF"/>
    <w:rsid w:val="003256EB"/>
    <w:rsid w:val="003259DB"/>
    <w:rsid w:val="00331060"/>
    <w:rsid w:val="00331A48"/>
    <w:rsid w:val="003330C9"/>
    <w:rsid w:val="0033364C"/>
    <w:rsid w:val="00334415"/>
    <w:rsid w:val="00334F92"/>
    <w:rsid w:val="0033691E"/>
    <w:rsid w:val="00336CCB"/>
    <w:rsid w:val="0033745F"/>
    <w:rsid w:val="00337631"/>
    <w:rsid w:val="00337F44"/>
    <w:rsid w:val="003411D1"/>
    <w:rsid w:val="003416BA"/>
    <w:rsid w:val="00341BD6"/>
    <w:rsid w:val="00342A8A"/>
    <w:rsid w:val="00342F99"/>
    <w:rsid w:val="00344726"/>
    <w:rsid w:val="003454A4"/>
    <w:rsid w:val="00350E6C"/>
    <w:rsid w:val="003512DE"/>
    <w:rsid w:val="003518A6"/>
    <w:rsid w:val="00351CB0"/>
    <w:rsid w:val="00351E7F"/>
    <w:rsid w:val="00352953"/>
    <w:rsid w:val="00354062"/>
    <w:rsid w:val="00355C0D"/>
    <w:rsid w:val="003566A9"/>
    <w:rsid w:val="00356988"/>
    <w:rsid w:val="00356B20"/>
    <w:rsid w:val="00356E94"/>
    <w:rsid w:val="00357128"/>
    <w:rsid w:val="0035755E"/>
    <w:rsid w:val="00357A80"/>
    <w:rsid w:val="00361B8B"/>
    <w:rsid w:val="00361B95"/>
    <w:rsid w:val="00361BEE"/>
    <w:rsid w:val="00363907"/>
    <w:rsid w:val="00363F39"/>
    <w:rsid w:val="0036440B"/>
    <w:rsid w:val="00364AB0"/>
    <w:rsid w:val="003667B0"/>
    <w:rsid w:val="003667DD"/>
    <w:rsid w:val="00366B48"/>
    <w:rsid w:val="00367764"/>
    <w:rsid w:val="00370316"/>
    <w:rsid w:val="00370DC7"/>
    <w:rsid w:val="0037156C"/>
    <w:rsid w:val="00371CBD"/>
    <w:rsid w:val="003727A0"/>
    <w:rsid w:val="00373CBE"/>
    <w:rsid w:val="003740CC"/>
    <w:rsid w:val="0037435E"/>
    <w:rsid w:val="00374E79"/>
    <w:rsid w:val="00374F7D"/>
    <w:rsid w:val="00375388"/>
    <w:rsid w:val="00375FB9"/>
    <w:rsid w:val="00376851"/>
    <w:rsid w:val="00376FA2"/>
    <w:rsid w:val="00377A3B"/>
    <w:rsid w:val="00377E3C"/>
    <w:rsid w:val="00380BBE"/>
    <w:rsid w:val="00381775"/>
    <w:rsid w:val="00381D70"/>
    <w:rsid w:val="00382128"/>
    <w:rsid w:val="0038235E"/>
    <w:rsid w:val="003829D0"/>
    <w:rsid w:val="00382FBA"/>
    <w:rsid w:val="0038444F"/>
    <w:rsid w:val="00384E83"/>
    <w:rsid w:val="00385333"/>
    <w:rsid w:val="00387051"/>
    <w:rsid w:val="00387712"/>
    <w:rsid w:val="00387ECF"/>
    <w:rsid w:val="0039021B"/>
    <w:rsid w:val="00390429"/>
    <w:rsid w:val="00392A7A"/>
    <w:rsid w:val="0039327C"/>
    <w:rsid w:val="003933A2"/>
    <w:rsid w:val="0039366C"/>
    <w:rsid w:val="003938F3"/>
    <w:rsid w:val="00393EC8"/>
    <w:rsid w:val="00394BC6"/>
    <w:rsid w:val="00395E42"/>
    <w:rsid w:val="00396052"/>
    <w:rsid w:val="00396A2D"/>
    <w:rsid w:val="00396FC3"/>
    <w:rsid w:val="003A0B61"/>
    <w:rsid w:val="003A1554"/>
    <w:rsid w:val="003A1A94"/>
    <w:rsid w:val="003A204E"/>
    <w:rsid w:val="003A2D25"/>
    <w:rsid w:val="003A39B2"/>
    <w:rsid w:val="003A4DDB"/>
    <w:rsid w:val="003A5BF0"/>
    <w:rsid w:val="003A60E7"/>
    <w:rsid w:val="003A6E03"/>
    <w:rsid w:val="003B0B6A"/>
    <w:rsid w:val="003B0F79"/>
    <w:rsid w:val="003B1483"/>
    <w:rsid w:val="003B1CFD"/>
    <w:rsid w:val="003B29CF"/>
    <w:rsid w:val="003B41B5"/>
    <w:rsid w:val="003B5292"/>
    <w:rsid w:val="003B54DF"/>
    <w:rsid w:val="003B5F96"/>
    <w:rsid w:val="003B6659"/>
    <w:rsid w:val="003B7733"/>
    <w:rsid w:val="003C0166"/>
    <w:rsid w:val="003C350C"/>
    <w:rsid w:val="003C3903"/>
    <w:rsid w:val="003C3BA0"/>
    <w:rsid w:val="003C4580"/>
    <w:rsid w:val="003C52D8"/>
    <w:rsid w:val="003C5C5E"/>
    <w:rsid w:val="003C6746"/>
    <w:rsid w:val="003C7133"/>
    <w:rsid w:val="003C7555"/>
    <w:rsid w:val="003C7898"/>
    <w:rsid w:val="003C7A21"/>
    <w:rsid w:val="003D010A"/>
    <w:rsid w:val="003D08C9"/>
    <w:rsid w:val="003D0FF5"/>
    <w:rsid w:val="003D2D1B"/>
    <w:rsid w:val="003D30AB"/>
    <w:rsid w:val="003D3D94"/>
    <w:rsid w:val="003D48C7"/>
    <w:rsid w:val="003D4B26"/>
    <w:rsid w:val="003D4C08"/>
    <w:rsid w:val="003D51ED"/>
    <w:rsid w:val="003D7CE8"/>
    <w:rsid w:val="003E1032"/>
    <w:rsid w:val="003E1904"/>
    <w:rsid w:val="003E285E"/>
    <w:rsid w:val="003E3300"/>
    <w:rsid w:val="003E65AC"/>
    <w:rsid w:val="003E6E24"/>
    <w:rsid w:val="003E72B9"/>
    <w:rsid w:val="003E7ED4"/>
    <w:rsid w:val="003F0E52"/>
    <w:rsid w:val="003F0EF2"/>
    <w:rsid w:val="003F0F6B"/>
    <w:rsid w:val="003F1A46"/>
    <w:rsid w:val="003F1F40"/>
    <w:rsid w:val="003F1FE3"/>
    <w:rsid w:val="003F3865"/>
    <w:rsid w:val="003F3A0A"/>
    <w:rsid w:val="003F4632"/>
    <w:rsid w:val="003F47BA"/>
    <w:rsid w:val="003F6617"/>
    <w:rsid w:val="00401081"/>
    <w:rsid w:val="00402332"/>
    <w:rsid w:val="004025C2"/>
    <w:rsid w:val="00403E55"/>
    <w:rsid w:val="00404532"/>
    <w:rsid w:val="00404681"/>
    <w:rsid w:val="0040496D"/>
    <w:rsid w:val="00405010"/>
    <w:rsid w:val="0040595A"/>
    <w:rsid w:val="00406497"/>
    <w:rsid w:val="00406923"/>
    <w:rsid w:val="0040713A"/>
    <w:rsid w:val="0040763D"/>
    <w:rsid w:val="004105B0"/>
    <w:rsid w:val="00410624"/>
    <w:rsid w:val="00410EC5"/>
    <w:rsid w:val="00410F35"/>
    <w:rsid w:val="0041250F"/>
    <w:rsid w:val="004133A8"/>
    <w:rsid w:val="00413821"/>
    <w:rsid w:val="00413D43"/>
    <w:rsid w:val="004141A3"/>
    <w:rsid w:val="00414909"/>
    <w:rsid w:val="00415E66"/>
    <w:rsid w:val="00416112"/>
    <w:rsid w:val="00416DF0"/>
    <w:rsid w:val="00417AE0"/>
    <w:rsid w:val="00417BAA"/>
    <w:rsid w:val="00420BA9"/>
    <w:rsid w:val="00420D7A"/>
    <w:rsid w:val="004223DE"/>
    <w:rsid w:val="0042293E"/>
    <w:rsid w:val="00422A10"/>
    <w:rsid w:val="00423D86"/>
    <w:rsid w:val="00424D17"/>
    <w:rsid w:val="00425DFD"/>
    <w:rsid w:val="004263A3"/>
    <w:rsid w:val="00427713"/>
    <w:rsid w:val="00427CCC"/>
    <w:rsid w:val="0043013A"/>
    <w:rsid w:val="00430421"/>
    <w:rsid w:val="00430B4F"/>
    <w:rsid w:val="004314B1"/>
    <w:rsid w:val="00431E65"/>
    <w:rsid w:val="00432589"/>
    <w:rsid w:val="00432A94"/>
    <w:rsid w:val="0043366D"/>
    <w:rsid w:val="00433827"/>
    <w:rsid w:val="004360C8"/>
    <w:rsid w:val="0044006B"/>
    <w:rsid w:val="0044033F"/>
    <w:rsid w:val="00440630"/>
    <w:rsid w:val="00441123"/>
    <w:rsid w:val="00442095"/>
    <w:rsid w:val="00442965"/>
    <w:rsid w:val="00444157"/>
    <w:rsid w:val="0044417C"/>
    <w:rsid w:val="00444DB3"/>
    <w:rsid w:val="004452B9"/>
    <w:rsid w:val="00445A2F"/>
    <w:rsid w:val="00446328"/>
    <w:rsid w:val="00446341"/>
    <w:rsid w:val="00446648"/>
    <w:rsid w:val="0044684E"/>
    <w:rsid w:val="004479CA"/>
    <w:rsid w:val="004503A4"/>
    <w:rsid w:val="00450555"/>
    <w:rsid w:val="00450DC6"/>
    <w:rsid w:val="004516A5"/>
    <w:rsid w:val="00451FE8"/>
    <w:rsid w:val="00452179"/>
    <w:rsid w:val="004522E3"/>
    <w:rsid w:val="00452E99"/>
    <w:rsid w:val="004535AE"/>
    <w:rsid w:val="00453752"/>
    <w:rsid w:val="00453C42"/>
    <w:rsid w:val="0045463A"/>
    <w:rsid w:val="00454AC9"/>
    <w:rsid w:val="00454E26"/>
    <w:rsid w:val="004554A3"/>
    <w:rsid w:val="00455A6E"/>
    <w:rsid w:val="00456758"/>
    <w:rsid w:val="004569CD"/>
    <w:rsid w:val="004578EB"/>
    <w:rsid w:val="00457BB4"/>
    <w:rsid w:val="00460303"/>
    <w:rsid w:val="00460697"/>
    <w:rsid w:val="00462593"/>
    <w:rsid w:val="00465EEF"/>
    <w:rsid w:val="00466D03"/>
    <w:rsid w:val="0046711B"/>
    <w:rsid w:val="00467312"/>
    <w:rsid w:val="00470F15"/>
    <w:rsid w:val="00471156"/>
    <w:rsid w:val="004716E3"/>
    <w:rsid w:val="00472429"/>
    <w:rsid w:val="004725E5"/>
    <w:rsid w:val="004726FE"/>
    <w:rsid w:val="00472751"/>
    <w:rsid w:val="00473128"/>
    <w:rsid w:val="004743D6"/>
    <w:rsid w:val="00475078"/>
    <w:rsid w:val="00475226"/>
    <w:rsid w:val="004779A0"/>
    <w:rsid w:val="00480772"/>
    <w:rsid w:val="004808E3"/>
    <w:rsid w:val="00481016"/>
    <w:rsid w:val="004814D3"/>
    <w:rsid w:val="0048204C"/>
    <w:rsid w:val="004821BB"/>
    <w:rsid w:val="00482233"/>
    <w:rsid w:val="0048261A"/>
    <w:rsid w:val="004826FE"/>
    <w:rsid w:val="004827D5"/>
    <w:rsid w:val="004830C9"/>
    <w:rsid w:val="00483347"/>
    <w:rsid w:val="00483E2E"/>
    <w:rsid w:val="00483FAF"/>
    <w:rsid w:val="00484B69"/>
    <w:rsid w:val="00485406"/>
    <w:rsid w:val="0048590F"/>
    <w:rsid w:val="004867A5"/>
    <w:rsid w:val="00486D60"/>
    <w:rsid w:val="00487C87"/>
    <w:rsid w:val="00490BB8"/>
    <w:rsid w:val="00492A25"/>
    <w:rsid w:val="00492F3E"/>
    <w:rsid w:val="0049474A"/>
    <w:rsid w:val="004954DB"/>
    <w:rsid w:val="004961EA"/>
    <w:rsid w:val="00496350"/>
    <w:rsid w:val="00496F91"/>
    <w:rsid w:val="00497274"/>
    <w:rsid w:val="00497708"/>
    <w:rsid w:val="0049797C"/>
    <w:rsid w:val="00497C2C"/>
    <w:rsid w:val="00497E9D"/>
    <w:rsid w:val="004A07AC"/>
    <w:rsid w:val="004A1405"/>
    <w:rsid w:val="004A1FC6"/>
    <w:rsid w:val="004A3C03"/>
    <w:rsid w:val="004A3DB7"/>
    <w:rsid w:val="004A3FB3"/>
    <w:rsid w:val="004A5088"/>
    <w:rsid w:val="004A5255"/>
    <w:rsid w:val="004A6097"/>
    <w:rsid w:val="004A6CB0"/>
    <w:rsid w:val="004A70FF"/>
    <w:rsid w:val="004A7CCC"/>
    <w:rsid w:val="004B1B84"/>
    <w:rsid w:val="004B29AC"/>
    <w:rsid w:val="004B35DF"/>
    <w:rsid w:val="004B3627"/>
    <w:rsid w:val="004B3F3A"/>
    <w:rsid w:val="004B4779"/>
    <w:rsid w:val="004B4922"/>
    <w:rsid w:val="004B57DF"/>
    <w:rsid w:val="004C03A0"/>
    <w:rsid w:val="004C04AB"/>
    <w:rsid w:val="004C2138"/>
    <w:rsid w:val="004C2627"/>
    <w:rsid w:val="004C2ED0"/>
    <w:rsid w:val="004C32D4"/>
    <w:rsid w:val="004C3940"/>
    <w:rsid w:val="004C4A94"/>
    <w:rsid w:val="004C51FD"/>
    <w:rsid w:val="004C534B"/>
    <w:rsid w:val="004C65A8"/>
    <w:rsid w:val="004C6F74"/>
    <w:rsid w:val="004C786C"/>
    <w:rsid w:val="004C7963"/>
    <w:rsid w:val="004D2F63"/>
    <w:rsid w:val="004D30BD"/>
    <w:rsid w:val="004D35BA"/>
    <w:rsid w:val="004D4701"/>
    <w:rsid w:val="004D47C7"/>
    <w:rsid w:val="004D618D"/>
    <w:rsid w:val="004D62A9"/>
    <w:rsid w:val="004D6AEE"/>
    <w:rsid w:val="004D6FC3"/>
    <w:rsid w:val="004D7476"/>
    <w:rsid w:val="004E0306"/>
    <w:rsid w:val="004E0572"/>
    <w:rsid w:val="004E25A8"/>
    <w:rsid w:val="004E2AA0"/>
    <w:rsid w:val="004E3930"/>
    <w:rsid w:val="004E3ED9"/>
    <w:rsid w:val="004E5866"/>
    <w:rsid w:val="004E5D94"/>
    <w:rsid w:val="004E6097"/>
    <w:rsid w:val="004E61EF"/>
    <w:rsid w:val="004E6772"/>
    <w:rsid w:val="004E76A7"/>
    <w:rsid w:val="004E7736"/>
    <w:rsid w:val="004E7B03"/>
    <w:rsid w:val="004F0064"/>
    <w:rsid w:val="004F06AC"/>
    <w:rsid w:val="004F1AE6"/>
    <w:rsid w:val="004F243F"/>
    <w:rsid w:val="004F3E0C"/>
    <w:rsid w:val="004F6A2D"/>
    <w:rsid w:val="004F7160"/>
    <w:rsid w:val="004F71A2"/>
    <w:rsid w:val="00500258"/>
    <w:rsid w:val="0050175E"/>
    <w:rsid w:val="00501A99"/>
    <w:rsid w:val="00503180"/>
    <w:rsid w:val="0050417C"/>
    <w:rsid w:val="00505450"/>
    <w:rsid w:val="005100B7"/>
    <w:rsid w:val="005113C9"/>
    <w:rsid w:val="0051280C"/>
    <w:rsid w:val="00512842"/>
    <w:rsid w:val="005128BE"/>
    <w:rsid w:val="00512B7B"/>
    <w:rsid w:val="00512E6C"/>
    <w:rsid w:val="0051356F"/>
    <w:rsid w:val="00513E7C"/>
    <w:rsid w:val="005140BB"/>
    <w:rsid w:val="005143C2"/>
    <w:rsid w:val="0051454F"/>
    <w:rsid w:val="00514FD9"/>
    <w:rsid w:val="0051608F"/>
    <w:rsid w:val="005210F7"/>
    <w:rsid w:val="00521753"/>
    <w:rsid w:val="00521A44"/>
    <w:rsid w:val="00521D16"/>
    <w:rsid w:val="005222BE"/>
    <w:rsid w:val="005224EE"/>
    <w:rsid w:val="00523BB1"/>
    <w:rsid w:val="0052451A"/>
    <w:rsid w:val="00524737"/>
    <w:rsid w:val="00526265"/>
    <w:rsid w:val="005264C1"/>
    <w:rsid w:val="0052652D"/>
    <w:rsid w:val="0052655D"/>
    <w:rsid w:val="005265E0"/>
    <w:rsid w:val="00526BC3"/>
    <w:rsid w:val="00530F9E"/>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AF4"/>
    <w:rsid w:val="00544191"/>
    <w:rsid w:val="00544F39"/>
    <w:rsid w:val="0054515D"/>
    <w:rsid w:val="0054607E"/>
    <w:rsid w:val="00547EFB"/>
    <w:rsid w:val="00552563"/>
    <w:rsid w:val="005531DF"/>
    <w:rsid w:val="00553874"/>
    <w:rsid w:val="00553ACC"/>
    <w:rsid w:val="00554AD8"/>
    <w:rsid w:val="00554F78"/>
    <w:rsid w:val="005556A5"/>
    <w:rsid w:val="00556BF7"/>
    <w:rsid w:val="00562149"/>
    <w:rsid w:val="005630D8"/>
    <w:rsid w:val="0056370B"/>
    <w:rsid w:val="0056373E"/>
    <w:rsid w:val="00563FFD"/>
    <w:rsid w:val="00565855"/>
    <w:rsid w:val="005677CE"/>
    <w:rsid w:val="00567B5D"/>
    <w:rsid w:val="00573733"/>
    <w:rsid w:val="00574554"/>
    <w:rsid w:val="00576089"/>
    <w:rsid w:val="005764B1"/>
    <w:rsid w:val="00576A56"/>
    <w:rsid w:val="00576D06"/>
    <w:rsid w:val="005779E4"/>
    <w:rsid w:val="00580AC5"/>
    <w:rsid w:val="00580EB3"/>
    <w:rsid w:val="00581A2A"/>
    <w:rsid w:val="00581F97"/>
    <w:rsid w:val="0058289C"/>
    <w:rsid w:val="00582C35"/>
    <w:rsid w:val="00582DC6"/>
    <w:rsid w:val="005836C7"/>
    <w:rsid w:val="00583E30"/>
    <w:rsid w:val="0058408E"/>
    <w:rsid w:val="00585374"/>
    <w:rsid w:val="00586F3C"/>
    <w:rsid w:val="00590B77"/>
    <w:rsid w:val="005913A3"/>
    <w:rsid w:val="00591DCD"/>
    <w:rsid w:val="00591E6C"/>
    <w:rsid w:val="00594A7B"/>
    <w:rsid w:val="00594AFA"/>
    <w:rsid w:val="0059580E"/>
    <w:rsid w:val="005963B9"/>
    <w:rsid w:val="00596A6F"/>
    <w:rsid w:val="005976E1"/>
    <w:rsid w:val="005A0541"/>
    <w:rsid w:val="005A1525"/>
    <w:rsid w:val="005A1EC3"/>
    <w:rsid w:val="005A252B"/>
    <w:rsid w:val="005A2A71"/>
    <w:rsid w:val="005A3204"/>
    <w:rsid w:val="005A3341"/>
    <w:rsid w:val="005A3FA1"/>
    <w:rsid w:val="005A46EC"/>
    <w:rsid w:val="005A4847"/>
    <w:rsid w:val="005A494F"/>
    <w:rsid w:val="005A532E"/>
    <w:rsid w:val="005B0160"/>
    <w:rsid w:val="005B0185"/>
    <w:rsid w:val="005B07EC"/>
    <w:rsid w:val="005B09D8"/>
    <w:rsid w:val="005B120C"/>
    <w:rsid w:val="005B24F3"/>
    <w:rsid w:val="005B2B11"/>
    <w:rsid w:val="005B2E00"/>
    <w:rsid w:val="005B333F"/>
    <w:rsid w:val="005B370E"/>
    <w:rsid w:val="005B4DA3"/>
    <w:rsid w:val="005B5BEE"/>
    <w:rsid w:val="005B77D2"/>
    <w:rsid w:val="005C019B"/>
    <w:rsid w:val="005C144E"/>
    <w:rsid w:val="005C14A8"/>
    <w:rsid w:val="005C30F5"/>
    <w:rsid w:val="005C357E"/>
    <w:rsid w:val="005C3951"/>
    <w:rsid w:val="005C51A5"/>
    <w:rsid w:val="005C557A"/>
    <w:rsid w:val="005C61DD"/>
    <w:rsid w:val="005C6438"/>
    <w:rsid w:val="005C64AD"/>
    <w:rsid w:val="005C6B8B"/>
    <w:rsid w:val="005D02E3"/>
    <w:rsid w:val="005D0310"/>
    <w:rsid w:val="005D039C"/>
    <w:rsid w:val="005D1F34"/>
    <w:rsid w:val="005D2529"/>
    <w:rsid w:val="005D2723"/>
    <w:rsid w:val="005D2C1F"/>
    <w:rsid w:val="005D34B2"/>
    <w:rsid w:val="005D38D2"/>
    <w:rsid w:val="005D3B54"/>
    <w:rsid w:val="005D40CD"/>
    <w:rsid w:val="005D6B59"/>
    <w:rsid w:val="005D7037"/>
    <w:rsid w:val="005E03E4"/>
    <w:rsid w:val="005E0454"/>
    <w:rsid w:val="005E171D"/>
    <w:rsid w:val="005E34C2"/>
    <w:rsid w:val="005E35C6"/>
    <w:rsid w:val="005E59A3"/>
    <w:rsid w:val="005E5B01"/>
    <w:rsid w:val="005E7933"/>
    <w:rsid w:val="005E7E0B"/>
    <w:rsid w:val="005F009E"/>
    <w:rsid w:val="005F0A88"/>
    <w:rsid w:val="005F0DF1"/>
    <w:rsid w:val="005F1516"/>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FB6"/>
    <w:rsid w:val="00605387"/>
    <w:rsid w:val="00606302"/>
    <w:rsid w:val="006072EF"/>
    <w:rsid w:val="006076FD"/>
    <w:rsid w:val="00607BA3"/>
    <w:rsid w:val="0061143F"/>
    <w:rsid w:val="006114D8"/>
    <w:rsid w:val="00611585"/>
    <w:rsid w:val="00611950"/>
    <w:rsid w:val="0061247B"/>
    <w:rsid w:val="00612931"/>
    <w:rsid w:val="00613601"/>
    <w:rsid w:val="00613791"/>
    <w:rsid w:val="00613AAB"/>
    <w:rsid w:val="00614505"/>
    <w:rsid w:val="006148C7"/>
    <w:rsid w:val="006150D6"/>
    <w:rsid w:val="00617EEE"/>
    <w:rsid w:val="006210FE"/>
    <w:rsid w:val="00622811"/>
    <w:rsid w:val="00622894"/>
    <w:rsid w:val="00622BB7"/>
    <w:rsid w:val="00622F3B"/>
    <w:rsid w:val="00623389"/>
    <w:rsid w:val="0062352A"/>
    <w:rsid w:val="00625E45"/>
    <w:rsid w:val="006265C4"/>
    <w:rsid w:val="0062723A"/>
    <w:rsid w:val="00627383"/>
    <w:rsid w:val="00627733"/>
    <w:rsid w:val="006301BB"/>
    <w:rsid w:val="006311C0"/>
    <w:rsid w:val="00632605"/>
    <w:rsid w:val="00633F8D"/>
    <w:rsid w:val="006341A5"/>
    <w:rsid w:val="006341EF"/>
    <w:rsid w:val="00634BED"/>
    <w:rsid w:val="00635A4A"/>
    <w:rsid w:val="00635FB9"/>
    <w:rsid w:val="00636148"/>
    <w:rsid w:val="00636C99"/>
    <w:rsid w:val="00637774"/>
    <w:rsid w:val="0064024C"/>
    <w:rsid w:val="00640291"/>
    <w:rsid w:val="00641FAC"/>
    <w:rsid w:val="006432A5"/>
    <w:rsid w:val="00643664"/>
    <w:rsid w:val="00643CAA"/>
    <w:rsid w:val="00652137"/>
    <w:rsid w:val="00652680"/>
    <w:rsid w:val="00652A09"/>
    <w:rsid w:val="006530A1"/>
    <w:rsid w:val="00653CDE"/>
    <w:rsid w:val="006540B4"/>
    <w:rsid w:val="0065605D"/>
    <w:rsid w:val="0065636A"/>
    <w:rsid w:val="00656C3C"/>
    <w:rsid w:val="00657003"/>
    <w:rsid w:val="00657126"/>
    <w:rsid w:val="006572C1"/>
    <w:rsid w:val="00657930"/>
    <w:rsid w:val="00660238"/>
    <w:rsid w:val="006602EF"/>
    <w:rsid w:val="00660F41"/>
    <w:rsid w:val="00661277"/>
    <w:rsid w:val="006616FE"/>
    <w:rsid w:val="006619D1"/>
    <w:rsid w:val="00663FEA"/>
    <w:rsid w:val="00664253"/>
    <w:rsid w:val="006647AE"/>
    <w:rsid w:val="00664803"/>
    <w:rsid w:val="006661A4"/>
    <w:rsid w:val="006670E0"/>
    <w:rsid w:val="00667532"/>
    <w:rsid w:val="006704FD"/>
    <w:rsid w:val="0067294B"/>
    <w:rsid w:val="00673AA4"/>
    <w:rsid w:val="00674187"/>
    <w:rsid w:val="00674428"/>
    <w:rsid w:val="0067508F"/>
    <w:rsid w:val="00675349"/>
    <w:rsid w:val="00675E7E"/>
    <w:rsid w:val="0068051E"/>
    <w:rsid w:val="00680B9D"/>
    <w:rsid w:val="00681F13"/>
    <w:rsid w:val="0068231C"/>
    <w:rsid w:val="00682344"/>
    <w:rsid w:val="00682F28"/>
    <w:rsid w:val="00684842"/>
    <w:rsid w:val="00685BD6"/>
    <w:rsid w:val="006878A6"/>
    <w:rsid w:val="0069006C"/>
    <w:rsid w:val="00690437"/>
    <w:rsid w:val="00690E65"/>
    <w:rsid w:val="0069188E"/>
    <w:rsid w:val="00691974"/>
    <w:rsid w:val="00692CE6"/>
    <w:rsid w:val="00693B6C"/>
    <w:rsid w:val="00694202"/>
    <w:rsid w:val="006942AE"/>
    <w:rsid w:val="0069483C"/>
    <w:rsid w:val="00695421"/>
    <w:rsid w:val="00696D4B"/>
    <w:rsid w:val="00697BD3"/>
    <w:rsid w:val="00697DFA"/>
    <w:rsid w:val="006A0C53"/>
    <w:rsid w:val="006A10F3"/>
    <w:rsid w:val="006A16D5"/>
    <w:rsid w:val="006A1772"/>
    <w:rsid w:val="006A1780"/>
    <w:rsid w:val="006A25A5"/>
    <w:rsid w:val="006A2790"/>
    <w:rsid w:val="006A3CEC"/>
    <w:rsid w:val="006A3F75"/>
    <w:rsid w:val="006A4FB3"/>
    <w:rsid w:val="006A5A3E"/>
    <w:rsid w:val="006A6CA7"/>
    <w:rsid w:val="006A703E"/>
    <w:rsid w:val="006A7BE3"/>
    <w:rsid w:val="006B01D1"/>
    <w:rsid w:val="006B16EA"/>
    <w:rsid w:val="006B1780"/>
    <w:rsid w:val="006B224E"/>
    <w:rsid w:val="006B2629"/>
    <w:rsid w:val="006B376E"/>
    <w:rsid w:val="006B4589"/>
    <w:rsid w:val="006B567A"/>
    <w:rsid w:val="006B6805"/>
    <w:rsid w:val="006B6BBE"/>
    <w:rsid w:val="006B6DE0"/>
    <w:rsid w:val="006B7D5F"/>
    <w:rsid w:val="006C32F4"/>
    <w:rsid w:val="006C3C54"/>
    <w:rsid w:val="006C3E67"/>
    <w:rsid w:val="006C40F4"/>
    <w:rsid w:val="006C427B"/>
    <w:rsid w:val="006C4D5D"/>
    <w:rsid w:val="006C4E5A"/>
    <w:rsid w:val="006C4F9F"/>
    <w:rsid w:val="006C61AB"/>
    <w:rsid w:val="006C650D"/>
    <w:rsid w:val="006C6C52"/>
    <w:rsid w:val="006C748D"/>
    <w:rsid w:val="006C74E2"/>
    <w:rsid w:val="006D0C1D"/>
    <w:rsid w:val="006D0CE1"/>
    <w:rsid w:val="006D2004"/>
    <w:rsid w:val="006D22F2"/>
    <w:rsid w:val="006D2A8C"/>
    <w:rsid w:val="006D2E9D"/>
    <w:rsid w:val="006D4C1E"/>
    <w:rsid w:val="006D4C42"/>
    <w:rsid w:val="006D5809"/>
    <w:rsid w:val="006D630A"/>
    <w:rsid w:val="006D668D"/>
    <w:rsid w:val="006D7363"/>
    <w:rsid w:val="006D74F2"/>
    <w:rsid w:val="006E04C8"/>
    <w:rsid w:val="006E0712"/>
    <w:rsid w:val="006E0754"/>
    <w:rsid w:val="006E1856"/>
    <w:rsid w:val="006E2668"/>
    <w:rsid w:val="006E2D39"/>
    <w:rsid w:val="006E32B0"/>
    <w:rsid w:val="006E36D8"/>
    <w:rsid w:val="006E396A"/>
    <w:rsid w:val="006E3A73"/>
    <w:rsid w:val="006E5DD8"/>
    <w:rsid w:val="006E5EA1"/>
    <w:rsid w:val="006E7ABC"/>
    <w:rsid w:val="006F0760"/>
    <w:rsid w:val="006F0FF1"/>
    <w:rsid w:val="006F11E2"/>
    <w:rsid w:val="006F12F5"/>
    <w:rsid w:val="006F2574"/>
    <w:rsid w:val="006F3231"/>
    <w:rsid w:val="006F3DE3"/>
    <w:rsid w:val="006F511F"/>
    <w:rsid w:val="006F54B3"/>
    <w:rsid w:val="006F569A"/>
    <w:rsid w:val="006F61D8"/>
    <w:rsid w:val="006F62B7"/>
    <w:rsid w:val="006F70BC"/>
    <w:rsid w:val="006F713A"/>
    <w:rsid w:val="006F76BF"/>
    <w:rsid w:val="00700077"/>
    <w:rsid w:val="007066A4"/>
    <w:rsid w:val="00706F37"/>
    <w:rsid w:val="00707D09"/>
    <w:rsid w:val="00711208"/>
    <w:rsid w:val="0071209F"/>
    <w:rsid w:val="007125A2"/>
    <w:rsid w:val="00712DA3"/>
    <w:rsid w:val="00713F79"/>
    <w:rsid w:val="007148A8"/>
    <w:rsid w:val="00714AA4"/>
    <w:rsid w:val="007171E0"/>
    <w:rsid w:val="0072033C"/>
    <w:rsid w:val="00720B1B"/>
    <w:rsid w:val="00720EC1"/>
    <w:rsid w:val="00721062"/>
    <w:rsid w:val="00721E5D"/>
    <w:rsid w:val="007229D4"/>
    <w:rsid w:val="00722CD9"/>
    <w:rsid w:val="007230F8"/>
    <w:rsid w:val="007233F4"/>
    <w:rsid w:val="00724044"/>
    <w:rsid w:val="007244E1"/>
    <w:rsid w:val="007248D3"/>
    <w:rsid w:val="00725137"/>
    <w:rsid w:val="007263ED"/>
    <w:rsid w:val="00727A43"/>
    <w:rsid w:val="00727FF2"/>
    <w:rsid w:val="007323E0"/>
    <w:rsid w:val="00733791"/>
    <w:rsid w:val="0073391B"/>
    <w:rsid w:val="00733DE2"/>
    <w:rsid w:val="007352EA"/>
    <w:rsid w:val="007364E5"/>
    <w:rsid w:val="0073792F"/>
    <w:rsid w:val="00737F85"/>
    <w:rsid w:val="00740DA6"/>
    <w:rsid w:val="00741A0E"/>
    <w:rsid w:val="00741D1E"/>
    <w:rsid w:val="00741EE2"/>
    <w:rsid w:val="00742367"/>
    <w:rsid w:val="00742EAA"/>
    <w:rsid w:val="00743818"/>
    <w:rsid w:val="007439E2"/>
    <w:rsid w:val="00743D6F"/>
    <w:rsid w:val="00743DD8"/>
    <w:rsid w:val="007441FB"/>
    <w:rsid w:val="00744517"/>
    <w:rsid w:val="00744810"/>
    <w:rsid w:val="00747DE2"/>
    <w:rsid w:val="007504BF"/>
    <w:rsid w:val="007506CD"/>
    <w:rsid w:val="0075267F"/>
    <w:rsid w:val="007526EC"/>
    <w:rsid w:val="0075310C"/>
    <w:rsid w:val="00753347"/>
    <w:rsid w:val="00753C48"/>
    <w:rsid w:val="00754C97"/>
    <w:rsid w:val="00754FE4"/>
    <w:rsid w:val="00755538"/>
    <w:rsid w:val="00756236"/>
    <w:rsid w:val="00756271"/>
    <w:rsid w:val="00756521"/>
    <w:rsid w:val="00756AB7"/>
    <w:rsid w:val="00760477"/>
    <w:rsid w:val="00761AF4"/>
    <w:rsid w:val="00762071"/>
    <w:rsid w:val="007623FB"/>
    <w:rsid w:val="0076376A"/>
    <w:rsid w:val="00764FC2"/>
    <w:rsid w:val="0076500F"/>
    <w:rsid w:val="0076504E"/>
    <w:rsid w:val="00765E6A"/>
    <w:rsid w:val="00767EA0"/>
    <w:rsid w:val="0077068F"/>
    <w:rsid w:val="0077408D"/>
    <w:rsid w:val="00774270"/>
    <w:rsid w:val="00775679"/>
    <w:rsid w:val="00775803"/>
    <w:rsid w:val="00777B32"/>
    <w:rsid w:val="0078051E"/>
    <w:rsid w:val="00781FDD"/>
    <w:rsid w:val="00782A9F"/>
    <w:rsid w:val="0078508A"/>
    <w:rsid w:val="00786D5C"/>
    <w:rsid w:val="00786E96"/>
    <w:rsid w:val="00787F93"/>
    <w:rsid w:val="007907CA"/>
    <w:rsid w:val="007913A1"/>
    <w:rsid w:val="00791C96"/>
    <w:rsid w:val="00791E6D"/>
    <w:rsid w:val="007928DC"/>
    <w:rsid w:val="007939CC"/>
    <w:rsid w:val="00794AD7"/>
    <w:rsid w:val="00796FB8"/>
    <w:rsid w:val="007A0A5E"/>
    <w:rsid w:val="007A11C2"/>
    <w:rsid w:val="007A2063"/>
    <w:rsid w:val="007A2367"/>
    <w:rsid w:val="007A41BF"/>
    <w:rsid w:val="007A490A"/>
    <w:rsid w:val="007A581D"/>
    <w:rsid w:val="007A70B7"/>
    <w:rsid w:val="007A7B95"/>
    <w:rsid w:val="007B0297"/>
    <w:rsid w:val="007B0F53"/>
    <w:rsid w:val="007B1DD8"/>
    <w:rsid w:val="007B21AE"/>
    <w:rsid w:val="007B2570"/>
    <w:rsid w:val="007B3113"/>
    <w:rsid w:val="007B3304"/>
    <w:rsid w:val="007B332B"/>
    <w:rsid w:val="007B394D"/>
    <w:rsid w:val="007B7490"/>
    <w:rsid w:val="007B774A"/>
    <w:rsid w:val="007C0525"/>
    <w:rsid w:val="007C0B56"/>
    <w:rsid w:val="007C0C04"/>
    <w:rsid w:val="007C13F7"/>
    <w:rsid w:val="007C218D"/>
    <w:rsid w:val="007C2D28"/>
    <w:rsid w:val="007C3E22"/>
    <w:rsid w:val="007C5153"/>
    <w:rsid w:val="007C67C6"/>
    <w:rsid w:val="007C707A"/>
    <w:rsid w:val="007C7E59"/>
    <w:rsid w:val="007D0B91"/>
    <w:rsid w:val="007D0F53"/>
    <w:rsid w:val="007D1452"/>
    <w:rsid w:val="007D1E29"/>
    <w:rsid w:val="007D460C"/>
    <w:rsid w:val="007D4AD3"/>
    <w:rsid w:val="007D4C8D"/>
    <w:rsid w:val="007D5195"/>
    <w:rsid w:val="007D5D19"/>
    <w:rsid w:val="007D5FDC"/>
    <w:rsid w:val="007D6232"/>
    <w:rsid w:val="007D652F"/>
    <w:rsid w:val="007D6D68"/>
    <w:rsid w:val="007E01DA"/>
    <w:rsid w:val="007E1603"/>
    <w:rsid w:val="007E32DA"/>
    <w:rsid w:val="007E4998"/>
    <w:rsid w:val="007E4A9C"/>
    <w:rsid w:val="007E6914"/>
    <w:rsid w:val="007E7F78"/>
    <w:rsid w:val="007F0C8B"/>
    <w:rsid w:val="007F1517"/>
    <w:rsid w:val="007F1D44"/>
    <w:rsid w:val="007F2C13"/>
    <w:rsid w:val="007F2CEC"/>
    <w:rsid w:val="007F4331"/>
    <w:rsid w:val="007F46B2"/>
    <w:rsid w:val="007F55DE"/>
    <w:rsid w:val="007F5605"/>
    <w:rsid w:val="007F6147"/>
    <w:rsid w:val="007F6FCD"/>
    <w:rsid w:val="007F78FF"/>
    <w:rsid w:val="00800F6C"/>
    <w:rsid w:val="008025BE"/>
    <w:rsid w:val="00804C86"/>
    <w:rsid w:val="008051FC"/>
    <w:rsid w:val="008055A9"/>
    <w:rsid w:val="008070EB"/>
    <w:rsid w:val="00807376"/>
    <w:rsid w:val="00810E8E"/>
    <w:rsid w:val="0081142D"/>
    <w:rsid w:val="00812462"/>
    <w:rsid w:val="008131C3"/>
    <w:rsid w:val="008140A5"/>
    <w:rsid w:val="0081481D"/>
    <w:rsid w:val="00814BE8"/>
    <w:rsid w:val="00814F6E"/>
    <w:rsid w:val="00815B84"/>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0328"/>
    <w:rsid w:val="00831758"/>
    <w:rsid w:val="0083279F"/>
    <w:rsid w:val="00833B7F"/>
    <w:rsid w:val="0083464B"/>
    <w:rsid w:val="00834906"/>
    <w:rsid w:val="00836075"/>
    <w:rsid w:val="00836417"/>
    <w:rsid w:val="00836420"/>
    <w:rsid w:val="008411F9"/>
    <w:rsid w:val="008413AB"/>
    <w:rsid w:val="00842D10"/>
    <w:rsid w:val="0084322B"/>
    <w:rsid w:val="00843B93"/>
    <w:rsid w:val="00843F81"/>
    <w:rsid w:val="00844087"/>
    <w:rsid w:val="0084519E"/>
    <w:rsid w:val="00846370"/>
    <w:rsid w:val="00847C2B"/>
    <w:rsid w:val="0085270D"/>
    <w:rsid w:val="008532BF"/>
    <w:rsid w:val="00853BF4"/>
    <w:rsid w:val="00854294"/>
    <w:rsid w:val="0085595B"/>
    <w:rsid w:val="00855F80"/>
    <w:rsid w:val="008566B8"/>
    <w:rsid w:val="0085788B"/>
    <w:rsid w:val="00857A9E"/>
    <w:rsid w:val="00857DE2"/>
    <w:rsid w:val="00863098"/>
    <w:rsid w:val="0086353C"/>
    <w:rsid w:val="0086407F"/>
    <w:rsid w:val="00864BFE"/>
    <w:rsid w:val="00864E79"/>
    <w:rsid w:val="00866111"/>
    <w:rsid w:val="0086661F"/>
    <w:rsid w:val="00866A0D"/>
    <w:rsid w:val="00866DB5"/>
    <w:rsid w:val="0086784E"/>
    <w:rsid w:val="00867AF1"/>
    <w:rsid w:val="00870445"/>
    <w:rsid w:val="00872118"/>
    <w:rsid w:val="00872827"/>
    <w:rsid w:val="00872888"/>
    <w:rsid w:val="00872A32"/>
    <w:rsid w:val="00872D92"/>
    <w:rsid w:val="00872E21"/>
    <w:rsid w:val="00874ECA"/>
    <w:rsid w:val="00876EAE"/>
    <w:rsid w:val="00880F95"/>
    <w:rsid w:val="008819C6"/>
    <w:rsid w:val="00882B44"/>
    <w:rsid w:val="00882FE5"/>
    <w:rsid w:val="008845A4"/>
    <w:rsid w:val="00886138"/>
    <w:rsid w:val="00886E66"/>
    <w:rsid w:val="008871B0"/>
    <w:rsid w:val="00891649"/>
    <w:rsid w:val="0089217C"/>
    <w:rsid w:val="008928A1"/>
    <w:rsid w:val="00893671"/>
    <w:rsid w:val="00895838"/>
    <w:rsid w:val="00895A72"/>
    <w:rsid w:val="00895CDF"/>
    <w:rsid w:val="008968C7"/>
    <w:rsid w:val="00897A55"/>
    <w:rsid w:val="008A0FC9"/>
    <w:rsid w:val="008A1956"/>
    <w:rsid w:val="008A2B5F"/>
    <w:rsid w:val="008A40D3"/>
    <w:rsid w:val="008A469C"/>
    <w:rsid w:val="008A484A"/>
    <w:rsid w:val="008A5877"/>
    <w:rsid w:val="008A6539"/>
    <w:rsid w:val="008A701C"/>
    <w:rsid w:val="008B05DD"/>
    <w:rsid w:val="008B17E8"/>
    <w:rsid w:val="008B1925"/>
    <w:rsid w:val="008B266C"/>
    <w:rsid w:val="008B2D03"/>
    <w:rsid w:val="008B2E7C"/>
    <w:rsid w:val="008B42EB"/>
    <w:rsid w:val="008B45A7"/>
    <w:rsid w:val="008B4A70"/>
    <w:rsid w:val="008B502F"/>
    <w:rsid w:val="008B5A88"/>
    <w:rsid w:val="008B6AFE"/>
    <w:rsid w:val="008B7034"/>
    <w:rsid w:val="008B7227"/>
    <w:rsid w:val="008C191C"/>
    <w:rsid w:val="008C1DA4"/>
    <w:rsid w:val="008C25CC"/>
    <w:rsid w:val="008C2CD5"/>
    <w:rsid w:val="008C3618"/>
    <w:rsid w:val="008C37C2"/>
    <w:rsid w:val="008C3F20"/>
    <w:rsid w:val="008C43AD"/>
    <w:rsid w:val="008C59FB"/>
    <w:rsid w:val="008C6687"/>
    <w:rsid w:val="008C68F0"/>
    <w:rsid w:val="008C6F92"/>
    <w:rsid w:val="008C731F"/>
    <w:rsid w:val="008C74D9"/>
    <w:rsid w:val="008D01FF"/>
    <w:rsid w:val="008D1052"/>
    <w:rsid w:val="008D124C"/>
    <w:rsid w:val="008D1BB3"/>
    <w:rsid w:val="008D22AE"/>
    <w:rsid w:val="008D234A"/>
    <w:rsid w:val="008D2600"/>
    <w:rsid w:val="008D566C"/>
    <w:rsid w:val="008D5880"/>
    <w:rsid w:val="008D58D9"/>
    <w:rsid w:val="008D6426"/>
    <w:rsid w:val="008D66EA"/>
    <w:rsid w:val="008D6E59"/>
    <w:rsid w:val="008D7155"/>
    <w:rsid w:val="008D7DE4"/>
    <w:rsid w:val="008E09B3"/>
    <w:rsid w:val="008E141A"/>
    <w:rsid w:val="008E1A44"/>
    <w:rsid w:val="008E28E6"/>
    <w:rsid w:val="008E2B60"/>
    <w:rsid w:val="008E3002"/>
    <w:rsid w:val="008E3232"/>
    <w:rsid w:val="008E3674"/>
    <w:rsid w:val="008E3B6C"/>
    <w:rsid w:val="008E5F2B"/>
    <w:rsid w:val="008E68BB"/>
    <w:rsid w:val="008E6C9B"/>
    <w:rsid w:val="008E77D4"/>
    <w:rsid w:val="008F0981"/>
    <w:rsid w:val="008F0AFD"/>
    <w:rsid w:val="008F17B2"/>
    <w:rsid w:val="008F28EE"/>
    <w:rsid w:val="008F357B"/>
    <w:rsid w:val="008F44CA"/>
    <w:rsid w:val="008F49B9"/>
    <w:rsid w:val="008F49D3"/>
    <w:rsid w:val="008F6519"/>
    <w:rsid w:val="008F7012"/>
    <w:rsid w:val="008F7B17"/>
    <w:rsid w:val="00900042"/>
    <w:rsid w:val="0090034B"/>
    <w:rsid w:val="00902623"/>
    <w:rsid w:val="00902890"/>
    <w:rsid w:val="00904BE4"/>
    <w:rsid w:val="0090504A"/>
    <w:rsid w:val="00905188"/>
    <w:rsid w:val="00905D7E"/>
    <w:rsid w:val="009063B7"/>
    <w:rsid w:val="00906B83"/>
    <w:rsid w:val="00907037"/>
    <w:rsid w:val="0091114B"/>
    <w:rsid w:val="0091160A"/>
    <w:rsid w:val="00913258"/>
    <w:rsid w:val="0091564D"/>
    <w:rsid w:val="009156DA"/>
    <w:rsid w:val="00916BC5"/>
    <w:rsid w:val="0091726A"/>
    <w:rsid w:val="0092009E"/>
    <w:rsid w:val="00920184"/>
    <w:rsid w:val="00920A19"/>
    <w:rsid w:val="00920EA4"/>
    <w:rsid w:val="00921792"/>
    <w:rsid w:val="009217F4"/>
    <w:rsid w:val="00921BEA"/>
    <w:rsid w:val="00923998"/>
    <w:rsid w:val="00923DB4"/>
    <w:rsid w:val="0092430E"/>
    <w:rsid w:val="009249D7"/>
    <w:rsid w:val="00924FFD"/>
    <w:rsid w:val="0092625F"/>
    <w:rsid w:val="009268A9"/>
    <w:rsid w:val="009278F2"/>
    <w:rsid w:val="00927B37"/>
    <w:rsid w:val="009301B2"/>
    <w:rsid w:val="009313DD"/>
    <w:rsid w:val="00931BDE"/>
    <w:rsid w:val="009321B1"/>
    <w:rsid w:val="00932ED7"/>
    <w:rsid w:val="0093357E"/>
    <w:rsid w:val="0093422D"/>
    <w:rsid w:val="00934325"/>
    <w:rsid w:val="00934DD7"/>
    <w:rsid w:val="00934F74"/>
    <w:rsid w:val="009369A9"/>
    <w:rsid w:val="00936CF7"/>
    <w:rsid w:val="00937201"/>
    <w:rsid w:val="0093734A"/>
    <w:rsid w:val="00937783"/>
    <w:rsid w:val="00937ED5"/>
    <w:rsid w:val="00940FE1"/>
    <w:rsid w:val="00942306"/>
    <w:rsid w:val="009424B8"/>
    <w:rsid w:val="009433A4"/>
    <w:rsid w:val="0094435B"/>
    <w:rsid w:val="00944668"/>
    <w:rsid w:val="00944DC6"/>
    <w:rsid w:val="0094515F"/>
    <w:rsid w:val="0094537D"/>
    <w:rsid w:val="0094573F"/>
    <w:rsid w:val="009458B0"/>
    <w:rsid w:val="00945B52"/>
    <w:rsid w:val="00945DC0"/>
    <w:rsid w:val="00945F05"/>
    <w:rsid w:val="00946348"/>
    <w:rsid w:val="009471AD"/>
    <w:rsid w:val="009478A2"/>
    <w:rsid w:val="00950404"/>
    <w:rsid w:val="00951886"/>
    <w:rsid w:val="00952060"/>
    <w:rsid w:val="00954800"/>
    <w:rsid w:val="00955643"/>
    <w:rsid w:val="00955FBB"/>
    <w:rsid w:val="0095694B"/>
    <w:rsid w:val="00956BD5"/>
    <w:rsid w:val="009574BB"/>
    <w:rsid w:val="009577B5"/>
    <w:rsid w:val="009608E6"/>
    <w:rsid w:val="00961779"/>
    <w:rsid w:val="00962EB1"/>
    <w:rsid w:val="00966522"/>
    <w:rsid w:val="00966B3E"/>
    <w:rsid w:val="00967D3F"/>
    <w:rsid w:val="00967E78"/>
    <w:rsid w:val="00970D7E"/>
    <w:rsid w:val="00970F18"/>
    <w:rsid w:val="00971CF1"/>
    <w:rsid w:val="009721E9"/>
    <w:rsid w:val="00972A58"/>
    <w:rsid w:val="00973772"/>
    <w:rsid w:val="009738FC"/>
    <w:rsid w:val="00975E1E"/>
    <w:rsid w:val="00975E70"/>
    <w:rsid w:val="00977CD6"/>
    <w:rsid w:val="00982481"/>
    <w:rsid w:val="00982D26"/>
    <w:rsid w:val="0098330E"/>
    <w:rsid w:val="009833DD"/>
    <w:rsid w:val="009840AB"/>
    <w:rsid w:val="009840E7"/>
    <w:rsid w:val="009849E9"/>
    <w:rsid w:val="009866F3"/>
    <w:rsid w:val="00987812"/>
    <w:rsid w:val="00990225"/>
    <w:rsid w:val="0099244B"/>
    <w:rsid w:val="00993186"/>
    <w:rsid w:val="009947B6"/>
    <w:rsid w:val="00994FCC"/>
    <w:rsid w:val="00995150"/>
    <w:rsid w:val="009957F3"/>
    <w:rsid w:val="00995D67"/>
    <w:rsid w:val="009970BF"/>
    <w:rsid w:val="009A013B"/>
    <w:rsid w:val="009A02F4"/>
    <w:rsid w:val="009A1844"/>
    <w:rsid w:val="009A1F12"/>
    <w:rsid w:val="009A2494"/>
    <w:rsid w:val="009A26CA"/>
    <w:rsid w:val="009A36F2"/>
    <w:rsid w:val="009A5749"/>
    <w:rsid w:val="009A57D0"/>
    <w:rsid w:val="009A6559"/>
    <w:rsid w:val="009A68FC"/>
    <w:rsid w:val="009A7514"/>
    <w:rsid w:val="009A7E7A"/>
    <w:rsid w:val="009B1584"/>
    <w:rsid w:val="009B1585"/>
    <w:rsid w:val="009B2469"/>
    <w:rsid w:val="009B314F"/>
    <w:rsid w:val="009B439C"/>
    <w:rsid w:val="009B4A6C"/>
    <w:rsid w:val="009B5777"/>
    <w:rsid w:val="009B5779"/>
    <w:rsid w:val="009B62A1"/>
    <w:rsid w:val="009B6753"/>
    <w:rsid w:val="009B6A26"/>
    <w:rsid w:val="009B7317"/>
    <w:rsid w:val="009C079D"/>
    <w:rsid w:val="009C0D70"/>
    <w:rsid w:val="009C13D1"/>
    <w:rsid w:val="009C2913"/>
    <w:rsid w:val="009C3008"/>
    <w:rsid w:val="009C5AFE"/>
    <w:rsid w:val="009C6606"/>
    <w:rsid w:val="009C6CE5"/>
    <w:rsid w:val="009C6D50"/>
    <w:rsid w:val="009C7547"/>
    <w:rsid w:val="009D1678"/>
    <w:rsid w:val="009D1693"/>
    <w:rsid w:val="009D2721"/>
    <w:rsid w:val="009D2F60"/>
    <w:rsid w:val="009D338C"/>
    <w:rsid w:val="009D3D0D"/>
    <w:rsid w:val="009D5BAC"/>
    <w:rsid w:val="009D64BD"/>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4FCF"/>
    <w:rsid w:val="009F5DE2"/>
    <w:rsid w:val="009F65F4"/>
    <w:rsid w:val="009F676B"/>
    <w:rsid w:val="009F6EA6"/>
    <w:rsid w:val="00A004DF"/>
    <w:rsid w:val="00A00D29"/>
    <w:rsid w:val="00A00FD5"/>
    <w:rsid w:val="00A015C0"/>
    <w:rsid w:val="00A019A8"/>
    <w:rsid w:val="00A01B03"/>
    <w:rsid w:val="00A02C66"/>
    <w:rsid w:val="00A03861"/>
    <w:rsid w:val="00A0464C"/>
    <w:rsid w:val="00A04D48"/>
    <w:rsid w:val="00A054E0"/>
    <w:rsid w:val="00A05ABE"/>
    <w:rsid w:val="00A0663F"/>
    <w:rsid w:val="00A066CE"/>
    <w:rsid w:val="00A0740B"/>
    <w:rsid w:val="00A075A9"/>
    <w:rsid w:val="00A10263"/>
    <w:rsid w:val="00A11042"/>
    <w:rsid w:val="00A133D8"/>
    <w:rsid w:val="00A13B53"/>
    <w:rsid w:val="00A14E97"/>
    <w:rsid w:val="00A15209"/>
    <w:rsid w:val="00A20069"/>
    <w:rsid w:val="00A20280"/>
    <w:rsid w:val="00A217E4"/>
    <w:rsid w:val="00A2244D"/>
    <w:rsid w:val="00A2253D"/>
    <w:rsid w:val="00A22AEC"/>
    <w:rsid w:val="00A2418A"/>
    <w:rsid w:val="00A247B8"/>
    <w:rsid w:val="00A24D39"/>
    <w:rsid w:val="00A24D8F"/>
    <w:rsid w:val="00A252D3"/>
    <w:rsid w:val="00A25B8B"/>
    <w:rsid w:val="00A26130"/>
    <w:rsid w:val="00A269AF"/>
    <w:rsid w:val="00A269C3"/>
    <w:rsid w:val="00A26ECA"/>
    <w:rsid w:val="00A3142C"/>
    <w:rsid w:val="00A324C1"/>
    <w:rsid w:val="00A32588"/>
    <w:rsid w:val="00A337DB"/>
    <w:rsid w:val="00A3467F"/>
    <w:rsid w:val="00A3551A"/>
    <w:rsid w:val="00A376E8"/>
    <w:rsid w:val="00A37E69"/>
    <w:rsid w:val="00A37F8E"/>
    <w:rsid w:val="00A41737"/>
    <w:rsid w:val="00A42B8F"/>
    <w:rsid w:val="00A43254"/>
    <w:rsid w:val="00A43896"/>
    <w:rsid w:val="00A43A26"/>
    <w:rsid w:val="00A447A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5ACD"/>
    <w:rsid w:val="00A55CFA"/>
    <w:rsid w:val="00A575B8"/>
    <w:rsid w:val="00A647B1"/>
    <w:rsid w:val="00A64DEF"/>
    <w:rsid w:val="00A65E4E"/>
    <w:rsid w:val="00A665DF"/>
    <w:rsid w:val="00A67F1B"/>
    <w:rsid w:val="00A67FCC"/>
    <w:rsid w:val="00A716DC"/>
    <w:rsid w:val="00A71ABE"/>
    <w:rsid w:val="00A7217B"/>
    <w:rsid w:val="00A7293E"/>
    <w:rsid w:val="00A72EE4"/>
    <w:rsid w:val="00A73067"/>
    <w:rsid w:val="00A737C4"/>
    <w:rsid w:val="00A739A6"/>
    <w:rsid w:val="00A73BB5"/>
    <w:rsid w:val="00A75EF9"/>
    <w:rsid w:val="00A76BC9"/>
    <w:rsid w:val="00A76FD8"/>
    <w:rsid w:val="00A77566"/>
    <w:rsid w:val="00A80563"/>
    <w:rsid w:val="00A8311C"/>
    <w:rsid w:val="00A84BC8"/>
    <w:rsid w:val="00A84C5F"/>
    <w:rsid w:val="00A86973"/>
    <w:rsid w:val="00A8721F"/>
    <w:rsid w:val="00A8740B"/>
    <w:rsid w:val="00A87519"/>
    <w:rsid w:val="00A90DE4"/>
    <w:rsid w:val="00A9246D"/>
    <w:rsid w:val="00A93644"/>
    <w:rsid w:val="00A93BD0"/>
    <w:rsid w:val="00A95D69"/>
    <w:rsid w:val="00A975A4"/>
    <w:rsid w:val="00AA2001"/>
    <w:rsid w:val="00AA2B5C"/>
    <w:rsid w:val="00AA4E59"/>
    <w:rsid w:val="00AA5328"/>
    <w:rsid w:val="00AA5393"/>
    <w:rsid w:val="00AA5771"/>
    <w:rsid w:val="00AA63D4"/>
    <w:rsid w:val="00AA6767"/>
    <w:rsid w:val="00AB03FD"/>
    <w:rsid w:val="00AB0F25"/>
    <w:rsid w:val="00AB38CB"/>
    <w:rsid w:val="00AB3BEC"/>
    <w:rsid w:val="00AB44E4"/>
    <w:rsid w:val="00AB4AEB"/>
    <w:rsid w:val="00AB5352"/>
    <w:rsid w:val="00AB56AE"/>
    <w:rsid w:val="00AB62D5"/>
    <w:rsid w:val="00AB65B5"/>
    <w:rsid w:val="00AB6DCD"/>
    <w:rsid w:val="00AB6EE0"/>
    <w:rsid w:val="00AB7D91"/>
    <w:rsid w:val="00AC2DFD"/>
    <w:rsid w:val="00AC352D"/>
    <w:rsid w:val="00AC39B7"/>
    <w:rsid w:val="00AC40B7"/>
    <w:rsid w:val="00AC531F"/>
    <w:rsid w:val="00AC6121"/>
    <w:rsid w:val="00AC626D"/>
    <w:rsid w:val="00AC6CB1"/>
    <w:rsid w:val="00AD0091"/>
    <w:rsid w:val="00AD23D8"/>
    <w:rsid w:val="00AD23EF"/>
    <w:rsid w:val="00AD307B"/>
    <w:rsid w:val="00AD41B3"/>
    <w:rsid w:val="00AD4C48"/>
    <w:rsid w:val="00AD57AF"/>
    <w:rsid w:val="00AD6267"/>
    <w:rsid w:val="00AD6AD3"/>
    <w:rsid w:val="00AD6DEC"/>
    <w:rsid w:val="00AD7317"/>
    <w:rsid w:val="00AE01A8"/>
    <w:rsid w:val="00AE0CBD"/>
    <w:rsid w:val="00AE123A"/>
    <w:rsid w:val="00AE1D09"/>
    <w:rsid w:val="00AE28A7"/>
    <w:rsid w:val="00AE33A6"/>
    <w:rsid w:val="00AE3446"/>
    <w:rsid w:val="00AE3715"/>
    <w:rsid w:val="00AE3729"/>
    <w:rsid w:val="00AE55B2"/>
    <w:rsid w:val="00AE5C6A"/>
    <w:rsid w:val="00AE65F7"/>
    <w:rsid w:val="00AE7280"/>
    <w:rsid w:val="00AF033A"/>
    <w:rsid w:val="00AF1699"/>
    <w:rsid w:val="00AF3664"/>
    <w:rsid w:val="00AF3896"/>
    <w:rsid w:val="00AF6C33"/>
    <w:rsid w:val="00AF7B5A"/>
    <w:rsid w:val="00B0098A"/>
    <w:rsid w:val="00B00A5F"/>
    <w:rsid w:val="00B0225F"/>
    <w:rsid w:val="00B029B8"/>
    <w:rsid w:val="00B02F60"/>
    <w:rsid w:val="00B032B8"/>
    <w:rsid w:val="00B04B46"/>
    <w:rsid w:val="00B0534D"/>
    <w:rsid w:val="00B06368"/>
    <w:rsid w:val="00B06FC6"/>
    <w:rsid w:val="00B07163"/>
    <w:rsid w:val="00B07429"/>
    <w:rsid w:val="00B12FE6"/>
    <w:rsid w:val="00B1303F"/>
    <w:rsid w:val="00B1364A"/>
    <w:rsid w:val="00B13D3C"/>
    <w:rsid w:val="00B1525C"/>
    <w:rsid w:val="00B16408"/>
    <w:rsid w:val="00B16715"/>
    <w:rsid w:val="00B171B4"/>
    <w:rsid w:val="00B174A8"/>
    <w:rsid w:val="00B17910"/>
    <w:rsid w:val="00B20F18"/>
    <w:rsid w:val="00B21516"/>
    <w:rsid w:val="00B224B0"/>
    <w:rsid w:val="00B22CE0"/>
    <w:rsid w:val="00B233A5"/>
    <w:rsid w:val="00B23738"/>
    <w:rsid w:val="00B23BEF"/>
    <w:rsid w:val="00B247BB"/>
    <w:rsid w:val="00B25806"/>
    <w:rsid w:val="00B25C11"/>
    <w:rsid w:val="00B25EDF"/>
    <w:rsid w:val="00B25EE6"/>
    <w:rsid w:val="00B26B53"/>
    <w:rsid w:val="00B3115A"/>
    <w:rsid w:val="00B31A5C"/>
    <w:rsid w:val="00B33C19"/>
    <w:rsid w:val="00B34861"/>
    <w:rsid w:val="00B34BBC"/>
    <w:rsid w:val="00B34CB7"/>
    <w:rsid w:val="00B35F6E"/>
    <w:rsid w:val="00B363BD"/>
    <w:rsid w:val="00B369F7"/>
    <w:rsid w:val="00B36A99"/>
    <w:rsid w:val="00B37537"/>
    <w:rsid w:val="00B37E8B"/>
    <w:rsid w:val="00B41B81"/>
    <w:rsid w:val="00B42980"/>
    <w:rsid w:val="00B434B2"/>
    <w:rsid w:val="00B434C7"/>
    <w:rsid w:val="00B43D45"/>
    <w:rsid w:val="00B44771"/>
    <w:rsid w:val="00B4650E"/>
    <w:rsid w:val="00B468F2"/>
    <w:rsid w:val="00B46B45"/>
    <w:rsid w:val="00B46F6B"/>
    <w:rsid w:val="00B47286"/>
    <w:rsid w:val="00B47894"/>
    <w:rsid w:val="00B50234"/>
    <w:rsid w:val="00B51794"/>
    <w:rsid w:val="00B51BF4"/>
    <w:rsid w:val="00B52C68"/>
    <w:rsid w:val="00B542E0"/>
    <w:rsid w:val="00B542FE"/>
    <w:rsid w:val="00B55A1B"/>
    <w:rsid w:val="00B561DB"/>
    <w:rsid w:val="00B57494"/>
    <w:rsid w:val="00B61DCE"/>
    <w:rsid w:val="00B62188"/>
    <w:rsid w:val="00B62467"/>
    <w:rsid w:val="00B62F79"/>
    <w:rsid w:val="00B62F82"/>
    <w:rsid w:val="00B6325B"/>
    <w:rsid w:val="00B648FA"/>
    <w:rsid w:val="00B64C12"/>
    <w:rsid w:val="00B662FF"/>
    <w:rsid w:val="00B72C80"/>
    <w:rsid w:val="00B730B4"/>
    <w:rsid w:val="00B7316A"/>
    <w:rsid w:val="00B74340"/>
    <w:rsid w:val="00B744E0"/>
    <w:rsid w:val="00B7481A"/>
    <w:rsid w:val="00B74F2F"/>
    <w:rsid w:val="00B756FB"/>
    <w:rsid w:val="00B769BC"/>
    <w:rsid w:val="00B77349"/>
    <w:rsid w:val="00B7761E"/>
    <w:rsid w:val="00B80A37"/>
    <w:rsid w:val="00B80A3D"/>
    <w:rsid w:val="00B823E0"/>
    <w:rsid w:val="00B82B78"/>
    <w:rsid w:val="00B83199"/>
    <w:rsid w:val="00B83E3C"/>
    <w:rsid w:val="00B84662"/>
    <w:rsid w:val="00B85402"/>
    <w:rsid w:val="00B864A3"/>
    <w:rsid w:val="00B86C2A"/>
    <w:rsid w:val="00B87440"/>
    <w:rsid w:val="00B902A5"/>
    <w:rsid w:val="00B90420"/>
    <w:rsid w:val="00B913E4"/>
    <w:rsid w:val="00B91DB9"/>
    <w:rsid w:val="00B93EFE"/>
    <w:rsid w:val="00B94956"/>
    <w:rsid w:val="00B94C7F"/>
    <w:rsid w:val="00B956B5"/>
    <w:rsid w:val="00B95904"/>
    <w:rsid w:val="00B95C3A"/>
    <w:rsid w:val="00B95FCE"/>
    <w:rsid w:val="00BA0D44"/>
    <w:rsid w:val="00BA0E26"/>
    <w:rsid w:val="00BA31BF"/>
    <w:rsid w:val="00BA43FC"/>
    <w:rsid w:val="00BA478B"/>
    <w:rsid w:val="00BA5224"/>
    <w:rsid w:val="00BA7456"/>
    <w:rsid w:val="00BA7925"/>
    <w:rsid w:val="00BA7B27"/>
    <w:rsid w:val="00BA7E3B"/>
    <w:rsid w:val="00BB079C"/>
    <w:rsid w:val="00BB32A1"/>
    <w:rsid w:val="00BB38FA"/>
    <w:rsid w:val="00BB39C1"/>
    <w:rsid w:val="00BB5555"/>
    <w:rsid w:val="00BB5D16"/>
    <w:rsid w:val="00BB6180"/>
    <w:rsid w:val="00BB69E6"/>
    <w:rsid w:val="00BB7714"/>
    <w:rsid w:val="00BB788A"/>
    <w:rsid w:val="00BC1B7A"/>
    <w:rsid w:val="00BC2BC7"/>
    <w:rsid w:val="00BC2C17"/>
    <w:rsid w:val="00BC3ACD"/>
    <w:rsid w:val="00BC5C09"/>
    <w:rsid w:val="00BC6E73"/>
    <w:rsid w:val="00BD0014"/>
    <w:rsid w:val="00BD01D8"/>
    <w:rsid w:val="00BD0DC1"/>
    <w:rsid w:val="00BD1B17"/>
    <w:rsid w:val="00BD2512"/>
    <w:rsid w:val="00BD255F"/>
    <w:rsid w:val="00BD383D"/>
    <w:rsid w:val="00BD4236"/>
    <w:rsid w:val="00BD5CCA"/>
    <w:rsid w:val="00BD5CD4"/>
    <w:rsid w:val="00BD6EF9"/>
    <w:rsid w:val="00BD77DD"/>
    <w:rsid w:val="00BE0ACB"/>
    <w:rsid w:val="00BE1A90"/>
    <w:rsid w:val="00BE2C0A"/>
    <w:rsid w:val="00BE3537"/>
    <w:rsid w:val="00BE360F"/>
    <w:rsid w:val="00BE4B40"/>
    <w:rsid w:val="00BE50FD"/>
    <w:rsid w:val="00BE51CA"/>
    <w:rsid w:val="00BE5E5A"/>
    <w:rsid w:val="00BE6D47"/>
    <w:rsid w:val="00BE7032"/>
    <w:rsid w:val="00BE7330"/>
    <w:rsid w:val="00BF00B8"/>
    <w:rsid w:val="00BF01C5"/>
    <w:rsid w:val="00BF045B"/>
    <w:rsid w:val="00BF066A"/>
    <w:rsid w:val="00BF069D"/>
    <w:rsid w:val="00BF361C"/>
    <w:rsid w:val="00BF4342"/>
    <w:rsid w:val="00BF4352"/>
    <w:rsid w:val="00BF5050"/>
    <w:rsid w:val="00BF5422"/>
    <w:rsid w:val="00BF54CF"/>
    <w:rsid w:val="00BF59B1"/>
    <w:rsid w:val="00BF6A78"/>
    <w:rsid w:val="00BF6E19"/>
    <w:rsid w:val="00BF79B4"/>
    <w:rsid w:val="00C0099F"/>
    <w:rsid w:val="00C01427"/>
    <w:rsid w:val="00C016A1"/>
    <w:rsid w:val="00C03F52"/>
    <w:rsid w:val="00C04AAB"/>
    <w:rsid w:val="00C058AF"/>
    <w:rsid w:val="00C10041"/>
    <w:rsid w:val="00C124C1"/>
    <w:rsid w:val="00C128AE"/>
    <w:rsid w:val="00C136D6"/>
    <w:rsid w:val="00C13D5B"/>
    <w:rsid w:val="00C17AE2"/>
    <w:rsid w:val="00C20F27"/>
    <w:rsid w:val="00C215CF"/>
    <w:rsid w:val="00C2244B"/>
    <w:rsid w:val="00C2263D"/>
    <w:rsid w:val="00C22B0D"/>
    <w:rsid w:val="00C22F55"/>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60B3"/>
    <w:rsid w:val="00C36363"/>
    <w:rsid w:val="00C3679B"/>
    <w:rsid w:val="00C37027"/>
    <w:rsid w:val="00C3778D"/>
    <w:rsid w:val="00C405A3"/>
    <w:rsid w:val="00C42752"/>
    <w:rsid w:val="00C42973"/>
    <w:rsid w:val="00C44F9C"/>
    <w:rsid w:val="00C46D58"/>
    <w:rsid w:val="00C4730E"/>
    <w:rsid w:val="00C47EE9"/>
    <w:rsid w:val="00C5019C"/>
    <w:rsid w:val="00C5034F"/>
    <w:rsid w:val="00C514D3"/>
    <w:rsid w:val="00C52479"/>
    <w:rsid w:val="00C5291F"/>
    <w:rsid w:val="00C52BC8"/>
    <w:rsid w:val="00C52C59"/>
    <w:rsid w:val="00C5349E"/>
    <w:rsid w:val="00C5354B"/>
    <w:rsid w:val="00C54467"/>
    <w:rsid w:val="00C54D3D"/>
    <w:rsid w:val="00C55116"/>
    <w:rsid w:val="00C55A30"/>
    <w:rsid w:val="00C5787F"/>
    <w:rsid w:val="00C57C58"/>
    <w:rsid w:val="00C6028F"/>
    <w:rsid w:val="00C6036D"/>
    <w:rsid w:val="00C608F1"/>
    <w:rsid w:val="00C630A2"/>
    <w:rsid w:val="00C631E1"/>
    <w:rsid w:val="00C638D8"/>
    <w:rsid w:val="00C63C84"/>
    <w:rsid w:val="00C63D26"/>
    <w:rsid w:val="00C641EB"/>
    <w:rsid w:val="00C65053"/>
    <w:rsid w:val="00C65BD9"/>
    <w:rsid w:val="00C66061"/>
    <w:rsid w:val="00C661D6"/>
    <w:rsid w:val="00C66F69"/>
    <w:rsid w:val="00C67223"/>
    <w:rsid w:val="00C67CFF"/>
    <w:rsid w:val="00C707B8"/>
    <w:rsid w:val="00C7084B"/>
    <w:rsid w:val="00C70A47"/>
    <w:rsid w:val="00C71165"/>
    <w:rsid w:val="00C71C15"/>
    <w:rsid w:val="00C71F3D"/>
    <w:rsid w:val="00C72F53"/>
    <w:rsid w:val="00C74035"/>
    <w:rsid w:val="00C76286"/>
    <w:rsid w:val="00C76FF4"/>
    <w:rsid w:val="00C77818"/>
    <w:rsid w:val="00C77AE3"/>
    <w:rsid w:val="00C8063F"/>
    <w:rsid w:val="00C81549"/>
    <w:rsid w:val="00C829A1"/>
    <w:rsid w:val="00C83B36"/>
    <w:rsid w:val="00C84F8A"/>
    <w:rsid w:val="00C8514E"/>
    <w:rsid w:val="00C85209"/>
    <w:rsid w:val="00C8618F"/>
    <w:rsid w:val="00C90372"/>
    <w:rsid w:val="00C9041F"/>
    <w:rsid w:val="00C91A45"/>
    <w:rsid w:val="00C91ED2"/>
    <w:rsid w:val="00C91FB4"/>
    <w:rsid w:val="00C92CFC"/>
    <w:rsid w:val="00C94D41"/>
    <w:rsid w:val="00C95745"/>
    <w:rsid w:val="00C962E3"/>
    <w:rsid w:val="00C965BD"/>
    <w:rsid w:val="00C96717"/>
    <w:rsid w:val="00C97997"/>
    <w:rsid w:val="00CA08FE"/>
    <w:rsid w:val="00CA0FAC"/>
    <w:rsid w:val="00CA1EA6"/>
    <w:rsid w:val="00CA2513"/>
    <w:rsid w:val="00CA25C0"/>
    <w:rsid w:val="00CA3451"/>
    <w:rsid w:val="00CA4948"/>
    <w:rsid w:val="00CA52F9"/>
    <w:rsid w:val="00CA563F"/>
    <w:rsid w:val="00CA568B"/>
    <w:rsid w:val="00CA7500"/>
    <w:rsid w:val="00CB0696"/>
    <w:rsid w:val="00CB1239"/>
    <w:rsid w:val="00CB19FE"/>
    <w:rsid w:val="00CB304C"/>
    <w:rsid w:val="00CB53E8"/>
    <w:rsid w:val="00CB594A"/>
    <w:rsid w:val="00CB5CB2"/>
    <w:rsid w:val="00CB6979"/>
    <w:rsid w:val="00CC0A3D"/>
    <w:rsid w:val="00CC2373"/>
    <w:rsid w:val="00CC3D24"/>
    <w:rsid w:val="00CC3F91"/>
    <w:rsid w:val="00CC40B6"/>
    <w:rsid w:val="00CC4B0A"/>
    <w:rsid w:val="00CC544A"/>
    <w:rsid w:val="00CC57EA"/>
    <w:rsid w:val="00CC5954"/>
    <w:rsid w:val="00CC6C4E"/>
    <w:rsid w:val="00CC6DD8"/>
    <w:rsid w:val="00CD05A2"/>
    <w:rsid w:val="00CD19DA"/>
    <w:rsid w:val="00CD29D4"/>
    <w:rsid w:val="00CD38F5"/>
    <w:rsid w:val="00CD437E"/>
    <w:rsid w:val="00CD4AE5"/>
    <w:rsid w:val="00CD5833"/>
    <w:rsid w:val="00CD5A89"/>
    <w:rsid w:val="00CD5DAD"/>
    <w:rsid w:val="00CD72C5"/>
    <w:rsid w:val="00CD79A7"/>
    <w:rsid w:val="00CE0789"/>
    <w:rsid w:val="00CE1A03"/>
    <w:rsid w:val="00CE2346"/>
    <w:rsid w:val="00CE29EA"/>
    <w:rsid w:val="00CE3529"/>
    <w:rsid w:val="00CE35C8"/>
    <w:rsid w:val="00CE3962"/>
    <w:rsid w:val="00CE5105"/>
    <w:rsid w:val="00CE56BD"/>
    <w:rsid w:val="00CE5EC0"/>
    <w:rsid w:val="00CE6F9F"/>
    <w:rsid w:val="00CE773B"/>
    <w:rsid w:val="00CE781A"/>
    <w:rsid w:val="00CF10FC"/>
    <w:rsid w:val="00CF11E4"/>
    <w:rsid w:val="00CF1D74"/>
    <w:rsid w:val="00CF2BE2"/>
    <w:rsid w:val="00CF3157"/>
    <w:rsid w:val="00CF55F9"/>
    <w:rsid w:val="00CF71A6"/>
    <w:rsid w:val="00CF7495"/>
    <w:rsid w:val="00CF7671"/>
    <w:rsid w:val="00CF7C5B"/>
    <w:rsid w:val="00D01CF9"/>
    <w:rsid w:val="00D02246"/>
    <w:rsid w:val="00D0334D"/>
    <w:rsid w:val="00D0374D"/>
    <w:rsid w:val="00D05A76"/>
    <w:rsid w:val="00D07384"/>
    <w:rsid w:val="00D073D0"/>
    <w:rsid w:val="00D07BEF"/>
    <w:rsid w:val="00D07F1D"/>
    <w:rsid w:val="00D10558"/>
    <w:rsid w:val="00D1170C"/>
    <w:rsid w:val="00D1203E"/>
    <w:rsid w:val="00D13E70"/>
    <w:rsid w:val="00D16C58"/>
    <w:rsid w:val="00D17019"/>
    <w:rsid w:val="00D170C1"/>
    <w:rsid w:val="00D178DE"/>
    <w:rsid w:val="00D17C6E"/>
    <w:rsid w:val="00D21168"/>
    <w:rsid w:val="00D235C8"/>
    <w:rsid w:val="00D2384A"/>
    <w:rsid w:val="00D2438C"/>
    <w:rsid w:val="00D26C3F"/>
    <w:rsid w:val="00D27185"/>
    <w:rsid w:val="00D31CA2"/>
    <w:rsid w:val="00D32B84"/>
    <w:rsid w:val="00D337AE"/>
    <w:rsid w:val="00D33AB3"/>
    <w:rsid w:val="00D33F24"/>
    <w:rsid w:val="00D346B7"/>
    <w:rsid w:val="00D346B8"/>
    <w:rsid w:val="00D35AC8"/>
    <w:rsid w:val="00D35D34"/>
    <w:rsid w:val="00D36F87"/>
    <w:rsid w:val="00D37E4E"/>
    <w:rsid w:val="00D42AD6"/>
    <w:rsid w:val="00D42E6C"/>
    <w:rsid w:val="00D43218"/>
    <w:rsid w:val="00D43B80"/>
    <w:rsid w:val="00D44236"/>
    <w:rsid w:val="00D44AE2"/>
    <w:rsid w:val="00D45B1E"/>
    <w:rsid w:val="00D45BA4"/>
    <w:rsid w:val="00D471AF"/>
    <w:rsid w:val="00D4724F"/>
    <w:rsid w:val="00D50519"/>
    <w:rsid w:val="00D516A5"/>
    <w:rsid w:val="00D5264C"/>
    <w:rsid w:val="00D5289A"/>
    <w:rsid w:val="00D537FE"/>
    <w:rsid w:val="00D538F0"/>
    <w:rsid w:val="00D54A6A"/>
    <w:rsid w:val="00D54BF8"/>
    <w:rsid w:val="00D54D7C"/>
    <w:rsid w:val="00D55951"/>
    <w:rsid w:val="00D572BE"/>
    <w:rsid w:val="00D57EB6"/>
    <w:rsid w:val="00D60ED7"/>
    <w:rsid w:val="00D63586"/>
    <w:rsid w:val="00D63842"/>
    <w:rsid w:val="00D65538"/>
    <w:rsid w:val="00D664BF"/>
    <w:rsid w:val="00D66D8B"/>
    <w:rsid w:val="00D67102"/>
    <w:rsid w:val="00D70286"/>
    <w:rsid w:val="00D72A1C"/>
    <w:rsid w:val="00D73580"/>
    <w:rsid w:val="00D73802"/>
    <w:rsid w:val="00D73868"/>
    <w:rsid w:val="00D73C2C"/>
    <w:rsid w:val="00D73D52"/>
    <w:rsid w:val="00D74042"/>
    <w:rsid w:val="00D7453F"/>
    <w:rsid w:val="00D745E7"/>
    <w:rsid w:val="00D77495"/>
    <w:rsid w:val="00D774ED"/>
    <w:rsid w:val="00D777F6"/>
    <w:rsid w:val="00D77F88"/>
    <w:rsid w:val="00D8002D"/>
    <w:rsid w:val="00D8047C"/>
    <w:rsid w:val="00D81EAA"/>
    <w:rsid w:val="00D8259F"/>
    <w:rsid w:val="00D825F2"/>
    <w:rsid w:val="00D828B1"/>
    <w:rsid w:val="00D84F27"/>
    <w:rsid w:val="00D850D4"/>
    <w:rsid w:val="00D862D1"/>
    <w:rsid w:val="00D873C6"/>
    <w:rsid w:val="00D91027"/>
    <w:rsid w:val="00D94C7D"/>
    <w:rsid w:val="00D94CA4"/>
    <w:rsid w:val="00D94FB4"/>
    <w:rsid w:val="00D95E99"/>
    <w:rsid w:val="00DA098C"/>
    <w:rsid w:val="00DA1A3A"/>
    <w:rsid w:val="00DA2712"/>
    <w:rsid w:val="00DA2C65"/>
    <w:rsid w:val="00DA395D"/>
    <w:rsid w:val="00DA6D33"/>
    <w:rsid w:val="00DB16B8"/>
    <w:rsid w:val="00DB1869"/>
    <w:rsid w:val="00DB1D52"/>
    <w:rsid w:val="00DB1F62"/>
    <w:rsid w:val="00DB2E03"/>
    <w:rsid w:val="00DB2E97"/>
    <w:rsid w:val="00DB2F95"/>
    <w:rsid w:val="00DB3369"/>
    <w:rsid w:val="00DB3742"/>
    <w:rsid w:val="00DB3F4B"/>
    <w:rsid w:val="00DB61A4"/>
    <w:rsid w:val="00DB67C1"/>
    <w:rsid w:val="00DB70CD"/>
    <w:rsid w:val="00DB70F4"/>
    <w:rsid w:val="00DB7343"/>
    <w:rsid w:val="00DC1056"/>
    <w:rsid w:val="00DC211E"/>
    <w:rsid w:val="00DC21D8"/>
    <w:rsid w:val="00DC282A"/>
    <w:rsid w:val="00DC34DC"/>
    <w:rsid w:val="00DC3CC6"/>
    <w:rsid w:val="00DC514A"/>
    <w:rsid w:val="00DC64EC"/>
    <w:rsid w:val="00DC67B1"/>
    <w:rsid w:val="00DC7833"/>
    <w:rsid w:val="00DC7CE9"/>
    <w:rsid w:val="00DD132B"/>
    <w:rsid w:val="00DD1725"/>
    <w:rsid w:val="00DD2427"/>
    <w:rsid w:val="00DD2A18"/>
    <w:rsid w:val="00DD36DA"/>
    <w:rsid w:val="00DD5B1A"/>
    <w:rsid w:val="00DD61E8"/>
    <w:rsid w:val="00DD62C0"/>
    <w:rsid w:val="00DD7859"/>
    <w:rsid w:val="00DE03AC"/>
    <w:rsid w:val="00DE0A1D"/>
    <w:rsid w:val="00DE15B2"/>
    <w:rsid w:val="00DE1A9A"/>
    <w:rsid w:val="00DE2D32"/>
    <w:rsid w:val="00DE3D2C"/>
    <w:rsid w:val="00DE59F8"/>
    <w:rsid w:val="00DE5E82"/>
    <w:rsid w:val="00DE5FA6"/>
    <w:rsid w:val="00DE6494"/>
    <w:rsid w:val="00DE6AA1"/>
    <w:rsid w:val="00DE74D7"/>
    <w:rsid w:val="00DE7EF7"/>
    <w:rsid w:val="00DF106A"/>
    <w:rsid w:val="00DF1185"/>
    <w:rsid w:val="00DF1299"/>
    <w:rsid w:val="00DF1A70"/>
    <w:rsid w:val="00DF23A8"/>
    <w:rsid w:val="00DF2F27"/>
    <w:rsid w:val="00DF6CCC"/>
    <w:rsid w:val="00DF6D0C"/>
    <w:rsid w:val="00DF6DC2"/>
    <w:rsid w:val="00DF6F64"/>
    <w:rsid w:val="00DF721E"/>
    <w:rsid w:val="00DF7C87"/>
    <w:rsid w:val="00E009B0"/>
    <w:rsid w:val="00E031C0"/>
    <w:rsid w:val="00E03AFE"/>
    <w:rsid w:val="00E03D5C"/>
    <w:rsid w:val="00E046A9"/>
    <w:rsid w:val="00E04C0F"/>
    <w:rsid w:val="00E0570B"/>
    <w:rsid w:val="00E057B2"/>
    <w:rsid w:val="00E05996"/>
    <w:rsid w:val="00E068D9"/>
    <w:rsid w:val="00E10B87"/>
    <w:rsid w:val="00E1478B"/>
    <w:rsid w:val="00E14FAC"/>
    <w:rsid w:val="00E15007"/>
    <w:rsid w:val="00E16EC7"/>
    <w:rsid w:val="00E1714F"/>
    <w:rsid w:val="00E17995"/>
    <w:rsid w:val="00E21576"/>
    <w:rsid w:val="00E21801"/>
    <w:rsid w:val="00E219CE"/>
    <w:rsid w:val="00E23961"/>
    <w:rsid w:val="00E24071"/>
    <w:rsid w:val="00E24EBC"/>
    <w:rsid w:val="00E2522C"/>
    <w:rsid w:val="00E2599B"/>
    <w:rsid w:val="00E26EDA"/>
    <w:rsid w:val="00E27383"/>
    <w:rsid w:val="00E273C8"/>
    <w:rsid w:val="00E2793D"/>
    <w:rsid w:val="00E31AFA"/>
    <w:rsid w:val="00E324EE"/>
    <w:rsid w:val="00E3576C"/>
    <w:rsid w:val="00E359FF"/>
    <w:rsid w:val="00E36083"/>
    <w:rsid w:val="00E36AA7"/>
    <w:rsid w:val="00E36E39"/>
    <w:rsid w:val="00E405F1"/>
    <w:rsid w:val="00E43054"/>
    <w:rsid w:val="00E434C4"/>
    <w:rsid w:val="00E44FE4"/>
    <w:rsid w:val="00E46013"/>
    <w:rsid w:val="00E477C3"/>
    <w:rsid w:val="00E5048D"/>
    <w:rsid w:val="00E50AC4"/>
    <w:rsid w:val="00E51077"/>
    <w:rsid w:val="00E5132D"/>
    <w:rsid w:val="00E51741"/>
    <w:rsid w:val="00E51E16"/>
    <w:rsid w:val="00E52151"/>
    <w:rsid w:val="00E53730"/>
    <w:rsid w:val="00E53C46"/>
    <w:rsid w:val="00E54511"/>
    <w:rsid w:val="00E548BE"/>
    <w:rsid w:val="00E54978"/>
    <w:rsid w:val="00E55DC3"/>
    <w:rsid w:val="00E57577"/>
    <w:rsid w:val="00E62043"/>
    <w:rsid w:val="00E626B9"/>
    <w:rsid w:val="00E627C9"/>
    <w:rsid w:val="00E630F3"/>
    <w:rsid w:val="00E65198"/>
    <w:rsid w:val="00E664FB"/>
    <w:rsid w:val="00E66F0D"/>
    <w:rsid w:val="00E70615"/>
    <w:rsid w:val="00E71A5E"/>
    <w:rsid w:val="00E7207B"/>
    <w:rsid w:val="00E7347A"/>
    <w:rsid w:val="00E746F4"/>
    <w:rsid w:val="00E75325"/>
    <w:rsid w:val="00E75A47"/>
    <w:rsid w:val="00E75D8C"/>
    <w:rsid w:val="00E77771"/>
    <w:rsid w:val="00E777F2"/>
    <w:rsid w:val="00E779ED"/>
    <w:rsid w:val="00E802C9"/>
    <w:rsid w:val="00E80EDD"/>
    <w:rsid w:val="00E80F0A"/>
    <w:rsid w:val="00E81A6A"/>
    <w:rsid w:val="00E8291B"/>
    <w:rsid w:val="00E8395F"/>
    <w:rsid w:val="00E83BAE"/>
    <w:rsid w:val="00E8473F"/>
    <w:rsid w:val="00E857EB"/>
    <w:rsid w:val="00E85E41"/>
    <w:rsid w:val="00E85EA1"/>
    <w:rsid w:val="00E8610B"/>
    <w:rsid w:val="00E86C86"/>
    <w:rsid w:val="00E91044"/>
    <w:rsid w:val="00E910D3"/>
    <w:rsid w:val="00E9214B"/>
    <w:rsid w:val="00E923CF"/>
    <w:rsid w:val="00E9335F"/>
    <w:rsid w:val="00E95111"/>
    <w:rsid w:val="00EA061E"/>
    <w:rsid w:val="00EA14C8"/>
    <w:rsid w:val="00EA19D3"/>
    <w:rsid w:val="00EA2358"/>
    <w:rsid w:val="00EA2C8B"/>
    <w:rsid w:val="00EA3582"/>
    <w:rsid w:val="00EA5B54"/>
    <w:rsid w:val="00EA6649"/>
    <w:rsid w:val="00EB05D0"/>
    <w:rsid w:val="00EB07C5"/>
    <w:rsid w:val="00EB107E"/>
    <w:rsid w:val="00EB1802"/>
    <w:rsid w:val="00EB1AD1"/>
    <w:rsid w:val="00EB1D49"/>
    <w:rsid w:val="00EB42DD"/>
    <w:rsid w:val="00EB559F"/>
    <w:rsid w:val="00EB5F3D"/>
    <w:rsid w:val="00EB6EC2"/>
    <w:rsid w:val="00EC01C3"/>
    <w:rsid w:val="00EC1CEB"/>
    <w:rsid w:val="00EC268C"/>
    <w:rsid w:val="00EC3602"/>
    <w:rsid w:val="00EC3753"/>
    <w:rsid w:val="00EC3CB8"/>
    <w:rsid w:val="00EC3D46"/>
    <w:rsid w:val="00EC4E71"/>
    <w:rsid w:val="00EC569A"/>
    <w:rsid w:val="00EC6667"/>
    <w:rsid w:val="00ED0365"/>
    <w:rsid w:val="00ED0865"/>
    <w:rsid w:val="00ED094F"/>
    <w:rsid w:val="00ED16B6"/>
    <w:rsid w:val="00ED1C60"/>
    <w:rsid w:val="00ED2EB9"/>
    <w:rsid w:val="00ED4469"/>
    <w:rsid w:val="00ED5F23"/>
    <w:rsid w:val="00ED6DC0"/>
    <w:rsid w:val="00ED79CE"/>
    <w:rsid w:val="00ED7A7A"/>
    <w:rsid w:val="00EE038C"/>
    <w:rsid w:val="00EE040B"/>
    <w:rsid w:val="00EE06A3"/>
    <w:rsid w:val="00EE47C5"/>
    <w:rsid w:val="00EE490C"/>
    <w:rsid w:val="00EE4E02"/>
    <w:rsid w:val="00EE613B"/>
    <w:rsid w:val="00EE7E17"/>
    <w:rsid w:val="00EF2C8E"/>
    <w:rsid w:val="00EF3A0D"/>
    <w:rsid w:val="00EF3CEB"/>
    <w:rsid w:val="00EF41A8"/>
    <w:rsid w:val="00EF44FB"/>
    <w:rsid w:val="00EF4D3C"/>
    <w:rsid w:val="00EF5554"/>
    <w:rsid w:val="00EF5AD8"/>
    <w:rsid w:val="00EF5D2F"/>
    <w:rsid w:val="00EF63F5"/>
    <w:rsid w:val="00EF6758"/>
    <w:rsid w:val="00EF6B90"/>
    <w:rsid w:val="00EF70AE"/>
    <w:rsid w:val="00EF7281"/>
    <w:rsid w:val="00EF79F7"/>
    <w:rsid w:val="00F00167"/>
    <w:rsid w:val="00F00418"/>
    <w:rsid w:val="00F006C0"/>
    <w:rsid w:val="00F019AA"/>
    <w:rsid w:val="00F0267E"/>
    <w:rsid w:val="00F02686"/>
    <w:rsid w:val="00F030DA"/>
    <w:rsid w:val="00F0459B"/>
    <w:rsid w:val="00F04E15"/>
    <w:rsid w:val="00F05DF3"/>
    <w:rsid w:val="00F0641B"/>
    <w:rsid w:val="00F069EA"/>
    <w:rsid w:val="00F0760A"/>
    <w:rsid w:val="00F07B6E"/>
    <w:rsid w:val="00F07DF8"/>
    <w:rsid w:val="00F11461"/>
    <w:rsid w:val="00F11675"/>
    <w:rsid w:val="00F1182D"/>
    <w:rsid w:val="00F12557"/>
    <w:rsid w:val="00F126DA"/>
    <w:rsid w:val="00F13A8F"/>
    <w:rsid w:val="00F144F8"/>
    <w:rsid w:val="00F14DF8"/>
    <w:rsid w:val="00F164A3"/>
    <w:rsid w:val="00F17281"/>
    <w:rsid w:val="00F17AD9"/>
    <w:rsid w:val="00F17F74"/>
    <w:rsid w:val="00F202C2"/>
    <w:rsid w:val="00F22756"/>
    <w:rsid w:val="00F228F9"/>
    <w:rsid w:val="00F22951"/>
    <w:rsid w:val="00F23890"/>
    <w:rsid w:val="00F2447A"/>
    <w:rsid w:val="00F24638"/>
    <w:rsid w:val="00F2504D"/>
    <w:rsid w:val="00F2637F"/>
    <w:rsid w:val="00F263A8"/>
    <w:rsid w:val="00F268F7"/>
    <w:rsid w:val="00F27280"/>
    <w:rsid w:val="00F3053D"/>
    <w:rsid w:val="00F30BDB"/>
    <w:rsid w:val="00F30CF8"/>
    <w:rsid w:val="00F317E3"/>
    <w:rsid w:val="00F31EDF"/>
    <w:rsid w:val="00F32CDE"/>
    <w:rsid w:val="00F32D4C"/>
    <w:rsid w:val="00F34811"/>
    <w:rsid w:val="00F34B14"/>
    <w:rsid w:val="00F36A6A"/>
    <w:rsid w:val="00F37BB8"/>
    <w:rsid w:val="00F40101"/>
    <w:rsid w:val="00F404F7"/>
    <w:rsid w:val="00F40CCA"/>
    <w:rsid w:val="00F41521"/>
    <w:rsid w:val="00F41975"/>
    <w:rsid w:val="00F41C0E"/>
    <w:rsid w:val="00F42D97"/>
    <w:rsid w:val="00F43F09"/>
    <w:rsid w:val="00F45A72"/>
    <w:rsid w:val="00F46723"/>
    <w:rsid w:val="00F50016"/>
    <w:rsid w:val="00F50647"/>
    <w:rsid w:val="00F5118A"/>
    <w:rsid w:val="00F51838"/>
    <w:rsid w:val="00F51A21"/>
    <w:rsid w:val="00F5276E"/>
    <w:rsid w:val="00F529F9"/>
    <w:rsid w:val="00F52E9F"/>
    <w:rsid w:val="00F53304"/>
    <w:rsid w:val="00F53CB1"/>
    <w:rsid w:val="00F53D40"/>
    <w:rsid w:val="00F545ED"/>
    <w:rsid w:val="00F5687F"/>
    <w:rsid w:val="00F575C7"/>
    <w:rsid w:val="00F60305"/>
    <w:rsid w:val="00F61B12"/>
    <w:rsid w:val="00F61CC5"/>
    <w:rsid w:val="00F62398"/>
    <w:rsid w:val="00F62DBA"/>
    <w:rsid w:val="00F631E8"/>
    <w:rsid w:val="00F63223"/>
    <w:rsid w:val="00F63264"/>
    <w:rsid w:val="00F6379E"/>
    <w:rsid w:val="00F64142"/>
    <w:rsid w:val="00F657E9"/>
    <w:rsid w:val="00F70799"/>
    <w:rsid w:val="00F70906"/>
    <w:rsid w:val="00F70A8B"/>
    <w:rsid w:val="00F724FB"/>
    <w:rsid w:val="00F72578"/>
    <w:rsid w:val="00F72A26"/>
    <w:rsid w:val="00F733C3"/>
    <w:rsid w:val="00F756DD"/>
    <w:rsid w:val="00F75DB3"/>
    <w:rsid w:val="00F80047"/>
    <w:rsid w:val="00F80392"/>
    <w:rsid w:val="00F80BC4"/>
    <w:rsid w:val="00F8104D"/>
    <w:rsid w:val="00F81587"/>
    <w:rsid w:val="00F82571"/>
    <w:rsid w:val="00F85B72"/>
    <w:rsid w:val="00F86B6D"/>
    <w:rsid w:val="00F8766F"/>
    <w:rsid w:val="00F9104C"/>
    <w:rsid w:val="00F91082"/>
    <w:rsid w:val="00F91A9A"/>
    <w:rsid w:val="00F93ABB"/>
    <w:rsid w:val="00F94D79"/>
    <w:rsid w:val="00F97E7E"/>
    <w:rsid w:val="00FA118A"/>
    <w:rsid w:val="00FA31C7"/>
    <w:rsid w:val="00FA472D"/>
    <w:rsid w:val="00FA49D4"/>
    <w:rsid w:val="00FA7254"/>
    <w:rsid w:val="00FB0214"/>
    <w:rsid w:val="00FB080C"/>
    <w:rsid w:val="00FB12BC"/>
    <w:rsid w:val="00FB18F6"/>
    <w:rsid w:val="00FB2A52"/>
    <w:rsid w:val="00FB2F13"/>
    <w:rsid w:val="00FB539B"/>
    <w:rsid w:val="00FB6E19"/>
    <w:rsid w:val="00FB71F6"/>
    <w:rsid w:val="00FC1483"/>
    <w:rsid w:val="00FC1C47"/>
    <w:rsid w:val="00FC39ED"/>
    <w:rsid w:val="00FC4419"/>
    <w:rsid w:val="00FC47E2"/>
    <w:rsid w:val="00FC4AA5"/>
    <w:rsid w:val="00FC5148"/>
    <w:rsid w:val="00FC5528"/>
    <w:rsid w:val="00FC75AC"/>
    <w:rsid w:val="00FD01BF"/>
    <w:rsid w:val="00FD0525"/>
    <w:rsid w:val="00FD297D"/>
    <w:rsid w:val="00FD298C"/>
    <w:rsid w:val="00FD2D13"/>
    <w:rsid w:val="00FD3D26"/>
    <w:rsid w:val="00FD4789"/>
    <w:rsid w:val="00FD59FE"/>
    <w:rsid w:val="00FD6071"/>
    <w:rsid w:val="00FE0794"/>
    <w:rsid w:val="00FE1041"/>
    <w:rsid w:val="00FE24CB"/>
    <w:rsid w:val="00FE3166"/>
    <w:rsid w:val="00FE3320"/>
    <w:rsid w:val="00FE3473"/>
    <w:rsid w:val="00FE353B"/>
    <w:rsid w:val="00FE3E81"/>
    <w:rsid w:val="00FE4049"/>
    <w:rsid w:val="00FE4794"/>
    <w:rsid w:val="00FE5DF7"/>
    <w:rsid w:val="00FE5F72"/>
    <w:rsid w:val="00FF0231"/>
    <w:rsid w:val="00FF1C9B"/>
    <w:rsid w:val="00FF1D49"/>
    <w:rsid w:val="00FF2562"/>
    <w:rsid w:val="00FF2CE1"/>
    <w:rsid w:val="00FF3A41"/>
    <w:rsid w:val="00FF3E5B"/>
    <w:rsid w:val="00FF4F47"/>
    <w:rsid w:val="00FF544F"/>
    <w:rsid w:val="00FF57E4"/>
    <w:rsid w:val="00FF6C92"/>
    <w:rsid w:val="00FF75D9"/>
    <w:rsid w:val="00FF78E5"/>
    <w:rsid w:val="014E746C"/>
    <w:rsid w:val="01B74261"/>
    <w:rsid w:val="02465FE1"/>
    <w:rsid w:val="02511F9D"/>
    <w:rsid w:val="02675E14"/>
    <w:rsid w:val="03056ED3"/>
    <w:rsid w:val="03A314B8"/>
    <w:rsid w:val="03C946EB"/>
    <w:rsid w:val="03D82B98"/>
    <w:rsid w:val="03F83E8B"/>
    <w:rsid w:val="04A91F3B"/>
    <w:rsid w:val="04E32F59"/>
    <w:rsid w:val="04F73278"/>
    <w:rsid w:val="07423678"/>
    <w:rsid w:val="0749768F"/>
    <w:rsid w:val="07B72767"/>
    <w:rsid w:val="08077E72"/>
    <w:rsid w:val="09270E73"/>
    <w:rsid w:val="09295031"/>
    <w:rsid w:val="09CC2AAC"/>
    <w:rsid w:val="09D820EE"/>
    <w:rsid w:val="0A652D3E"/>
    <w:rsid w:val="0AFC6289"/>
    <w:rsid w:val="0B253A7F"/>
    <w:rsid w:val="0B3A48F0"/>
    <w:rsid w:val="0BBC1D45"/>
    <w:rsid w:val="0BBE064B"/>
    <w:rsid w:val="0C92213C"/>
    <w:rsid w:val="0D4F221D"/>
    <w:rsid w:val="0D84032B"/>
    <w:rsid w:val="0E644C2B"/>
    <w:rsid w:val="0ED317E0"/>
    <w:rsid w:val="0F0A0484"/>
    <w:rsid w:val="0FE41812"/>
    <w:rsid w:val="103A6D04"/>
    <w:rsid w:val="105A7A68"/>
    <w:rsid w:val="10A27F31"/>
    <w:rsid w:val="10CA487C"/>
    <w:rsid w:val="10D15AF3"/>
    <w:rsid w:val="11892F13"/>
    <w:rsid w:val="11927058"/>
    <w:rsid w:val="11A20C0C"/>
    <w:rsid w:val="11F052D6"/>
    <w:rsid w:val="12571513"/>
    <w:rsid w:val="126537F7"/>
    <w:rsid w:val="1283460C"/>
    <w:rsid w:val="12D41111"/>
    <w:rsid w:val="13AF4F03"/>
    <w:rsid w:val="13EE120F"/>
    <w:rsid w:val="14736E66"/>
    <w:rsid w:val="149B6AC2"/>
    <w:rsid w:val="14FD6297"/>
    <w:rsid w:val="15293653"/>
    <w:rsid w:val="1534169A"/>
    <w:rsid w:val="15A2338D"/>
    <w:rsid w:val="15C03E03"/>
    <w:rsid w:val="15EC2CE4"/>
    <w:rsid w:val="162A25EB"/>
    <w:rsid w:val="16FD2A55"/>
    <w:rsid w:val="17366761"/>
    <w:rsid w:val="177C01F0"/>
    <w:rsid w:val="178057B9"/>
    <w:rsid w:val="17CE6630"/>
    <w:rsid w:val="18142FE8"/>
    <w:rsid w:val="19820BA0"/>
    <w:rsid w:val="19F445F8"/>
    <w:rsid w:val="1A84472F"/>
    <w:rsid w:val="1AB948D7"/>
    <w:rsid w:val="1AFA16D5"/>
    <w:rsid w:val="1B4F19F8"/>
    <w:rsid w:val="1B5B46B3"/>
    <w:rsid w:val="1BAE21AF"/>
    <w:rsid w:val="1BD92184"/>
    <w:rsid w:val="1C1B1DB5"/>
    <w:rsid w:val="1C5170A2"/>
    <w:rsid w:val="1C9233C9"/>
    <w:rsid w:val="1D4061A8"/>
    <w:rsid w:val="1D4666F2"/>
    <w:rsid w:val="1E9B4F4B"/>
    <w:rsid w:val="1F053EB7"/>
    <w:rsid w:val="1F063325"/>
    <w:rsid w:val="1F51075E"/>
    <w:rsid w:val="1F775B7D"/>
    <w:rsid w:val="1FBC5DF5"/>
    <w:rsid w:val="1FC55574"/>
    <w:rsid w:val="203A5D23"/>
    <w:rsid w:val="206A05D7"/>
    <w:rsid w:val="20C2646C"/>
    <w:rsid w:val="2102316C"/>
    <w:rsid w:val="2115389D"/>
    <w:rsid w:val="213F1DD6"/>
    <w:rsid w:val="21B83F86"/>
    <w:rsid w:val="21E55E66"/>
    <w:rsid w:val="221178A8"/>
    <w:rsid w:val="221213CF"/>
    <w:rsid w:val="22327A92"/>
    <w:rsid w:val="22965435"/>
    <w:rsid w:val="22BD6F35"/>
    <w:rsid w:val="231D53A2"/>
    <w:rsid w:val="23B7504C"/>
    <w:rsid w:val="24571307"/>
    <w:rsid w:val="24BA2984"/>
    <w:rsid w:val="25246333"/>
    <w:rsid w:val="252F439E"/>
    <w:rsid w:val="26446DE3"/>
    <w:rsid w:val="264D165B"/>
    <w:rsid w:val="26D7699F"/>
    <w:rsid w:val="27232425"/>
    <w:rsid w:val="274A5E17"/>
    <w:rsid w:val="28A4122D"/>
    <w:rsid w:val="29796396"/>
    <w:rsid w:val="298B6545"/>
    <w:rsid w:val="29F3472C"/>
    <w:rsid w:val="2B09065E"/>
    <w:rsid w:val="2B774624"/>
    <w:rsid w:val="2BC068DD"/>
    <w:rsid w:val="2C1339D0"/>
    <w:rsid w:val="2C7A72BE"/>
    <w:rsid w:val="2CB0185A"/>
    <w:rsid w:val="2CB01C1E"/>
    <w:rsid w:val="2CEC6B2E"/>
    <w:rsid w:val="2CF44225"/>
    <w:rsid w:val="2D617252"/>
    <w:rsid w:val="2DD56D57"/>
    <w:rsid w:val="2E494745"/>
    <w:rsid w:val="2EC433FA"/>
    <w:rsid w:val="2F234AE5"/>
    <w:rsid w:val="2F401D3C"/>
    <w:rsid w:val="2FA95C88"/>
    <w:rsid w:val="2FD86A3A"/>
    <w:rsid w:val="3041370F"/>
    <w:rsid w:val="30711AF3"/>
    <w:rsid w:val="31083A05"/>
    <w:rsid w:val="31D67BED"/>
    <w:rsid w:val="31FF798A"/>
    <w:rsid w:val="32453A27"/>
    <w:rsid w:val="3255781A"/>
    <w:rsid w:val="3263064A"/>
    <w:rsid w:val="32AC0C06"/>
    <w:rsid w:val="32D9144E"/>
    <w:rsid w:val="32E66DFD"/>
    <w:rsid w:val="333C7F24"/>
    <w:rsid w:val="34E84451"/>
    <w:rsid w:val="3537750C"/>
    <w:rsid w:val="3537798C"/>
    <w:rsid w:val="355E071A"/>
    <w:rsid w:val="357F7ED5"/>
    <w:rsid w:val="358636D8"/>
    <w:rsid w:val="35C13FC9"/>
    <w:rsid w:val="35DC154A"/>
    <w:rsid w:val="362E6D87"/>
    <w:rsid w:val="36401AD9"/>
    <w:rsid w:val="364257B6"/>
    <w:rsid w:val="369F792A"/>
    <w:rsid w:val="36F834D1"/>
    <w:rsid w:val="374264D3"/>
    <w:rsid w:val="376A5ACE"/>
    <w:rsid w:val="378C4080"/>
    <w:rsid w:val="37D16F6B"/>
    <w:rsid w:val="37DB7874"/>
    <w:rsid w:val="37EA5922"/>
    <w:rsid w:val="38276B93"/>
    <w:rsid w:val="3828316D"/>
    <w:rsid w:val="38F17726"/>
    <w:rsid w:val="39212272"/>
    <w:rsid w:val="3A0B64A7"/>
    <w:rsid w:val="3A125E82"/>
    <w:rsid w:val="3A5B3385"/>
    <w:rsid w:val="3AF74C02"/>
    <w:rsid w:val="3B575748"/>
    <w:rsid w:val="3BAF639D"/>
    <w:rsid w:val="3BEF658C"/>
    <w:rsid w:val="3C0059A5"/>
    <w:rsid w:val="3C134E78"/>
    <w:rsid w:val="3C5813C2"/>
    <w:rsid w:val="3C9B2B08"/>
    <w:rsid w:val="3CFA3C2E"/>
    <w:rsid w:val="3D522FAA"/>
    <w:rsid w:val="3DF6345D"/>
    <w:rsid w:val="3EC357A9"/>
    <w:rsid w:val="3EDA1055"/>
    <w:rsid w:val="3EE13701"/>
    <w:rsid w:val="3F0F1441"/>
    <w:rsid w:val="3F1A4BB3"/>
    <w:rsid w:val="3F401D03"/>
    <w:rsid w:val="3FAD7DDA"/>
    <w:rsid w:val="40192BA6"/>
    <w:rsid w:val="404A3389"/>
    <w:rsid w:val="40A0550A"/>
    <w:rsid w:val="418F1B67"/>
    <w:rsid w:val="419D0727"/>
    <w:rsid w:val="41A378EF"/>
    <w:rsid w:val="42550A18"/>
    <w:rsid w:val="42F473A1"/>
    <w:rsid w:val="43343C76"/>
    <w:rsid w:val="43CA14E9"/>
    <w:rsid w:val="441E62C0"/>
    <w:rsid w:val="44274ACD"/>
    <w:rsid w:val="44AD6ED3"/>
    <w:rsid w:val="453C6194"/>
    <w:rsid w:val="45811C7C"/>
    <w:rsid w:val="45C344AC"/>
    <w:rsid w:val="46053138"/>
    <w:rsid w:val="468B3EFB"/>
    <w:rsid w:val="470A6193"/>
    <w:rsid w:val="47DC4F5C"/>
    <w:rsid w:val="48B40671"/>
    <w:rsid w:val="49380D36"/>
    <w:rsid w:val="499B5738"/>
    <w:rsid w:val="499F244D"/>
    <w:rsid w:val="4A7F1CEC"/>
    <w:rsid w:val="4A8F58C2"/>
    <w:rsid w:val="4AF96BC7"/>
    <w:rsid w:val="4B447BBD"/>
    <w:rsid w:val="4B8E10E1"/>
    <w:rsid w:val="4BFB4050"/>
    <w:rsid w:val="4C6B15DA"/>
    <w:rsid w:val="4CCE79E7"/>
    <w:rsid w:val="4CEF36E2"/>
    <w:rsid w:val="4D3B1120"/>
    <w:rsid w:val="4F372FFB"/>
    <w:rsid w:val="4F390EE0"/>
    <w:rsid w:val="4FA76FA4"/>
    <w:rsid w:val="50131164"/>
    <w:rsid w:val="513F391C"/>
    <w:rsid w:val="51564E44"/>
    <w:rsid w:val="51F36455"/>
    <w:rsid w:val="529F67F6"/>
    <w:rsid w:val="52C10D75"/>
    <w:rsid w:val="52E1369D"/>
    <w:rsid w:val="550C4BD7"/>
    <w:rsid w:val="55572986"/>
    <w:rsid w:val="55905462"/>
    <w:rsid w:val="559E08A5"/>
    <w:rsid w:val="55B654BC"/>
    <w:rsid w:val="56537644"/>
    <w:rsid w:val="566F435B"/>
    <w:rsid w:val="56AA276C"/>
    <w:rsid w:val="58190916"/>
    <w:rsid w:val="58755CDA"/>
    <w:rsid w:val="5927259C"/>
    <w:rsid w:val="5A957D93"/>
    <w:rsid w:val="5B123029"/>
    <w:rsid w:val="5B352081"/>
    <w:rsid w:val="5B3760D9"/>
    <w:rsid w:val="5BB64468"/>
    <w:rsid w:val="5C7F6E35"/>
    <w:rsid w:val="5C863E32"/>
    <w:rsid w:val="5C9637EB"/>
    <w:rsid w:val="5D2317D1"/>
    <w:rsid w:val="5DBE34D1"/>
    <w:rsid w:val="5DFE33D2"/>
    <w:rsid w:val="5E2C6599"/>
    <w:rsid w:val="5F6952C3"/>
    <w:rsid w:val="5F80710D"/>
    <w:rsid w:val="606007BB"/>
    <w:rsid w:val="60AC7F66"/>
    <w:rsid w:val="60C96543"/>
    <w:rsid w:val="60FC56E4"/>
    <w:rsid w:val="618835DC"/>
    <w:rsid w:val="61BF10D9"/>
    <w:rsid w:val="61C52F3D"/>
    <w:rsid w:val="627C54E0"/>
    <w:rsid w:val="629F7BDB"/>
    <w:rsid w:val="62B611F1"/>
    <w:rsid w:val="6366109A"/>
    <w:rsid w:val="640C7C21"/>
    <w:rsid w:val="64E45EF7"/>
    <w:rsid w:val="65502EA4"/>
    <w:rsid w:val="66A57729"/>
    <w:rsid w:val="67236729"/>
    <w:rsid w:val="677435B2"/>
    <w:rsid w:val="677C040A"/>
    <w:rsid w:val="67DB1043"/>
    <w:rsid w:val="67EF75F1"/>
    <w:rsid w:val="69124F16"/>
    <w:rsid w:val="69C64B0E"/>
    <w:rsid w:val="69C64F5E"/>
    <w:rsid w:val="69CD5C14"/>
    <w:rsid w:val="69CF0D33"/>
    <w:rsid w:val="6AB24495"/>
    <w:rsid w:val="6B64148A"/>
    <w:rsid w:val="6B854110"/>
    <w:rsid w:val="6B9946B3"/>
    <w:rsid w:val="6B9B0F84"/>
    <w:rsid w:val="6C1C30F7"/>
    <w:rsid w:val="6C7C4752"/>
    <w:rsid w:val="6CD81D64"/>
    <w:rsid w:val="6CF763B2"/>
    <w:rsid w:val="6D1837C6"/>
    <w:rsid w:val="6D782351"/>
    <w:rsid w:val="6DA715B0"/>
    <w:rsid w:val="6DE76850"/>
    <w:rsid w:val="6E9A1018"/>
    <w:rsid w:val="6E9A5330"/>
    <w:rsid w:val="6F045B69"/>
    <w:rsid w:val="6F066B39"/>
    <w:rsid w:val="6FB20BD4"/>
    <w:rsid w:val="6FBA59BE"/>
    <w:rsid w:val="70296B3E"/>
    <w:rsid w:val="70352DB4"/>
    <w:rsid w:val="70611204"/>
    <w:rsid w:val="70D719BB"/>
    <w:rsid w:val="7234593E"/>
    <w:rsid w:val="7259362C"/>
    <w:rsid w:val="725B0FFE"/>
    <w:rsid w:val="72EF4CB6"/>
    <w:rsid w:val="73F8288D"/>
    <w:rsid w:val="741B5358"/>
    <w:rsid w:val="74F43892"/>
    <w:rsid w:val="74FA2C30"/>
    <w:rsid w:val="751125E0"/>
    <w:rsid w:val="751A73BE"/>
    <w:rsid w:val="76BC49EB"/>
    <w:rsid w:val="76F10D0D"/>
    <w:rsid w:val="77000DA2"/>
    <w:rsid w:val="77EB5796"/>
    <w:rsid w:val="781E69D1"/>
    <w:rsid w:val="78340059"/>
    <w:rsid w:val="786642FA"/>
    <w:rsid w:val="78FF56EB"/>
    <w:rsid w:val="79FF6045"/>
    <w:rsid w:val="7ADD0453"/>
    <w:rsid w:val="7AF46346"/>
    <w:rsid w:val="7B0F5EBF"/>
    <w:rsid w:val="7B130FB9"/>
    <w:rsid w:val="7B1C58A0"/>
    <w:rsid w:val="7BA85085"/>
    <w:rsid w:val="7BDE0625"/>
    <w:rsid w:val="7BF64EDE"/>
    <w:rsid w:val="7C400C1E"/>
    <w:rsid w:val="7D5611AF"/>
    <w:rsid w:val="7DD11708"/>
    <w:rsid w:val="7EBC46EA"/>
    <w:rsid w:val="7EC167BD"/>
    <w:rsid w:val="7EF90FB0"/>
    <w:rsid w:val="7F4325AA"/>
    <w:rsid w:val="7FF045D3"/>
    <w:rsid w:val="7FF82C26"/>
    <w:rsid w:val="DD22E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5"/>
    <w:basedOn w:val="1"/>
    <w:next w:val="5"/>
    <w:link w:val="38"/>
    <w:qFormat/>
    <w:uiPriority w:val="9"/>
    <w:pPr>
      <w:keepNext/>
      <w:keepLines/>
      <w:spacing w:before="280" w:after="290" w:line="376" w:lineRule="auto"/>
      <w:outlineLvl w:val="4"/>
    </w:pPr>
    <w:rPr>
      <w:b/>
      <w:bCs/>
      <w:sz w:val="28"/>
      <w:szCs w:val="28"/>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7">
    <w:name w:val="annotation text"/>
    <w:basedOn w:val="1"/>
    <w:link w:val="39"/>
    <w:qFormat/>
    <w:uiPriority w:val="0"/>
    <w:pPr>
      <w:jc w:val="left"/>
    </w:pPr>
  </w:style>
  <w:style w:type="paragraph" w:styleId="8">
    <w:name w:val="Body Text 3"/>
    <w:basedOn w:val="1"/>
    <w:link w:val="40"/>
    <w:unhideWhenUsed/>
    <w:qFormat/>
    <w:uiPriority w:val="99"/>
    <w:pPr>
      <w:spacing w:after="120"/>
    </w:pPr>
    <w:rPr>
      <w:sz w:val="16"/>
      <w:szCs w:val="16"/>
    </w:rPr>
  </w:style>
  <w:style w:type="paragraph" w:styleId="9">
    <w:name w:val="Body Text"/>
    <w:basedOn w:val="1"/>
    <w:link w:val="41"/>
    <w:unhideWhenUsed/>
    <w:qFormat/>
    <w:uiPriority w:val="0"/>
    <w:pPr>
      <w:spacing w:after="120"/>
    </w:pPr>
  </w:style>
  <w:style w:type="paragraph" w:styleId="10">
    <w:name w:val="Body Text Indent"/>
    <w:basedOn w:val="1"/>
    <w:link w:val="42"/>
    <w:qFormat/>
    <w:uiPriority w:val="0"/>
    <w:pPr>
      <w:ind w:firstLine="830" w:firstLineChars="352"/>
    </w:pPr>
    <w:rPr>
      <w:rFonts w:ascii="仿宋_GB2312" w:eastAsia="仿宋_GB2312"/>
      <w:kern w:val="0"/>
      <w:sz w:val="32"/>
      <w:szCs w:val="20"/>
    </w:rPr>
  </w:style>
  <w:style w:type="paragraph" w:styleId="11">
    <w:name w:val="List 2"/>
    <w:basedOn w:val="1"/>
    <w:unhideWhenUsed/>
    <w:qFormat/>
    <w:uiPriority w:val="99"/>
    <w:pPr>
      <w:ind w:left="100" w:leftChars="200" w:hanging="200" w:hangingChars="200"/>
      <w:contextualSpacing/>
    </w:pPr>
  </w:style>
  <w:style w:type="paragraph" w:styleId="12">
    <w:name w:val="Plain Text"/>
    <w:basedOn w:val="1"/>
    <w:link w:val="43"/>
    <w:qFormat/>
    <w:uiPriority w:val="0"/>
    <w:rPr>
      <w:rFonts w:ascii="宋体" w:hAnsi="Courier New"/>
      <w:kern w:val="0"/>
      <w:sz w:val="20"/>
      <w:szCs w:val="21"/>
    </w:rPr>
  </w:style>
  <w:style w:type="paragraph" w:styleId="13">
    <w:name w:val="Date"/>
    <w:basedOn w:val="1"/>
    <w:next w:val="1"/>
    <w:link w:val="44"/>
    <w:unhideWhenUsed/>
    <w:qFormat/>
    <w:uiPriority w:val="99"/>
    <w:pPr>
      <w:ind w:left="100" w:leftChars="2500"/>
    </w:pPr>
  </w:style>
  <w:style w:type="paragraph" w:styleId="14">
    <w:name w:val="Balloon Text"/>
    <w:basedOn w:val="1"/>
    <w:semiHidden/>
    <w:qFormat/>
    <w:uiPriority w:val="0"/>
    <w:rPr>
      <w:sz w:val="18"/>
      <w:szCs w:val="18"/>
    </w:rPr>
  </w:style>
  <w:style w:type="paragraph" w:styleId="15">
    <w:name w:val="footer"/>
    <w:basedOn w:val="1"/>
    <w:link w:val="45"/>
    <w:unhideWhenUsed/>
    <w:qFormat/>
    <w:uiPriority w:val="99"/>
    <w:pPr>
      <w:tabs>
        <w:tab w:val="center" w:pos="4153"/>
        <w:tab w:val="right" w:pos="8306"/>
      </w:tabs>
      <w:snapToGrid w:val="0"/>
      <w:jc w:val="left"/>
    </w:pPr>
    <w:rPr>
      <w:kern w:val="0"/>
      <w:sz w:val="18"/>
      <w:szCs w:val="18"/>
    </w:rPr>
  </w:style>
  <w:style w:type="paragraph" w:styleId="16">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unhideWhenUsed/>
    <w:qFormat/>
    <w:uiPriority w:val="99"/>
    <w:rPr>
      <w:rFonts w:ascii="Calibri" w:hAnsi="Calibri"/>
      <w:kern w:val="0"/>
      <w:sz w:val="24"/>
    </w:rPr>
  </w:style>
  <w:style w:type="paragraph" w:styleId="20">
    <w:name w:val="annotation subject"/>
    <w:basedOn w:val="7"/>
    <w:next w:val="7"/>
    <w:link w:val="47"/>
    <w:qFormat/>
    <w:uiPriority w:val="99"/>
    <w:rPr>
      <w:b/>
      <w:bCs/>
    </w:rPr>
  </w:style>
  <w:style w:type="paragraph" w:styleId="21">
    <w:name w:val="Body Text First Indent"/>
    <w:basedOn w:val="9"/>
    <w:unhideWhenUsed/>
    <w:qFormat/>
    <w:uiPriority w:val="99"/>
    <w:pPr>
      <w:ind w:firstLine="420" w:firstLineChars="100"/>
    </w:pPr>
  </w:style>
  <w:style w:type="table" w:styleId="23">
    <w:name w:val="Table Grid"/>
    <w:basedOn w:val="2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FollowedHyperlink"/>
    <w:basedOn w:val="24"/>
    <w:semiHidden/>
    <w:unhideWhenUsed/>
    <w:qFormat/>
    <w:uiPriority w:val="99"/>
    <w:rPr>
      <w:color w:val="800080"/>
      <w:u w:val="none"/>
    </w:rPr>
  </w:style>
  <w:style w:type="character" w:styleId="26">
    <w:name w:val="HTML Definition"/>
    <w:basedOn w:val="24"/>
    <w:semiHidden/>
    <w:unhideWhenUsed/>
    <w:qFormat/>
    <w:uiPriority w:val="99"/>
  </w:style>
  <w:style w:type="character" w:styleId="27">
    <w:name w:val="HTML Typewriter"/>
    <w:basedOn w:val="24"/>
    <w:semiHidden/>
    <w:unhideWhenUsed/>
    <w:qFormat/>
    <w:uiPriority w:val="99"/>
    <w:rPr>
      <w:rFonts w:hint="default" w:ascii="monospace" w:hAnsi="monospace" w:eastAsia="monospace" w:cs="monospace"/>
      <w:sz w:val="20"/>
    </w:rPr>
  </w:style>
  <w:style w:type="character" w:styleId="28">
    <w:name w:val="HTML Acronym"/>
    <w:basedOn w:val="24"/>
    <w:semiHidden/>
    <w:unhideWhenUsed/>
    <w:qFormat/>
    <w:uiPriority w:val="99"/>
  </w:style>
  <w:style w:type="character" w:styleId="29">
    <w:name w:val="HTML Variable"/>
    <w:basedOn w:val="24"/>
    <w:semiHidden/>
    <w:unhideWhenUsed/>
    <w:qFormat/>
    <w:uiPriority w:val="99"/>
  </w:style>
  <w:style w:type="character" w:styleId="30">
    <w:name w:val="Hyperlink"/>
    <w:unhideWhenUsed/>
    <w:qFormat/>
    <w:uiPriority w:val="99"/>
    <w:rPr>
      <w:color w:val="0000FF"/>
      <w:u w:val="single"/>
    </w:rPr>
  </w:style>
  <w:style w:type="character" w:styleId="31">
    <w:name w:val="HTML Code"/>
    <w:basedOn w:val="24"/>
    <w:semiHidden/>
    <w:unhideWhenUsed/>
    <w:qFormat/>
    <w:uiPriority w:val="99"/>
    <w:rPr>
      <w:rFonts w:hint="default" w:ascii="monospace" w:hAnsi="monospace" w:eastAsia="monospace" w:cs="monospace"/>
      <w:sz w:val="20"/>
    </w:rPr>
  </w:style>
  <w:style w:type="character" w:styleId="32">
    <w:name w:val="annotation reference"/>
    <w:qFormat/>
    <w:uiPriority w:val="0"/>
    <w:rPr>
      <w:sz w:val="21"/>
      <w:szCs w:val="21"/>
    </w:rPr>
  </w:style>
  <w:style w:type="character" w:styleId="33">
    <w:name w:val="HTML Cite"/>
    <w:basedOn w:val="24"/>
    <w:semiHidden/>
    <w:unhideWhenUsed/>
    <w:qFormat/>
    <w:uiPriority w:val="99"/>
  </w:style>
  <w:style w:type="character" w:styleId="34">
    <w:name w:val="HTML Keyboard"/>
    <w:basedOn w:val="24"/>
    <w:semiHidden/>
    <w:unhideWhenUsed/>
    <w:qFormat/>
    <w:uiPriority w:val="99"/>
    <w:rPr>
      <w:rFonts w:hint="default" w:ascii="monospace" w:hAnsi="monospace" w:eastAsia="monospace" w:cs="monospace"/>
      <w:sz w:val="20"/>
    </w:rPr>
  </w:style>
  <w:style w:type="character" w:styleId="35">
    <w:name w:val="HTML Sample"/>
    <w:basedOn w:val="24"/>
    <w:semiHidden/>
    <w:unhideWhenUsed/>
    <w:qFormat/>
    <w:uiPriority w:val="99"/>
    <w:rPr>
      <w:rFonts w:ascii="monospace" w:hAnsi="monospace" w:eastAsia="monospace" w:cs="monospace"/>
    </w:rPr>
  </w:style>
  <w:style w:type="character" w:customStyle="1" w:styleId="36">
    <w:name w:val="标题 1 字符1"/>
    <w:link w:val="2"/>
    <w:qFormat/>
    <w:uiPriority w:val="0"/>
    <w:rPr>
      <w:b/>
      <w:bCs/>
      <w:kern w:val="44"/>
      <w:sz w:val="44"/>
      <w:szCs w:val="44"/>
    </w:rPr>
  </w:style>
  <w:style w:type="character" w:customStyle="1" w:styleId="37">
    <w:name w:val="标题 2 字符"/>
    <w:link w:val="3"/>
    <w:qFormat/>
    <w:uiPriority w:val="9"/>
    <w:rPr>
      <w:rFonts w:ascii="Cambria" w:hAnsi="Cambria" w:eastAsia="宋体" w:cs="Times New Roman"/>
      <w:b/>
      <w:bCs/>
      <w:kern w:val="2"/>
      <w:sz w:val="32"/>
      <w:szCs w:val="32"/>
    </w:rPr>
  </w:style>
  <w:style w:type="character" w:customStyle="1" w:styleId="38">
    <w:name w:val="标题 5 字符"/>
    <w:link w:val="4"/>
    <w:semiHidden/>
    <w:qFormat/>
    <w:uiPriority w:val="9"/>
    <w:rPr>
      <w:rFonts w:ascii="Times New Roman" w:hAnsi="Times New Roman"/>
      <w:b/>
      <w:bCs/>
      <w:kern w:val="2"/>
      <w:sz w:val="28"/>
      <w:szCs w:val="28"/>
    </w:rPr>
  </w:style>
  <w:style w:type="character" w:customStyle="1" w:styleId="39">
    <w:name w:val="批注文字 字符"/>
    <w:link w:val="7"/>
    <w:qFormat/>
    <w:uiPriority w:val="0"/>
    <w:rPr>
      <w:rFonts w:ascii="Times New Roman" w:hAnsi="Times New Roman"/>
      <w:kern w:val="2"/>
      <w:sz w:val="21"/>
      <w:szCs w:val="24"/>
    </w:rPr>
  </w:style>
  <w:style w:type="character" w:customStyle="1" w:styleId="40">
    <w:name w:val="正文文本 3 字符"/>
    <w:link w:val="8"/>
    <w:semiHidden/>
    <w:qFormat/>
    <w:uiPriority w:val="99"/>
    <w:rPr>
      <w:rFonts w:ascii="Times New Roman" w:hAnsi="Times New Roman"/>
      <w:kern w:val="2"/>
      <w:sz w:val="16"/>
      <w:szCs w:val="16"/>
    </w:rPr>
  </w:style>
  <w:style w:type="character" w:customStyle="1" w:styleId="41">
    <w:name w:val="正文文本 字符"/>
    <w:link w:val="9"/>
    <w:qFormat/>
    <w:uiPriority w:val="0"/>
    <w:rPr>
      <w:rFonts w:ascii="Times New Roman" w:hAnsi="Times New Roman"/>
      <w:kern w:val="2"/>
      <w:sz w:val="21"/>
      <w:szCs w:val="24"/>
    </w:rPr>
  </w:style>
  <w:style w:type="character" w:customStyle="1" w:styleId="42">
    <w:name w:val="正文文本缩进 字符"/>
    <w:link w:val="10"/>
    <w:qFormat/>
    <w:uiPriority w:val="0"/>
    <w:rPr>
      <w:rFonts w:ascii="仿宋_GB2312" w:hAnsi="Times New Roman" w:eastAsia="仿宋_GB2312" w:cs="Times New Roman"/>
      <w:sz w:val="32"/>
      <w:szCs w:val="20"/>
    </w:rPr>
  </w:style>
  <w:style w:type="character" w:customStyle="1" w:styleId="43">
    <w:name w:val="纯文本 字符4"/>
    <w:link w:val="12"/>
    <w:qFormat/>
    <w:uiPriority w:val="0"/>
    <w:rPr>
      <w:rFonts w:ascii="宋体" w:hAnsi="Courier New" w:eastAsia="宋体" w:cs="Courier New"/>
      <w:szCs w:val="21"/>
    </w:rPr>
  </w:style>
  <w:style w:type="character" w:customStyle="1" w:styleId="44">
    <w:name w:val="日期 字符"/>
    <w:link w:val="13"/>
    <w:semiHidden/>
    <w:qFormat/>
    <w:uiPriority w:val="99"/>
    <w:rPr>
      <w:rFonts w:ascii="Times New Roman" w:hAnsi="Times New Roman"/>
      <w:kern w:val="2"/>
      <w:sz w:val="21"/>
      <w:szCs w:val="24"/>
    </w:rPr>
  </w:style>
  <w:style w:type="character" w:customStyle="1" w:styleId="45">
    <w:name w:val="页脚 字符"/>
    <w:link w:val="15"/>
    <w:qFormat/>
    <w:uiPriority w:val="99"/>
    <w:rPr>
      <w:sz w:val="18"/>
      <w:szCs w:val="18"/>
    </w:rPr>
  </w:style>
  <w:style w:type="character" w:customStyle="1" w:styleId="46">
    <w:name w:val="页眉 字符"/>
    <w:link w:val="16"/>
    <w:qFormat/>
    <w:uiPriority w:val="99"/>
    <w:rPr>
      <w:sz w:val="18"/>
      <w:szCs w:val="18"/>
    </w:rPr>
  </w:style>
  <w:style w:type="character" w:customStyle="1" w:styleId="47">
    <w:name w:val="批注主题 字符"/>
    <w:link w:val="20"/>
    <w:qFormat/>
    <w:uiPriority w:val="99"/>
    <w:rPr>
      <w:rFonts w:ascii="Times New Roman" w:hAnsi="Times New Roman"/>
      <w:b/>
      <w:bCs/>
      <w:kern w:val="2"/>
      <w:sz w:val="21"/>
      <w:szCs w:val="24"/>
    </w:rPr>
  </w:style>
  <w:style w:type="character" w:customStyle="1" w:styleId="48">
    <w:name w:val="正文文本缩进 字符1"/>
    <w:qFormat/>
    <w:uiPriority w:val="0"/>
    <w:rPr>
      <w:rFonts w:ascii="仿宋_GB2312" w:hAnsi="Times New Roman" w:eastAsia="仿宋_GB2312" w:cs="Times New Roman"/>
      <w:sz w:val="32"/>
      <w:szCs w:val="20"/>
    </w:rPr>
  </w:style>
  <w:style w:type="character" w:customStyle="1" w:styleId="49">
    <w:name w:val="apple-style-span"/>
    <w:qFormat/>
    <w:uiPriority w:val="0"/>
  </w:style>
  <w:style w:type="character" w:customStyle="1" w:styleId="50">
    <w:name w:val="标题 1 字符"/>
    <w:qFormat/>
    <w:uiPriority w:val="9"/>
    <w:rPr>
      <w:b/>
      <w:bCs/>
      <w:kern w:val="44"/>
      <w:sz w:val="44"/>
      <w:szCs w:val="44"/>
    </w:rPr>
  </w:style>
  <w:style w:type="character" w:customStyle="1" w:styleId="51">
    <w:name w:val="textcontents"/>
    <w:qFormat/>
    <w:uiPriority w:val="0"/>
  </w:style>
  <w:style w:type="character" w:customStyle="1" w:styleId="52">
    <w:name w:val="纯文本 字符1"/>
    <w:qFormat/>
    <w:uiPriority w:val="0"/>
    <w:rPr>
      <w:rFonts w:ascii="宋体" w:hAnsi="Courier New"/>
    </w:rPr>
  </w:style>
  <w:style w:type="character" w:customStyle="1" w:styleId="53">
    <w:name w:val="批注文字 字符1"/>
    <w:qFormat/>
    <w:uiPriority w:val="0"/>
    <w:rPr>
      <w:kern w:val="2"/>
      <w:sz w:val="21"/>
      <w:szCs w:val="24"/>
    </w:rPr>
  </w:style>
  <w:style w:type="character" w:customStyle="1" w:styleId="54">
    <w:name w:val="纯文本 字符2"/>
    <w:qFormat/>
    <w:uiPriority w:val="0"/>
    <w:rPr>
      <w:rFonts w:ascii="宋体" w:hAnsi="Courier New" w:eastAsia="宋体" w:cs="Courier New"/>
      <w:szCs w:val="21"/>
    </w:rPr>
  </w:style>
  <w:style w:type="character" w:customStyle="1" w:styleId="55">
    <w:name w:val="页脚 Char"/>
    <w:qFormat/>
    <w:uiPriority w:val="99"/>
    <w:rPr>
      <w:lang w:eastAsia="zh-CN"/>
    </w:rPr>
  </w:style>
  <w:style w:type="paragraph" w:customStyle="1" w:styleId="56">
    <w:name w:val="默认段落字体 Para Char Char Char Char Char Char Char Char Char1 Char Char Char Char"/>
    <w:basedOn w:val="1"/>
    <w:qFormat/>
    <w:uiPriority w:val="0"/>
    <w:rPr>
      <w:rFonts w:ascii="Tahoma" w:hAnsi="Tahoma"/>
      <w:sz w:val="24"/>
      <w:szCs w:val="20"/>
    </w:rPr>
  </w:style>
  <w:style w:type="paragraph" w:customStyle="1" w:styleId="5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8">
    <w:name w:val="List Paragraph"/>
    <w:basedOn w:val="1"/>
    <w:qFormat/>
    <w:uiPriority w:val="34"/>
    <w:pPr>
      <w:ind w:firstLine="420" w:firstLineChars="200"/>
    </w:pPr>
  </w:style>
  <w:style w:type="paragraph" w:customStyle="1" w:styleId="59">
    <w:name w:val="Table Paragraph"/>
    <w:basedOn w:val="1"/>
    <w:qFormat/>
    <w:uiPriority w:val="1"/>
    <w:pPr>
      <w:jc w:val="left"/>
    </w:pPr>
    <w:rPr>
      <w:rFonts w:ascii="Calibri" w:hAnsi="Calibri"/>
      <w:kern w:val="0"/>
      <w:sz w:val="22"/>
      <w:szCs w:val="22"/>
      <w:lang w:eastAsia="en-US"/>
    </w:rPr>
  </w:style>
  <w:style w:type="character" w:customStyle="1" w:styleId="60">
    <w:name w:val="批注文字 Char1"/>
    <w:qFormat/>
    <w:uiPriority w:val="0"/>
    <w:rPr>
      <w:rFonts w:ascii="Times New Roman" w:hAnsi="Times New Roman"/>
      <w:kern w:val="2"/>
      <w:sz w:val="21"/>
      <w:szCs w:val="24"/>
    </w:rPr>
  </w:style>
  <w:style w:type="character" w:customStyle="1" w:styleId="61">
    <w:name w:val="批注文字 字符2"/>
    <w:qFormat/>
    <w:uiPriority w:val="0"/>
    <w:rPr>
      <w:rFonts w:ascii="Times New Roman" w:hAnsi="Times New Roman"/>
      <w:kern w:val="2"/>
      <w:sz w:val="21"/>
      <w:szCs w:val="24"/>
    </w:rPr>
  </w:style>
  <w:style w:type="character" w:customStyle="1" w:styleId="62">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3">
    <w:name w:val="纯文本 Char1"/>
    <w:qFormat/>
    <w:uiPriority w:val="0"/>
    <w:rPr>
      <w:rFonts w:ascii="宋体" w:hAnsi="Courier New" w:eastAsia="宋体" w:cs="Courier New"/>
      <w:szCs w:val="21"/>
    </w:rPr>
  </w:style>
  <w:style w:type="character" w:customStyle="1" w:styleId="64">
    <w:name w:val="批注文字 Char2"/>
    <w:qFormat/>
    <w:uiPriority w:val="0"/>
    <w:rPr>
      <w:rFonts w:ascii="Times New Roman" w:hAnsi="Times New Roman"/>
      <w:kern w:val="2"/>
      <w:sz w:val="21"/>
      <w:szCs w:val="24"/>
    </w:rPr>
  </w:style>
  <w:style w:type="character" w:customStyle="1" w:styleId="65">
    <w:name w:val="正文2 Char Char"/>
    <w:link w:val="66"/>
    <w:qFormat/>
    <w:uiPriority w:val="0"/>
    <w:rPr>
      <w:kern w:val="2"/>
      <w:sz w:val="24"/>
    </w:rPr>
  </w:style>
  <w:style w:type="paragraph" w:customStyle="1" w:styleId="66">
    <w:name w:val="正文2"/>
    <w:basedOn w:val="1"/>
    <w:link w:val="65"/>
    <w:qFormat/>
    <w:uiPriority w:val="0"/>
    <w:pPr>
      <w:adjustRightInd w:val="0"/>
      <w:spacing w:before="156" w:line="360" w:lineRule="auto"/>
      <w:ind w:firstLine="510" w:firstLineChars="200"/>
    </w:pPr>
    <w:rPr>
      <w:sz w:val="24"/>
      <w:szCs w:val="20"/>
    </w:rPr>
  </w:style>
  <w:style w:type="paragraph" w:customStyle="1" w:styleId="6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8">
    <w:name w:val="列出段落1"/>
    <w:basedOn w:val="1"/>
    <w:qFormat/>
    <w:uiPriority w:val="0"/>
    <w:pPr>
      <w:ind w:firstLine="420" w:firstLineChars="200"/>
    </w:pPr>
    <w:rPr>
      <w:szCs w:val="21"/>
    </w:rPr>
  </w:style>
  <w:style w:type="character" w:customStyle="1" w:styleId="69">
    <w:name w:val="正文文本 Char1"/>
    <w:semiHidden/>
    <w:qFormat/>
    <w:locked/>
    <w:uiPriority w:val="0"/>
    <w:rPr>
      <w:kern w:val="2"/>
      <w:sz w:val="21"/>
      <w:szCs w:val="24"/>
    </w:rPr>
  </w:style>
  <w:style w:type="character" w:customStyle="1" w:styleId="70">
    <w:name w:val="纯文本 字符3"/>
    <w:qFormat/>
    <w:uiPriority w:val="0"/>
    <w:rPr>
      <w:rFonts w:ascii="宋体" w:hAnsi="Courier New" w:cs="Courier New"/>
      <w:szCs w:val="21"/>
    </w:rPr>
  </w:style>
  <w:style w:type="character" w:customStyle="1" w:styleId="71">
    <w:name w:val="纯文本 字符"/>
    <w:qFormat/>
    <w:uiPriority w:val="0"/>
    <w:rPr>
      <w:rFonts w:ascii="宋体" w:hAnsi="Courier New" w:eastAsia="宋体" w:cs="Courier New"/>
      <w:kern w:val="2"/>
      <w:sz w:val="21"/>
      <w:szCs w:val="21"/>
    </w:rPr>
  </w:style>
  <w:style w:type="paragraph" w:customStyle="1" w:styleId="72">
    <w:name w:val="_Style 61"/>
    <w:hidden/>
    <w:unhideWhenUsed/>
    <w:qFormat/>
    <w:uiPriority w:val="99"/>
    <w:rPr>
      <w:rFonts w:ascii="Times New Roman" w:hAnsi="Times New Roman" w:eastAsia="宋体" w:cs="Times New Roman"/>
      <w:kern w:val="2"/>
      <w:sz w:val="21"/>
      <w:szCs w:val="24"/>
      <w:lang w:val="en-US" w:eastAsia="zh-CN" w:bidi="ar-SA"/>
    </w:rPr>
  </w:style>
  <w:style w:type="character" w:customStyle="1" w:styleId="73">
    <w:name w:val="批注文字 Char"/>
    <w:qFormat/>
    <w:uiPriority w:val="0"/>
    <w:rPr>
      <w:kern w:val="2"/>
      <w:sz w:val="21"/>
      <w:szCs w:val="24"/>
    </w:rPr>
  </w:style>
  <w:style w:type="character" w:customStyle="1" w:styleId="74">
    <w:name w:val="font11"/>
    <w:basedOn w:val="24"/>
    <w:qFormat/>
    <w:uiPriority w:val="0"/>
    <w:rPr>
      <w:rFonts w:hint="eastAsia" w:ascii="仿宋_GB2312" w:eastAsia="仿宋_GB2312" w:cs="仿宋_GB2312"/>
      <w:color w:val="000000"/>
      <w:sz w:val="24"/>
      <w:szCs w:val="24"/>
      <w:u w:val="none"/>
    </w:rPr>
  </w:style>
  <w:style w:type="paragraph" w:customStyle="1" w:styleId="75">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76">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77">
    <w:name w:val="批注文字 字符4"/>
    <w:qFormat/>
    <w:uiPriority w:val="0"/>
    <w:rPr>
      <w:rFonts w:ascii="Times New Roman" w:hAnsi="Times New Roman"/>
      <w:szCs w:val="24"/>
      <w:lang w:val="zh-CN" w:eastAsia="zh-CN"/>
    </w:rPr>
  </w:style>
  <w:style w:type="character" w:customStyle="1" w:styleId="78">
    <w:name w:val="layui-layer-tabnow"/>
    <w:basedOn w:val="24"/>
    <w:qFormat/>
    <w:uiPriority w:val="0"/>
    <w:rPr>
      <w:bdr w:val="single" w:color="CCCCCC" w:sz="6" w:space="0"/>
      <w:shd w:val="clear" w:fill="FFFFFF"/>
    </w:rPr>
  </w:style>
  <w:style w:type="character" w:customStyle="1" w:styleId="79">
    <w:name w:val="first-child"/>
    <w:basedOn w:val="24"/>
    <w:qFormat/>
    <w:uiPriority w:val="0"/>
  </w:style>
  <w:style w:type="paragraph" w:customStyle="1" w:styleId="80">
    <w:name w:val="Default"/>
    <w:next w:val="8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https://www.gov.cn/zhengce/content/202509/W020250930645245947614.png" TargetMode="Externa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99</Pages>
  <Words>7648</Words>
  <Characters>8988</Characters>
  <Lines>430</Lines>
  <Paragraphs>121</Paragraphs>
  <TotalTime>1</TotalTime>
  <ScaleCrop>false</ScaleCrop>
  <LinksUpToDate>false</LinksUpToDate>
  <CharactersWithSpaces>9636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2026-05-22T04:08:00Z</dcterms:created>
  <dc:creator>唐冰</dc:creator>
  <cp:lastModifiedBy>点点</cp:lastModifiedBy>
  <cp:lastPrinted>2026-09-04T03:55:00Z</cp:lastPrinted>
  <dcterms:modified xsi:type="dcterms:W3CDTF">2026-09-07T09:31:08Z</dcterms:modified>
  <dc:title>竞争性谈判文件规范</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1B4C21CA7BFE4754B1DB4F1405B3DF99_13</vt:lpwstr>
  </property>
  <property fmtid="{D5CDD505-2E9C-101B-9397-08002B2CF9AE}" pid="4" name="KSOTemplateDocerSaveRecord">
    <vt:lpwstr>eyJoZGlkIjoiMTM2NGZhMDBkYjU4M2Q5MTZhOTY1Mjk2MjVhNjNjYjIiLCJ1c2VySWQiOiI3NTU1ODUzMjkifQ==</vt:lpwstr>
  </property>
</Properties>
</file>